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B8D291">
      <w:pPr>
        <w:shd w:val="clear" w:fill="FFFFFF" w:themeFill="background1"/>
        <w:jc w:val="center"/>
        <w:rPr>
          <w:rFonts w:ascii="宋体" w:hAnsi="宋体" w:cs="宋体"/>
          <w:b/>
          <w:color w:val="auto"/>
          <w:kern w:val="0"/>
          <w:sz w:val="72"/>
          <w:szCs w:val="72"/>
          <w:highlight w:val="none"/>
          <w:shd w:val="clear" w:color="auto" w:fill="FFFFFF"/>
        </w:rPr>
      </w:pPr>
      <w:r>
        <w:rPr>
          <w:rFonts w:hint="eastAsia" w:ascii="宋体" w:hAnsi="宋体" w:cs="宋体"/>
          <w:b/>
          <w:color w:val="auto"/>
          <w:kern w:val="0"/>
          <w:sz w:val="72"/>
          <w:szCs w:val="72"/>
          <w:highlight w:val="none"/>
          <w:shd w:val="clear" w:color="auto" w:fill="FFFFFF"/>
        </w:rPr>
        <w:t>广 东 省</w:t>
      </w:r>
    </w:p>
    <w:p w14:paraId="335A64DB">
      <w:pPr>
        <w:pStyle w:val="55"/>
        <w:shd w:val="clear" w:fill="FFFFFF" w:themeFill="background1"/>
        <w:rPr>
          <w:b/>
          <w:color w:val="auto"/>
          <w:highlight w:val="none"/>
        </w:rPr>
      </w:pPr>
    </w:p>
    <w:p w14:paraId="108341BD">
      <w:pPr>
        <w:shd w:val="clear" w:fill="FFFFFF" w:themeFill="background1"/>
        <w:jc w:val="center"/>
        <w:rPr>
          <w:rFonts w:ascii="宋体" w:hAnsi="宋体" w:cs="宋体"/>
          <w:b/>
          <w:color w:val="auto"/>
          <w:kern w:val="0"/>
          <w:sz w:val="52"/>
          <w:szCs w:val="52"/>
          <w:highlight w:val="none"/>
          <w:shd w:val="clear" w:color="auto" w:fill="FFFFFF"/>
        </w:rPr>
      </w:pPr>
      <w:r>
        <w:rPr>
          <w:rFonts w:hint="eastAsia" w:ascii="宋体" w:hAnsi="宋体" w:cs="宋体"/>
          <w:b/>
          <w:color w:val="auto"/>
          <w:kern w:val="0"/>
          <w:sz w:val="52"/>
          <w:szCs w:val="52"/>
          <w:highlight w:val="none"/>
          <w:shd w:val="clear" w:color="auto" w:fill="FFFFFF"/>
          <w:lang w:eastAsia="zh-CN"/>
        </w:rPr>
        <w:t>乐昌市“百千万工程”典型镇村公路建设项目（第二批） X330 罗家渡至新秦路网提升改造工程施工</w:t>
      </w:r>
    </w:p>
    <w:p w14:paraId="561CA6AB">
      <w:pPr>
        <w:pStyle w:val="16"/>
        <w:shd w:val="clear" w:fill="FFFFFF" w:themeFill="background1"/>
        <w:rPr>
          <w:color w:val="auto"/>
          <w:highlight w:val="none"/>
        </w:rPr>
      </w:pPr>
    </w:p>
    <w:p w14:paraId="7836190F">
      <w:pPr>
        <w:pStyle w:val="55"/>
        <w:shd w:val="clear" w:fill="FFFFFF" w:themeFill="background1"/>
        <w:rPr>
          <w:color w:val="auto"/>
          <w:highlight w:val="none"/>
        </w:rPr>
      </w:pPr>
    </w:p>
    <w:p w14:paraId="69081950">
      <w:pPr>
        <w:pStyle w:val="55"/>
        <w:shd w:val="clear" w:fill="FFFFFF" w:themeFill="background1"/>
        <w:rPr>
          <w:rFonts w:ascii="宋体" w:hAnsi="宋体"/>
          <w:b/>
          <w:color w:val="auto"/>
          <w:sz w:val="84"/>
          <w:szCs w:val="84"/>
          <w:highlight w:val="none"/>
        </w:rPr>
      </w:pPr>
    </w:p>
    <w:p w14:paraId="244AC362">
      <w:pPr>
        <w:pStyle w:val="55"/>
        <w:shd w:val="clear" w:fill="FFFFFF" w:themeFill="background1"/>
        <w:rPr>
          <w:rFonts w:ascii="宋体" w:hAnsi="宋体"/>
          <w:b/>
          <w:color w:val="auto"/>
          <w:sz w:val="84"/>
          <w:szCs w:val="84"/>
          <w:highlight w:val="none"/>
        </w:rPr>
      </w:pPr>
    </w:p>
    <w:p w14:paraId="1B8DF268">
      <w:pPr>
        <w:pStyle w:val="55"/>
        <w:shd w:val="clear" w:fill="FFFFFF" w:themeFill="background1"/>
        <w:rPr>
          <w:rFonts w:ascii="宋体" w:hAnsi="宋体"/>
          <w:b/>
          <w:color w:val="auto"/>
          <w:sz w:val="84"/>
          <w:szCs w:val="84"/>
          <w:highlight w:val="none"/>
        </w:rPr>
      </w:pPr>
    </w:p>
    <w:p w14:paraId="61735437">
      <w:pPr>
        <w:pStyle w:val="55"/>
        <w:shd w:val="clear" w:fill="FFFFFF" w:themeFill="background1"/>
        <w:rPr>
          <w:rFonts w:ascii="宋体" w:hAnsi="宋体"/>
          <w:b/>
          <w:color w:val="auto"/>
          <w:sz w:val="84"/>
          <w:szCs w:val="84"/>
          <w:highlight w:val="none"/>
        </w:rPr>
      </w:pPr>
    </w:p>
    <w:p w14:paraId="1DD58326">
      <w:pPr>
        <w:shd w:val="clear" w:fill="FFFFFF" w:themeFill="background1"/>
        <w:jc w:val="center"/>
        <w:rPr>
          <w:rFonts w:ascii="宋体" w:hAnsi="宋体"/>
          <w:b/>
          <w:color w:val="auto"/>
          <w:sz w:val="84"/>
          <w:szCs w:val="84"/>
          <w:highlight w:val="none"/>
        </w:rPr>
      </w:pPr>
      <w:r>
        <w:rPr>
          <w:rFonts w:ascii="宋体" w:hAnsi="宋体"/>
          <w:b/>
          <w:color w:val="auto"/>
          <w:sz w:val="84"/>
          <w:szCs w:val="84"/>
          <w:highlight w:val="none"/>
        </w:rPr>
        <w:t>招标文件</w:t>
      </w:r>
    </w:p>
    <w:p w14:paraId="210613DD">
      <w:pPr>
        <w:shd w:val="clear" w:fill="FFFFFF" w:themeFill="background1"/>
        <w:ind w:firstLine="1600" w:firstLineChars="500"/>
        <w:jc w:val="center"/>
        <w:rPr>
          <w:rFonts w:ascii="宋体" w:hAnsi="宋体"/>
          <w:color w:val="auto"/>
          <w:sz w:val="32"/>
          <w:szCs w:val="32"/>
          <w:highlight w:val="none"/>
        </w:rPr>
      </w:pPr>
    </w:p>
    <w:p w14:paraId="17EDE30B">
      <w:pPr>
        <w:pStyle w:val="16"/>
        <w:shd w:val="clear" w:fill="FFFFFF" w:themeFill="background1"/>
        <w:jc w:val="center"/>
        <w:rPr>
          <w:color w:val="auto"/>
          <w:highlight w:val="none"/>
        </w:rPr>
      </w:pPr>
    </w:p>
    <w:p w14:paraId="68A9DCCA">
      <w:pPr>
        <w:pStyle w:val="16"/>
        <w:shd w:val="clear" w:fill="FFFFFF" w:themeFill="background1"/>
        <w:jc w:val="center"/>
        <w:rPr>
          <w:color w:val="auto"/>
          <w:highlight w:val="none"/>
        </w:rPr>
      </w:pPr>
    </w:p>
    <w:p w14:paraId="6BDA08F9">
      <w:pPr>
        <w:pStyle w:val="16"/>
        <w:shd w:val="clear" w:fill="FFFFFF" w:themeFill="background1"/>
        <w:jc w:val="center"/>
        <w:rPr>
          <w:color w:val="auto"/>
          <w:highlight w:val="none"/>
        </w:rPr>
      </w:pPr>
    </w:p>
    <w:p w14:paraId="7CF369D6">
      <w:pPr>
        <w:pStyle w:val="16"/>
        <w:shd w:val="clear" w:fill="FFFFFF" w:themeFill="background1"/>
        <w:jc w:val="center"/>
        <w:rPr>
          <w:color w:val="auto"/>
          <w:highlight w:val="none"/>
        </w:rPr>
      </w:pPr>
    </w:p>
    <w:p w14:paraId="379EC524">
      <w:pPr>
        <w:pStyle w:val="16"/>
        <w:shd w:val="clear" w:fill="FFFFFF" w:themeFill="background1"/>
        <w:jc w:val="center"/>
        <w:rPr>
          <w:color w:val="auto"/>
          <w:highlight w:val="none"/>
        </w:rPr>
      </w:pPr>
    </w:p>
    <w:p w14:paraId="467CF68F">
      <w:pPr>
        <w:pStyle w:val="16"/>
        <w:shd w:val="clear" w:fill="FFFFFF" w:themeFill="background1"/>
        <w:jc w:val="center"/>
        <w:rPr>
          <w:color w:val="auto"/>
          <w:highlight w:val="none"/>
        </w:rPr>
      </w:pPr>
    </w:p>
    <w:p w14:paraId="51BB9FC2">
      <w:pPr>
        <w:pStyle w:val="16"/>
        <w:shd w:val="clear" w:fill="FFFFFF" w:themeFill="background1"/>
        <w:jc w:val="center"/>
        <w:rPr>
          <w:color w:val="auto"/>
          <w:highlight w:val="none"/>
        </w:rPr>
      </w:pPr>
    </w:p>
    <w:p w14:paraId="24197D4F">
      <w:pPr>
        <w:pStyle w:val="16"/>
        <w:shd w:val="clear" w:fill="FFFFFF" w:themeFill="background1"/>
        <w:jc w:val="center"/>
        <w:rPr>
          <w:color w:val="auto"/>
          <w:highlight w:val="none"/>
        </w:rPr>
      </w:pPr>
    </w:p>
    <w:p w14:paraId="07D16864">
      <w:pPr>
        <w:pStyle w:val="16"/>
        <w:shd w:val="clear" w:fill="FFFFFF" w:themeFill="background1"/>
        <w:jc w:val="center"/>
        <w:rPr>
          <w:color w:val="auto"/>
          <w:highlight w:val="none"/>
        </w:rPr>
      </w:pPr>
    </w:p>
    <w:p w14:paraId="3263735C">
      <w:pPr>
        <w:pStyle w:val="16"/>
        <w:shd w:val="clear" w:fill="FFFFFF" w:themeFill="background1"/>
        <w:jc w:val="center"/>
        <w:rPr>
          <w:color w:val="auto"/>
          <w:highlight w:val="none"/>
        </w:rPr>
      </w:pPr>
    </w:p>
    <w:p w14:paraId="705C6A1D">
      <w:pPr>
        <w:pStyle w:val="16"/>
        <w:shd w:val="clear" w:fill="FFFFFF" w:themeFill="background1"/>
        <w:jc w:val="center"/>
        <w:rPr>
          <w:color w:val="auto"/>
          <w:highlight w:val="none"/>
        </w:rPr>
      </w:pPr>
    </w:p>
    <w:p w14:paraId="2F13FF3E">
      <w:pPr>
        <w:pStyle w:val="16"/>
        <w:shd w:val="clear" w:fill="FFFFFF" w:themeFill="background1"/>
        <w:jc w:val="center"/>
        <w:rPr>
          <w:color w:val="auto"/>
          <w:highlight w:val="none"/>
        </w:rPr>
      </w:pPr>
    </w:p>
    <w:p w14:paraId="3CD67915">
      <w:pPr>
        <w:pStyle w:val="16"/>
        <w:shd w:val="clear" w:fill="FFFFFF" w:themeFill="background1"/>
        <w:jc w:val="center"/>
        <w:rPr>
          <w:color w:val="auto"/>
          <w:highlight w:val="none"/>
        </w:rPr>
      </w:pPr>
    </w:p>
    <w:p w14:paraId="44683A86">
      <w:pPr>
        <w:pStyle w:val="16"/>
        <w:shd w:val="clear" w:fill="FFFFFF" w:themeFill="background1"/>
        <w:jc w:val="both"/>
        <w:rPr>
          <w:color w:val="auto"/>
          <w:highlight w:val="none"/>
        </w:rPr>
      </w:pPr>
    </w:p>
    <w:p w14:paraId="6FF698EC">
      <w:pPr>
        <w:pStyle w:val="16"/>
        <w:shd w:val="clear" w:fill="FFFFFF" w:themeFill="background1"/>
        <w:jc w:val="center"/>
        <w:rPr>
          <w:color w:val="auto"/>
          <w:highlight w:val="none"/>
        </w:rPr>
      </w:pPr>
    </w:p>
    <w:p w14:paraId="35A31C6C">
      <w:pPr>
        <w:shd w:val="clear" w:fill="FFFFFF" w:themeFill="background1"/>
        <w:tabs>
          <w:tab w:val="left" w:pos="3730"/>
        </w:tabs>
        <w:jc w:val="left"/>
        <w:rPr>
          <w:rFonts w:ascii="宋体" w:hAnsi="宋体"/>
          <w:color w:val="auto"/>
          <w:sz w:val="32"/>
          <w:szCs w:val="32"/>
          <w:highlight w:val="none"/>
        </w:rPr>
      </w:pPr>
      <w:r>
        <w:rPr>
          <w:rFonts w:hint="eastAsia" w:ascii="宋体" w:hAnsi="宋体"/>
          <w:color w:val="auto"/>
          <w:sz w:val="32"/>
          <w:szCs w:val="32"/>
          <w:highlight w:val="none"/>
        </w:rPr>
        <w:tab/>
      </w:r>
    </w:p>
    <w:p w14:paraId="0AB7842D">
      <w:pPr>
        <w:shd w:val="clear" w:fill="FFFFFF" w:themeFill="background1"/>
        <w:spacing w:line="600" w:lineRule="auto"/>
        <w:jc w:val="center"/>
        <w:rPr>
          <w:rFonts w:ascii="宋体" w:hAnsi="宋体"/>
          <w:b/>
          <w:color w:val="auto"/>
          <w:sz w:val="30"/>
          <w:szCs w:val="30"/>
          <w:highlight w:val="none"/>
        </w:rPr>
      </w:pPr>
      <w:r>
        <w:rPr>
          <w:rFonts w:hint="eastAsia" w:ascii="宋体" w:hAnsi="宋体"/>
          <w:b/>
          <w:color w:val="auto"/>
          <w:sz w:val="30"/>
          <w:szCs w:val="30"/>
          <w:highlight w:val="none"/>
        </w:rPr>
        <w:t>招   标   人：</w:t>
      </w:r>
      <w:r>
        <w:rPr>
          <w:rFonts w:hint="eastAsia" w:ascii="宋体" w:hAnsi="宋体" w:cs="宋体"/>
          <w:b/>
          <w:color w:val="auto"/>
          <w:sz w:val="30"/>
          <w:szCs w:val="30"/>
          <w:highlight w:val="none"/>
          <w:lang w:eastAsia="zh-CN"/>
        </w:rPr>
        <w:t>乐昌市坪石镇人民政府</w:t>
      </w:r>
      <w:r>
        <w:rPr>
          <w:rFonts w:hint="eastAsia" w:ascii="宋体" w:hAnsi="宋体"/>
          <w:b/>
          <w:color w:val="auto"/>
          <w:sz w:val="30"/>
          <w:szCs w:val="30"/>
          <w:highlight w:val="none"/>
        </w:rPr>
        <w:t>（盖单位章）</w:t>
      </w:r>
    </w:p>
    <w:p w14:paraId="20C980CC">
      <w:pPr>
        <w:shd w:val="clear" w:fill="FFFFFF" w:themeFill="background1"/>
        <w:spacing w:line="600" w:lineRule="auto"/>
        <w:jc w:val="center"/>
        <w:rPr>
          <w:rFonts w:ascii="宋体" w:hAnsi="宋体"/>
          <w:b/>
          <w:color w:val="auto"/>
          <w:sz w:val="30"/>
          <w:szCs w:val="30"/>
          <w:highlight w:val="none"/>
        </w:rPr>
      </w:pPr>
      <w:r>
        <w:rPr>
          <w:rFonts w:hint="eastAsia" w:ascii="宋体" w:hAnsi="宋体" w:cs="宋体"/>
          <w:b/>
          <w:color w:val="auto"/>
          <w:sz w:val="30"/>
          <w:szCs w:val="30"/>
          <w:highlight w:val="none"/>
        </w:rPr>
        <w:t>招标代理机构：</w:t>
      </w:r>
      <w:r>
        <w:rPr>
          <w:rFonts w:hint="eastAsia" w:ascii="宋体" w:hAnsi="宋体" w:cs="宋体"/>
          <w:b/>
          <w:color w:val="auto"/>
          <w:sz w:val="30"/>
          <w:szCs w:val="30"/>
          <w:highlight w:val="none"/>
          <w:lang w:eastAsia="zh-CN"/>
        </w:rPr>
        <w:t>广东合正项目管理有限公司</w:t>
      </w:r>
      <w:r>
        <w:rPr>
          <w:rFonts w:hint="eastAsia" w:ascii="宋体" w:hAnsi="宋体"/>
          <w:b/>
          <w:color w:val="auto"/>
          <w:sz w:val="30"/>
          <w:szCs w:val="30"/>
          <w:highlight w:val="none"/>
        </w:rPr>
        <w:t>（盖单位章）</w:t>
      </w:r>
    </w:p>
    <w:p w14:paraId="2580C653">
      <w:pPr>
        <w:shd w:val="clear" w:fill="FFFFFF" w:themeFill="background1"/>
        <w:jc w:val="center"/>
        <w:rPr>
          <w:rFonts w:ascii="宋体" w:hAnsi="宋体"/>
          <w:b/>
          <w:color w:val="auto"/>
          <w:sz w:val="30"/>
          <w:szCs w:val="30"/>
          <w:highlight w:val="none"/>
        </w:rPr>
        <w:sectPr>
          <w:headerReference r:id="rId3" w:type="first"/>
          <w:footerReference r:id="rId4" w:type="default"/>
          <w:pgSz w:w="11910" w:h="16840"/>
          <w:pgMar w:top="941" w:right="720" w:bottom="1179" w:left="980" w:header="707" w:footer="998" w:gutter="0"/>
          <w:cols w:space="720" w:num="1"/>
        </w:sectPr>
      </w:pPr>
      <w:r>
        <w:rPr>
          <w:rFonts w:hint="eastAsia" w:ascii="宋体" w:hAnsi="宋体" w:cs="宋体"/>
          <w:b/>
          <w:color w:val="auto"/>
          <w:sz w:val="30"/>
          <w:szCs w:val="30"/>
          <w:highlight w:val="none"/>
        </w:rPr>
        <w:t>202</w:t>
      </w:r>
      <w:r>
        <w:rPr>
          <w:rFonts w:hint="eastAsia" w:ascii="宋体" w:hAnsi="宋体" w:cs="宋体"/>
          <w:b/>
          <w:color w:val="auto"/>
          <w:sz w:val="30"/>
          <w:szCs w:val="30"/>
          <w:highlight w:val="none"/>
          <w:lang w:val="en-US" w:eastAsia="zh-CN"/>
        </w:rPr>
        <w:t>5</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10</w:t>
      </w:r>
      <w:r>
        <w:rPr>
          <w:rFonts w:hint="eastAsia" w:ascii="宋体" w:hAnsi="宋体" w:cs="宋体"/>
          <w:b/>
          <w:color w:val="auto"/>
          <w:sz w:val="30"/>
          <w:szCs w:val="30"/>
          <w:highlight w:val="none"/>
        </w:rPr>
        <w:t>月</w:t>
      </w:r>
    </w:p>
    <w:p w14:paraId="40014319">
      <w:pPr>
        <w:shd w:val="clear" w:fill="FFFFFF" w:themeFill="background1"/>
        <w:rPr>
          <w:color w:val="auto"/>
          <w:highlight w:val="none"/>
        </w:rPr>
      </w:pPr>
      <w:r>
        <w:rPr>
          <w:color w:val="auto"/>
          <w:highlight w:val="none"/>
        </w:rPr>
        <w:br w:type="page"/>
      </w:r>
    </w:p>
    <w:p w14:paraId="29CB9A8B">
      <w:pPr>
        <w:pStyle w:val="55"/>
        <w:shd w:val="clear" w:fill="FFFFFF" w:themeFill="background1"/>
        <w:spacing w:line="240" w:lineRule="auto"/>
        <w:ind w:firstLine="0"/>
        <w:rPr>
          <w:color w:val="auto"/>
          <w:highlight w:val="none"/>
        </w:rPr>
        <w:sectPr>
          <w:footerReference r:id="rId5" w:type="default"/>
          <w:pgSz w:w="11910" w:h="16840"/>
          <w:pgMar w:top="941" w:right="720" w:bottom="1179" w:left="980" w:header="707" w:footer="998" w:gutter="0"/>
          <w:pgNumType w:start="1"/>
          <w:cols w:space="720" w:num="1"/>
        </w:sectPr>
      </w:pPr>
    </w:p>
    <w:p w14:paraId="21ABC308">
      <w:pPr>
        <w:pStyle w:val="55"/>
        <w:shd w:val="clear" w:fill="FFFFFF" w:themeFill="background1"/>
        <w:rPr>
          <w:color w:val="auto"/>
          <w:highlight w:val="none"/>
        </w:rPr>
      </w:pPr>
    </w:p>
    <w:p w14:paraId="2657F76F">
      <w:pPr>
        <w:shd w:val="clear" w:fill="FFFFFF" w:themeFill="background1"/>
        <w:spacing w:line="60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20EBE337">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rFonts w:hint="eastAsia" w:ascii="宋体" w:hAnsi="宋体" w:cs="宋体"/>
          <w:color w:val="auto"/>
          <w:sz w:val="24"/>
          <w:highlight w:val="none"/>
          <w:u w:val="single"/>
        </w:rPr>
        <w:fldChar w:fldCharType="begin"/>
      </w:r>
      <w:r>
        <w:rPr>
          <w:rFonts w:hint="eastAsia" w:ascii="宋体" w:hAnsi="宋体" w:cs="宋体"/>
          <w:color w:val="auto"/>
          <w:sz w:val="24"/>
          <w:highlight w:val="none"/>
          <w:u w:val="single"/>
        </w:rPr>
        <w:instrText xml:space="preserve">TOC \o "1-4" \h \u </w:instrText>
      </w:r>
      <w:r>
        <w:rPr>
          <w:rFonts w:hint="eastAsia" w:ascii="宋体" w:hAnsi="宋体" w:cs="宋体"/>
          <w:color w:val="auto"/>
          <w:sz w:val="24"/>
          <w:highlight w:val="none"/>
          <w:u w:val="single"/>
        </w:rPr>
        <w:fldChar w:fldCharType="separate"/>
      </w:r>
      <w:r>
        <w:rPr>
          <w:color w:val="auto"/>
          <w:highlight w:val="none"/>
        </w:rPr>
        <w:fldChar w:fldCharType="begin"/>
      </w:r>
      <w:r>
        <w:rPr>
          <w:color w:val="auto"/>
          <w:highlight w:val="none"/>
        </w:rPr>
        <w:instrText xml:space="preserve"> HYPERLINK \l "_Toc43475653" </w:instrText>
      </w:r>
      <w:r>
        <w:rPr>
          <w:color w:val="auto"/>
          <w:highlight w:val="none"/>
        </w:rPr>
        <w:fldChar w:fldCharType="separate"/>
      </w:r>
      <w:r>
        <w:rPr>
          <w:rStyle w:val="50"/>
          <w:rFonts w:hint="eastAsia" w:ascii="宋体" w:hAnsi="宋体"/>
          <w:color w:val="auto"/>
          <w:highlight w:val="none"/>
        </w:rPr>
        <w:t>第一章 招标公告</w:t>
      </w:r>
      <w:r>
        <w:rPr>
          <w:rStyle w:val="50"/>
          <w:rFonts w:ascii="宋体" w:hAnsi="宋体"/>
          <w:color w:val="auto"/>
          <w:highlight w:val="none"/>
        </w:rPr>
        <w:t>(</w:t>
      </w:r>
      <w:r>
        <w:rPr>
          <w:rStyle w:val="50"/>
          <w:rFonts w:hint="eastAsia" w:ascii="宋体" w:hAnsi="宋体"/>
          <w:color w:val="auto"/>
          <w:highlight w:val="none"/>
        </w:rPr>
        <w:t>未进行资格预审</w:t>
      </w:r>
      <w:r>
        <w:rPr>
          <w:rStyle w:val="50"/>
          <w:rFonts w:ascii="宋体" w:hAnsi="宋体"/>
          <w:color w:val="auto"/>
          <w:highlight w:val="none"/>
        </w:rPr>
        <w:t>)</w:t>
      </w:r>
      <w:r>
        <w:rPr>
          <w:color w:val="auto"/>
          <w:highlight w:val="none"/>
        </w:rPr>
        <w:tab/>
      </w:r>
      <w:r>
        <w:rPr>
          <w:color w:val="auto"/>
          <w:highlight w:val="none"/>
        </w:rPr>
        <w:fldChar w:fldCharType="begin"/>
      </w:r>
      <w:r>
        <w:rPr>
          <w:color w:val="auto"/>
          <w:highlight w:val="none"/>
        </w:rPr>
        <w:instrText xml:space="preserve"> PAGEREF _Toc43475653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5F302F1">
      <w:pPr>
        <w:pStyle w:val="34"/>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"_Toc43475654" </w:instrText>
      </w:r>
      <w:r>
        <w:rPr>
          <w:color w:val="auto"/>
          <w:highlight w:val="none"/>
        </w:rPr>
        <w:fldChar w:fldCharType="separate"/>
      </w:r>
      <w:r>
        <w:rPr>
          <w:rStyle w:val="50"/>
          <w:rFonts w:ascii="宋体" w:hAnsi="宋体" w:cs="黑体"/>
          <w:color w:val="auto"/>
          <w:highlight w:val="none"/>
        </w:rPr>
        <w:t>1</w:t>
      </w:r>
      <w:r>
        <w:rPr>
          <w:rStyle w:val="50"/>
          <w:rFonts w:hint="eastAsia" w:ascii="宋体" w:hAnsi="宋体" w:cs="黑体"/>
          <w:color w:val="auto"/>
          <w:highlight w:val="none"/>
        </w:rPr>
        <w:t xml:space="preserve">.招标条件 </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0</w:t>
      </w:r>
    </w:p>
    <w:p w14:paraId="4A8B314E">
      <w:pPr>
        <w:pStyle w:val="34"/>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"_Toc43475655" </w:instrText>
      </w:r>
      <w:r>
        <w:rPr>
          <w:color w:val="auto"/>
          <w:highlight w:val="none"/>
        </w:rPr>
        <w:fldChar w:fldCharType="separate"/>
      </w:r>
      <w:r>
        <w:rPr>
          <w:rStyle w:val="50"/>
          <w:rFonts w:ascii="宋体" w:hAnsi="宋体" w:cs="黑体"/>
          <w:color w:val="auto"/>
          <w:highlight w:val="none"/>
        </w:rPr>
        <w:t>2</w:t>
      </w:r>
      <w:r>
        <w:rPr>
          <w:rStyle w:val="50"/>
          <w:rFonts w:hint="eastAsia" w:ascii="宋体" w:hAnsi="宋体" w:cs="黑体"/>
          <w:color w:val="auto"/>
          <w:highlight w:val="none"/>
        </w:rPr>
        <w:t>.项目概况与招标范围</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0</w:t>
      </w:r>
    </w:p>
    <w:p w14:paraId="2D971104">
      <w:pPr>
        <w:pStyle w:val="34"/>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"_Toc43475656" </w:instrText>
      </w:r>
      <w:r>
        <w:rPr>
          <w:color w:val="auto"/>
          <w:highlight w:val="none"/>
        </w:rPr>
        <w:fldChar w:fldCharType="separate"/>
      </w:r>
      <w:r>
        <w:rPr>
          <w:rStyle w:val="50"/>
          <w:rFonts w:ascii="宋体" w:hAnsi="宋体" w:cs="黑体"/>
          <w:color w:val="auto"/>
          <w:highlight w:val="none"/>
        </w:rPr>
        <w:t>3</w:t>
      </w:r>
      <w:r>
        <w:rPr>
          <w:rStyle w:val="50"/>
          <w:rFonts w:hint="eastAsia" w:ascii="宋体" w:hAnsi="宋体" w:cs="黑体"/>
          <w:color w:val="auto"/>
          <w:highlight w:val="none"/>
        </w:rPr>
        <w:t>.投标人资格要求</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1</w:t>
      </w:r>
    </w:p>
    <w:p w14:paraId="3A11FB40">
      <w:pPr>
        <w:pStyle w:val="34"/>
        <w:shd w:val="clear" w:fill="FFFFFF" w:themeFill="background1"/>
        <w:tabs>
          <w:tab w:val="right" w:leader="dot" w:pos="10200"/>
        </w:tabs>
        <w:spacing w:line="250" w:lineRule="exact"/>
        <w:rPr>
          <w:color w:val="auto"/>
          <w:highlight w:val="none"/>
        </w:rPr>
      </w:pPr>
      <w:r>
        <w:rPr>
          <w:color w:val="auto"/>
          <w:highlight w:val="none"/>
        </w:rPr>
        <w:fldChar w:fldCharType="begin"/>
      </w:r>
      <w:r>
        <w:rPr>
          <w:color w:val="auto"/>
          <w:highlight w:val="none"/>
        </w:rPr>
        <w:instrText xml:space="preserve"> HYPERLINK \l "_Toc43475657" </w:instrText>
      </w:r>
      <w:r>
        <w:rPr>
          <w:color w:val="auto"/>
          <w:highlight w:val="none"/>
        </w:rPr>
        <w:fldChar w:fldCharType="separate"/>
      </w:r>
      <w:r>
        <w:rPr>
          <w:rStyle w:val="50"/>
          <w:rFonts w:ascii="宋体" w:hAnsi="宋体" w:cs="黑体"/>
          <w:color w:val="auto"/>
          <w:highlight w:val="none"/>
        </w:rPr>
        <w:t>4</w:t>
      </w:r>
      <w:r>
        <w:rPr>
          <w:rStyle w:val="50"/>
          <w:rFonts w:hint="eastAsia" w:ascii="宋体" w:hAnsi="宋体" w:cs="黑体"/>
          <w:color w:val="auto"/>
          <w:highlight w:val="none"/>
        </w:rPr>
        <w:t>.招标文件的获取</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2</w:t>
      </w:r>
    </w:p>
    <w:p w14:paraId="270D9B7C">
      <w:pPr>
        <w:shd w:val="clear" w:fill="FFFFFF" w:themeFill="background1"/>
        <w:ind w:firstLine="360" w:firstLineChars="200"/>
        <w:rPr>
          <w:color w:val="auto"/>
          <w:highlight w:val="none"/>
        </w:rPr>
      </w:pPr>
      <w:r>
        <w:rPr>
          <w:rStyle w:val="50"/>
          <w:rFonts w:hint="eastAsia" w:ascii="宋体" w:hAnsi="宋体" w:cs="黑体"/>
          <w:color w:val="auto"/>
          <w:highlight w:val="none"/>
          <w:u w:val="none"/>
        </w:rPr>
        <w:t>5.电子投标及相关事宜</w:t>
      </w:r>
      <w:r>
        <w:rPr>
          <w:color w:val="auto"/>
          <w:sz w:val="18"/>
          <w:szCs w:val="21"/>
          <w:highlight w:val="none"/>
        </w:rPr>
        <w:t>…</w:t>
      </w:r>
      <w:r>
        <w:rPr>
          <w:color w:val="auto"/>
          <w:highlight w:val="none"/>
        </w:rPr>
        <w:t>………………………………………………………………</w:t>
      </w:r>
      <w:r>
        <w:rPr>
          <w:rFonts w:hint="eastAsia"/>
          <w:color w:val="auto"/>
          <w:highlight w:val="none"/>
        </w:rPr>
        <w:t>.......................</w:t>
      </w:r>
      <w:r>
        <w:rPr>
          <w:color w:val="auto"/>
          <w:highlight w:val="none"/>
        </w:rPr>
        <w:t>………………</w:t>
      </w:r>
      <w:r>
        <w:rPr>
          <w:rFonts w:hint="eastAsia"/>
          <w:color w:val="auto"/>
          <w:highlight w:val="none"/>
        </w:rPr>
        <w:t>..13</w:t>
      </w:r>
    </w:p>
    <w:p w14:paraId="7579C339">
      <w:pPr>
        <w:pStyle w:val="34"/>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"_Toc43475658" </w:instrText>
      </w:r>
      <w:r>
        <w:rPr>
          <w:color w:val="auto"/>
          <w:highlight w:val="none"/>
        </w:rPr>
        <w:fldChar w:fldCharType="separate"/>
      </w:r>
      <w:r>
        <w:rPr>
          <w:rStyle w:val="50"/>
          <w:rFonts w:ascii="宋体" w:hAnsi="宋体" w:cs="黑体"/>
          <w:color w:val="auto"/>
          <w:highlight w:val="none"/>
        </w:rPr>
        <w:t>6</w:t>
      </w:r>
      <w:r>
        <w:rPr>
          <w:rStyle w:val="50"/>
          <w:rFonts w:hint="eastAsia" w:ascii="宋体" w:hAnsi="宋体" w:cs="黑体"/>
          <w:color w:val="auto"/>
          <w:highlight w:val="none"/>
        </w:rPr>
        <w:t>.发布公告的媒介</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4</w:t>
      </w:r>
    </w:p>
    <w:p w14:paraId="4A7FB77E">
      <w:pPr>
        <w:pStyle w:val="34"/>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"_Toc43475659" </w:instrText>
      </w:r>
      <w:r>
        <w:rPr>
          <w:color w:val="auto"/>
          <w:highlight w:val="none"/>
        </w:rPr>
        <w:fldChar w:fldCharType="separate"/>
      </w:r>
      <w:r>
        <w:rPr>
          <w:rStyle w:val="50"/>
          <w:rFonts w:ascii="宋体" w:hAnsi="宋体" w:cs="黑体"/>
          <w:color w:val="auto"/>
          <w:highlight w:val="none"/>
        </w:rPr>
        <w:t>7</w:t>
      </w:r>
      <w:r>
        <w:rPr>
          <w:rStyle w:val="50"/>
          <w:rFonts w:hint="eastAsia" w:ascii="宋体" w:hAnsi="宋体" w:cs="黑体"/>
          <w:color w:val="auto"/>
          <w:highlight w:val="none"/>
        </w:rPr>
        <w:t>.联系方式</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14:paraId="1863FC7E">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"_Toc43475660" </w:instrText>
      </w:r>
      <w:r>
        <w:rPr>
          <w:color w:val="auto"/>
          <w:highlight w:val="none"/>
        </w:rPr>
        <w:fldChar w:fldCharType="separate"/>
      </w:r>
      <w:r>
        <w:rPr>
          <w:rStyle w:val="50"/>
          <w:rFonts w:hint="eastAsia" w:ascii="宋体" w:hAnsi="宋体" w:cs="黑体"/>
          <w:color w:val="auto"/>
          <w:highlight w:val="none"/>
        </w:rPr>
        <w:t>8.重要事项时间地点一览表</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14:paraId="4FCC107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"_Toc43475661" </w:instrText>
      </w:r>
      <w:r>
        <w:rPr>
          <w:color w:val="auto"/>
          <w:highlight w:val="none"/>
        </w:rPr>
        <w:fldChar w:fldCharType="separate"/>
      </w:r>
      <w:r>
        <w:rPr>
          <w:rStyle w:val="50"/>
          <w:rFonts w:hint="eastAsia" w:ascii="宋体" w:hAnsi="宋体"/>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_Toc43475661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F9155CC">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"_Toc43475662" </w:instrText>
      </w:r>
      <w:r>
        <w:rPr>
          <w:color w:val="auto"/>
          <w:highlight w:val="none"/>
        </w:rPr>
        <w:fldChar w:fldCharType="separate"/>
      </w:r>
      <w:r>
        <w:rPr>
          <w:rStyle w:val="50"/>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_Toc43475662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A4255F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"_Toc43475663"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1  </w:t>
      </w:r>
      <w:r>
        <w:rPr>
          <w:rStyle w:val="50"/>
          <w:rFonts w:hint="eastAsia" w:ascii="宋体" w:hAnsi="宋体" w:cs="黑体"/>
          <w:color w:val="auto"/>
          <w:highlight w:val="none"/>
        </w:rPr>
        <w:t>资格审查条件（资质最低要求）</w:t>
      </w:r>
      <w:r>
        <w:rPr>
          <w:color w:val="auto"/>
          <w:highlight w:val="none"/>
        </w:rPr>
        <w:tab/>
      </w:r>
      <w:r>
        <w:rPr>
          <w:color w:val="auto"/>
          <w:highlight w:val="none"/>
        </w:rPr>
        <w:fldChar w:fldCharType="begin"/>
      </w:r>
      <w:r>
        <w:rPr>
          <w:color w:val="auto"/>
          <w:highlight w:val="none"/>
        </w:rPr>
        <w:instrText xml:space="preserve"> PAGEREF _Toc43475663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04C2FFF">
      <w:pPr>
        <w:pStyle w:val="20"/>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"_Toc43475664"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2  </w:t>
      </w:r>
      <w:r>
        <w:rPr>
          <w:rStyle w:val="50"/>
          <w:rFonts w:hint="eastAsia" w:ascii="宋体" w:hAnsi="宋体" w:cs="黑体"/>
          <w:color w:val="auto"/>
          <w:highlight w:val="none"/>
        </w:rPr>
        <w:t>资格审查条件（财务最低要求）</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0</w:t>
      </w:r>
    </w:p>
    <w:p w14:paraId="54D1DC30">
      <w:pPr>
        <w:pStyle w:val="20"/>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"_Toc43475665"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3  </w:t>
      </w:r>
      <w:r>
        <w:rPr>
          <w:rStyle w:val="50"/>
          <w:rFonts w:hint="eastAsia" w:ascii="宋体" w:hAnsi="宋体" w:cs="黑体"/>
          <w:color w:val="auto"/>
          <w:highlight w:val="none"/>
        </w:rPr>
        <w:t>资格审查条件（业绩最低要求）</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0</w:t>
      </w:r>
    </w:p>
    <w:p w14:paraId="01F5DAB9">
      <w:pPr>
        <w:pStyle w:val="20"/>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"_Toc43475666" </w:instrText>
      </w:r>
      <w:r>
        <w:rPr>
          <w:color w:val="auto"/>
          <w:highlight w:val="none"/>
        </w:rPr>
        <w:fldChar w:fldCharType="separate"/>
      </w:r>
      <w:r>
        <w:rPr>
          <w:rStyle w:val="50"/>
          <w:rFonts w:hint="eastAsia"/>
          <w:color w:val="auto"/>
          <w:highlight w:val="none"/>
        </w:rPr>
        <w:t>附录</w:t>
      </w:r>
      <w:r>
        <w:rPr>
          <w:rStyle w:val="50"/>
          <w:color w:val="auto"/>
          <w:highlight w:val="none"/>
        </w:rPr>
        <w:t xml:space="preserve">4  </w:t>
      </w:r>
      <w:r>
        <w:rPr>
          <w:rStyle w:val="50"/>
          <w:rFonts w:hint="eastAsia"/>
          <w:color w:val="auto"/>
          <w:highlight w:val="none"/>
        </w:rPr>
        <w:t>资格审查条件</w:t>
      </w:r>
      <w:r>
        <w:rPr>
          <w:rStyle w:val="50"/>
          <w:color w:val="auto"/>
          <w:highlight w:val="none"/>
        </w:rPr>
        <w:t>(</w:t>
      </w:r>
      <w:r>
        <w:rPr>
          <w:rStyle w:val="50"/>
          <w:rFonts w:hint="eastAsia"/>
          <w:color w:val="auto"/>
          <w:highlight w:val="none"/>
        </w:rPr>
        <w:t>信誉最低要求</w:t>
      </w:r>
      <w:r>
        <w:rPr>
          <w:rStyle w:val="50"/>
          <w:color w:val="auto"/>
          <w:highlight w:val="none"/>
        </w:rPr>
        <w:t>)</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1</w:t>
      </w:r>
    </w:p>
    <w:p w14:paraId="07FF795B">
      <w:pPr>
        <w:pStyle w:val="20"/>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"_Toc43475667"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5  </w:t>
      </w:r>
      <w:r>
        <w:rPr>
          <w:rStyle w:val="50"/>
          <w:rFonts w:hint="eastAsia" w:ascii="宋体" w:hAnsi="宋体" w:cs="黑体"/>
          <w:color w:val="auto"/>
          <w:highlight w:val="none"/>
        </w:rPr>
        <w:t>资格审查条件</w:t>
      </w:r>
      <w:r>
        <w:rPr>
          <w:rStyle w:val="50"/>
          <w:rFonts w:ascii="宋体" w:hAnsi="宋体" w:cs="黑体"/>
          <w:color w:val="auto"/>
          <w:highlight w:val="none"/>
        </w:rPr>
        <w:t>(</w:t>
      </w:r>
      <w:r>
        <w:rPr>
          <w:rStyle w:val="50"/>
          <w:rFonts w:hint="eastAsia" w:ascii="宋体" w:hAnsi="宋体" w:cs="黑体"/>
          <w:color w:val="auto"/>
          <w:highlight w:val="none"/>
        </w:rPr>
        <w:t>项目经理和项目总工最低要求</w:t>
      </w:r>
      <w:r>
        <w:rPr>
          <w:rStyle w:val="50"/>
          <w:rFonts w:ascii="宋体" w:hAnsi="宋体" w:cs="黑体"/>
          <w:color w:val="auto"/>
          <w:highlight w:val="none"/>
        </w:rPr>
        <w:t>)</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1</w:t>
      </w:r>
    </w:p>
    <w:p w14:paraId="5E7E79B9">
      <w:pPr>
        <w:pStyle w:val="20"/>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"_Toc43475668"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6  </w:t>
      </w:r>
      <w:r>
        <w:rPr>
          <w:rStyle w:val="50"/>
          <w:rFonts w:hint="eastAsia" w:ascii="宋体" w:hAnsi="宋体" w:cs="黑体"/>
          <w:color w:val="auto"/>
          <w:highlight w:val="none"/>
        </w:rPr>
        <w:t>资格审查条件</w:t>
      </w:r>
      <w:r>
        <w:rPr>
          <w:rStyle w:val="50"/>
          <w:rFonts w:ascii="宋体" w:hAnsi="宋体" w:cs="黑体"/>
          <w:color w:val="auto"/>
          <w:highlight w:val="none"/>
        </w:rPr>
        <w:t>(</w:t>
      </w:r>
      <w:r>
        <w:rPr>
          <w:rStyle w:val="50"/>
          <w:rFonts w:hint="eastAsia" w:ascii="宋体" w:hAnsi="宋体" w:cs="黑体"/>
          <w:color w:val="auto"/>
          <w:highlight w:val="none"/>
        </w:rPr>
        <w:t>其他管理人员和技术人员最低要求</w:t>
      </w:r>
      <w:r>
        <w:rPr>
          <w:rStyle w:val="50"/>
          <w:rFonts w:ascii="宋体" w:hAnsi="宋体" w:cs="黑体"/>
          <w:color w:val="auto"/>
          <w:highlight w:val="none"/>
        </w:rPr>
        <w:t>)</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2</w:t>
      </w:r>
    </w:p>
    <w:p w14:paraId="621728C4">
      <w:pPr>
        <w:pStyle w:val="20"/>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"_Toc43475669"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7  </w:t>
      </w:r>
      <w:r>
        <w:rPr>
          <w:rStyle w:val="50"/>
          <w:rFonts w:hint="eastAsia" w:ascii="宋体" w:hAnsi="宋体" w:cs="黑体"/>
          <w:color w:val="auto"/>
          <w:highlight w:val="none"/>
        </w:rPr>
        <w:t>资格审查条件（主要设备最低要求）</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3</w:t>
      </w:r>
    </w:p>
    <w:p w14:paraId="05F9D604">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"_Toc43475670" </w:instrText>
      </w:r>
      <w:r>
        <w:rPr>
          <w:color w:val="auto"/>
          <w:highlight w:val="none"/>
        </w:rPr>
        <w:fldChar w:fldCharType="separate"/>
      </w:r>
      <w:r>
        <w:rPr>
          <w:rStyle w:val="50"/>
          <w:rFonts w:ascii="宋体" w:hAnsi="宋体" w:cs="宋体"/>
          <w:color w:val="auto"/>
          <w:highlight w:val="none"/>
        </w:rPr>
        <w:t>1.</w:t>
      </w:r>
      <w:r>
        <w:rPr>
          <w:rStyle w:val="50"/>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_Toc43475670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1C4F05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"_Toc43475671" </w:instrText>
      </w:r>
      <w:r>
        <w:rPr>
          <w:color w:val="auto"/>
          <w:highlight w:val="none"/>
        </w:rPr>
        <w:fldChar w:fldCharType="separate"/>
      </w:r>
      <w:r>
        <w:rPr>
          <w:rStyle w:val="50"/>
          <w:color w:val="auto"/>
          <w:highlight w:val="none"/>
        </w:rPr>
        <w:t>1.1</w:t>
      </w:r>
      <w:r>
        <w:rPr>
          <w:rStyle w:val="50"/>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_Toc43475671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D17CBE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"_Toc43475672" </w:instrText>
      </w:r>
      <w:r>
        <w:rPr>
          <w:color w:val="auto"/>
          <w:highlight w:val="none"/>
        </w:rPr>
        <w:fldChar w:fldCharType="separate"/>
      </w:r>
      <w:r>
        <w:rPr>
          <w:rStyle w:val="50"/>
          <w:color w:val="auto"/>
          <w:highlight w:val="none"/>
        </w:rPr>
        <w:t>1.2</w:t>
      </w:r>
      <w:r>
        <w:rPr>
          <w:rStyle w:val="50"/>
          <w:rFonts w:hint="eastAsia"/>
          <w:color w:val="auto"/>
          <w:highlight w:val="none"/>
        </w:rPr>
        <w:t>招标项目的资金来源和落实情况</w:t>
      </w:r>
      <w:r>
        <w:rPr>
          <w:color w:val="auto"/>
          <w:highlight w:val="none"/>
        </w:rPr>
        <w:tab/>
      </w:r>
      <w:r>
        <w:rPr>
          <w:color w:val="auto"/>
          <w:highlight w:val="none"/>
        </w:rPr>
        <w:fldChar w:fldCharType="begin"/>
      </w:r>
      <w:r>
        <w:rPr>
          <w:color w:val="auto"/>
          <w:highlight w:val="none"/>
        </w:rPr>
        <w:instrText xml:space="preserve"> PAGEREF _Toc43475672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545464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"_Toc43475673" </w:instrText>
      </w:r>
      <w:r>
        <w:rPr>
          <w:color w:val="auto"/>
          <w:highlight w:val="none"/>
        </w:rPr>
        <w:fldChar w:fldCharType="separate"/>
      </w:r>
      <w:r>
        <w:rPr>
          <w:rStyle w:val="50"/>
          <w:color w:val="auto"/>
          <w:highlight w:val="none"/>
        </w:rPr>
        <w:t>1.3</w:t>
      </w:r>
      <w:r>
        <w:rPr>
          <w:rStyle w:val="50"/>
          <w:rFonts w:hint="eastAsia"/>
          <w:color w:val="auto"/>
          <w:highlight w:val="none"/>
        </w:rPr>
        <w:t>招标范围、计划工期、质量要求和安全目标</w:t>
      </w:r>
      <w:r>
        <w:rPr>
          <w:color w:val="auto"/>
          <w:highlight w:val="none"/>
        </w:rPr>
        <w:tab/>
      </w:r>
      <w:r>
        <w:rPr>
          <w:color w:val="auto"/>
          <w:highlight w:val="none"/>
        </w:rPr>
        <w:fldChar w:fldCharType="begin"/>
      </w:r>
      <w:r>
        <w:rPr>
          <w:color w:val="auto"/>
          <w:highlight w:val="none"/>
        </w:rPr>
        <w:instrText xml:space="preserve"> PAGEREF _Toc43475673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0C7542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"_Toc43475674" </w:instrText>
      </w:r>
      <w:r>
        <w:rPr>
          <w:color w:val="auto"/>
          <w:highlight w:val="none"/>
        </w:rPr>
        <w:fldChar w:fldCharType="separate"/>
      </w:r>
      <w:r>
        <w:rPr>
          <w:rStyle w:val="50"/>
          <w:color w:val="auto"/>
          <w:highlight w:val="none"/>
        </w:rPr>
        <w:t>1.4</w:t>
      </w:r>
      <w:r>
        <w:rPr>
          <w:rStyle w:val="50"/>
          <w:rFonts w:hint="eastAsia"/>
          <w:color w:val="auto"/>
          <w:highlight w:val="none"/>
        </w:rPr>
        <w:t>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_Toc43475674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2C544D8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"_Toc43475675" </w:instrText>
      </w:r>
      <w:r>
        <w:rPr>
          <w:color w:val="auto"/>
          <w:highlight w:val="none"/>
        </w:rPr>
        <w:fldChar w:fldCharType="separate"/>
      </w:r>
      <w:r>
        <w:rPr>
          <w:rStyle w:val="50"/>
          <w:color w:val="auto"/>
          <w:highlight w:val="none"/>
        </w:rPr>
        <w:t>1.5</w:t>
      </w:r>
      <w:r>
        <w:rPr>
          <w:rStyle w:val="50"/>
          <w:rFonts w:hint="eastAsia"/>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_Toc43475675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A6863F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"_Toc43475676" </w:instrText>
      </w:r>
      <w:r>
        <w:rPr>
          <w:color w:val="auto"/>
          <w:highlight w:val="none"/>
        </w:rPr>
        <w:fldChar w:fldCharType="separate"/>
      </w:r>
      <w:r>
        <w:rPr>
          <w:rStyle w:val="50"/>
          <w:color w:val="auto"/>
          <w:highlight w:val="none"/>
        </w:rPr>
        <w:t>1.6</w:t>
      </w:r>
      <w:r>
        <w:rPr>
          <w:rStyle w:val="50"/>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_Toc43475676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2D16CD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"_Toc43475677" </w:instrText>
      </w:r>
      <w:r>
        <w:rPr>
          <w:color w:val="auto"/>
          <w:highlight w:val="none"/>
        </w:rPr>
        <w:fldChar w:fldCharType="separate"/>
      </w:r>
      <w:r>
        <w:rPr>
          <w:rStyle w:val="50"/>
          <w:color w:val="auto"/>
          <w:highlight w:val="none"/>
        </w:rPr>
        <w:t>1.7</w:t>
      </w:r>
      <w:r>
        <w:rPr>
          <w:rStyle w:val="50"/>
          <w:rFonts w:hint="eastAsia"/>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_Toc43475677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C617C6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"_Toc43475678" </w:instrText>
      </w:r>
      <w:r>
        <w:rPr>
          <w:color w:val="auto"/>
          <w:highlight w:val="none"/>
        </w:rPr>
        <w:fldChar w:fldCharType="separate"/>
      </w:r>
      <w:r>
        <w:rPr>
          <w:rStyle w:val="50"/>
          <w:color w:val="auto"/>
          <w:highlight w:val="none"/>
        </w:rPr>
        <w:t>1.8</w:t>
      </w:r>
      <w:r>
        <w:rPr>
          <w:rStyle w:val="50"/>
          <w:rFonts w:hint="eastAsia"/>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_Toc43475678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A28B32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"_Toc43475679" </w:instrText>
      </w:r>
      <w:r>
        <w:rPr>
          <w:color w:val="auto"/>
          <w:highlight w:val="none"/>
        </w:rPr>
        <w:fldChar w:fldCharType="separate"/>
      </w:r>
      <w:r>
        <w:rPr>
          <w:rStyle w:val="50"/>
          <w:color w:val="auto"/>
          <w:highlight w:val="none"/>
        </w:rPr>
        <w:t>1.9</w:t>
      </w:r>
      <w:r>
        <w:rPr>
          <w:rStyle w:val="50"/>
          <w:rFonts w:hint="eastAsia"/>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_Toc43475679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BFB692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"_Toc43475680" </w:instrText>
      </w:r>
      <w:r>
        <w:rPr>
          <w:color w:val="auto"/>
          <w:highlight w:val="none"/>
        </w:rPr>
        <w:fldChar w:fldCharType="separate"/>
      </w:r>
      <w:r>
        <w:rPr>
          <w:rStyle w:val="50"/>
          <w:color w:val="auto"/>
          <w:highlight w:val="none"/>
        </w:rPr>
        <w:t>1.10</w:t>
      </w:r>
      <w:r>
        <w:rPr>
          <w:rStyle w:val="50"/>
          <w:rFonts w:hint="eastAsia"/>
          <w:color w:val="auto"/>
          <w:highlight w:val="none"/>
        </w:rPr>
        <w:t>投标预备会</w:t>
      </w:r>
      <w:r>
        <w:rPr>
          <w:color w:val="auto"/>
          <w:highlight w:val="none"/>
        </w:rPr>
        <w:tab/>
      </w:r>
      <w:r>
        <w:rPr>
          <w:color w:val="auto"/>
          <w:highlight w:val="none"/>
        </w:rPr>
        <w:fldChar w:fldCharType="begin"/>
      </w:r>
      <w:r>
        <w:rPr>
          <w:color w:val="auto"/>
          <w:highlight w:val="none"/>
        </w:rPr>
        <w:instrText xml:space="preserve"> PAGEREF _Toc43475680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F95F8E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"_Toc43475681" </w:instrText>
      </w:r>
      <w:r>
        <w:rPr>
          <w:color w:val="auto"/>
          <w:highlight w:val="none"/>
        </w:rPr>
        <w:fldChar w:fldCharType="separate"/>
      </w:r>
      <w:r>
        <w:rPr>
          <w:rStyle w:val="50"/>
          <w:color w:val="auto"/>
          <w:highlight w:val="none"/>
        </w:rPr>
        <w:t>1.11</w:t>
      </w:r>
      <w:r>
        <w:rPr>
          <w:rStyle w:val="50"/>
          <w:rFonts w:hint="eastAsia"/>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_Toc43475681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4BC32A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"_Toc43475682" </w:instrText>
      </w:r>
      <w:r>
        <w:rPr>
          <w:color w:val="auto"/>
          <w:highlight w:val="none"/>
        </w:rPr>
        <w:fldChar w:fldCharType="separate"/>
      </w:r>
      <w:r>
        <w:rPr>
          <w:rStyle w:val="50"/>
          <w:color w:val="auto"/>
          <w:highlight w:val="none"/>
        </w:rPr>
        <w:t>1.12</w:t>
      </w:r>
      <w:r>
        <w:rPr>
          <w:rStyle w:val="50"/>
          <w:rFonts w:hint="eastAsia"/>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_Toc43475682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62D52B4">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"_Toc43475683" </w:instrText>
      </w:r>
      <w:r>
        <w:rPr>
          <w:color w:val="auto"/>
          <w:highlight w:val="none"/>
        </w:rPr>
        <w:fldChar w:fldCharType="separate"/>
      </w:r>
      <w:r>
        <w:rPr>
          <w:rStyle w:val="50"/>
          <w:rFonts w:ascii="宋体" w:hAnsi="宋体" w:cs="宋体"/>
          <w:color w:val="auto"/>
          <w:highlight w:val="none"/>
        </w:rPr>
        <w:t>2.</w:t>
      </w:r>
      <w:r>
        <w:rPr>
          <w:rStyle w:val="50"/>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_Toc43475683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7ACF0B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"_Toc43475684" </w:instrText>
      </w:r>
      <w:r>
        <w:rPr>
          <w:color w:val="auto"/>
          <w:highlight w:val="none"/>
        </w:rPr>
        <w:fldChar w:fldCharType="separate"/>
      </w:r>
      <w:r>
        <w:rPr>
          <w:rStyle w:val="50"/>
          <w:color w:val="auto"/>
          <w:highlight w:val="none"/>
        </w:rPr>
        <w:t>2.1</w:t>
      </w:r>
      <w:r>
        <w:rPr>
          <w:rStyle w:val="50"/>
          <w:rFonts w:hint="eastAsia"/>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_Toc43475684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714906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"_Toc43475685" </w:instrText>
      </w:r>
      <w:r>
        <w:rPr>
          <w:color w:val="auto"/>
          <w:highlight w:val="none"/>
        </w:rPr>
        <w:fldChar w:fldCharType="separate"/>
      </w:r>
      <w:r>
        <w:rPr>
          <w:rStyle w:val="50"/>
          <w:color w:val="auto"/>
          <w:highlight w:val="none"/>
        </w:rPr>
        <w:t>2.2</w:t>
      </w:r>
      <w:r>
        <w:rPr>
          <w:rStyle w:val="50"/>
          <w:rFonts w:hint="eastAsia"/>
          <w:color w:val="auto"/>
          <w:highlight w:val="none"/>
        </w:rPr>
        <w:t>招标文件的澄清</w:t>
      </w:r>
      <w:r>
        <w:rPr>
          <w:color w:val="auto"/>
          <w:highlight w:val="none"/>
        </w:rPr>
        <w:tab/>
      </w:r>
      <w:r>
        <w:rPr>
          <w:color w:val="auto"/>
          <w:highlight w:val="none"/>
        </w:rPr>
        <w:fldChar w:fldCharType="begin"/>
      </w:r>
      <w:r>
        <w:rPr>
          <w:color w:val="auto"/>
          <w:highlight w:val="none"/>
        </w:rPr>
        <w:instrText xml:space="preserve"> PAGEREF _Toc43475685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1D577D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"_Toc43475686" </w:instrText>
      </w:r>
      <w:r>
        <w:rPr>
          <w:color w:val="auto"/>
          <w:highlight w:val="none"/>
        </w:rPr>
        <w:fldChar w:fldCharType="separate"/>
      </w:r>
      <w:r>
        <w:rPr>
          <w:rStyle w:val="50"/>
          <w:color w:val="auto"/>
          <w:highlight w:val="none"/>
        </w:rPr>
        <w:t>2.3</w:t>
      </w:r>
      <w:r>
        <w:rPr>
          <w:rStyle w:val="50"/>
          <w:rFonts w:hint="eastAsia"/>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_Toc43475686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AB948C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"_Toc43475687" </w:instrText>
      </w:r>
      <w:r>
        <w:rPr>
          <w:color w:val="auto"/>
          <w:highlight w:val="none"/>
        </w:rPr>
        <w:fldChar w:fldCharType="separate"/>
      </w:r>
      <w:r>
        <w:rPr>
          <w:rStyle w:val="50"/>
          <w:color w:val="auto"/>
          <w:highlight w:val="none"/>
        </w:rPr>
        <w:t>2.4</w:t>
      </w:r>
      <w:r>
        <w:rPr>
          <w:rStyle w:val="50"/>
          <w:rFonts w:hint="eastAsia"/>
          <w:color w:val="auto"/>
          <w:highlight w:val="none"/>
        </w:rPr>
        <w:t>招标文件的异议</w:t>
      </w:r>
      <w:r>
        <w:rPr>
          <w:color w:val="auto"/>
          <w:highlight w:val="none"/>
        </w:rPr>
        <w:tab/>
      </w:r>
      <w:r>
        <w:rPr>
          <w:color w:val="auto"/>
          <w:highlight w:val="none"/>
        </w:rPr>
        <w:fldChar w:fldCharType="begin"/>
      </w:r>
      <w:r>
        <w:rPr>
          <w:color w:val="auto"/>
          <w:highlight w:val="none"/>
        </w:rPr>
        <w:instrText xml:space="preserve"> PAGEREF _Toc43475687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39A2F05">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"_Toc43475688" </w:instrText>
      </w:r>
      <w:r>
        <w:rPr>
          <w:color w:val="auto"/>
          <w:highlight w:val="none"/>
        </w:rPr>
        <w:fldChar w:fldCharType="separate"/>
      </w:r>
      <w:r>
        <w:rPr>
          <w:rStyle w:val="50"/>
          <w:rFonts w:ascii="宋体" w:hAnsi="宋体" w:cs="宋体"/>
          <w:color w:val="auto"/>
          <w:highlight w:val="none"/>
        </w:rPr>
        <w:t>3.</w:t>
      </w:r>
      <w:r>
        <w:rPr>
          <w:rStyle w:val="50"/>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_Toc43475688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59D9DE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"_Toc43475689" </w:instrText>
      </w:r>
      <w:r>
        <w:rPr>
          <w:color w:val="auto"/>
          <w:highlight w:val="none"/>
        </w:rPr>
        <w:fldChar w:fldCharType="separate"/>
      </w:r>
      <w:r>
        <w:rPr>
          <w:rStyle w:val="50"/>
          <w:color w:val="auto"/>
          <w:highlight w:val="none"/>
        </w:rPr>
        <w:t>3.1</w:t>
      </w:r>
      <w:r>
        <w:rPr>
          <w:rStyle w:val="50"/>
          <w:rFonts w:hint="eastAsia"/>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_Toc43475689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2501323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"_Toc43475690" </w:instrText>
      </w:r>
      <w:r>
        <w:rPr>
          <w:color w:val="auto"/>
          <w:highlight w:val="none"/>
        </w:rPr>
        <w:fldChar w:fldCharType="separate"/>
      </w:r>
      <w:r>
        <w:rPr>
          <w:rStyle w:val="50"/>
          <w:color w:val="auto"/>
          <w:highlight w:val="none"/>
        </w:rPr>
        <w:t>3.2</w:t>
      </w:r>
      <w:r>
        <w:rPr>
          <w:rStyle w:val="50"/>
          <w:rFonts w:hint="eastAsia"/>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_Toc43475690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7D53F8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"_Toc43475691" </w:instrText>
      </w:r>
      <w:r>
        <w:rPr>
          <w:color w:val="auto"/>
          <w:highlight w:val="none"/>
        </w:rPr>
        <w:fldChar w:fldCharType="separate"/>
      </w:r>
      <w:r>
        <w:rPr>
          <w:rStyle w:val="50"/>
          <w:color w:val="auto"/>
          <w:highlight w:val="none"/>
        </w:rPr>
        <w:t>3.3</w:t>
      </w:r>
      <w:r>
        <w:rPr>
          <w:rStyle w:val="50"/>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_Toc43475691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730C5CE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"_Toc43475692" </w:instrText>
      </w:r>
      <w:r>
        <w:rPr>
          <w:color w:val="auto"/>
          <w:highlight w:val="none"/>
        </w:rPr>
        <w:fldChar w:fldCharType="separate"/>
      </w:r>
      <w:r>
        <w:rPr>
          <w:rStyle w:val="50"/>
          <w:color w:val="auto"/>
          <w:highlight w:val="none"/>
        </w:rPr>
        <w:t>3.4</w:t>
      </w:r>
      <w:r>
        <w:rPr>
          <w:rStyle w:val="50"/>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_Toc43475692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062BAE7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"_Toc43475693" </w:instrText>
      </w:r>
      <w:r>
        <w:rPr>
          <w:color w:val="auto"/>
          <w:highlight w:val="none"/>
        </w:rPr>
        <w:fldChar w:fldCharType="separate"/>
      </w:r>
      <w:r>
        <w:rPr>
          <w:rStyle w:val="50"/>
          <w:color w:val="auto"/>
          <w:highlight w:val="none"/>
        </w:rPr>
        <w:t>3.5</w:t>
      </w:r>
      <w:r>
        <w:rPr>
          <w:rStyle w:val="50"/>
          <w:rFonts w:hint="eastAsia"/>
          <w:color w:val="auto"/>
          <w:highlight w:val="none"/>
        </w:rPr>
        <w:t>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_Toc43475693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333041A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"_Toc43475694" </w:instrText>
      </w:r>
      <w:r>
        <w:rPr>
          <w:color w:val="auto"/>
          <w:highlight w:val="none"/>
        </w:rPr>
        <w:fldChar w:fldCharType="separate"/>
      </w:r>
      <w:r>
        <w:rPr>
          <w:rStyle w:val="50"/>
          <w:color w:val="auto"/>
          <w:highlight w:val="none"/>
        </w:rPr>
        <w:t>3.6</w:t>
      </w:r>
      <w:r>
        <w:rPr>
          <w:rStyle w:val="50"/>
          <w:rFonts w:hint="eastAsia"/>
          <w:color w:val="auto"/>
          <w:highlight w:val="none"/>
        </w:rPr>
        <w:t>备选投标方案</w:t>
      </w:r>
      <w:r>
        <w:rPr>
          <w:color w:val="auto"/>
          <w:highlight w:val="none"/>
        </w:rPr>
        <w:tab/>
      </w:r>
      <w:r>
        <w:rPr>
          <w:color w:val="auto"/>
          <w:highlight w:val="none"/>
        </w:rPr>
        <w:fldChar w:fldCharType="begin"/>
      </w:r>
      <w:r>
        <w:rPr>
          <w:color w:val="auto"/>
          <w:highlight w:val="none"/>
        </w:rPr>
        <w:instrText xml:space="preserve"> PAGEREF _Toc43475694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5365942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"_Toc43475695" </w:instrText>
      </w:r>
      <w:r>
        <w:rPr>
          <w:color w:val="auto"/>
          <w:highlight w:val="none"/>
        </w:rPr>
        <w:fldChar w:fldCharType="separate"/>
      </w:r>
      <w:r>
        <w:rPr>
          <w:rStyle w:val="50"/>
          <w:color w:val="auto"/>
          <w:highlight w:val="none"/>
        </w:rPr>
        <w:t>3.7</w:t>
      </w:r>
      <w:r>
        <w:rPr>
          <w:rStyle w:val="50"/>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_Toc43475695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5C07F393">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"_Toc43475696" </w:instrText>
      </w:r>
      <w:r>
        <w:rPr>
          <w:color w:val="auto"/>
          <w:highlight w:val="none"/>
        </w:rPr>
        <w:fldChar w:fldCharType="separate"/>
      </w:r>
      <w:r>
        <w:rPr>
          <w:rStyle w:val="50"/>
          <w:rFonts w:ascii="宋体" w:hAnsi="宋体" w:cs="宋体"/>
          <w:color w:val="auto"/>
          <w:highlight w:val="none"/>
        </w:rPr>
        <w:t>4.</w:t>
      </w:r>
      <w:r>
        <w:rPr>
          <w:rStyle w:val="50"/>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_Toc43475696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EB6A48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"_Toc43475697" </w:instrText>
      </w:r>
      <w:r>
        <w:rPr>
          <w:color w:val="auto"/>
          <w:highlight w:val="none"/>
        </w:rPr>
        <w:fldChar w:fldCharType="separate"/>
      </w:r>
      <w:r>
        <w:rPr>
          <w:rStyle w:val="50"/>
          <w:color w:val="auto"/>
          <w:highlight w:val="none"/>
        </w:rPr>
        <w:t>4.1</w:t>
      </w:r>
      <w:r>
        <w:rPr>
          <w:rStyle w:val="50"/>
          <w:rFonts w:hint="eastAsia"/>
          <w:color w:val="auto"/>
          <w:highlight w:val="none"/>
        </w:rPr>
        <w:t>投标文件的密封和标识</w:t>
      </w:r>
      <w:r>
        <w:rPr>
          <w:color w:val="auto"/>
          <w:highlight w:val="none"/>
        </w:rPr>
        <w:tab/>
      </w:r>
      <w:r>
        <w:rPr>
          <w:color w:val="auto"/>
          <w:highlight w:val="none"/>
        </w:rPr>
        <w:fldChar w:fldCharType="begin"/>
      </w:r>
      <w:r>
        <w:rPr>
          <w:color w:val="auto"/>
          <w:highlight w:val="none"/>
        </w:rPr>
        <w:instrText xml:space="preserve"> PAGEREF _Toc43475697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C9F543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"_Toc43475698" </w:instrText>
      </w:r>
      <w:r>
        <w:rPr>
          <w:color w:val="auto"/>
          <w:highlight w:val="none"/>
        </w:rPr>
        <w:fldChar w:fldCharType="separate"/>
      </w:r>
      <w:r>
        <w:rPr>
          <w:rStyle w:val="50"/>
          <w:color w:val="auto"/>
          <w:highlight w:val="none"/>
        </w:rPr>
        <w:t>4.2</w:t>
      </w:r>
      <w:r>
        <w:rPr>
          <w:rStyle w:val="50"/>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_Toc43475698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F2B711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"_Toc43475699" </w:instrText>
      </w:r>
      <w:r>
        <w:rPr>
          <w:color w:val="auto"/>
          <w:highlight w:val="none"/>
        </w:rPr>
        <w:fldChar w:fldCharType="separate"/>
      </w:r>
      <w:r>
        <w:rPr>
          <w:rStyle w:val="50"/>
          <w:color w:val="auto"/>
          <w:highlight w:val="none"/>
        </w:rPr>
        <w:t>4.3</w:t>
      </w:r>
      <w:r>
        <w:rPr>
          <w:rStyle w:val="50"/>
          <w:rFonts w:hint="eastAsia"/>
          <w:color w:val="auto"/>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_Toc43475699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51F775C">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"_Toc43475700" </w:instrText>
      </w:r>
      <w:r>
        <w:rPr>
          <w:color w:val="auto"/>
          <w:highlight w:val="none"/>
        </w:rPr>
        <w:fldChar w:fldCharType="separate"/>
      </w:r>
      <w:r>
        <w:rPr>
          <w:rStyle w:val="50"/>
          <w:rFonts w:ascii="宋体" w:hAnsi="宋体" w:cs="宋体"/>
          <w:color w:val="auto"/>
          <w:highlight w:val="none"/>
        </w:rPr>
        <w:t>5.</w:t>
      </w:r>
      <w:r>
        <w:rPr>
          <w:rStyle w:val="50"/>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_Toc43475700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C7D2D3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"_Toc43475701" </w:instrText>
      </w:r>
      <w:r>
        <w:rPr>
          <w:color w:val="auto"/>
          <w:highlight w:val="none"/>
        </w:rPr>
        <w:fldChar w:fldCharType="separate"/>
      </w:r>
      <w:r>
        <w:rPr>
          <w:rStyle w:val="50"/>
          <w:color w:val="auto"/>
          <w:highlight w:val="none"/>
        </w:rPr>
        <w:t xml:space="preserve">5.1 </w:t>
      </w:r>
      <w:r>
        <w:rPr>
          <w:rStyle w:val="50"/>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_Toc43475701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E9EEED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"_Toc43475702" </w:instrText>
      </w:r>
      <w:r>
        <w:rPr>
          <w:color w:val="auto"/>
          <w:highlight w:val="none"/>
        </w:rPr>
        <w:fldChar w:fldCharType="separate"/>
      </w:r>
      <w:r>
        <w:rPr>
          <w:rStyle w:val="50"/>
          <w:color w:val="auto"/>
          <w:highlight w:val="none"/>
        </w:rPr>
        <w:t xml:space="preserve">5.1 </w:t>
      </w:r>
      <w:r>
        <w:rPr>
          <w:rStyle w:val="50"/>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_Toc43475702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5F09631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"_Toc43475703" </w:instrText>
      </w:r>
      <w:r>
        <w:rPr>
          <w:color w:val="auto"/>
          <w:highlight w:val="none"/>
        </w:rPr>
        <w:fldChar w:fldCharType="separate"/>
      </w:r>
      <w:r>
        <w:rPr>
          <w:rStyle w:val="50"/>
          <w:rFonts w:ascii="宋体" w:hAnsi="宋体" w:cs="宋体"/>
          <w:color w:val="auto"/>
          <w:highlight w:val="none"/>
        </w:rPr>
        <w:t xml:space="preserve">5.2 </w:t>
      </w:r>
      <w:r>
        <w:rPr>
          <w:rStyle w:val="50"/>
          <w:rFonts w:hint="eastAsia" w:ascii="宋体" w:hAnsi="宋体" w:cs="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_Toc43475703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163E4AEB">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"_Toc43475704" </w:instrText>
      </w:r>
      <w:r>
        <w:rPr>
          <w:color w:val="auto"/>
          <w:highlight w:val="none"/>
        </w:rPr>
        <w:fldChar w:fldCharType="separate"/>
      </w:r>
      <w:r>
        <w:rPr>
          <w:rStyle w:val="50"/>
          <w:rFonts w:ascii="宋体" w:hAnsi="宋体" w:cs="宋体"/>
          <w:color w:val="auto"/>
          <w:highlight w:val="none"/>
        </w:rPr>
        <w:t xml:space="preserve">5.2 </w:t>
      </w:r>
      <w:r>
        <w:rPr>
          <w:rStyle w:val="50"/>
          <w:rFonts w:hint="eastAsia" w:ascii="宋体" w:hAnsi="宋体" w:cs="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_Toc43475704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7F9BC05">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"_Toc43475705" </w:instrText>
      </w:r>
      <w:r>
        <w:rPr>
          <w:color w:val="auto"/>
          <w:highlight w:val="none"/>
        </w:rPr>
        <w:fldChar w:fldCharType="separate"/>
      </w:r>
      <w:r>
        <w:rPr>
          <w:rStyle w:val="50"/>
          <w:rFonts w:ascii="宋体" w:hAnsi="宋体" w:cs="宋体"/>
          <w:color w:val="auto"/>
          <w:highlight w:val="none"/>
        </w:rPr>
        <w:t>6.</w:t>
      </w:r>
      <w:r>
        <w:rPr>
          <w:rStyle w:val="50"/>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_Toc43475705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178BFC8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"_Toc43475706" </w:instrText>
      </w:r>
      <w:r>
        <w:rPr>
          <w:color w:val="auto"/>
          <w:highlight w:val="none"/>
        </w:rPr>
        <w:fldChar w:fldCharType="separate"/>
      </w:r>
      <w:r>
        <w:rPr>
          <w:rStyle w:val="50"/>
          <w:rFonts w:ascii="宋体" w:hAnsi="宋体" w:cs="宋体"/>
          <w:color w:val="auto"/>
          <w:highlight w:val="none"/>
        </w:rPr>
        <w:t xml:space="preserve">6.1 </w:t>
      </w:r>
      <w:r>
        <w:rPr>
          <w:rStyle w:val="50"/>
          <w:rFonts w:hint="eastAsia" w:ascii="宋体" w:hAnsi="宋体" w:cs="宋体"/>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_Toc43475706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2A41F8E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"_Toc43475707" </w:instrText>
      </w:r>
      <w:r>
        <w:rPr>
          <w:color w:val="auto"/>
          <w:highlight w:val="none"/>
        </w:rPr>
        <w:fldChar w:fldCharType="separate"/>
      </w:r>
      <w:r>
        <w:rPr>
          <w:rStyle w:val="50"/>
          <w:rFonts w:ascii="宋体" w:hAnsi="宋体" w:cs="宋体"/>
          <w:color w:val="auto"/>
          <w:highlight w:val="none"/>
        </w:rPr>
        <w:t xml:space="preserve">6.2 </w:t>
      </w:r>
      <w:r>
        <w:rPr>
          <w:rStyle w:val="50"/>
          <w:rFonts w:hint="eastAsia" w:ascii="宋体" w:hAnsi="宋体" w:cs="宋体"/>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_Toc43475707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497810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"_Toc43475708" </w:instrText>
      </w:r>
      <w:r>
        <w:rPr>
          <w:color w:val="auto"/>
          <w:highlight w:val="none"/>
        </w:rPr>
        <w:fldChar w:fldCharType="separate"/>
      </w:r>
      <w:r>
        <w:rPr>
          <w:rStyle w:val="50"/>
          <w:rFonts w:ascii="宋体" w:hAnsi="宋体" w:cs="宋体"/>
          <w:color w:val="auto"/>
          <w:highlight w:val="none"/>
        </w:rPr>
        <w:t xml:space="preserve">6.3 </w:t>
      </w:r>
      <w:r>
        <w:rPr>
          <w:rStyle w:val="50"/>
          <w:rFonts w:hint="eastAsia" w:ascii="宋体" w:hAnsi="宋体" w:cs="宋体"/>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_Toc43475708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5A3D63D7">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"_Toc43475709" </w:instrText>
      </w:r>
      <w:r>
        <w:rPr>
          <w:color w:val="auto"/>
          <w:highlight w:val="none"/>
        </w:rPr>
        <w:fldChar w:fldCharType="separate"/>
      </w:r>
      <w:r>
        <w:rPr>
          <w:rStyle w:val="50"/>
          <w:rFonts w:ascii="宋体" w:hAnsi="宋体" w:cs="宋体"/>
          <w:color w:val="auto"/>
          <w:highlight w:val="none"/>
        </w:rPr>
        <w:t>7.</w:t>
      </w:r>
      <w:r>
        <w:rPr>
          <w:rStyle w:val="50"/>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_Toc43475709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CD613F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"_Toc43475710" </w:instrText>
      </w:r>
      <w:r>
        <w:rPr>
          <w:color w:val="auto"/>
          <w:highlight w:val="none"/>
        </w:rPr>
        <w:fldChar w:fldCharType="separate"/>
      </w:r>
      <w:r>
        <w:rPr>
          <w:rStyle w:val="50"/>
          <w:rFonts w:ascii="宋体" w:hAnsi="宋体" w:cs="宋体"/>
          <w:color w:val="auto"/>
          <w:highlight w:val="none"/>
        </w:rPr>
        <w:t>7.1</w:t>
      </w:r>
      <w:r>
        <w:rPr>
          <w:rStyle w:val="50"/>
          <w:rFonts w:hint="eastAsia" w:ascii="宋体" w:hAnsi="宋体" w:cs="宋体"/>
          <w:color w:val="auto"/>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_Toc43475710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16B043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"_Toc43475711" </w:instrText>
      </w:r>
      <w:r>
        <w:rPr>
          <w:color w:val="auto"/>
          <w:highlight w:val="none"/>
        </w:rPr>
        <w:fldChar w:fldCharType="separate"/>
      </w:r>
      <w:r>
        <w:rPr>
          <w:rStyle w:val="50"/>
          <w:rFonts w:ascii="宋体" w:hAnsi="宋体" w:cs="宋体"/>
          <w:color w:val="auto"/>
          <w:highlight w:val="none"/>
        </w:rPr>
        <w:t>7.2</w:t>
      </w:r>
      <w:r>
        <w:rPr>
          <w:rStyle w:val="50"/>
          <w:rFonts w:hint="eastAsia" w:ascii="宋体" w:hAnsi="宋体" w:cs="宋体"/>
          <w:color w:val="auto"/>
          <w:highlight w:val="none"/>
        </w:rPr>
        <w:t>评标结果异议</w:t>
      </w:r>
      <w:r>
        <w:rPr>
          <w:color w:val="auto"/>
          <w:highlight w:val="none"/>
        </w:rPr>
        <w:tab/>
      </w:r>
      <w:r>
        <w:rPr>
          <w:color w:val="auto"/>
          <w:highlight w:val="none"/>
        </w:rPr>
        <w:fldChar w:fldCharType="begin"/>
      </w:r>
      <w:r>
        <w:rPr>
          <w:color w:val="auto"/>
          <w:highlight w:val="none"/>
        </w:rPr>
        <w:instrText xml:space="preserve"> PAGEREF _Toc43475711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EDDC0F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"_Toc43475712" </w:instrText>
      </w:r>
      <w:r>
        <w:rPr>
          <w:color w:val="auto"/>
          <w:highlight w:val="none"/>
        </w:rPr>
        <w:fldChar w:fldCharType="separate"/>
      </w:r>
      <w:r>
        <w:rPr>
          <w:rStyle w:val="50"/>
          <w:rFonts w:ascii="宋体" w:hAnsi="宋体" w:cs="宋体"/>
          <w:color w:val="auto"/>
          <w:highlight w:val="none"/>
        </w:rPr>
        <w:t>7.3</w:t>
      </w:r>
      <w:r>
        <w:rPr>
          <w:rStyle w:val="50"/>
          <w:rFonts w:hint="eastAsia" w:ascii="宋体" w:hAnsi="宋体" w:cs="宋体"/>
          <w:color w:val="auto"/>
          <w:highlight w:val="none"/>
        </w:rPr>
        <w:t>中标候选人履约能力审查</w:t>
      </w:r>
      <w:r>
        <w:rPr>
          <w:color w:val="auto"/>
          <w:highlight w:val="none"/>
        </w:rPr>
        <w:tab/>
      </w:r>
      <w:r>
        <w:rPr>
          <w:color w:val="auto"/>
          <w:highlight w:val="none"/>
        </w:rPr>
        <w:fldChar w:fldCharType="begin"/>
      </w:r>
      <w:r>
        <w:rPr>
          <w:color w:val="auto"/>
          <w:highlight w:val="none"/>
        </w:rPr>
        <w:instrText xml:space="preserve"> PAGEREF _Toc43475712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B08BA7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"_Toc43475713" </w:instrText>
      </w:r>
      <w:r>
        <w:rPr>
          <w:color w:val="auto"/>
          <w:highlight w:val="none"/>
        </w:rPr>
        <w:fldChar w:fldCharType="separate"/>
      </w:r>
      <w:r>
        <w:rPr>
          <w:rStyle w:val="50"/>
          <w:rFonts w:ascii="宋体" w:hAnsi="宋体" w:cs="宋体"/>
          <w:color w:val="auto"/>
          <w:highlight w:val="none"/>
        </w:rPr>
        <w:t>7.4</w:t>
      </w:r>
      <w:r>
        <w:rPr>
          <w:rStyle w:val="50"/>
          <w:rFonts w:hint="eastAsia" w:ascii="宋体" w:hAnsi="宋体" w:cs="宋体"/>
          <w:color w:val="auto"/>
          <w:highlight w:val="none"/>
        </w:rPr>
        <w:t>定标</w:t>
      </w:r>
      <w:r>
        <w:rPr>
          <w:color w:val="auto"/>
          <w:highlight w:val="none"/>
        </w:rPr>
        <w:tab/>
      </w:r>
      <w:r>
        <w:rPr>
          <w:color w:val="auto"/>
          <w:highlight w:val="none"/>
        </w:rPr>
        <w:fldChar w:fldCharType="begin"/>
      </w:r>
      <w:r>
        <w:rPr>
          <w:color w:val="auto"/>
          <w:highlight w:val="none"/>
        </w:rPr>
        <w:instrText xml:space="preserve"> PAGEREF _Toc43475713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9BAFF8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"_Toc43475714" </w:instrText>
      </w:r>
      <w:r>
        <w:rPr>
          <w:color w:val="auto"/>
          <w:highlight w:val="none"/>
        </w:rPr>
        <w:fldChar w:fldCharType="separate"/>
      </w:r>
      <w:r>
        <w:rPr>
          <w:rStyle w:val="50"/>
          <w:rFonts w:ascii="宋体" w:hAnsi="宋体" w:cs="宋体"/>
          <w:color w:val="auto"/>
          <w:highlight w:val="none"/>
        </w:rPr>
        <w:t>7.5</w:t>
      </w:r>
      <w:r>
        <w:rPr>
          <w:rStyle w:val="50"/>
          <w:rFonts w:hint="eastAsia" w:ascii="宋体" w:hAnsi="宋体" w:cs="宋体"/>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_Toc43475714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545794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"_Toc43475715" </w:instrText>
      </w:r>
      <w:r>
        <w:rPr>
          <w:color w:val="auto"/>
          <w:highlight w:val="none"/>
        </w:rPr>
        <w:fldChar w:fldCharType="separate"/>
      </w:r>
      <w:r>
        <w:rPr>
          <w:rStyle w:val="50"/>
          <w:rFonts w:ascii="宋体" w:hAnsi="宋体" w:cs="宋体"/>
          <w:color w:val="auto"/>
          <w:highlight w:val="none"/>
        </w:rPr>
        <w:t>7.6</w:t>
      </w:r>
      <w:r>
        <w:rPr>
          <w:rStyle w:val="50"/>
          <w:rFonts w:hint="eastAsia" w:ascii="宋体" w:hAnsi="宋体" w:cs="宋体"/>
          <w:color w:val="auto"/>
          <w:highlight w:val="none"/>
        </w:rPr>
        <w:t>中标结果公告</w:t>
      </w:r>
      <w:r>
        <w:rPr>
          <w:color w:val="auto"/>
          <w:highlight w:val="none"/>
        </w:rPr>
        <w:tab/>
      </w:r>
      <w:r>
        <w:rPr>
          <w:color w:val="auto"/>
          <w:highlight w:val="none"/>
        </w:rPr>
        <w:fldChar w:fldCharType="begin"/>
      </w:r>
      <w:r>
        <w:rPr>
          <w:color w:val="auto"/>
          <w:highlight w:val="none"/>
        </w:rPr>
        <w:instrText xml:space="preserve"> PAGEREF _Toc43475715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8615FD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"_Toc43475716" </w:instrText>
      </w:r>
      <w:r>
        <w:rPr>
          <w:color w:val="auto"/>
          <w:highlight w:val="none"/>
        </w:rPr>
        <w:fldChar w:fldCharType="separate"/>
      </w:r>
      <w:r>
        <w:rPr>
          <w:rStyle w:val="50"/>
          <w:rFonts w:ascii="宋体" w:hAnsi="宋体" w:cs="宋体"/>
          <w:color w:val="auto"/>
          <w:highlight w:val="none"/>
        </w:rPr>
        <w:t>7.7</w:t>
      </w:r>
      <w:r>
        <w:rPr>
          <w:rStyle w:val="50"/>
          <w:rFonts w:hint="eastAsia" w:ascii="宋体" w:hAnsi="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_Toc43475716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0C7FBFF">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"_Toc43475717" </w:instrText>
      </w:r>
      <w:r>
        <w:rPr>
          <w:color w:val="auto"/>
          <w:highlight w:val="none"/>
        </w:rPr>
        <w:fldChar w:fldCharType="separate"/>
      </w:r>
      <w:r>
        <w:rPr>
          <w:rStyle w:val="50"/>
          <w:rFonts w:ascii="宋体" w:hAnsi="宋体" w:cs="宋体"/>
          <w:color w:val="auto"/>
          <w:highlight w:val="none"/>
        </w:rPr>
        <w:t>7.8</w:t>
      </w:r>
      <w:r>
        <w:rPr>
          <w:rStyle w:val="50"/>
          <w:rFonts w:hint="eastAsia" w:ascii="宋体" w:hAnsi="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_Toc43475717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53813A1">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"_Toc43475718" </w:instrText>
      </w:r>
      <w:r>
        <w:rPr>
          <w:color w:val="auto"/>
          <w:highlight w:val="none"/>
        </w:rPr>
        <w:fldChar w:fldCharType="separate"/>
      </w:r>
      <w:r>
        <w:rPr>
          <w:rStyle w:val="50"/>
          <w:rFonts w:ascii="宋体" w:hAnsi="宋体" w:cs="宋体"/>
          <w:color w:val="auto"/>
          <w:highlight w:val="none"/>
        </w:rPr>
        <w:t>8.</w:t>
      </w:r>
      <w:r>
        <w:rPr>
          <w:rStyle w:val="50"/>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_Toc43475718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02DD8F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"_Toc43475719" </w:instrText>
      </w:r>
      <w:r>
        <w:rPr>
          <w:color w:val="auto"/>
          <w:highlight w:val="none"/>
        </w:rPr>
        <w:fldChar w:fldCharType="separate"/>
      </w:r>
      <w:r>
        <w:rPr>
          <w:rStyle w:val="50"/>
          <w:rFonts w:ascii="宋体" w:hAnsi="宋体" w:cs="宋体"/>
          <w:color w:val="auto"/>
          <w:highlight w:val="none"/>
        </w:rPr>
        <w:t>8.1</w:t>
      </w:r>
      <w:r>
        <w:rPr>
          <w:rStyle w:val="50"/>
          <w:rFonts w:hint="eastAsia" w:ascii="宋体" w:hAnsi="宋体" w:cs="宋体"/>
          <w:color w:val="auto"/>
          <w:highlight w:val="none"/>
        </w:rPr>
        <w:t>对招标人的纪律要求</w:t>
      </w:r>
      <w:r>
        <w:rPr>
          <w:color w:val="auto"/>
          <w:highlight w:val="none"/>
        </w:rPr>
        <w:tab/>
      </w:r>
      <w:r>
        <w:rPr>
          <w:color w:val="auto"/>
          <w:highlight w:val="none"/>
        </w:rPr>
        <w:fldChar w:fldCharType="begin"/>
      </w:r>
      <w:r>
        <w:rPr>
          <w:color w:val="auto"/>
          <w:highlight w:val="none"/>
        </w:rPr>
        <w:instrText xml:space="preserve"> PAGEREF _Toc43475719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E5C9C7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"_Toc43475720" </w:instrText>
      </w:r>
      <w:r>
        <w:rPr>
          <w:color w:val="auto"/>
          <w:highlight w:val="none"/>
        </w:rPr>
        <w:fldChar w:fldCharType="separate"/>
      </w:r>
      <w:r>
        <w:rPr>
          <w:rStyle w:val="50"/>
          <w:rFonts w:ascii="宋体" w:hAnsi="宋体" w:cs="宋体"/>
          <w:color w:val="auto"/>
          <w:highlight w:val="none"/>
        </w:rPr>
        <w:t>8.2</w:t>
      </w:r>
      <w:r>
        <w:rPr>
          <w:rStyle w:val="50"/>
          <w:rFonts w:hint="eastAsia" w:ascii="宋体" w:hAnsi="宋体" w:cs="宋体"/>
          <w:color w:val="auto"/>
          <w:highlight w:val="none"/>
        </w:rPr>
        <w:t>对投标人的纪律要求</w:t>
      </w:r>
      <w:r>
        <w:rPr>
          <w:color w:val="auto"/>
          <w:highlight w:val="none"/>
        </w:rPr>
        <w:tab/>
      </w:r>
      <w:r>
        <w:rPr>
          <w:color w:val="auto"/>
          <w:highlight w:val="none"/>
        </w:rPr>
        <w:fldChar w:fldCharType="begin"/>
      </w:r>
      <w:r>
        <w:rPr>
          <w:color w:val="auto"/>
          <w:highlight w:val="none"/>
        </w:rPr>
        <w:instrText xml:space="preserve"> PAGEREF _Toc43475720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B20FE0F">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"_Toc43475721" </w:instrText>
      </w:r>
      <w:r>
        <w:rPr>
          <w:color w:val="auto"/>
          <w:highlight w:val="none"/>
        </w:rPr>
        <w:fldChar w:fldCharType="separate"/>
      </w:r>
      <w:r>
        <w:rPr>
          <w:rStyle w:val="50"/>
          <w:rFonts w:ascii="宋体" w:hAnsi="宋体" w:cs="宋体"/>
          <w:color w:val="auto"/>
          <w:highlight w:val="none"/>
        </w:rPr>
        <w:t>8.3</w:t>
      </w:r>
      <w:r>
        <w:rPr>
          <w:rStyle w:val="50"/>
          <w:rFonts w:hint="eastAsia" w:ascii="宋体" w:hAnsi="宋体" w:cs="宋体"/>
          <w:color w:val="auto"/>
          <w:highlight w:val="none"/>
        </w:rPr>
        <w:t>对评标委员会成员的纪律要求</w:t>
      </w:r>
      <w:r>
        <w:rPr>
          <w:color w:val="auto"/>
          <w:highlight w:val="none"/>
        </w:rPr>
        <w:tab/>
      </w:r>
      <w:r>
        <w:rPr>
          <w:color w:val="auto"/>
          <w:highlight w:val="none"/>
        </w:rPr>
        <w:fldChar w:fldCharType="begin"/>
      </w:r>
      <w:r>
        <w:rPr>
          <w:color w:val="auto"/>
          <w:highlight w:val="none"/>
        </w:rPr>
        <w:instrText xml:space="preserve"> PAGEREF _Toc43475721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671EC3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"_Toc43475722" </w:instrText>
      </w:r>
      <w:r>
        <w:rPr>
          <w:color w:val="auto"/>
          <w:highlight w:val="none"/>
        </w:rPr>
        <w:fldChar w:fldCharType="separate"/>
      </w:r>
      <w:r>
        <w:rPr>
          <w:rStyle w:val="50"/>
          <w:rFonts w:ascii="宋体" w:hAnsi="宋体" w:cs="宋体"/>
          <w:color w:val="auto"/>
          <w:highlight w:val="none"/>
        </w:rPr>
        <w:t>8.4</w:t>
      </w:r>
      <w:r>
        <w:rPr>
          <w:rStyle w:val="50"/>
          <w:rFonts w:hint="eastAsia" w:ascii="宋体" w:hAnsi="宋体" w:cs="宋体"/>
          <w:color w:val="auto"/>
          <w:highlight w:val="none"/>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_Toc43475722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07D3238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"_Toc43475723" </w:instrText>
      </w:r>
      <w:r>
        <w:rPr>
          <w:color w:val="auto"/>
          <w:highlight w:val="none"/>
        </w:rPr>
        <w:fldChar w:fldCharType="separate"/>
      </w:r>
      <w:r>
        <w:rPr>
          <w:rStyle w:val="50"/>
          <w:rFonts w:ascii="宋体" w:hAnsi="宋体" w:cs="宋体"/>
          <w:color w:val="auto"/>
          <w:highlight w:val="none"/>
        </w:rPr>
        <w:t>8.5</w:t>
      </w:r>
      <w:r>
        <w:rPr>
          <w:rStyle w:val="50"/>
          <w:rFonts w:hint="eastAsia" w:ascii="宋体" w:hAnsi="宋体" w:cs="宋体"/>
          <w:color w:val="auto"/>
          <w:highlight w:val="none"/>
        </w:rPr>
        <w:t>投诉</w:t>
      </w:r>
      <w:r>
        <w:rPr>
          <w:color w:val="auto"/>
          <w:highlight w:val="none"/>
        </w:rPr>
        <w:tab/>
      </w:r>
      <w:r>
        <w:rPr>
          <w:color w:val="auto"/>
          <w:highlight w:val="none"/>
        </w:rPr>
        <w:fldChar w:fldCharType="begin"/>
      </w:r>
      <w:r>
        <w:rPr>
          <w:color w:val="auto"/>
          <w:highlight w:val="none"/>
        </w:rPr>
        <w:instrText xml:space="preserve"> PAGEREF _Toc43475723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2DB6CE69">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"_Toc43475724" </w:instrText>
      </w:r>
      <w:r>
        <w:rPr>
          <w:color w:val="auto"/>
          <w:highlight w:val="none"/>
        </w:rPr>
        <w:fldChar w:fldCharType="separate"/>
      </w:r>
      <w:r>
        <w:rPr>
          <w:rStyle w:val="50"/>
          <w:rFonts w:ascii="宋体" w:hAnsi="宋体" w:cs="宋体"/>
          <w:color w:val="auto"/>
          <w:highlight w:val="none"/>
        </w:rPr>
        <w:t>9.</w:t>
      </w:r>
      <w:r>
        <w:rPr>
          <w:rStyle w:val="50"/>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_Toc43475724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AFFB0EC">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"_Toc43475725" </w:instrText>
      </w:r>
      <w:r>
        <w:rPr>
          <w:color w:val="auto"/>
          <w:highlight w:val="none"/>
        </w:rPr>
        <w:fldChar w:fldCharType="separate"/>
      </w:r>
      <w:r>
        <w:rPr>
          <w:rStyle w:val="50"/>
          <w:rFonts w:ascii="宋体" w:hAnsi="宋体" w:cs="宋体"/>
          <w:color w:val="auto"/>
          <w:highlight w:val="none"/>
        </w:rPr>
        <w:t>10.</w:t>
      </w:r>
      <w:r>
        <w:rPr>
          <w:rStyle w:val="50"/>
          <w:rFonts w:hint="eastAsia" w:ascii="宋体" w:hAnsi="宋体" w:cs="宋体"/>
          <w:color w:val="auto"/>
          <w:highlight w:val="none"/>
        </w:rPr>
        <w:t xml:space="preserve"> 需要补充的其他内容</w:t>
      </w:r>
      <w:r>
        <w:rPr>
          <w:color w:val="auto"/>
          <w:highlight w:val="none"/>
        </w:rPr>
        <w:tab/>
      </w:r>
      <w:r>
        <w:rPr>
          <w:color w:val="auto"/>
          <w:highlight w:val="none"/>
        </w:rPr>
        <w:fldChar w:fldCharType="begin"/>
      </w:r>
      <w:r>
        <w:rPr>
          <w:color w:val="auto"/>
          <w:highlight w:val="none"/>
        </w:rPr>
        <w:instrText xml:space="preserve"> PAGEREF _Toc43475725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7815FCD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"_Toc43475726" </w:instrText>
      </w:r>
      <w:r>
        <w:rPr>
          <w:color w:val="auto"/>
          <w:highlight w:val="none"/>
        </w:rPr>
        <w:fldChar w:fldCharType="separate"/>
      </w:r>
      <w:r>
        <w:rPr>
          <w:rStyle w:val="50"/>
          <w:rFonts w:hint="eastAsia" w:ascii="宋体" w:hAnsi="宋体" w:cs="宋体"/>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_Toc43475726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6292BF7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"_Toc43475727" </w:instrText>
      </w:r>
      <w:r>
        <w:rPr>
          <w:color w:val="auto"/>
          <w:highlight w:val="none"/>
        </w:rPr>
        <w:fldChar w:fldCharType="separate"/>
      </w:r>
      <w:r>
        <w:rPr>
          <w:rStyle w:val="50"/>
          <w:rFonts w:hint="eastAsia" w:ascii="宋体" w:hAnsi="宋体" w:cs="宋体"/>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_Toc43475727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0C0544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"_Toc43475728" </w:instrText>
      </w:r>
      <w:r>
        <w:rPr>
          <w:color w:val="auto"/>
          <w:highlight w:val="none"/>
        </w:rPr>
        <w:fldChar w:fldCharType="separate"/>
      </w:r>
      <w:r>
        <w:rPr>
          <w:rStyle w:val="50"/>
          <w:rFonts w:hint="eastAsia" w:ascii="宋体" w:hAnsi="宋体" w:cs="宋体"/>
          <w:color w:val="auto"/>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_Toc43475728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6E4697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"_Toc43475729" </w:instrText>
      </w:r>
      <w:r>
        <w:rPr>
          <w:color w:val="auto"/>
          <w:highlight w:val="none"/>
        </w:rPr>
        <w:fldChar w:fldCharType="separate"/>
      </w:r>
      <w:r>
        <w:rPr>
          <w:rStyle w:val="50"/>
          <w:rFonts w:hint="eastAsia" w:ascii="宋体" w:hAnsi="宋体" w:cs="宋体"/>
          <w:color w:val="auto"/>
          <w:highlight w:val="none"/>
        </w:rPr>
        <w:t>附件四：中标通知书</w:t>
      </w:r>
      <w:r>
        <w:rPr>
          <w:color w:val="auto"/>
          <w:highlight w:val="none"/>
        </w:rPr>
        <w:tab/>
      </w:r>
      <w:r>
        <w:rPr>
          <w:color w:val="auto"/>
          <w:highlight w:val="none"/>
        </w:rPr>
        <w:fldChar w:fldCharType="begin"/>
      </w:r>
      <w:r>
        <w:rPr>
          <w:color w:val="auto"/>
          <w:highlight w:val="none"/>
        </w:rPr>
        <w:instrText xml:space="preserve"> PAGEREF _Toc43475729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929689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"_Toc43475730" </w:instrText>
      </w:r>
      <w:r>
        <w:rPr>
          <w:color w:val="auto"/>
          <w:highlight w:val="none"/>
        </w:rPr>
        <w:fldChar w:fldCharType="separate"/>
      </w:r>
      <w:r>
        <w:rPr>
          <w:rStyle w:val="50"/>
          <w:rFonts w:hint="eastAsia" w:ascii="宋体" w:hAnsi="宋体" w:cs="宋体"/>
          <w:color w:val="auto"/>
          <w:highlight w:val="none"/>
        </w:rPr>
        <w:t>附件五：中标结果通知书</w:t>
      </w:r>
      <w:r>
        <w:rPr>
          <w:color w:val="auto"/>
          <w:highlight w:val="none"/>
        </w:rPr>
        <w:tab/>
      </w:r>
      <w:r>
        <w:rPr>
          <w:color w:val="auto"/>
          <w:highlight w:val="none"/>
        </w:rPr>
        <w:fldChar w:fldCharType="begin"/>
      </w:r>
      <w:r>
        <w:rPr>
          <w:color w:val="auto"/>
          <w:highlight w:val="none"/>
        </w:rPr>
        <w:instrText xml:space="preserve"> PAGEREF _Toc43475730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AA5673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"_Toc43475731" </w:instrText>
      </w:r>
      <w:r>
        <w:rPr>
          <w:color w:val="auto"/>
          <w:highlight w:val="none"/>
        </w:rPr>
        <w:fldChar w:fldCharType="separate"/>
      </w:r>
      <w:r>
        <w:rPr>
          <w:rStyle w:val="50"/>
          <w:rFonts w:hint="eastAsia" w:ascii="宋体" w:hAnsi="宋体" w:cs="宋体"/>
          <w:color w:val="auto"/>
          <w:highlight w:val="none"/>
        </w:rPr>
        <w:t>附表六：确认通知</w:t>
      </w:r>
      <w:r>
        <w:rPr>
          <w:color w:val="auto"/>
          <w:highlight w:val="none"/>
        </w:rPr>
        <w:tab/>
      </w:r>
      <w:r>
        <w:rPr>
          <w:color w:val="auto"/>
          <w:highlight w:val="none"/>
        </w:rPr>
        <w:fldChar w:fldCharType="begin"/>
      </w:r>
      <w:r>
        <w:rPr>
          <w:color w:val="auto"/>
          <w:highlight w:val="none"/>
        </w:rPr>
        <w:instrText xml:space="preserve"> PAGEREF _Toc43475731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5DB8B61">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"_Toc43475732" </w:instrText>
      </w:r>
      <w:r>
        <w:rPr>
          <w:color w:val="auto"/>
          <w:highlight w:val="none"/>
        </w:rPr>
        <w:fldChar w:fldCharType="separate"/>
      </w:r>
      <w:r>
        <w:rPr>
          <w:rStyle w:val="50"/>
          <w:rFonts w:hint="eastAsia"/>
          <w:color w:val="auto"/>
          <w:highlight w:val="none"/>
        </w:rPr>
        <w:t>第三章评标办法（双信封的技术评分最低标价法）</w:t>
      </w:r>
      <w:r>
        <w:rPr>
          <w:color w:val="auto"/>
          <w:highlight w:val="none"/>
        </w:rPr>
        <w:tab/>
      </w:r>
      <w:r>
        <w:rPr>
          <w:color w:val="auto"/>
          <w:highlight w:val="none"/>
        </w:rPr>
        <w:fldChar w:fldCharType="begin"/>
      </w:r>
      <w:r>
        <w:rPr>
          <w:color w:val="auto"/>
          <w:highlight w:val="none"/>
        </w:rPr>
        <w:instrText xml:space="preserve"> PAGEREF _Toc43475732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667F1408">
      <w:pPr>
        <w:pStyle w:val="34"/>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"_Toc43475733" </w:instrText>
      </w:r>
      <w:r>
        <w:rPr>
          <w:color w:val="auto"/>
          <w:highlight w:val="none"/>
        </w:rPr>
        <w:fldChar w:fldCharType="separate"/>
      </w:r>
      <w:r>
        <w:rPr>
          <w:rStyle w:val="50"/>
          <w:rFonts w:hint="eastAsia"/>
          <w:color w:val="auto"/>
          <w:highlight w:val="none"/>
        </w:rPr>
        <w:t>评标办法前附表</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8</w:t>
      </w:r>
    </w:p>
    <w:p w14:paraId="294D9F8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"_Toc43475734" </w:instrText>
      </w:r>
      <w:r>
        <w:rPr>
          <w:color w:val="auto"/>
          <w:highlight w:val="none"/>
        </w:rPr>
        <w:fldChar w:fldCharType="separate"/>
      </w:r>
      <w:r>
        <w:rPr>
          <w:rStyle w:val="50"/>
          <w:rFonts w:ascii="宋体" w:hAnsi="宋体"/>
          <w:color w:val="auto"/>
          <w:highlight w:val="none"/>
        </w:rPr>
        <w:t xml:space="preserve">1. </w:t>
      </w:r>
      <w:r>
        <w:rPr>
          <w:rStyle w:val="50"/>
          <w:rFonts w:hint="eastAsia" w:ascii="宋体" w:hAnsi="宋体"/>
          <w:color w:val="auto"/>
          <w:highlight w:val="none"/>
        </w:rPr>
        <w:t>评标方法</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5</w:t>
      </w:r>
    </w:p>
    <w:p w14:paraId="70A5913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"_Toc43475735" </w:instrText>
      </w:r>
      <w:r>
        <w:rPr>
          <w:color w:val="auto"/>
          <w:highlight w:val="none"/>
        </w:rPr>
        <w:fldChar w:fldCharType="separate"/>
      </w:r>
      <w:r>
        <w:rPr>
          <w:rStyle w:val="50"/>
          <w:rFonts w:ascii="宋体" w:hAnsi="宋体"/>
          <w:color w:val="auto"/>
          <w:highlight w:val="none"/>
        </w:rPr>
        <w:t xml:space="preserve">2. </w:t>
      </w:r>
      <w:r>
        <w:rPr>
          <w:rStyle w:val="50"/>
          <w:rFonts w:hint="eastAsia" w:ascii="宋体" w:hAnsi="宋体"/>
          <w:color w:val="auto"/>
          <w:highlight w:val="none"/>
        </w:rPr>
        <w:t>评审标准</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5</w:t>
      </w:r>
    </w:p>
    <w:p w14:paraId="67C15E9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"_Toc43475738" </w:instrText>
      </w:r>
      <w:r>
        <w:rPr>
          <w:color w:val="auto"/>
          <w:highlight w:val="none"/>
        </w:rPr>
        <w:fldChar w:fldCharType="separate"/>
      </w:r>
      <w:r>
        <w:rPr>
          <w:rStyle w:val="50"/>
          <w:rFonts w:ascii="宋体" w:hAnsi="宋体"/>
          <w:color w:val="auto"/>
          <w:highlight w:val="none"/>
        </w:rPr>
        <w:t xml:space="preserve">3. </w:t>
      </w:r>
      <w:r>
        <w:rPr>
          <w:rStyle w:val="50"/>
          <w:rFonts w:hint="eastAsia" w:ascii="宋体" w:hAnsi="宋体"/>
          <w:color w:val="auto"/>
          <w:highlight w:val="none"/>
        </w:rPr>
        <w:t>评标程序</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5</w:t>
      </w:r>
    </w:p>
    <w:p w14:paraId="4429F2A9">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"_Toc43475747" </w:instrText>
      </w:r>
      <w:r>
        <w:rPr>
          <w:color w:val="auto"/>
          <w:highlight w:val="none"/>
        </w:rPr>
        <w:fldChar w:fldCharType="separate"/>
      </w:r>
      <w:r>
        <w:rPr>
          <w:rStyle w:val="50"/>
          <w:rFonts w:hint="eastAsia"/>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_Toc43475747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223C3747">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"_Toc43475748" </w:instrText>
      </w:r>
      <w:r>
        <w:rPr>
          <w:color w:val="auto"/>
          <w:highlight w:val="none"/>
        </w:rPr>
        <w:fldChar w:fldCharType="separate"/>
      </w:r>
      <w:r>
        <w:rPr>
          <w:rStyle w:val="50"/>
          <w:rFonts w:hint="eastAsia" w:ascii="宋体" w:hAnsi="宋体"/>
          <w:color w:val="auto"/>
          <w:highlight w:val="none"/>
        </w:rPr>
        <w:t>第一节通用合同条款</w:t>
      </w:r>
      <w:r>
        <w:rPr>
          <w:color w:val="auto"/>
          <w:highlight w:val="none"/>
        </w:rPr>
        <w:tab/>
      </w:r>
      <w:r>
        <w:rPr>
          <w:color w:val="auto"/>
          <w:highlight w:val="none"/>
        </w:rPr>
        <w:fldChar w:fldCharType="begin"/>
      </w:r>
      <w:r>
        <w:rPr>
          <w:color w:val="auto"/>
          <w:highlight w:val="none"/>
        </w:rPr>
        <w:instrText xml:space="preserve"> PAGEREF _Toc43475748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01703A35">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"_Toc43475749" </w:instrText>
      </w:r>
      <w:r>
        <w:rPr>
          <w:color w:val="auto"/>
          <w:highlight w:val="none"/>
        </w:rPr>
        <w:fldChar w:fldCharType="separate"/>
      </w:r>
      <w:r>
        <w:rPr>
          <w:rStyle w:val="50"/>
          <w:rFonts w:ascii="宋体" w:hAnsi="宋体"/>
          <w:color w:val="auto"/>
          <w:highlight w:val="none"/>
        </w:rPr>
        <w:t xml:space="preserve">1. </w:t>
      </w:r>
      <w:r>
        <w:rPr>
          <w:rStyle w:val="50"/>
          <w:rFonts w:hint="eastAsia" w:ascii="宋体" w:hAnsi="宋体"/>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_Toc43475749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20F1987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"_Toc43475750" </w:instrText>
      </w:r>
      <w:r>
        <w:rPr>
          <w:color w:val="auto"/>
          <w:highlight w:val="none"/>
        </w:rPr>
        <w:fldChar w:fldCharType="separate"/>
      </w:r>
      <w:r>
        <w:rPr>
          <w:rStyle w:val="50"/>
          <w:rFonts w:ascii="宋体"/>
          <w:color w:val="auto"/>
          <w:highlight w:val="none"/>
        </w:rPr>
        <w:t xml:space="preserve">1.1 </w:t>
      </w:r>
      <w:r>
        <w:rPr>
          <w:rStyle w:val="50"/>
          <w:rFonts w:hint="eastAsia" w:ascii="宋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_Toc43475750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531F455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"_Toc43475751" </w:instrText>
      </w:r>
      <w:r>
        <w:rPr>
          <w:color w:val="auto"/>
          <w:highlight w:val="none"/>
        </w:rPr>
        <w:fldChar w:fldCharType="separate"/>
      </w:r>
      <w:r>
        <w:rPr>
          <w:rStyle w:val="50"/>
          <w:rFonts w:ascii="宋体"/>
          <w:color w:val="auto"/>
          <w:highlight w:val="none"/>
        </w:rPr>
        <w:t xml:space="preserve">1.2 </w:t>
      </w:r>
      <w:r>
        <w:rPr>
          <w:rStyle w:val="50"/>
          <w:rFonts w:hint="eastAsia" w:ascii="宋体"/>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_Toc43475751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05A0204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"_Toc43475752" </w:instrText>
      </w:r>
      <w:r>
        <w:rPr>
          <w:color w:val="auto"/>
          <w:highlight w:val="none"/>
        </w:rPr>
        <w:fldChar w:fldCharType="separate"/>
      </w:r>
      <w:r>
        <w:rPr>
          <w:rStyle w:val="50"/>
          <w:rFonts w:ascii="宋体"/>
          <w:color w:val="auto"/>
          <w:highlight w:val="none"/>
        </w:rPr>
        <w:t xml:space="preserve">1.3 </w:t>
      </w:r>
      <w:r>
        <w:rPr>
          <w:rStyle w:val="50"/>
          <w:rFonts w:hint="eastAsia" w:ascii="宋体"/>
          <w:color w:val="auto"/>
          <w:highlight w:val="none"/>
        </w:rPr>
        <w:t>法律</w:t>
      </w:r>
      <w:r>
        <w:rPr>
          <w:color w:val="auto"/>
          <w:highlight w:val="none"/>
        </w:rPr>
        <w:tab/>
      </w:r>
      <w:r>
        <w:rPr>
          <w:color w:val="auto"/>
          <w:highlight w:val="none"/>
        </w:rPr>
        <w:fldChar w:fldCharType="begin"/>
      </w:r>
      <w:r>
        <w:rPr>
          <w:color w:val="auto"/>
          <w:highlight w:val="none"/>
        </w:rPr>
        <w:instrText xml:space="preserve"> PAGEREF _Toc43475752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613F92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"_Toc43475753" </w:instrText>
      </w:r>
      <w:r>
        <w:rPr>
          <w:color w:val="auto"/>
          <w:highlight w:val="none"/>
        </w:rPr>
        <w:fldChar w:fldCharType="separate"/>
      </w:r>
      <w:r>
        <w:rPr>
          <w:rStyle w:val="50"/>
          <w:rFonts w:ascii="宋体"/>
          <w:color w:val="auto"/>
          <w:highlight w:val="none"/>
        </w:rPr>
        <w:t xml:space="preserve">1.4 </w:t>
      </w:r>
      <w:r>
        <w:rPr>
          <w:rStyle w:val="50"/>
          <w:rFonts w:hint="eastAsia" w:ascii="宋体"/>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_Toc43475753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B7C8A0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"_Toc43475754" </w:instrText>
      </w:r>
      <w:r>
        <w:rPr>
          <w:color w:val="auto"/>
          <w:highlight w:val="none"/>
        </w:rPr>
        <w:fldChar w:fldCharType="separate"/>
      </w:r>
      <w:r>
        <w:rPr>
          <w:rStyle w:val="50"/>
          <w:rFonts w:ascii="宋体"/>
          <w:color w:val="auto"/>
          <w:highlight w:val="none"/>
        </w:rPr>
        <w:t xml:space="preserve">1.5 </w:t>
      </w:r>
      <w:r>
        <w:rPr>
          <w:rStyle w:val="50"/>
          <w:rFonts w:hint="eastAsia" w:ascii="宋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_Toc43475754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11357F8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"_Toc43475755" </w:instrText>
      </w:r>
      <w:r>
        <w:rPr>
          <w:color w:val="auto"/>
          <w:highlight w:val="none"/>
        </w:rPr>
        <w:fldChar w:fldCharType="separate"/>
      </w:r>
      <w:r>
        <w:rPr>
          <w:rStyle w:val="50"/>
          <w:rFonts w:ascii="宋体"/>
          <w:color w:val="auto"/>
          <w:highlight w:val="none"/>
        </w:rPr>
        <w:t xml:space="preserve">1.6 </w:t>
      </w:r>
      <w:r>
        <w:rPr>
          <w:rStyle w:val="50"/>
          <w:rFonts w:hint="eastAsia" w:ascii="宋体"/>
          <w:color w:val="auto"/>
          <w:highlight w:val="none"/>
        </w:rPr>
        <w:t>图纸和承包人文件</w:t>
      </w:r>
      <w:r>
        <w:rPr>
          <w:color w:val="auto"/>
          <w:highlight w:val="none"/>
        </w:rPr>
        <w:tab/>
      </w:r>
      <w:r>
        <w:rPr>
          <w:color w:val="auto"/>
          <w:highlight w:val="none"/>
        </w:rPr>
        <w:fldChar w:fldCharType="begin"/>
      </w:r>
      <w:r>
        <w:rPr>
          <w:color w:val="auto"/>
          <w:highlight w:val="none"/>
        </w:rPr>
        <w:instrText xml:space="preserve"> PAGEREF _Toc43475755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18DC36E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"_Toc43475756" </w:instrText>
      </w:r>
      <w:r>
        <w:rPr>
          <w:color w:val="auto"/>
          <w:highlight w:val="none"/>
        </w:rPr>
        <w:fldChar w:fldCharType="separate"/>
      </w:r>
      <w:r>
        <w:rPr>
          <w:rStyle w:val="50"/>
          <w:rFonts w:ascii="宋体"/>
          <w:color w:val="auto"/>
          <w:highlight w:val="none"/>
        </w:rPr>
        <w:t xml:space="preserve">1.7 </w:t>
      </w:r>
      <w:r>
        <w:rPr>
          <w:rStyle w:val="50"/>
          <w:rFonts w:hint="eastAsia" w:ascii="宋体"/>
          <w:color w:val="auto"/>
          <w:highlight w:val="none"/>
        </w:rPr>
        <w:t>联络</w:t>
      </w:r>
      <w:r>
        <w:rPr>
          <w:color w:val="auto"/>
          <w:highlight w:val="none"/>
        </w:rPr>
        <w:tab/>
      </w:r>
      <w:r>
        <w:rPr>
          <w:color w:val="auto"/>
          <w:highlight w:val="none"/>
        </w:rPr>
        <w:fldChar w:fldCharType="begin"/>
      </w:r>
      <w:r>
        <w:rPr>
          <w:color w:val="auto"/>
          <w:highlight w:val="none"/>
        </w:rPr>
        <w:instrText xml:space="preserve"> PAGEREF _Toc43475756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6FCFFC1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"_Toc43475757" </w:instrText>
      </w:r>
      <w:r>
        <w:rPr>
          <w:color w:val="auto"/>
          <w:highlight w:val="none"/>
        </w:rPr>
        <w:fldChar w:fldCharType="separate"/>
      </w:r>
      <w:r>
        <w:rPr>
          <w:rStyle w:val="50"/>
          <w:rFonts w:ascii="宋体"/>
          <w:color w:val="auto"/>
          <w:highlight w:val="none"/>
        </w:rPr>
        <w:t xml:space="preserve">1.8 </w:t>
      </w:r>
      <w:r>
        <w:rPr>
          <w:rStyle w:val="50"/>
          <w:rFonts w:hint="eastAsia" w:ascii="宋体"/>
          <w:color w:val="auto"/>
          <w:highlight w:val="none"/>
        </w:rPr>
        <w:t>转让</w:t>
      </w:r>
      <w:r>
        <w:rPr>
          <w:color w:val="auto"/>
          <w:highlight w:val="none"/>
        </w:rPr>
        <w:tab/>
      </w:r>
      <w:r>
        <w:rPr>
          <w:color w:val="auto"/>
          <w:highlight w:val="none"/>
        </w:rPr>
        <w:fldChar w:fldCharType="begin"/>
      </w:r>
      <w:r>
        <w:rPr>
          <w:color w:val="auto"/>
          <w:highlight w:val="none"/>
        </w:rPr>
        <w:instrText xml:space="preserve"> PAGEREF _Toc43475757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7D76EAA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"_Toc43475758" </w:instrText>
      </w:r>
      <w:r>
        <w:rPr>
          <w:color w:val="auto"/>
          <w:highlight w:val="none"/>
        </w:rPr>
        <w:fldChar w:fldCharType="separate"/>
      </w:r>
      <w:r>
        <w:rPr>
          <w:rStyle w:val="50"/>
          <w:rFonts w:ascii="宋体"/>
          <w:color w:val="auto"/>
          <w:highlight w:val="none"/>
        </w:rPr>
        <w:t xml:space="preserve">1.9 </w:t>
      </w:r>
      <w:r>
        <w:rPr>
          <w:rStyle w:val="50"/>
          <w:rFonts w:hint="eastAsia" w:ascii="宋体"/>
          <w:color w:val="auto"/>
          <w:highlight w:val="none"/>
        </w:rPr>
        <w:t>严禁贿赂</w:t>
      </w:r>
      <w:r>
        <w:rPr>
          <w:color w:val="auto"/>
          <w:highlight w:val="none"/>
        </w:rPr>
        <w:tab/>
      </w:r>
      <w:r>
        <w:rPr>
          <w:color w:val="auto"/>
          <w:highlight w:val="none"/>
        </w:rPr>
        <w:fldChar w:fldCharType="begin"/>
      </w:r>
      <w:r>
        <w:rPr>
          <w:color w:val="auto"/>
          <w:highlight w:val="none"/>
        </w:rPr>
        <w:instrText xml:space="preserve"> PAGEREF _Toc43475758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A3E7F1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"_Toc43475759" </w:instrText>
      </w:r>
      <w:r>
        <w:rPr>
          <w:color w:val="auto"/>
          <w:highlight w:val="none"/>
        </w:rPr>
        <w:fldChar w:fldCharType="separate"/>
      </w:r>
      <w:r>
        <w:rPr>
          <w:rStyle w:val="50"/>
          <w:rFonts w:ascii="宋体"/>
          <w:color w:val="auto"/>
          <w:highlight w:val="none"/>
        </w:rPr>
        <w:t xml:space="preserve">1.10 </w:t>
      </w:r>
      <w:r>
        <w:rPr>
          <w:rStyle w:val="50"/>
          <w:rFonts w:hint="eastAsia" w:ascii="宋体"/>
          <w:color w:val="auto"/>
          <w:highlight w:val="none"/>
        </w:rPr>
        <w:t>化石、文物</w:t>
      </w:r>
      <w:r>
        <w:rPr>
          <w:color w:val="auto"/>
          <w:highlight w:val="none"/>
        </w:rPr>
        <w:tab/>
      </w:r>
      <w:r>
        <w:rPr>
          <w:color w:val="auto"/>
          <w:highlight w:val="none"/>
        </w:rPr>
        <w:fldChar w:fldCharType="begin"/>
      </w:r>
      <w:r>
        <w:rPr>
          <w:color w:val="auto"/>
          <w:highlight w:val="none"/>
        </w:rPr>
        <w:instrText xml:space="preserve"> PAGEREF _Toc43475759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7B1386D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"_Toc43475760" </w:instrText>
      </w:r>
      <w:r>
        <w:rPr>
          <w:color w:val="auto"/>
          <w:highlight w:val="none"/>
        </w:rPr>
        <w:fldChar w:fldCharType="separate"/>
      </w:r>
      <w:r>
        <w:rPr>
          <w:rStyle w:val="50"/>
          <w:rFonts w:ascii="宋体"/>
          <w:color w:val="auto"/>
          <w:highlight w:val="none"/>
        </w:rPr>
        <w:t xml:space="preserve">1.11 </w:t>
      </w:r>
      <w:r>
        <w:rPr>
          <w:rStyle w:val="50"/>
          <w:rFonts w:hint="eastAsia" w:ascii="宋体"/>
          <w:color w:val="auto"/>
          <w:highlight w:val="none"/>
        </w:rPr>
        <w:t>专利技术</w:t>
      </w:r>
      <w:r>
        <w:rPr>
          <w:color w:val="auto"/>
          <w:highlight w:val="none"/>
        </w:rPr>
        <w:tab/>
      </w:r>
      <w:r>
        <w:rPr>
          <w:color w:val="auto"/>
          <w:highlight w:val="none"/>
        </w:rPr>
        <w:fldChar w:fldCharType="begin"/>
      </w:r>
      <w:r>
        <w:rPr>
          <w:color w:val="auto"/>
          <w:highlight w:val="none"/>
        </w:rPr>
        <w:instrText xml:space="preserve"> PAGEREF _Toc43475760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5B8CFE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"_Toc43475761" </w:instrText>
      </w:r>
      <w:r>
        <w:rPr>
          <w:color w:val="auto"/>
          <w:highlight w:val="none"/>
        </w:rPr>
        <w:fldChar w:fldCharType="separate"/>
      </w:r>
      <w:r>
        <w:rPr>
          <w:rStyle w:val="50"/>
          <w:rFonts w:ascii="宋体"/>
          <w:color w:val="auto"/>
          <w:highlight w:val="none"/>
        </w:rPr>
        <w:t xml:space="preserve">1.12 </w:t>
      </w:r>
      <w:r>
        <w:rPr>
          <w:rStyle w:val="50"/>
          <w:rFonts w:hint="eastAsia" w:ascii="宋体"/>
          <w:color w:val="auto"/>
          <w:highlight w:val="none"/>
        </w:rPr>
        <w:t>图纸和文件的保密</w:t>
      </w:r>
      <w:r>
        <w:rPr>
          <w:color w:val="auto"/>
          <w:highlight w:val="none"/>
        </w:rPr>
        <w:tab/>
      </w:r>
      <w:r>
        <w:rPr>
          <w:color w:val="auto"/>
          <w:highlight w:val="none"/>
        </w:rPr>
        <w:fldChar w:fldCharType="begin"/>
      </w:r>
      <w:r>
        <w:rPr>
          <w:color w:val="auto"/>
          <w:highlight w:val="none"/>
        </w:rPr>
        <w:instrText xml:space="preserve"> PAGEREF _Toc43475761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6B72F0BC">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"_Toc43475762" </w:instrText>
      </w:r>
      <w:r>
        <w:rPr>
          <w:color w:val="auto"/>
          <w:highlight w:val="none"/>
        </w:rPr>
        <w:fldChar w:fldCharType="separate"/>
      </w:r>
      <w:r>
        <w:rPr>
          <w:rStyle w:val="50"/>
          <w:rFonts w:ascii="宋体" w:hAnsi="宋体"/>
          <w:color w:val="auto"/>
          <w:highlight w:val="none"/>
        </w:rPr>
        <w:t xml:space="preserve">2. </w:t>
      </w:r>
      <w:r>
        <w:rPr>
          <w:rStyle w:val="50"/>
          <w:rFonts w:hint="eastAsia" w:ascii="宋体" w:hAnsi="宋体"/>
          <w:color w:val="auto"/>
          <w:highlight w:val="none"/>
        </w:rPr>
        <w:t>发包人义务</w:t>
      </w:r>
      <w:r>
        <w:rPr>
          <w:color w:val="auto"/>
          <w:highlight w:val="none"/>
        </w:rPr>
        <w:tab/>
      </w:r>
      <w:r>
        <w:rPr>
          <w:color w:val="auto"/>
          <w:highlight w:val="none"/>
        </w:rPr>
        <w:fldChar w:fldCharType="begin"/>
      </w:r>
      <w:r>
        <w:rPr>
          <w:color w:val="auto"/>
          <w:highlight w:val="none"/>
        </w:rPr>
        <w:instrText xml:space="preserve"> PAGEREF _Toc43475762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4968E2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"_Toc43475763" </w:instrText>
      </w:r>
      <w:r>
        <w:rPr>
          <w:color w:val="auto"/>
          <w:highlight w:val="none"/>
        </w:rPr>
        <w:fldChar w:fldCharType="separate"/>
      </w:r>
      <w:r>
        <w:rPr>
          <w:rStyle w:val="50"/>
          <w:rFonts w:ascii="宋体"/>
          <w:color w:val="auto"/>
          <w:highlight w:val="none"/>
        </w:rPr>
        <w:t xml:space="preserve">2.1 </w:t>
      </w:r>
      <w:r>
        <w:rPr>
          <w:rStyle w:val="50"/>
          <w:rFonts w:hint="eastAsia" w:ascii="宋体"/>
          <w:color w:val="auto"/>
          <w:highlight w:val="none"/>
        </w:rPr>
        <w:t>遵守法律</w:t>
      </w:r>
      <w:r>
        <w:rPr>
          <w:color w:val="auto"/>
          <w:highlight w:val="none"/>
        </w:rPr>
        <w:tab/>
      </w:r>
      <w:r>
        <w:rPr>
          <w:color w:val="auto"/>
          <w:highlight w:val="none"/>
        </w:rPr>
        <w:fldChar w:fldCharType="begin"/>
      </w:r>
      <w:r>
        <w:rPr>
          <w:color w:val="auto"/>
          <w:highlight w:val="none"/>
        </w:rPr>
        <w:instrText xml:space="preserve"> PAGEREF _Toc43475763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830A53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"_Toc43475764" </w:instrText>
      </w:r>
      <w:r>
        <w:rPr>
          <w:color w:val="auto"/>
          <w:highlight w:val="none"/>
        </w:rPr>
        <w:fldChar w:fldCharType="separate"/>
      </w:r>
      <w:r>
        <w:rPr>
          <w:rStyle w:val="50"/>
          <w:rFonts w:ascii="宋体"/>
          <w:color w:val="auto"/>
          <w:highlight w:val="none"/>
        </w:rPr>
        <w:t xml:space="preserve">2.2 </w:t>
      </w:r>
      <w:r>
        <w:rPr>
          <w:rStyle w:val="50"/>
          <w:rFonts w:hint="eastAsia" w:ascii="宋体"/>
          <w:color w:val="auto"/>
          <w:highlight w:val="none"/>
        </w:rPr>
        <w:t>发出开工通知</w:t>
      </w:r>
      <w:r>
        <w:rPr>
          <w:color w:val="auto"/>
          <w:highlight w:val="none"/>
        </w:rPr>
        <w:tab/>
      </w:r>
      <w:r>
        <w:rPr>
          <w:color w:val="auto"/>
          <w:highlight w:val="none"/>
        </w:rPr>
        <w:fldChar w:fldCharType="begin"/>
      </w:r>
      <w:r>
        <w:rPr>
          <w:color w:val="auto"/>
          <w:highlight w:val="none"/>
        </w:rPr>
        <w:instrText xml:space="preserve"> PAGEREF _Toc43475764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CF7BB4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"_Toc43475765" </w:instrText>
      </w:r>
      <w:r>
        <w:rPr>
          <w:color w:val="auto"/>
          <w:highlight w:val="none"/>
        </w:rPr>
        <w:fldChar w:fldCharType="separate"/>
      </w:r>
      <w:r>
        <w:rPr>
          <w:rStyle w:val="50"/>
          <w:rFonts w:ascii="宋体"/>
          <w:color w:val="auto"/>
          <w:highlight w:val="none"/>
        </w:rPr>
        <w:t xml:space="preserve">2.3 </w:t>
      </w:r>
      <w:r>
        <w:rPr>
          <w:rStyle w:val="50"/>
          <w:rFonts w:hint="eastAsia" w:ascii="宋体"/>
          <w:color w:val="auto"/>
          <w:highlight w:val="none"/>
        </w:rPr>
        <w:t>提供施工场地</w:t>
      </w:r>
      <w:r>
        <w:rPr>
          <w:color w:val="auto"/>
          <w:highlight w:val="none"/>
        </w:rPr>
        <w:tab/>
      </w:r>
      <w:r>
        <w:rPr>
          <w:color w:val="auto"/>
          <w:highlight w:val="none"/>
        </w:rPr>
        <w:fldChar w:fldCharType="begin"/>
      </w:r>
      <w:r>
        <w:rPr>
          <w:color w:val="auto"/>
          <w:highlight w:val="none"/>
        </w:rPr>
        <w:instrText xml:space="preserve"> PAGEREF _Toc43475765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69E1FC9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"_Toc43475766" </w:instrText>
      </w:r>
      <w:r>
        <w:rPr>
          <w:color w:val="auto"/>
          <w:highlight w:val="none"/>
        </w:rPr>
        <w:fldChar w:fldCharType="separate"/>
      </w:r>
      <w:r>
        <w:rPr>
          <w:rStyle w:val="50"/>
          <w:rFonts w:ascii="宋体"/>
          <w:color w:val="auto"/>
          <w:highlight w:val="none"/>
        </w:rPr>
        <w:t xml:space="preserve">2.4 </w:t>
      </w:r>
      <w:r>
        <w:rPr>
          <w:rStyle w:val="50"/>
          <w:rFonts w:hint="eastAsia" w:ascii="宋体"/>
          <w:color w:val="auto"/>
          <w:highlight w:val="none"/>
        </w:rPr>
        <w:t>协助承包人办理证件和批件</w:t>
      </w:r>
      <w:r>
        <w:rPr>
          <w:color w:val="auto"/>
          <w:highlight w:val="none"/>
        </w:rPr>
        <w:tab/>
      </w:r>
      <w:r>
        <w:rPr>
          <w:color w:val="auto"/>
          <w:highlight w:val="none"/>
        </w:rPr>
        <w:fldChar w:fldCharType="begin"/>
      </w:r>
      <w:r>
        <w:rPr>
          <w:color w:val="auto"/>
          <w:highlight w:val="none"/>
        </w:rPr>
        <w:instrText xml:space="preserve"> PAGEREF _Toc43475766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137696D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"_Toc43475767" </w:instrText>
      </w:r>
      <w:r>
        <w:rPr>
          <w:color w:val="auto"/>
          <w:highlight w:val="none"/>
        </w:rPr>
        <w:fldChar w:fldCharType="separate"/>
      </w:r>
      <w:r>
        <w:rPr>
          <w:rStyle w:val="50"/>
          <w:rFonts w:ascii="宋体"/>
          <w:color w:val="auto"/>
          <w:highlight w:val="none"/>
        </w:rPr>
        <w:t xml:space="preserve">2.5 </w:t>
      </w:r>
      <w:r>
        <w:rPr>
          <w:rStyle w:val="50"/>
          <w:rFonts w:hint="eastAsia" w:ascii="宋体"/>
          <w:color w:val="auto"/>
          <w:highlight w:val="none"/>
        </w:rPr>
        <w:t>组织设计交底</w:t>
      </w:r>
      <w:r>
        <w:rPr>
          <w:color w:val="auto"/>
          <w:highlight w:val="none"/>
        </w:rPr>
        <w:tab/>
      </w:r>
      <w:r>
        <w:rPr>
          <w:color w:val="auto"/>
          <w:highlight w:val="none"/>
        </w:rPr>
        <w:fldChar w:fldCharType="begin"/>
      </w:r>
      <w:r>
        <w:rPr>
          <w:color w:val="auto"/>
          <w:highlight w:val="none"/>
        </w:rPr>
        <w:instrText xml:space="preserve"> PAGEREF _Toc43475767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7634EFDB">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"_Toc43475768" </w:instrText>
      </w:r>
      <w:r>
        <w:rPr>
          <w:color w:val="auto"/>
          <w:highlight w:val="none"/>
        </w:rPr>
        <w:fldChar w:fldCharType="separate"/>
      </w:r>
      <w:r>
        <w:rPr>
          <w:rStyle w:val="50"/>
          <w:rFonts w:ascii="宋体"/>
          <w:color w:val="auto"/>
          <w:highlight w:val="none"/>
        </w:rPr>
        <w:t xml:space="preserve">2.6 </w:t>
      </w:r>
      <w:r>
        <w:rPr>
          <w:rStyle w:val="50"/>
          <w:rFonts w:hint="eastAsia" w:ascii="宋体"/>
          <w:color w:val="auto"/>
          <w:highlight w:val="none"/>
        </w:rPr>
        <w:t>支付合同价款</w:t>
      </w:r>
      <w:r>
        <w:rPr>
          <w:color w:val="auto"/>
          <w:highlight w:val="none"/>
        </w:rPr>
        <w:tab/>
      </w:r>
      <w:r>
        <w:rPr>
          <w:color w:val="auto"/>
          <w:highlight w:val="none"/>
        </w:rPr>
        <w:fldChar w:fldCharType="begin"/>
      </w:r>
      <w:r>
        <w:rPr>
          <w:color w:val="auto"/>
          <w:highlight w:val="none"/>
        </w:rPr>
        <w:instrText xml:space="preserve"> PAGEREF _Toc43475768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121D4BC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"_Toc43475769" </w:instrText>
      </w:r>
      <w:r>
        <w:rPr>
          <w:color w:val="auto"/>
          <w:highlight w:val="none"/>
        </w:rPr>
        <w:fldChar w:fldCharType="separate"/>
      </w:r>
      <w:r>
        <w:rPr>
          <w:rStyle w:val="50"/>
          <w:rFonts w:ascii="宋体"/>
          <w:color w:val="auto"/>
          <w:highlight w:val="none"/>
        </w:rPr>
        <w:t xml:space="preserve">2.7 </w:t>
      </w:r>
      <w:r>
        <w:rPr>
          <w:rStyle w:val="50"/>
          <w:rFonts w:hint="eastAsia" w:ascii="宋体"/>
          <w:color w:val="auto"/>
          <w:highlight w:val="none"/>
        </w:rPr>
        <w:t>组织竣工验收</w:t>
      </w:r>
      <w:r>
        <w:rPr>
          <w:color w:val="auto"/>
          <w:highlight w:val="none"/>
        </w:rPr>
        <w:tab/>
      </w:r>
      <w:r>
        <w:rPr>
          <w:color w:val="auto"/>
          <w:highlight w:val="none"/>
        </w:rPr>
        <w:fldChar w:fldCharType="begin"/>
      </w:r>
      <w:r>
        <w:rPr>
          <w:color w:val="auto"/>
          <w:highlight w:val="none"/>
        </w:rPr>
        <w:instrText xml:space="preserve"> PAGEREF _Toc43475769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677B47D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"_Toc43475770" </w:instrText>
      </w:r>
      <w:r>
        <w:rPr>
          <w:color w:val="auto"/>
          <w:highlight w:val="none"/>
        </w:rPr>
        <w:fldChar w:fldCharType="separate"/>
      </w:r>
      <w:r>
        <w:rPr>
          <w:rStyle w:val="50"/>
          <w:rFonts w:ascii="宋体"/>
          <w:color w:val="auto"/>
          <w:highlight w:val="none"/>
        </w:rPr>
        <w:t xml:space="preserve">2.8 </w:t>
      </w:r>
      <w:r>
        <w:rPr>
          <w:rStyle w:val="50"/>
          <w:rFonts w:hint="eastAsia" w:ascii="宋体"/>
          <w:color w:val="auto"/>
          <w:highlight w:val="none"/>
        </w:rPr>
        <w:t>其他义务</w:t>
      </w:r>
      <w:r>
        <w:rPr>
          <w:color w:val="auto"/>
          <w:highlight w:val="none"/>
        </w:rPr>
        <w:tab/>
      </w:r>
      <w:r>
        <w:rPr>
          <w:color w:val="auto"/>
          <w:highlight w:val="none"/>
        </w:rPr>
        <w:fldChar w:fldCharType="begin"/>
      </w:r>
      <w:r>
        <w:rPr>
          <w:color w:val="auto"/>
          <w:highlight w:val="none"/>
        </w:rPr>
        <w:instrText xml:space="preserve"> PAGEREF _Toc43475770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FA495F1">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"_Toc43475771" </w:instrText>
      </w:r>
      <w:r>
        <w:rPr>
          <w:color w:val="auto"/>
          <w:highlight w:val="none"/>
        </w:rPr>
        <w:fldChar w:fldCharType="separate"/>
      </w:r>
      <w:r>
        <w:rPr>
          <w:rStyle w:val="50"/>
          <w:rFonts w:ascii="宋体" w:hAnsi="宋体"/>
          <w:color w:val="auto"/>
          <w:highlight w:val="none"/>
        </w:rPr>
        <w:t xml:space="preserve">3. </w:t>
      </w:r>
      <w:r>
        <w:rPr>
          <w:rStyle w:val="50"/>
          <w:rFonts w:hint="eastAsia" w:ascii="宋体" w:hAnsi="宋体"/>
          <w:color w:val="auto"/>
          <w:highlight w:val="none"/>
        </w:rPr>
        <w:t>监理人</w:t>
      </w:r>
      <w:r>
        <w:rPr>
          <w:color w:val="auto"/>
          <w:highlight w:val="none"/>
        </w:rPr>
        <w:tab/>
      </w:r>
      <w:r>
        <w:rPr>
          <w:color w:val="auto"/>
          <w:highlight w:val="none"/>
        </w:rPr>
        <w:fldChar w:fldCharType="begin"/>
      </w:r>
      <w:r>
        <w:rPr>
          <w:color w:val="auto"/>
          <w:highlight w:val="none"/>
        </w:rPr>
        <w:instrText xml:space="preserve"> PAGEREF _Toc43475771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0F42A4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"_Toc43475772" </w:instrText>
      </w:r>
      <w:r>
        <w:rPr>
          <w:color w:val="auto"/>
          <w:highlight w:val="none"/>
        </w:rPr>
        <w:fldChar w:fldCharType="separate"/>
      </w:r>
      <w:r>
        <w:rPr>
          <w:rStyle w:val="50"/>
          <w:rFonts w:ascii="宋体"/>
          <w:color w:val="auto"/>
          <w:highlight w:val="none"/>
        </w:rPr>
        <w:t xml:space="preserve">3.1 </w:t>
      </w:r>
      <w:r>
        <w:rPr>
          <w:rStyle w:val="50"/>
          <w:rFonts w:hint="eastAsia" w:ascii="宋体"/>
          <w:color w:val="auto"/>
          <w:highlight w:val="none"/>
        </w:rPr>
        <w:t>监理人的职责和权力</w:t>
      </w:r>
      <w:r>
        <w:rPr>
          <w:color w:val="auto"/>
          <w:highlight w:val="none"/>
        </w:rPr>
        <w:tab/>
      </w:r>
      <w:r>
        <w:rPr>
          <w:color w:val="auto"/>
          <w:highlight w:val="none"/>
        </w:rPr>
        <w:fldChar w:fldCharType="begin"/>
      </w:r>
      <w:r>
        <w:rPr>
          <w:color w:val="auto"/>
          <w:highlight w:val="none"/>
        </w:rPr>
        <w:instrText xml:space="preserve"> PAGEREF _Toc43475772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74CB805B">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"_Toc43475773" </w:instrText>
      </w:r>
      <w:r>
        <w:rPr>
          <w:color w:val="auto"/>
          <w:highlight w:val="none"/>
        </w:rPr>
        <w:fldChar w:fldCharType="separate"/>
      </w:r>
      <w:r>
        <w:rPr>
          <w:rStyle w:val="50"/>
          <w:rFonts w:ascii="宋体"/>
          <w:color w:val="auto"/>
          <w:highlight w:val="none"/>
        </w:rPr>
        <w:t xml:space="preserve">3.2 </w:t>
      </w:r>
      <w:r>
        <w:rPr>
          <w:rStyle w:val="50"/>
          <w:rFonts w:hint="eastAsia" w:ascii="宋体"/>
          <w:color w:val="auto"/>
          <w:highlight w:val="none"/>
        </w:rPr>
        <w:t>总监理工程师</w:t>
      </w:r>
      <w:r>
        <w:rPr>
          <w:color w:val="auto"/>
          <w:highlight w:val="none"/>
        </w:rPr>
        <w:tab/>
      </w:r>
      <w:r>
        <w:rPr>
          <w:color w:val="auto"/>
          <w:highlight w:val="none"/>
        </w:rPr>
        <w:fldChar w:fldCharType="begin"/>
      </w:r>
      <w:r>
        <w:rPr>
          <w:color w:val="auto"/>
          <w:highlight w:val="none"/>
        </w:rPr>
        <w:instrText xml:space="preserve"> PAGEREF _Toc43475773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5903E2D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"_Toc43475774" </w:instrText>
      </w:r>
      <w:r>
        <w:rPr>
          <w:color w:val="auto"/>
          <w:highlight w:val="none"/>
        </w:rPr>
        <w:fldChar w:fldCharType="separate"/>
      </w:r>
      <w:r>
        <w:rPr>
          <w:rStyle w:val="50"/>
          <w:rFonts w:ascii="宋体"/>
          <w:color w:val="auto"/>
          <w:highlight w:val="none"/>
        </w:rPr>
        <w:t xml:space="preserve">3.3 </w:t>
      </w:r>
      <w:r>
        <w:rPr>
          <w:rStyle w:val="50"/>
          <w:rFonts w:hint="eastAsia" w:ascii="宋体"/>
          <w:color w:val="auto"/>
          <w:highlight w:val="none"/>
        </w:rPr>
        <w:t>监理人员</w:t>
      </w:r>
      <w:r>
        <w:rPr>
          <w:color w:val="auto"/>
          <w:highlight w:val="none"/>
        </w:rPr>
        <w:tab/>
      </w:r>
      <w:r>
        <w:rPr>
          <w:color w:val="auto"/>
          <w:highlight w:val="none"/>
        </w:rPr>
        <w:fldChar w:fldCharType="begin"/>
      </w:r>
      <w:r>
        <w:rPr>
          <w:color w:val="auto"/>
          <w:highlight w:val="none"/>
        </w:rPr>
        <w:instrText xml:space="preserve"> PAGEREF _Toc43475774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607B5D1B">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"_Toc43475775" </w:instrText>
      </w:r>
      <w:r>
        <w:rPr>
          <w:color w:val="auto"/>
          <w:highlight w:val="none"/>
        </w:rPr>
        <w:fldChar w:fldCharType="separate"/>
      </w:r>
      <w:r>
        <w:rPr>
          <w:rStyle w:val="50"/>
          <w:rFonts w:ascii="宋体"/>
          <w:color w:val="auto"/>
          <w:highlight w:val="none"/>
        </w:rPr>
        <w:t xml:space="preserve">3.4 </w:t>
      </w:r>
      <w:r>
        <w:rPr>
          <w:rStyle w:val="50"/>
          <w:rFonts w:hint="eastAsia" w:ascii="宋体"/>
          <w:color w:val="auto"/>
          <w:highlight w:val="none"/>
        </w:rPr>
        <w:t>监理人的指示</w:t>
      </w:r>
      <w:r>
        <w:rPr>
          <w:color w:val="auto"/>
          <w:highlight w:val="none"/>
        </w:rPr>
        <w:tab/>
      </w:r>
      <w:r>
        <w:rPr>
          <w:color w:val="auto"/>
          <w:highlight w:val="none"/>
        </w:rPr>
        <w:fldChar w:fldCharType="begin"/>
      </w:r>
      <w:r>
        <w:rPr>
          <w:color w:val="auto"/>
          <w:highlight w:val="none"/>
        </w:rPr>
        <w:instrText xml:space="preserve"> PAGEREF _Toc43475775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7A6DAB7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"_Toc43475776" </w:instrText>
      </w:r>
      <w:r>
        <w:rPr>
          <w:color w:val="auto"/>
          <w:highlight w:val="none"/>
        </w:rPr>
        <w:fldChar w:fldCharType="separate"/>
      </w:r>
      <w:r>
        <w:rPr>
          <w:rStyle w:val="50"/>
          <w:rFonts w:ascii="宋体"/>
          <w:color w:val="auto"/>
          <w:highlight w:val="none"/>
        </w:rPr>
        <w:t xml:space="preserve">3.5 </w:t>
      </w:r>
      <w:r>
        <w:rPr>
          <w:rStyle w:val="50"/>
          <w:rFonts w:hint="eastAsia" w:ascii="宋体"/>
          <w:color w:val="auto"/>
          <w:highlight w:val="none"/>
        </w:rPr>
        <w:t>商定或确定</w:t>
      </w:r>
      <w:r>
        <w:rPr>
          <w:color w:val="auto"/>
          <w:highlight w:val="none"/>
        </w:rPr>
        <w:tab/>
      </w:r>
      <w:r>
        <w:rPr>
          <w:color w:val="auto"/>
          <w:highlight w:val="none"/>
        </w:rPr>
        <w:fldChar w:fldCharType="begin"/>
      </w:r>
      <w:r>
        <w:rPr>
          <w:color w:val="auto"/>
          <w:highlight w:val="none"/>
        </w:rPr>
        <w:instrText xml:space="preserve"> PAGEREF _Toc43475776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16C32BDC">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"_Toc43475777" </w:instrText>
      </w:r>
      <w:r>
        <w:rPr>
          <w:color w:val="auto"/>
          <w:highlight w:val="none"/>
        </w:rPr>
        <w:fldChar w:fldCharType="separate"/>
      </w:r>
      <w:r>
        <w:rPr>
          <w:rStyle w:val="50"/>
          <w:rFonts w:ascii="宋体" w:hAnsi="宋体"/>
          <w:color w:val="auto"/>
          <w:highlight w:val="none"/>
        </w:rPr>
        <w:t xml:space="preserve">4. </w:t>
      </w:r>
      <w:r>
        <w:rPr>
          <w:rStyle w:val="50"/>
          <w:rFonts w:hint="eastAsia" w:ascii="宋体" w:hAnsi="宋体"/>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_Toc43475777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0A27E2C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"_Toc43475778" </w:instrText>
      </w:r>
      <w:r>
        <w:rPr>
          <w:color w:val="auto"/>
          <w:highlight w:val="none"/>
        </w:rPr>
        <w:fldChar w:fldCharType="separate"/>
      </w:r>
      <w:r>
        <w:rPr>
          <w:rStyle w:val="50"/>
          <w:rFonts w:ascii="宋体"/>
          <w:color w:val="auto"/>
          <w:highlight w:val="none"/>
        </w:rPr>
        <w:t xml:space="preserve">4.1 </w:t>
      </w:r>
      <w:r>
        <w:rPr>
          <w:rStyle w:val="50"/>
          <w:rFonts w:hint="eastAsia" w:ascii="宋体"/>
          <w:color w:val="auto"/>
          <w:highlight w:val="none"/>
        </w:rPr>
        <w:t>承包人的一般义务</w:t>
      </w:r>
      <w:r>
        <w:rPr>
          <w:color w:val="auto"/>
          <w:highlight w:val="none"/>
        </w:rPr>
        <w:tab/>
      </w:r>
      <w:r>
        <w:rPr>
          <w:color w:val="auto"/>
          <w:highlight w:val="none"/>
        </w:rPr>
        <w:fldChar w:fldCharType="begin"/>
      </w:r>
      <w:r>
        <w:rPr>
          <w:color w:val="auto"/>
          <w:highlight w:val="none"/>
        </w:rPr>
        <w:instrText xml:space="preserve"> PAGEREF _Toc43475778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3AF4B1F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"_Toc43475779" </w:instrText>
      </w:r>
      <w:r>
        <w:rPr>
          <w:color w:val="auto"/>
          <w:highlight w:val="none"/>
        </w:rPr>
        <w:fldChar w:fldCharType="separate"/>
      </w:r>
      <w:r>
        <w:rPr>
          <w:rStyle w:val="50"/>
          <w:rFonts w:ascii="宋体"/>
          <w:color w:val="auto"/>
          <w:highlight w:val="none"/>
        </w:rPr>
        <w:t xml:space="preserve">4.2 </w:t>
      </w:r>
      <w:r>
        <w:rPr>
          <w:rStyle w:val="50"/>
          <w:rFonts w:hint="eastAsia" w:ascii="宋体"/>
          <w:color w:val="auto"/>
          <w:highlight w:val="none"/>
        </w:rPr>
        <w:t>履约担保</w:t>
      </w:r>
      <w:r>
        <w:rPr>
          <w:color w:val="auto"/>
          <w:highlight w:val="none"/>
        </w:rPr>
        <w:tab/>
      </w:r>
      <w:r>
        <w:rPr>
          <w:color w:val="auto"/>
          <w:highlight w:val="none"/>
        </w:rPr>
        <w:fldChar w:fldCharType="begin"/>
      </w:r>
      <w:r>
        <w:rPr>
          <w:color w:val="auto"/>
          <w:highlight w:val="none"/>
        </w:rPr>
        <w:instrText xml:space="preserve"> PAGEREF _Toc43475779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5C92D2DF">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"_Toc43475780" </w:instrText>
      </w:r>
      <w:r>
        <w:rPr>
          <w:color w:val="auto"/>
          <w:highlight w:val="none"/>
        </w:rPr>
        <w:fldChar w:fldCharType="separate"/>
      </w:r>
      <w:r>
        <w:rPr>
          <w:rStyle w:val="50"/>
          <w:rFonts w:ascii="宋体"/>
          <w:color w:val="auto"/>
          <w:highlight w:val="none"/>
        </w:rPr>
        <w:t xml:space="preserve">4.3 </w:t>
      </w:r>
      <w:r>
        <w:rPr>
          <w:rStyle w:val="50"/>
          <w:rFonts w:hint="eastAsia" w:ascii="宋体"/>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_Toc43475780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3466EBD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"_Toc43475781" </w:instrText>
      </w:r>
      <w:r>
        <w:rPr>
          <w:color w:val="auto"/>
          <w:highlight w:val="none"/>
        </w:rPr>
        <w:fldChar w:fldCharType="separate"/>
      </w:r>
      <w:r>
        <w:rPr>
          <w:rStyle w:val="50"/>
          <w:rFonts w:ascii="宋体"/>
          <w:color w:val="auto"/>
          <w:highlight w:val="none"/>
        </w:rPr>
        <w:t xml:space="preserve">4.4 </w:t>
      </w:r>
      <w:r>
        <w:rPr>
          <w:rStyle w:val="50"/>
          <w:rFonts w:hint="eastAsia" w:ascii="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_Toc43475781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A56E2F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"_Toc43475782" </w:instrText>
      </w:r>
      <w:r>
        <w:rPr>
          <w:color w:val="auto"/>
          <w:highlight w:val="none"/>
        </w:rPr>
        <w:fldChar w:fldCharType="separate"/>
      </w:r>
      <w:r>
        <w:rPr>
          <w:rStyle w:val="50"/>
          <w:rFonts w:ascii="宋体"/>
          <w:color w:val="auto"/>
          <w:highlight w:val="none"/>
        </w:rPr>
        <w:t xml:space="preserve">4.5 </w:t>
      </w:r>
      <w:r>
        <w:rPr>
          <w:rStyle w:val="50"/>
          <w:rFonts w:hint="eastAsia" w:ascii="宋体"/>
          <w:color w:val="auto"/>
          <w:highlight w:val="none"/>
        </w:rPr>
        <w:t>承包人项目经理</w:t>
      </w:r>
      <w:r>
        <w:rPr>
          <w:color w:val="auto"/>
          <w:highlight w:val="none"/>
        </w:rPr>
        <w:tab/>
      </w:r>
      <w:r>
        <w:rPr>
          <w:color w:val="auto"/>
          <w:highlight w:val="none"/>
        </w:rPr>
        <w:fldChar w:fldCharType="begin"/>
      </w:r>
      <w:r>
        <w:rPr>
          <w:color w:val="auto"/>
          <w:highlight w:val="none"/>
        </w:rPr>
        <w:instrText xml:space="preserve"> PAGEREF _Toc43475782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40DB1AD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"_Toc43475783" </w:instrText>
      </w:r>
      <w:r>
        <w:rPr>
          <w:color w:val="auto"/>
          <w:highlight w:val="none"/>
        </w:rPr>
        <w:fldChar w:fldCharType="separate"/>
      </w:r>
      <w:r>
        <w:rPr>
          <w:rStyle w:val="50"/>
          <w:rFonts w:ascii="宋体"/>
          <w:color w:val="auto"/>
          <w:highlight w:val="none"/>
        </w:rPr>
        <w:t xml:space="preserve">4.6 </w:t>
      </w:r>
      <w:r>
        <w:rPr>
          <w:rStyle w:val="50"/>
          <w:rFonts w:hint="eastAsia" w:ascii="宋体"/>
          <w:color w:val="auto"/>
          <w:highlight w:val="none"/>
        </w:rPr>
        <w:t>承包人人员的管理</w:t>
      </w:r>
      <w:r>
        <w:rPr>
          <w:color w:val="auto"/>
          <w:highlight w:val="none"/>
        </w:rPr>
        <w:tab/>
      </w:r>
      <w:r>
        <w:rPr>
          <w:color w:val="auto"/>
          <w:highlight w:val="none"/>
        </w:rPr>
        <w:fldChar w:fldCharType="begin"/>
      </w:r>
      <w:r>
        <w:rPr>
          <w:color w:val="auto"/>
          <w:highlight w:val="none"/>
        </w:rPr>
        <w:instrText xml:space="preserve"> PAGEREF _Toc43475783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72D07D7B">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"_Toc43475784" </w:instrText>
      </w:r>
      <w:r>
        <w:rPr>
          <w:color w:val="auto"/>
          <w:highlight w:val="none"/>
        </w:rPr>
        <w:fldChar w:fldCharType="separate"/>
      </w:r>
      <w:r>
        <w:rPr>
          <w:rStyle w:val="50"/>
          <w:rFonts w:ascii="宋体"/>
          <w:color w:val="auto"/>
          <w:highlight w:val="none"/>
        </w:rPr>
        <w:t xml:space="preserve">4.7 </w:t>
      </w:r>
      <w:r>
        <w:rPr>
          <w:rStyle w:val="50"/>
          <w:rFonts w:hint="eastAsia" w:ascii="宋体"/>
          <w:color w:val="auto"/>
          <w:highlight w:val="none"/>
        </w:rPr>
        <w:t>撤换承包人项目经理和其他人员</w:t>
      </w:r>
      <w:r>
        <w:rPr>
          <w:color w:val="auto"/>
          <w:highlight w:val="none"/>
        </w:rPr>
        <w:tab/>
      </w:r>
      <w:r>
        <w:rPr>
          <w:color w:val="auto"/>
          <w:highlight w:val="none"/>
        </w:rPr>
        <w:fldChar w:fldCharType="begin"/>
      </w:r>
      <w:r>
        <w:rPr>
          <w:color w:val="auto"/>
          <w:highlight w:val="none"/>
        </w:rPr>
        <w:instrText xml:space="preserve"> PAGEREF _Toc43475784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40DB999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"_Toc43475785" </w:instrText>
      </w:r>
      <w:r>
        <w:rPr>
          <w:color w:val="auto"/>
          <w:highlight w:val="none"/>
        </w:rPr>
        <w:fldChar w:fldCharType="separate"/>
      </w:r>
      <w:r>
        <w:rPr>
          <w:rStyle w:val="50"/>
          <w:rFonts w:ascii="宋体"/>
          <w:color w:val="auto"/>
          <w:highlight w:val="none"/>
        </w:rPr>
        <w:t xml:space="preserve">4.8 </w:t>
      </w:r>
      <w:r>
        <w:rPr>
          <w:rStyle w:val="50"/>
          <w:rFonts w:hint="eastAsia" w:ascii="宋体"/>
          <w:color w:val="auto"/>
          <w:highlight w:val="none"/>
        </w:rPr>
        <w:t>保障承包人人员的合法权益</w:t>
      </w:r>
      <w:r>
        <w:rPr>
          <w:color w:val="auto"/>
          <w:highlight w:val="none"/>
        </w:rPr>
        <w:tab/>
      </w:r>
      <w:r>
        <w:rPr>
          <w:color w:val="auto"/>
          <w:highlight w:val="none"/>
        </w:rPr>
        <w:fldChar w:fldCharType="begin"/>
      </w:r>
      <w:r>
        <w:rPr>
          <w:color w:val="auto"/>
          <w:highlight w:val="none"/>
        </w:rPr>
        <w:instrText xml:space="preserve"> PAGEREF _Toc43475785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4DD58B8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"_Toc43475786" </w:instrText>
      </w:r>
      <w:r>
        <w:rPr>
          <w:color w:val="auto"/>
          <w:highlight w:val="none"/>
        </w:rPr>
        <w:fldChar w:fldCharType="separate"/>
      </w:r>
      <w:r>
        <w:rPr>
          <w:rStyle w:val="50"/>
          <w:rFonts w:ascii="宋体"/>
          <w:color w:val="auto"/>
          <w:highlight w:val="none"/>
        </w:rPr>
        <w:t xml:space="preserve">4.9 </w:t>
      </w:r>
      <w:r>
        <w:rPr>
          <w:rStyle w:val="50"/>
          <w:rFonts w:hint="eastAsia" w:ascii="宋体"/>
          <w:color w:val="auto"/>
          <w:highlight w:val="none"/>
        </w:rPr>
        <w:t>工程价款应专款专用</w:t>
      </w:r>
      <w:r>
        <w:rPr>
          <w:color w:val="auto"/>
          <w:highlight w:val="none"/>
        </w:rPr>
        <w:tab/>
      </w:r>
      <w:r>
        <w:rPr>
          <w:color w:val="auto"/>
          <w:highlight w:val="none"/>
        </w:rPr>
        <w:fldChar w:fldCharType="begin"/>
      </w:r>
      <w:r>
        <w:rPr>
          <w:color w:val="auto"/>
          <w:highlight w:val="none"/>
        </w:rPr>
        <w:instrText xml:space="preserve"> PAGEREF _Toc43475786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33DC546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"_Toc43475787" </w:instrText>
      </w:r>
      <w:r>
        <w:rPr>
          <w:color w:val="auto"/>
          <w:highlight w:val="none"/>
        </w:rPr>
        <w:fldChar w:fldCharType="separate"/>
      </w:r>
      <w:r>
        <w:rPr>
          <w:rStyle w:val="50"/>
          <w:rFonts w:ascii="宋体"/>
          <w:color w:val="auto"/>
          <w:highlight w:val="none"/>
        </w:rPr>
        <w:t xml:space="preserve">4.10 </w:t>
      </w:r>
      <w:r>
        <w:rPr>
          <w:rStyle w:val="50"/>
          <w:rFonts w:hint="eastAsia" w:ascii="宋体"/>
          <w:color w:val="auto"/>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_Toc43475787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657F2DF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"_Toc43475788" </w:instrText>
      </w:r>
      <w:r>
        <w:rPr>
          <w:color w:val="auto"/>
          <w:highlight w:val="none"/>
        </w:rPr>
        <w:fldChar w:fldCharType="separate"/>
      </w:r>
      <w:r>
        <w:rPr>
          <w:rStyle w:val="50"/>
          <w:rFonts w:ascii="宋体"/>
          <w:color w:val="auto"/>
          <w:highlight w:val="none"/>
        </w:rPr>
        <w:t xml:space="preserve">4.11 </w:t>
      </w:r>
      <w:r>
        <w:rPr>
          <w:rStyle w:val="50"/>
          <w:rFonts w:hint="eastAsia" w:ascii="宋体"/>
          <w:color w:val="auto"/>
          <w:highlight w:val="none"/>
        </w:rPr>
        <w:t>不利物质条件</w:t>
      </w:r>
      <w:r>
        <w:rPr>
          <w:color w:val="auto"/>
          <w:highlight w:val="none"/>
        </w:rPr>
        <w:tab/>
      </w:r>
      <w:r>
        <w:rPr>
          <w:color w:val="auto"/>
          <w:highlight w:val="none"/>
        </w:rPr>
        <w:fldChar w:fldCharType="begin"/>
      </w:r>
      <w:r>
        <w:rPr>
          <w:color w:val="auto"/>
          <w:highlight w:val="none"/>
        </w:rPr>
        <w:instrText xml:space="preserve"> PAGEREF _Toc43475788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4F8958F7">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"_Toc43475789" </w:instrText>
      </w:r>
      <w:r>
        <w:rPr>
          <w:color w:val="auto"/>
          <w:highlight w:val="none"/>
        </w:rPr>
        <w:fldChar w:fldCharType="separate"/>
      </w:r>
      <w:r>
        <w:rPr>
          <w:rStyle w:val="50"/>
          <w:rFonts w:ascii="宋体" w:hAnsi="宋体"/>
          <w:color w:val="auto"/>
          <w:highlight w:val="none"/>
        </w:rPr>
        <w:t xml:space="preserve">5. </w:t>
      </w:r>
      <w:r>
        <w:rPr>
          <w:rStyle w:val="50"/>
          <w:rFonts w:hint="eastAsia" w:ascii="宋体" w:hAnsi="宋体"/>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_Toc43475789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03F41EB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"_Toc43475790" </w:instrText>
      </w:r>
      <w:r>
        <w:rPr>
          <w:color w:val="auto"/>
          <w:highlight w:val="none"/>
        </w:rPr>
        <w:fldChar w:fldCharType="separate"/>
      </w:r>
      <w:r>
        <w:rPr>
          <w:rStyle w:val="50"/>
          <w:rFonts w:ascii="宋体"/>
          <w:color w:val="auto"/>
          <w:highlight w:val="none"/>
        </w:rPr>
        <w:t xml:space="preserve">5.1 </w:t>
      </w:r>
      <w:r>
        <w:rPr>
          <w:rStyle w:val="50"/>
          <w:rFonts w:hint="eastAsia" w:ascii="宋体"/>
          <w:color w:val="auto"/>
          <w:highlight w:val="none"/>
        </w:rPr>
        <w:t>承包人提供的材料和工程设备</w:t>
      </w:r>
      <w:r>
        <w:rPr>
          <w:color w:val="auto"/>
          <w:highlight w:val="none"/>
        </w:rPr>
        <w:tab/>
      </w:r>
      <w:r>
        <w:rPr>
          <w:color w:val="auto"/>
          <w:highlight w:val="none"/>
        </w:rPr>
        <w:fldChar w:fldCharType="begin"/>
      </w:r>
      <w:r>
        <w:rPr>
          <w:color w:val="auto"/>
          <w:highlight w:val="none"/>
        </w:rPr>
        <w:instrText xml:space="preserve"> PAGEREF _Toc43475790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6ADDE58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"_Toc43475791" </w:instrText>
      </w:r>
      <w:r>
        <w:rPr>
          <w:color w:val="auto"/>
          <w:highlight w:val="none"/>
        </w:rPr>
        <w:fldChar w:fldCharType="separate"/>
      </w:r>
      <w:r>
        <w:rPr>
          <w:rStyle w:val="50"/>
          <w:rFonts w:ascii="宋体"/>
          <w:color w:val="auto"/>
          <w:highlight w:val="none"/>
        </w:rPr>
        <w:t xml:space="preserve">5.2 </w:t>
      </w:r>
      <w:r>
        <w:rPr>
          <w:rStyle w:val="50"/>
          <w:rFonts w:hint="eastAsia" w:ascii="宋体"/>
          <w:color w:val="auto"/>
          <w:highlight w:val="none"/>
        </w:rPr>
        <w:t>发包人提供的材料和工程设备</w:t>
      </w:r>
      <w:r>
        <w:rPr>
          <w:color w:val="auto"/>
          <w:highlight w:val="none"/>
        </w:rPr>
        <w:tab/>
      </w:r>
      <w:r>
        <w:rPr>
          <w:color w:val="auto"/>
          <w:highlight w:val="none"/>
        </w:rPr>
        <w:fldChar w:fldCharType="begin"/>
      </w:r>
      <w:r>
        <w:rPr>
          <w:color w:val="auto"/>
          <w:highlight w:val="none"/>
        </w:rPr>
        <w:instrText xml:space="preserve"> PAGEREF _Toc43475791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6A01D38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"_Toc43475792" </w:instrText>
      </w:r>
      <w:r>
        <w:rPr>
          <w:color w:val="auto"/>
          <w:highlight w:val="none"/>
        </w:rPr>
        <w:fldChar w:fldCharType="separate"/>
      </w:r>
      <w:r>
        <w:rPr>
          <w:rStyle w:val="50"/>
          <w:rFonts w:ascii="宋体"/>
          <w:color w:val="auto"/>
          <w:highlight w:val="none"/>
        </w:rPr>
        <w:t xml:space="preserve">5.3 </w:t>
      </w:r>
      <w:r>
        <w:rPr>
          <w:rStyle w:val="50"/>
          <w:rFonts w:hint="eastAsia" w:ascii="宋体"/>
          <w:color w:val="auto"/>
          <w:highlight w:val="none"/>
        </w:rPr>
        <w:t>材料和工程设备专用于合同工程</w:t>
      </w:r>
      <w:r>
        <w:rPr>
          <w:color w:val="auto"/>
          <w:highlight w:val="none"/>
        </w:rPr>
        <w:tab/>
      </w:r>
      <w:r>
        <w:rPr>
          <w:color w:val="auto"/>
          <w:highlight w:val="none"/>
        </w:rPr>
        <w:fldChar w:fldCharType="begin"/>
      </w:r>
      <w:r>
        <w:rPr>
          <w:color w:val="auto"/>
          <w:highlight w:val="none"/>
        </w:rPr>
        <w:instrText xml:space="preserve"> PAGEREF _Toc43475792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1636B3F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"_Toc43475793" </w:instrText>
      </w:r>
      <w:r>
        <w:rPr>
          <w:color w:val="auto"/>
          <w:highlight w:val="none"/>
        </w:rPr>
        <w:fldChar w:fldCharType="separate"/>
      </w:r>
      <w:r>
        <w:rPr>
          <w:rStyle w:val="50"/>
          <w:rFonts w:ascii="宋体"/>
          <w:color w:val="auto"/>
          <w:highlight w:val="none"/>
        </w:rPr>
        <w:t xml:space="preserve">5.4 </w:t>
      </w:r>
      <w:r>
        <w:rPr>
          <w:rStyle w:val="50"/>
          <w:rFonts w:hint="eastAsia" w:ascii="宋体"/>
          <w:color w:val="auto"/>
          <w:highlight w:val="none"/>
        </w:rPr>
        <w:t>禁止使用不合格的材料和工程设备</w:t>
      </w:r>
      <w:r>
        <w:rPr>
          <w:color w:val="auto"/>
          <w:highlight w:val="none"/>
        </w:rPr>
        <w:tab/>
      </w:r>
      <w:r>
        <w:rPr>
          <w:color w:val="auto"/>
          <w:highlight w:val="none"/>
        </w:rPr>
        <w:fldChar w:fldCharType="begin"/>
      </w:r>
      <w:r>
        <w:rPr>
          <w:color w:val="auto"/>
          <w:highlight w:val="none"/>
        </w:rPr>
        <w:instrText xml:space="preserve"> PAGEREF _Toc43475793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1AA17E46">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"_Toc43475794" </w:instrText>
      </w:r>
      <w:r>
        <w:rPr>
          <w:color w:val="auto"/>
          <w:highlight w:val="none"/>
        </w:rPr>
        <w:fldChar w:fldCharType="separate"/>
      </w:r>
      <w:r>
        <w:rPr>
          <w:rStyle w:val="50"/>
          <w:rFonts w:ascii="宋体" w:hAnsi="宋体"/>
          <w:color w:val="auto"/>
          <w:highlight w:val="none"/>
        </w:rPr>
        <w:t xml:space="preserve">6. </w:t>
      </w:r>
      <w:r>
        <w:rPr>
          <w:rStyle w:val="50"/>
          <w:rFonts w:hint="eastAsia" w:ascii="宋体" w:hAnsi="宋体"/>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_Toc43475794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74C0B7F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"_Toc43475795" </w:instrText>
      </w:r>
      <w:r>
        <w:rPr>
          <w:color w:val="auto"/>
          <w:highlight w:val="none"/>
        </w:rPr>
        <w:fldChar w:fldCharType="separate"/>
      </w:r>
      <w:r>
        <w:rPr>
          <w:rStyle w:val="50"/>
          <w:rFonts w:ascii="宋体"/>
          <w:color w:val="auto"/>
          <w:highlight w:val="none"/>
        </w:rPr>
        <w:t xml:space="preserve">6.1 </w:t>
      </w:r>
      <w:r>
        <w:rPr>
          <w:rStyle w:val="50"/>
          <w:rFonts w:hint="eastAsia" w:ascii="宋体"/>
          <w:color w:val="auto"/>
          <w:highlight w:val="none"/>
        </w:rPr>
        <w:t>承包人提供的施工设备和临时设施</w:t>
      </w:r>
      <w:r>
        <w:rPr>
          <w:color w:val="auto"/>
          <w:highlight w:val="none"/>
        </w:rPr>
        <w:tab/>
      </w:r>
      <w:r>
        <w:rPr>
          <w:color w:val="auto"/>
          <w:highlight w:val="none"/>
        </w:rPr>
        <w:fldChar w:fldCharType="begin"/>
      </w:r>
      <w:r>
        <w:rPr>
          <w:color w:val="auto"/>
          <w:highlight w:val="none"/>
        </w:rPr>
        <w:instrText xml:space="preserve"> PAGEREF _Toc43475795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1F97B82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"_Toc43475796" </w:instrText>
      </w:r>
      <w:r>
        <w:rPr>
          <w:color w:val="auto"/>
          <w:highlight w:val="none"/>
        </w:rPr>
        <w:fldChar w:fldCharType="separate"/>
      </w:r>
      <w:r>
        <w:rPr>
          <w:rStyle w:val="50"/>
          <w:rFonts w:ascii="宋体"/>
          <w:color w:val="auto"/>
          <w:highlight w:val="none"/>
        </w:rPr>
        <w:t xml:space="preserve">6.2 </w:t>
      </w:r>
      <w:r>
        <w:rPr>
          <w:rStyle w:val="50"/>
          <w:rFonts w:hint="eastAsia" w:ascii="宋体"/>
          <w:color w:val="auto"/>
          <w:highlight w:val="none"/>
        </w:rPr>
        <w:t>发包人提供的施工设备和临时设施</w:t>
      </w:r>
      <w:r>
        <w:rPr>
          <w:color w:val="auto"/>
          <w:highlight w:val="none"/>
        </w:rPr>
        <w:tab/>
      </w:r>
      <w:r>
        <w:rPr>
          <w:color w:val="auto"/>
          <w:highlight w:val="none"/>
        </w:rPr>
        <w:fldChar w:fldCharType="begin"/>
      </w:r>
      <w:r>
        <w:rPr>
          <w:color w:val="auto"/>
          <w:highlight w:val="none"/>
        </w:rPr>
        <w:instrText xml:space="preserve"> PAGEREF _Toc43475796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1E3209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"_Toc43475797" </w:instrText>
      </w:r>
      <w:r>
        <w:rPr>
          <w:color w:val="auto"/>
          <w:highlight w:val="none"/>
        </w:rPr>
        <w:fldChar w:fldCharType="separate"/>
      </w:r>
      <w:r>
        <w:rPr>
          <w:rStyle w:val="50"/>
          <w:rFonts w:ascii="宋体"/>
          <w:color w:val="auto"/>
          <w:highlight w:val="none"/>
        </w:rPr>
        <w:t xml:space="preserve">6.3 </w:t>
      </w:r>
      <w:r>
        <w:rPr>
          <w:rStyle w:val="50"/>
          <w:rFonts w:hint="eastAsia" w:ascii="宋体"/>
          <w:color w:val="auto"/>
          <w:highlight w:val="none"/>
        </w:rPr>
        <w:t>要求承包人增加或更换施工设备</w:t>
      </w:r>
      <w:r>
        <w:rPr>
          <w:color w:val="auto"/>
          <w:highlight w:val="none"/>
        </w:rPr>
        <w:tab/>
      </w:r>
      <w:r>
        <w:rPr>
          <w:color w:val="auto"/>
          <w:highlight w:val="none"/>
        </w:rPr>
        <w:fldChar w:fldCharType="begin"/>
      </w:r>
      <w:r>
        <w:rPr>
          <w:color w:val="auto"/>
          <w:highlight w:val="none"/>
        </w:rPr>
        <w:instrText xml:space="preserve"> PAGEREF _Toc43475797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3509746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"_Toc43475798" </w:instrText>
      </w:r>
      <w:r>
        <w:rPr>
          <w:color w:val="auto"/>
          <w:highlight w:val="none"/>
        </w:rPr>
        <w:fldChar w:fldCharType="separate"/>
      </w:r>
      <w:r>
        <w:rPr>
          <w:rStyle w:val="50"/>
          <w:rFonts w:ascii="宋体"/>
          <w:color w:val="auto"/>
          <w:highlight w:val="none"/>
        </w:rPr>
        <w:t xml:space="preserve">6.4 </w:t>
      </w:r>
      <w:r>
        <w:rPr>
          <w:rStyle w:val="50"/>
          <w:rFonts w:hint="eastAsia" w:ascii="宋体"/>
          <w:color w:val="auto"/>
          <w:highlight w:val="none"/>
        </w:rPr>
        <w:t>施工设备和临时设施专用于合同工程</w:t>
      </w:r>
      <w:r>
        <w:rPr>
          <w:color w:val="auto"/>
          <w:highlight w:val="none"/>
        </w:rPr>
        <w:tab/>
      </w:r>
      <w:r>
        <w:rPr>
          <w:color w:val="auto"/>
          <w:highlight w:val="none"/>
        </w:rPr>
        <w:fldChar w:fldCharType="begin"/>
      </w:r>
      <w:r>
        <w:rPr>
          <w:color w:val="auto"/>
          <w:highlight w:val="none"/>
        </w:rPr>
        <w:instrText xml:space="preserve"> PAGEREF _Toc43475798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7B286F49">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"_Toc43475799" </w:instrText>
      </w:r>
      <w:r>
        <w:rPr>
          <w:color w:val="auto"/>
          <w:highlight w:val="none"/>
        </w:rPr>
        <w:fldChar w:fldCharType="separate"/>
      </w:r>
      <w:r>
        <w:rPr>
          <w:rStyle w:val="50"/>
          <w:rFonts w:ascii="宋体" w:hAnsi="宋体"/>
          <w:color w:val="auto"/>
          <w:highlight w:val="none"/>
        </w:rPr>
        <w:t xml:space="preserve">7. </w:t>
      </w:r>
      <w:r>
        <w:rPr>
          <w:rStyle w:val="50"/>
          <w:rFonts w:hint="eastAsia" w:ascii="宋体" w:hAnsi="宋体"/>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_Toc43475799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756FA00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"_Toc43475800" </w:instrText>
      </w:r>
      <w:r>
        <w:rPr>
          <w:color w:val="auto"/>
          <w:highlight w:val="none"/>
        </w:rPr>
        <w:fldChar w:fldCharType="separate"/>
      </w:r>
      <w:r>
        <w:rPr>
          <w:rStyle w:val="50"/>
          <w:rFonts w:ascii="宋体"/>
          <w:color w:val="auto"/>
          <w:highlight w:val="none"/>
        </w:rPr>
        <w:t xml:space="preserve">7.1 </w:t>
      </w:r>
      <w:r>
        <w:rPr>
          <w:rStyle w:val="50"/>
          <w:rFonts w:hint="eastAsia" w:ascii="宋体"/>
          <w:color w:val="auto"/>
          <w:highlight w:val="none"/>
        </w:rPr>
        <w:t>道路通行权和场外设施</w:t>
      </w:r>
      <w:r>
        <w:rPr>
          <w:color w:val="auto"/>
          <w:highlight w:val="none"/>
        </w:rPr>
        <w:tab/>
      </w:r>
      <w:r>
        <w:rPr>
          <w:color w:val="auto"/>
          <w:highlight w:val="none"/>
        </w:rPr>
        <w:fldChar w:fldCharType="begin"/>
      </w:r>
      <w:r>
        <w:rPr>
          <w:color w:val="auto"/>
          <w:highlight w:val="none"/>
        </w:rPr>
        <w:instrText xml:space="preserve"> PAGEREF _Toc43475800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784E5FE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"_Toc43475801" </w:instrText>
      </w:r>
      <w:r>
        <w:rPr>
          <w:color w:val="auto"/>
          <w:highlight w:val="none"/>
        </w:rPr>
        <w:fldChar w:fldCharType="separate"/>
      </w:r>
      <w:r>
        <w:rPr>
          <w:rStyle w:val="50"/>
          <w:rFonts w:ascii="宋体"/>
          <w:color w:val="auto"/>
          <w:highlight w:val="none"/>
        </w:rPr>
        <w:t xml:space="preserve">7.2 </w:t>
      </w:r>
      <w:r>
        <w:rPr>
          <w:rStyle w:val="50"/>
          <w:rFonts w:hint="eastAsia" w:ascii="宋体"/>
          <w:color w:val="auto"/>
          <w:highlight w:val="none"/>
        </w:rPr>
        <w:t>场内施工道路</w:t>
      </w:r>
      <w:r>
        <w:rPr>
          <w:color w:val="auto"/>
          <w:highlight w:val="none"/>
        </w:rPr>
        <w:tab/>
      </w:r>
      <w:r>
        <w:rPr>
          <w:color w:val="auto"/>
          <w:highlight w:val="none"/>
        </w:rPr>
        <w:fldChar w:fldCharType="begin"/>
      </w:r>
      <w:r>
        <w:rPr>
          <w:color w:val="auto"/>
          <w:highlight w:val="none"/>
        </w:rPr>
        <w:instrText xml:space="preserve"> PAGEREF _Toc43475801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2CE6343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"_Toc43475802" </w:instrText>
      </w:r>
      <w:r>
        <w:rPr>
          <w:color w:val="auto"/>
          <w:highlight w:val="none"/>
        </w:rPr>
        <w:fldChar w:fldCharType="separate"/>
      </w:r>
      <w:r>
        <w:rPr>
          <w:rStyle w:val="50"/>
          <w:rFonts w:ascii="宋体"/>
          <w:color w:val="auto"/>
          <w:highlight w:val="none"/>
        </w:rPr>
        <w:t xml:space="preserve">7.3 </w:t>
      </w:r>
      <w:r>
        <w:rPr>
          <w:rStyle w:val="50"/>
          <w:rFonts w:hint="eastAsia" w:ascii="宋体"/>
          <w:color w:val="auto"/>
          <w:highlight w:val="none"/>
        </w:rPr>
        <w:t>场外交通</w:t>
      </w:r>
      <w:r>
        <w:rPr>
          <w:color w:val="auto"/>
          <w:highlight w:val="none"/>
        </w:rPr>
        <w:tab/>
      </w:r>
      <w:r>
        <w:rPr>
          <w:color w:val="auto"/>
          <w:highlight w:val="none"/>
        </w:rPr>
        <w:fldChar w:fldCharType="begin"/>
      </w:r>
      <w:r>
        <w:rPr>
          <w:color w:val="auto"/>
          <w:highlight w:val="none"/>
        </w:rPr>
        <w:instrText xml:space="preserve"> PAGEREF _Toc43475802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003EED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"_Toc43475803" </w:instrText>
      </w:r>
      <w:r>
        <w:rPr>
          <w:color w:val="auto"/>
          <w:highlight w:val="none"/>
        </w:rPr>
        <w:fldChar w:fldCharType="separate"/>
      </w:r>
      <w:r>
        <w:rPr>
          <w:rStyle w:val="50"/>
          <w:rFonts w:ascii="宋体"/>
          <w:color w:val="auto"/>
          <w:highlight w:val="none"/>
        </w:rPr>
        <w:t xml:space="preserve">7.4 </w:t>
      </w:r>
      <w:r>
        <w:rPr>
          <w:rStyle w:val="50"/>
          <w:rFonts w:hint="eastAsia" w:ascii="宋体"/>
          <w:color w:val="auto"/>
          <w:highlight w:val="none"/>
        </w:rPr>
        <w:t>超大件和超重件的运输</w:t>
      </w:r>
      <w:r>
        <w:rPr>
          <w:color w:val="auto"/>
          <w:highlight w:val="none"/>
        </w:rPr>
        <w:tab/>
      </w:r>
      <w:r>
        <w:rPr>
          <w:color w:val="auto"/>
          <w:highlight w:val="none"/>
        </w:rPr>
        <w:fldChar w:fldCharType="begin"/>
      </w:r>
      <w:r>
        <w:rPr>
          <w:color w:val="auto"/>
          <w:highlight w:val="none"/>
        </w:rPr>
        <w:instrText xml:space="preserve"> PAGEREF _Toc43475803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2312970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"_Toc43475804" </w:instrText>
      </w:r>
      <w:r>
        <w:rPr>
          <w:color w:val="auto"/>
          <w:highlight w:val="none"/>
        </w:rPr>
        <w:fldChar w:fldCharType="separate"/>
      </w:r>
      <w:r>
        <w:rPr>
          <w:rStyle w:val="50"/>
          <w:rFonts w:ascii="宋体"/>
          <w:color w:val="auto"/>
          <w:highlight w:val="none"/>
        </w:rPr>
        <w:t xml:space="preserve">7.5 </w:t>
      </w:r>
      <w:r>
        <w:rPr>
          <w:rStyle w:val="50"/>
          <w:rFonts w:hint="eastAsia" w:ascii="宋体"/>
          <w:color w:val="auto"/>
          <w:highlight w:val="none"/>
        </w:rPr>
        <w:t>道路和桥梁的损坏责任</w:t>
      </w:r>
      <w:r>
        <w:rPr>
          <w:color w:val="auto"/>
          <w:highlight w:val="none"/>
        </w:rPr>
        <w:tab/>
      </w:r>
      <w:r>
        <w:rPr>
          <w:color w:val="auto"/>
          <w:highlight w:val="none"/>
        </w:rPr>
        <w:fldChar w:fldCharType="begin"/>
      </w:r>
      <w:r>
        <w:rPr>
          <w:color w:val="auto"/>
          <w:highlight w:val="none"/>
        </w:rPr>
        <w:instrText xml:space="preserve"> PAGEREF _Toc43475804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1AEACF2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"_Toc43475805" </w:instrText>
      </w:r>
      <w:r>
        <w:rPr>
          <w:color w:val="auto"/>
          <w:highlight w:val="none"/>
        </w:rPr>
        <w:fldChar w:fldCharType="separate"/>
      </w:r>
      <w:r>
        <w:rPr>
          <w:rStyle w:val="50"/>
          <w:rFonts w:ascii="宋体"/>
          <w:color w:val="auto"/>
          <w:highlight w:val="none"/>
        </w:rPr>
        <w:t xml:space="preserve">7.6 </w:t>
      </w:r>
      <w:r>
        <w:rPr>
          <w:rStyle w:val="50"/>
          <w:rFonts w:hint="eastAsia" w:ascii="宋体"/>
          <w:color w:val="auto"/>
          <w:highlight w:val="none"/>
        </w:rPr>
        <w:t>水路和航空运输</w:t>
      </w:r>
      <w:r>
        <w:rPr>
          <w:color w:val="auto"/>
          <w:highlight w:val="none"/>
        </w:rPr>
        <w:tab/>
      </w:r>
      <w:r>
        <w:rPr>
          <w:color w:val="auto"/>
          <w:highlight w:val="none"/>
        </w:rPr>
        <w:fldChar w:fldCharType="begin"/>
      </w:r>
      <w:r>
        <w:rPr>
          <w:color w:val="auto"/>
          <w:highlight w:val="none"/>
        </w:rPr>
        <w:instrText xml:space="preserve"> PAGEREF _Toc43475805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6B8A7C60">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"_Toc43475806" </w:instrText>
      </w:r>
      <w:r>
        <w:rPr>
          <w:color w:val="auto"/>
          <w:highlight w:val="none"/>
        </w:rPr>
        <w:fldChar w:fldCharType="separate"/>
      </w:r>
      <w:r>
        <w:rPr>
          <w:rStyle w:val="50"/>
          <w:rFonts w:ascii="宋体" w:hAnsi="宋体"/>
          <w:color w:val="auto"/>
          <w:highlight w:val="none"/>
        </w:rPr>
        <w:t xml:space="preserve">8. </w:t>
      </w:r>
      <w:r>
        <w:rPr>
          <w:rStyle w:val="50"/>
          <w:rFonts w:hint="eastAsia" w:ascii="宋体" w:hAnsi="宋体"/>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_Toc43475806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31E1645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"_Toc43475807" </w:instrText>
      </w:r>
      <w:r>
        <w:rPr>
          <w:color w:val="auto"/>
          <w:highlight w:val="none"/>
        </w:rPr>
        <w:fldChar w:fldCharType="separate"/>
      </w:r>
      <w:r>
        <w:rPr>
          <w:rStyle w:val="50"/>
          <w:rFonts w:ascii="宋体"/>
          <w:color w:val="auto"/>
          <w:highlight w:val="none"/>
        </w:rPr>
        <w:t xml:space="preserve">8.1 </w:t>
      </w:r>
      <w:r>
        <w:rPr>
          <w:rStyle w:val="50"/>
          <w:rFonts w:hint="eastAsia" w:ascii="宋体"/>
          <w:color w:val="auto"/>
          <w:highlight w:val="none"/>
        </w:rPr>
        <w:t>施工控制网</w:t>
      </w:r>
      <w:r>
        <w:rPr>
          <w:color w:val="auto"/>
          <w:highlight w:val="none"/>
        </w:rPr>
        <w:tab/>
      </w:r>
      <w:r>
        <w:rPr>
          <w:color w:val="auto"/>
          <w:highlight w:val="none"/>
        </w:rPr>
        <w:fldChar w:fldCharType="begin"/>
      </w:r>
      <w:r>
        <w:rPr>
          <w:color w:val="auto"/>
          <w:highlight w:val="none"/>
        </w:rPr>
        <w:instrText xml:space="preserve"> PAGEREF _Toc43475807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137E05B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"_Toc43475808" </w:instrText>
      </w:r>
      <w:r>
        <w:rPr>
          <w:color w:val="auto"/>
          <w:highlight w:val="none"/>
        </w:rPr>
        <w:fldChar w:fldCharType="separate"/>
      </w:r>
      <w:r>
        <w:rPr>
          <w:rStyle w:val="50"/>
          <w:rFonts w:ascii="宋体"/>
          <w:color w:val="auto"/>
          <w:highlight w:val="none"/>
        </w:rPr>
        <w:t xml:space="preserve">8.2 </w:t>
      </w:r>
      <w:r>
        <w:rPr>
          <w:rStyle w:val="50"/>
          <w:rFonts w:hint="eastAsia" w:ascii="宋体"/>
          <w:color w:val="auto"/>
          <w:highlight w:val="none"/>
        </w:rPr>
        <w:t>施工测量</w:t>
      </w:r>
      <w:r>
        <w:rPr>
          <w:color w:val="auto"/>
          <w:highlight w:val="none"/>
        </w:rPr>
        <w:tab/>
      </w:r>
      <w:r>
        <w:rPr>
          <w:color w:val="auto"/>
          <w:highlight w:val="none"/>
        </w:rPr>
        <w:fldChar w:fldCharType="begin"/>
      </w:r>
      <w:r>
        <w:rPr>
          <w:color w:val="auto"/>
          <w:highlight w:val="none"/>
        </w:rPr>
        <w:instrText xml:space="preserve"> PAGEREF _Toc43475808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37413CE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"_Toc43475809" </w:instrText>
      </w:r>
      <w:r>
        <w:rPr>
          <w:color w:val="auto"/>
          <w:highlight w:val="none"/>
        </w:rPr>
        <w:fldChar w:fldCharType="separate"/>
      </w:r>
      <w:r>
        <w:rPr>
          <w:rStyle w:val="50"/>
          <w:rFonts w:ascii="宋体"/>
          <w:color w:val="auto"/>
          <w:highlight w:val="none"/>
        </w:rPr>
        <w:t xml:space="preserve">8.3 </w:t>
      </w:r>
      <w:r>
        <w:rPr>
          <w:rStyle w:val="50"/>
          <w:rFonts w:hint="eastAsia" w:ascii="宋体"/>
          <w:color w:val="auto"/>
          <w:highlight w:val="none"/>
        </w:rPr>
        <w:t>基准资料错误的责任</w:t>
      </w:r>
      <w:r>
        <w:rPr>
          <w:color w:val="auto"/>
          <w:highlight w:val="none"/>
        </w:rPr>
        <w:tab/>
      </w:r>
      <w:r>
        <w:rPr>
          <w:color w:val="auto"/>
          <w:highlight w:val="none"/>
        </w:rPr>
        <w:fldChar w:fldCharType="begin"/>
      </w:r>
      <w:r>
        <w:rPr>
          <w:color w:val="auto"/>
          <w:highlight w:val="none"/>
        </w:rPr>
        <w:instrText xml:space="preserve"> PAGEREF _Toc43475809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7690069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"_Toc43475810" </w:instrText>
      </w:r>
      <w:r>
        <w:rPr>
          <w:color w:val="auto"/>
          <w:highlight w:val="none"/>
        </w:rPr>
        <w:fldChar w:fldCharType="separate"/>
      </w:r>
      <w:r>
        <w:rPr>
          <w:rStyle w:val="50"/>
          <w:rFonts w:ascii="宋体"/>
          <w:color w:val="auto"/>
          <w:highlight w:val="none"/>
        </w:rPr>
        <w:t xml:space="preserve">8.4 </w:t>
      </w:r>
      <w:r>
        <w:rPr>
          <w:rStyle w:val="50"/>
          <w:rFonts w:hint="eastAsia" w:ascii="宋体"/>
          <w:color w:val="auto"/>
          <w:highlight w:val="none"/>
        </w:rPr>
        <w:t>监理人使用施工控制网</w:t>
      </w:r>
      <w:r>
        <w:rPr>
          <w:color w:val="auto"/>
          <w:highlight w:val="none"/>
        </w:rPr>
        <w:tab/>
      </w:r>
      <w:r>
        <w:rPr>
          <w:color w:val="auto"/>
          <w:highlight w:val="none"/>
        </w:rPr>
        <w:fldChar w:fldCharType="begin"/>
      </w:r>
      <w:r>
        <w:rPr>
          <w:color w:val="auto"/>
          <w:highlight w:val="none"/>
        </w:rPr>
        <w:instrText xml:space="preserve"> PAGEREF _Toc43475810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5F904387">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"_Toc43475811" </w:instrText>
      </w:r>
      <w:r>
        <w:rPr>
          <w:color w:val="auto"/>
          <w:highlight w:val="none"/>
        </w:rPr>
        <w:fldChar w:fldCharType="separate"/>
      </w:r>
      <w:r>
        <w:rPr>
          <w:rStyle w:val="50"/>
          <w:rFonts w:ascii="宋体" w:hAnsi="宋体"/>
          <w:color w:val="auto"/>
          <w:highlight w:val="none"/>
        </w:rPr>
        <w:t xml:space="preserve">9. </w:t>
      </w:r>
      <w:r>
        <w:rPr>
          <w:rStyle w:val="50"/>
          <w:rFonts w:hint="eastAsia" w:ascii="宋体" w:hAnsi="宋体"/>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_Toc43475811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1C71DD5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"_Toc43475812" </w:instrText>
      </w:r>
      <w:r>
        <w:rPr>
          <w:color w:val="auto"/>
          <w:highlight w:val="none"/>
        </w:rPr>
        <w:fldChar w:fldCharType="separate"/>
      </w:r>
      <w:r>
        <w:rPr>
          <w:rStyle w:val="50"/>
          <w:rFonts w:ascii="宋体"/>
          <w:color w:val="auto"/>
          <w:highlight w:val="none"/>
        </w:rPr>
        <w:t xml:space="preserve">9.1 </w:t>
      </w:r>
      <w:r>
        <w:rPr>
          <w:rStyle w:val="50"/>
          <w:rFonts w:hint="eastAsia" w:ascii="宋体"/>
          <w:color w:val="auto"/>
          <w:highlight w:val="none"/>
        </w:rPr>
        <w:t>发包人的施工安全责任</w:t>
      </w:r>
      <w:r>
        <w:rPr>
          <w:color w:val="auto"/>
          <w:highlight w:val="none"/>
        </w:rPr>
        <w:tab/>
      </w:r>
      <w:r>
        <w:rPr>
          <w:color w:val="auto"/>
          <w:highlight w:val="none"/>
        </w:rPr>
        <w:fldChar w:fldCharType="begin"/>
      </w:r>
      <w:r>
        <w:rPr>
          <w:color w:val="auto"/>
          <w:highlight w:val="none"/>
        </w:rPr>
        <w:instrText xml:space="preserve"> PAGEREF _Toc43475812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3D84986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"_Toc43475813" </w:instrText>
      </w:r>
      <w:r>
        <w:rPr>
          <w:color w:val="auto"/>
          <w:highlight w:val="none"/>
        </w:rPr>
        <w:fldChar w:fldCharType="separate"/>
      </w:r>
      <w:r>
        <w:rPr>
          <w:rStyle w:val="50"/>
          <w:rFonts w:ascii="宋体"/>
          <w:color w:val="auto"/>
          <w:highlight w:val="none"/>
        </w:rPr>
        <w:t xml:space="preserve">9.2 </w:t>
      </w:r>
      <w:r>
        <w:rPr>
          <w:rStyle w:val="50"/>
          <w:rFonts w:hint="eastAsia" w:ascii="宋体"/>
          <w:color w:val="auto"/>
          <w:highlight w:val="none"/>
        </w:rPr>
        <w:t>承包人的施工安全责任</w:t>
      </w:r>
      <w:r>
        <w:rPr>
          <w:color w:val="auto"/>
          <w:highlight w:val="none"/>
        </w:rPr>
        <w:tab/>
      </w:r>
      <w:r>
        <w:rPr>
          <w:color w:val="auto"/>
          <w:highlight w:val="none"/>
        </w:rPr>
        <w:fldChar w:fldCharType="begin"/>
      </w:r>
      <w:r>
        <w:rPr>
          <w:color w:val="auto"/>
          <w:highlight w:val="none"/>
        </w:rPr>
        <w:instrText xml:space="preserve"> PAGEREF _Toc43475813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3FFB14E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"_Toc43475814" </w:instrText>
      </w:r>
      <w:r>
        <w:rPr>
          <w:color w:val="auto"/>
          <w:highlight w:val="none"/>
        </w:rPr>
        <w:fldChar w:fldCharType="separate"/>
      </w:r>
      <w:r>
        <w:rPr>
          <w:rStyle w:val="50"/>
          <w:rFonts w:ascii="宋体"/>
          <w:color w:val="auto"/>
          <w:highlight w:val="none"/>
        </w:rPr>
        <w:t xml:space="preserve">9.3 </w:t>
      </w:r>
      <w:r>
        <w:rPr>
          <w:rStyle w:val="50"/>
          <w:rFonts w:hint="eastAsia" w:ascii="宋体"/>
          <w:color w:val="auto"/>
          <w:highlight w:val="none"/>
        </w:rPr>
        <w:t>治安保卫</w:t>
      </w:r>
      <w:r>
        <w:rPr>
          <w:color w:val="auto"/>
          <w:highlight w:val="none"/>
        </w:rPr>
        <w:tab/>
      </w:r>
      <w:r>
        <w:rPr>
          <w:color w:val="auto"/>
          <w:highlight w:val="none"/>
        </w:rPr>
        <w:fldChar w:fldCharType="begin"/>
      </w:r>
      <w:r>
        <w:rPr>
          <w:color w:val="auto"/>
          <w:highlight w:val="none"/>
        </w:rPr>
        <w:instrText xml:space="preserve"> PAGEREF _Toc43475814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4CC11D7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"_Toc43475815" </w:instrText>
      </w:r>
      <w:r>
        <w:rPr>
          <w:color w:val="auto"/>
          <w:highlight w:val="none"/>
        </w:rPr>
        <w:fldChar w:fldCharType="separate"/>
      </w:r>
      <w:r>
        <w:rPr>
          <w:rStyle w:val="50"/>
          <w:rFonts w:ascii="宋体"/>
          <w:color w:val="auto"/>
          <w:highlight w:val="none"/>
        </w:rPr>
        <w:t xml:space="preserve">9.4 </w:t>
      </w:r>
      <w:r>
        <w:rPr>
          <w:rStyle w:val="50"/>
          <w:rFonts w:hint="eastAsia" w:ascii="宋体"/>
          <w:color w:val="auto"/>
          <w:highlight w:val="none"/>
        </w:rPr>
        <w:t>环境保护</w:t>
      </w:r>
      <w:r>
        <w:rPr>
          <w:color w:val="auto"/>
          <w:highlight w:val="none"/>
        </w:rPr>
        <w:tab/>
      </w:r>
      <w:r>
        <w:rPr>
          <w:color w:val="auto"/>
          <w:highlight w:val="none"/>
        </w:rPr>
        <w:fldChar w:fldCharType="begin"/>
      </w:r>
      <w:r>
        <w:rPr>
          <w:color w:val="auto"/>
          <w:highlight w:val="none"/>
        </w:rPr>
        <w:instrText xml:space="preserve"> PAGEREF _Toc43475815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7706188F">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"_Toc43475816" </w:instrText>
      </w:r>
      <w:r>
        <w:rPr>
          <w:color w:val="auto"/>
          <w:highlight w:val="none"/>
        </w:rPr>
        <w:fldChar w:fldCharType="separate"/>
      </w:r>
      <w:r>
        <w:rPr>
          <w:rStyle w:val="50"/>
          <w:rFonts w:ascii="宋体"/>
          <w:color w:val="auto"/>
          <w:highlight w:val="none"/>
        </w:rPr>
        <w:t xml:space="preserve">9.5 </w:t>
      </w:r>
      <w:r>
        <w:rPr>
          <w:rStyle w:val="50"/>
          <w:rFonts w:hint="eastAsia" w:ascii="宋体"/>
          <w:color w:val="auto"/>
          <w:highlight w:val="none"/>
        </w:rPr>
        <w:t>事故处理</w:t>
      </w:r>
      <w:r>
        <w:rPr>
          <w:color w:val="auto"/>
          <w:highlight w:val="none"/>
        </w:rPr>
        <w:tab/>
      </w:r>
      <w:r>
        <w:rPr>
          <w:color w:val="auto"/>
          <w:highlight w:val="none"/>
        </w:rPr>
        <w:fldChar w:fldCharType="begin"/>
      </w:r>
      <w:r>
        <w:rPr>
          <w:color w:val="auto"/>
          <w:highlight w:val="none"/>
        </w:rPr>
        <w:instrText xml:space="preserve"> PAGEREF _Toc43475816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16E9AAF8">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"_Toc43475817" </w:instrText>
      </w:r>
      <w:r>
        <w:rPr>
          <w:color w:val="auto"/>
          <w:highlight w:val="none"/>
        </w:rPr>
        <w:fldChar w:fldCharType="separate"/>
      </w:r>
      <w:r>
        <w:rPr>
          <w:rStyle w:val="50"/>
          <w:rFonts w:ascii="宋体" w:hAnsi="宋体"/>
          <w:color w:val="auto"/>
          <w:highlight w:val="none"/>
        </w:rPr>
        <w:t xml:space="preserve">10. </w:t>
      </w:r>
      <w:r>
        <w:rPr>
          <w:rStyle w:val="50"/>
          <w:rFonts w:hint="eastAsia" w:ascii="宋体" w:hAnsi="宋体"/>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_Toc43475817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51C419B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"_Toc43475818" </w:instrText>
      </w:r>
      <w:r>
        <w:rPr>
          <w:color w:val="auto"/>
          <w:highlight w:val="none"/>
        </w:rPr>
        <w:fldChar w:fldCharType="separate"/>
      </w:r>
      <w:r>
        <w:rPr>
          <w:rStyle w:val="50"/>
          <w:rFonts w:ascii="宋体"/>
          <w:color w:val="auto"/>
          <w:highlight w:val="none"/>
        </w:rPr>
        <w:t xml:space="preserve">10.1 </w:t>
      </w:r>
      <w:r>
        <w:rPr>
          <w:rStyle w:val="50"/>
          <w:rFonts w:hint="eastAsia" w:ascii="宋体"/>
          <w:color w:val="auto"/>
          <w:highlight w:val="none"/>
        </w:rPr>
        <w:t>合同进度计划</w:t>
      </w:r>
      <w:r>
        <w:rPr>
          <w:color w:val="auto"/>
          <w:highlight w:val="none"/>
        </w:rPr>
        <w:tab/>
      </w:r>
      <w:r>
        <w:rPr>
          <w:color w:val="auto"/>
          <w:highlight w:val="none"/>
        </w:rPr>
        <w:fldChar w:fldCharType="begin"/>
      </w:r>
      <w:r>
        <w:rPr>
          <w:color w:val="auto"/>
          <w:highlight w:val="none"/>
        </w:rPr>
        <w:instrText xml:space="preserve"> PAGEREF _Toc43475818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0541677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"_Toc43475819" </w:instrText>
      </w:r>
      <w:r>
        <w:rPr>
          <w:color w:val="auto"/>
          <w:highlight w:val="none"/>
        </w:rPr>
        <w:fldChar w:fldCharType="separate"/>
      </w:r>
      <w:r>
        <w:rPr>
          <w:rStyle w:val="50"/>
          <w:rFonts w:ascii="宋体"/>
          <w:color w:val="auto"/>
          <w:highlight w:val="none"/>
        </w:rPr>
        <w:t xml:space="preserve">10.2 </w:t>
      </w:r>
      <w:r>
        <w:rPr>
          <w:rStyle w:val="50"/>
          <w:rFonts w:hint="eastAsia" w:ascii="宋体"/>
          <w:color w:val="auto"/>
          <w:highlight w:val="none"/>
        </w:rPr>
        <w:t>合同进度计划的修订</w:t>
      </w:r>
      <w:r>
        <w:rPr>
          <w:color w:val="auto"/>
          <w:highlight w:val="none"/>
        </w:rPr>
        <w:tab/>
      </w:r>
      <w:r>
        <w:rPr>
          <w:color w:val="auto"/>
          <w:highlight w:val="none"/>
        </w:rPr>
        <w:fldChar w:fldCharType="begin"/>
      </w:r>
      <w:r>
        <w:rPr>
          <w:color w:val="auto"/>
          <w:highlight w:val="none"/>
        </w:rPr>
        <w:instrText xml:space="preserve"> PAGEREF _Toc43475819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31BEE480">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"_Toc43475820" </w:instrText>
      </w:r>
      <w:r>
        <w:rPr>
          <w:color w:val="auto"/>
          <w:highlight w:val="none"/>
        </w:rPr>
        <w:fldChar w:fldCharType="separate"/>
      </w:r>
      <w:r>
        <w:rPr>
          <w:rStyle w:val="50"/>
          <w:rFonts w:ascii="宋体" w:hAnsi="宋体"/>
          <w:color w:val="auto"/>
          <w:highlight w:val="none"/>
        </w:rPr>
        <w:t xml:space="preserve">11. </w:t>
      </w:r>
      <w:r>
        <w:rPr>
          <w:rStyle w:val="50"/>
          <w:rFonts w:hint="eastAsia" w:ascii="宋体" w:hAnsi="宋体"/>
          <w:color w:val="auto"/>
          <w:highlight w:val="none"/>
        </w:rPr>
        <w:t>开工和竣工</w:t>
      </w:r>
      <w:r>
        <w:rPr>
          <w:color w:val="auto"/>
          <w:highlight w:val="none"/>
        </w:rPr>
        <w:tab/>
      </w:r>
      <w:r>
        <w:rPr>
          <w:color w:val="auto"/>
          <w:highlight w:val="none"/>
        </w:rPr>
        <w:fldChar w:fldCharType="begin"/>
      </w:r>
      <w:r>
        <w:rPr>
          <w:color w:val="auto"/>
          <w:highlight w:val="none"/>
        </w:rPr>
        <w:instrText xml:space="preserve"> PAGEREF _Toc43475820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03D1D1F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"_Toc43475821" </w:instrText>
      </w:r>
      <w:r>
        <w:rPr>
          <w:color w:val="auto"/>
          <w:highlight w:val="none"/>
        </w:rPr>
        <w:fldChar w:fldCharType="separate"/>
      </w:r>
      <w:r>
        <w:rPr>
          <w:rStyle w:val="50"/>
          <w:rFonts w:ascii="宋体"/>
          <w:color w:val="auto"/>
          <w:highlight w:val="none"/>
        </w:rPr>
        <w:t xml:space="preserve">11.1 </w:t>
      </w:r>
      <w:r>
        <w:rPr>
          <w:rStyle w:val="50"/>
          <w:rFonts w:hint="eastAsia" w:ascii="宋体"/>
          <w:color w:val="auto"/>
          <w:highlight w:val="none"/>
        </w:rPr>
        <w:t>开工</w:t>
      </w:r>
      <w:r>
        <w:rPr>
          <w:color w:val="auto"/>
          <w:highlight w:val="none"/>
        </w:rPr>
        <w:tab/>
      </w:r>
      <w:r>
        <w:rPr>
          <w:color w:val="auto"/>
          <w:highlight w:val="none"/>
        </w:rPr>
        <w:fldChar w:fldCharType="begin"/>
      </w:r>
      <w:r>
        <w:rPr>
          <w:color w:val="auto"/>
          <w:highlight w:val="none"/>
        </w:rPr>
        <w:instrText xml:space="preserve"> PAGEREF _Toc43475821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4BF1DC6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"_Toc43475822" </w:instrText>
      </w:r>
      <w:r>
        <w:rPr>
          <w:color w:val="auto"/>
          <w:highlight w:val="none"/>
        </w:rPr>
        <w:fldChar w:fldCharType="separate"/>
      </w:r>
      <w:r>
        <w:rPr>
          <w:rStyle w:val="50"/>
          <w:rFonts w:ascii="宋体"/>
          <w:color w:val="auto"/>
          <w:highlight w:val="none"/>
        </w:rPr>
        <w:t xml:space="preserve">11.2 </w:t>
      </w:r>
      <w:r>
        <w:rPr>
          <w:rStyle w:val="50"/>
          <w:rFonts w:hint="eastAsia" w:ascii="宋体"/>
          <w:color w:val="auto"/>
          <w:highlight w:val="none"/>
        </w:rPr>
        <w:t>竣工</w:t>
      </w:r>
      <w:r>
        <w:rPr>
          <w:color w:val="auto"/>
          <w:highlight w:val="none"/>
        </w:rPr>
        <w:tab/>
      </w:r>
      <w:r>
        <w:rPr>
          <w:color w:val="auto"/>
          <w:highlight w:val="none"/>
        </w:rPr>
        <w:fldChar w:fldCharType="begin"/>
      </w:r>
      <w:r>
        <w:rPr>
          <w:color w:val="auto"/>
          <w:highlight w:val="none"/>
        </w:rPr>
        <w:instrText xml:space="preserve"> PAGEREF _Toc43475822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5E440EC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"_Toc43475823" </w:instrText>
      </w:r>
      <w:r>
        <w:rPr>
          <w:color w:val="auto"/>
          <w:highlight w:val="none"/>
        </w:rPr>
        <w:fldChar w:fldCharType="separate"/>
      </w:r>
      <w:r>
        <w:rPr>
          <w:rStyle w:val="50"/>
          <w:rFonts w:ascii="宋体"/>
          <w:color w:val="auto"/>
          <w:highlight w:val="none"/>
        </w:rPr>
        <w:t xml:space="preserve">11.3 </w:t>
      </w:r>
      <w:r>
        <w:rPr>
          <w:rStyle w:val="50"/>
          <w:rFonts w:hint="eastAsia" w:ascii="宋体"/>
          <w:color w:val="auto"/>
          <w:highlight w:val="none"/>
        </w:rPr>
        <w:t>发包人的工期延误</w:t>
      </w:r>
      <w:r>
        <w:rPr>
          <w:color w:val="auto"/>
          <w:highlight w:val="none"/>
        </w:rPr>
        <w:tab/>
      </w:r>
      <w:r>
        <w:rPr>
          <w:color w:val="auto"/>
          <w:highlight w:val="none"/>
        </w:rPr>
        <w:fldChar w:fldCharType="begin"/>
      </w:r>
      <w:r>
        <w:rPr>
          <w:color w:val="auto"/>
          <w:highlight w:val="none"/>
        </w:rPr>
        <w:instrText xml:space="preserve"> PAGEREF _Toc43475823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282CCC2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"_Toc43475824" </w:instrText>
      </w:r>
      <w:r>
        <w:rPr>
          <w:color w:val="auto"/>
          <w:highlight w:val="none"/>
        </w:rPr>
        <w:fldChar w:fldCharType="separate"/>
      </w:r>
      <w:r>
        <w:rPr>
          <w:rStyle w:val="50"/>
          <w:rFonts w:ascii="宋体"/>
          <w:color w:val="auto"/>
          <w:highlight w:val="none"/>
        </w:rPr>
        <w:t xml:space="preserve">11.4 </w:t>
      </w:r>
      <w:r>
        <w:rPr>
          <w:rStyle w:val="50"/>
          <w:rFonts w:hint="eastAsia" w:ascii="宋体"/>
          <w:color w:val="auto"/>
          <w:highlight w:val="none"/>
        </w:rPr>
        <w:t>异常恶劣的气候条件</w:t>
      </w:r>
      <w:r>
        <w:rPr>
          <w:color w:val="auto"/>
          <w:highlight w:val="none"/>
        </w:rPr>
        <w:tab/>
      </w:r>
      <w:r>
        <w:rPr>
          <w:color w:val="auto"/>
          <w:highlight w:val="none"/>
        </w:rPr>
        <w:fldChar w:fldCharType="begin"/>
      </w:r>
      <w:r>
        <w:rPr>
          <w:color w:val="auto"/>
          <w:highlight w:val="none"/>
        </w:rPr>
        <w:instrText xml:space="preserve"> PAGEREF _Toc43475824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3A498B8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"_Toc43475825" </w:instrText>
      </w:r>
      <w:r>
        <w:rPr>
          <w:color w:val="auto"/>
          <w:highlight w:val="none"/>
        </w:rPr>
        <w:fldChar w:fldCharType="separate"/>
      </w:r>
      <w:r>
        <w:rPr>
          <w:rStyle w:val="50"/>
          <w:rFonts w:ascii="宋体"/>
          <w:color w:val="auto"/>
          <w:highlight w:val="none"/>
        </w:rPr>
        <w:t xml:space="preserve">11.5 </w:t>
      </w:r>
      <w:r>
        <w:rPr>
          <w:rStyle w:val="50"/>
          <w:rFonts w:hint="eastAsia" w:ascii="宋体"/>
          <w:color w:val="auto"/>
          <w:highlight w:val="none"/>
        </w:rPr>
        <w:t>承包人的工期延误</w:t>
      </w:r>
      <w:r>
        <w:rPr>
          <w:color w:val="auto"/>
          <w:highlight w:val="none"/>
        </w:rPr>
        <w:tab/>
      </w:r>
      <w:r>
        <w:rPr>
          <w:color w:val="auto"/>
          <w:highlight w:val="none"/>
        </w:rPr>
        <w:fldChar w:fldCharType="begin"/>
      </w:r>
      <w:r>
        <w:rPr>
          <w:color w:val="auto"/>
          <w:highlight w:val="none"/>
        </w:rPr>
        <w:instrText xml:space="preserve"> PAGEREF _Toc43475825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789BE8B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"_Toc43475826" </w:instrText>
      </w:r>
      <w:r>
        <w:rPr>
          <w:color w:val="auto"/>
          <w:highlight w:val="none"/>
        </w:rPr>
        <w:fldChar w:fldCharType="separate"/>
      </w:r>
      <w:r>
        <w:rPr>
          <w:rStyle w:val="50"/>
          <w:rFonts w:ascii="宋体"/>
          <w:color w:val="auto"/>
          <w:highlight w:val="none"/>
        </w:rPr>
        <w:t xml:space="preserve">11.6 </w:t>
      </w:r>
      <w:r>
        <w:rPr>
          <w:rStyle w:val="50"/>
          <w:rFonts w:hint="eastAsia" w:ascii="宋体"/>
          <w:color w:val="auto"/>
          <w:highlight w:val="none"/>
        </w:rPr>
        <w:t>工期提前</w:t>
      </w:r>
      <w:r>
        <w:rPr>
          <w:color w:val="auto"/>
          <w:highlight w:val="none"/>
        </w:rPr>
        <w:tab/>
      </w:r>
      <w:r>
        <w:rPr>
          <w:color w:val="auto"/>
          <w:highlight w:val="none"/>
        </w:rPr>
        <w:fldChar w:fldCharType="begin"/>
      </w:r>
      <w:r>
        <w:rPr>
          <w:color w:val="auto"/>
          <w:highlight w:val="none"/>
        </w:rPr>
        <w:instrText xml:space="preserve"> PAGEREF _Toc43475826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3616648C">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"_Toc43475827" </w:instrText>
      </w:r>
      <w:r>
        <w:rPr>
          <w:color w:val="auto"/>
          <w:highlight w:val="none"/>
        </w:rPr>
        <w:fldChar w:fldCharType="separate"/>
      </w:r>
      <w:r>
        <w:rPr>
          <w:rStyle w:val="50"/>
          <w:rFonts w:ascii="宋体" w:hAnsi="宋体"/>
          <w:color w:val="auto"/>
          <w:highlight w:val="none"/>
        </w:rPr>
        <w:t xml:space="preserve">12. </w:t>
      </w:r>
      <w:r>
        <w:rPr>
          <w:rStyle w:val="50"/>
          <w:rFonts w:hint="eastAsia" w:ascii="宋体" w:hAnsi="宋体"/>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_Toc43475827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2658AC7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"_Toc43475828" </w:instrText>
      </w:r>
      <w:r>
        <w:rPr>
          <w:color w:val="auto"/>
          <w:highlight w:val="none"/>
        </w:rPr>
        <w:fldChar w:fldCharType="separate"/>
      </w:r>
      <w:r>
        <w:rPr>
          <w:rStyle w:val="50"/>
          <w:rFonts w:ascii="宋体"/>
          <w:color w:val="auto"/>
          <w:highlight w:val="none"/>
        </w:rPr>
        <w:t xml:space="preserve">12.1 </w:t>
      </w:r>
      <w:r>
        <w:rPr>
          <w:rStyle w:val="50"/>
          <w:rFonts w:hint="eastAsia" w:ascii="宋体"/>
          <w:color w:val="auto"/>
          <w:highlight w:val="none"/>
        </w:rPr>
        <w:t>承包人暂停施工的责任</w:t>
      </w:r>
      <w:r>
        <w:rPr>
          <w:color w:val="auto"/>
          <w:highlight w:val="none"/>
        </w:rPr>
        <w:tab/>
      </w:r>
      <w:r>
        <w:rPr>
          <w:color w:val="auto"/>
          <w:highlight w:val="none"/>
        </w:rPr>
        <w:fldChar w:fldCharType="begin"/>
      </w:r>
      <w:r>
        <w:rPr>
          <w:color w:val="auto"/>
          <w:highlight w:val="none"/>
        </w:rPr>
        <w:instrText xml:space="preserve"> PAGEREF _Toc43475828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6E6D3F5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"_Toc43475829" </w:instrText>
      </w:r>
      <w:r>
        <w:rPr>
          <w:color w:val="auto"/>
          <w:highlight w:val="none"/>
        </w:rPr>
        <w:fldChar w:fldCharType="separate"/>
      </w:r>
      <w:r>
        <w:rPr>
          <w:rStyle w:val="50"/>
          <w:rFonts w:ascii="宋体"/>
          <w:color w:val="auto"/>
          <w:highlight w:val="none"/>
        </w:rPr>
        <w:t xml:space="preserve">12.2 </w:t>
      </w:r>
      <w:r>
        <w:rPr>
          <w:rStyle w:val="50"/>
          <w:rFonts w:hint="eastAsia" w:ascii="宋体"/>
          <w:color w:val="auto"/>
          <w:highlight w:val="none"/>
        </w:rPr>
        <w:t>发包人暂停施工的责任</w:t>
      </w:r>
      <w:r>
        <w:rPr>
          <w:color w:val="auto"/>
          <w:highlight w:val="none"/>
        </w:rPr>
        <w:tab/>
      </w:r>
      <w:r>
        <w:rPr>
          <w:color w:val="auto"/>
          <w:highlight w:val="none"/>
        </w:rPr>
        <w:fldChar w:fldCharType="begin"/>
      </w:r>
      <w:r>
        <w:rPr>
          <w:color w:val="auto"/>
          <w:highlight w:val="none"/>
        </w:rPr>
        <w:instrText xml:space="preserve"> PAGEREF _Toc43475829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56963D6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"_Toc43475830" </w:instrText>
      </w:r>
      <w:r>
        <w:rPr>
          <w:color w:val="auto"/>
          <w:highlight w:val="none"/>
        </w:rPr>
        <w:fldChar w:fldCharType="separate"/>
      </w:r>
      <w:r>
        <w:rPr>
          <w:rStyle w:val="50"/>
          <w:rFonts w:ascii="宋体"/>
          <w:color w:val="auto"/>
          <w:highlight w:val="none"/>
        </w:rPr>
        <w:t xml:space="preserve">12.3 </w:t>
      </w:r>
      <w:r>
        <w:rPr>
          <w:rStyle w:val="50"/>
          <w:rFonts w:hint="eastAsia" w:ascii="宋体"/>
          <w:color w:val="auto"/>
          <w:highlight w:val="none"/>
        </w:rPr>
        <w:t>监理人暂停施工指示</w:t>
      </w:r>
      <w:r>
        <w:rPr>
          <w:color w:val="auto"/>
          <w:highlight w:val="none"/>
        </w:rPr>
        <w:tab/>
      </w:r>
      <w:r>
        <w:rPr>
          <w:color w:val="auto"/>
          <w:highlight w:val="none"/>
        </w:rPr>
        <w:fldChar w:fldCharType="begin"/>
      </w:r>
      <w:r>
        <w:rPr>
          <w:color w:val="auto"/>
          <w:highlight w:val="none"/>
        </w:rPr>
        <w:instrText xml:space="preserve"> PAGEREF _Toc43475830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00BAF0E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"_Toc43475831" </w:instrText>
      </w:r>
      <w:r>
        <w:rPr>
          <w:color w:val="auto"/>
          <w:highlight w:val="none"/>
        </w:rPr>
        <w:fldChar w:fldCharType="separate"/>
      </w:r>
      <w:r>
        <w:rPr>
          <w:rStyle w:val="50"/>
          <w:rFonts w:ascii="宋体"/>
          <w:color w:val="auto"/>
          <w:highlight w:val="none"/>
        </w:rPr>
        <w:t xml:space="preserve">12.4 </w:t>
      </w:r>
      <w:r>
        <w:rPr>
          <w:rStyle w:val="50"/>
          <w:rFonts w:hint="eastAsia" w:ascii="宋体"/>
          <w:color w:val="auto"/>
          <w:highlight w:val="none"/>
        </w:rPr>
        <w:t>暂停施工后的复工</w:t>
      </w:r>
      <w:r>
        <w:rPr>
          <w:color w:val="auto"/>
          <w:highlight w:val="none"/>
        </w:rPr>
        <w:tab/>
      </w:r>
      <w:r>
        <w:rPr>
          <w:color w:val="auto"/>
          <w:highlight w:val="none"/>
        </w:rPr>
        <w:fldChar w:fldCharType="begin"/>
      </w:r>
      <w:r>
        <w:rPr>
          <w:color w:val="auto"/>
          <w:highlight w:val="none"/>
        </w:rPr>
        <w:instrText xml:space="preserve"> PAGEREF _Toc43475831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28FE537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"_Toc43475832" </w:instrText>
      </w:r>
      <w:r>
        <w:rPr>
          <w:color w:val="auto"/>
          <w:highlight w:val="none"/>
        </w:rPr>
        <w:fldChar w:fldCharType="separate"/>
      </w:r>
      <w:r>
        <w:rPr>
          <w:rStyle w:val="50"/>
          <w:rFonts w:ascii="宋体"/>
          <w:color w:val="auto"/>
          <w:highlight w:val="none"/>
        </w:rPr>
        <w:t xml:space="preserve">12.5 </w:t>
      </w:r>
      <w:r>
        <w:rPr>
          <w:rStyle w:val="50"/>
          <w:rFonts w:hint="eastAsia" w:ascii="宋体"/>
          <w:color w:val="auto"/>
          <w:highlight w:val="none"/>
        </w:rPr>
        <w:t>暂停施工持续</w:t>
      </w:r>
      <w:r>
        <w:rPr>
          <w:rStyle w:val="50"/>
          <w:rFonts w:ascii="宋体"/>
          <w:color w:val="auto"/>
          <w:highlight w:val="none"/>
        </w:rPr>
        <w:t>56</w:t>
      </w:r>
      <w:r>
        <w:rPr>
          <w:rStyle w:val="50"/>
          <w:rFonts w:hint="eastAsia" w:ascii="宋体"/>
          <w:color w:val="auto"/>
          <w:highlight w:val="none"/>
        </w:rPr>
        <w:t>天以上</w:t>
      </w:r>
      <w:r>
        <w:rPr>
          <w:color w:val="auto"/>
          <w:highlight w:val="none"/>
        </w:rPr>
        <w:tab/>
      </w:r>
      <w:r>
        <w:rPr>
          <w:color w:val="auto"/>
          <w:highlight w:val="none"/>
        </w:rPr>
        <w:fldChar w:fldCharType="begin"/>
      </w:r>
      <w:r>
        <w:rPr>
          <w:color w:val="auto"/>
          <w:highlight w:val="none"/>
        </w:rPr>
        <w:instrText xml:space="preserve"> PAGEREF _Toc43475832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1BCB4406">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"_Toc43475833" </w:instrText>
      </w:r>
      <w:r>
        <w:rPr>
          <w:color w:val="auto"/>
          <w:highlight w:val="none"/>
        </w:rPr>
        <w:fldChar w:fldCharType="separate"/>
      </w:r>
      <w:r>
        <w:rPr>
          <w:rStyle w:val="50"/>
          <w:rFonts w:ascii="宋体" w:hAnsi="宋体"/>
          <w:color w:val="auto"/>
          <w:highlight w:val="none"/>
        </w:rPr>
        <w:t xml:space="preserve">13. </w:t>
      </w:r>
      <w:r>
        <w:rPr>
          <w:rStyle w:val="50"/>
          <w:rFonts w:hint="eastAsia" w:ascii="宋体" w:hAnsi="宋体"/>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_Toc43475833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68C4B44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"_Toc43475834" </w:instrText>
      </w:r>
      <w:r>
        <w:rPr>
          <w:color w:val="auto"/>
          <w:highlight w:val="none"/>
        </w:rPr>
        <w:fldChar w:fldCharType="separate"/>
      </w:r>
      <w:r>
        <w:rPr>
          <w:rStyle w:val="50"/>
          <w:rFonts w:ascii="宋体"/>
          <w:color w:val="auto"/>
          <w:highlight w:val="none"/>
        </w:rPr>
        <w:t xml:space="preserve">13.1 </w:t>
      </w:r>
      <w:r>
        <w:rPr>
          <w:rStyle w:val="50"/>
          <w:rFonts w:hint="eastAsia" w:ascii="宋体"/>
          <w:color w:val="auto"/>
          <w:highlight w:val="none"/>
        </w:rPr>
        <w:t>工程质量要求</w:t>
      </w:r>
      <w:r>
        <w:rPr>
          <w:color w:val="auto"/>
          <w:highlight w:val="none"/>
        </w:rPr>
        <w:tab/>
      </w:r>
      <w:r>
        <w:rPr>
          <w:color w:val="auto"/>
          <w:highlight w:val="none"/>
        </w:rPr>
        <w:fldChar w:fldCharType="begin"/>
      </w:r>
      <w:r>
        <w:rPr>
          <w:color w:val="auto"/>
          <w:highlight w:val="none"/>
        </w:rPr>
        <w:instrText xml:space="preserve"> PAGEREF _Toc43475834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4E2219D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"_Toc43475835" </w:instrText>
      </w:r>
      <w:r>
        <w:rPr>
          <w:color w:val="auto"/>
          <w:highlight w:val="none"/>
        </w:rPr>
        <w:fldChar w:fldCharType="separate"/>
      </w:r>
      <w:r>
        <w:rPr>
          <w:rStyle w:val="50"/>
          <w:rFonts w:ascii="宋体"/>
          <w:color w:val="auto"/>
          <w:highlight w:val="none"/>
        </w:rPr>
        <w:t xml:space="preserve">13.2 </w:t>
      </w:r>
      <w:r>
        <w:rPr>
          <w:rStyle w:val="50"/>
          <w:rFonts w:hint="eastAsia" w:ascii="宋体"/>
          <w:color w:val="auto"/>
          <w:highlight w:val="none"/>
        </w:rPr>
        <w:t>承包人的质量管理</w:t>
      </w:r>
      <w:r>
        <w:rPr>
          <w:color w:val="auto"/>
          <w:highlight w:val="none"/>
        </w:rPr>
        <w:tab/>
      </w:r>
      <w:r>
        <w:rPr>
          <w:color w:val="auto"/>
          <w:highlight w:val="none"/>
        </w:rPr>
        <w:fldChar w:fldCharType="begin"/>
      </w:r>
      <w:r>
        <w:rPr>
          <w:color w:val="auto"/>
          <w:highlight w:val="none"/>
        </w:rPr>
        <w:instrText xml:space="preserve"> PAGEREF _Toc43475835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076FF27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"_Toc43475836" </w:instrText>
      </w:r>
      <w:r>
        <w:rPr>
          <w:color w:val="auto"/>
          <w:highlight w:val="none"/>
        </w:rPr>
        <w:fldChar w:fldCharType="separate"/>
      </w:r>
      <w:r>
        <w:rPr>
          <w:rStyle w:val="50"/>
          <w:rFonts w:ascii="宋体"/>
          <w:color w:val="auto"/>
          <w:highlight w:val="none"/>
        </w:rPr>
        <w:t xml:space="preserve">13.3 </w:t>
      </w:r>
      <w:r>
        <w:rPr>
          <w:rStyle w:val="50"/>
          <w:rFonts w:hint="eastAsia" w:ascii="宋体"/>
          <w:color w:val="auto"/>
          <w:highlight w:val="none"/>
        </w:rPr>
        <w:t>承包人的质量检查</w:t>
      </w:r>
      <w:r>
        <w:rPr>
          <w:color w:val="auto"/>
          <w:highlight w:val="none"/>
        </w:rPr>
        <w:tab/>
      </w:r>
      <w:r>
        <w:rPr>
          <w:color w:val="auto"/>
          <w:highlight w:val="none"/>
        </w:rPr>
        <w:fldChar w:fldCharType="begin"/>
      </w:r>
      <w:r>
        <w:rPr>
          <w:color w:val="auto"/>
          <w:highlight w:val="none"/>
        </w:rPr>
        <w:instrText xml:space="preserve"> PAGEREF _Toc43475836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17B1082B">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"_Toc43475837" </w:instrText>
      </w:r>
      <w:r>
        <w:rPr>
          <w:color w:val="auto"/>
          <w:highlight w:val="none"/>
        </w:rPr>
        <w:fldChar w:fldCharType="separate"/>
      </w:r>
      <w:r>
        <w:rPr>
          <w:rStyle w:val="50"/>
          <w:rFonts w:ascii="宋体"/>
          <w:color w:val="auto"/>
          <w:highlight w:val="none"/>
        </w:rPr>
        <w:t xml:space="preserve">13.4 </w:t>
      </w:r>
      <w:r>
        <w:rPr>
          <w:rStyle w:val="50"/>
          <w:rFonts w:hint="eastAsia" w:ascii="宋体"/>
          <w:color w:val="auto"/>
          <w:highlight w:val="none"/>
        </w:rPr>
        <w:t>监理人的质量检查</w:t>
      </w:r>
      <w:r>
        <w:rPr>
          <w:color w:val="auto"/>
          <w:highlight w:val="none"/>
        </w:rPr>
        <w:tab/>
      </w:r>
      <w:r>
        <w:rPr>
          <w:color w:val="auto"/>
          <w:highlight w:val="none"/>
        </w:rPr>
        <w:fldChar w:fldCharType="begin"/>
      </w:r>
      <w:r>
        <w:rPr>
          <w:color w:val="auto"/>
          <w:highlight w:val="none"/>
        </w:rPr>
        <w:instrText xml:space="preserve"> PAGEREF _Toc43475837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0D742BE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"_Toc43475838" </w:instrText>
      </w:r>
      <w:r>
        <w:rPr>
          <w:color w:val="auto"/>
          <w:highlight w:val="none"/>
        </w:rPr>
        <w:fldChar w:fldCharType="separate"/>
      </w:r>
      <w:r>
        <w:rPr>
          <w:rStyle w:val="50"/>
          <w:rFonts w:ascii="宋体"/>
          <w:color w:val="auto"/>
          <w:highlight w:val="none"/>
        </w:rPr>
        <w:t xml:space="preserve">13.5 </w:t>
      </w:r>
      <w:r>
        <w:rPr>
          <w:rStyle w:val="50"/>
          <w:rFonts w:hint="eastAsia" w:ascii="宋体"/>
          <w:color w:val="auto"/>
          <w:highlight w:val="none"/>
        </w:rPr>
        <w:t>工程隐蔽部位覆盖前的检查</w:t>
      </w:r>
      <w:r>
        <w:rPr>
          <w:color w:val="auto"/>
          <w:highlight w:val="none"/>
        </w:rPr>
        <w:tab/>
      </w:r>
      <w:r>
        <w:rPr>
          <w:color w:val="auto"/>
          <w:highlight w:val="none"/>
        </w:rPr>
        <w:fldChar w:fldCharType="begin"/>
      </w:r>
      <w:r>
        <w:rPr>
          <w:color w:val="auto"/>
          <w:highlight w:val="none"/>
        </w:rPr>
        <w:instrText xml:space="preserve"> PAGEREF _Toc43475838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2B504C1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"_Toc43475839" </w:instrText>
      </w:r>
      <w:r>
        <w:rPr>
          <w:color w:val="auto"/>
          <w:highlight w:val="none"/>
        </w:rPr>
        <w:fldChar w:fldCharType="separate"/>
      </w:r>
      <w:r>
        <w:rPr>
          <w:rStyle w:val="50"/>
          <w:rFonts w:ascii="宋体"/>
          <w:color w:val="auto"/>
          <w:highlight w:val="none"/>
        </w:rPr>
        <w:t xml:space="preserve">13.6 </w:t>
      </w:r>
      <w:r>
        <w:rPr>
          <w:rStyle w:val="50"/>
          <w:rFonts w:hint="eastAsia" w:ascii="宋体"/>
          <w:color w:val="auto"/>
          <w:highlight w:val="none"/>
        </w:rPr>
        <w:t>清除不合格工程</w:t>
      </w:r>
      <w:r>
        <w:rPr>
          <w:color w:val="auto"/>
          <w:highlight w:val="none"/>
        </w:rPr>
        <w:tab/>
      </w:r>
      <w:r>
        <w:rPr>
          <w:color w:val="auto"/>
          <w:highlight w:val="none"/>
        </w:rPr>
        <w:fldChar w:fldCharType="begin"/>
      </w:r>
      <w:r>
        <w:rPr>
          <w:color w:val="auto"/>
          <w:highlight w:val="none"/>
        </w:rPr>
        <w:instrText xml:space="preserve"> PAGEREF _Toc43475839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1855BAB">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"_Toc43475840" </w:instrText>
      </w:r>
      <w:r>
        <w:rPr>
          <w:color w:val="auto"/>
          <w:highlight w:val="none"/>
        </w:rPr>
        <w:fldChar w:fldCharType="separate"/>
      </w:r>
      <w:r>
        <w:rPr>
          <w:rStyle w:val="50"/>
          <w:rFonts w:ascii="宋体" w:hAnsi="宋体"/>
          <w:color w:val="auto"/>
          <w:highlight w:val="none"/>
        </w:rPr>
        <w:t xml:space="preserve">14. </w:t>
      </w:r>
      <w:r>
        <w:rPr>
          <w:rStyle w:val="50"/>
          <w:rFonts w:hint="eastAsia" w:ascii="宋体" w:hAnsi="宋体"/>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_Toc43475840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5D319EC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"_Toc43475841" </w:instrText>
      </w:r>
      <w:r>
        <w:rPr>
          <w:color w:val="auto"/>
          <w:highlight w:val="none"/>
        </w:rPr>
        <w:fldChar w:fldCharType="separate"/>
      </w:r>
      <w:r>
        <w:rPr>
          <w:rStyle w:val="50"/>
          <w:rFonts w:ascii="宋体"/>
          <w:color w:val="auto"/>
          <w:highlight w:val="none"/>
        </w:rPr>
        <w:t xml:space="preserve">14.1 </w:t>
      </w:r>
      <w:r>
        <w:rPr>
          <w:rStyle w:val="50"/>
          <w:rFonts w:hint="eastAsia" w:ascii="宋体"/>
          <w:color w:val="auto"/>
          <w:highlight w:val="none"/>
        </w:rPr>
        <w:t>材料、工程设备和工程的试验和检验</w:t>
      </w:r>
      <w:r>
        <w:rPr>
          <w:color w:val="auto"/>
          <w:highlight w:val="none"/>
        </w:rPr>
        <w:tab/>
      </w:r>
      <w:r>
        <w:rPr>
          <w:color w:val="auto"/>
          <w:highlight w:val="none"/>
        </w:rPr>
        <w:fldChar w:fldCharType="begin"/>
      </w:r>
      <w:r>
        <w:rPr>
          <w:color w:val="auto"/>
          <w:highlight w:val="none"/>
        </w:rPr>
        <w:instrText xml:space="preserve"> PAGEREF _Toc43475841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0AE914E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"_Toc43475842" </w:instrText>
      </w:r>
      <w:r>
        <w:rPr>
          <w:color w:val="auto"/>
          <w:highlight w:val="none"/>
        </w:rPr>
        <w:fldChar w:fldCharType="separate"/>
      </w:r>
      <w:r>
        <w:rPr>
          <w:rStyle w:val="50"/>
          <w:rFonts w:ascii="宋体"/>
          <w:color w:val="auto"/>
          <w:highlight w:val="none"/>
        </w:rPr>
        <w:t xml:space="preserve">14.2 </w:t>
      </w:r>
      <w:r>
        <w:rPr>
          <w:rStyle w:val="50"/>
          <w:rFonts w:hint="eastAsia" w:ascii="宋体"/>
          <w:color w:val="auto"/>
          <w:highlight w:val="none"/>
        </w:rPr>
        <w:t>现场材料试验</w:t>
      </w:r>
      <w:r>
        <w:rPr>
          <w:color w:val="auto"/>
          <w:highlight w:val="none"/>
        </w:rPr>
        <w:tab/>
      </w:r>
      <w:r>
        <w:rPr>
          <w:color w:val="auto"/>
          <w:highlight w:val="none"/>
        </w:rPr>
        <w:fldChar w:fldCharType="begin"/>
      </w:r>
      <w:r>
        <w:rPr>
          <w:color w:val="auto"/>
          <w:highlight w:val="none"/>
        </w:rPr>
        <w:instrText xml:space="preserve"> PAGEREF _Toc43475842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50DE5D0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"_Toc43475843" </w:instrText>
      </w:r>
      <w:r>
        <w:rPr>
          <w:color w:val="auto"/>
          <w:highlight w:val="none"/>
        </w:rPr>
        <w:fldChar w:fldCharType="separate"/>
      </w:r>
      <w:r>
        <w:rPr>
          <w:rStyle w:val="50"/>
          <w:rFonts w:ascii="宋体"/>
          <w:color w:val="auto"/>
          <w:highlight w:val="none"/>
        </w:rPr>
        <w:t xml:space="preserve">14.3 </w:t>
      </w:r>
      <w:r>
        <w:rPr>
          <w:rStyle w:val="50"/>
          <w:rFonts w:hint="eastAsia" w:ascii="宋体"/>
          <w:color w:val="auto"/>
          <w:highlight w:val="none"/>
        </w:rPr>
        <w:t>现场工艺试验</w:t>
      </w:r>
      <w:r>
        <w:rPr>
          <w:color w:val="auto"/>
          <w:highlight w:val="none"/>
        </w:rPr>
        <w:tab/>
      </w:r>
      <w:r>
        <w:rPr>
          <w:color w:val="auto"/>
          <w:highlight w:val="none"/>
        </w:rPr>
        <w:fldChar w:fldCharType="begin"/>
      </w:r>
      <w:r>
        <w:rPr>
          <w:color w:val="auto"/>
          <w:highlight w:val="none"/>
        </w:rPr>
        <w:instrText xml:space="preserve"> PAGEREF _Toc43475843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24E454EE">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"_Toc43475844" </w:instrText>
      </w:r>
      <w:r>
        <w:rPr>
          <w:color w:val="auto"/>
          <w:highlight w:val="none"/>
        </w:rPr>
        <w:fldChar w:fldCharType="separate"/>
      </w:r>
      <w:r>
        <w:rPr>
          <w:rStyle w:val="50"/>
          <w:rFonts w:ascii="宋体" w:hAnsi="宋体"/>
          <w:color w:val="auto"/>
          <w:highlight w:val="none"/>
        </w:rPr>
        <w:t xml:space="preserve">15. </w:t>
      </w:r>
      <w:r>
        <w:rPr>
          <w:rStyle w:val="50"/>
          <w:rFonts w:hint="eastAsia" w:ascii="宋体" w:hAnsi="宋体"/>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_Toc43475844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09D8A88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"_Toc43475845" </w:instrText>
      </w:r>
      <w:r>
        <w:rPr>
          <w:color w:val="auto"/>
          <w:highlight w:val="none"/>
        </w:rPr>
        <w:fldChar w:fldCharType="separate"/>
      </w:r>
      <w:r>
        <w:rPr>
          <w:rStyle w:val="50"/>
          <w:rFonts w:ascii="宋体"/>
          <w:color w:val="auto"/>
          <w:highlight w:val="none"/>
        </w:rPr>
        <w:t xml:space="preserve">15.1 </w:t>
      </w:r>
      <w:r>
        <w:rPr>
          <w:rStyle w:val="50"/>
          <w:rFonts w:hint="eastAsia" w:ascii="宋体"/>
          <w:color w:val="auto"/>
          <w:highlight w:val="none"/>
        </w:rPr>
        <w:t>变更的范围和内容</w:t>
      </w:r>
      <w:r>
        <w:rPr>
          <w:color w:val="auto"/>
          <w:highlight w:val="none"/>
        </w:rPr>
        <w:tab/>
      </w:r>
      <w:r>
        <w:rPr>
          <w:color w:val="auto"/>
          <w:highlight w:val="none"/>
        </w:rPr>
        <w:fldChar w:fldCharType="begin"/>
      </w:r>
      <w:r>
        <w:rPr>
          <w:color w:val="auto"/>
          <w:highlight w:val="none"/>
        </w:rPr>
        <w:instrText xml:space="preserve"> PAGEREF _Toc43475845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454D6F4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"_Toc43475846" </w:instrText>
      </w:r>
      <w:r>
        <w:rPr>
          <w:color w:val="auto"/>
          <w:highlight w:val="none"/>
        </w:rPr>
        <w:fldChar w:fldCharType="separate"/>
      </w:r>
      <w:r>
        <w:rPr>
          <w:rStyle w:val="50"/>
          <w:rFonts w:ascii="宋体"/>
          <w:color w:val="auto"/>
          <w:highlight w:val="none"/>
        </w:rPr>
        <w:t xml:space="preserve">15.2 </w:t>
      </w:r>
      <w:r>
        <w:rPr>
          <w:rStyle w:val="50"/>
          <w:rFonts w:hint="eastAsia" w:ascii="宋体"/>
          <w:color w:val="auto"/>
          <w:highlight w:val="none"/>
        </w:rPr>
        <w:t>变更权</w:t>
      </w:r>
      <w:r>
        <w:rPr>
          <w:color w:val="auto"/>
          <w:highlight w:val="none"/>
        </w:rPr>
        <w:tab/>
      </w:r>
      <w:r>
        <w:rPr>
          <w:color w:val="auto"/>
          <w:highlight w:val="none"/>
        </w:rPr>
        <w:fldChar w:fldCharType="begin"/>
      </w:r>
      <w:r>
        <w:rPr>
          <w:color w:val="auto"/>
          <w:highlight w:val="none"/>
        </w:rPr>
        <w:instrText xml:space="preserve"> PAGEREF _Toc43475846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61D99FB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"_Toc43475847" </w:instrText>
      </w:r>
      <w:r>
        <w:rPr>
          <w:color w:val="auto"/>
          <w:highlight w:val="none"/>
        </w:rPr>
        <w:fldChar w:fldCharType="separate"/>
      </w:r>
      <w:r>
        <w:rPr>
          <w:rStyle w:val="50"/>
          <w:rFonts w:ascii="宋体"/>
          <w:color w:val="auto"/>
          <w:highlight w:val="none"/>
        </w:rPr>
        <w:t xml:space="preserve">15.3 </w:t>
      </w:r>
      <w:r>
        <w:rPr>
          <w:rStyle w:val="50"/>
          <w:rFonts w:hint="eastAsia" w:ascii="宋体"/>
          <w:color w:val="auto"/>
          <w:highlight w:val="none"/>
        </w:rPr>
        <w:t>变更程序</w:t>
      </w:r>
      <w:r>
        <w:rPr>
          <w:color w:val="auto"/>
          <w:highlight w:val="none"/>
        </w:rPr>
        <w:tab/>
      </w:r>
      <w:r>
        <w:rPr>
          <w:color w:val="auto"/>
          <w:highlight w:val="none"/>
        </w:rPr>
        <w:fldChar w:fldCharType="begin"/>
      </w:r>
      <w:r>
        <w:rPr>
          <w:color w:val="auto"/>
          <w:highlight w:val="none"/>
        </w:rPr>
        <w:instrText xml:space="preserve"> PAGEREF _Toc43475847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4473699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"_Toc43475848" </w:instrText>
      </w:r>
      <w:r>
        <w:rPr>
          <w:color w:val="auto"/>
          <w:highlight w:val="none"/>
        </w:rPr>
        <w:fldChar w:fldCharType="separate"/>
      </w:r>
      <w:r>
        <w:rPr>
          <w:rStyle w:val="50"/>
          <w:rFonts w:ascii="宋体"/>
          <w:color w:val="auto"/>
          <w:highlight w:val="none"/>
        </w:rPr>
        <w:t xml:space="preserve">15.4 </w:t>
      </w:r>
      <w:r>
        <w:rPr>
          <w:rStyle w:val="50"/>
          <w:rFonts w:hint="eastAsia" w:ascii="宋体"/>
          <w:color w:val="auto"/>
          <w:highlight w:val="none"/>
        </w:rPr>
        <w:t>变更的估价原则</w:t>
      </w:r>
      <w:r>
        <w:rPr>
          <w:color w:val="auto"/>
          <w:highlight w:val="none"/>
        </w:rPr>
        <w:tab/>
      </w:r>
      <w:r>
        <w:rPr>
          <w:color w:val="auto"/>
          <w:highlight w:val="none"/>
        </w:rPr>
        <w:fldChar w:fldCharType="begin"/>
      </w:r>
      <w:r>
        <w:rPr>
          <w:color w:val="auto"/>
          <w:highlight w:val="none"/>
        </w:rPr>
        <w:instrText xml:space="preserve"> PAGEREF _Toc43475848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5DECCA3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"_Toc43475849" </w:instrText>
      </w:r>
      <w:r>
        <w:rPr>
          <w:color w:val="auto"/>
          <w:highlight w:val="none"/>
        </w:rPr>
        <w:fldChar w:fldCharType="separate"/>
      </w:r>
      <w:r>
        <w:rPr>
          <w:rStyle w:val="50"/>
          <w:rFonts w:ascii="宋体"/>
          <w:color w:val="auto"/>
          <w:highlight w:val="none"/>
        </w:rPr>
        <w:t xml:space="preserve">15.5 </w:t>
      </w:r>
      <w:r>
        <w:rPr>
          <w:rStyle w:val="50"/>
          <w:rFonts w:hint="eastAsia" w:ascii="宋体"/>
          <w:color w:val="auto"/>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_Toc43475849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E31C6A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"_Toc43475850" </w:instrText>
      </w:r>
      <w:r>
        <w:rPr>
          <w:color w:val="auto"/>
          <w:highlight w:val="none"/>
        </w:rPr>
        <w:fldChar w:fldCharType="separate"/>
      </w:r>
      <w:r>
        <w:rPr>
          <w:rStyle w:val="50"/>
          <w:rFonts w:ascii="宋体"/>
          <w:color w:val="auto"/>
          <w:highlight w:val="none"/>
        </w:rPr>
        <w:t xml:space="preserve">15.6 </w:t>
      </w:r>
      <w:r>
        <w:rPr>
          <w:rStyle w:val="50"/>
          <w:rFonts w:hint="eastAsia" w:ascii="宋体"/>
          <w:color w:val="auto"/>
          <w:highlight w:val="none"/>
        </w:rPr>
        <w:t>暂列金额</w:t>
      </w:r>
      <w:r>
        <w:rPr>
          <w:color w:val="auto"/>
          <w:highlight w:val="none"/>
        </w:rPr>
        <w:tab/>
      </w:r>
      <w:r>
        <w:rPr>
          <w:color w:val="auto"/>
          <w:highlight w:val="none"/>
        </w:rPr>
        <w:fldChar w:fldCharType="begin"/>
      </w:r>
      <w:r>
        <w:rPr>
          <w:color w:val="auto"/>
          <w:highlight w:val="none"/>
        </w:rPr>
        <w:instrText xml:space="preserve"> PAGEREF _Toc43475850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1D6FE84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"_Toc43475851" </w:instrText>
      </w:r>
      <w:r>
        <w:rPr>
          <w:color w:val="auto"/>
          <w:highlight w:val="none"/>
        </w:rPr>
        <w:fldChar w:fldCharType="separate"/>
      </w:r>
      <w:r>
        <w:rPr>
          <w:rStyle w:val="50"/>
          <w:rFonts w:ascii="宋体"/>
          <w:color w:val="auto"/>
          <w:highlight w:val="none"/>
        </w:rPr>
        <w:t xml:space="preserve">15.7 </w:t>
      </w:r>
      <w:r>
        <w:rPr>
          <w:rStyle w:val="50"/>
          <w:rFonts w:hint="eastAsia" w:ascii="宋体"/>
          <w:color w:val="auto"/>
          <w:highlight w:val="none"/>
        </w:rPr>
        <w:t>计日工</w:t>
      </w:r>
      <w:r>
        <w:rPr>
          <w:color w:val="auto"/>
          <w:highlight w:val="none"/>
        </w:rPr>
        <w:tab/>
      </w:r>
      <w:r>
        <w:rPr>
          <w:color w:val="auto"/>
          <w:highlight w:val="none"/>
        </w:rPr>
        <w:fldChar w:fldCharType="begin"/>
      </w:r>
      <w:r>
        <w:rPr>
          <w:color w:val="auto"/>
          <w:highlight w:val="none"/>
        </w:rPr>
        <w:instrText xml:space="preserve"> PAGEREF _Toc43475851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0746BB0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"_Toc43475852" </w:instrText>
      </w:r>
      <w:r>
        <w:rPr>
          <w:color w:val="auto"/>
          <w:highlight w:val="none"/>
        </w:rPr>
        <w:fldChar w:fldCharType="separate"/>
      </w:r>
      <w:r>
        <w:rPr>
          <w:rStyle w:val="50"/>
          <w:rFonts w:ascii="宋体"/>
          <w:color w:val="auto"/>
          <w:highlight w:val="none"/>
        </w:rPr>
        <w:t xml:space="preserve">15.8 </w:t>
      </w:r>
      <w:r>
        <w:rPr>
          <w:rStyle w:val="50"/>
          <w:rFonts w:hint="eastAsia" w:ascii="宋体"/>
          <w:color w:val="auto"/>
          <w:highlight w:val="none"/>
        </w:rPr>
        <w:t>暂估价</w:t>
      </w:r>
      <w:r>
        <w:rPr>
          <w:color w:val="auto"/>
          <w:highlight w:val="none"/>
        </w:rPr>
        <w:tab/>
      </w:r>
      <w:r>
        <w:rPr>
          <w:color w:val="auto"/>
          <w:highlight w:val="none"/>
        </w:rPr>
        <w:fldChar w:fldCharType="begin"/>
      </w:r>
      <w:r>
        <w:rPr>
          <w:color w:val="auto"/>
          <w:highlight w:val="none"/>
        </w:rPr>
        <w:instrText xml:space="preserve"> PAGEREF _Toc43475852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3B1D34C9">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"_Toc43475853" </w:instrText>
      </w:r>
      <w:r>
        <w:rPr>
          <w:color w:val="auto"/>
          <w:highlight w:val="none"/>
        </w:rPr>
        <w:fldChar w:fldCharType="separate"/>
      </w:r>
      <w:r>
        <w:rPr>
          <w:rStyle w:val="50"/>
          <w:rFonts w:ascii="宋体" w:hAnsi="宋体"/>
          <w:color w:val="auto"/>
          <w:highlight w:val="none"/>
        </w:rPr>
        <w:t xml:space="preserve">16. </w:t>
      </w:r>
      <w:r>
        <w:rPr>
          <w:rStyle w:val="50"/>
          <w:rFonts w:hint="eastAsia" w:ascii="宋体" w:hAnsi="宋体"/>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_Toc43475853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4C0F23E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"_Toc43475854" </w:instrText>
      </w:r>
      <w:r>
        <w:rPr>
          <w:color w:val="auto"/>
          <w:highlight w:val="none"/>
        </w:rPr>
        <w:fldChar w:fldCharType="separate"/>
      </w:r>
      <w:r>
        <w:rPr>
          <w:rStyle w:val="50"/>
          <w:rFonts w:ascii="宋体"/>
          <w:color w:val="auto"/>
          <w:highlight w:val="none"/>
        </w:rPr>
        <w:t xml:space="preserve">16.1 </w:t>
      </w:r>
      <w:r>
        <w:rPr>
          <w:rStyle w:val="50"/>
          <w:rFonts w:hint="eastAsia" w:ascii="宋体"/>
          <w:color w:val="auto"/>
          <w:highlight w:val="none"/>
        </w:rPr>
        <w:t>物价波动引起的价格调整</w:t>
      </w:r>
      <w:r>
        <w:rPr>
          <w:color w:val="auto"/>
          <w:highlight w:val="none"/>
        </w:rPr>
        <w:tab/>
      </w:r>
      <w:r>
        <w:rPr>
          <w:color w:val="auto"/>
          <w:highlight w:val="none"/>
        </w:rPr>
        <w:fldChar w:fldCharType="begin"/>
      </w:r>
      <w:r>
        <w:rPr>
          <w:color w:val="auto"/>
          <w:highlight w:val="none"/>
        </w:rPr>
        <w:instrText xml:space="preserve"> PAGEREF _Toc43475854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4093A15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"_Toc43475855" </w:instrText>
      </w:r>
      <w:r>
        <w:rPr>
          <w:color w:val="auto"/>
          <w:highlight w:val="none"/>
        </w:rPr>
        <w:fldChar w:fldCharType="separate"/>
      </w:r>
      <w:r>
        <w:rPr>
          <w:rStyle w:val="50"/>
          <w:rFonts w:ascii="宋体"/>
          <w:color w:val="auto"/>
          <w:highlight w:val="none"/>
        </w:rPr>
        <w:t xml:space="preserve">16.2 </w:t>
      </w:r>
      <w:r>
        <w:rPr>
          <w:rStyle w:val="50"/>
          <w:rFonts w:hint="eastAsia" w:ascii="宋体"/>
          <w:color w:val="auto"/>
          <w:highlight w:val="none"/>
        </w:rPr>
        <w:t>法律变化引起的价格调整</w:t>
      </w:r>
      <w:r>
        <w:rPr>
          <w:color w:val="auto"/>
          <w:highlight w:val="none"/>
        </w:rPr>
        <w:tab/>
      </w:r>
      <w:r>
        <w:rPr>
          <w:color w:val="auto"/>
          <w:highlight w:val="none"/>
        </w:rPr>
        <w:fldChar w:fldCharType="begin"/>
      </w:r>
      <w:r>
        <w:rPr>
          <w:color w:val="auto"/>
          <w:highlight w:val="none"/>
        </w:rPr>
        <w:instrText xml:space="preserve"> PAGEREF _Toc43475855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6B8F0A21">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"_Toc43475856" </w:instrText>
      </w:r>
      <w:r>
        <w:rPr>
          <w:color w:val="auto"/>
          <w:highlight w:val="none"/>
        </w:rPr>
        <w:fldChar w:fldCharType="separate"/>
      </w:r>
      <w:r>
        <w:rPr>
          <w:rStyle w:val="50"/>
          <w:rFonts w:ascii="宋体" w:hAnsi="宋体"/>
          <w:color w:val="auto"/>
          <w:highlight w:val="none"/>
        </w:rPr>
        <w:t xml:space="preserve">17. </w:t>
      </w:r>
      <w:r>
        <w:rPr>
          <w:rStyle w:val="50"/>
          <w:rFonts w:hint="eastAsia" w:ascii="宋体" w:hAnsi="宋体"/>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_Toc43475856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6253BF5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"_Toc43475857" </w:instrText>
      </w:r>
      <w:r>
        <w:rPr>
          <w:color w:val="auto"/>
          <w:highlight w:val="none"/>
        </w:rPr>
        <w:fldChar w:fldCharType="separate"/>
      </w:r>
      <w:r>
        <w:rPr>
          <w:rStyle w:val="50"/>
          <w:rFonts w:ascii="宋体"/>
          <w:color w:val="auto"/>
          <w:highlight w:val="none"/>
        </w:rPr>
        <w:t xml:space="preserve">17.1 </w:t>
      </w:r>
      <w:r>
        <w:rPr>
          <w:rStyle w:val="50"/>
          <w:rFonts w:hint="eastAsia" w:ascii="宋体"/>
          <w:color w:val="auto"/>
          <w:highlight w:val="none"/>
        </w:rPr>
        <w:t>计量</w:t>
      </w:r>
      <w:r>
        <w:rPr>
          <w:color w:val="auto"/>
          <w:highlight w:val="none"/>
        </w:rPr>
        <w:tab/>
      </w:r>
      <w:r>
        <w:rPr>
          <w:color w:val="auto"/>
          <w:highlight w:val="none"/>
        </w:rPr>
        <w:fldChar w:fldCharType="begin"/>
      </w:r>
      <w:r>
        <w:rPr>
          <w:color w:val="auto"/>
          <w:highlight w:val="none"/>
        </w:rPr>
        <w:instrText xml:space="preserve"> PAGEREF _Toc43475857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9EA35B0">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"_Toc43475858" </w:instrText>
      </w:r>
      <w:r>
        <w:rPr>
          <w:color w:val="auto"/>
          <w:highlight w:val="none"/>
        </w:rPr>
        <w:fldChar w:fldCharType="separate"/>
      </w:r>
      <w:r>
        <w:rPr>
          <w:rStyle w:val="50"/>
          <w:rFonts w:ascii="宋体"/>
          <w:color w:val="auto"/>
          <w:highlight w:val="none"/>
        </w:rPr>
        <w:t xml:space="preserve">17.2 </w:t>
      </w:r>
      <w:r>
        <w:rPr>
          <w:rStyle w:val="50"/>
          <w:rFonts w:hint="eastAsia" w:ascii="宋体"/>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_Toc43475858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7AE8BED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"_Toc43475859" </w:instrText>
      </w:r>
      <w:r>
        <w:rPr>
          <w:color w:val="auto"/>
          <w:highlight w:val="none"/>
        </w:rPr>
        <w:fldChar w:fldCharType="separate"/>
      </w:r>
      <w:r>
        <w:rPr>
          <w:rStyle w:val="50"/>
          <w:rFonts w:ascii="宋体"/>
          <w:color w:val="auto"/>
          <w:highlight w:val="none"/>
        </w:rPr>
        <w:t xml:space="preserve">17.3 </w:t>
      </w:r>
      <w:r>
        <w:rPr>
          <w:rStyle w:val="50"/>
          <w:rFonts w:hint="eastAsia" w:ascii="宋体"/>
          <w:color w:val="auto"/>
          <w:highlight w:val="none"/>
        </w:rPr>
        <w:t>工程进度付款</w:t>
      </w:r>
      <w:r>
        <w:rPr>
          <w:color w:val="auto"/>
          <w:highlight w:val="none"/>
        </w:rPr>
        <w:tab/>
      </w:r>
      <w:r>
        <w:rPr>
          <w:color w:val="auto"/>
          <w:highlight w:val="none"/>
        </w:rPr>
        <w:fldChar w:fldCharType="begin"/>
      </w:r>
      <w:r>
        <w:rPr>
          <w:color w:val="auto"/>
          <w:highlight w:val="none"/>
        </w:rPr>
        <w:instrText xml:space="preserve"> PAGEREF _Toc43475859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1D58CE3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"_Toc43475860" </w:instrText>
      </w:r>
      <w:r>
        <w:rPr>
          <w:color w:val="auto"/>
          <w:highlight w:val="none"/>
        </w:rPr>
        <w:fldChar w:fldCharType="separate"/>
      </w:r>
      <w:r>
        <w:rPr>
          <w:rStyle w:val="50"/>
          <w:rFonts w:ascii="宋体"/>
          <w:color w:val="auto"/>
          <w:highlight w:val="none"/>
        </w:rPr>
        <w:t xml:space="preserve">17.4 </w:t>
      </w:r>
      <w:r>
        <w:rPr>
          <w:rStyle w:val="50"/>
          <w:rFonts w:hint="eastAsia" w:ascii="宋体"/>
          <w:color w:val="auto"/>
          <w:highlight w:val="none"/>
        </w:rPr>
        <w:t>质量保证金</w:t>
      </w:r>
      <w:r>
        <w:rPr>
          <w:color w:val="auto"/>
          <w:highlight w:val="none"/>
        </w:rPr>
        <w:tab/>
      </w:r>
      <w:r>
        <w:rPr>
          <w:color w:val="auto"/>
          <w:highlight w:val="none"/>
        </w:rPr>
        <w:fldChar w:fldCharType="begin"/>
      </w:r>
      <w:r>
        <w:rPr>
          <w:color w:val="auto"/>
          <w:highlight w:val="none"/>
        </w:rPr>
        <w:instrText xml:space="preserve"> PAGEREF _Toc43475860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64E072D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"_Toc43475861" </w:instrText>
      </w:r>
      <w:r>
        <w:rPr>
          <w:color w:val="auto"/>
          <w:highlight w:val="none"/>
        </w:rPr>
        <w:fldChar w:fldCharType="separate"/>
      </w:r>
      <w:r>
        <w:rPr>
          <w:rStyle w:val="50"/>
          <w:rFonts w:ascii="宋体"/>
          <w:color w:val="auto"/>
          <w:highlight w:val="none"/>
        </w:rPr>
        <w:t xml:space="preserve">17.5 </w:t>
      </w:r>
      <w:r>
        <w:rPr>
          <w:rStyle w:val="50"/>
          <w:rFonts w:hint="eastAsia" w:ascii="宋体"/>
          <w:color w:val="auto"/>
          <w:highlight w:val="none"/>
        </w:rPr>
        <w:t>竣工结算</w:t>
      </w:r>
      <w:r>
        <w:rPr>
          <w:color w:val="auto"/>
          <w:highlight w:val="none"/>
        </w:rPr>
        <w:tab/>
      </w:r>
      <w:r>
        <w:rPr>
          <w:color w:val="auto"/>
          <w:highlight w:val="none"/>
        </w:rPr>
        <w:fldChar w:fldCharType="begin"/>
      </w:r>
      <w:r>
        <w:rPr>
          <w:color w:val="auto"/>
          <w:highlight w:val="none"/>
        </w:rPr>
        <w:instrText xml:space="preserve"> PAGEREF _Toc43475861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5F0D6C0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"_Toc43475862" </w:instrText>
      </w:r>
      <w:r>
        <w:rPr>
          <w:color w:val="auto"/>
          <w:highlight w:val="none"/>
        </w:rPr>
        <w:fldChar w:fldCharType="separate"/>
      </w:r>
      <w:r>
        <w:rPr>
          <w:rStyle w:val="50"/>
          <w:rFonts w:ascii="宋体"/>
          <w:color w:val="auto"/>
          <w:highlight w:val="none"/>
        </w:rPr>
        <w:t xml:space="preserve">17.6 </w:t>
      </w:r>
      <w:r>
        <w:rPr>
          <w:rStyle w:val="50"/>
          <w:rFonts w:hint="eastAsia" w:ascii="宋体"/>
          <w:color w:val="auto"/>
          <w:highlight w:val="none"/>
        </w:rPr>
        <w:t>最终结清</w:t>
      </w:r>
      <w:r>
        <w:rPr>
          <w:color w:val="auto"/>
          <w:highlight w:val="none"/>
        </w:rPr>
        <w:tab/>
      </w:r>
      <w:r>
        <w:rPr>
          <w:color w:val="auto"/>
          <w:highlight w:val="none"/>
        </w:rPr>
        <w:fldChar w:fldCharType="begin"/>
      </w:r>
      <w:r>
        <w:rPr>
          <w:color w:val="auto"/>
          <w:highlight w:val="none"/>
        </w:rPr>
        <w:instrText xml:space="preserve"> PAGEREF _Toc43475862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712B7043">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"_Toc43475863" </w:instrText>
      </w:r>
      <w:r>
        <w:rPr>
          <w:color w:val="auto"/>
          <w:highlight w:val="none"/>
        </w:rPr>
        <w:fldChar w:fldCharType="separate"/>
      </w:r>
      <w:r>
        <w:rPr>
          <w:rStyle w:val="50"/>
          <w:rFonts w:ascii="宋体" w:hAnsi="宋体"/>
          <w:color w:val="auto"/>
          <w:highlight w:val="none"/>
        </w:rPr>
        <w:t xml:space="preserve">18. </w:t>
      </w:r>
      <w:r>
        <w:rPr>
          <w:rStyle w:val="50"/>
          <w:rFonts w:hint="eastAsia" w:ascii="宋体" w:hAnsi="宋体"/>
          <w:color w:val="auto"/>
          <w:highlight w:val="none"/>
        </w:rPr>
        <w:t>竣工验收</w:t>
      </w:r>
      <w:r>
        <w:rPr>
          <w:color w:val="auto"/>
          <w:highlight w:val="none"/>
        </w:rPr>
        <w:tab/>
      </w:r>
      <w:r>
        <w:rPr>
          <w:color w:val="auto"/>
          <w:highlight w:val="none"/>
        </w:rPr>
        <w:fldChar w:fldCharType="begin"/>
      </w:r>
      <w:r>
        <w:rPr>
          <w:color w:val="auto"/>
          <w:highlight w:val="none"/>
        </w:rPr>
        <w:instrText xml:space="preserve"> PAGEREF _Toc43475863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3C1ADDB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"_Toc43475864" </w:instrText>
      </w:r>
      <w:r>
        <w:rPr>
          <w:color w:val="auto"/>
          <w:highlight w:val="none"/>
        </w:rPr>
        <w:fldChar w:fldCharType="separate"/>
      </w:r>
      <w:r>
        <w:rPr>
          <w:rStyle w:val="50"/>
          <w:rFonts w:ascii="宋体"/>
          <w:color w:val="auto"/>
          <w:highlight w:val="none"/>
        </w:rPr>
        <w:t xml:space="preserve">18.1 </w:t>
      </w:r>
      <w:r>
        <w:rPr>
          <w:rStyle w:val="50"/>
          <w:rFonts w:hint="eastAsia" w:ascii="宋体"/>
          <w:color w:val="auto"/>
          <w:highlight w:val="none"/>
        </w:rPr>
        <w:t>竣工验收的含义</w:t>
      </w:r>
      <w:r>
        <w:rPr>
          <w:color w:val="auto"/>
          <w:highlight w:val="none"/>
        </w:rPr>
        <w:tab/>
      </w:r>
      <w:r>
        <w:rPr>
          <w:color w:val="auto"/>
          <w:highlight w:val="none"/>
        </w:rPr>
        <w:fldChar w:fldCharType="begin"/>
      </w:r>
      <w:r>
        <w:rPr>
          <w:color w:val="auto"/>
          <w:highlight w:val="none"/>
        </w:rPr>
        <w:instrText xml:space="preserve"> PAGEREF _Toc43475864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631F706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"_Toc43475865" </w:instrText>
      </w:r>
      <w:r>
        <w:rPr>
          <w:color w:val="auto"/>
          <w:highlight w:val="none"/>
        </w:rPr>
        <w:fldChar w:fldCharType="separate"/>
      </w:r>
      <w:r>
        <w:rPr>
          <w:rStyle w:val="50"/>
          <w:rFonts w:ascii="宋体"/>
          <w:color w:val="auto"/>
          <w:highlight w:val="none"/>
        </w:rPr>
        <w:t xml:space="preserve">18.2 </w:t>
      </w:r>
      <w:r>
        <w:rPr>
          <w:rStyle w:val="50"/>
          <w:rFonts w:hint="eastAsia" w:ascii="宋体"/>
          <w:color w:val="auto"/>
          <w:highlight w:val="none"/>
        </w:rPr>
        <w:t>竣工验收申请报告</w:t>
      </w:r>
      <w:r>
        <w:rPr>
          <w:color w:val="auto"/>
          <w:highlight w:val="none"/>
        </w:rPr>
        <w:tab/>
      </w:r>
      <w:r>
        <w:rPr>
          <w:color w:val="auto"/>
          <w:highlight w:val="none"/>
        </w:rPr>
        <w:fldChar w:fldCharType="begin"/>
      </w:r>
      <w:r>
        <w:rPr>
          <w:color w:val="auto"/>
          <w:highlight w:val="none"/>
        </w:rPr>
        <w:instrText xml:space="preserve"> PAGEREF _Toc43475865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2036CD5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"_Toc43475866" </w:instrText>
      </w:r>
      <w:r>
        <w:rPr>
          <w:color w:val="auto"/>
          <w:highlight w:val="none"/>
        </w:rPr>
        <w:fldChar w:fldCharType="separate"/>
      </w:r>
      <w:r>
        <w:rPr>
          <w:rStyle w:val="50"/>
          <w:rFonts w:ascii="宋体"/>
          <w:color w:val="auto"/>
          <w:highlight w:val="none"/>
        </w:rPr>
        <w:t xml:space="preserve">18.3 </w:t>
      </w:r>
      <w:r>
        <w:rPr>
          <w:rStyle w:val="50"/>
          <w:rFonts w:hint="eastAsia" w:ascii="宋体"/>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_Toc43475866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4E39FDA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"_Toc43475867" </w:instrText>
      </w:r>
      <w:r>
        <w:rPr>
          <w:color w:val="auto"/>
          <w:highlight w:val="none"/>
        </w:rPr>
        <w:fldChar w:fldCharType="separate"/>
      </w:r>
      <w:r>
        <w:rPr>
          <w:rStyle w:val="50"/>
          <w:rFonts w:ascii="宋体"/>
          <w:color w:val="auto"/>
          <w:highlight w:val="none"/>
        </w:rPr>
        <w:t xml:space="preserve">18.4 </w:t>
      </w:r>
      <w:r>
        <w:rPr>
          <w:rStyle w:val="50"/>
          <w:rFonts w:hint="eastAsia" w:ascii="宋体"/>
          <w:color w:val="auto"/>
          <w:highlight w:val="none"/>
        </w:rPr>
        <w:t>单位工程验收</w:t>
      </w:r>
      <w:r>
        <w:rPr>
          <w:color w:val="auto"/>
          <w:highlight w:val="none"/>
        </w:rPr>
        <w:tab/>
      </w:r>
      <w:r>
        <w:rPr>
          <w:color w:val="auto"/>
          <w:highlight w:val="none"/>
        </w:rPr>
        <w:fldChar w:fldCharType="begin"/>
      </w:r>
      <w:r>
        <w:rPr>
          <w:color w:val="auto"/>
          <w:highlight w:val="none"/>
        </w:rPr>
        <w:instrText xml:space="preserve"> PAGEREF _Toc43475867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29B3670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"_Toc43475868" </w:instrText>
      </w:r>
      <w:r>
        <w:rPr>
          <w:color w:val="auto"/>
          <w:highlight w:val="none"/>
        </w:rPr>
        <w:fldChar w:fldCharType="separate"/>
      </w:r>
      <w:r>
        <w:rPr>
          <w:rStyle w:val="50"/>
          <w:rFonts w:ascii="宋体"/>
          <w:color w:val="auto"/>
          <w:highlight w:val="none"/>
        </w:rPr>
        <w:t xml:space="preserve">18.5 </w:t>
      </w:r>
      <w:r>
        <w:rPr>
          <w:rStyle w:val="50"/>
          <w:rFonts w:hint="eastAsia" w:ascii="宋体"/>
          <w:color w:val="auto"/>
          <w:highlight w:val="none"/>
        </w:rPr>
        <w:t>施工期运行</w:t>
      </w:r>
      <w:r>
        <w:rPr>
          <w:color w:val="auto"/>
          <w:highlight w:val="none"/>
        </w:rPr>
        <w:tab/>
      </w:r>
      <w:r>
        <w:rPr>
          <w:color w:val="auto"/>
          <w:highlight w:val="none"/>
        </w:rPr>
        <w:fldChar w:fldCharType="begin"/>
      </w:r>
      <w:r>
        <w:rPr>
          <w:color w:val="auto"/>
          <w:highlight w:val="none"/>
        </w:rPr>
        <w:instrText xml:space="preserve"> PAGEREF _Toc43475868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39DBCCE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"_Toc43475869" </w:instrText>
      </w:r>
      <w:r>
        <w:rPr>
          <w:color w:val="auto"/>
          <w:highlight w:val="none"/>
        </w:rPr>
        <w:fldChar w:fldCharType="separate"/>
      </w:r>
      <w:r>
        <w:rPr>
          <w:rStyle w:val="50"/>
          <w:rFonts w:ascii="宋体"/>
          <w:color w:val="auto"/>
          <w:highlight w:val="none"/>
        </w:rPr>
        <w:t xml:space="preserve">18.6 </w:t>
      </w:r>
      <w:r>
        <w:rPr>
          <w:rStyle w:val="50"/>
          <w:rFonts w:hint="eastAsia" w:ascii="宋体"/>
          <w:color w:val="auto"/>
          <w:highlight w:val="none"/>
        </w:rPr>
        <w:t>试运行</w:t>
      </w:r>
      <w:r>
        <w:rPr>
          <w:color w:val="auto"/>
          <w:highlight w:val="none"/>
        </w:rPr>
        <w:tab/>
      </w:r>
      <w:r>
        <w:rPr>
          <w:color w:val="auto"/>
          <w:highlight w:val="none"/>
        </w:rPr>
        <w:fldChar w:fldCharType="begin"/>
      </w:r>
      <w:r>
        <w:rPr>
          <w:color w:val="auto"/>
          <w:highlight w:val="none"/>
        </w:rPr>
        <w:instrText xml:space="preserve"> PAGEREF _Toc43475869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4D87EE8C">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"_Toc43475870" </w:instrText>
      </w:r>
      <w:r>
        <w:rPr>
          <w:color w:val="auto"/>
          <w:highlight w:val="none"/>
        </w:rPr>
        <w:fldChar w:fldCharType="separate"/>
      </w:r>
      <w:r>
        <w:rPr>
          <w:rStyle w:val="50"/>
          <w:rFonts w:ascii="宋体"/>
          <w:color w:val="auto"/>
          <w:highlight w:val="none"/>
        </w:rPr>
        <w:t xml:space="preserve">18.7 </w:t>
      </w:r>
      <w:r>
        <w:rPr>
          <w:rStyle w:val="50"/>
          <w:rFonts w:hint="eastAsia" w:ascii="宋体"/>
          <w:color w:val="auto"/>
          <w:highlight w:val="none"/>
        </w:rPr>
        <w:t>竣工清场</w:t>
      </w:r>
      <w:r>
        <w:rPr>
          <w:color w:val="auto"/>
          <w:highlight w:val="none"/>
        </w:rPr>
        <w:tab/>
      </w:r>
      <w:r>
        <w:rPr>
          <w:color w:val="auto"/>
          <w:highlight w:val="none"/>
        </w:rPr>
        <w:fldChar w:fldCharType="begin"/>
      </w:r>
      <w:r>
        <w:rPr>
          <w:color w:val="auto"/>
          <w:highlight w:val="none"/>
        </w:rPr>
        <w:instrText xml:space="preserve"> PAGEREF _Toc43475870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2A4409A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"_Toc43475871" </w:instrText>
      </w:r>
      <w:r>
        <w:rPr>
          <w:color w:val="auto"/>
          <w:highlight w:val="none"/>
        </w:rPr>
        <w:fldChar w:fldCharType="separate"/>
      </w:r>
      <w:r>
        <w:rPr>
          <w:rStyle w:val="50"/>
          <w:rFonts w:ascii="宋体"/>
          <w:color w:val="auto"/>
          <w:highlight w:val="none"/>
        </w:rPr>
        <w:t xml:space="preserve">18.8 </w:t>
      </w:r>
      <w:r>
        <w:rPr>
          <w:rStyle w:val="50"/>
          <w:rFonts w:hint="eastAsia" w:ascii="宋体"/>
          <w:color w:val="auto"/>
          <w:highlight w:val="none"/>
        </w:rPr>
        <w:t>施工队伍的撤离</w:t>
      </w:r>
      <w:r>
        <w:rPr>
          <w:color w:val="auto"/>
          <w:highlight w:val="none"/>
        </w:rPr>
        <w:tab/>
      </w:r>
      <w:r>
        <w:rPr>
          <w:color w:val="auto"/>
          <w:highlight w:val="none"/>
        </w:rPr>
        <w:fldChar w:fldCharType="begin"/>
      </w:r>
      <w:r>
        <w:rPr>
          <w:color w:val="auto"/>
          <w:highlight w:val="none"/>
        </w:rPr>
        <w:instrText xml:space="preserve"> PAGEREF _Toc43475871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7613E91C">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"_Toc43475872" </w:instrText>
      </w:r>
      <w:r>
        <w:rPr>
          <w:color w:val="auto"/>
          <w:highlight w:val="none"/>
        </w:rPr>
        <w:fldChar w:fldCharType="separate"/>
      </w:r>
      <w:r>
        <w:rPr>
          <w:rStyle w:val="50"/>
          <w:rFonts w:ascii="宋体" w:hAnsi="宋体"/>
          <w:color w:val="auto"/>
          <w:highlight w:val="none"/>
        </w:rPr>
        <w:t xml:space="preserve">19. </w:t>
      </w:r>
      <w:r>
        <w:rPr>
          <w:rStyle w:val="50"/>
          <w:rFonts w:hint="eastAsia" w:ascii="宋体" w:hAnsi="宋体"/>
          <w:color w:val="auto"/>
          <w:highlight w:val="none"/>
        </w:rPr>
        <w:t>缺陷责任与保修责任</w:t>
      </w:r>
      <w:r>
        <w:rPr>
          <w:color w:val="auto"/>
          <w:highlight w:val="none"/>
        </w:rPr>
        <w:tab/>
      </w:r>
      <w:r>
        <w:rPr>
          <w:color w:val="auto"/>
          <w:highlight w:val="none"/>
        </w:rPr>
        <w:fldChar w:fldCharType="begin"/>
      </w:r>
      <w:r>
        <w:rPr>
          <w:color w:val="auto"/>
          <w:highlight w:val="none"/>
        </w:rPr>
        <w:instrText xml:space="preserve"> PAGEREF _Toc43475872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5D31A708">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"_Toc43475873" </w:instrText>
      </w:r>
      <w:r>
        <w:rPr>
          <w:color w:val="auto"/>
          <w:highlight w:val="none"/>
        </w:rPr>
        <w:fldChar w:fldCharType="separate"/>
      </w:r>
      <w:r>
        <w:rPr>
          <w:rStyle w:val="50"/>
          <w:rFonts w:ascii="宋体"/>
          <w:color w:val="auto"/>
          <w:highlight w:val="none"/>
        </w:rPr>
        <w:t xml:space="preserve">19.1 </w:t>
      </w:r>
      <w:r>
        <w:rPr>
          <w:rStyle w:val="50"/>
          <w:rFonts w:hint="eastAsia" w:ascii="宋体"/>
          <w:color w:val="auto"/>
          <w:highlight w:val="none"/>
        </w:rPr>
        <w:t>缺陷责任期的起算时间</w:t>
      </w:r>
      <w:r>
        <w:rPr>
          <w:color w:val="auto"/>
          <w:highlight w:val="none"/>
        </w:rPr>
        <w:tab/>
      </w:r>
      <w:r>
        <w:rPr>
          <w:color w:val="auto"/>
          <w:highlight w:val="none"/>
        </w:rPr>
        <w:fldChar w:fldCharType="begin"/>
      </w:r>
      <w:r>
        <w:rPr>
          <w:color w:val="auto"/>
          <w:highlight w:val="none"/>
        </w:rPr>
        <w:instrText xml:space="preserve"> PAGEREF _Toc43475873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4D01255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"_Toc43475874" </w:instrText>
      </w:r>
      <w:r>
        <w:rPr>
          <w:color w:val="auto"/>
          <w:highlight w:val="none"/>
        </w:rPr>
        <w:fldChar w:fldCharType="separate"/>
      </w:r>
      <w:r>
        <w:rPr>
          <w:rStyle w:val="50"/>
          <w:rFonts w:ascii="宋体"/>
          <w:color w:val="auto"/>
          <w:highlight w:val="none"/>
        </w:rPr>
        <w:t xml:space="preserve">19.2 </w:t>
      </w:r>
      <w:r>
        <w:rPr>
          <w:rStyle w:val="50"/>
          <w:rFonts w:hint="eastAsia" w:ascii="宋体"/>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_Toc43475874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6DE0FFE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"_Toc43475875" </w:instrText>
      </w:r>
      <w:r>
        <w:rPr>
          <w:color w:val="auto"/>
          <w:highlight w:val="none"/>
        </w:rPr>
        <w:fldChar w:fldCharType="separate"/>
      </w:r>
      <w:r>
        <w:rPr>
          <w:rStyle w:val="50"/>
          <w:rFonts w:ascii="宋体"/>
          <w:color w:val="auto"/>
          <w:highlight w:val="none"/>
        </w:rPr>
        <w:t xml:space="preserve">19.3 </w:t>
      </w:r>
      <w:r>
        <w:rPr>
          <w:rStyle w:val="50"/>
          <w:rFonts w:hint="eastAsia" w:ascii="宋体"/>
          <w:color w:val="auto"/>
          <w:highlight w:val="none"/>
        </w:rPr>
        <w:t>缺陷责任期的延长</w:t>
      </w:r>
      <w:r>
        <w:rPr>
          <w:color w:val="auto"/>
          <w:highlight w:val="none"/>
        </w:rPr>
        <w:tab/>
      </w:r>
      <w:r>
        <w:rPr>
          <w:color w:val="auto"/>
          <w:highlight w:val="none"/>
        </w:rPr>
        <w:fldChar w:fldCharType="begin"/>
      </w:r>
      <w:r>
        <w:rPr>
          <w:color w:val="auto"/>
          <w:highlight w:val="none"/>
        </w:rPr>
        <w:instrText xml:space="preserve"> PAGEREF _Toc43475875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294E3DC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"_Toc43475876" </w:instrText>
      </w:r>
      <w:r>
        <w:rPr>
          <w:color w:val="auto"/>
          <w:highlight w:val="none"/>
        </w:rPr>
        <w:fldChar w:fldCharType="separate"/>
      </w:r>
      <w:r>
        <w:rPr>
          <w:rStyle w:val="50"/>
          <w:rFonts w:ascii="宋体"/>
          <w:color w:val="auto"/>
          <w:highlight w:val="none"/>
        </w:rPr>
        <w:t xml:space="preserve">19.4 </w:t>
      </w:r>
      <w:r>
        <w:rPr>
          <w:rStyle w:val="50"/>
          <w:rFonts w:hint="eastAsia" w:ascii="宋体"/>
          <w:color w:val="auto"/>
          <w:highlight w:val="none"/>
        </w:rPr>
        <w:t>进一步试验和试运行</w:t>
      </w:r>
      <w:r>
        <w:rPr>
          <w:color w:val="auto"/>
          <w:highlight w:val="none"/>
        </w:rPr>
        <w:tab/>
      </w:r>
      <w:r>
        <w:rPr>
          <w:color w:val="auto"/>
          <w:highlight w:val="none"/>
        </w:rPr>
        <w:fldChar w:fldCharType="begin"/>
      </w:r>
      <w:r>
        <w:rPr>
          <w:color w:val="auto"/>
          <w:highlight w:val="none"/>
        </w:rPr>
        <w:instrText xml:space="preserve"> PAGEREF _Toc43475876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2A3140DA">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"_Toc43475877" </w:instrText>
      </w:r>
      <w:r>
        <w:rPr>
          <w:color w:val="auto"/>
          <w:highlight w:val="none"/>
        </w:rPr>
        <w:fldChar w:fldCharType="separate"/>
      </w:r>
      <w:r>
        <w:rPr>
          <w:rStyle w:val="50"/>
          <w:rFonts w:ascii="宋体"/>
          <w:color w:val="auto"/>
          <w:highlight w:val="none"/>
        </w:rPr>
        <w:t xml:space="preserve">19.5 </w:t>
      </w:r>
      <w:r>
        <w:rPr>
          <w:rStyle w:val="50"/>
          <w:rFonts w:hint="eastAsia" w:ascii="宋体"/>
          <w:color w:val="auto"/>
          <w:highlight w:val="none"/>
        </w:rPr>
        <w:t>承包人的进入权</w:t>
      </w:r>
      <w:r>
        <w:rPr>
          <w:color w:val="auto"/>
          <w:highlight w:val="none"/>
        </w:rPr>
        <w:tab/>
      </w:r>
      <w:r>
        <w:rPr>
          <w:color w:val="auto"/>
          <w:highlight w:val="none"/>
        </w:rPr>
        <w:fldChar w:fldCharType="begin"/>
      </w:r>
      <w:r>
        <w:rPr>
          <w:color w:val="auto"/>
          <w:highlight w:val="none"/>
        </w:rPr>
        <w:instrText xml:space="preserve"> PAGEREF _Toc43475877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3D464DE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"_Toc43475878" </w:instrText>
      </w:r>
      <w:r>
        <w:rPr>
          <w:color w:val="auto"/>
          <w:highlight w:val="none"/>
        </w:rPr>
        <w:fldChar w:fldCharType="separate"/>
      </w:r>
      <w:r>
        <w:rPr>
          <w:rStyle w:val="50"/>
          <w:rFonts w:ascii="宋体"/>
          <w:color w:val="auto"/>
          <w:highlight w:val="none"/>
        </w:rPr>
        <w:t xml:space="preserve">19.6 </w:t>
      </w:r>
      <w:r>
        <w:rPr>
          <w:rStyle w:val="50"/>
          <w:rFonts w:hint="eastAsia" w:ascii="宋体"/>
          <w:color w:val="auto"/>
          <w:highlight w:val="none"/>
        </w:rPr>
        <w:t>缺陷责任期终止证书</w:t>
      </w:r>
      <w:r>
        <w:rPr>
          <w:color w:val="auto"/>
          <w:highlight w:val="none"/>
        </w:rPr>
        <w:tab/>
      </w:r>
      <w:r>
        <w:rPr>
          <w:color w:val="auto"/>
          <w:highlight w:val="none"/>
        </w:rPr>
        <w:fldChar w:fldCharType="begin"/>
      </w:r>
      <w:r>
        <w:rPr>
          <w:color w:val="auto"/>
          <w:highlight w:val="none"/>
        </w:rPr>
        <w:instrText xml:space="preserve"> PAGEREF _Toc43475878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67F17F9D">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"_Toc43475879" </w:instrText>
      </w:r>
      <w:r>
        <w:rPr>
          <w:color w:val="auto"/>
          <w:highlight w:val="none"/>
        </w:rPr>
        <w:fldChar w:fldCharType="separate"/>
      </w:r>
      <w:r>
        <w:rPr>
          <w:rStyle w:val="50"/>
          <w:rFonts w:ascii="宋体"/>
          <w:color w:val="auto"/>
          <w:highlight w:val="none"/>
        </w:rPr>
        <w:t xml:space="preserve">19.7 </w:t>
      </w:r>
      <w:r>
        <w:rPr>
          <w:rStyle w:val="50"/>
          <w:rFonts w:hint="eastAsia" w:ascii="宋体"/>
          <w:color w:val="auto"/>
          <w:highlight w:val="none"/>
        </w:rPr>
        <w:t>保修责任</w:t>
      </w:r>
      <w:r>
        <w:rPr>
          <w:color w:val="auto"/>
          <w:highlight w:val="none"/>
        </w:rPr>
        <w:tab/>
      </w:r>
      <w:r>
        <w:rPr>
          <w:color w:val="auto"/>
          <w:highlight w:val="none"/>
        </w:rPr>
        <w:fldChar w:fldCharType="begin"/>
      </w:r>
      <w:r>
        <w:rPr>
          <w:color w:val="auto"/>
          <w:highlight w:val="none"/>
        </w:rPr>
        <w:instrText xml:space="preserve"> PAGEREF _Toc43475879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1310BA7B">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"_Toc43475880" </w:instrText>
      </w:r>
      <w:r>
        <w:rPr>
          <w:color w:val="auto"/>
          <w:highlight w:val="none"/>
        </w:rPr>
        <w:fldChar w:fldCharType="separate"/>
      </w:r>
      <w:r>
        <w:rPr>
          <w:rStyle w:val="50"/>
          <w:rFonts w:ascii="宋体" w:hAnsi="宋体"/>
          <w:color w:val="auto"/>
          <w:highlight w:val="none"/>
        </w:rPr>
        <w:t xml:space="preserve">20. </w:t>
      </w:r>
      <w:r>
        <w:rPr>
          <w:rStyle w:val="50"/>
          <w:rFonts w:hint="eastAsia" w:ascii="宋体" w:hAnsi="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_Toc43475880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0E61C86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"_Toc43475881" </w:instrText>
      </w:r>
      <w:r>
        <w:rPr>
          <w:color w:val="auto"/>
          <w:highlight w:val="none"/>
        </w:rPr>
        <w:fldChar w:fldCharType="separate"/>
      </w:r>
      <w:r>
        <w:rPr>
          <w:rStyle w:val="50"/>
          <w:rFonts w:ascii="宋体"/>
          <w:color w:val="auto"/>
          <w:highlight w:val="none"/>
        </w:rPr>
        <w:t xml:space="preserve">20.1 </w:t>
      </w:r>
      <w:r>
        <w:rPr>
          <w:rStyle w:val="50"/>
          <w:rFonts w:hint="eastAsia" w:ascii="宋体"/>
          <w:color w:val="auto"/>
          <w:highlight w:val="none"/>
        </w:rPr>
        <w:t>工程保险</w:t>
      </w:r>
      <w:r>
        <w:rPr>
          <w:color w:val="auto"/>
          <w:highlight w:val="none"/>
        </w:rPr>
        <w:tab/>
      </w:r>
      <w:r>
        <w:rPr>
          <w:color w:val="auto"/>
          <w:highlight w:val="none"/>
        </w:rPr>
        <w:fldChar w:fldCharType="begin"/>
      </w:r>
      <w:r>
        <w:rPr>
          <w:color w:val="auto"/>
          <w:highlight w:val="none"/>
        </w:rPr>
        <w:instrText xml:space="preserve"> PAGEREF _Toc43475881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27AE2DD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"_Toc43475882" </w:instrText>
      </w:r>
      <w:r>
        <w:rPr>
          <w:color w:val="auto"/>
          <w:highlight w:val="none"/>
        </w:rPr>
        <w:fldChar w:fldCharType="separate"/>
      </w:r>
      <w:r>
        <w:rPr>
          <w:rStyle w:val="50"/>
          <w:rFonts w:ascii="宋体"/>
          <w:color w:val="auto"/>
          <w:highlight w:val="none"/>
        </w:rPr>
        <w:t xml:space="preserve">20.2 </w:t>
      </w:r>
      <w:r>
        <w:rPr>
          <w:rStyle w:val="50"/>
          <w:rFonts w:hint="eastAsia" w:ascii="宋体"/>
          <w:color w:val="auto"/>
          <w:highlight w:val="none"/>
        </w:rPr>
        <w:t>人员工伤事故的保险</w:t>
      </w:r>
      <w:r>
        <w:rPr>
          <w:color w:val="auto"/>
          <w:highlight w:val="none"/>
        </w:rPr>
        <w:tab/>
      </w:r>
      <w:r>
        <w:rPr>
          <w:color w:val="auto"/>
          <w:highlight w:val="none"/>
        </w:rPr>
        <w:fldChar w:fldCharType="begin"/>
      </w:r>
      <w:r>
        <w:rPr>
          <w:color w:val="auto"/>
          <w:highlight w:val="none"/>
        </w:rPr>
        <w:instrText xml:space="preserve"> PAGEREF _Toc43475882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4C286AB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"_Toc43475883" </w:instrText>
      </w:r>
      <w:r>
        <w:rPr>
          <w:color w:val="auto"/>
          <w:highlight w:val="none"/>
        </w:rPr>
        <w:fldChar w:fldCharType="separate"/>
      </w:r>
      <w:r>
        <w:rPr>
          <w:rStyle w:val="50"/>
          <w:rFonts w:ascii="宋体"/>
          <w:color w:val="auto"/>
          <w:highlight w:val="none"/>
        </w:rPr>
        <w:t xml:space="preserve">20.3 </w:t>
      </w:r>
      <w:r>
        <w:rPr>
          <w:rStyle w:val="50"/>
          <w:rFonts w:hint="eastAsia" w:ascii="宋体"/>
          <w:color w:val="auto"/>
          <w:highlight w:val="none"/>
        </w:rPr>
        <w:t>人身意外伤害险</w:t>
      </w:r>
      <w:r>
        <w:rPr>
          <w:color w:val="auto"/>
          <w:highlight w:val="none"/>
        </w:rPr>
        <w:tab/>
      </w:r>
      <w:r>
        <w:rPr>
          <w:color w:val="auto"/>
          <w:highlight w:val="none"/>
        </w:rPr>
        <w:fldChar w:fldCharType="begin"/>
      </w:r>
      <w:r>
        <w:rPr>
          <w:color w:val="auto"/>
          <w:highlight w:val="none"/>
        </w:rPr>
        <w:instrText xml:space="preserve"> PAGEREF _Toc43475883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305B676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"_Toc43475884" </w:instrText>
      </w:r>
      <w:r>
        <w:rPr>
          <w:color w:val="auto"/>
          <w:highlight w:val="none"/>
        </w:rPr>
        <w:fldChar w:fldCharType="separate"/>
      </w:r>
      <w:r>
        <w:rPr>
          <w:rStyle w:val="50"/>
          <w:rFonts w:ascii="宋体"/>
          <w:color w:val="auto"/>
          <w:highlight w:val="none"/>
        </w:rPr>
        <w:t xml:space="preserve">20.4 </w:t>
      </w:r>
      <w:r>
        <w:rPr>
          <w:rStyle w:val="50"/>
          <w:rFonts w:hint="eastAsia" w:ascii="宋体"/>
          <w:color w:val="auto"/>
          <w:highlight w:val="none"/>
        </w:rPr>
        <w:t>第三者责任险</w:t>
      </w:r>
      <w:r>
        <w:rPr>
          <w:color w:val="auto"/>
          <w:highlight w:val="none"/>
        </w:rPr>
        <w:tab/>
      </w:r>
      <w:r>
        <w:rPr>
          <w:color w:val="auto"/>
          <w:highlight w:val="none"/>
        </w:rPr>
        <w:fldChar w:fldCharType="begin"/>
      </w:r>
      <w:r>
        <w:rPr>
          <w:color w:val="auto"/>
          <w:highlight w:val="none"/>
        </w:rPr>
        <w:instrText xml:space="preserve"> PAGEREF _Toc43475884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2073A58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"_Toc43475885" </w:instrText>
      </w:r>
      <w:r>
        <w:rPr>
          <w:color w:val="auto"/>
          <w:highlight w:val="none"/>
        </w:rPr>
        <w:fldChar w:fldCharType="separate"/>
      </w:r>
      <w:r>
        <w:rPr>
          <w:rStyle w:val="50"/>
          <w:rFonts w:ascii="宋体"/>
          <w:color w:val="auto"/>
          <w:highlight w:val="none"/>
        </w:rPr>
        <w:t xml:space="preserve">20.5 </w:t>
      </w:r>
      <w:r>
        <w:rPr>
          <w:rStyle w:val="50"/>
          <w:rFonts w:hint="eastAsia" w:ascii="宋体"/>
          <w:color w:val="auto"/>
          <w:highlight w:val="none"/>
        </w:rPr>
        <w:t>其他保险</w:t>
      </w:r>
      <w:r>
        <w:rPr>
          <w:color w:val="auto"/>
          <w:highlight w:val="none"/>
        </w:rPr>
        <w:tab/>
      </w:r>
      <w:r>
        <w:rPr>
          <w:color w:val="auto"/>
          <w:highlight w:val="none"/>
        </w:rPr>
        <w:fldChar w:fldCharType="begin"/>
      </w:r>
      <w:r>
        <w:rPr>
          <w:color w:val="auto"/>
          <w:highlight w:val="none"/>
        </w:rPr>
        <w:instrText xml:space="preserve"> PAGEREF _Toc43475885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0C80BE9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"_Toc43475886" </w:instrText>
      </w:r>
      <w:r>
        <w:rPr>
          <w:color w:val="auto"/>
          <w:highlight w:val="none"/>
        </w:rPr>
        <w:fldChar w:fldCharType="separate"/>
      </w:r>
      <w:r>
        <w:rPr>
          <w:rStyle w:val="50"/>
          <w:rFonts w:ascii="宋体"/>
          <w:color w:val="auto"/>
          <w:highlight w:val="none"/>
        </w:rPr>
        <w:t xml:space="preserve">20.6 </w:t>
      </w:r>
      <w:r>
        <w:rPr>
          <w:rStyle w:val="50"/>
          <w:rFonts w:hint="eastAsia" w:ascii="宋体"/>
          <w:color w:val="auto"/>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_Toc43475886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388F112A">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"_Toc43475887" </w:instrText>
      </w:r>
      <w:r>
        <w:rPr>
          <w:color w:val="auto"/>
          <w:highlight w:val="none"/>
        </w:rPr>
        <w:fldChar w:fldCharType="separate"/>
      </w:r>
      <w:r>
        <w:rPr>
          <w:rStyle w:val="50"/>
          <w:rFonts w:ascii="宋体" w:hAnsi="宋体"/>
          <w:color w:val="auto"/>
          <w:highlight w:val="none"/>
        </w:rPr>
        <w:t xml:space="preserve">21. </w:t>
      </w:r>
      <w:r>
        <w:rPr>
          <w:rStyle w:val="50"/>
          <w:rFonts w:hint="eastAsia" w:ascii="宋体" w:hAnsi="宋体"/>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_Toc43475887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0D56968F">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"_Toc43475888" </w:instrText>
      </w:r>
      <w:r>
        <w:rPr>
          <w:color w:val="auto"/>
          <w:highlight w:val="none"/>
        </w:rPr>
        <w:fldChar w:fldCharType="separate"/>
      </w:r>
      <w:r>
        <w:rPr>
          <w:rStyle w:val="50"/>
          <w:rFonts w:ascii="宋体"/>
          <w:color w:val="auto"/>
          <w:highlight w:val="none"/>
        </w:rPr>
        <w:t xml:space="preserve">21.1 </w:t>
      </w:r>
      <w:r>
        <w:rPr>
          <w:rStyle w:val="50"/>
          <w:rFonts w:hint="eastAsia" w:ascii="宋体"/>
          <w:color w:val="auto"/>
          <w:highlight w:val="none"/>
        </w:rPr>
        <w:t>不可抗力的确认</w:t>
      </w:r>
      <w:r>
        <w:rPr>
          <w:color w:val="auto"/>
          <w:highlight w:val="none"/>
        </w:rPr>
        <w:tab/>
      </w:r>
      <w:r>
        <w:rPr>
          <w:color w:val="auto"/>
          <w:highlight w:val="none"/>
        </w:rPr>
        <w:fldChar w:fldCharType="begin"/>
      </w:r>
      <w:r>
        <w:rPr>
          <w:color w:val="auto"/>
          <w:highlight w:val="none"/>
        </w:rPr>
        <w:instrText xml:space="preserve"> PAGEREF _Toc43475888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565DF76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"_Toc43475889" </w:instrText>
      </w:r>
      <w:r>
        <w:rPr>
          <w:color w:val="auto"/>
          <w:highlight w:val="none"/>
        </w:rPr>
        <w:fldChar w:fldCharType="separate"/>
      </w:r>
      <w:r>
        <w:rPr>
          <w:rStyle w:val="50"/>
          <w:rFonts w:ascii="宋体"/>
          <w:color w:val="auto"/>
          <w:highlight w:val="none"/>
        </w:rPr>
        <w:t xml:space="preserve">21.2 </w:t>
      </w:r>
      <w:r>
        <w:rPr>
          <w:rStyle w:val="50"/>
          <w:rFonts w:hint="eastAsia" w:ascii="宋体"/>
          <w:color w:val="auto"/>
          <w:highlight w:val="none"/>
        </w:rPr>
        <w:t>不可抗力的通知</w:t>
      </w:r>
      <w:r>
        <w:rPr>
          <w:color w:val="auto"/>
          <w:highlight w:val="none"/>
        </w:rPr>
        <w:tab/>
      </w:r>
      <w:r>
        <w:rPr>
          <w:color w:val="auto"/>
          <w:highlight w:val="none"/>
        </w:rPr>
        <w:fldChar w:fldCharType="begin"/>
      </w:r>
      <w:r>
        <w:rPr>
          <w:color w:val="auto"/>
          <w:highlight w:val="none"/>
        </w:rPr>
        <w:instrText xml:space="preserve"> PAGEREF _Toc43475889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2EC2014E">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"_Toc43475890" </w:instrText>
      </w:r>
      <w:r>
        <w:rPr>
          <w:color w:val="auto"/>
          <w:highlight w:val="none"/>
        </w:rPr>
        <w:fldChar w:fldCharType="separate"/>
      </w:r>
      <w:r>
        <w:rPr>
          <w:rStyle w:val="50"/>
          <w:rFonts w:ascii="宋体"/>
          <w:color w:val="auto"/>
          <w:highlight w:val="none"/>
        </w:rPr>
        <w:t xml:space="preserve">21.3 </w:t>
      </w:r>
      <w:r>
        <w:rPr>
          <w:rStyle w:val="50"/>
          <w:rFonts w:hint="eastAsia" w:ascii="宋体"/>
          <w:color w:val="auto"/>
          <w:highlight w:val="none"/>
        </w:rPr>
        <w:t>不可抗力后果及其处理</w:t>
      </w:r>
      <w:r>
        <w:rPr>
          <w:color w:val="auto"/>
          <w:highlight w:val="none"/>
        </w:rPr>
        <w:tab/>
      </w:r>
      <w:r>
        <w:rPr>
          <w:color w:val="auto"/>
          <w:highlight w:val="none"/>
        </w:rPr>
        <w:fldChar w:fldCharType="begin"/>
      </w:r>
      <w:r>
        <w:rPr>
          <w:color w:val="auto"/>
          <w:highlight w:val="none"/>
        </w:rPr>
        <w:instrText xml:space="preserve"> PAGEREF _Toc43475890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6B9839AB">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"_Toc43475891" </w:instrText>
      </w:r>
      <w:r>
        <w:rPr>
          <w:color w:val="auto"/>
          <w:highlight w:val="none"/>
        </w:rPr>
        <w:fldChar w:fldCharType="separate"/>
      </w:r>
      <w:r>
        <w:rPr>
          <w:rStyle w:val="50"/>
          <w:rFonts w:ascii="宋体" w:hAnsi="宋体"/>
          <w:color w:val="auto"/>
          <w:highlight w:val="none"/>
        </w:rPr>
        <w:t xml:space="preserve">22. </w:t>
      </w:r>
      <w:r>
        <w:rPr>
          <w:rStyle w:val="50"/>
          <w:rFonts w:hint="eastAsia" w:ascii="宋体" w:hAnsi="宋体"/>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_Toc43475891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2FB4074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"_Toc43475892" </w:instrText>
      </w:r>
      <w:r>
        <w:rPr>
          <w:color w:val="auto"/>
          <w:highlight w:val="none"/>
        </w:rPr>
        <w:fldChar w:fldCharType="separate"/>
      </w:r>
      <w:r>
        <w:rPr>
          <w:rStyle w:val="50"/>
          <w:rFonts w:ascii="宋体"/>
          <w:color w:val="auto"/>
          <w:highlight w:val="none"/>
        </w:rPr>
        <w:t xml:space="preserve">22.1 </w:t>
      </w:r>
      <w:r>
        <w:rPr>
          <w:rStyle w:val="50"/>
          <w:rFonts w:hint="eastAsia" w:ascii="宋体"/>
          <w:color w:val="auto"/>
          <w:highlight w:val="none"/>
        </w:rPr>
        <w:t>承包人违约</w:t>
      </w:r>
      <w:r>
        <w:rPr>
          <w:color w:val="auto"/>
          <w:highlight w:val="none"/>
        </w:rPr>
        <w:tab/>
      </w:r>
      <w:r>
        <w:rPr>
          <w:color w:val="auto"/>
          <w:highlight w:val="none"/>
        </w:rPr>
        <w:fldChar w:fldCharType="begin"/>
      </w:r>
      <w:r>
        <w:rPr>
          <w:color w:val="auto"/>
          <w:highlight w:val="none"/>
        </w:rPr>
        <w:instrText xml:space="preserve"> PAGEREF _Toc43475892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27E15513">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"_Toc43475893" </w:instrText>
      </w:r>
      <w:r>
        <w:rPr>
          <w:color w:val="auto"/>
          <w:highlight w:val="none"/>
        </w:rPr>
        <w:fldChar w:fldCharType="separate"/>
      </w:r>
      <w:r>
        <w:rPr>
          <w:rStyle w:val="50"/>
          <w:rFonts w:ascii="宋体"/>
          <w:color w:val="auto"/>
          <w:highlight w:val="none"/>
        </w:rPr>
        <w:t xml:space="preserve">22.2 </w:t>
      </w:r>
      <w:r>
        <w:rPr>
          <w:rStyle w:val="50"/>
          <w:rFonts w:hint="eastAsia" w:ascii="宋体"/>
          <w:color w:val="auto"/>
          <w:highlight w:val="none"/>
        </w:rPr>
        <w:t>发包人违约</w:t>
      </w:r>
      <w:r>
        <w:rPr>
          <w:color w:val="auto"/>
          <w:highlight w:val="none"/>
        </w:rPr>
        <w:tab/>
      </w:r>
      <w:r>
        <w:rPr>
          <w:color w:val="auto"/>
          <w:highlight w:val="none"/>
        </w:rPr>
        <w:fldChar w:fldCharType="begin"/>
      </w:r>
      <w:r>
        <w:rPr>
          <w:color w:val="auto"/>
          <w:highlight w:val="none"/>
        </w:rPr>
        <w:instrText xml:space="preserve"> PAGEREF _Toc43475893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3724AD55">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"_Toc43475894" </w:instrText>
      </w:r>
      <w:r>
        <w:rPr>
          <w:color w:val="auto"/>
          <w:highlight w:val="none"/>
        </w:rPr>
        <w:fldChar w:fldCharType="separate"/>
      </w:r>
      <w:r>
        <w:rPr>
          <w:rStyle w:val="50"/>
          <w:rFonts w:ascii="宋体"/>
          <w:color w:val="auto"/>
          <w:highlight w:val="none"/>
        </w:rPr>
        <w:t xml:space="preserve">22.3 </w:t>
      </w:r>
      <w:r>
        <w:rPr>
          <w:rStyle w:val="50"/>
          <w:rFonts w:hint="eastAsia" w:ascii="宋体"/>
          <w:color w:val="auto"/>
          <w:highlight w:val="none"/>
        </w:rPr>
        <w:t>第三人造成的违约</w:t>
      </w:r>
      <w:r>
        <w:rPr>
          <w:color w:val="auto"/>
          <w:highlight w:val="none"/>
        </w:rPr>
        <w:tab/>
      </w:r>
      <w:r>
        <w:rPr>
          <w:color w:val="auto"/>
          <w:highlight w:val="none"/>
        </w:rPr>
        <w:fldChar w:fldCharType="begin"/>
      </w:r>
      <w:r>
        <w:rPr>
          <w:color w:val="auto"/>
          <w:highlight w:val="none"/>
        </w:rPr>
        <w:instrText xml:space="preserve"> PAGEREF _Toc43475894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0ADAD673">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"_Toc43475895" </w:instrText>
      </w:r>
      <w:r>
        <w:rPr>
          <w:color w:val="auto"/>
          <w:highlight w:val="none"/>
        </w:rPr>
        <w:fldChar w:fldCharType="separate"/>
      </w:r>
      <w:r>
        <w:rPr>
          <w:rStyle w:val="50"/>
          <w:rFonts w:ascii="宋体" w:hAnsi="宋体"/>
          <w:color w:val="auto"/>
          <w:highlight w:val="none"/>
        </w:rPr>
        <w:t xml:space="preserve">23. </w:t>
      </w:r>
      <w:r>
        <w:rPr>
          <w:rStyle w:val="50"/>
          <w:rFonts w:hint="eastAsia" w:ascii="宋体" w:hAnsi="宋体"/>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_Toc43475895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18C36DD1">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"_Toc43475896" </w:instrText>
      </w:r>
      <w:r>
        <w:rPr>
          <w:color w:val="auto"/>
          <w:highlight w:val="none"/>
        </w:rPr>
        <w:fldChar w:fldCharType="separate"/>
      </w:r>
      <w:r>
        <w:rPr>
          <w:rStyle w:val="50"/>
          <w:rFonts w:ascii="宋体"/>
          <w:color w:val="auto"/>
          <w:highlight w:val="none"/>
        </w:rPr>
        <w:t xml:space="preserve">23.1 </w:t>
      </w:r>
      <w:r>
        <w:rPr>
          <w:rStyle w:val="50"/>
          <w:rFonts w:hint="eastAsia" w:ascii="宋体"/>
          <w:color w:val="auto"/>
          <w:highlight w:val="none"/>
        </w:rPr>
        <w:t>承包人索赔的提出</w:t>
      </w:r>
      <w:r>
        <w:rPr>
          <w:color w:val="auto"/>
          <w:highlight w:val="none"/>
        </w:rPr>
        <w:tab/>
      </w:r>
      <w:r>
        <w:rPr>
          <w:color w:val="auto"/>
          <w:highlight w:val="none"/>
        </w:rPr>
        <w:fldChar w:fldCharType="begin"/>
      </w:r>
      <w:r>
        <w:rPr>
          <w:color w:val="auto"/>
          <w:highlight w:val="none"/>
        </w:rPr>
        <w:instrText xml:space="preserve"> PAGEREF _Toc43475896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43C3D23B">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"_Toc43475897" </w:instrText>
      </w:r>
      <w:r>
        <w:rPr>
          <w:color w:val="auto"/>
          <w:highlight w:val="none"/>
        </w:rPr>
        <w:fldChar w:fldCharType="separate"/>
      </w:r>
      <w:r>
        <w:rPr>
          <w:rStyle w:val="50"/>
          <w:rFonts w:ascii="宋体"/>
          <w:color w:val="auto"/>
          <w:highlight w:val="none"/>
        </w:rPr>
        <w:t xml:space="preserve">23.2 </w:t>
      </w:r>
      <w:r>
        <w:rPr>
          <w:rStyle w:val="50"/>
          <w:rFonts w:hint="eastAsia" w:ascii="宋体"/>
          <w:color w:val="auto"/>
          <w:highlight w:val="none"/>
        </w:rPr>
        <w:t>承包人索赔处理程序</w:t>
      </w:r>
      <w:r>
        <w:rPr>
          <w:color w:val="auto"/>
          <w:highlight w:val="none"/>
        </w:rPr>
        <w:tab/>
      </w:r>
      <w:r>
        <w:rPr>
          <w:color w:val="auto"/>
          <w:highlight w:val="none"/>
        </w:rPr>
        <w:fldChar w:fldCharType="begin"/>
      </w:r>
      <w:r>
        <w:rPr>
          <w:color w:val="auto"/>
          <w:highlight w:val="none"/>
        </w:rPr>
        <w:instrText xml:space="preserve"> PAGEREF _Toc43475897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6147172F">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"_Toc43475898" </w:instrText>
      </w:r>
      <w:r>
        <w:rPr>
          <w:color w:val="auto"/>
          <w:highlight w:val="none"/>
        </w:rPr>
        <w:fldChar w:fldCharType="separate"/>
      </w:r>
      <w:r>
        <w:rPr>
          <w:rStyle w:val="50"/>
          <w:rFonts w:ascii="宋体"/>
          <w:color w:val="auto"/>
          <w:highlight w:val="none"/>
        </w:rPr>
        <w:t xml:space="preserve">23.3 </w:t>
      </w:r>
      <w:r>
        <w:rPr>
          <w:rStyle w:val="50"/>
          <w:rFonts w:hint="eastAsia" w:ascii="宋体"/>
          <w:color w:val="auto"/>
          <w:highlight w:val="none"/>
        </w:rPr>
        <w:t>承包人提出索赔的期限</w:t>
      </w:r>
      <w:r>
        <w:rPr>
          <w:color w:val="auto"/>
          <w:highlight w:val="none"/>
        </w:rPr>
        <w:tab/>
      </w:r>
      <w:r>
        <w:rPr>
          <w:color w:val="auto"/>
          <w:highlight w:val="none"/>
        </w:rPr>
        <w:fldChar w:fldCharType="begin"/>
      </w:r>
      <w:r>
        <w:rPr>
          <w:color w:val="auto"/>
          <w:highlight w:val="none"/>
        </w:rPr>
        <w:instrText xml:space="preserve"> PAGEREF _Toc43475898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52FEDA62">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"_Toc43475899" </w:instrText>
      </w:r>
      <w:r>
        <w:rPr>
          <w:color w:val="auto"/>
          <w:highlight w:val="none"/>
        </w:rPr>
        <w:fldChar w:fldCharType="separate"/>
      </w:r>
      <w:r>
        <w:rPr>
          <w:rStyle w:val="50"/>
          <w:rFonts w:ascii="宋体"/>
          <w:color w:val="auto"/>
          <w:highlight w:val="none"/>
        </w:rPr>
        <w:t xml:space="preserve">23.4 </w:t>
      </w:r>
      <w:r>
        <w:rPr>
          <w:rStyle w:val="50"/>
          <w:rFonts w:hint="eastAsia" w:ascii="宋体"/>
          <w:color w:val="auto"/>
          <w:highlight w:val="none"/>
        </w:rPr>
        <w:t>发包人的索赔</w:t>
      </w:r>
      <w:r>
        <w:rPr>
          <w:color w:val="auto"/>
          <w:highlight w:val="none"/>
        </w:rPr>
        <w:tab/>
      </w:r>
      <w:r>
        <w:rPr>
          <w:color w:val="auto"/>
          <w:highlight w:val="none"/>
        </w:rPr>
        <w:fldChar w:fldCharType="begin"/>
      </w:r>
      <w:r>
        <w:rPr>
          <w:color w:val="auto"/>
          <w:highlight w:val="none"/>
        </w:rPr>
        <w:instrText xml:space="preserve"> PAGEREF _Toc43475899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36AA8D76">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"_Toc43475900" </w:instrText>
      </w:r>
      <w:r>
        <w:rPr>
          <w:color w:val="auto"/>
          <w:highlight w:val="none"/>
        </w:rPr>
        <w:fldChar w:fldCharType="separate"/>
      </w:r>
      <w:r>
        <w:rPr>
          <w:rStyle w:val="50"/>
          <w:rFonts w:ascii="宋体" w:hAnsi="宋体"/>
          <w:color w:val="auto"/>
          <w:highlight w:val="none"/>
        </w:rPr>
        <w:t xml:space="preserve">24. </w:t>
      </w:r>
      <w:r>
        <w:rPr>
          <w:rStyle w:val="50"/>
          <w:rFonts w:hint="eastAsia" w:ascii="宋体" w:hAnsi="宋体"/>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_Toc43475900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652B9E86">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"_Toc43475901" </w:instrText>
      </w:r>
      <w:r>
        <w:rPr>
          <w:color w:val="auto"/>
          <w:highlight w:val="none"/>
        </w:rPr>
        <w:fldChar w:fldCharType="separate"/>
      </w:r>
      <w:r>
        <w:rPr>
          <w:rStyle w:val="50"/>
          <w:rFonts w:ascii="宋体"/>
          <w:color w:val="auto"/>
          <w:highlight w:val="none"/>
        </w:rPr>
        <w:t xml:space="preserve">24.1 </w:t>
      </w:r>
      <w:r>
        <w:rPr>
          <w:rStyle w:val="50"/>
          <w:rFonts w:hint="eastAsia" w:ascii="宋体"/>
          <w:color w:val="auto"/>
          <w:highlight w:val="none"/>
        </w:rPr>
        <w:t>争议的解决方式</w:t>
      </w:r>
      <w:r>
        <w:rPr>
          <w:color w:val="auto"/>
          <w:highlight w:val="none"/>
        </w:rPr>
        <w:tab/>
      </w:r>
      <w:r>
        <w:rPr>
          <w:color w:val="auto"/>
          <w:highlight w:val="none"/>
        </w:rPr>
        <w:fldChar w:fldCharType="begin"/>
      </w:r>
      <w:r>
        <w:rPr>
          <w:color w:val="auto"/>
          <w:highlight w:val="none"/>
        </w:rPr>
        <w:instrText xml:space="preserve"> PAGEREF _Toc43475901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05B0B654">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"_Toc43475902" </w:instrText>
      </w:r>
      <w:r>
        <w:rPr>
          <w:color w:val="auto"/>
          <w:highlight w:val="none"/>
        </w:rPr>
        <w:fldChar w:fldCharType="separate"/>
      </w:r>
      <w:r>
        <w:rPr>
          <w:rStyle w:val="50"/>
          <w:rFonts w:ascii="宋体"/>
          <w:color w:val="auto"/>
          <w:highlight w:val="none"/>
        </w:rPr>
        <w:t xml:space="preserve">24.2 </w:t>
      </w:r>
      <w:r>
        <w:rPr>
          <w:rStyle w:val="50"/>
          <w:rFonts w:hint="eastAsia" w:ascii="宋体"/>
          <w:color w:val="auto"/>
          <w:highlight w:val="none"/>
        </w:rPr>
        <w:t>友好解决</w:t>
      </w:r>
      <w:r>
        <w:rPr>
          <w:color w:val="auto"/>
          <w:highlight w:val="none"/>
        </w:rPr>
        <w:tab/>
      </w:r>
      <w:r>
        <w:rPr>
          <w:color w:val="auto"/>
          <w:highlight w:val="none"/>
        </w:rPr>
        <w:fldChar w:fldCharType="begin"/>
      </w:r>
      <w:r>
        <w:rPr>
          <w:color w:val="auto"/>
          <w:highlight w:val="none"/>
        </w:rPr>
        <w:instrText xml:space="preserve"> PAGEREF _Toc43475902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641662A9">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"_Toc43475903" </w:instrText>
      </w:r>
      <w:r>
        <w:rPr>
          <w:color w:val="auto"/>
          <w:highlight w:val="none"/>
        </w:rPr>
        <w:fldChar w:fldCharType="separate"/>
      </w:r>
      <w:r>
        <w:rPr>
          <w:rStyle w:val="50"/>
          <w:rFonts w:ascii="宋体"/>
          <w:color w:val="auto"/>
          <w:highlight w:val="none"/>
        </w:rPr>
        <w:t xml:space="preserve">24.3 </w:t>
      </w:r>
      <w:r>
        <w:rPr>
          <w:rStyle w:val="50"/>
          <w:rFonts w:hint="eastAsia" w:ascii="宋体"/>
          <w:color w:val="auto"/>
          <w:highlight w:val="none"/>
        </w:rPr>
        <w:t>争议评审</w:t>
      </w:r>
      <w:r>
        <w:rPr>
          <w:color w:val="auto"/>
          <w:highlight w:val="none"/>
        </w:rPr>
        <w:tab/>
      </w:r>
      <w:r>
        <w:rPr>
          <w:color w:val="auto"/>
          <w:highlight w:val="none"/>
        </w:rPr>
        <w:fldChar w:fldCharType="begin"/>
      </w:r>
      <w:r>
        <w:rPr>
          <w:color w:val="auto"/>
          <w:highlight w:val="none"/>
        </w:rPr>
        <w:instrText xml:space="preserve"> PAGEREF _Toc43475903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0B28537A">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"_Toc43475904" </w:instrText>
      </w:r>
      <w:r>
        <w:rPr>
          <w:color w:val="auto"/>
          <w:highlight w:val="none"/>
        </w:rPr>
        <w:fldChar w:fldCharType="separate"/>
      </w:r>
      <w:r>
        <w:rPr>
          <w:rStyle w:val="50"/>
          <w:rFonts w:hint="eastAsia" w:ascii="宋体" w:hAnsi="宋体" w:cs="宋体"/>
          <w:color w:val="auto"/>
          <w:highlight w:val="none"/>
        </w:rPr>
        <w:t>第二节专用合同条款</w:t>
      </w:r>
      <w:r>
        <w:rPr>
          <w:color w:val="auto"/>
          <w:highlight w:val="none"/>
        </w:rPr>
        <w:tab/>
      </w:r>
      <w:r>
        <w:rPr>
          <w:color w:val="auto"/>
          <w:highlight w:val="none"/>
        </w:rPr>
        <w:fldChar w:fldCharType="begin"/>
      </w:r>
      <w:r>
        <w:rPr>
          <w:color w:val="auto"/>
          <w:highlight w:val="none"/>
        </w:rPr>
        <w:instrText xml:space="preserve"> PAGEREF _Toc43475904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110F5C7F">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"_Toc43475905" </w:instrText>
      </w:r>
      <w:r>
        <w:rPr>
          <w:color w:val="auto"/>
          <w:highlight w:val="none"/>
        </w:rPr>
        <w:fldChar w:fldCharType="separate"/>
      </w:r>
      <w:r>
        <w:rPr>
          <w:rStyle w:val="50"/>
          <w:rFonts w:ascii="宋体" w:hAnsi="宋体" w:cs="宋体"/>
          <w:color w:val="auto"/>
          <w:highlight w:val="none"/>
        </w:rPr>
        <w:t>1</w:t>
      </w:r>
      <w:r>
        <w:rPr>
          <w:rStyle w:val="50"/>
          <w:rFonts w:hint="eastAsia" w:ascii="宋体" w:hAnsi="宋体" w:cs="宋体"/>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_Toc43475905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6AC43E83">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"_Toc43475906" </w:instrText>
      </w:r>
      <w:r>
        <w:rPr>
          <w:color w:val="auto"/>
          <w:highlight w:val="none"/>
        </w:rPr>
        <w:fldChar w:fldCharType="separate"/>
      </w:r>
      <w:r>
        <w:rPr>
          <w:rStyle w:val="50"/>
          <w:rFonts w:ascii="宋体" w:hAnsi="宋体" w:cs="宋体"/>
          <w:color w:val="auto"/>
          <w:highlight w:val="none"/>
        </w:rPr>
        <w:t>1.1</w:t>
      </w:r>
      <w:r>
        <w:rPr>
          <w:rStyle w:val="50"/>
          <w:rFonts w:hint="eastAsia" w:ascii="宋体" w:hAnsi="宋体" w:cs="宋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_Toc43475906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55492569">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"_Toc43475907" </w:instrText>
      </w:r>
      <w:r>
        <w:rPr>
          <w:color w:val="auto"/>
          <w:highlight w:val="none"/>
        </w:rPr>
        <w:fldChar w:fldCharType="separate"/>
      </w:r>
      <w:r>
        <w:rPr>
          <w:rStyle w:val="50"/>
          <w:rFonts w:ascii="宋体" w:hAnsi="宋体" w:cs="宋体"/>
          <w:color w:val="auto"/>
          <w:highlight w:val="none"/>
        </w:rPr>
        <w:t>1.4</w:t>
      </w:r>
      <w:r>
        <w:rPr>
          <w:rStyle w:val="50"/>
          <w:rFonts w:hint="eastAsia" w:ascii="宋体" w:hAnsi="宋体" w:cs="宋体"/>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_Toc43475907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32152AED">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"_Toc43475908"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_Toc43475908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61185AB1">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"_Toc43475909" </w:instrText>
      </w:r>
      <w:r>
        <w:rPr>
          <w:color w:val="auto"/>
          <w:highlight w:val="none"/>
        </w:rPr>
        <w:fldChar w:fldCharType="separate"/>
      </w:r>
      <w:r>
        <w:rPr>
          <w:rStyle w:val="50"/>
          <w:rFonts w:ascii="宋体" w:hAnsi="宋体" w:cs="宋体"/>
          <w:color w:val="auto"/>
          <w:highlight w:val="none"/>
        </w:rPr>
        <w:t>1.6</w:t>
      </w:r>
      <w:r>
        <w:rPr>
          <w:rStyle w:val="50"/>
          <w:rFonts w:hint="eastAsia" w:ascii="宋体" w:hAnsi="宋体" w:cs="宋体"/>
          <w:color w:val="auto"/>
          <w:highlight w:val="none"/>
        </w:rPr>
        <w:t>图纸和承包人文件</w:t>
      </w:r>
      <w:r>
        <w:rPr>
          <w:color w:val="auto"/>
          <w:highlight w:val="none"/>
        </w:rPr>
        <w:tab/>
      </w:r>
      <w:r>
        <w:rPr>
          <w:color w:val="auto"/>
          <w:highlight w:val="none"/>
        </w:rPr>
        <w:fldChar w:fldCharType="begin"/>
      </w:r>
      <w:r>
        <w:rPr>
          <w:color w:val="auto"/>
          <w:highlight w:val="none"/>
        </w:rPr>
        <w:instrText xml:space="preserve"> PAGEREF _Toc43475909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526E5AC1">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"_Toc43475910" </w:instrText>
      </w:r>
      <w:r>
        <w:rPr>
          <w:color w:val="auto"/>
          <w:highlight w:val="none"/>
        </w:rPr>
        <w:fldChar w:fldCharType="separate"/>
      </w:r>
      <w:r>
        <w:rPr>
          <w:rStyle w:val="50"/>
          <w:rFonts w:ascii="宋体" w:hAnsi="宋体" w:cs="宋体"/>
          <w:color w:val="auto"/>
          <w:highlight w:val="none"/>
        </w:rPr>
        <w:t>1.9</w:t>
      </w:r>
      <w:r>
        <w:rPr>
          <w:rStyle w:val="50"/>
          <w:rFonts w:hint="eastAsia" w:ascii="宋体" w:hAnsi="宋体" w:cs="宋体"/>
          <w:color w:val="auto"/>
          <w:highlight w:val="none"/>
        </w:rPr>
        <w:t>严禁贿赂</w:t>
      </w:r>
      <w:r>
        <w:rPr>
          <w:color w:val="auto"/>
          <w:highlight w:val="none"/>
        </w:rPr>
        <w:tab/>
      </w:r>
      <w:r>
        <w:rPr>
          <w:color w:val="auto"/>
          <w:highlight w:val="none"/>
        </w:rPr>
        <w:fldChar w:fldCharType="begin"/>
      </w:r>
      <w:r>
        <w:rPr>
          <w:color w:val="auto"/>
          <w:highlight w:val="none"/>
        </w:rPr>
        <w:instrText xml:space="preserve"> PAGEREF _Toc43475910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06796EEF">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"_Toc43475911" </w:instrText>
      </w:r>
      <w:r>
        <w:rPr>
          <w:color w:val="auto"/>
          <w:highlight w:val="none"/>
        </w:rPr>
        <w:fldChar w:fldCharType="separate"/>
      </w:r>
      <w:r>
        <w:rPr>
          <w:rStyle w:val="50"/>
          <w:rFonts w:ascii="宋体" w:hAnsi="宋体" w:cs="宋体"/>
          <w:color w:val="auto"/>
          <w:highlight w:val="none"/>
        </w:rPr>
        <w:t>2</w:t>
      </w:r>
      <w:r>
        <w:rPr>
          <w:rStyle w:val="50"/>
          <w:rFonts w:hint="eastAsia" w:ascii="宋体" w:hAnsi="宋体" w:cs="宋体"/>
          <w:color w:val="auto"/>
          <w:highlight w:val="none"/>
        </w:rPr>
        <w:t>.发包人义务</w:t>
      </w:r>
      <w:r>
        <w:rPr>
          <w:color w:val="auto"/>
          <w:highlight w:val="none"/>
        </w:rPr>
        <w:tab/>
      </w:r>
      <w:r>
        <w:rPr>
          <w:color w:val="auto"/>
          <w:highlight w:val="none"/>
        </w:rPr>
        <w:fldChar w:fldCharType="begin"/>
      </w:r>
      <w:r>
        <w:rPr>
          <w:color w:val="auto"/>
          <w:highlight w:val="none"/>
        </w:rPr>
        <w:instrText xml:space="preserve"> PAGEREF _Toc43475911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56D45DB9">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"_Toc43475912" </w:instrText>
      </w:r>
      <w:r>
        <w:rPr>
          <w:color w:val="auto"/>
          <w:highlight w:val="none"/>
        </w:rPr>
        <w:fldChar w:fldCharType="separate"/>
      </w:r>
      <w:r>
        <w:rPr>
          <w:rStyle w:val="50"/>
          <w:rFonts w:ascii="宋体" w:hAnsi="宋体" w:cs="宋体"/>
          <w:color w:val="auto"/>
          <w:highlight w:val="none"/>
        </w:rPr>
        <w:t>2.3</w:t>
      </w:r>
      <w:r>
        <w:rPr>
          <w:rStyle w:val="50"/>
          <w:rFonts w:hint="eastAsia" w:ascii="宋体" w:hAnsi="宋体" w:cs="宋体"/>
          <w:color w:val="auto"/>
          <w:highlight w:val="none"/>
        </w:rPr>
        <w:t>提供施工场地</w:t>
      </w:r>
      <w:r>
        <w:rPr>
          <w:color w:val="auto"/>
          <w:highlight w:val="none"/>
        </w:rPr>
        <w:tab/>
      </w:r>
      <w:r>
        <w:rPr>
          <w:color w:val="auto"/>
          <w:highlight w:val="none"/>
        </w:rPr>
        <w:fldChar w:fldCharType="begin"/>
      </w:r>
      <w:r>
        <w:rPr>
          <w:color w:val="auto"/>
          <w:highlight w:val="none"/>
        </w:rPr>
        <w:instrText xml:space="preserve"> PAGEREF _Toc43475912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AFF304A">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"_Toc43475913" </w:instrText>
      </w:r>
      <w:r>
        <w:rPr>
          <w:color w:val="auto"/>
          <w:highlight w:val="none"/>
        </w:rPr>
        <w:fldChar w:fldCharType="separate"/>
      </w:r>
      <w:r>
        <w:rPr>
          <w:rStyle w:val="50"/>
          <w:rFonts w:ascii="宋体" w:hAnsi="宋体" w:cs="宋体"/>
          <w:color w:val="auto"/>
          <w:highlight w:val="none"/>
        </w:rPr>
        <w:t>3</w:t>
      </w:r>
      <w:r>
        <w:rPr>
          <w:rStyle w:val="50"/>
          <w:rFonts w:hint="eastAsia" w:ascii="宋体" w:hAnsi="宋体" w:cs="宋体"/>
          <w:color w:val="auto"/>
          <w:highlight w:val="none"/>
        </w:rPr>
        <w:t>.监理人</w:t>
      </w:r>
      <w:r>
        <w:rPr>
          <w:color w:val="auto"/>
          <w:highlight w:val="none"/>
        </w:rPr>
        <w:tab/>
      </w:r>
      <w:r>
        <w:rPr>
          <w:color w:val="auto"/>
          <w:highlight w:val="none"/>
        </w:rPr>
        <w:fldChar w:fldCharType="begin"/>
      </w:r>
      <w:r>
        <w:rPr>
          <w:color w:val="auto"/>
          <w:highlight w:val="none"/>
        </w:rPr>
        <w:instrText xml:space="preserve"> PAGEREF _Toc43475913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1FD9D255">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"_Toc43475914" </w:instrText>
      </w:r>
      <w:r>
        <w:rPr>
          <w:color w:val="auto"/>
          <w:highlight w:val="none"/>
        </w:rPr>
        <w:fldChar w:fldCharType="separate"/>
      </w:r>
      <w:r>
        <w:rPr>
          <w:rStyle w:val="50"/>
          <w:rFonts w:ascii="宋体" w:hAnsi="宋体" w:cs="宋体"/>
          <w:color w:val="auto"/>
          <w:highlight w:val="none"/>
        </w:rPr>
        <w:t>3.1</w:t>
      </w:r>
      <w:r>
        <w:rPr>
          <w:rStyle w:val="50"/>
          <w:rFonts w:hint="eastAsia" w:ascii="宋体" w:hAnsi="宋体" w:cs="宋体"/>
          <w:color w:val="auto"/>
          <w:highlight w:val="none"/>
        </w:rPr>
        <w:t>监理人的职责和权力</w:t>
      </w:r>
      <w:r>
        <w:rPr>
          <w:color w:val="auto"/>
          <w:highlight w:val="none"/>
        </w:rPr>
        <w:tab/>
      </w:r>
      <w:r>
        <w:rPr>
          <w:color w:val="auto"/>
          <w:highlight w:val="none"/>
        </w:rPr>
        <w:fldChar w:fldCharType="begin"/>
      </w:r>
      <w:r>
        <w:rPr>
          <w:color w:val="auto"/>
          <w:highlight w:val="none"/>
        </w:rPr>
        <w:instrText xml:space="preserve"> PAGEREF _Toc43475914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DAA2949">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"_Toc43475915" </w:instrText>
      </w:r>
      <w:r>
        <w:rPr>
          <w:color w:val="auto"/>
          <w:highlight w:val="none"/>
        </w:rPr>
        <w:fldChar w:fldCharType="separate"/>
      </w:r>
      <w:r>
        <w:rPr>
          <w:rStyle w:val="50"/>
          <w:rFonts w:ascii="宋体" w:hAnsi="宋体" w:cs="宋体"/>
          <w:color w:val="auto"/>
          <w:highlight w:val="none"/>
        </w:rPr>
        <w:t>3.5</w:t>
      </w:r>
      <w:r>
        <w:rPr>
          <w:rStyle w:val="50"/>
          <w:rFonts w:hint="eastAsia" w:ascii="宋体" w:hAnsi="宋体" w:cs="宋体"/>
          <w:color w:val="auto"/>
          <w:highlight w:val="none"/>
        </w:rPr>
        <w:t>商定或确定</w:t>
      </w:r>
      <w:r>
        <w:rPr>
          <w:color w:val="auto"/>
          <w:highlight w:val="none"/>
        </w:rPr>
        <w:tab/>
      </w:r>
      <w:r>
        <w:rPr>
          <w:color w:val="auto"/>
          <w:highlight w:val="none"/>
        </w:rPr>
        <w:fldChar w:fldCharType="begin"/>
      </w:r>
      <w:r>
        <w:rPr>
          <w:color w:val="auto"/>
          <w:highlight w:val="none"/>
        </w:rPr>
        <w:instrText xml:space="preserve"> PAGEREF _Toc43475915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0A5197E7">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"_Toc43475916" </w:instrText>
      </w:r>
      <w:r>
        <w:rPr>
          <w:color w:val="auto"/>
          <w:highlight w:val="none"/>
        </w:rPr>
        <w:fldChar w:fldCharType="separate"/>
      </w:r>
      <w:r>
        <w:rPr>
          <w:rStyle w:val="50"/>
          <w:rFonts w:ascii="宋体" w:hAnsi="宋体" w:cs="宋体"/>
          <w:color w:val="auto"/>
          <w:highlight w:val="none"/>
        </w:rPr>
        <w:t>4.</w:t>
      </w:r>
      <w:r>
        <w:rPr>
          <w:rStyle w:val="50"/>
          <w:rFonts w:hint="eastAsia" w:ascii="宋体" w:hAnsi="宋体" w:cs="宋体"/>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_Toc43475916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0466CF4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"_Toc43475917" </w:instrText>
      </w:r>
      <w:r>
        <w:rPr>
          <w:color w:val="auto"/>
          <w:highlight w:val="none"/>
        </w:rPr>
        <w:fldChar w:fldCharType="separate"/>
      </w:r>
      <w:r>
        <w:rPr>
          <w:rStyle w:val="50"/>
          <w:rFonts w:ascii="宋体" w:hAnsi="宋体" w:cs="宋体"/>
          <w:color w:val="auto"/>
          <w:highlight w:val="none"/>
        </w:rPr>
        <w:t>4.1</w:t>
      </w:r>
      <w:r>
        <w:rPr>
          <w:rStyle w:val="50"/>
          <w:rFonts w:hint="eastAsia" w:ascii="宋体" w:hAnsi="宋体" w:cs="宋体"/>
          <w:color w:val="auto"/>
          <w:highlight w:val="none"/>
        </w:rPr>
        <w:t>承包工的一般义务</w:t>
      </w:r>
      <w:r>
        <w:rPr>
          <w:color w:val="auto"/>
          <w:highlight w:val="none"/>
        </w:rPr>
        <w:tab/>
      </w:r>
      <w:r>
        <w:rPr>
          <w:color w:val="auto"/>
          <w:highlight w:val="none"/>
        </w:rPr>
        <w:fldChar w:fldCharType="begin"/>
      </w:r>
      <w:r>
        <w:rPr>
          <w:color w:val="auto"/>
          <w:highlight w:val="none"/>
        </w:rPr>
        <w:instrText xml:space="preserve"> PAGEREF _Toc43475917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0F9959E2">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"_Toc43475918" </w:instrText>
      </w:r>
      <w:r>
        <w:rPr>
          <w:color w:val="auto"/>
          <w:highlight w:val="none"/>
        </w:rPr>
        <w:fldChar w:fldCharType="separate"/>
      </w:r>
      <w:r>
        <w:rPr>
          <w:rStyle w:val="50"/>
          <w:rFonts w:ascii="宋体" w:hAnsi="宋体" w:cs="宋体"/>
          <w:color w:val="auto"/>
          <w:highlight w:val="none"/>
        </w:rPr>
        <w:t>4.2</w:t>
      </w:r>
      <w:r>
        <w:rPr>
          <w:rStyle w:val="50"/>
          <w:rFonts w:hint="eastAsia" w:ascii="宋体" w:hAnsi="宋体" w:cs="宋体"/>
          <w:color w:val="auto"/>
          <w:highlight w:val="none"/>
          <w:lang w:val="zh-CN"/>
        </w:rPr>
        <w:t>履约保证金</w:t>
      </w:r>
      <w:r>
        <w:rPr>
          <w:color w:val="auto"/>
          <w:highlight w:val="none"/>
        </w:rPr>
        <w:tab/>
      </w:r>
      <w:r>
        <w:rPr>
          <w:color w:val="auto"/>
          <w:highlight w:val="none"/>
        </w:rPr>
        <w:fldChar w:fldCharType="begin"/>
      </w:r>
      <w:r>
        <w:rPr>
          <w:color w:val="auto"/>
          <w:highlight w:val="none"/>
        </w:rPr>
        <w:instrText xml:space="preserve"> PAGEREF _Toc43475918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6B8564E2">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"_Toc43475919" </w:instrText>
      </w:r>
      <w:r>
        <w:rPr>
          <w:color w:val="auto"/>
          <w:highlight w:val="none"/>
        </w:rPr>
        <w:fldChar w:fldCharType="separate"/>
      </w:r>
      <w:r>
        <w:rPr>
          <w:rStyle w:val="50"/>
          <w:rFonts w:ascii="宋体" w:hAnsi="宋体" w:cs="宋体"/>
          <w:color w:val="auto"/>
          <w:highlight w:val="none"/>
        </w:rPr>
        <w:t xml:space="preserve">4.3 </w:t>
      </w:r>
      <w:r>
        <w:rPr>
          <w:rStyle w:val="50"/>
          <w:rFonts w:hint="eastAsia" w:ascii="宋体" w:hAnsi="宋体" w:cs="宋体"/>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_Toc43475919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2205CC4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"_Toc43475920" </w:instrText>
      </w:r>
      <w:r>
        <w:rPr>
          <w:color w:val="auto"/>
          <w:highlight w:val="none"/>
        </w:rPr>
        <w:fldChar w:fldCharType="separate"/>
      </w:r>
      <w:r>
        <w:rPr>
          <w:rStyle w:val="50"/>
          <w:rFonts w:ascii="宋体" w:hAnsi="宋体" w:cs="宋体"/>
          <w:color w:val="auto"/>
          <w:highlight w:val="none"/>
        </w:rPr>
        <w:t>4.4</w:t>
      </w:r>
      <w:r>
        <w:rPr>
          <w:rStyle w:val="50"/>
          <w:rFonts w:hint="eastAsia" w:ascii="宋体" w:hAnsi="宋体" w:cs="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_Toc43475920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7D10A21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"_Toc43475921" </w:instrText>
      </w:r>
      <w:r>
        <w:rPr>
          <w:color w:val="auto"/>
          <w:highlight w:val="none"/>
        </w:rPr>
        <w:fldChar w:fldCharType="separate"/>
      </w:r>
      <w:r>
        <w:rPr>
          <w:rStyle w:val="50"/>
          <w:rFonts w:ascii="宋体" w:hAnsi="宋体" w:cs="宋体"/>
          <w:color w:val="auto"/>
          <w:highlight w:val="none"/>
        </w:rPr>
        <w:t>4.6</w:t>
      </w:r>
      <w:r>
        <w:rPr>
          <w:rStyle w:val="50"/>
          <w:rFonts w:hint="eastAsia" w:ascii="宋体" w:hAnsi="宋体" w:cs="宋体"/>
          <w:color w:val="auto"/>
          <w:highlight w:val="none"/>
        </w:rPr>
        <w:t>承包人人员的管理</w:t>
      </w:r>
      <w:r>
        <w:rPr>
          <w:color w:val="auto"/>
          <w:highlight w:val="none"/>
        </w:rPr>
        <w:tab/>
      </w:r>
      <w:r>
        <w:rPr>
          <w:color w:val="auto"/>
          <w:highlight w:val="none"/>
        </w:rPr>
        <w:fldChar w:fldCharType="begin"/>
      </w:r>
      <w:r>
        <w:rPr>
          <w:color w:val="auto"/>
          <w:highlight w:val="none"/>
        </w:rPr>
        <w:instrText xml:space="preserve"> PAGEREF _Toc43475921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614F0705">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"_Toc43475922" </w:instrText>
      </w:r>
      <w:r>
        <w:rPr>
          <w:color w:val="auto"/>
          <w:highlight w:val="none"/>
        </w:rPr>
        <w:fldChar w:fldCharType="separate"/>
      </w:r>
      <w:r>
        <w:rPr>
          <w:rStyle w:val="50"/>
          <w:rFonts w:ascii="宋体" w:hAnsi="宋体" w:cs="宋体"/>
          <w:color w:val="auto"/>
          <w:highlight w:val="none"/>
        </w:rPr>
        <w:t>4.7</w:t>
      </w:r>
      <w:r>
        <w:rPr>
          <w:rStyle w:val="50"/>
          <w:rFonts w:hint="eastAsia" w:ascii="宋体" w:hAnsi="宋体" w:cs="宋体"/>
          <w:color w:val="auto"/>
          <w:highlight w:val="none"/>
        </w:rPr>
        <w:t>撤换承包人项目经理和其他人员</w:t>
      </w:r>
      <w:r>
        <w:rPr>
          <w:color w:val="auto"/>
          <w:highlight w:val="none"/>
        </w:rPr>
        <w:tab/>
      </w:r>
      <w:r>
        <w:rPr>
          <w:color w:val="auto"/>
          <w:highlight w:val="none"/>
        </w:rPr>
        <w:fldChar w:fldCharType="begin"/>
      </w:r>
      <w:r>
        <w:rPr>
          <w:color w:val="auto"/>
          <w:highlight w:val="none"/>
        </w:rPr>
        <w:instrText xml:space="preserve"> PAGEREF _Toc43475922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7D0343A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"_Toc43475923" </w:instrText>
      </w:r>
      <w:r>
        <w:rPr>
          <w:color w:val="auto"/>
          <w:highlight w:val="none"/>
        </w:rPr>
        <w:fldChar w:fldCharType="separate"/>
      </w:r>
      <w:r>
        <w:rPr>
          <w:rStyle w:val="50"/>
          <w:rFonts w:ascii="宋体" w:hAnsi="宋体" w:cs="宋体"/>
          <w:color w:val="auto"/>
          <w:highlight w:val="none"/>
        </w:rPr>
        <w:t>4.9</w:t>
      </w:r>
      <w:r>
        <w:rPr>
          <w:rStyle w:val="50"/>
          <w:rFonts w:hint="eastAsia" w:ascii="宋体" w:hAnsi="宋体" w:cs="宋体"/>
          <w:color w:val="auto"/>
          <w:highlight w:val="none"/>
        </w:rPr>
        <w:t>工程价款应专款专用</w:t>
      </w:r>
      <w:r>
        <w:rPr>
          <w:color w:val="auto"/>
          <w:highlight w:val="none"/>
        </w:rPr>
        <w:tab/>
      </w:r>
      <w:r>
        <w:rPr>
          <w:color w:val="auto"/>
          <w:highlight w:val="none"/>
        </w:rPr>
        <w:fldChar w:fldCharType="begin"/>
      </w:r>
      <w:r>
        <w:rPr>
          <w:color w:val="auto"/>
          <w:highlight w:val="none"/>
        </w:rPr>
        <w:instrText xml:space="preserve"> PAGEREF _Toc43475923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7DBDBD14">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"_Toc43475924" </w:instrText>
      </w:r>
      <w:r>
        <w:rPr>
          <w:color w:val="auto"/>
          <w:highlight w:val="none"/>
        </w:rPr>
        <w:fldChar w:fldCharType="separate"/>
      </w:r>
      <w:r>
        <w:rPr>
          <w:rStyle w:val="50"/>
          <w:rFonts w:ascii="宋体" w:hAnsi="宋体" w:cs="宋体"/>
          <w:color w:val="auto"/>
          <w:highlight w:val="none"/>
        </w:rPr>
        <w:t>4.10</w:t>
      </w:r>
      <w:r>
        <w:rPr>
          <w:rStyle w:val="50"/>
          <w:rFonts w:hint="eastAsia" w:ascii="宋体" w:hAnsi="宋体" w:cs="宋体"/>
          <w:color w:val="auto"/>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_Toc43475924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25AE5CA4">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"_Toc43475925" </w:instrText>
      </w:r>
      <w:r>
        <w:rPr>
          <w:color w:val="auto"/>
          <w:highlight w:val="none"/>
        </w:rPr>
        <w:fldChar w:fldCharType="separate"/>
      </w:r>
      <w:r>
        <w:rPr>
          <w:rStyle w:val="50"/>
          <w:rFonts w:ascii="宋体" w:hAnsi="宋体" w:cs="宋体"/>
          <w:color w:val="auto"/>
          <w:highlight w:val="none"/>
        </w:rPr>
        <w:t>4.11</w:t>
      </w:r>
      <w:r>
        <w:rPr>
          <w:rStyle w:val="50"/>
          <w:rFonts w:hint="eastAsia" w:ascii="宋体" w:hAnsi="宋体" w:cs="宋体"/>
          <w:color w:val="auto"/>
          <w:highlight w:val="none"/>
        </w:rPr>
        <w:t>不利物质条件</w:t>
      </w:r>
      <w:r>
        <w:rPr>
          <w:color w:val="auto"/>
          <w:highlight w:val="none"/>
        </w:rPr>
        <w:tab/>
      </w:r>
      <w:r>
        <w:rPr>
          <w:color w:val="auto"/>
          <w:highlight w:val="none"/>
        </w:rPr>
        <w:fldChar w:fldCharType="begin"/>
      </w:r>
      <w:r>
        <w:rPr>
          <w:color w:val="auto"/>
          <w:highlight w:val="none"/>
        </w:rPr>
        <w:instrText xml:space="preserve"> PAGEREF _Toc43475925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762B5DB3">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"_Toc43475926" </w:instrText>
      </w:r>
      <w:r>
        <w:rPr>
          <w:color w:val="auto"/>
          <w:highlight w:val="none"/>
        </w:rPr>
        <w:fldChar w:fldCharType="separate"/>
      </w:r>
      <w:r>
        <w:rPr>
          <w:rStyle w:val="50"/>
          <w:rFonts w:ascii="宋体" w:hAnsi="宋体" w:cs="宋体"/>
          <w:color w:val="auto"/>
          <w:highlight w:val="none"/>
        </w:rPr>
        <w:t>4.12</w:t>
      </w:r>
      <w:r>
        <w:rPr>
          <w:rStyle w:val="50"/>
          <w:rFonts w:hint="eastAsia" w:ascii="宋体" w:hAnsi="宋体" w:cs="宋体"/>
          <w:color w:val="auto"/>
          <w:highlight w:val="none"/>
        </w:rPr>
        <w:t>投标文件的完备性</w:t>
      </w:r>
      <w:r>
        <w:rPr>
          <w:color w:val="auto"/>
          <w:highlight w:val="none"/>
        </w:rPr>
        <w:tab/>
      </w:r>
      <w:r>
        <w:rPr>
          <w:color w:val="auto"/>
          <w:highlight w:val="none"/>
        </w:rPr>
        <w:fldChar w:fldCharType="begin"/>
      </w:r>
      <w:r>
        <w:rPr>
          <w:color w:val="auto"/>
          <w:highlight w:val="none"/>
        </w:rPr>
        <w:instrText xml:space="preserve"> PAGEREF _Toc43475926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4C40A38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"_Toc43475927" </w:instrText>
      </w:r>
      <w:r>
        <w:rPr>
          <w:color w:val="auto"/>
          <w:highlight w:val="none"/>
        </w:rPr>
        <w:fldChar w:fldCharType="separate"/>
      </w:r>
      <w:r>
        <w:rPr>
          <w:rStyle w:val="50"/>
          <w:rFonts w:ascii="宋体" w:hAnsi="宋体" w:cs="宋体"/>
          <w:color w:val="auto"/>
          <w:highlight w:val="none"/>
        </w:rPr>
        <w:t>4.13</w:t>
      </w:r>
      <w:r>
        <w:rPr>
          <w:rStyle w:val="50"/>
          <w:rFonts w:hint="eastAsia" w:ascii="宋体" w:hAnsi="宋体" w:cs="宋体"/>
          <w:color w:val="auto"/>
          <w:highlight w:val="none"/>
          <w:lang w:val="zh-CN"/>
        </w:rPr>
        <w:t>开展党建工作要求</w:t>
      </w:r>
      <w:r>
        <w:rPr>
          <w:color w:val="auto"/>
          <w:highlight w:val="none"/>
        </w:rPr>
        <w:tab/>
      </w:r>
      <w:r>
        <w:rPr>
          <w:color w:val="auto"/>
          <w:highlight w:val="none"/>
        </w:rPr>
        <w:fldChar w:fldCharType="begin"/>
      </w:r>
      <w:r>
        <w:rPr>
          <w:color w:val="auto"/>
          <w:highlight w:val="none"/>
        </w:rPr>
        <w:instrText xml:space="preserve"> PAGEREF _Toc43475927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42CA8FE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"_Toc43475928" </w:instrText>
      </w:r>
      <w:r>
        <w:rPr>
          <w:color w:val="auto"/>
          <w:highlight w:val="none"/>
        </w:rPr>
        <w:fldChar w:fldCharType="separate"/>
      </w:r>
      <w:r>
        <w:rPr>
          <w:rStyle w:val="50"/>
          <w:rFonts w:ascii="宋体" w:hAnsi="宋体" w:cs="宋体"/>
          <w:color w:val="auto"/>
          <w:highlight w:val="none"/>
        </w:rPr>
        <w:t>5</w:t>
      </w:r>
      <w:r>
        <w:rPr>
          <w:rStyle w:val="50"/>
          <w:rFonts w:hint="eastAsia" w:ascii="宋体" w:hAnsi="宋体" w:cs="宋体"/>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_Toc43475928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0507CE5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"_Toc43475929" </w:instrText>
      </w:r>
      <w:r>
        <w:rPr>
          <w:color w:val="auto"/>
          <w:highlight w:val="none"/>
        </w:rPr>
        <w:fldChar w:fldCharType="separate"/>
      </w:r>
      <w:r>
        <w:rPr>
          <w:rStyle w:val="50"/>
          <w:rFonts w:ascii="宋体" w:hAnsi="宋体" w:cs="宋体"/>
          <w:color w:val="auto"/>
          <w:highlight w:val="none"/>
        </w:rPr>
        <w:t>5.2</w:t>
      </w:r>
      <w:r>
        <w:rPr>
          <w:rStyle w:val="50"/>
          <w:rFonts w:hint="eastAsia" w:ascii="宋体" w:hAnsi="宋体" w:cs="宋体"/>
          <w:color w:val="auto"/>
          <w:highlight w:val="none"/>
        </w:rPr>
        <w:t>发包人提供的材料和工程设备</w:t>
      </w:r>
      <w:r>
        <w:rPr>
          <w:color w:val="auto"/>
          <w:highlight w:val="none"/>
        </w:rPr>
        <w:tab/>
      </w:r>
      <w:r>
        <w:rPr>
          <w:color w:val="auto"/>
          <w:highlight w:val="none"/>
        </w:rPr>
        <w:fldChar w:fldCharType="begin"/>
      </w:r>
      <w:r>
        <w:rPr>
          <w:color w:val="auto"/>
          <w:highlight w:val="none"/>
        </w:rPr>
        <w:instrText xml:space="preserve"> PAGEREF _Toc43475929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7E40DED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"_Toc43475930" </w:instrText>
      </w:r>
      <w:r>
        <w:rPr>
          <w:color w:val="auto"/>
          <w:highlight w:val="none"/>
        </w:rPr>
        <w:fldChar w:fldCharType="separate"/>
      </w:r>
      <w:r>
        <w:rPr>
          <w:rStyle w:val="50"/>
          <w:rFonts w:ascii="宋体" w:hAnsi="宋体" w:cs="宋体"/>
          <w:color w:val="auto"/>
          <w:highlight w:val="none"/>
        </w:rPr>
        <w:t>6</w:t>
      </w:r>
      <w:r>
        <w:rPr>
          <w:rStyle w:val="50"/>
          <w:rFonts w:hint="eastAsia" w:ascii="宋体" w:hAnsi="宋体" w:cs="宋体"/>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_Toc43475930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20877FA3">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"_Toc43475931" </w:instrText>
      </w:r>
      <w:r>
        <w:rPr>
          <w:color w:val="auto"/>
          <w:highlight w:val="none"/>
        </w:rPr>
        <w:fldChar w:fldCharType="separate"/>
      </w:r>
      <w:r>
        <w:rPr>
          <w:rStyle w:val="50"/>
          <w:rFonts w:ascii="宋体" w:hAnsi="宋体" w:cs="宋体"/>
          <w:color w:val="auto"/>
          <w:highlight w:val="none"/>
        </w:rPr>
        <w:t>6.2</w:t>
      </w:r>
      <w:r>
        <w:rPr>
          <w:rStyle w:val="50"/>
          <w:rFonts w:hint="eastAsia" w:ascii="宋体" w:hAnsi="宋体" w:cs="宋体"/>
          <w:color w:val="auto"/>
          <w:highlight w:val="none"/>
        </w:rPr>
        <w:t>承包人提供的施工设备和临时设施</w:t>
      </w:r>
      <w:r>
        <w:rPr>
          <w:color w:val="auto"/>
          <w:highlight w:val="none"/>
        </w:rPr>
        <w:tab/>
      </w:r>
      <w:r>
        <w:rPr>
          <w:color w:val="auto"/>
          <w:highlight w:val="none"/>
        </w:rPr>
        <w:fldChar w:fldCharType="begin"/>
      </w:r>
      <w:r>
        <w:rPr>
          <w:color w:val="auto"/>
          <w:highlight w:val="none"/>
        </w:rPr>
        <w:instrText xml:space="preserve"> PAGEREF _Toc43475931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75D93952">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"_Toc43475932" </w:instrText>
      </w:r>
      <w:r>
        <w:rPr>
          <w:color w:val="auto"/>
          <w:highlight w:val="none"/>
        </w:rPr>
        <w:fldChar w:fldCharType="separate"/>
      </w:r>
      <w:r>
        <w:rPr>
          <w:rStyle w:val="50"/>
          <w:rFonts w:ascii="宋体" w:hAnsi="宋体" w:cs="宋体"/>
          <w:color w:val="auto"/>
          <w:highlight w:val="none"/>
        </w:rPr>
        <w:t>6.3</w:t>
      </w:r>
      <w:r>
        <w:rPr>
          <w:rStyle w:val="50"/>
          <w:rFonts w:hint="eastAsia" w:ascii="宋体" w:hAnsi="宋体" w:cs="宋体"/>
          <w:color w:val="auto"/>
          <w:highlight w:val="none"/>
        </w:rPr>
        <w:t>要求承包人增加或更换施工设备</w:t>
      </w:r>
      <w:r>
        <w:rPr>
          <w:color w:val="auto"/>
          <w:highlight w:val="none"/>
        </w:rPr>
        <w:tab/>
      </w:r>
      <w:r>
        <w:rPr>
          <w:color w:val="auto"/>
          <w:highlight w:val="none"/>
        </w:rPr>
        <w:fldChar w:fldCharType="begin"/>
      </w:r>
      <w:r>
        <w:rPr>
          <w:color w:val="auto"/>
          <w:highlight w:val="none"/>
        </w:rPr>
        <w:instrText xml:space="preserve"> PAGEREF _Toc43475932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700FC58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"_Toc43475933" </w:instrText>
      </w:r>
      <w:r>
        <w:rPr>
          <w:color w:val="auto"/>
          <w:highlight w:val="none"/>
        </w:rPr>
        <w:fldChar w:fldCharType="separate"/>
      </w:r>
      <w:r>
        <w:rPr>
          <w:rStyle w:val="50"/>
          <w:rFonts w:ascii="宋体" w:hAnsi="宋体" w:cs="宋体"/>
          <w:color w:val="auto"/>
          <w:highlight w:val="none"/>
        </w:rPr>
        <w:t>7</w:t>
      </w:r>
      <w:r>
        <w:rPr>
          <w:rStyle w:val="50"/>
          <w:rFonts w:hint="eastAsia" w:ascii="宋体" w:hAnsi="宋体" w:cs="宋体"/>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_Toc43475933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1875166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"_Toc43475934" </w:instrText>
      </w:r>
      <w:r>
        <w:rPr>
          <w:color w:val="auto"/>
          <w:highlight w:val="none"/>
        </w:rPr>
        <w:fldChar w:fldCharType="separate"/>
      </w:r>
      <w:r>
        <w:rPr>
          <w:rStyle w:val="50"/>
          <w:rFonts w:ascii="宋体" w:hAnsi="宋体" w:cs="宋体"/>
          <w:color w:val="auto"/>
          <w:highlight w:val="none"/>
        </w:rPr>
        <w:t>7.1</w:t>
      </w:r>
      <w:r>
        <w:rPr>
          <w:rStyle w:val="50"/>
          <w:rFonts w:hint="eastAsia" w:ascii="宋体" w:hAnsi="宋体" w:cs="宋体"/>
          <w:color w:val="auto"/>
          <w:highlight w:val="none"/>
        </w:rPr>
        <w:t>道路通行权和场外设施</w:t>
      </w:r>
      <w:r>
        <w:rPr>
          <w:color w:val="auto"/>
          <w:highlight w:val="none"/>
        </w:rPr>
        <w:tab/>
      </w:r>
      <w:r>
        <w:rPr>
          <w:color w:val="auto"/>
          <w:highlight w:val="none"/>
        </w:rPr>
        <w:fldChar w:fldCharType="begin"/>
      </w:r>
      <w:r>
        <w:rPr>
          <w:color w:val="auto"/>
          <w:highlight w:val="none"/>
        </w:rPr>
        <w:instrText xml:space="preserve"> PAGEREF _Toc43475934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47B209E7">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"_Toc43475935" </w:instrText>
      </w:r>
      <w:r>
        <w:rPr>
          <w:color w:val="auto"/>
          <w:highlight w:val="none"/>
        </w:rPr>
        <w:fldChar w:fldCharType="separate"/>
      </w:r>
      <w:r>
        <w:rPr>
          <w:rStyle w:val="50"/>
          <w:rFonts w:ascii="宋体" w:hAnsi="宋体" w:cs="宋体"/>
          <w:color w:val="auto"/>
          <w:highlight w:val="none"/>
        </w:rPr>
        <w:t>8</w:t>
      </w:r>
      <w:r>
        <w:rPr>
          <w:rStyle w:val="50"/>
          <w:rFonts w:hint="eastAsia" w:ascii="宋体" w:hAnsi="宋体" w:cs="宋体"/>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_Toc43475935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18490378">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"_Toc43475936" </w:instrText>
      </w:r>
      <w:r>
        <w:rPr>
          <w:color w:val="auto"/>
          <w:highlight w:val="none"/>
        </w:rPr>
        <w:fldChar w:fldCharType="separate"/>
      </w:r>
      <w:r>
        <w:rPr>
          <w:rStyle w:val="50"/>
          <w:rFonts w:ascii="宋体" w:hAnsi="宋体" w:cs="宋体"/>
          <w:color w:val="auto"/>
          <w:highlight w:val="none"/>
        </w:rPr>
        <w:t>8.4</w:t>
      </w:r>
      <w:r>
        <w:rPr>
          <w:rStyle w:val="50"/>
          <w:rFonts w:hint="eastAsia" w:ascii="宋体" w:hAnsi="宋体" w:cs="宋体"/>
          <w:color w:val="auto"/>
          <w:highlight w:val="none"/>
        </w:rPr>
        <w:t>监理人使用施工控制网</w:t>
      </w:r>
      <w:r>
        <w:rPr>
          <w:color w:val="auto"/>
          <w:highlight w:val="none"/>
        </w:rPr>
        <w:tab/>
      </w:r>
      <w:r>
        <w:rPr>
          <w:color w:val="auto"/>
          <w:highlight w:val="none"/>
        </w:rPr>
        <w:fldChar w:fldCharType="begin"/>
      </w:r>
      <w:r>
        <w:rPr>
          <w:color w:val="auto"/>
          <w:highlight w:val="none"/>
        </w:rPr>
        <w:instrText xml:space="preserve"> PAGEREF _Toc43475936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187C3F34">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"_Toc43475937" </w:instrText>
      </w:r>
      <w:r>
        <w:rPr>
          <w:color w:val="auto"/>
          <w:highlight w:val="none"/>
        </w:rPr>
        <w:fldChar w:fldCharType="separate"/>
      </w:r>
      <w:r>
        <w:rPr>
          <w:rStyle w:val="50"/>
          <w:rFonts w:ascii="宋体" w:hAnsi="宋体" w:cs="宋体"/>
          <w:color w:val="auto"/>
          <w:highlight w:val="none"/>
        </w:rPr>
        <w:t>9</w:t>
      </w:r>
      <w:r>
        <w:rPr>
          <w:rStyle w:val="50"/>
          <w:rFonts w:hint="eastAsia" w:ascii="宋体" w:hAnsi="宋体" w:cs="宋体"/>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_Toc43475937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0CB249B3">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"_Toc43475938" </w:instrText>
      </w:r>
      <w:r>
        <w:rPr>
          <w:color w:val="auto"/>
          <w:highlight w:val="none"/>
        </w:rPr>
        <w:fldChar w:fldCharType="separate"/>
      </w:r>
      <w:r>
        <w:rPr>
          <w:rStyle w:val="50"/>
          <w:rFonts w:ascii="宋体" w:hAnsi="宋体" w:cs="宋体"/>
          <w:color w:val="auto"/>
          <w:highlight w:val="none"/>
        </w:rPr>
        <w:t>9</w:t>
      </w:r>
      <w:r>
        <w:rPr>
          <w:rStyle w:val="50"/>
          <w:rFonts w:hint="eastAsia" w:ascii="宋体" w:hAnsi="宋体" w:cs="宋体"/>
          <w:color w:val="auto"/>
          <w:highlight w:val="none"/>
        </w:rPr>
        <w:t>.</w:t>
      </w:r>
      <w:r>
        <w:rPr>
          <w:rStyle w:val="50"/>
          <w:rFonts w:ascii="宋体" w:hAnsi="宋体" w:cs="宋体"/>
          <w:color w:val="auto"/>
          <w:highlight w:val="none"/>
        </w:rPr>
        <w:t>2</w:t>
      </w:r>
      <w:r>
        <w:rPr>
          <w:rStyle w:val="50"/>
          <w:rFonts w:hint="eastAsia" w:ascii="宋体" w:hAnsi="宋体" w:cs="宋体"/>
          <w:color w:val="auto"/>
          <w:highlight w:val="none"/>
        </w:rPr>
        <w:t>承包人的施工安全责任</w:t>
      </w:r>
      <w:r>
        <w:rPr>
          <w:color w:val="auto"/>
          <w:highlight w:val="none"/>
        </w:rPr>
        <w:tab/>
      </w:r>
      <w:r>
        <w:rPr>
          <w:color w:val="auto"/>
          <w:highlight w:val="none"/>
        </w:rPr>
        <w:fldChar w:fldCharType="begin"/>
      </w:r>
      <w:r>
        <w:rPr>
          <w:color w:val="auto"/>
          <w:highlight w:val="none"/>
        </w:rPr>
        <w:instrText xml:space="preserve"> PAGEREF _Toc43475938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5F00E0A7">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"_Toc43475939" </w:instrText>
      </w:r>
      <w:r>
        <w:rPr>
          <w:color w:val="auto"/>
          <w:highlight w:val="none"/>
        </w:rPr>
        <w:fldChar w:fldCharType="separate"/>
      </w:r>
      <w:r>
        <w:rPr>
          <w:rStyle w:val="50"/>
          <w:rFonts w:ascii="宋体" w:hAnsi="宋体" w:cs="宋体"/>
          <w:color w:val="auto"/>
          <w:highlight w:val="none"/>
        </w:rPr>
        <w:t>9</w:t>
      </w:r>
      <w:r>
        <w:rPr>
          <w:rStyle w:val="50"/>
          <w:rFonts w:hint="eastAsia" w:ascii="宋体" w:hAnsi="宋体" w:cs="宋体"/>
          <w:color w:val="auto"/>
          <w:highlight w:val="none"/>
        </w:rPr>
        <w:t>.</w:t>
      </w:r>
      <w:r>
        <w:rPr>
          <w:rStyle w:val="50"/>
          <w:rFonts w:ascii="宋体" w:hAnsi="宋体" w:cs="宋体"/>
          <w:color w:val="auto"/>
          <w:highlight w:val="none"/>
        </w:rPr>
        <w:t>4</w:t>
      </w:r>
      <w:r>
        <w:rPr>
          <w:rStyle w:val="50"/>
          <w:rFonts w:hint="eastAsia" w:ascii="宋体" w:hAnsi="宋体" w:cs="宋体"/>
          <w:color w:val="auto"/>
          <w:highlight w:val="none"/>
        </w:rPr>
        <w:t>环境保护</w:t>
      </w:r>
      <w:r>
        <w:rPr>
          <w:color w:val="auto"/>
          <w:highlight w:val="none"/>
        </w:rPr>
        <w:tab/>
      </w:r>
      <w:r>
        <w:rPr>
          <w:color w:val="auto"/>
          <w:highlight w:val="none"/>
        </w:rPr>
        <w:fldChar w:fldCharType="begin"/>
      </w:r>
      <w:r>
        <w:rPr>
          <w:color w:val="auto"/>
          <w:highlight w:val="none"/>
        </w:rPr>
        <w:instrText xml:space="preserve"> PAGEREF _Toc43475939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4A8EC3AD">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"_Toc43475940" </w:instrText>
      </w:r>
      <w:r>
        <w:rPr>
          <w:color w:val="auto"/>
          <w:highlight w:val="none"/>
        </w:rPr>
        <w:fldChar w:fldCharType="separate"/>
      </w:r>
      <w:r>
        <w:rPr>
          <w:rStyle w:val="50"/>
          <w:rFonts w:ascii="宋体" w:hAnsi="宋体" w:cs="宋体"/>
          <w:color w:val="auto"/>
          <w:highlight w:val="none"/>
        </w:rPr>
        <w:t>10</w:t>
      </w:r>
      <w:r>
        <w:rPr>
          <w:rStyle w:val="50"/>
          <w:rFonts w:hint="eastAsia" w:ascii="宋体" w:hAnsi="宋体" w:cs="宋体"/>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_Toc43475940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1395D44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"_Toc43475941" </w:instrText>
      </w:r>
      <w:r>
        <w:rPr>
          <w:color w:val="auto"/>
          <w:highlight w:val="none"/>
        </w:rPr>
        <w:fldChar w:fldCharType="separate"/>
      </w:r>
      <w:r>
        <w:rPr>
          <w:rStyle w:val="50"/>
          <w:rFonts w:ascii="宋体" w:hAnsi="宋体" w:cs="宋体"/>
          <w:color w:val="auto"/>
          <w:highlight w:val="none"/>
        </w:rPr>
        <w:t>10.1</w:t>
      </w:r>
      <w:r>
        <w:rPr>
          <w:rStyle w:val="50"/>
          <w:rFonts w:hint="eastAsia" w:ascii="宋体" w:hAnsi="宋体" w:cs="宋体"/>
          <w:color w:val="auto"/>
          <w:highlight w:val="none"/>
        </w:rPr>
        <w:t>合同进度计划</w:t>
      </w:r>
      <w:r>
        <w:rPr>
          <w:color w:val="auto"/>
          <w:highlight w:val="none"/>
        </w:rPr>
        <w:tab/>
      </w:r>
      <w:r>
        <w:rPr>
          <w:color w:val="auto"/>
          <w:highlight w:val="none"/>
        </w:rPr>
        <w:fldChar w:fldCharType="begin"/>
      </w:r>
      <w:r>
        <w:rPr>
          <w:color w:val="auto"/>
          <w:highlight w:val="none"/>
        </w:rPr>
        <w:instrText xml:space="preserve"> PAGEREF _Toc43475941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675464D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"_Toc43475942" </w:instrText>
      </w:r>
      <w:r>
        <w:rPr>
          <w:color w:val="auto"/>
          <w:highlight w:val="none"/>
        </w:rPr>
        <w:fldChar w:fldCharType="separate"/>
      </w:r>
      <w:r>
        <w:rPr>
          <w:rStyle w:val="50"/>
          <w:rFonts w:ascii="宋体" w:hAnsi="宋体" w:cs="宋体"/>
          <w:color w:val="auto"/>
          <w:highlight w:val="none"/>
        </w:rPr>
        <w:t>10.2</w:t>
      </w:r>
      <w:r>
        <w:rPr>
          <w:rStyle w:val="50"/>
          <w:rFonts w:hint="eastAsia" w:ascii="宋体" w:hAnsi="宋体" w:cs="宋体"/>
          <w:color w:val="auto"/>
          <w:highlight w:val="none"/>
        </w:rPr>
        <w:t>合同进度计划的修订</w:t>
      </w:r>
      <w:r>
        <w:rPr>
          <w:color w:val="auto"/>
          <w:highlight w:val="none"/>
        </w:rPr>
        <w:tab/>
      </w:r>
      <w:r>
        <w:rPr>
          <w:color w:val="auto"/>
          <w:highlight w:val="none"/>
        </w:rPr>
        <w:fldChar w:fldCharType="begin"/>
      </w:r>
      <w:r>
        <w:rPr>
          <w:color w:val="auto"/>
          <w:highlight w:val="none"/>
        </w:rPr>
        <w:instrText xml:space="preserve"> PAGEREF _Toc43475942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08C5C402">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"_Toc43475943" </w:instrText>
      </w:r>
      <w:r>
        <w:rPr>
          <w:color w:val="auto"/>
          <w:highlight w:val="none"/>
        </w:rPr>
        <w:fldChar w:fldCharType="separate"/>
      </w:r>
      <w:r>
        <w:rPr>
          <w:rStyle w:val="50"/>
          <w:rFonts w:ascii="宋体" w:hAnsi="宋体" w:cs="宋体"/>
          <w:color w:val="auto"/>
          <w:highlight w:val="none"/>
        </w:rPr>
        <w:t>10.3</w:t>
      </w:r>
      <w:r>
        <w:rPr>
          <w:rStyle w:val="50"/>
          <w:rFonts w:hint="eastAsia" w:ascii="宋体" w:hAnsi="宋体" w:cs="宋体"/>
          <w:color w:val="auto"/>
          <w:highlight w:val="none"/>
        </w:rPr>
        <w:t>年度施工计划</w:t>
      </w:r>
      <w:r>
        <w:rPr>
          <w:color w:val="auto"/>
          <w:highlight w:val="none"/>
        </w:rPr>
        <w:tab/>
      </w:r>
      <w:r>
        <w:rPr>
          <w:color w:val="auto"/>
          <w:highlight w:val="none"/>
        </w:rPr>
        <w:fldChar w:fldCharType="begin"/>
      </w:r>
      <w:r>
        <w:rPr>
          <w:color w:val="auto"/>
          <w:highlight w:val="none"/>
        </w:rPr>
        <w:instrText xml:space="preserve"> PAGEREF _Toc43475943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2C57431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"_Toc43475944" </w:instrText>
      </w:r>
      <w:r>
        <w:rPr>
          <w:color w:val="auto"/>
          <w:highlight w:val="none"/>
        </w:rPr>
        <w:fldChar w:fldCharType="separate"/>
      </w:r>
      <w:r>
        <w:rPr>
          <w:rStyle w:val="50"/>
          <w:rFonts w:ascii="宋体" w:hAnsi="宋体" w:cs="宋体"/>
          <w:color w:val="auto"/>
          <w:highlight w:val="none"/>
        </w:rPr>
        <w:t>10.4</w:t>
      </w:r>
      <w:r>
        <w:rPr>
          <w:rStyle w:val="50"/>
          <w:rFonts w:hint="eastAsia" w:ascii="宋体" w:hAnsi="宋体" w:cs="宋体"/>
          <w:color w:val="auto"/>
          <w:highlight w:val="none"/>
        </w:rPr>
        <w:t>合同用款计划</w:t>
      </w:r>
      <w:r>
        <w:rPr>
          <w:color w:val="auto"/>
          <w:highlight w:val="none"/>
        </w:rPr>
        <w:tab/>
      </w:r>
      <w:r>
        <w:rPr>
          <w:color w:val="auto"/>
          <w:highlight w:val="none"/>
        </w:rPr>
        <w:fldChar w:fldCharType="begin"/>
      </w:r>
      <w:r>
        <w:rPr>
          <w:color w:val="auto"/>
          <w:highlight w:val="none"/>
        </w:rPr>
        <w:instrText xml:space="preserve"> PAGEREF _Toc43475944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5250DE6D">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"_Toc43475945" </w:instrText>
      </w:r>
      <w:r>
        <w:rPr>
          <w:color w:val="auto"/>
          <w:highlight w:val="none"/>
        </w:rPr>
        <w:fldChar w:fldCharType="separate"/>
      </w:r>
      <w:r>
        <w:rPr>
          <w:rStyle w:val="50"/>
          <w:rFonts w:ascii="宋体" w:hAnsi="宋体" w:cs="宋体"/>
          <w:color w:val="auto"/>
          <w:highlight w:val="none"/>
        </w:rPr>
        <w:t>11</w:t>
      </w:r>
      <w:r>
        <w:rPr>
          <w:rStyle w:val="50"/>
          <w:rFonts w:hint="eastAsia" w:ascii="宋体" w:hAnsi="宋体" w:cs="宋体"/>
          <w:color w:val="auto"/>
          <w:highlight w:val="none"/>
        </w:rPr>
        <w:t>.开工和交工</w:t>
      </w:r>
      <w:r>
        <w:rPr>
          <w:color w:val="auto"/>
          <w:highlight w:val="none"/>
        </w:rPr>
        <w:tab/>
      </w:r>
      <w:r>
        <w:rPr>
          <w:color w:val="auto"/>
          <w:highlight w:val="none"/>
        </w:rPr>
        <w:fldChar w:fldCharType="begin"/>
      </w:r>
      <w:r>
        <w:rPr>
          <w:color w:val="auto"/>
          <w:highlight w:val="none"/>
        </w:rPr>
        <w:instrText xml:space="preserve"> PAGEREF _Toc43475945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49AAF08F">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"_Toc43475946" </w:instrText>
      </w:r>
      <w:r>
        <w:rPr>
          <w:color w:val="auto"/>
          <w:highlight w:val="none"/>
        </w:rPr>
        <w:fldChar w:fldCharType="separate"/>
      </w:r>
      <w:r>
        <w:rPr>
          <w:rStyle w:val="50"/>
          <w:rFonts w:ascii="宋体" w:hAnsi="宋体" w:cs="宋体"/>
          <w:color w:val="auto"/>
          <w:highlight w:val="none"/>
        </w:rPr>
        <w:t>11.1</w:t>
      </w:r>
      <w:r>
        <w:rPr>
          <w:rStyle w:val="50"/>
          <w:rFonts w:hint="eastAsia" w:ascii="宋体" w:hAnsi="宋体" w:cs="宋体"/>
          <w:color w:val="auto"/>
          <w:highlight w:val="none"/>
        </w:rPr>
        <w:t>开工</w:t>
      </w:r>
      <w:r>
        <w:rPr>
          <w:color w:val="auto"/>
          <w:highlight w:val="none"/>
        </w:rPr>
        <w:tab/>
      </w:r>
      <w:r>
        <w:rPr>
          <w:color w:val="auto"/>
          <w:highlight w:val="none"/>
        </w:rPr>
        <w:fldChar w:fldCharType="begin"/>
      </w:r>
      <w:r>
        <w:rPr>
          <w:color w:val="auto"/>
          <w:highlight w:val="none"/>
        </w:rPr>
        <w:instrText xml:space="preserve"> PAGEREF _Toc43475946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7AF169E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"_Toc43475947" </w:instrText>
      </w:r>
      <w:r>
        <w:rPr>
          <w:color w:val="auto"/>
          <w:highlight w:val="none"/>
        </w:rPr>
        <w:fldChar w:fldCharType="separate"/>
      </w:r>
      <w:r>
        <w:rPr>
          <w:rStyle w:val="50"/>
          <w:rFonts w:ascii="宋体" w:hAnsi="宋体" w:cs="宋体"/>
          <w:color w:val="auto"/>
          <w:highlight w:val="none"/>
        </w:rPr>
        <w:t>11.3</w:t>
      </w:r>
      <w:r>
        <w:rPr>
          <w:rStyle w:val="50"/>
          <w:rFonts w:hint="eastAsia" w:ascii="宋体" w:hAnsi="宋体" w:cs="宋体"/>
          <w:color w:val="auto"/>
          <w:highlight w:val="none"/>
        </w:rPr>
        <w:t>发包人的工期延误</w:t>
      </w:r>
      <w:r>
        <w:rPr>
          <w:color w:val="auto"/>
          <w:highlight w:val="none"/>
        </w:rPr>
        <w:tab/>
      </w:r>
      <w:r>
        <w:rPr>
          <w:color w:val="auto"/>
          <w:highlight w:val="none"/>
        </w:rPr>
        <w:fldChar w:fldCharType="begin"/>
      </w:r>
      <w:r>
        <w:rPr>
          <w:color w:val="auto"/>
          <w:highlight w:val="none"/>
        </w:rPr>
        <w:instrText xml:space="preserve"> PAGEREF _Toc43475947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390B3980">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"_Toc43475948" </w:instrText>
      </w:r>
      <w:r>
        <w:rPr>
          <w:color w:val="auto"/>
          <w:highlight w:val="none"/>
        </w:rPr>
        <w:fldChar w:fldCharType="separate"/>
      </w:r>
      <w:r>
        <w:rPr>
          <w:rStyle w:val="50"/>
          <w:rFonts w:ascii="宋体" w:hAnsi="宋体" w:cs="宋体"/>
          <w:color w:val="auto"/>
          <w:highlight w:val="none"/>
        </w:rPr>
        <w:t>11.4</w:t>
      </w:r>
      <w:r>
        <w:rPr>
          <w:rStyle w:val="50"/>
          <w:rFonts w:hint="eastAsia" w:ascii="宋体" w:hAnsi="宋体" w:cs="宋体"/>
          <w:color w:val="auto"/>
          <w:highlight w:val="none"/>
        </w:rPr>
        <w:t>异常恶劣的气候条件</w:t>
      </w:r>
      <w:r>
        <w:rPr>
          <w:color w:val="auto"/>
          <w:highlight w:val="none"/>
        </w:rPr>
        <w:tab/>
      </w:r>
      <w:r>
        <w:rPr>
          <w:color w:val="auto"/>
          <w:highlight w:val="none"/>
        </w:rPr>
        <w:fldChar w:fldCharType="begin"/>
      </w:r>
      <w:r>
        <w:rPr>
          <w:color w:val="auto"/>
          <w:highlight w:val="none"/>
        </w:rPr>
        <w:instrText xml:space="preserve"> PAGEREF _Toc43475948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27ECB071">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"_Toc43475949" </w:instrText>
      </w:r>
      <w:r>
        <w:rPr>
          <w:color w:val="auto"/>
          <w:highlight w:val="none"/>
        </w:rPr>
        <w:fldChar w:fldCharType="separate"/>
      </w:r>
      <w:r>
        <w:rPr>
          <w:rStyle w:val="50"/>
          <w:rFonts w:ascii="宋体" w:hAnsi="宋体" w:cs="宋体"/>
          <w:color w:val="auto"/>
          <w:highlight w:val="none"/>
        </w:rPr>
        <w:t>11.5</w:t>
      </w:r>
      <w:r>
        <w:rPr>
          <w:rStyle w:val="50"/>
          <w:rFonts w:hint="eastAsia" w:ascii="宋体" w:hAnsi="宋体" w:cs="宋体"/>
          <w:color w:val="auto"/>
          <w:highlight w:val="none"/>
        </w:rPr>
        <w:t>承包人的工期延误</w:t>
      </w:r>
      <w:r>
        <w:rPr>
          <w:color w:val="auto"/>
          <w:highlight w:val="none"/>
        </w:rPr>
        <w:tab/>
      </w:r>
      <w:r>
        <w:rPr>
          <w:color w:val="auto"/>
          <w:highlight w:val="none"/>
        </w:rPr>
        <w:fldChar w:fldCharType="begin"/>
      </w:r>
      <w:r>
        <w:rPr>
          <w:color w:val="auto"/>
          <w:highlight w:val="none"/>
        </w:rPr>
        <w:instrText xml:space="preserve"> PAGEREF _Toc43475949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42F832D1">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"_Toc43475950" </w:instrText>
      </w:r>
      <w:r>
        <w:rPr>
          <w:color w:val="auto"/>
          <w:highlight w:val="none"/>
        </w:rPr>
        <w:fldChar w:fldCharType="separate"/>
      </w:r>
      <w:r>
        <w:rPr>
          <w:rStyle w:val="50"/>
          <w:rFonts w:ascii="宋体" w:hAnsi="宋体" w:cs="宋体"/>
          <w:color w:val="auto"/>
          <w:highlight w:val="none"/>
        </w:rPr>
        <w:t>11</w:t>
      </w:r>
      <w:r>
        <w:rPr>
          <w:rStyle w:val="50"/>
          <w:rFonts w:hint="eastAsia" w:ascii="宋体" w:hAnsi="宋体" w:cs="宋体"/>
          <w:color w:val="auto"/>
          <w:highlight w:val="none"/>
        </w:rPr>
        <w:t>.</w:t>
      </w:r>
      <w:r>
        <w:rPr>
          <w:rStyle w:val="50"/>
          <w:rFonts w:ascii="宋体" w:hAnsi="宋体" w:cs="宋体"/>
          <w:color w:val="auto"/>
          <w:highlight w:val="none"/>
        </w:rPr>
        <w:t>6</w:t>
      </w:r>
      <w:r>
        <w:rPr>
          <w:rStyle w:val="50"/>
          <w:rFonts w:hint="eastAsia" w:ascii="宋体" w:hAnsi="宋体" w:cs="宋体"/>
          <w:color w:val="auto"/>
          <w:highlight w:val="none"/>
        </w:rPr>
        <w:t>工期提前</w:t>
      </w:r>
      <w:r>
        <w:rPr>
          <w:color w:val="auto"/>
          <w:highlight w:val="none"/>
        </w:rPr>
        <w:tab/>
      </w:r>
      <w:r>
        <w:rPr>
          <w:color w:val="auto"/>
          <w:highlight w:val="none"/>
        </w:rPr>
        <w:fldChar w:fldCharType="begin"/>
      </w:r>
      <w:r>
        <w:rPr>
          <w:color w:val="auto"/>
          <w:highlight w:val="none"/>
        </w:rPr>
        <w:instrText xml:space="preserve"> PAGEREF _Toc43475950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019AD590">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"_Toc43475951" </w:instrText>
      </w:r>
      <w:r>
        <w:rPr>
          <w:color w:val="auto"/>
          <w:highlight w:val="none"/>
        </w:rPr>
        <w:fldChar w:fldCharType="separate"/>
      </w:r>
      <w:r>
        <w:rPr>
          <w:rStyle w:val="50"/>
          <w:rFonts w:ascii="宋体" w:hAnsi="宋体" w:cs="宋体"/>
          <w:color w:val="auto"/>
          <w:highlight w:val="none"/>
        </w:rPr>
        <w:t>11</w:t>
      </w:r>
      <w:r>
        <w:rPr>
          <w:rStyle w:val="50"/>
          <w:rFonts w:hint="eastAsia" w:ascii="宋体" w:hAnsi="宋体" w:cs="宋体"/>
          <w:color w:val="auto"/>
          <w:highlight w:val="none"/>
        </w:rPr>
        <w:t>.</w:t>
      </w:r>
      <w:r>
        <w:rPr>
          <w:rStyle w:val="50"/>
          <w:rFonts w:ascii="宋体" w:hAnsi="宋体" w:cs="宋体"/>
          <w:color w:val="auto"/>
          <w:highlight w:val="none"/>
        </w:rPr>
        <w:t>7</w:t>
      </w:r>
      <w:r>
        <w:rPr>
          <w:rStyle w:val="50"/>
          <w:rFonts w:hint="eastAsia" w:ascii="宋体" w:hAnsi="宋体" w:cs="宋体"/>
          <w:color w:val="auto"/>
          <w:highlight w:val="none"/>
        </w:rPr>
        <w:t>工作时间的限制</w:t>
      </w:r>
      <w:r>
        <w:rPr>
          <w:color w:val="auto"/>
          <w:highlight w:val="none"/>
        </w:rPr>
        <w:tab/>
      </w:r>
      <w:r>
        <w:rPr>
          <w:color w:val="auto"/>
          <w:highlight w:val="none"/>
        </w:rPr>
        <w:fldChar w:fldCharType="begin"/>
      </w:r>
      <w:r>
        <w:rPr>
          <w:color w:val="auto"/>
          <w:highlight w:val="none"/>
        </w:rPr>
        <w:instrText xml:space="preserve"> PAGEREF _Toc43475951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199B253F">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"_Toc43475952" </w:instrText>
      </w:r>
      <w:r>
        <w:rPr>
          <w:color w:val="auto"/>
          <w:highlight w:val="none"/>
        </w:rPr>
        <w:fldChar w:fldCharType="separate"/>
      </w:r>
      <w:r>
        <w:rPr>
          <w:rStyle w:val="50"/>
          <w:rFonts w:ascii="宋体" w:hAnsi="宋体" w:cs="宋体"/>
          <w:color w:val="auto"/>
          <w:highlight w:val="none"/>
        </w:rPr>
        <w:t>12</w:t>
      </w:r>
      <w:r>
        <w:rPr>
          <w:rStyle w:val="50"/>
          <w:rFonts w:hint="eastAsia" w:ascii="宋体" w:hAnsi="宋体" w:cs="宋体"/>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_Toc43475952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389F084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"_Toc43475953" </w:instrText>
      </w:r>
      <w:r>
        <w:rPr>
          <w:color w:val="auto"/>
          <w:highlight w:val="none"/>
        </w:rPr>
        <w:fldChar w:fldCharType="separate"/>
      </w:r>
      <w:r>
        <w:rPr>
          <w:rStyle w:val="50"/>
          <w:rFonts w:ascii="宋体" w:hAnsi="宋体" w:cs="宋体"/>
          <w:color w:val="auto"/>
          <w:highlight w:val="none"/>
        </w:rPr>
        <w:t>12</w:t>
      </w:r>
      <w:r>
        <w:rPr>
          <w:rStyle w:val="50"/>
          <w:rFonts w:hint="eastAsia" w:ascii="宋体" w:hAnsi="宋体" w:cs="宋体"/>
          <w:color w:val="auto"/>
          <w:highlight w:val="none"/>
        </w:rPr>
        <w:t>.</w:t>
      </w:r>
      <w:r>
        <w:rPr>
          <w:rStyle w:val="50"/>
          <w:rFonts w:ascii="宋体" w:hAnsi="宋体" w:cs="宋体"/>
          <w:color w:val="auto"/>
          <w:highlight w:val="none"/>
        </w:rPr>
        <w:t>1</w:t>
      </w:r>
      <w:r>
        <w:rPr>
          <w:rStyle w:val="50"/>
          <w:rFonts w:hint="eastAsia" w:ascii="宋体" w:hAnsi="宋体" w:cs="宋体"/>
          <w:color w:val="auto"/>
          <w:highlight w:val="none"/>
        </w:rPr>
        <w:t>承包人暂停施工的责任</w:t>
      </w:r>
      <w:r>
        <w:rPr>
          <w:color w:val="auto"/>
          <w:highlight w:val="none"/>
        </w:rPr>
        <w:tab/>
      </w:r>
      <w:r>
        <w:rPr>
          <w:color w:val="auto"/>
          <w:highlight w:val="none"/>
        </w:rPr>
        <w:fldChar w:fldCharType="begin"/>
      </w:r>
      <w:r>
        <w:rPr>
          <w:color w:val="auto"/>
          <w:highlight w:val="none"/>
        </w:rPr>
        <w:instrText xml:space="preserve"> PAGEREF _Toc43475953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798535B6">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"_Toc43475954"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_Toc43475954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4768B1F7">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"_Toc43475955"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1</w:t>
      </w:r>
      <w:r>
        <w:rPr>
          <w:rStyle w:val="50"/>
          <w:rFonts w:hint="eastAsia" w:ascii="宋体" w:hAnsi="宋体" w:cs="宋体"/>
          <w:color w:val="auto"/>
          <w:highlight w:val="none"/>
        </w:rPr>
        <w:t>工程质量要求</w:t>
      </w:r>
      <w:r>
        <w:rPr>
          <w:color w:val="auto"/>
          <w:highlight w:val="none"/>
        </w:rPr>
        <w:tab/>
      </w:r>
      <w:r>
        <w:rPr>
          <w:color w:val="auto"/>
          <w:highlight w:val="none"/>
        </w:rPr>
        <w:fldChar w:fldCharType="begin"/>
      </w:r>
      <w:r>
        <w:rPr>
          <w:color w:val="auto"/>
          <w:highlight w:val="none"/>
        </w:rPr>
        <w:instrText xml:space="preserve"> PAGEREF _Toc43475955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04B7556D">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"_Toc43475956"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2</w:t>
      </w:r>
      <w:r>
        <w:rPr>
          <w:rStyle w:val="50"/>
          <w:rFonts w:hint="eastAsia" w:ascii="宋体" w:hAnsi="宋体" w:cs="宋体"/>
          <w:color w:val="auto"/>
          <w:highlight w:val="none"/>
        </w:rPr>
        <w:t>承包人的质量管理</w:t>
      </w:r>
      <w:r>
        <w:rPr>
          <w:color w:val="auto"/>
          <w:highlight w:val="none"/>
        </w:rPr>
        <w:tab/>
      </w:r>
      <w:r>
        <w:rPr>
          <w:color w:val="auto"/>
          <w:highlight w:val="none"/>
        </w:rPr>
        <w:fldChar w:fldCharType="begin"/>
      </w:r>
      <w:r>
        <w:rPr>
          <w:color w:val="auto"/>
          <w:highlight w:val="none"/>
        </w:rPr>
        <w:instrText xml:space="preserve"> PAGEREF _Toc43475956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6E501E97">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"_Toc43475957"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4</w:t>
      </w:r>
      <w:r>
        <w:rPr>
          <w:rStyle w:val="50"/>
          <w:rFonts w:hint="eastAsia" w:ascii="宋体" w:hAnsi="宋体" w:cs="宋体"/>
          <w:color w:val="auto"/>
          <w:highlight w:val="none"/>
        </w:rPr>
        <w:t>监理人的质量检查</w:t>
      </w:r>
      <w:r>
        <w:rPr>
          <w:color w:val="auto"/>
          <w:highlight w:val="none"/>
        </w:rPr>
        <w:tab/>
      </w:r>
      <w:r>
        <w:rPr>
          <w:color w:val="auto"/>
          <w:highlight w:val="none"/>
        </w:rPr>
        <w:fldChar w:fldCharType="begin"/>
      </w:r>
      <w:r>
        <w:rPr>
          <w:color w:val="auto"/>
          <w:highlight w:val="none"/>
        </w:rPr>
        <w:instrText xml:space="preserve"> PAGEREF _Toc43475957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70F7C37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"_Toc43475958"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5</w:t>
      </w:r>
      <w:r>
        <w:rPr>
          <w:rStyle w:val="50"/>
          <w:rFonts w:hint="eastAsia" w:ascii="宋体" w:hAnsi="宋体" w:cs="宋体"/>
          <w:color w:val="auto"/>
          <w:highlight w:val="none"/>
        </w:rPr>
        <w:t>工程隐蔽部位覆盖前的检查</w:t>
      </w:r>
      <w:r>
        <w:rPr>
          <w:color w:val="auto"/>
          <w:highlight w:val="none"/>
        </w:rPr>
        <w:tab/>
      </w:r>
      <w:r>
        <w:rPr>
          <w:color w:val="auto"/>
          <w:highlight w:val="none"/>
        </w:rPr>
        <w:fldChar w:fldCharType="begin"/>
      </w:r>
      <w:r>
        <w:rPr>
          <w:color w:val="auto"/>
          <w:highlight w:val="none"/>
        </w:rPr>
        <w:instrText xml:space="preserve"> PAGEREF _Toc43475958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3F433C14">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"_Toc43475959"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6</w:t>
      </w:r>
      <w:r>
        <w:rPr>
          <w:rStyle w:val="50"/>
          <w:rFonts w:hint="eastAsia" w:ascii="宋体" w:hAnsi="宋体" w:cs="宋体"/>
          <w:color w:val="auto"/>
          <w:highlight w:val="none"/>
        </w:rPr>
        <w:t>清除不合格工程</w:t>
      </w:r>
      <w:r>
        <w:rPr>
          <w:color w:val="auto"/>
          <w:highlight w:val="none"/>
        </w:rPr>
        <w:tab/>
      </w:r>
      <w:r>
        <w:rPr>
          <w:color w:val="auto"/>
          <w:highlight w:val="none"/>
        </w:rPr>
        <w:fldChar w:fldCharType="begin"/>
      </w:r>
      <w:r>
        <w:rPr>
          <w:color w:val="auto"/>
          <w:highlight w:val="none"/>
        </w:rPr>
        <w:instrText xml:space="preserve"> PAGEREF _Toc43475959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569BCE33">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"_Toc43475960" </w:instrText>
      </w:r>
      <w:r>
        <w:rPr>
          <w:color w:val="auto"/>
          <w:highlight w:val="none"/>
        </w:rPr>
        <w:fldChar w:fldCharType="separate"/>
      </w:r>
      <w:r>
        <w:rPr>
          <w:rStyle w:val="50"/>
          <w:rFonts w:ascii="宋体" w:hAnsi="宋体" w:cs="宋体"/>
          <w:color w:val="auto"/>
          <w:highlight w:val="none"/>
        </w:rPr>
        <w:t>14</w:t>
      </w:r>
      <w:r>
        <w:rPr>
          <w:rStyle w:val="50"/>
          <w:rFonts w:hint="eastAsia" w:ascii="宋体" w:hAnsi="宋体" w:cs="宋体"/>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_Toc43475960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17E9066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"_Toc43475961" </w:instrText>
      </w:r>
      <w:r>
        <w:rPr>
          <w:color w:val="auto"/>
          <w:highlight w:val="none"/>
        </w:rPr>
        <w:fldChar w:fldCharType="separate"/>
      </w:r>
      <w:r>
        <w:rPr>
          <w:rStyle w:val="50"/>
          <w:rFonts w:ascii="宋体" w:hAnsi="宋体" w:cs="宋体"/>
          <w:color w:val="auto"/>
          <w:highlight w:val="none"/>
        </w:rPr>
        <w:t>14</w:t>
      </w:r>
      <w:r>
        <w:rPr>
          <w:rStyle w:val="50"/>
          <w:rFonts w:hint="eastAsia" w:ascii="宋体" w:hAnsi="宋体" w:cs="宋体"/>
          <w:color w:val="auto"/>
          <w:highlight w:val="none"/>
        </w:rPr>
        <w:t>.</w:t>
      </w:r>
      <w:r>
        <w:rPr>
          <w:rStyle w:val="50"/>
          <w:rFonts w:ascii="宋体" w:hAnsi="宋体" w:cs="宋体"/>
          <w:color w:val="auto"/>
          <w:highlight w:val="none"/>
        </w:rPr>
        <w:t>4</w:t>
      </w:r>
      <w:r>
        <w:rPr>
          <w:rStyle w:val="50"/>
          <w:rFonts w:hint="eastAsia" w:ascii="宋体" w:hAnsi="宋体" w:cs="宋体"/>
          <w:color w:val="auto"/>
          <w:highlight w:val="none"/>
        </w:rPr>
        <w:t>试验和检验费用</w:t>
      </w:r>
      <w:r>
        <w:rPr>
          <w:color w:val="auto"/>
          <w:highlight w:val="none"/>
        </w:rPr>
        <w:tab/>
      </w:r>
      <w:r>
        <w:rPr>
          <w:color w:val="auto"/>
          <w:highlight w:val="none"/>
        </w:rPr>
        <w:fldChar w:fldCharType="begin"/>
      </w:r>
      <w:r>
        <w:rPr>
          <w:color w:val="auto"/>
          <w:highlight w:val="none"/>
        </w:rPr>
        <w:instrText xml:space="preserve"> PAGEREF _Toc43475961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1C8B59E6">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"_Toc43475962"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_Toc43475962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1A3386B4">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"_Toc43475963"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w:t>
      </w:r>
      <w:r>
        <w:rPr>
          <w:rStyle w:val="50"/>
          <w:rFonts w:ascii="宋体" w:hAnsi="宋体" w:cs="宋体"/>
          <w:color w:val="auto"/>
          <w:highlight w:val="none"/>
        </w:rPr>
        <w:t>1</w:t>
      </w:r>
      <w:r>
        <w:rPr>
          <w:rStyle w:val="50"/>
          <w:rFonts w:hint="eastAsia" w:ascii="宋体" w:hAnsi="宋体" w:cs="宋体"/>
          <w:color w:val="auto"/>
          <w:highlight w:val="none"/>
        </w:rPr>
        <w:t>变更的范围和内容</w:t>
      </w:r>
      <w:r>
        <w:rPr>
          <w:color w:val="auto"/>
          <w:highlight w:val="none"/>
        </w:rPr>
        <w:tab/>
      </w:r>
      <w:r>
        <w:rPr>
          <w:color w:val="auto"/>
          <w:highlight w:val="none"/>
        </w:rPr>
        <w:fldChar w:fldCharType="begin"/>
      </w:r>
      <w:r>
        <w:rPr>
          <w:color w:val="auto"/>
          <w:highlight w:val="none"/>
        </w:rPr>
        <w:instrText xml:space="preserve"> PAGEREF _Toc43475963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6D7ACD17">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"_Toc43475964"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w:t>
      </w:r>
      <w:r>
        <w:rPr>
          <w:rStyle w:val="50"/>
          <w:rFonts w:ascii="宋体" w:hAnsi="宋体" w:cs="宋体"/>
          <w:color w:val="auto"/>
          <w:highlight w:val="none"/>
        </w:rPr>
        <w:t>3</w:t>
      </w:r>
      <w:r>
        <w:rPr>
          <w:rStyle w:val="50"/>
          <w:rFonts w:hint="eastAsia" w:ascii="宋体" w:hAnsi="宋体" w:cs="宋体"/>
          <w:color w:val="auto"/>
          <w:highlight w:val="none"/>
        </w:rPr>
        <w:t>变更程序</w:t>
      </w:r>
      <w:r>
        <w:rPr>
          <w:color w:val="auto"/>
          <w:highlight w:val="none"/>
        </w:rPr>
        <w:tab/>
      </w:r>
      <w:r>
        <w:rPr>
          <w:color w:val="auto"/>
          <w:highlight w:val="none"/>
        </w:rPr>
        <w:fldChar w:fldCharType="begin"/>
      </w:r>
      <w:r>
        <w:rPr>
          <w:color w:val="auto"/>
          <w:highlight w:val="none"/>
        </w:rPr>
        <w:instrText xml:space="preserve"> PAGEREF _Toc43475964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024F5D20">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"_Toc43475965"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w:t>
      </w:r>
      <w:r>
        <w:rPr>
          <w:rStyle w:val="50"/>
          <w:rFonts w:ascii="宋体" w:hAnsi="宋体" w:cs="宋体"/>
          <w:color w:val="auto"/>
          <w:highlight w:val="none"/>
        </w:rPr>
        <w:t>4</w:t>
      </w:r>
      <w:r>
        <w:rPr>
          <w:rStyle w:val="50"/>
          <w:rFonts w:hint="eastAsia" w:ascii="宋体" w:hAnsi="宋体" w:cs="宋体"/>
          <w:color w:val="auto"/>
          <w:highlight w:val="none"/>
        </w:rPr>
        <w:t>变更的估价原则</w:t>
      </w:r>
      <w:r>
        <w:rPr>
          <w:color w:val="auto"/>
          <w:highlight w:val="none"/>
        </w:rPr>
        <w:tab/>
      </w:r>
      <w:r>
        <w:rPr>
          <w:color w:val="auto"/>
          <w:highlight w:val="none"/>
        </w:rPr>
        <w:fldChar w:fldCharType="begin"/>
      </w:r>
      <w:r>
        <w:rPr>
          <w:color w:val="auto"/>
          <w:highlight w:val="none"/>
        </w:rPr>
        <w:instrText xml:space="preserve"> PAGEREF _Toc43475965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508D7FBF">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"_Toc43475966" </w:instrText>
      </w:r>
      <w:r>
        <w:rPr>
          <w:color w:val="auto"/>
          <w:highlight w:val="none"/>
        </w:rPr>
        <w:fldChar w:fldCharType="separate"/>
      </w:r>
      <w:r>
        <w:rPr>
          <w:rStyle w:val="50"/>
          <w:rFonts w:ascii="宋体" w:hAnsi="宋体" w:cs="宋体"/>
          <w:color w:val="auto"/>
          <w:highlight w:val="none"/>
        </w:rPr>
        <w:t>15.5</w:t>
      </w:r>
      <w:r>
        <w:rPr>
          <w:rStyle w:val="50"/>
          <w:rFonts w:hint="eastAsia" w:ascii="宋体" w:hAnsi="宋体" w:cs="宋体"/>
          <w:color w:val="auto"/>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_Toc43475966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2F7B17DF">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"_Toc43475967" </w:instrText>
      </w:r>
      <w:r>
        <w:rPr>
          <w:color w:val="auto"/>
          <w:highlight w:val="none"/>
        </w:rPr>
        <w:fldChar w:fldCharType="separate"/>
      </w:r>
      <w:r>
        <w:rPr>
          <w:rStyle w:val="50"/>
          <w:rFonts w:ascii="宋体" w:hAnsi="宋体" w:cs="宋体"/>
          <w:color w:val="auto"/>
          <w:highlight w:val="none"/>
        </w:rPr>
        <w:t>15.6</w:t>
      </w:r>
      <w:r>
        <w:rPr>
          <w:rStyle w:val="50"/>
          <w:rFonts w:hint="eastAsia" w:ascii="宋体" w:hAnsi="宋体" w:cs="宋体"/>
          <w:color w:val="auto"/>
          <w:highlight w:val="none"/>
        </w:rPr>
        <w:t>暂列金额</w:t>
      </w:r>
      <w:r>
        <w:rPr>
          <w:color w:val="auto"/>
          <w:highlight w:val="none"/>
        </w:rPr>
        <w:tab/>
      </w:r>
      <w:r>
        <w:rPr>
          <w:color w:val="auto"/>
          <w:highlight w:val="none"/>
        </w:rPr>
        <w:fldChar w:fldCharType="begin"/>
      </w:r>
      <w:r>
        <w:rPr>
          <w:color w:val="auto"/>
          <w:highlight w:val="none"/>
        </w:rPr>
        <w:instrText xml:space="preserve"> PAGEREF _Toc43475967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420130C6">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"_Toc43475968" </w:instrText>
      </w:r>
      <w:r>
        <w:rPr>
          <w:color w:val="auto"/>
          <w:highlight w:val="none"/>
        </w:rPr>
        <w:fldChar w:fldCharType="separate"/>
      </w:r>
      <w:r>
        <w:rPr>
          <w:rStyle w:val="50"/>
          <w:rFonts w:ascii="宋体" w:hAnsi="宋体" w:cs="宋体"/>
          <w:color w:val="auto"/>
          <w:highlight w:val="none"/>
        </w:rPr>
        <w:t>16.</w:t>
      </w:r>
      <w:r>
        <w:rPr>
          <w:rStyle w:val="50"/>
          <w:rFonts w:hint="eastAsia" w:ascii="宋体" w:hAnsi="宋体" w:cs="宋体"/>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_Toc43475968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19E9D832">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"_Toc43475969" </w:instrText>
      </w:r>
      <w:r>
        <w:rPr>
          <w:color w:val="auto"/>
          <w:highlight w:val="none"/>
        </w:rPr>
        <w:fldChar w:fldCharType="separate"/>
      </w:r>
      <w:r>
        <w:rPr>
          <w:rStyle w:val="50"/>
          <w:rFonts w:ascii="宋体" w:hAnsi="宋体" w:cs="宋体"/>
          <w:color w:val="auto"/>
          <w:highlight w:val="none"/>
        </w:rPr>
        <w:t>16.1</w:t>
      </w:r>
      <w:r>
        <w:rPr>
          <w:rStyle w:val="50"/>
          <w:rFonts w:hint="eastAsia" w:ascii="宋体" w:hAnsi="宋体" w:cs="宋体"/>
          <w:color w:val="auto"/>
          <w:highlight w:val="none"/>
        </w:rPr>
        <w:t>物价波动引起的价格调整</w:t>
      </w:r>
      <w:r>
        <w:rPr>
          <w:color w:val="auto"/>
          <w:highlight w:val="none"/>
        </w:rPr>
        <w:tab/>
      </w:r>
      <w:r>
        <w:rPr>
          <w:color w:val="auto"/>
          <w:highlight w:val="none"/>
        </w:rPr>
        <w:fldChar w:fldCharType="begin"/>
      </w:r>
      <w:r>
        <w:rPr>
          <w:color w:val="auto"/>
          <w:highlight w:val="none"/>
        </w:rPr>
        <w:instrText xml:space="preserve"> PAGEREF _Toc43475969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75334681">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"_Toc43475970" </w:instrText>
      </w:r>
      <w:r>
        <w:rPr>
          <w:color w:val="auto"/>
          <w:highlight w:val="none"/>
        </w:rPr>
        <w:fldChar w:fldCharType="separate"/>
      </w:r>
      <w:r>
        <w:rPr>
          <w:rStyle w:val="50"/>
          <w:rFonts w:ascii="宋体" w:hAnsi="宋体" w:cs="宋体"/>
          <w:color w:val="auto"/>
          <w:highlight w:val="none"/>
        </w:rPr>
        <w:t>17.</w:t>
      </w:r>
      <w:r>
        <w:rPr>
          <w:rStyle w:val="50"/>
          <w:rFonts w:hint="eastAsia" w:ascii="宋体" w:hAnsi="宋体" w:cs="宋体"/>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_Toc43475970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1E085492">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"_Toc43475971" </w:instrText>
      </w:r>
      <w:r>
        <w:rPr>
          <w:color w:val="auto"/>
          <w:highlight w:val="none"/>
        </w:rPr>
        <w:fldChar w:fldCharType="separate"/>
      </w:r>
      <w:r>
        <w:rPr>
          <w:rStyle w:val="50"/>
          <w:rFonts w:ascii="宋体" w:hAnsi="宋体" w:cs="宋体"/>
          <w:color w:val="auto"/>
          <w:highlight w:val="none"/>
        </w:rPr>
        <w:t>17.1</w:t>
      </w:r>
      <w:r>
        <w:rPr>
          <w:rStyle w:val="50"/>
          <w:rFonts w:hint="eastAsia" w:ascii="宋体" w:hAnsi="宋体" w:cs="宋体"/>
          <w:color w:val="auto"/>
          <w:highlight w:val="none"/>
        </w:rPr>
        <w:t>计量</w:t>
      </w:r>
      <w:r>
        <w:rPr>
          <w:color w:val="auto"/>
          <w:highlight w:val="none"/>
        </w:rPr>
        <w:tab/>
      </w:r>
      <w:r>
        <w:rPr>
          <w:color w:val="auto"/>
          <w:highlight w:val="none"/>
        </w:rPr>
        <w:fldChar w:fldCharType="begin"/>
      </w:r>
      <w:r>
        <w:rPr>
          <w:color w:val="auto"/>
          <w:highlight w:val="none"/>
        </w:rPr>
        <w:instrText xml:space="preserve"> PAGEREF _Toc43475971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66DE07C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"_Toc43475972" </w:instrText>
      </w:r>
      <w:r>
        <w:rPr>
          <w:color w:val="auto"/>
          <w:highlight w:val="none"/>
        </w:rPr>
        <w:fldChar w:fldCharType="separate"/>
      </w:r>
      <w:r>
        <w:rPr>
          <w:rStyle w:val="50"/>
          <w:rFonts w:ascii="宋体" w:hAnsi="宋体" w:cs="宋体"/>
          <w:color w:val="auto"/>
          <w:highlight w:val="none"/>
        </w:rPr>
        <w:t>17.2</w:t>
      </w:r>
      <w:r>
        <w:rPr>
          <w:rStyle w:val="50"/>
          <w:rFonts w:hint="eastAsia" w:ascii="宋体" w:hAnsi="宋体" w:cs="宋体"/>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_Toc43475972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623C2A9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"_Toc43475973" </w:instrText>
      </w:r>
      <w:r>
        <w:rPr>
          <w:color w:val="auto"/>
          <w:highlight w:val="none"/>
        </w:rPr>
        <w:fldChar w:fldCharType="separate"/>
      </w:r>
      <w:r>
        <w:rPr>
          <w:rStyle w:val="50"/>
          <w:rFonts w:ascii="宋体" w:hAnsi="宋体" w:cs="宋体"/>
          <w:color w:val="auto"/>
          <w:highlight w:val="none"/>
        </w:rPr>
        <w:t>17.3</w:t>
      </w:r>
      <w:r>
        <w:rPr>
          <w:rStyle w:val="50"/>
          <w:rFonts w:hint="eastAsia" w:ascii="宋体" w:hAnsi="宋体" w:cs="宋体"/>
          <w:color w:val="auto"/>
          <w:highlight w:val="none"/>
        </w:rPr>
        <w:t>工程进度付款</w:t>
      </w:r>
      <w:r>
        <w:rPr>
          <w:color w:val="auto"/>
          <w:highlight w:val="none"/>
        </w:rPr>
        <w:tab/>
      </w:r>
      <w:r>
        <w:rPr>
          <w:color w:val="auto"/>
          <w:highlight w:val="none"/>
        </w:rPr>
        <w:fldChar w:fldCharType="begin"/>
      </w:r>
      <w:r>
        <w:rPr>
          <w:color w:val="auto"/>
          <w:highlight w:val="none"/>
        </w:rPr>
        <w:instrText xml:space="preserve"> PAGEREF _Toc43475973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32AB6AA0">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"_Toc43475974" </w:instrText>
      </w:r>
      <w:r>
        <w:rPr>
          <w:color w:val="auto"/>
          <w:highlight w:val="none"/>
        </w:rPr>
        <w:fldChar w:fldCharType="separate"/>
      </w:r>
      <w:r>
        <w:rPr>
          <w:rStyle w:val="50"/>
          <w:rFonts w:ascii="宋体" w:hAnsi="宋体" w:cs="宋体"/>
          <w:color w:val="auto"/>
          <w:highlight w:val="none"/>
        </w:rPr>
        <w:t>17.4</w:t>
      </w:r>
      <w:r>
        <w:rPr>
          <w:rStyle w:val="50"/>
          <w:rFonts w:hint="eastAsia" w:ascii="宋体" w:hAnsi="宋体" w:cs="宋体"/>
          <w:color w:val="auto"/>
          <w:highlight w:val="none"/>
        </w:rPr>
        <w:t>质量保证金</w:t>
      </w:r>
      <w:r>
        <w:rPr>
          <w:color w:val="auto"/>
          <w:highlight w:val="none"/>
        </w:rPr>
        <w:tab/>
      </w:r>
      <w:r>
        <w:rPr>
          <w:color w:val="auto"/>
          <w:highlight w:val="none"/>
        </w:rPr>
        <w:fldChar w:fldCharType="begin"/>
      </w:r>
      <w:r>
        <w:rPr>
          <w:color w:val="auto"/>
          <w:highlight w:val="none"/>
        </w:rPr>
        <w:instrText xml:space="preserve"> PAGEREF _Toc43475974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6C86FE45">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"_Toc43475975" </w:instrText>
      </w:r>
      <w:r>
        <w:rPr>
          <w:color w:val="auto"/>
          <w:highlight w:val="none"/>
        </w:rPr>
        <w:fldChar w:fldCharType="separate"/>
      </w:r>
      <w:r>
        <w:rPr>
          <w:rStyle w:val="50"/>
          <w:rFonts w:ascii="宋体" w:hAnsi="宋体" w:cs="宋体"/>
          <w:color w:val="auto"/>
          <w:highlight w:val="none"/>
        </w:rPr>
        <w:t>17.5</w:t>
      </w:r>
      <w:r>
        <w:rPr>
          <w:rStyle w:val="50"/>
          <w:rFonts w:hint="eastAsia" w:ascii="宋体" w:hAnsi="宋体" w:cs="宋体"/>
          <w:color w:val="auto"/>
          <w:highlight w:val="none"/>
        </w:rPr>
        <w:t>交工结算</w:t>
      </w:r>
      <w:r>
        <w:rPr>
          <w:color w:val="auto"/>
          <w:highlight w:val="none"/>
        </w:rPr>
        <w:tab/>
      </w:r>
      <w:r>
        <w:rPr>
          <w:color w:val="auto"/>
          <w:highlight w:val="none"/>
        </w:rPr>
        <w:fldChar w:fldCharType="begin"/>
      </w:r>
      <w:r>
        <w:rPr>
          <w:color w:val="auto"/>
          <w:highlight w:val="none"/>
        </w:rPr>
        <w:instrText xml:space="preserve"> PAGEREF _Toc43475975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0EC796D8">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"_Toc43475976" </w:instrText>
      </w:r>
      <w:r>
        <w:rPr>
          <w:color w:val="auto"/>
          <w:highlight w:val="none"/>
        </w:rPr>
        <w:fldChar w:fldCharType="separate"/>
      </w:r>
      <w:r>
        <w:rPr>
          <w:rStyle w:val="50"/>
          <w:rFonts w:ascii="宋体" w:hAnsi="宋体" w:cs="宋体"/>
          <w:color w:val="auto"/>
          <w:highlight w:val="none"/>
        </w:rPr>
        <w:t>17.6</w:t>
      </w:r>
      <w:r>
        <w:rPr>
          <w:rStyle w:val="50"/>
          <w:rFonts w:hint="eastAsia" w:ascii="宋体" w:hAnsi="宋体" w:cs="宋体"/>
          <w:color w:val="auto"/>
          <w:highlight w:val="none"/>
        </w:rPr>
        <w:t>最终结清</w:t>
      </w:r>
      <w:r>
        <w:rPr>
          <w:color w:val="auto"/>
          <w:highlight w:val="none"/>
        </w:rPr>
        <w:tab/>
      </w:r>
      <w:r>
        <w:rPr>
          <w:color w:val="auto"/>
          <w:highlight w:val="none"/>
        </w:rPr>
        <w:fldChar w:fldCharType="begin"/>
      </w:r>
      <w:r>
        <w:rPr>
          <w:color w:val="auto"/>
          <w:highlight w:val="none"/>
        </w:rPr>
        <w:instrText xml:space="preserve"> PAGEREF _Toc43475976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02BE6A76">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"_Toc43475977" </w:instrText>
      </w:r>
      <w:r>
        <w:rPr>
          <w:color w:val="auto"/>
          <w:highlight w:val="none"/>
        </w:rPr>
        <w:fldChar w:fldCharType="separate"/>
      </w:r>
      <w:r>
        <w:rPr>
          <w:rStyle w:val="50"/>
          <w:rFonts w:ascii="宋体" w:hAnsi="宋体" w:cs="宋体"/>
          <w:color w:val="auto"/>
          <w:highlight w:val="none"/>
        </w:rPr>
        <w:t>18</w:t>
      </w:r>
      <w:r>
        <w:rPr>
          <w:rStyle w:val="50"/>
          <w:rFonts w:hint="eastAsia" w:ascii="宋体" w:hAnsi="宋体" w:cs="宋体"/>
          <w:color w:val="auto"/>
          <w:highlight w:val="none"/>
        </w:rPr>
        <w:t>.交工验收</w:t>
      </w:r>
      <w:r>
        <w:rPr>
          <w:color w:val="auto"/>
          <w:highlight w:val="none"/>
        </w:rPr>
        <w:tab/>
      </w:r>
      <w:r>
        <w:rPr>
          <w:color w:val="auto"/>
          <w:highlight w:val="none"/>
        </w:rPr>
        <w:fldChar w:fldCharType="begin"/>
      </w:r>
      <w:r>
        <w:rPr>
          <w:color w:val="auto"/>
          <w:highlight w:val="none"/>
        </w:rPr>
        <w:instrText xml:space="preserve"> PAGEREF _Toc43475977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00B47873">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"_Toc43475978" </w:instrText>
      </w:r>
      <w:r>
        <w:rPr>
          <w:color w:val="auto"/>
          <w:highlight w:val="none"/>
        </w:rPr>
        <w:fldChar w:fldCharType="separate"/>
      </w:r>
      <w:r>
        <w:rPr>
          <w:rStyle w:val="50"/>
          <w:rFonts w:ascii="宋体" w:hAnsi="宋体" w:cs="宋体"/>
          <w:color w:val="auto"/>
          <w:highlight w:val="none"/>
        </w:rPr>
        <w:t>18.2</w:t>
      </w:r>
      <w:r>
        <w:rPr>
          <w:rStyle w:val="50"/>
          <w:rFonts w:hint="eastAsia" w:ascii="宋体" w:hAnsi="宋体" w:cs="宋体"/>
          <w:color w:val="auto"/>
          <w:highlight w:val="none"/>
        </w:rPr>
        <w:t>交工验收申请报告</w:t>
      </w:r>
      <w:r>
        <w:rPr>
          <w:color w:val="auto"/>
          <w:highlight w:val="none"/>
        </w:rPr>
        <w:tab/>
      </w:r>
      <w:r>
        <w:rPr>
          <w:color w:val="auto"/>
          <w:highlight w:val="none"/>
        </w:rPr>
        <w:fldChar w:fldCharType="begin"/>
      </w:r>
      <w:r>
        <w:rPr>
          <w:color w:val="auto"/>
          <w:highlight w:val="none"/>
        </w:rPr>
        <w:instrText xml:space="preserve"> PAGEREF _Toc43475978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7F3AA556">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"_Toc43475979" </w:instrText>
      </w:r>
      <w:r>
        <w:rPr>
          <w:color w:val="auto"/>
          <w:highlight w:val="none"/>
        </w:rPr>
        <w:fldChar w:fldCharType="separate"/>
      </w:r>
      <w:r>
        <w:rPr>
          <w:rStyle w:val="50"/>
          <w:rFonts w:ascii="宋体" w:hAnsi="宋体" w:cs="宋体"/>
          <w:color w:val="auto"/>
          <w:highlight w:val="none"/>
        </w:rPr>
        <w:t xml:space="preserve">18.3 </w:t>
      </w:r>
      <w:r>
        <w:rPr>
          <w:rStyle w:val="50"/>
          <w:rFonts w:hint="eastAsia" w:ascii="宋体" w:hAnsi="宋体" w:cs="宋体"/>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_Toc43475979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018486A2">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"_Toc43475980" </w:instrText>
      </w:r>
      <w:r>
        <w:rPr>
          <w:color w:val="auto"/>
          <w:highlight w:val="none"/>
        </w:rPr>
        <w:fldChar w:fldCharType="separate"/>
      </w:r>
      <w:r>
        <w:rPr>
          <w:rStyle w:val="50"/>
          <w:rFonts w:ascii="宋体" w:hAnsi="宋体" w:cs="宋体"/>
          <w:color w:val="auto"/>
          <w:highlight w:val="none"/>
        </w:rPr>
        <w:t>18.9</w:t>
      </w:r>
      <w:r>
        <w:rPr>
          <w:rStyle w:val="50"/>
          <w:rFonts w:hint="eastAsia" w:ascii="宋体" w:hAnsi="宋体" w:cs="宋体"/>
          <w:color w:val="auto"/>
          <w:highlight w:val="none"/>
        </w:rPr>
        <w:t>竣工文件</w:t>
      </w:r>
      <w:r>
        <w:rPr>
          <w:color w:val="auto"/>
          <w:highlight w:val="none"/>
        </w:rPr>
        <w:tab/>
      </w:r>
      <w:r>
        <w:rPr>
          <w:color w:val="auto"/>
          <w:highlight w:val="none"/>
        </w:rPr>
        <w:fldChar w:fldCharType="begin"/>
      </w:r>
      <w:r>
        <w:rPr>
          <w:color w:val="auto"/>
          <w:highlight w:val="none"/>
        </w:rPr>
        <w:instrText xml:space="preserve"> PAGEREF _Toc43475980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73C9179D">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"_Toc43475981" </w:instrText>
      </w:r>
      <w:r>
        <w:rPr>
          <w:color w:val="auto"/>
          <w:highlight w:val="none"/>
        </w:rPr>
        <w:fldChar w:fldCharType="separate"/>
      </w:r>
      <w:r>
        <w:rPr>
          <w:rStyle w:val="50"/>
          <w:rFonts w:ascii="宋体" w:hAnsi="宋体" w:cs="宋体"/>
          <w:color w:val="auto"/>
          <w:highlight w:val="none"/>
        </w:rPr>
        <w:t>19</w:t>
      </w:r>
      <w:r>
        <w:rPr>
          <w:rStyle w:val="50"/>
          <w:rFonts w:hint="eastAsia" w:ascii="宋体" w:hAnsi="宋体" w:cs="宋体"/>
          <w:color w:val="auto"/>
          <w:highlight w:val="none"/>
        </w:rPr>
        <w:t>.缺陷责任与保修责任</w:t>
      </w:r>
      <w:r>
        <w:rPr>
          <w:color w:val="auto"/>
          <w:highlight w:val="none"/>
        </w:rPr>
        <w:tab/>
      </w:r>
      <w:r>
        <w:rPr>
          <w:color w:val="auto"/>
          <w:highlight w:val="none"/>
        </w:rPr>
        <w:fldChar w:fldCharType="begin"/>
      </w:r>
      <w:r>
        <w:rPr>
          <w:color w:val="auto"/>
          <w:highlight w:val="none"/>
        </w:rPr>
        <w:instrText xml:space="preserve"> PAGEREF _Toc43475981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4AF59FA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"_Toc43475982" </w:instrText>
      </w:r>
      <w:r>
        <w:rPr>
          <w:color w:val="auto"/>
          <w:highlight w:val="none"/>
        </w:rPr>
        <w:fldChar w:fldCharType="separate"/>
      </w:r>
      <w:r>
        <w:rPr>
          <w:rStyle w:val="50"/>
          <w:rFonts w:ascii="宋体" w:hAnsi="宋体" w:cs="宋体"/>
          <w:color w:val="auto"/>
          <w:highlight w:val="none"/>
        </w:rPr>
        <w:t>19.2</w:t>
      </w:r>
      <w:r>
        <w:rPr>
          <w:rStyle w:val="50"/>
          <w:rFonts w:hint="eastAsia" w:ascii="宋体" w:hAnsi="宋体" w:cs="宋体"/>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_Toc43475982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69CAABB0">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"_Toc43475983" </w:instrText>
      </w:r>
      <w:r>
        <w:rPr>
          <w:color w:val="auto"/>
          <w:highlight w:val="none"/>
        </w:rPr>
        <w:fldChar w:fldCharType="separate"/>
      </w:r>
      <w:r>
        <w:rPr>
          <w:rStyle w:val="50"/>
          <w:rFonts w:ascii="宋体" w:hAnsi="宋体" w:cs="宋体"/>
          <w:color w:val="auto"/>
          <w:highlight w:val="none"/>
        </w:rPr>
        <w:t>19.5</w:t>
      </w:r>
      <w:r>
        <w:rPr>
          <w:rStyle w:val="50"/>
          <w:rFonts w:hint="eastAsia" w:ascii="宋体" w:hAnsi="宋体" w:cs="宋体"/>
          <w:color w:val="auto"/>
          <w:highlight w:val="none"/>
        </w:rPr>
        <w:t>承包人的进入权</w:t>
      </w:r>
      <w:r>
        <w:rPr>
          <w:color w:val="auto"/>
          <w:highlight w:val="none"/>
        </w:rPr>
        <w:tab/>
      </w:r>
      <w:r>
        <w:rPr>
          <w:color w:val="auto"/>
          <w:highlight w:val="none"/>
        </w:rPr>
        <w:fldChar w:fldCharType="begin"/>
      </w:r>
      <w:r>
        <w:rPr>
          <w:color w:val="auto"/>
          <w:highlight w:val="none"/>
        </w:rPr>
        <w:instrText xml:space="preserve"> PAGEREF _Toc43475983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516B41A1">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"_Toc43475984" </w:instrText>
      </w:r>
      <w:r>
        <w:rPr>
          <w:color w:val="auto"/>
          <w:highlight w:val="none"/>
        </w:rPr>
        <w:fldChar w:fldCharType="separate"/>
      </w:r>
      <w:r>
        <w:rPr>
          <w:rStyle w:val="50"/>
          <w:rFonts w:ascii="宋体" w:hAnsi="宋体" w:cs="宋体"/>
          <w:color w:val="auto"/>
          <w:highlight w:val="none"/>
        </w:rPr>
        <w:t>19.7</w:t>
      </w:r>
      <w:r>
        <w:rPr>
          <w:rStyle w:val="50"/>
          <w:rFonts w:hint="eastAsia" w:ascii="宋体" w:hAnsi="宋体" w:cs="宋体"/>
          <w:color w:val="auto"/>
          <w:highlight w:val="none"/>
        </w:rPr>
        <w:t>保修责任</w:t>
      </w:r>
      <w:r>
        <w:rPr>
          <w:color w:val="auto"/>
          <w:highlight w:val="none"/>
        </w:rPr>
        <w:tab/>
      </w:r>
      <w:r>
        <w:rPr>
          <w:color w:val="auto"/>
          <w:highlight w:val="none"/>
        </w:rPr>
        <w:fldChar w:fldCharType="begin"/>
      </w:r>
      <w:r>
        <w:rPr>
          <w:color w:val="auto"/>
          <w:highlight w:val="none"/>
        </w:rPr>
        <w:instrText xml:space="preserve"> PAGEREF _Toc43475984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71DFA647">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"_Toc43475985" </w:instrText>
      </w:r>
      <w:r>
        <w:rPr>
          <w:color w:val="auto"/>
          <w:highlight w:val="none"/>
        </w:rPr>
        <w:fldChar w:fldCharType="separate"/>
      </w:r>
      <w:r>
        <w:rPr>
          <w:rStyle w:val="50"/>
          <w:rFonts w:ascii="宋体" w:hAnsi="宋体" w:cs="宋体"/>
          <w:color w:val="auto"/>
          <w:highlight w:val="none"/>
        </w:rPr>
        <w:t>20.</w:t>
      </w:r>
      <w:r>
        <w:rPr>
          <w:rStyle w:val="50"/>
          <w:rFonts w:hint="eastAsia" w:ascii="宋体" w:hAnsi="宋体" w:cs="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_Toc43475985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31286F6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"_Toc43475986" </w:instrText>
      </w:r>
      <w:r>
        <w:rPr>
          <w:color w:val="auto"/>
          <w:highlight w:val="none"/>
        </w:rPr>
        <w:fldChar w:fldCharType="separate"/>
      </w:r>
      <w:r>
        <w:rPr>
          <w:rStyle w:val="50"/>
          <w:rFonts w:ascii="宋体" w:hAnsi="宋体" w:cs="宋体"/>
          <w:color w:val="auto"/>
          <w:highlight w:val="none"/>
        </w:rPr>
        <w:t>20.1</w:t>
      </w:r>
      <w:r>
        <w:rPr>
          <w:rStyle w:val="50"/>
          <w:rFonts w:hint="eastAsia" w:ascii="宋体" w:hAnsi="宋体" w:cs="宋体"/>
          <w:color w:val="auto"/>
          <w:highlight w:val="none"/>
        </w:rPr>
        <w:t>工程保险</w:t>
      </w:r>
      <w:r>
        <w:rPr>
          <w:color w:val="auto"/>
          <w:highlight w:val="none"/>
        </w:rPr>
        <w:tab/>
      </w:r>
      <w:r>
        <w:rPr>
          <w:color w:val="auto"/>
          <w:highlight w:val="none"/>
        </w:rPr>
        <w:fldChar w:fldCharType="begin"/>
      </w:r>
      <w:r>
        <w:rPr>
          <w:color w:val="auto"/>
          <w:highlight w:val="none"/>
        </w:rPr>
        <w:instrText xml:space="preserve"> PAGEREF _Toc43475986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4FC0B283">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"_Toc43475987" </w:instrText>
      </w:r>
      <w:r>
        <w:rPr>
          <w:color w:val="auto"/>
          <w:highlight w:val="none"/>
        </w:rPr>
        <w:fldChar w:fldCharType="separate"/>
      </w:r>
      <w:r>
        <w:rPr>
          <w:rStyle w:val="50"/>
          <w:rFonts w:ascii="宋体" w:hAnsi="宋体" w:cs="宋体"/>
          <w:color w:val="auto"/>
          <w:highlight w:val="none"/>
        </w:rPr>
        <w:t>20.4</w:t>
      </w:r>
      <w:r>
        <w:rPr>
          <w:rStyle w:val="50"/>
          <w:rFonts w:hint="eastAsia" w:ascii="宋体" w:hAnsi="宋体" w:cs="宋体"/>
          <w:color w:val="auto"/>
          <w:highlight w:val="none"/>
        </w:rPr>
        <w:t>第三者责任险</w:t>
      </w:r>
      <w:r>
        <w:rPr>
          <w:color w:val="auto"/>
          <w:highlight w:val="none"/>
        </w:rPr>
        <w:tab/>
      </w:r>
      <w:r>
        <w:rPr>
          <w:color w:val="auto"/>
          <w:highlight w:val="none"/>
        </w:rPr>
        <w:fldChar w:fldCharType="begin"/>
      </w:r>
      <w:r>
        <w:rPr>
          <w:color w:val="auto"/>
          <w:highlight w:val="none"/>
        </w:rPr>
        <w:instrText xml:space="preserve"> PAGEREF _Toc43475987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729BACF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"_Toc43475988" </w:instrText>
      </w:r>
      <w:r>
        <w:rPr>
          <w:color w:val="auto"/>
          <w:highlight w:val="none"/>
        </w:rPr>
        <w:fldChar w:fldCharType="separate"/>
      </w:r>
      <w:r>
        <w:rPr>
          <w:rStyle w:val="50"/>
          <w:rFonts w:ascii="宋体" w:hAnsi="宋体" w:cs="宋体"/>
          <w:color w:val="auto"/>
          <w:highlight w:val="none"/>
        </w:rPr>
        <w:t>20.5</w:t>
      </w:r>
      <w:r>
        <w:rPr>
          <w:rStyle w:val="50"/>
          <w:rFonts w:hint="eastAsia" w:ascii="宋体" w:hAnsi="宋体" w:cs="宋体"/>
          <w:color w:val="auto"/>
          <w:highlight w:val="none"/>
        </w:rPr>
        <w:t>其他保险</w:t>
      </w:r>
      <w:r>
        <w:rPr>
          <w:color w:val="auto"/>
          <w:highlight w:val="none"/>
        </w:rPr>
        <w:tab/>
      </w:r>
      <w:r>
        <w:rPr>
          <w:color w:val="auto"/>
          <w:highlight w:val="none"/>
        </w:rPr>
        <w:fldChar w:fldCharType="begin"/>
      </w:r>
      <w:r>
        <w:rPr>
          <w:color w:val="auto"/>
          <w:highlight w:val="none"/>
        </w:rPr>
        <w:instrText xml:space="preserve"> PAGEREF _Toc43475988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25D9BA2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"_Toc43475989" </w:instrText>
      </w:r>
      <w:r>
        <w:rPr>
          <w:color w:val="auto"/>
          <w:highlight w:val="none"/>
        </w:rPr>
        <w:fldChar w:fldCharType="separate"/>
      </w:r>
      <w:r>
        <w:rPr>
          <w:rStyle w:val="50"/>
          <w:rFonts w:ascii="宋体" w:hAnsi="宋体" w:cs="宋体"/>
          <w:color w:val="auto"/>
          <w:highlight w:val="none"/>
        </w:rPr>
        <w:t>20.6</w:t>
      </w:r>
      <w:r>
        <w:rPr>
          <w:rStyle w:val="50"/>
          <w:rFonts w:hint="eastAsia" w:ascii="宋体" w:hAnsi="宋体" w:cs="宋体"/>
          <w:color w:val="auto"/>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_Toc43475989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1AB34E3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"_Toc43475990" </w:instrText>
      </w:r>
      <w:r>
        <w:rPr>
          <w:color w:val="auto"/>
          <w:highlight w:val="none"/>
        </w:rPr>
        <w:fldChar w:fldCharType="separate"/>
      </w:r>
      <w:r>
        <w:rPr>
          <w:rStyle w:val="50"/>
          <w:rFonts w:ascii="宋体" w:hAnsi="宋体" w:cs="宋体"/>
          <w:color w:val="auto"/>
          <w:highlight w:val="none"/>
        </w:rPr>
        <w:t>21</w:t>
      </w:r>
      <w:r>
        <w:rPr>
          <w:rStyle w:val="50"/>
          <w:rFonts w:hint="eastAsia" w:ascii="宋体" w:hAnsi="宋体" w:cs="宋体"/>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_Toc43475990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7AEFF549">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"_Toc43475991" </w:instrText>
      </w:r>
      <w:r>
        <w:rPr>
          <w:color w:val="auto"/>
          <w:highlight w:val="none"/>
        </w:rPr>
        <w:fldChar w:fldCharType="separate"/>
      </w:r>
      <w:r>
        <w:rPr>
          <w:rStyle w:val="50"/>
          <w:rFonts w:ascii="宋体" w:hAnsi="宋体" w:cs="宋体"/>
          <w:color w:val="auto"/>
          <w:highlight w:val="none"/>
        </w:rPr>
        <w:t>21.1</w:t>
      </w:r>
      <w:r>
        <w:rPr>
          <w:rStyle w:val="50"/>
          <w:rFonts w:hint="eastAsia" w:ascii="宋体" w:hAnsi="宋体" w:cs="宋体"/>
          <w:color w:val="auto"/>
          <w:highlight w:val="none"/>
        </w:rPr>
        <w:t>不可抗力的确认</w:t>
      </w:r>
      <w:r>
        <w:rPr>
          <w:color w:val="auto"/>
          <w:highlight w:val="none"/>
        </w:rPr>
        <w:tab/>
      </w:r>
      <w:r>
        <w:rPr>
          <w:color w:val="auto"/>
          <w:highlight w:val="none"/>
        </w:rPr>
        <w:fldChar w:fldCharType="begin"/>
      </w:r>
      <w:r>
        <w:rPr>
          <w:color w:val="auto"/>
          <w:highlight w:val="none"/>
        </w:rPr>
        <w:instrText xml:space="preserve"> PAGEREF _Toc43475991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584CDAC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"_Toc43475992" </w:instrText>
      </w:r>
      <w:r>
        <w:rPr>
          <w:color w:val="auto"/>
          <w:highlight w:val="none"/>
        </w:rPr>
        <w:fldChar w:fldCharType="separate"/>
      </w:r>
      <w:r>
        <w:rPr>
          <w:rStyle w:val="50"/>
          <w:rFonts w:ascii="宋体" w:hAnsi="宋体" w:cs="宋体"/>
          <w:color w:val="auto"/>
          <w:highlight w:val="none"/>
        </w:rPr>
        <w:t>21.3</w:t>
      </w:r>
      <w:r>
        <w:rPr>
          <w:rStyle w:val="50"/>
          <w:rFonts w:hint="eastAsia" w:ascii="宋体" w:hAnsi="宋体" w:cs="宋体"/>
          <w:color w:val="auto"/>
          <w:highlight w:val="none"/>
        </w:rPr>
        <w:t>不可抗力后果及其处理</w:t>
      </w:r>
      <w:r>
        <w:rPr>
          <w:color w:val="auto"/>
          <w:highlight w:val="none"/>
        </w:rPr>
        <w:tab/>
      </w:r>
      <w:r>
        <w:rPr>
          <w:color w:val="auto"/>
          <w:highlight w:val="none"/>
        </w:rPr>
        <w:fldChar w:fldCharType="begin"/>
      </w:r>
      <w:r>
        <w:rPr>
          <w:color w:val="auto"/>
          <w:highlight w:val="none"/>
        </w:rPr>
        <w:instrText xml:space="preserve"> PAGEREF _Toc43475992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24371600">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"_Toc43475993" </w:instrText>
      </w:r>
      <w:r>
        <w:rPr>
          <w:color w:val="auto"/>
          <w:highlight w:val="none"/>
        </w:rPr>
        <w:fldChar w:fldCharType="separate"/>
      </w:r>
      <w:r>
        <w:rPr>
          <w:rStyle w:val="50"/>
          <w:rFonts w:ascii="宋体" w:hAnsi="宋体" w:cs="宋体"/>
          <w:color w:val="auto"/>
          <w:highlight w:val="none"/>
        </w:rPr>
        <w:t>22</w:t>
      </w:r>
      <w:r>
        <w:rPr>
          <w:rStyle w:val="50"/>
          <w:rFonts w:hint="eastAsia" w:ascii="宋体" w:hAnsi="宋体" w:cs="宋体"/>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_Toc43475993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5BFCA353">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"_Toc43475994" </w:instrText>
      </w:r>
      <w:r>
        <w:rPr>
          <w:color w:val="auto"/>
          <w:highlight w:val="none"/>
        </w:rPr>
        <w:fldChar w:fldCharType="separate"/>
      </w:r>
      <w:r>
        <w:rPr>
          <w:rStyle w:val="50"/>
          <w:rFonts w:ascii="宋体" w:hAnsi="宋体" w:cs="宋体"/>
          <w:color w:val="auto"/>
          <w:highlight w:val="none"/>
        </w:rPr>
        <w:t>22.1</w:t>
      </w:r>
      <w:r>
        <w:rPr>
          <w:rStyle w:val="50"/>
          <w:rFonts w:hint="eastAsia" w:ascii="宋体" w:hAnsi="宋体" w:cs="宋体"/>
          <w:color w:val="auto"/>
          <w:highlight w:val="none"/>
        </w:rPr>
        <w:t>承包人违约</w:t>
      </w:r>
      <w:r>
        <w:rPr>
          <w:color w:val="auto"/>
          <w:highlight w:val="none"/>
        </w:rPr>
        <w:tab/>
      </w:r>
      <w:r>
        <w:rPr>
          <w:color w:val="auto"/>
          <w:highlight w:val="none"/>
        </w:rPr>
        <w:fldChar w:fldCharType="begin"/>
      </w:r>
      <w:r>
        <w:rPr>
          <w:color w:val="auto"/>
          <w:highlight w:val="none"/>
        </w:rPr>
        <w:instrText xml:space="preserve"> PAGEREF _Toc43475994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2C643680">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"_Toc43475995" </w:instrText>
      </w:r>
      <w:r>
        <w:rPr>
          <w:color w:val="auto"/>
          <w:highlight w:val="none"/>
        </w:rPr>
        <w:fldChar w:fldCharType="separate"/>
      </w:r>
      <w:r>
        <w:rPr>
          <w:rStyle w:val="50"/>
          <w:rFonts w:ascii="宋体" w:hAnsi="宋体" w:cs="宋体"/>
          <w:color w:val="auto"/>
          <w:highlight w:val="none"/>
        </w:rPr>
        <w:t>22.2</w:t>
      </w:r>
      <w:r>
        <w:rPr>
          <w:rStyle w:val="50"/>
          <w:rFonts w:hint="eastAsia" w:ascii="宋体" w:hAnsi="宋体" w:cs="宋体"/>
          <w:color w:val="auto"/>
          <w:highlight w:val="none"/>
        </w:rPr>
        <w:t>发包人违约</w:t>
      </w:r>
      <w:r>
        <w:rPr>
          <w:color w:val="auto"/>
          <w:highlight w:val="none"/>
        </w:rPr>
        <w:tab/>
      </w:r>
      <w:r>
        <w:rPr>
          <w:color w:val="auto"/>
          <w:highlight w:val="none"/>
        </w:rPr>
        <w:fldChar w:fldCharType="begin"/>
      </w:r>
      <w:r>
        <w:rPr>
          <w:color w:val="auto"/>
          <w:highlight w:val="none"/>
        </w:rPr>
        <w:instrText xml:space="preserve"> PAGEREF _Toc43475995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0F280F7A">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"_Toc43475996" </w:instrText>
      </w:r>
      <w:r>
        <w:rPr>
          <w:color w:val="auto"/>
          <w:highlight w:val="none"/>
        </w:rPr>
        <w:fldChar w:fldCharType="separate"/>
      </w:r>
      <w:r>
        <w:rPr>
          <w:rStyle w:val="50"/>
          <w:rFonts w:ascii="宋体" w:hAnsi="宋体" w:cs="宋体"/>
          <w:color w:val="auto"/>
          <w:highlight w:val="none"/>
        </w:rPr>
        <w:t>23.</w:t>
      </w:r>
      <w:r>
        <w:rPr>
          <w:rStyle w:val="50"/>
          <w:rFonts w:hint="eastAsia" w:ascii="宋体" w:hAnsi="宋体" w:cs="宋体"/>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_Toc43475996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7F520D58">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"_Toc43475997" </w:instrText>
      </w:r>
      <w:r>
        <w:rPr>
          <w:color w:val="auto"/>
          <w:highlight w:val="none"/>
        </w:rPr>
        <w:fldChar w:fldCharType="separate"/>
      </w:r>
      <w:r>
        <w:rPr>
          <w:rStyle w:val="50"/>
          <w:rFonts w:ascii="宋体" w:hAnsi="宋体" w:cs="宋体"/>
          <w:color w:val="auto"/>
          <w:highlight w:val="none"/>
        </w:rPr>
        <w:t>23.1</w:t>
      </w:r>
      <w:r>
        <w:rPr>
          <w:rStyle w:val="50"/>
          <w:rFonts w:hint="eastAsia" w:ascii="宋体" w:hAnsi="宋体" w:cs="宋体"/>
          <w:color w:val="auto"/>
          <w:highlight w:val="none"/>
        </w:rPr>
        <w:t>承包人索赔的提出</w:t>
      </w:r>
      <w:r>
        <w:rPr>
          <w:color w:val="auto"/>
          <w:highlight w:val="none"/>
        </w:rPr>
        <w:tab/>
      </w:r>
      <w:r>
        <w:rPr>
          <w:color w:val="auto"/>
          <w:highlight w:val="none"/>
        </w:rPr>
        <w:fldChar w:fldCharType="begin"/>
      </w:r>
      <w:r>
        <w:rPr>
          <w:color w:val="auto"/>
          <w:highlight w:val="none"/>
        </w:rPr>
        <w:instrText xml:space="preserve"> PAGEREF _Toc43475997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0E2E6C9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"_Toc43475998" </w:instrText>
      </w:r>
      <w:r>
        <w:rPr>
          <w:color w:val="auto"/>
          <w:highlight w:val="none"/>
        </w:rPr>
        <w:fldChar w:fldCharType="separate"/>
      </w:r>
      <w:r>
        <w:rPr>
          <w:rStyle w:val="50"/>
          <w:rFonts w:ascii="宋体" w:hAnsi="宋体" w:cs="宋体"/>
          <w:color w:val="auto"/>
          <w:highlight w:val="none"/>
        </w:rPr>
        <w:t>23.2</w:t>
      </w:r>
      <w:r>
        <w:rPr>
          <w:rStyle w:val="50"/>
          <w:rFonts w:hint="eastAsia" w:ascii="宋体" w:hAnsi="宋体" w:cs="宋体"/>
          <w:color w:val="auto"/>
          <w:highlight w:val="none"/>
        </w:rPr>
        <w:t>承包人索赔处理程序</w:t>
      </w:r>
      <w:r>
        <w:rPr>
          <w:color w:val="auto"/>
          <w:highlight w:val="none"/>
        </w:rPr>
        <w:tab/>
      </w:r>
      <w:r>
        <w:rPr>
          <w:color w:val="auto"/>
          <w:highlight w:val="none"/>
        </w:rPr>
        <w:fldChar w:fldCharType="begin"/>
      </w:r>
      <w:r>
        <w:rPr>
          <w:color w:val="auto"/>
          <w:highlight w:val="none"/>
        </w:rPr>
        <w:instrText xml:space="preserve"> PAGEREF _Toc43475998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77A72B24">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"_Toc43475999" </w:instrText>
      </w:r>
      <w:r>
        <w:rPr>
          <w:color w:val="auto"/>
          <w:highlight w:val="none"/>
        </w:rPr>
        <w:fldChar w:fldCharType="separate"/>
      </w:r>
      <w:r>
        <w:rPr>
          <w:rStyle w:val="50"/>
          <w:rFonts w:ascii="宋体" w:hAnsi="宋体" w:cs="宋体"/>
          <w:color w:val="auto"/>
          <w:highlight w:val="none"/>
        </w:rPr>
        <w:t>24</w:t>
      </w:r>
      <w:r>
        <w:rPr>
          <w:rStyle w:val="50"/>
          <w:rFonts w:hint="eastAsia" w:ascii="宋体" w:hAnsi="宋体" w:cs="宋体"/>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_Toc43475999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4F68278B">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"_Toc43476000" </w:instrText>
      </w:r>
      <w:r>
        <w:rPr>
          <w:color w:val="auto"/>
          <w:highlight w:val="none"/>
        </w:rPr>
        <w:fldChar w:fldCharType="separate"/>
      </w:r>
      <w:r>
        <w:rPr>
          <w:rStyle w:val="50"/>
          <w:rFonts w:ascii="宋体" w:hAnsi="宋体" w:cs="宋体"/>
          <w:color w:val="auto"/>
          <w:highlight w:val="none"/>
        </w:rPr>
        <w:t>24.3</w:t>
      </w:r>
      <w:r>
        <w:rPr>
          <w:rStyle w:val="50"/>
          <w:rFonts w:hint="eastAsia" w:ascii="宋体" w:hAnsi="宋体" w:cs="宋体"/>
          <w:color w:val="auto"/>
          <w:highlight w:val="none"/>
        </w:rPr>
        <w:t>争议评审</w:t>
      </w:r>
      <w:r>
        <w:rPr>
          <w:color w:val="auto"/>
          <w:highlight w:val="none"/>
        </w:rPr>
        <w:tab/>
      </w:r>
      <w:r>
        <w:rPr>
          <w:color w:val="auto"/>
          <w:highlight w:val="none"/>
        </w:rPr>
        <w:fldChar w:fldCharType="begin"/>
      </w:r>
      <w:r>
        <w:rPr>
          <w:color w:val="auto"/>
          <w:highlight w:val="none"/>
        </w:rPr>
        <w:instrText xml:space="preserve"> PAGEREF _Toc43476000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63865D71">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"_Toc43476001" </w:instrText>
      </w:r>
      <w:r>
        <w:rPr>
          <w:color w:val="auto"/>
          <w:highlight w:val="none"/>
        </w:rPr>
        <w:fldChar w:fldCharType="separate"/>
      </w:r>
      <w:r>
        <w:rPr>
          <w:rStyle w:val="50"/>
          <w:rFonts w:ascii="宋体" w:hAnsi="宋体" w:cs="宋体"/>
          <w:color w:val="auto"/>
          <w:highlight w:val="none"/>
        </w:rPr>
        <w:t>24.4</w:t>
      </w:r>
      <w:r>
        <w:rPr>
          <w:rStyle w:val="50"/>
          <w:rFonts w:hint="eastAsia" w:ascii="宋体" w:hAnsi="宋体" w:cs="宋体"/>
          <w:color w:val="auto"/>
          <w:highlight w:val="none"/>
        </w:rPr>
        <w:t>仲裁</w:t>
      </w:r>
      <w:r>
        <w:rPr>
          <w:color w:val="auto"/>
          <w:highlight w:val="none"/>
        </w:rPr>
        <w:tab/>
      </w:r>
      <w:r>
        <w:rPr>
          <w:color w:val="auto"/>
          <w:highlight w:val="none"/>
        </w:rPr>
        <w:fldChar w:fldCharType="begin"/>
      </w:r>
      <w:r>
        <w:rPr>
          <w:color w:val="auto"/>
          <w:highlight w:val="none"/>
        </w:rPr>
        <w:instrText xml:space="preserve"> PAGEREF _Toc43476001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239567B4">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"_Toc43476002" </w:instrText>
      </w:r>
      <w:r>
        <w:rPr>
          <w:color w:val="auto"/>
          <w:highlight w:val="none"/>
        </w:rPr>
        <w:fldChar w:fldCharType="separate"/>
      </w:r>
      <w:r>
        <w:rPr>
          <w:rStyle w:val="50"/>
          <w:rFonts w:ascii="宋体" w:hAnsi="宋体" w:cs="宋体"/>
          <w:color w:val="auto"/>
          <w:highlight w:val="none"/>
        </w:rPr>
        <w:t>24.5</w:t>
      </w:r>
      <w:r>
        <w:rPr>
          <w:rStyle w:val="50"/>
          <w:rFonts w:hint="eastAsia" w:ascii="宋体" w:hAnsi="宋体" w:cs="宋体"/>
          <w:color w:val="auto"/>
          <w:highlight w:val="none"/>
        </w:rPr>
        <w:t>仲裁的执行</w:t>
      </w:r>
      <w:r>
        <w:rPr>
          <w:color w:val="auto"/>
          <w:highlight w:val="none"/>
        </w:rPr>
        <w:tab/>
      </w:r>
      <w:r>
        <w:rPr>
          <w:color w:val="auto"/>
          <w:highlight w:val="none"/>
        </w:rPr>
        <w:fldChar w:fldCharType="begin"/>
      </w:r>
      <w:r>
        <w:rPr>
          <w:color w:val="auto"/>
          <w:highlight w:val="none"/>
        </w:rPr>
        <w:instrText xml:space="preserve"> PAGEREF _Toc43476002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2A47D79F">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"_Toc43476003" </w:instrText>
      </w:r>
      <w:r>
        <w:rPr>
          <w:color w:val="auto"/>
          <w:highlight w:val="none"/>
        </w:rPr>
        <w:fldChar w:fldCharType="separate"/>
      </w:r>
      <w:r>
        <w:rPr>
          <w:rStyle w:val="50"/>
          <w:color w:val="auto"/>
          <w:highlight w:val="none"/>
        </w:rPr>
        <w:t>B.</w:t>
      </w:r>
      <w:r>
        <w:rPr>
          <w:rStyle w:val="50"/>
          <w:rFonts w:hint="eastAsia"/>
          <w:color w:val="auto"/>
          <w:highlight w:val="none"/>
        </w:rPr>
        <w:t>项目专用合同条款</w:t>
      </w:r>
      <w:r>
        <w:rPr>
          <w:color w:val="auto"/>
          <w:highlight w:val="none"/>
        </w:rPr>
        <w:tab/>
      </w:r>
      <w:r>
        <w:rPr>
          <w:color w:val="auto"/>
          <w:highlight w:val="none"/>
        </w:rPr>
        <w:fldChar w:fldCharType="begin"/>
      </w:r>
      <w:r>
        <w:rPr>
          <w:color w:val="auto"/>
          <w:highlight w:val="none"/>
        </w:rPr>
        <w:instrText xml:space="preserve"> PAGEREF _Toc43476003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144A40D7">
      <w:pPr>
        <w:pStyle w:val="20"/>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"_Toc43476004" </w:instrText>
      </w:r>
      <w:r>
        <w:rPr>
          <w:color w:val="auto"/>
          <w:highlight w:val="none"/>
        </w:rPr>
        <w:fldChar w:fldCharType="separate"/>
      </w:r>
      <w:r>
        <w:rPr>
          <w:rStyle w:val="50"/>
          <w:rFonts w:hint="eastAsia"/>
          <w:color w:val="auto"/>
          <w:highlight w:val="none"/>
        </w:rPr>
        <w:t>项目专用条款数据表</w:t>
      </w:r>
      <w:r>
        <w:rPr>
          <w:color w:val="auto"/>
          <w:highlight w:val="none"/>
        </w:rPr>
        <w:tab/>
      </w:r>
      <w:r>
        <w:rPr>
          <w:color w:val="auto"/>
          <w:highlight w:val="none"/>
        </w:rPr>
        <w:fldChar w:fldCharType="begin"/>
      </w:r>
      <w:r>
        <w:rPr>
          <w:color w:val="auto"/>
          <w:highlight w:val="none"/>
        </w:rPr>
        <w:instrText xml:space="preserve"> PAGEREF _Toc43476004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7D92AAA6">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"_Toc43476005" </w:instrText>
      </w:r>
      <w:r>
        <w:rPr>
          <w:color w:val="auto"/>
          <w:highlight w:val="none"/>
        </w:rPr>
        <w:fldChar w:fldCharType="separate"/>
      </w:r>
      <w:r>
        <w:rPr>
          <w:rStyle w:val="50"/>
          <w:rFonts w:hint="eastAsia" w:ascii="宋体" w:hAnsi="宋体"/>
          <w:color w:val="auto"/>
          <w:highlight w:val="none"/>
        </w:rPr>
        <w:t>第三节合同附件格式</w:t>
      </w:r>
      <w:r>
        <w:rPr>
          <w:color w:val="auto"/>
          <w:highlight w:val="none"/>
        </w:rPr>
        <w:tab/>
      </w:r>
      <w:r>
        <w:rPr>
          <w:color w:val="auto"/>
          <w:highlight w:val="none"/>
        </w:rPr>
        <w:fldChar w:fldCharType="begin"/>
      </w:r>
      <w:r>
        <w:rPr>
          <w:color w:val="auto"/>
          <w:highlight w:val="none"/>
        </w:rPr>
        <w:instrText xml:space="preserve"> PAGEREF _Toc43476005 \h </w:instrText>
      </w:r>
      <w:r>
        <w:rPr>
          <w:color w:val="auto"/>
          <w:highlight w:val="none"/>
        </w:rPr>
        <w:fldChar w:fldCharType="separate"/>
      </w:r>
      <w:r>
        <w:rPr>
          <w:color w:val="auto"/>
          <w:highlight w:val="none"/>
        </w:rPr>
        <w:t>185</w:t>
      </w:r>
      <w:r>
        <w:rPr>
          <w:color w:val="auto"/>
          <w:highlight w:val="none"/>
        </w:rPr>
        <w:fldChar w:fldCharType="end"/>
      </w:r>
      <w:r>
        <w:rPr>
          <w:color w:val="auto"/>
          <w:highlight w:val="none"/>
        </w:rPr>
        <w:fldChar w:fldCharType="end"/>
      </w:r>
    </w:p>
    <w:p w14:paraId="0AEB449D">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"_Toc43476006" </w:instrText>
      </w:r>
      <w:r>
        <w:rPr>
          <w:color w:val="auto"/>
          <w:highlight w:val="none"/>
        </w:rPr>
        <w:fldChar w:fldCharType="separate"/>
      </w:r>
      <w:r>
        <w:rPr>
          <w:rStyle w:val="50"/>
          <w:rFonts w:hint="eastAsia" w:ascii="宋体" w:hAnsi="宋体"/>
          <w:color w:val="auto"/>
          <w:highlight w:val="none"/>
        </w:rPr>
        <w:t>附件一合同协议书</w:t>
      </w:r>
      <w:r>
        <w:rPr>
          <w:color w:val="auto"/>
          <w:highlight w:val="none"/>
        </w:rPr>
        <w:tab/>
      </w:r>
      <w:r>
        <w:rPr>
          <w:color w:val="auto"/>
          <w:highlight w:val="none"/>
        </w:rPr>
        <w:fldChar w:fldCharType="begin"/>
      </w:r>
      <w:r>
        <w:rPr>
          <w:color w:val="auto"/>
          <w:highlight w:val="none"/>
        </w:rPr>
        <w:instrText xml:space="preserve"> PAGEREF _Toc43476006 \h </w:instrText>
      </w:r>
      <w:r>
        <w:rPr>
          <w:color w:val="auto"/>
          <w:highlight w:val="none"/>
        </w:rPr>
        <w:fldChar w:fldCharType="separate"/>
      </w:r>
      <w:r>
        <w:rPr>
          <w:color w:val="auto"/>
          <w:highlight w:val="none"/>
        </w:rPr>
        <w:t>185</w:t>
      </w:r>
      <w:r>
        <w:rPr>
          <w:color w:val="auto"/>
          <w:highlight w:val="none"/>
        </w:rPr>
        <w:fldChar w:fldCharType="end"/>
      </w:r>
      <w:r>
        <w:rPr>
          <w:color w:val="auto"/>
          <w:highlight w:val="none"/>
        </w:rPr>
        <w:fldChar w:fldCharType="end"/>
      </w:r>
    </w:p>
    <w:p w14:paraId="669D5CEE">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"_Toc43476007" </w:instrText>
      </w:r>
      <w:r>
        <w:rPr>
          <w:color w:val="auto"/>
          <w:highlight w:val="none"/>
        </w:rPr>
        <w:fldChar w:fldCharType="separate"/>
      </w:r>
      <w:r>
        <w:rPr>
          <w:rStyle w:val="50"/>
          <w:rFonts w:hint="eastAsia" w:ascii="宋体" w:hAnsi="宋体"/>
          <w:color w:val="auto"/>
          <w:highlight w:val="none"/>
        </w:rPr>
        <w:t>附件二廉政合同</w:t>
      </w:r>
      <w:r>
        <w:rPr>
          <w:color w:val="auto"/>
          <w:highlight w:val="none"/>
        </w:rPr>
        <w:tab/>
      </w:r>
      <w:r>
        <w:rPr>
          <w:color w:val="auto"/>
          <w:highlight w:val="none"/>
        </w:rPr>
        <w:fldChar w:fldCharType="begin"/>
      </w:r>
      <w:r>
        <w:rPr>
          <w:color w:val="auto"/>
          <w:highlight w:val="none"/>
        </w:rPr>
        <w:instrText xml:space="preserve"> PAGEREF _Toc43476007 \h </w:instrText>
      </w:r>
      <w:r>
        <w:rPr>
          <w:color w:val="auto"/>
          <w:highlight w:val="none"/>
        </w:rPr>
        <w:fldChar w:fldCharType="separate"/>
      </w:r>
      <w:r>
        <w:rPr>
          <w:color w:val="auto"/>
          <w:highlight w:val="none"/>
        </w:rPr>
        <w:t>186</w:t>
      </w:r>
      <w:r>
        <w:rPr>
          <w:color w:val="auto"/>
          <w:highlight w:val="none"/>
        </w:rPr>
        <w:fldChar w:fldCharType="end"/>
      </w:r>
      <w:r>
        <w:rPr>
          <w:color w:val="auto"/>
          <w:highlight w:val="none"/>
        </w:rPr>
        <w:fldChar w:fldCharType="end"/>
      </w:r>
    </w:p>
    <w:p w14:paraId="40BE0C63">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"_Toc43476008" </w:instrText>
      </w:r>
      <w:r>
        <w:rPr>
          <w:color w:val="auto"/>
          <w:highlight w:val="none"/>
        </w:rPr>
        <w:fldChar w:fldCharType="separate"/>
      </w:r>
      <w:r>
        <w:rPr>
          <w:rStyle w:val="50"/>
          <w:rFonts w:hint="eastAsia" w:ascii="宋体" w:hAnsi="宋体"/>
          <w:color w:val="auto"/>
          <w:highlight w:val="none"/>
        </w:rPr>
        <w:t>附件三安全生产合同</w:t>
      </w:r>
      <w:r>
        <w:rPr>
          <w:color w:val="auto"/>
          <w:highlight w:val="none"/>
        </w:rPr>
        <w:tab/>
      </w:r>
      <w:r>
        <w:rPr>
          <w:color w:val="auto"/>
          <w:highlight w:val="none"/>
        </w:rPr>
        <w:fldChar w:fldCharType="begin"/>
      </w:r>
      <w:r>
        <w:rPr>
          <w:color w:val="auto"/>
          <w:highlight w:val="none"/>
        </w:rPr>
        <w:instrText xml:space="preserve"> PAGEREF _Toc43476008 \h </w:instrText>
      </w:r>
      <w:r>
        <w:rPr>
          <w:color w:val="auto"/>
          <w:highlight w:val="none"/>
        </w:rPr>
        <w:fldChar w:fldCharType="separate"/>
      </w:r>
      <w:r>
        <w:rPr>
          <w:color w:val="auto"/>
          <w:highlight w:val="none"/>
        </w:rPr>
        <w:t>188</w:t>
      </w:r>
      <w:r>
        <w:rPr>
          <w:color w:val="auto"/>
          <w:highlight w:val="none"/>
        </w:rPr>
        <w:fldChar w:fldCharType="end"/>
      </w:r>
      <w:r>
        <w:rPr>
          <w:color w:val="auto"/>
          <w:highlight w:val="none"/>
        </w:rPr>
        <w:fldChar w:fldCharType="end"/>
      </w:r>
    </w:p>
    <w:p w14:paraId="4516FDCF">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"_Toc43476009" </w:instrText>
      </w:r>
      <w:r>
        <w:rPr>
          <w:color w:val="auto"/>
          <w:highlight w:val="none"/>
        </w:rPr>
        <w:fldChar w:fldCharType="separate"/>
      </w:r>
      <w:r>
        <w:rPr>
          <w:rStyle w:val="50"/>
          <w:rFonts w:hint="eastAsia" w:ascii="宋体" w:hAnsi="宋体"/>
          <w:color w:val="auto"/>
          <w:highlight w:val="none"/>
        </w:rPr>
        <w:t>附件四其他管理人员和技术人员最低要求</w:t>
      </w:r>
      <w:r>
        <w:rPr>
          <w:color w:val="auto"/>
          <w:highlight w:val="none"/>
        </w:rPr>
        <w:tab/>
      </w:r>
      <w:r>
        <w:rPr>
          <w:color w:val="auto"/>
          <w:highlight w:val="none"/>
        </w:rPr>
        <w:fldChar w:fldCharType="begin"/>
      </w:r>
      <w:r>
        <w:rPr>
          <w:color w:val="auto"/>
          <w:highlight w:val="none"/>
        </w:rPr>
        <w:instrText xml:space="preserve"> PAGEREF _Toc43476009 \h </w:instrText>
      </w:r>
      <w:r>
        <w:rPr>
          <w:color w:val="auto"/>
          <w:highlight w:val="none"/>
        </w:rPr>
        <w:fldChar w:fldCharType="separate"/>
      </w:r>
      <w:r>
        <w:rPr>
          <w:color w:val="auto"/>
          <w:highlight w:val="none"/>
        </w:rPr>
        <w:t>190</w:t>
      </w:r>
      <w:r>
        <w:rPr>
          <w:color w:val="auto"/>
          <w:highlight w:val="none"/>
        </w:rPr>
        <w:fldChar w:fldCharType="end"/>
      </w:r>
      <w:r>
        <w:rPr>
          <w:color w:val="auto"/>
          <w:highlight w:val="none"/>
        </w:rPr>
        <w:fldChar w:fldCharType="end"/>
      </w:r>
    </w:p>
    <w:p w14:paraId="549DB4CD">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"_Toc43476010" </w:instrText>
      </w:r>
      <w:r>
        <w:rPr>
          <w:color w:val="auto"/>
          <w:highlight w:val="none"/>
        </w:rPr>
        <w:fldChar w:fldCharType="separate"/>
      </w:r>
      <w:r>
        <w:rPr>
          <w:rStyle w:val="50"/>
          <w:rFonts w:hint="eastAsia" w:ascii="宋体" w:hAnsi="宋体"/>
          <w:color w:val="auto"/>
          <w:highlight w:val="none"/>
        </w:rPr>
        <w:t>附件五主要设备最低要求</w:t>
      </w:r>
      <w:r>
        <w:rPr>
          <w:color w:val="auto"/>
          <w:highlight w:val="none"/>
        </w:rPr>
        <w:tab/>
      </w:r>
      <w:r>
        <w:rPr>
          <w:color w:val="auto"/>
          <w:highlight w:val="none"/>
        </w:rPr>
        <w:fldChar w:fldCharType="begin"/>
      </w:r>
      <w:r>
        <w:rPr>
          <w:color w:val="auto"/>
          <w:highlight w:val="none"/>
        </w:rPr>
        <w:instrText xml:space="preserve"> PAGEREF _Toc43476010 \h </w:instrText>
      </w:r>
      <w:r>
        <w:rPr>
          <w:color w:val="auto"/>
          <w:highlight w:val="none"/>
        </w:rPr>
        <w:fldChar w:fldCharType="separate"/>
      </w:r>
      <w:r>
        <w:rPr>
          <w:color w:val="auto"/>
          <w:highlight w:val="none"/>
        </w:rPr>
        <w:t>191</w:t>
      </w:r>
      <w:r>
        <w:rPr>
          <w:color w:val="auto"/>
          <w:highlight w:val="none"/>
        </w:rPr>
        <w:fldChar w:fldCharType="end"/>
      </w:r>
      <w:r>
        <w:rPr>
          <w:color w:val="auto"/>
          <w:highlight w:val="none"/>
        </w:rPr>
        <w:fldChar w:fldCharType="end"/>
      </w:r>
    </w:p>
    <w:p w14:paraId="5893AD31">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"_Toc43476012" </w:instrText>
      </w:r>
      <w:r>
        <w:rPr>
          <w:color w:val="auto"/>
          <w:highlight w:val="none"/>
        </w:rPr>
        <w:fldChar w:fldCharType="separate"/>
      </w:r>
      <w:r>
        <w:rPr>
          <w:rStyle w:val="50"/>
          <w:rFonts w:hint="eastAsia"/>
          <w:color w:val="auto"/>
          <w:highlight w:val="none"/>
        </w:rPr>
        <w:t>附件六项目经理委托书</w:t>
      </w:r>
      <w:r>
        <w:rPr>
          <w:color w:val="auto"/>
          <w:highlight w:val="none"/>
        </w:rPr>
        <w:tab/>
      </w:r>
      <w:r>
        <w:rPr>
          <w:color w:val="auto"/>
          <w:highlight w:val="none"/>
        </w:rPr>
        <w:fldChar w:fldCharType="begin"/>
      </w:r>
      <w:r>
        <w:rPr>
          <w:color w:val="auto"/>
          <w:highlight w:val="none"/>
        </w:rPr>
        <w:instrText xml:space="preserve"> PAGEREF _Toc43476012 \h </w:instrText>
      </w:r>
      <w:r>
        <w:rPr>
          <w:color w:val="auto"/>
          <w:highlight w:val="none"/>
        </w:rPr>
        <w:fldChar w:fldCharType="separate"/>
      </w:r>
      <w:r>
        <w:rPr>
          <w:color w:val="auto"/>
          <w:highlight w:val="none"/>
        </w:rPr>
        <w:t>192</w:t>
      </w:r>
      <w:r>
        <w:rPr>
          <w:color w:val="auto"/>
          <w:highlight w:val="none"/>
        </w:rPr>
        <w:fldChar w:fldCharType="end"/>
      </w:r>
      <w:r>
        <w:rPr>
          <w:color w:val="auto"/>
          <w:highlight w:val="none"/>
        </w:rPr>
        <w:fldChar w:fldCharType="end"/>
      </w:r>
    </w:p>
    <w:p w14:paraId="5D16BBE2">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"_Toc43476013" </w:instrText>
      </w:r>
      <w:r>
        <w:rPr>
          <w:color w:val="auto"/>
          <w:highlight w:val="none"/>
        </w:rPr>
        <w:fldChar w:fldCharType="separate"/>
      </w:r>
      <w:r>
        <w:rPr>
          <w:rStyle w:val="50"/>
          <w:rFonts w:hint="eastAsia" w:ascii="宋体" w:hAnsi="宋体"/>
          <w:color w:val="auto"/>
          <w:highlight w:val="none"/>
        </w:rPr>
        <w:t>附件七履约担保格式</w:t>
      </w:r>
      <w:r>
        <w:rPr>
          <w:color w:val="auto"/>
          <w:highlight w:val="none"/>
        </w:rPr>
        <w:tab/>
      </w:r>
      <w:r>
        <w:rPr>
          <w:color w:val="auto"/>
          <w:highlight w:val="none"/>
        </w:rPr>
        <w:fldChar w:fldCharType="begin"/>
      </w:r>
      <w:r>
        <w:rPr>
          <w:color w:val="auto"/>
          <w:highlight w:val="none"/>
        </w:rPr>
        <w:instrText xml:space="preserve"> PAGEREF _Toc43476013 \h </w:instrText>
      </w:r>
      <w:r>
        <w:rPr>
          <w:color w:val="auto"/>
          <w:highlight w:val="none"/>
        </w:rPr>
        <w:fldChar w:fldCharType="separate"/>
      </w:r>
      <w:r>
        <w:rPr>
          <w:color w:val="auto"/>
          <w:highlight w:val="none"/>
        </w:rPr>
        <w:t>193</w:t>
      </w:r>
      <w:r>
        <w:rPr>
          <w:color w:val="auto"/>
          <w:highlight w:val="none"/>
        </w:rPr>
        <w:fldChar w:fldCharType="end"/>
      </w:r>
      <w:r>
        <w:rPr>
          <w:color w:val="auto"/>
          <w:highlight w:val="none"/>
        </w:rPr>
        <w:fldChar w:fldCharType="end"/>
      </w:r>
    </w:p>
    <w:p w14:paraId="6457CF80">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"_Toc43476014" </w:instrText>
      </w:r>
      <w:r>
        <w:rPr>
          <w:color w:val="auto"/>
          <w:highlight w:val="none"/>
        </w:rPr>
        <w:fldChar w:fldCharType="separate"/>
      </w:r>
      <w:r>
        <w:rPr>
          <w:rStyle w:val="50"/>
          <w:rFonts w:hint="eastAsia" w:ascii="宋体" w:hAnsi="宋体"/>
          <w:color w:val="auto"/>
          <w:highlight w:val="none"/>
        </w:rPr>
        <w:t>附件八工程资金监管协议格式</w:t>
      </w:r>
      <w:r>
        <w:rPr>
          <w:color w:val="auto"/>
          <w:highlight w:val="none"/>
        </w:rPr>
        <w:tab/>
      </w:r>
      <w:r>
        <w:rPr>
          <w:color w:val="auto"/>
          <w:highlight w:val="none"/>
        </w:rPr>
        <w:fldChar w:fldCharType="begin"/>
      </w:r>
      <w:r>
        <w:rPr>
          <w:color w:val="auto"/>
          <w:highlight w:val="none"/>
        </w:rPr>
        <w:instrText xml:space="preserve"> PAGEREF _Toc43476014 \h </w:instrText>
      </w:r>
      <w:r>
        <w:rPr>
          <w:color w:val="auto"/>
          <w:highlight w:val="none"/>
        </w:rPr>
        <w:fldChar w:fldCharType="separate"/>
      </w:r>
      <w:r>
        <w:rPr>
          <w:color w:val="auto"/>
          <w:highlight w:val="none"/>
        </w:rPr>
        <w:t>194</w:t>
      </w:r>
      <w:r>
        <w:rPr>
          <w:color w:val="auto"/>
          <w:highlight w:val="none"/>
        </w:rPr>
        <w:fldChar w:fldCharType="end"/>
      </w:r>
      <w:r>
        <w:rPr>
          <w:color w:val="auto"/>
          <w:highlight w:val="none"/>
        </w:rPr>
        <w:fldChar w:fldCharType="end"/>
      </w:r>
    </w:p>
    <w:p w14:paraId="3ED5B4F3">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"_Toc43476015" </w:instrText>
      </w:r>
      <w:r>
        <w:rPr>
          <w:color w:val="auto"/>
          <w:highlight w:val="none"/>
        </w:rPr>
        <w:fldChar w:fldCharType="separate"/>
      </w:r>
      <w:r>
        <w:rPr>
          <w:rStyle w:val="50"/>
          <w:rFonts w:hint="eastAsia" w:ascii="宋体" w:hAnsi="宋体"/>
          <w:color w:val="auto"/>
          <w:highlight w:val="none"/>
        </w:rPr>
        <w:t>附件九 特殊材料设备供应一览表</w:t>
      </w:r>
      <w:r>
        <w:rPr>
          <w:color w:val="auto"/>
          <w:highlight w:val="none"/>
        </w:rPr>
        <w:tab/>
      </w:r>
      <w:r>
        <w:rPr>
          <w:color w:val="auto"/>
          <w:highlight w:val="none"/>
        </w:rPr>
        <w:fldChar w:fldCharType="begin"/>
      </w:r>
      <w:r>
        <w:rPr>
          <w:color w:val="auto"/>
          <w:highlight w:val="none"/>
        </w:rPr>
        <w:instrText xml:space="preserve"> PAGEREF _Toc43476015 \h </w:instrText>
      </w:r>
      <w:r>
        <w:rPr>
          <w:color w:val="auto"/>
          <w:highlight w:val="none"/>
        </w:rPr>
        <w:fldChar w:fldCharType="separate"/>
      </w:r>
      <w:r>
        <w:rPr>
          <w:color w:val="auto"/>
          <w:highlight w:val="none"/>
        </w:rPr>
        <w:t>197</w:t>
      </w:r>
      <w:r>
        <w:rPr>
          <w:color w:val="auto"/>
          <w:highlight w:val="none"/>
        </w:rPr>
        <w:fldChar w:fldCharType="end"/>
      </w:r>
      <w:r>
        <w:rPr>
          <w:color w:val="auto"/>
          <w:highlight w:val="none"/>
        </w:rPr>
        <w:fldChar w:fldCharType="end"/>
      </w:r>
    </w:p>
    <w:p w14:paraId="59B4F786">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"_Toc43476016" </w:instrText>
      </w:r>
      <w:r>
        <w:rPr>
          <w:color w:val="auto"/>
          <w:highlight w:val="none"/>
        </w:rPr>
        <w:fldChar w:fldCharType="separate"/>
      </w:r>
      <w:r>
        <w:rPr>
          <w:rStyle w:val="50"/>
          <w:rFonts w:hint="eastAsia" w:ascii="宋体" w:hAnsi="宋体"/>
          <w:color w:val="auto"/>
          <w:highlight w:val="none"/>
        </w:rPr>
        <w:t>附件十 统一采购供应材料一览表</w:t>
      </w:r>
      <w:r>
        <w:rPr>
          <w:color w:val="auto"/>
          <w:highlight w:val="none"/>
        </w:rPr>
        <w:tab/>
      </w:r>
      <w:r>
        <w:rPr>
          <w:color w:val="auto"/>
          <w:highlight w:val="none"/>
        </w:rPr>
        <w:fldChar w:fldCharType="begin"/>
      </w:r>
      <w:r>
        <w:rPr>
          <w:color w:val="auto"/>
          <w:highlight w:val="none"/>
        </w:rPr>
        <w:instrText xml:space="preserve"> PAGEREF _Toc43476016 \h </w:instrText>
      </w:r>
      <w:r>
        <w:rPr>
          <w:color w:val="auto"/>
          <w:highlight w:val="none"/>
        </w:rPr>
        <w:fldChar w:fldCharType="separate"/>
      </w:r>
      <w:r>
        <w:rPr>
          <w:color w:val="auto"/>
          <w:highlight w:val="none"/>
        </w:rPr>
        <w:t>198</w:t>
      </w:r>
      <w:r>
        <w:rPr>
          <w:color w:val="auto"/>
          <w:highlight w:val="none"/>
        </w:rPr>
        <w:fldChar w:fldCharType="end"/>
      </w:r>
      <w:r>
        <w:rPr>
          <w:color w:val="auto"/>
          <w:highlight w:val="none"/>
        </w:rPr>
        <w:fldChar w:fldCharType="end"/>
      </w:r>
    </w:p>
    <w:p w14:paraId="2FE7FD07">
      <w:pPr>
        <w:pStyle w:val="34"/>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"_Toc43476017" </w:instrText>
      </w:r>
      <w:r>
        <w:rPr>
          <w:color w:val="auto"/>
          <w:highlight w:val="none"/>
        </w:rPr>
        <w:fldChar w:fldCharType="separate"/>
      </w:r>
      <w:r>
        <w:rPr>
          <w:rStyle w:val="50"/>
          <w:rFonts w:hint="eastAsia" w:ascii="宋体" w:hAnsi="宋体"/>
          <w:color w:val="auto"/>
          <w:highlight w:val="none"/>
        </w:rPr>
        <w:t>附件十一承包人违约金一览表</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00</w:t>
      </w:r>
    </w:p>
    <w:p w14:paraId="7839783B">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"_Toc43476018" </w:instrText>
      </w:r>
      <w:r>
        <w:rPr>
          <w:color w:val="auto"/>
          <w:highlight w:val="none"/>
        </w:rPr>
        <w:fldChar w:fldCharType="separate"/>
      </w:r>
      <w:r>
        <w:rPr>
          <w:rStyle w:val="50"/>
          <w:rFonts w:hint="eastAsia"/>
          <w:color w:val="auto"/>
          <w:highlight w:val="none"/>
        </w:rPr>
        <w:t>附件十二工程质量、安全及文明施工处罚项目一览表</w:t>
      </w:r>
      <w:r>
        <w:rPr>
          <w:color w:val="auto"/>
          <w:highlight w:val="none"/>
        </w:rPr>
        <w:tab/>
      </w:r>
      <w:r>
        <w:rPr>
          <w:color w:val="auto"/>
          <w:highlight w:val="none"/>
        </w:rPr>
        <w:fldChar w:fldCharType="begin"/>
      </w:r>
      <w:r>
        <w:rPr>
          <w:color w:val="auto"/>
          <w:highlight w:val="none"/>
        </w:rPr>
        <w:instrText xml:space="preserve"> PAGEREF _Toc43476018 \h </w:instrText>
      </w:r>
      <w:r>
        <w:rPr>
          <w:color w:val="auto"/>
          <w:highlight w:val="none"/>
        </w:rPr>
        <w:fldChar w:fldCharType="separate"/>
      </w:r>
      <w:r>
        <w:rPr>
          <w:color w:val="auto"/>
          <w:highlight w:val="none"/>
        </w:rPr>
        <w:t>201</w:t>
      </w:r>
      <w:r>
        <w:rPr>
          <w:color w:val="auto"/>
          <w:highlight w:val="none"/>
        </w:rPr>
        <w:fldChar w:fldCharType="end"/>
      </w:r>
      <w:r>
        <w:rPr>
          <w:color w:val="auto"/>
          <w:highlight w:val="none"/>
        </w:rPr>
        <w:fldChar w:fldCharType="end"/>
      </w:r>
    </w:p>
    <w:p w14:paraId="307B6F90">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"_Toc43476019" </w:instrText>
      </w:r>
      <w:r>
        <w:rPr>
          <w:color w:val="auto"/>
          <w:highlight w:val="none"/>
        </w:rPr>
        <w:fldChar w:fldCharType="separate"/>
      </w:r>
      <w:r>
        <w:rPr>
          <w:rStyle w:val="50"/>
          <w:rFonts w:hint="eastAsia"/>
          <w:color w:val="auto"/>
          <w:highlight w:val="none"/>
        </w:rPr>
        <w:t>附件十三建设工程农民工工资支付保证书</w:t>
      </w:r>
      <w:r>
        <w:rPr>
          <w:color w:val="auto"/>
          <w:highlight w:val="none"/>
        </w:rPr>
        <w:tab/>
      </w:r>
      <w:r>
        <w:rPr>
          <w:color w:val="auto"/>
          <w:highlight w:val="none"/>
        </w:rPr>
        <w:fldChar w:fldCharType="begin"/>
      </w:r>
      <w:r>
        <w:rPr>
          <w:color w:val="auto"/>
          <w:highlight w:val="none"/>
        </w:rPr>
        <w:instrText xml:space="preserve"> PAGEREF _Toc43476019 \h </w:instrText>
      </w:r>
      <w:r>
        <w:rPr>
          <w:color w:val="auto"/>
          <w:highlight w:val="none"/>
        </w:rPr>
        <w:fldChar w:fldCharType="separate"/>
      </w:r>
      <w:r>
        <w:rPr>
          <w:color w:val="auto"/>
          <w:highlight w:val="none"/>
        </w:rPr>
        <w:t>209</w:t>
      </w:r>
      <w:r>
        <w:rPr>
          <w:color w:val="auto"/>
          <w:highlight w:val="none"/>
        </w:rPr>
        <w:fldChar w:fldCharType="end"/>
      </w:r>
      <w:r>
        <w:rPr>
          <w:color w:val="auto"/>
          <w:highlight w:val="none"/>
        </w:rPr>
        <w:fldChar w:fldCharType="end"/>
      </w:r>
    </w:p>
    <w:p w14:paraId="1A6AB3BD">
      <w:pPr>
        <w:pStyle w:val="29"/>
        <w:shd w:val="clear" w:fill="FFFFFF" w:themeFill="background1"/>
        <w:tabs>
          <w:tab w:val="right" w:leader="dot" w:pos="10200"/>
        </w:tabs>
        <w:spacing w:line="250" w:lineRule="exact"/>
        <w:ind w:firstLine="360" w:firstLineChars="200"/>
        <w:rPr>
          <w:rStyle w:val="50"/>
          <w:color w:val="auto"/>
          <w:highlight w:val="none"/>
        </w:rPr>
      </w:pPr>
      <w:r>
        <w:rPr>
          <w:rStyle w:val="50"/>
          <w:rFonts w:hint="eastAsia"/>
          <w:color w:val="auto"/>
          <w:highlight w:val="none"/>
        </w:rPr>
        <w:t>附件十四工程结算协议</w:t>
      </w:r>
      <w:r>
        <w:rPr>
          <w:color w:val="auto"/>
          <w:highlight w:val="none"/>
        </w:rPr>
        <w:tab/>
      </w:r>
      <w:r>
        <w:rPr>
          <w:rFonts w:hint="eastAsia"/>
          <w:color w:val="auto"/>
          <w:highlight w:val="none"/>
        </w:rPr>
        <w:t>212</w:t>
      </w:r>
    </w:p>
    <w:p w14:paraId="2E185913">
      <w:pPr>
        <w:pStyle w:val="29"/>
        <w:shd w:val="clear" w:fill="FFFFFF" w:themeFill="background1"/>
        <w:tabs>
          <w:tab w:val="right" w:leader="dot" w:pos="10200"/>
        </w:tabs>
        <w:spacing w:line="250" w:lineRule="exact"/>
        <w:ind w:firstLine="360" w:firstLineChars="200"/>
        <w:rPr>
          <w:rStyle w:val="50"/>
          <w:color w:val="auto"/>
          <w:highlight w:val="none"/>
        </w:rPr>
      </w:pPr>
      <w:r>
        <w:rPr>
          <w:rStyle w:val="50"/>
          <w:rFonts w:hint="eastAsia"/>
          <w:color w:val="auto"/>
          <w:highlight w:val="none"/>
        </w:rPr>
        <w:t>附件十五分包合同</w:t>
      </w:r>
      <w:r>
        <w:rPr>
          <w:color w:val="auto"/>
          <w:highlight w:val="none"/>
        </w:rPr>
        <w:tab/>
      </w:r>
      <w:r>
        <w:rPr>
          <w:rFonts w:hint="eastAsia"/>
          <w:color w:val="auto"/>
          <w:highlight w:val="none"/>
        </w:rPr>
        <w:t>214</w:t>
      </w:r>
    </w:p>
    <w:p w14:paraId="15372738">
      <w:pPr>
        <w:pStyle w:val="29"/>
        <w:shd w:val="clear" w:fill="FFFFFF" w:themeFill="background1"/>
        <w:tabs>
          <w:tab w:val="right" w:leader="dot" w:pos="10200"/>
        </w:tabs>
        <w:spacing w:line="250" w:lineRule="exact"/>
        <w:ind w:firstLine="360" w:firstLineChars="200"/>
        <w:rPr>
          <w:rStyle w:val="50"/>
          <w:color w:val="auto"/>
          <w:highlight w:val="none"/>
        </w:rPr>
      </w:pPr>
      <w:r>
        <w:rPr>
          <w:rStyle w:val="50"/>
          <w:rFonts w:hint="eastAsia"/>
          <w:color w:val="auto"/>
          <w:highlight w:val="none"/>
        </w:rPr>
        <w:t>附件十六施工劳务合作协议</w:t>
      </w:r>
      <w:r>
        <w:rPr>
          <w:color w:val="auto"/>
          <w:highlight w:val="none"/>
        </w:rPr>
        <w:tab/>
      </w:r>
      <w:r>
        <w:rPr>
          <w:rFonts w:hint="eastAsia"/>
          <w:color w:val="auto"/>
          <w:highlight w:val="none"/>
        </w:rPr>
        <w:t>228</w:t>
      </w:r>
    </w:p>
    <w:p w14:paraId="0E89412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"_Toc43476023" </w:instrText>
      </w:r>
      <w:r>
        <w:rPr>
          <w:color w:val="auto"/>
          <w:highlight w:val="none"/>
        </w:rPr>
        <w:fldChar w:fldCharType="separate"/>
      </w:r>
      <w:r>
        <w:rPr>
          <w:rStyle w:val="50"/>
          <w:rFonts w:hint="eastAsia" w:ascii="宋体" w:hAnsi="宋体"/>
          <w:color w:val="auto"/>
          <w:highlight w:val="none"/>
        </w:rPr>
        <w:t>第五章工程量清单</w:t>
      </w:r>
      <w:r>
        <w:rPr>
          <w:color w:val="auto"/>
          <w:highlight w:val="none"/>
        </w:rPr>
        <w:tab/>
      </w:r>
      <w:r>
        <w:rPr>
          <w:color w:val="auto"/>
          <w:highlight w:val="none"/>
        </w:rPr>
        <w:fldChar w:fldCharType="begin"/>
      </w:r>
      <w:r>
        <w:rPr>
          <w:color w:val="auto"/>
          <w:highlight w:val="none"/>
        </w:rPr>
        <w:instrText xml:space="preserve"> PAGEREF _Toc43476023 \h </w:instrText>
      </w:r>
      <w:r>
        <w:rPr>
          <w:color w:val="auto"/>
          <w:highlight w:val="none"/>
        </w:rPr>
        <w:fldChar w:fldCharType="separate"/>
      </w:r>
      <w:r>
        <w:rPr>
          <w:color w:val="auto"/>
          <w:highlight w:val="none"/>
        </w:rPr>
        <w:t>235</w:t>
      </w:r>
      <w:r>
        <w:rPr>
          <w:color w:val="auto"/>
          <w:highlight w:val="none"/>
        </w:rPr>
        <w:fldChar w:fldCharType="end"/>
      </w:r>
      <w:r>
        <w:rPr>
          <w:color w:val="auto"/>
          <w:highlight w:val="none"/>
        </w:rPr>
        <w:fldChar w:fldCharType="end"/>
      </w:r>
    </w:p>
    <w:p w14:paraId="5C5166BC">
      <w:pPr>
        <w:pStyle w:val="34"/>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"_Toc43476024" </w:instrText>
      </w:r>
      <w:r>
        <w:rPr>
          <w:color w:val="auto"/>
          <w:highlight w:val="none"/>
        </w:rPr>
        <w:fldChar w:fldCharType="separate"/>
      </w:r>
      <w:r>
        <w:rPr>
          <w:rStyle w:val="50"/>
          <w:rFonts w:hint="eastAsia"/>
          <w:color w:val="auto"/>
          <w:highlight w:val="none"/>
        </w:rPr>
        <w:t>工程量清单（另册）</w:t>
      </w:r>
      <w:r>
        <w:rPr>
          <w:color w:val="auto"/>
          <w:highlight w:val="none"/>
        </w:rPr>
        <w:tab/>
      </w:r>
      <w:r>
        <w:rPr>
          <w:color w:val="auto"/>
          <w:highlight w:val="none"/>
        </w:rPr>
        <w:fldChar w:fldCharType="begin"/>
      </w:r>
      <w:r>
        <w:rPr>
          <w:color w:val="auto"/>
          <w:highlight w:val="none"/>
        </w:rPr>
        <w:instrText xml:space="preserve"> PAGEREF _Toc43476024 \h </w:instrText>
      </w:r>
      <w:r>
        <w:rPr>
          <w:color w:val="auto"/>
          <w:highlight w:val="none"/>
        </w:rPr>
        <w:fldChar w:fldCharType="separate"/>
      </w:r>
      <w:r>
        <w:rPr>
          <w:color w:val="auto"/>
          <w:highlight w:val="none"/>
        </w:rPr>
        <w:t>236</w:t>
      </w:r>
      <w:r>
        <w:rPr>
          <w:color w:val="auto"/>
          <w:highlight w:val="none"/>
        </w:rPr>
        <w:fldChar w:fldCharType="end"/>
      </w:r>
      <w:r>
        <w:rPr>
          <w:color w:val="auto"/>
          <w:highlight w:val="none"/>
        </w:rPr>
        <w:fldChar w:fldCharType="end"/>
      </w:r>
    </w:p>
    <w:p w14:paraId="4AE8A35E">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"_Toc43476025" </w:instrText>
      </w:r>
      <w:r>
        <w:rPr>
          <w:color w:val="auto"/>
          <w:highlight w:val="none"/>
        </w:rPr>
        <w:fldChar w:fldCharType="separate"/>
      </w:r>
      <w:r>
        <w:rPr>
          <w:rStyle w:val="50"/>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_Toc43476025 \h </w:instrText>
      </w:r>
      <w:r>
        <w:rPr>
          <w:color w:val="auto"/>
          <w:highlight w:val="none"/>
        </w:rPr>
        <w:fldChar w:fldCharType="separate"/>
      </w:r>
      <w:r>
        <w:rPr>
          <w:color w:val="auto"/>
          <w:highlight w:val="none"/>
        </w:rPr>
        <w:t>237</w:t>
      </w:r>
      <w:r>
        <w:rPr>
          <w:color w:val="auto"/>
          <w:highlight w:val="none"/>
        </w:rPr>
        <w:fldChar w:fldCharType="end"/>
      </w:r>
      <w:r>
        <w:rPr>
          <w:color w:val="auto"/>
          <w:highlight w:val="none"/>
        </w:rPr>
        <w:fldChar w:fldCharType="end"/>
      </w:r>
    </w:p>
    <w:p w14:paraId="0FDE69FF">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"_Toc43476026" </w:instrText>
      </w:r>
      <w:r>
        <w:rPr>
          <w:color w:val="auto"/>
          <w:highlight w:val="none"/>
        </w:rPr>
        <w:fldChar w:fldCharType="separate"/>
      </w:r>
      <w:r>
        <w:rPr>
          <w:rStyle w:val="50"/>
          <w:rFonts w:hint="eastAsia"/>
          <w:color w:val="auto"/>
          <w:highlight w:val="none"/>
        </w:rPr>
        <w:t>第六章图纸（另册）</w:t>
      </w:r>
      <w:r>
        <w:rPr>
          <w:color w:val="auto"/>
          <w:highlight w:val="none"/>
        </w:rPr>
        <w:tab/>
      </w:r>
      <w:r>
        <w:rPr>
          <w:color w:val="auto"/>
          <w:highlight w:val="none"/>
        </w:rPr>
        <w:fldChar w:fldCharType="begin"/>
      </w:r>
      <w:r>
        <w:rPr>
          <w:color w:val="auto"/>
          <w:highlight w:val="none"/>
        </w:rPr>
        <w:instrText xml:space="preserve"> PAGEREF _Toc43476026 \h </w:instrText>
      </w:r>
      <w:r>
        <w:rPr>
          <w:color w:val="auto"/>
          <w:highlight w:val="none"/>
        </w:rPr>
        <w:fldChar w:fldCharType="separate"/>
      </w:r>
      <w:r>
        <w:rPr>
          <w:color w:val="auto"/>
          <w:highlight w:val="none"/>
        </w:rPr>
        <w:t>238</w:t>
      </w:r>
      <w:r>
        <w:rPr>
          <w:color w:val="auto"/>
          <w:highlight w:val="none"/>
        </w:rPr>
        <w:fldChar w:fldCharType="end"/>
      </w:r>
      <w:r>
        <w:rPr>
          <w:color w:val="auto"/>
          <w:highlight w:val="none"/>
        </w:rPr>
        <w:fldChar w:fldCharType="end"/>
      </w:r>
    </w:p>
    <w:p w14:paraId="11C594EA">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"_Toc43476027" </w:instrText>
      </w:r>
      <w:r>
        <w:rPr>
          <w:color w:val="auto"/>
          <w:highlight w:val="none"/>
        </w:rPr>
        <w:fldChar w:fldCharType="separate"/>
      </w:r>
      <w:r>
        <w:rPr>
          <w:rStyle w:val="50"/>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_Toc43476027 \h </w:instrText>
      </w:r>
      <w:r>
        <w:rPr>
          <w:color w:val="auto"/>
          <w:highlight w:val="none"/>
        </w:rPr>
        <w:fldChar w:fldCharType="separate"/>
      </w:r>
      <w:r>
        <w:rPr>
          <w:color w:val="auto"/>
          <w:highlight w:val="none"/>
        </w:rPr>
        <w:t>239</w:t>
      </w:r>
      <w:r>
        <w:rPr>
          <w:color w:val="auto"/>
          <w:highlight w:val="none"/>
        </w:rPr>
        <w:fldChar w:fldCharType="end"/>
      </w:r>
      <w:r>
        <w:rPr>
          <w:color w:val="auto"/>
          <w:highlight w:val="none"/>
        </w:rPr>
        <w:fldChar w:fldCharType="end"/>
      </w:r>
    </w:p>
    <w:p w14:paraId="638CC854">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"_Toc43476028" </w:instrText>
      </w:r>
      <w:r>
        <w:rPr>
          <w:color w:val="auto"/>
          <w:highlight w:val="none"/>
        </w:rPr>
        <w:fldChar w:fldCharType="separate"/>
      </w:r>
      <w:r>
        <w:rPr>
          <w:rStyle w:val="50"/>
          <w:rFonts w:hint="eastAsia"/>
          <w:color w:val="auto"/>
          <w:highlight w:val="none"/>
        </w:rPr>
        <w:t>第七章技术规范（自行收集）</w:t>
      </w:r>
      <w:r>
        <w:rPr>
          <w:color w:val="auto"/>
          <w:highlight w:val="none"/>
        </w:rPr>
        <w:tab/>
      </w:r>
      <w:r>
        <w:rPr>
          <w:color w:val="auto"/>
          <w:highlight w:val="none"/>
        </w:rPr>
        <w:fldChar w:fldCharType="begin"/>
      </w:r>
      <w:r>
        <w:rPr>
          <w:color w:val="auto"/>
          <w:highlight w:val="none"/>
        </w:rPr>
        <w:instrText xml:space="preserve"> PAGEREF _Toc43476028 \h </w:instrText>
      </w:r>
      <w:r>
        <w:rPr>
          <w:color w:val="auto"/>
          <w:highlight w:val="none"/>
        </w:rPr>
        <w:fldChar w:fldCharType="separate"/>
      </w:r>
      <w:r>
        <w:rPr>
          <w:color w:val="auto"/>
          <w:highlight w:val="none"/>
        </w:rPr>
        <w:t>240</w:t>
      </w:r>
      <w:r>
        <w:rPr>
          <w:color w:val="auto"/>
          <w:highlight w:val="none"/>
        </w:rPr>
        <w:fldChar w:fldCharType="end"/>
      </w:r>
      <w:r>
        <w:rPr>
          <w:color w:val="auto"/>
          <w:highlight w:val="none"/>
        </w:rPr>
        <w:fldChar w:fldCharType="end"/>
      </w:r>
    </w:p>
    <w:p w14:paraId="3208A4ED">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"_Toc43476029" </w:instrText>
      </w:r>
      <w:r>
        <w:rPr>
          <w:color w:val="auto"/>
          <w:highlight w:val="none"/>
        </w:rPr>
        <w:fldChar w:fldCharType="separate"/>
      </w:r>
      <w:r>
        <w:rPr>
          <w:rStyle w:val="50"/>
          <w:rFonts w:hint="eastAsia"/>
          <w:color w:val="auto"/>
          <w:highlight w:val="none"/>
        </w:rPr>
        <w:t>第八章工程量清单计量规则</w:t>
      </w:r>
      <w:r>
        <w:rPr>
          <w:color w:val="auto"/>
          <w:highlight w:val="none"/>
        </w:rPr>
        <w:tab/>
      </w:r>
      <w:r>
        <w:rPr>
          <w:color w:val="auto"/>
          <w:highlight w:val="none"/>
        </w:rPr>
        <w:fldChar w:fldCharType="begin"/>
      </w:r>
      <w:r>
        <w:rPr>
          <w:color w:val="auto"/>
          <w:highlight w:val="none"/>
        </w:rPr>
        <w:instrText xml:space="preserve"> PAGEREF _Toc43476029 \h </w:instrText>
      </w:r>
      <w:r>
        <w:rPr>
          <w:color w:val="auto"/>
          <w:highlight w:val="none"/>
        </w:rPr>
        <w:fldChar w:fldCharType="separate"/>
      </w:r>
      <w:r>
        <w:rPr>
          <w:color w:val="auto"/>
          <w:highlight w:val="none"/>
        </w:rPr>
        <w:t>241</w:t>
      </w:r>
      <w:r>
        <w:rPr>
          <w:color w:val="auto"/>
          <w:highlight w:val="none"/>
        </w:rPr>
        <w:fldChar w:fldCharType="end"/>
      </w:r>
      <w:r>
        <w:rPr>
          <w:color w:val="auto"/>
          <w:highlight w:val="none"/>
        </w:rPr>
        <w:fldChar w:fldCharType="end"/>
      </w:r>
    </w:p>
    <w:p w14:paraId="20A6790C">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"_Toc43476030" </w:instrText>
      </w:r>
      <w:r>
        <w:rPr>
          <w:color w:val="auto"/>
          <w:highlight w:val="none"/>
        </w:rPr>
        <w:fldChar w:fldCharType="separate"/>
      </w:r>
      <w:r>
        <w:rPr>
          <w:rStyle w:val="50"/>
          <w:rFonts w:hint="eastAsia"/>
          <w:color w:val="auto"/>
          <w:highlight w:val="none"/>
        </w:rPr>
        <w:t>第四卷</w:t>
      </w:r>
      <w:r>
        <w:rPr>
          <w:color w:val="auto"/>
          <w:highlight w:val="none"/>
        </w:rPr>
        <w:tab/>
      </w:r>
      <w:r>
        <w:rPr>
          <w:color w:val="auto"/>
          <w:highlight w:val="none"/>
        </w:rPr>
        <w:fldChar w:fldCharType="begin"/>
      </w:r>
      <w:r>
        <w:rPr>
          <w:color w:val="auto"/>
          <w:highlight w:val="none"/>
        </w:rPr>
        <w:instrText xml:space="preserve"> PAGEREF _Toc43476030 \h </w:instrText>
      </w:r>
      <w:r>
        <w:rPr>
          <w:color w:val="auto"/>
          <w:highlight w:val="none"/>
        </w:rPr>
        <w:fldChar w:fldCharType="separate"/>
      </w:r>
      <w:r>
        <w:rPr>
          <w:color w:val="auto"/>
          <w:highlight w:val="none"/>
        </w:rPr>
        <w:t>242</w:t>
      </w:r>
      <w:r>
        <w:rPr>
          <w:color w:val="auto"/>
          <w:highlight w:val="none"/>
        </w:rPr>
        <w:fldChar w:fldCharType="end"/>
      </w:r>
      <w:r>
        <w:rPr>
          <w:color w:val="auto"/>
          <w:highlight w:val="none"/>
        </w:rPr>
        <w:fldChar w:fldCharType="end"/>
      </w:r>
    </w:p>
    <w:p w14:paraId="58425BCF">
      <w:pPr>
        <w:pStyle w:val="29"/>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"_Toc43476031" </w:instrText>
      </w:r>
      <w:r>
        <w:rPr>
          <w:color w:val="auto"/>
          <w:highlight w:val="none"/>
        </w:rPr>
        <w:fldChar w:fldCharType="separate"/>
      </w:r>
      <w:r>
        <w:rPr>
          <w:rStyle w:val="50"/>
          <w:rFonts w:hint="eastAsia"/>
          <w:color w:val="auto"/>
          <w:highlight w:val="none"/>
        </w:rPr>
        <w:t>第九章投标文件格式</w:t>
      </w:r>
      <w:r>
        <w:rPr>
          <w:color w:val="auto"/>
          <w:highlight w:val="none"/>
        </w:rPr>
        <w:tab/>
      </w:r>
      <w:r>
        <w:rPr>
          <w:color w:val="auto"/>
          <w:highlight w:val="none"/>
        </w:rPr>
        <w:fldChar w:fldCharType="begin"/>
      </w:r>
      <w:r>
        <w:rPr>
          <w:color w:val="auto"/>
          <w:highlight w:val="none"/>
        </w:rPr>
        <w:instrText xml:space="preserve"> PAGEREF _Toc43476031 \h </w:instrText>
      </w:r>
      <w:r>
        <w:rPr>
          <w:color w:val="auto"/>
          <w:highlight w:val="none"/>
        </w:rPr>
        <w:fldChar w:fldCharType="separate"/>
      </w:r>
      <w:r>
        <w:rPr>
          <w:color w:val="auto"/>
          <w:highlight w:val="none"/>
        </w:rPr>
        <w:t>243</w:t>
      </w:r>
      <w:r>
        <w:rPr>
          <w:color w:val="auto"/>
          <w:highlight w:val="none"/>
        </w:rPr>
        <w:fldChar w:fldCharType="end"/>
      </w:r>
      <w:r>
        <w:rPr>
          <w:color w:val="auto"/>
          <w:highlight w:val="none"/>
        </w:rPr>
        <w:fldChar w:fldCharType="end"/>
      </w:r>
    </w:p>
    <w:p w14:paraId="6304E5CA">
      <w:pPr>
        <w:shd w:val="clear" w:fill="FFFFFF" w:themeFill="background1"/>
        <w:spacing w:line="250" w:lineRule="exact"/>
        <w:ind w:firstLine="1058" w:firstLineChars="504"/>
        <w:rPr>
          <w:rFonts w:ascii="宋体" w:hAnsi="宋体"/>
          <w:color w:val="auto"/>
          <w:sz w:val="32"/>
          <w:szCs w:val="32"/>
          <w:highlight w:val="none"/>
          <w:u w:val="single"/>
        </w:rPr>
      </w:pPr>
      <w:r>
        <w:rPr>
          <w:rFonts w:hint="eastAsia" w:ascii="宋体" w:hAnsi="宋体" w:cs="宋体"/>
          <w:color w:val="auto"/>
          <w:highlight w:val="none"/>
          <w:u w:val="single"/>
        </w:rPr>
        <w:fldChar w:fldCharType="end"/>
      </w:r>
    </w:p>
    <w:p w14:paraId="4A2E2D88">
      <w:pPr>
        <w:shd w:val="clear" w:fill="FFFFFF" w:themeFill="background1"/>
        <w:jc w:val="center"/>
        <w:rPr>
          <w:rFonts w:ascii="宋体" w:hAnsi="宋体"/>
          <w:color w:val="auto"/>
          <w:sz w:val="72"/>
          <w:szCs w:val="72"/>
          <w:highlight w:val="none"/>
          <w:u w:val="single"/>
        </w:rPr>
      </w:pPr>
      <w:r>
        <w:rPr>
          <w:rFonts w:hint="eastAsia" w:ascii="宋体" w:hAnsi="宋体"/>
          <w:color w:val="auto"/>
          <w:sz w:val="32"/>
          <w:szCs w:val="32"/>
          <w:highlight w:val="none"/>
          <w:u w:val="single"/>
        </w:rPr>
        <w:br w:type="page"/>
      </w:r>
    </w:p>
    <w:p w14:paraId="574A1F1B">
      <w:pPr>
        <w:shd w:val="clear" w:fill="FFFFFF" w:themeFill="background1"/>
        <w:jc w:val="center"/>
        <w:rPr>
          <w:rFonts w:ascii="宋体" w:hAnsi="宋体"/>
          <w:color w:val="auto"/>
          <w:sz w:val="72"/>
          <w:szCs w:val="72"/>
          <w:highlight w:val="none"/>
          <w:u w:val="single"/>
        </w:rPr>
      </w:pPr>
    </w:p>
    <w:p w14:paraId="0EB9CEBF">
      <w:pPr>
        <w:shd w:val="clear" w:fill="FFFFFF" w:themeFill="background1"/>
        <w:jc w:val="center"/>
        <w:rPr>
          <w:rFonts w:ascii="宋体" w:hAnsi="宋体"/>
          <w:color w:val="auto"/>
          <w:sz w:val="72"/>
          <w:szCs w:val="72"/>
          <w:highlight w:val="none"/>
          <w:u w:val="single"/>
        </w:rPr>
      </w:pPr>
    </w:p>
    <w:p w14:paraId="656AB298">
      <w:pPr>
        <w:shd w:val="clear" w:fill="FFFFFF" w:themeFill="background1"/>
        <w:jc w:val="center"/>
        <w:rPr>
          <w:rFonts w:ascii="宋体" w:hAnsi="宋体"/>
          <w:color w:val="auto"/>
          <w:sz w:val="72"/>
          <w:szCs w:val="72"/>
          <w:highlight w:val="none"/>
          <w:u w:val="single"/>
        </w:rPr>
      </w:pPr>
    </w:p>
    <w:p w14:paraId="2286163E">
      <w:pPr>
        <w:shd w:val="clear" w:fill="FFFFFF" w:themeFill="background1"/>
        <w:jc w:val="center"/>
        <w:rPr>
          <w:rFonts w:ascii="宋体" w:hAnsi="宋体"/>
          <w:color w:val="auto"/>
          <w:sz w:val="72"/>
          <w:szCs w:val="72"/>
          <w:highlight w:val="none"/>
          <w:u w:val="single"/>
        </w:rPr>
      </w:pPr>
    </w:p>
    <w:p w14:paraId="7B1EC1F9">
      <w:pPr>
        <w:shd w:val="clear" w:fill="FFFFFF" w:themeFill="background1"/>
        <w:jc w:val="center"/>
        <w:rPr>
          <w:rFonts w:ascii="宋体" w:hAnsi="宋体"/>
          <w:color w:val="auto"/>
          <w:sz w:val="72"/>
          <w:szCs w:val="72"/>
          <w:highlight w:val="none"/>
          <w:u w:val="single"/>
        </w:rPr>
      </w:pPr>
    </w:p>
    <w:p w14:paraId="32B65292">
      <w:pPr>
        <w:shd w:val="clear" w:fill="FFFFFF" w:themeFill="background1"/>
        <w:jc w:val="center"/>
        <w:rPr>
          <w:rFonts w:ascii="宋体" w:hAnsi="宋体"/>
          <w:color w:val="auto"/>
          <w:sz w:val="72"/>
          <w:szCs w:val="72"/>
          <w:highlight w:val="none"/>
          <w:u w:val="single"/>
        </w:rPr>
      </w:pPr>
    </w:p>
    <w:p w14:paraId="0349F919">
      <w:pPr>
        <w:shd w:val="clear" w:fill="FFFFFF" w:themeFill="background1"/>
        <w:jc w:val="center"/>
        <w:rPr>
          <w:rFonts w:ascii="宋体" w:hAnsi="宋体"/>
          <w:color w:val="auto"/>
          <w:sz w:val="72"/>
          <w:szCs w:val="72"/>
          <w:highlight w:val="none"/>
        </w:rPr>
      </w:pPr>
      <w:r>
        <w:rPr>
          <w:rFonts w:hint="eastAsia" w:ascii="宋体" w:hAnsi="宋体"/>
          <w:color w:val="auto"/>
          <w:sz w:val="72"/>
          <w:szCs w:val="72"/>
          <w:highlight w:val="none"/>
        </w:rPr>
        <w:t>第  一  卷</w:t>
      </w:r>
    </w:p>
    <w:p w14:paraId="1304D91C">
      <w:pPr>
        <w:shd w:val="clear" w:fill="FFFFFF" w:themeFill="background1"/>
        <w:jc w:val="center"/>
        <w:rPr>
          <w:rFonts w:ascii="宋体" w:hAnsi="宋体"/>
          <w:color w:val="auto"/>
          <w:sz w:val="72"/>
          <w:szCs w:val="72"/>
          <w:highlight w:val="none"/>
        </w:rPr>
      </w:pPr>
    </w:p>
    <w:p w14:paraId="4C64ABDD">
      <w:pPr>
        <w:shd w:val="clear" w:fill="FFFFFF" w:themeFill="background1"/>
        <w:jc w:val="center"/>
        <w:rPr>
          <w:rFonts w:ascii="宋体" w:hAnsi="宋体"/>
          <w:color w:val="auto"/>
          <w:sz w:val="72"/>
          <w:szCs w:val="72"/>
          <w:highlight w:val="none"/>
        </w:rPr>
      </w:pPr>
    </w:p>
    <w:p w14:paraId="5DFF4EBF">
      <w:pPr>
        <w:shd w:val="clear" w:fill="FFFFFF" w:themeFill="background1"/>
        <w:jc w:val="center"/>
        <w:rPr>
          <w:rFonts w:ascii="宋体" w:hAnsi="宋体"/>
          <w:color w:val="auto"/>
          <w:sz w:val="72"/>
          <w:szCs w:val="72"/>
          <w:highlight w:val="none"/>
        </w:rPr>
      </w:pPr>
    </w:p>
    <w:p w14:paraId="5062EDD7">
      <w:pPr>
        <w:shd w:val="clear" w:fill="FFFFFF" w:themeFill="background1"/>
        <w:jc w:val="center"/>
        <w:rPr>
          <w:rFonts w:ascii="宋体" w:hAnsi="宋体"/>
          <w:color w:val="auto"/>
          <w:sz w:val="72"/>
          <w:szCs w:val="72"/>
          <w:highlight w:val="none"/>
        </w:rPr>
      </w:pPr>
    </w:p>
    <w:p w14:paraId="3B51B6EC">
      <w:pPr>
        <w:shd w:val="clear" w:fill="FFFFFF" w:themeFill="background1"/>
        <w:jc w:val="center"/>
        <w:rPr>
          <w:rFonts w:ascii="宋体" w:hAnsi="宋体"/>
          <w:color w:val="auto"/>
          <w:sz w:val="72"/>
          <w:szCs w:val="72"/>
          <w:highlight w:val="none"/>
        </w:rPr>
      </w:pPr>
    </w:p>
    <w:p w14:paraId="601BE4F9">
      <w:pPr>
        <w:shd w:val="clear" w:fill="FFFFFF" w:themeFill="background1"/>
        <w:jc w:val="center"/>
        <w:rPr>
          <w:rFonts w:ascii="宋体" w:hAnsi="宋体"/>
          <w:color w:val="auto"/>
          <w:sz w:val="72"/>
          <w:szCs w:val="72"/>
          <w:highlight w:val="none"/>
        </w:rPr>
      </w:pPr>
    </w:p>
    <w:p w14:paraId="0D8CA0D3">
      <w:pPr>
        <w:shd w:val="clear" w:fill="FFFFFF" w:themeFill="background1"/>
        <w:jc w:val="center"/>
        <w:rPr>
          <w:rFonts w:ascii="宋体" w:hAnsi="宋体"/>
          <w:color w:val="auto"/>
          <w:sz w:val="72"/>
          <w:szCs w:val="72"/>
          <w:highlight w:val="none"/>
        </w:rPr>
      </w:pPr>
    </w:p>
    <w:p w14:paraId="580B071D">
      <w:pPr>
        <w:shd w:val="clear" w:fill="FFFFFF" w:themeFill="background1"/>
        <w:jc w:val="center"/>
        <w:rPr>
          <w:rFonts w:ascii="宋体" w:hAnsi="宋体"/>
          <w:color w:val="auto"/>
          <w:sz w:val="72"/>
          <w:szCs w:val="72"/>
          <w:highlight w:val="none"/>
          <w:u w:val="single"/>
        </w:rPr>
      </w:pPr>
    </w:p>
    <w:p w14:paraId="38969CAE">
      <w:pPr>
        <w:shd w:val="clear" w:fill="FFFFFF" w:themeFill="background1"/>
        <w:jc w:val="center"/>
        <w:rPr>
          <w:rFonts w:ascii="宋体" w:hAnsi="宋体"/>
          <w:color w:val="auto"/>
          <w:sz w:val="72"/>
          <w:szCs w:val="72"/>
          <w:highlight w:val="none"/>
          <w:u w:val="single"/>
        </w:rPr>
      </w:pPr>
    </w:p>
    <w:p w14:paraId="57B49019">
      <w:pPr>
        <w:shd w:val="clear" w:fill="FFFFFF" w:themeFill="background1"/>
        <w:jc w:val="center"/>
        <w:rPr>
          <w:rFonts w:ascii="宋体" w:hAnsi="宋体"/>
          <w:color w:val="auto"/>
          <w:sz w:val="72"/>
          <w:szCs w:val="72"/>
          <w:highlight w:val="none"/>
          <w:u w:val="single"/>
        </w:rPr>
      </w:pPr>
    </w:p>
    <w:p w14:paraId="3EEAF8B4">
      <w:pPr>
        <w:shd w:val="clear" w:fill="FFFFFF" w:themeFill="background1"/>
        <w:jc w:val="center"/>
        <w:rPr>
          <w:rFonts w:ascii="宋体" w:hAnsi="宋体"/>
          <w:color w:val="auto"/>
          <w:sz w:val="72"/>
          <w:szCs w:val="72"/>
          <w:highlight w:val="none"/>
          <w:u w:val="single"/>
        </w:rPr>
      </w:pPr>
    </w:p>
    <w:p w14:paraId="48058C31">
      <w:pPr>
        <w:shd w:val="clear" w:fill="FFFFFF" w:themeFill="background1"/>
        <w:jc w:val="center"/>
        <w:rPr>
          <w:rFonts w:ascii="宋体" w:hAnsi="宋体"/>
          <w:color w:val="auto"/>
          <w:sz w:val="72"/>
          <w:szCs w:val="72"/>
          <w:highlight w:val="none"/>
          <w:u w:val="single"/>
        </w:rPr>
      </w:pPr>
    </w:p>
    <w:p w14:paraId="2B887C84">
      <w:pPr>
        <w:shd w:val="clear" w:fill="FFFFFF" w:themeFill="background1"/>
        <w:jc w:val="center"/>
        <w:rPr>
          <w:rFonts w:ascii="宋体" w:hAnsi="宋体"/>
          <w:color w:val="auto"/>
          <w:sz w:val="72"/>
          <w:szCs w:val="72"/>
          <w:highlight w:val="none"/>
          <w:u w:val="single"/>
        </w:rPr>
      </w:pPr>
    </w:p>
    <w:p w14:paraId="721EC7A6">
      <w:pPr>
        <w:shd w:val="clear" w:fill="FFFFFF" w:themeFill="background1"/>
        <w:jc w:val="center"/>
        <w:rPr>
          <w:rFonts w:ascii="宋体" w:hAnsi="宋体"/>
          <w:color w:val="auto"/>
          <w:sz w:val="72"/>
          <w:szCs w:val="72"/>
          <w:highlight w:val="none"/>
          <w:u w:val="single"/>
        </w:rPr>
      </w:pPr>
    </w:p>
    <w:p w14:paraId="07454FD5">
      <w:pPr>
        <w:shd w:val="clear" w:fill="FFFFFF" w:themeFill="background1"/>
        <w:jc w:val="center"/>
        <w:rPr>
          <w:rFonts w:ascii="宋体" w:hAnsi="宋体"/>
          <w:color w:val="auto"/>
          <w:sz w:val="52"/>
          <w:szCs w:val="52"/>
          <w:highlight w:val="none"/>
        </w:rPr>
      </w:pPr>
      <w:r>
        <w:rPr>
          <w:rFonts w:hint="eastAsia" w:ascii="宋体" w:hAnsi="宋体"/>
          <w:color w:val="auto"/>
          <w:sz w:val="52"/>
          <w:szCs w:val="52"/>
          <w:highlight w:val="none"/>
        </w:rPr>
        <w:t>第一章  招标公告</w:t>
      </w:r>
    </w:p>
    <w:p w14:paraId="186A08A2">
      <w:pPr>
        <w:shd w:val="clear" w:fill="FFFFFF" w:themeFill="background1"/>
        <w:jc w:val="center"/>
        <w:rPr>
          <w:rFonts w:ascii="宋体" w:hAnsi="宋体"/>
          <w:color w:val="auto"/>
          <w:sz w:val="72"/>
          <w:szCs w:val="72"/>
          <w:highlight w:val="none"/>
        </w:rPr>
      </w:pPr>
    </w:p>
    <w:p w14:paraId="403C80D5">
      <w:pPr>
        <w:shd w:val="clear" w:fill="FFFFFF" w:themeFill="background1"/>
        <w:jc w:val="center"/>
        <w:rPr>
          <w:rFonts w:ascii="宋体" w:hAnsi="宋体"/>
          <w:color w:val="auto"/>
          <w:sz w:val="72"/>
          <w:szCs w:val="72"/>
          <w:highlight w:val="none"/>
        </w:rPr>
      </w:pPr>
    </w:p>
    <w:p w14:paraId="38C2CBFA">
      <w:pPr>
        <w:shd w:val="clear" w:fill="FFFFFF" w:themeFill="background1"/>
        <w:jc w:val="center"/>
        <w:rPr>
          <w:rFonts w:ascii="宋体" w:hAnsi="宋体"/>
          <w:color w:val="auto"/>
          <w:sz w:val="72"/>
          <w:szCs w:val="72"/>
          <w:highlight w:val="none"/>
        </w:rPr>
      </w:pPr>
    </w:p>
    <w:p w14:paraId="58F2BA98">
      <w:pPr>
        <w:shd w:val="clear" w:fill="FFFFFF" w:themeFill="background1"/>
        <w:jc w:val="center"/>
        <w:rPr>
          <w:rFonts w:ascii="宋体" w:hAnsi="宋体"/>
          <w:color w:val="auto"/>
          <w:sz w:val="72"/>
          <w:szCs w:val="72"/>
          <w:highlight w:val="none"/>
        </w:rPr>
      </w:pPr>
    </w:p>
    <w:p w14:paraId="22AD5D7B">
      <w:pPr>
        <w:shd w:val="clear" w:fill="FFFFFF" w:themeFill="background1"/>
        <w:jc w:val="center"/>
        <w:rPr>
          <w:rFonts w:ascii="宋体" w:hAnsi="宋体"/>
          <w:color w:val="auto"/>
          <w:sz w:val="72"/>
          <w:szCs w:val="72"/>
          <w:highlight w:val="none"/>
        </w:rPr>
      </w:pPr>
    </w:p>
    <w:p w14:paraId="7A286C6E">
      <w:pPr>
        <w:shd w:val="clear" w:fill="FFFFFF" w:themeFill="background1"/>
        <w:jc w:val="center"/>
        <w:rPr>
          <w:rFonts w:ascii="宋体" w:hAnsi="宋体"/>
          <w:color w:val="auto"/>
          <w:sz w:val="72"/>
          <w:szCs w:val="72"/>
          <w:highlight w:val="none"/>
        </w:rPr>
      </w:pPr>
    </w:p>
    <w:p w14:paraId="76CC7048">
      <w:pPr>
        <w:shd w:val="clear" w:fill="FFFFFF" w:themeFill="background1"/>
        <w:jc w:val="center"/>
        <w:rPr>
          <w:rFonts w:ascii="宋体" w:hAnsi="宋体"/>
          <w:color w:val="auto"/>
          <w:sz w:val="72"/>
          <w:szCs w:val="72"/>
          <w:highlight w:val="none"/>
        </w:rPr>
      </w:pPr>
    </w:p>
    <w:p w14:paraId="4A187E18">
      <w:pPr>
        <w:pStyle w:val="3"/>
        <w:numPr>
          <w:ilvl w:val="0"/>
          <w:numId w:val="2"/>
        </w:numPr>
        <w:shd w:val="clear" w:fill="FFFFFF" w:themeFill="background1"/>
        <w:adjustRightInd w:val="0"/>
        <w:snapToGrid w:val="0"/>
        <w:spacing w:before="120" w:line="240" w:lineRule="auto"/>
        <w:jc w:val="center"/>
        <w:rPr>
          <w:rFonts w:ascii="宋体" w:hAnsi="宋体"/>
          <w:color w:val="auto"/>
          <w:sz w:val="36"/>
          <w:highlight w:val="none"/>
        </w:rPr>
        <w:sectPr>
          <w:footerReference r:id="rId7" w:type="first"/>
          <w:footerReference r:id="rId6" w:type="default"/>
          <w:pgSz w:w="11910" w:h="16840"/>
          <w:pgMar w:top="941" w:right="720" w:bottom="1179" w:left="980" w:header="707" w:footer="998" w:gutter="0"/>
          <w:pgNumType w:start="1"/>
          <w:cols w:space="720" w:num="1"/>
        </w:sectPr>
      </w:pPr>
    </w:p>
    <w:p w14:paraId="5C8DA846">
      <w:pPr>
        <w:pStyle w:val="3"/>
        <w:numPr>
          <w:ilvl w:val="0"/>
          <w:numId w:val="2"/>
        </w:numPr>
        <w:shd w:val="clear" w:fill="FFFFFF" w:themeFill="background1"/>
        <w:adjustRightInd w:val="0"/>
        <w:snapToGrid w:val="0"/>
        <w:spacing w:before="120" w:after="100" w:line="240" w:lineRule="auto"/>
        <w:jc w:val="center"/>
        <w:rPr>
          <w:rFonts w:ascii="宋体" w:hAnsi="宋体"/>
          <w:color w:val="auto"/>
          <w:sz w:val="36"/>
          <w:highlight w:val="none"/>
        </w:rPr>
      </w:pPr>
      <w:bookmarkStart w:id="0" w:name="_Toc43475653"/>
      <w:bookmarkEnd w:id="0"/>
      <w:bookmarkStart w:id="1" w:name="_Toc11768"/>
      <w:bookmarkEnd w:id="1"/>
      <w:bookmarkStart w:id="2" w:name="_Toc10454"/>
      <w:bookmarkStart w:id="3" w:name="_Toc234382586"/>
      <w:bookmarkStart w:id="4" w:name="_Toc9236"/>
      <w:r>
        <w:rPr>
          <w:rFonts w:ascii="宋体" w:hAnsi="宋体"/>
          <w:color w:val="auto"/>
          <w:sz w:val="36"/>
          <w:highlight w:val="none"/>
        </w:rPr>
        <w:t>招标公告</w:t>
      </w:r>
      <w:bookmarkEnd w:id="2"/>
    </w:p>
    <w:p w14:paraId="69527E0C">
      <w:pPr>
        <w:pStyle w:val="75"/>
        <w:shd w:val="clear" w:fill="FFFFFF" w:themeFill="background1"/>
        <w:rPr>
          <w:rFonts w:cs="宋体"/>
          <w:color w:val="auto"/>
          <w:szCs w:val="28"/>
          <w:highlight w:val="none"/>
        </w:rPr>
      </w:pPr>
      <w:bookmarkStart w:id="5" w:name="_Toc424739344"/>
      <w:r>
        <w:rPr>
          <w:rFonts w:hint="eastAsia" w:cs="宋体"/>
          <w:color w:val="auto"/>
          <w:szCs w:val="28"/>
          <w:highlight w:val="none"/>
          <w:lang w:eastAsia="zh-CN"/>
        </w:rPr>
        <w:t>乐昌市“百千万工程”典型镇村公路建设项目（第二批） X330 罗家渡至新秦路网提升改造工程施工</w:t>
      </w:r>
      <w:r>
        <w:rPr>
          <w:rFonts w:hint="eastAsia" w:cs="宋体"/>
          <w:color w:val="auto"/>
          <w:szCs w:val="28"/>
          <w:highlight w:val="none"/>
        </w:rPr>
        <w:t>招标公告</w:t>
      </w:r>
    </w:p>
    <w:p w14:paraId="0EB609C3">
      <w:pPr>
        <w:pStyle w:val="4"/>
        <w:shd w:val="clear" w:fill="FFFFFF" w:themeFill="background1"/>
        <w:spacing w:line="400" w:lineRule="atLeast"/>
        <w:rPr>
          <w:rFonts w:ascii="宋体" w:hAnsi="宋体" w:eastAsia="宋体" w:cs="黑体"/>
          <w:bCs w:val="0"/>
          <w:color w:val="auto"/>
          <w:sz w:val="28"/>
          <w:szCs w:val="28"/>
          <w:highlight w:val="none"/>
        </w:rPr>
      </w:pPr>
      <w:bookmarkStart w:id="6" w:name="_Toc18249"/>
      <w:bookmarkStart w:id="7" w:name="_Toc30127"/>
      <w:r>
        <w:rPr>
          <w:rFonts w:hint="eastAsia" w:ascii="宋体" w:hAnsi="宋体" w:eastAsia="宋体" w:cs="黑体"/>
          <w:bCs w:val="0"/>
          <w:color w:val="auto"/>
          <w:sz w:val="28"/>
          <w:szCs w:val="28"/>
          <w:highlight w:val="none"/>
        </w:rPr>
        <w:t>1.招标条件</w:t>
      </w:r>
      <w:bookmarkEnd w:id="5"/>
      <w:bookmarkEnd w:id="6"/>
      <w:bookmarkEnd w:id="7"/>
    </w:p>
    <w:p w14:paraId="28D244E2">
      <w:pPr>
        <w:shd w:val="clear" w:fill="FFFFFF" w:themeFill="background1"/>
        <w:spacing w:line="360" w:lineRule="auto"/>
        <w:ind w:firstLine="480" w:firstLineChars="200"/>
        <w:rPr>
          <w:rFonts w:hAnsi="宋体"/>
          <w:color w:val="auto"/>
          <w:sz w:val="24"/>
          <w:highlight w:val="none"/>
        </w:rPr>
      </w:pPr>
      <w:bookmarkStart w:id="8" w:name="_Toc424739345"/>
      <w:bookmarkStart w:id="9" w:name="_Toc544"/>
      <w:r>
        <w:rPr>
          <w:rFonts w:hint="eastAsia" w:hAnsi="宋体"/>
          <w:color w:val="auto"/>
          <w:sz w:val="24"/>
          <w:highlight w:val="none"/>
        </w:rPr>
        <w:t>本招标项目</w:t>
      </w:r>
      <w:r>
        <w:rPr>
          <w:rFonts w:hint="eastAsia" w:hAnsi="宋体"/>
          <w:color w:val="auto"/>
          <w:sz w:val="24"/>
          <w:highlight w:val="none"/>
          <w:u w:val="single"/>
          <w:lang w:eastAsia="zh-CN"/>
        </w:rPr>
        <w:t>乐昌市“百千万工程”典型镇村公路建设项目（第二批）</w:t>
      </w:r>
      <w:r>
        <w:rPr>
          <w:rFonts w:hint="eastAsia" w:hAnsi="宋体"/>
          <w:color w:val="auto"/>
          <w:sz w:val="24"/>
          <w:highlight w:val="none"/>
        </w:rPr>
        <w:t>已由</w:t>
      </w:r>
      <w:r>
        <w:rPr>
          <w:rFonts w:hint="eastAsia" w:hAnsi="宋体"/>
          <w:color w:val="auto"/>
          <w:sz w:val="24"/>
          <w:highlight w:val="none"/>
          <w:lang w:val="en-US" w:eastAsia="zh-CN"/>
        </w:rPr>
        <w:t>乐昌市发展和改革局</w:t>
      </w:r>
      <w:r>
        <w:rPr>
          <w:rFonts w:hint="eastAsia"/>
          <w:color w:val="auto"/>
          <w:spacing w:val="9"/>
          <w:sz w:val="24"/>
          <w:highlight w:val="none"/>
        </w:rPr>
        <w:t>以</w:t>
      </w:r>
      <w:r>
        <w:rPr>
          <w:rFonts w:hint="eastAsia"/>
          <w:color w:val="auto"/>
          <w:sz w:val="24"/>
          <w:highlight w:val="none"/>
          <w:u w:val="single"/>
        </w:rPr>
        <w:t>《</w:t>
      </w:r>
      <w:r>
        <w:rPr>
          <w:rFonts w:hint="eastAsia" w:hAnsi="宋体"/>
          <w:color w:val="auto"/>
          <w:sz w:val="24"/>
          <w:highlight w:val="none"/>
          <w:u w:val="single"/>
          <w:lang w:eastAsia="zh-CN"/>
        </w:rPr>
        <w:t>乐昌市发展和改革局关于乐昌市“百千万工程”典型镇村公路建设项目（第二批）可行性研究报告的批复</w:t>
      </w:r>
      <w:r>
        <w:rPr>
          <w:rFonts w:hint="eastAsia"/>
          <w:color w:val="auto"/>
          <w:sz w:val="24"/>
          <w:highlight w:val="none"/>
          <w:u w:val="single"/>
        </w:rPr>
        <w:t>》</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乐发改投审〔2025〕77号</w:t>
      </w:r>
      <w:r>
        <w:rPr>
          <w:rFonts w:hint="eastAsia" w:ascii="宋体" w:hAnsi="宋体" w:cs="宋体"/>
          <w:color w:val="auto"/>
          <w:sz w:val="24"/>
          <w:highlight w:val="none"/>
          <w:u w:val="single"/>
        </w:rPr>
        <w:t>)</w:t>
      </w:r>
      <w:r>
        <w:rPr>
          <w:rFonts w:hint="eastAsia" w:ascii="宋体" w:hAnsi="宋体" w:cs="宋体"/>
          <w:color w:val="auto"/>
          <w:sz w:val="24"/>
          <w:highlight w:val="none"/>
          <w:lang w:val="en-US" w:eastAsia="zh-CN"/>
        </w:rPr>
        <w:t>批准建设</w:t>
      </w:r>
      <w:r>
        <w:rPr>
          <w:rFonts w:hint="eastAsia" w:ascii="宋体" w:hAnsi="宋体" w:cs="宋体"/>
          <w:color w:val="auto"/>
          <w:sz w:val="24"/>
          <w:highlight w:val="none"/>
        </w:rPr>
        <w:t>，</w:t>
      </w:r>
      <w:r>
        <w:rPr>
          <w:rFonts w:hint="eastAsia" w:hAnsi="宋体"/>
          <w:color w:val="auto"/>
          <w:sz w:val="24"/>
          <w:highlight w:val="none"/>
        </w:rPr>
        <w:t>投资项目统一代码为</w:t>
      </w:r>
      <w:r>
        <w:rPr>
          <w:rFonts w:hint="eastAsia" w:hAnsi="宋体"/>
          <w:color w:val="auto"/>
          <w:sz w:val="24"/>
          <w:highlight w:val="none"/>
          <w:u w:val="single"/>
          <w:lang w:eastAsia="zh-CN"/>
        </w:rPr>
        <w:t>2508-440281-04-01-793528</w:t>
      </w:r>
      <w:r>
        <w:rPr>
          <w:rFonts w:hint="eastAsia" w:hAnsi="宋体"/>
          <w:color w:val="auto"/>
          <w:sz w:val="24"/>
          <w:highlight w:val="none"/>
        </w:rPr>
        <w:t>；项目业主为</w:t>
      </w:r>
      <w:r>
        <w:rPr>
          <w:rFonts w:hint="eastAsia" w:hAnsi="宋体"/>
          <w:color w:val="auto"/>
          <w:sz w:val="24"/>
          <w:highlight w:val="none"/>
          <w:u w:val="single"/>
          <w:lang w:eastAsia="zh-CN"/>
        </w:rPr>
        <w:t>乐昌市坪石镇人民政府</w:t>
      </w:r>
      <w:r>
        <w:rPr>
          <w:rFonts w:hint="eastAsia" w:hAnsi="宋体"/>
          <w:color w:val="auto"/>
          <w:sz w:val="24"/>
          <w:highlight w:val="none"/>
        </w:rPr>
        <w:t>，建设资金来源为</w:t>
      </w:r>
      <w:r>
        <w:rPr>
          <w:rFonts w:hint="eastAsia" w:hAnsi="宋体"/>
          <w:color w:val="auto"/>
          <w:sz w:val="24"/>
          <w:highlight w:val="none"/>
          <w:u w:val="single"/>
          <w:lang w:eastAsia="zh-CN"/>
        </w:rPr>
        <w:t>上级财政资金，不足部分</w:t>
      </w:r>
      <w:r>
        <w:rPr>
          <w:rFonts w:hint="eastAsia" w:ascii="宋体" w:hAnsi="宋体" w:cs="宋体"/>
          <w:color w:val="auto"/>
          <w:sz w:val="24"/>
          <w:highlight w:val="none"/>
          <w:u w:val="single"/>
        </w:rPr>
        <w:t>由地方</w:t>
      </w:r>
      <w:r>
        <w:rPr>
          <w:rFonts w:hint="eastAsia" w:hAnsi="宋体"/>
          <w:color w:val="auto"/>
          <w:sz w:val="24"/>
          <w:highlight w:val="none"/>
          <w:u w:val="single"/>
          <w:lang w:eastAsia="zh-CN"/>
        </w:rPr>
        <w:t>自筹解决</w:t>
      </w:r>
      <w:r>
        <w:rPr>
          <w:rFonts w:hint="eastAsia" w:hAnsi="宋体"/>
          <w:color w:val="auto"/>
          <w:sz w:val="24"/>
          <w:highlight w:val="none"/>
        </w:rPr>
        <w:t>，项目出资比例为</w:t>
      </w:r>
      <w:r>
        <w:rPr>
          <w:rFonts w:hint="eastAsia" w:hAnsi="宋体"/>
          <w:color w:val="auto"/>
          <w:sz w:val="24"/>
          <w:highlight w:val="none"/>
          <w:u w:val="single"/>
        </w:rPr>
        <w:t>100%</w:t>
      </w:r>
      <w:r>
        <w:rPr>
          <w:rFonts w:hint="eastAsia" w:hAnsi="宋体"/>
          <w:color w:val="auto"/>
          <w:sz w:val="24"/>
          <w:highlight w:val="none"/>
        </w:rPr>
        <w:t>。招标人为</w:t>
      </w:r>
      <w:r>
        <w:rPr>
          <w:rFonts w:hint="eastAsia" w:hAnsi="宋体"/>
          <w:color w:val="auto"/>
          <w:sz w:val="24"/>
          <w:highlight w:val="none"/>
          <w:u w:val="single"/>
          <w:lang w:eastAsia="zh-CN"/>
        </w:rPr>
        <w:t>乐昌市坪石镇人民政府</w:t>
      </w:r>
      <w:r>
        <w:rPr>
          <w:rFonts w:ascii="宋体" w:hAnsi="宋体" w:cs="宋体"/>
          <w:color w:val="auto"/>
          <w:spacing w:val="-11"/>
          <w:sz w:val="23"/>
          <w:szCs w:val="23"/>
          <w:highlight w:val="none"/>
        </w:rPr>
        <w:t>。</w:t>
      </w:r>
      <w:r>
        <w:rPr>
          <w:rFonts w:ascii="宋体" w:hAnsi="宋体" w:cs="宋体"/>
          <w:color w:val="auto"/>
          <w:spacing w:val="-11"/>
          <w:sz w:val="24"/>
          <w:highlight w:val="none"/>
        </w:rPr>
        <w:t>项目已具备招标条件，</w:t>
      </w:r>
      <w:r>
        <w:rPr>
          <w:rFonts w:hint="eastAsia" w:hAnsi="宋体"/>
          <w:color w:val="auto"/>
          <w:sz w:val="24"/>
          <w:highlight w:val="none"/>
        </w:rPr>
        <w:t>现对</w:t>
      </w:r>
      <w:r>
        <w:rPr>
          <w:rFonts w:hint="eastAsia" w:hAnsi="宋体"/>
          <w:color w:val="auto"/>
          <w:sz w:val="24"/>
          <w:highlight w:val="none"/>
          <w:u w:val="single"/>
          <w:lang w:eastAsia="zh-CN"/>
        </w:rPr>
        <w:t>乐昌市“百千万工程”典型镇村公路建设项目（第二批） X330 罗家渡至新秦路网提升改造工程施工</w:t>
      </w:r>
      <w:r>
        <w:rPr>
          <w:rFonts w:hint="eastAsia" w:hAnsi="宋体"/>
          <w:color w:val="auto"/>
          <w:sz w:val="24"/>
          <w:highlight w:val="none"/>
        </w:rPr>
        <w:t>采用资格后审方式进行公开招标。</w:t>
      </w:r>
    </w:p>
    <w:p w14:paraId="6C5C6F51">
      <w:pPr>
        <w:pStyle w:val="4"/>
        <w:shd w:val="clear" w:fill="FFFFFF" w:themeFill="background1"/>
        <w:spacing w:line="240" w:lineRule="exact"/>
        <w:rPr>
          <w:rFonts w:ascii="宋体" w:hAnsi="宋体" w:eastAsia="宋体" w:cs="黑体"/>
          <w:bCs w:val="0"/>
          <w:color w:val="auto"/>
          <w:sz w:val="28"/>
          <w:szCs w:val="28"/>
          <w:highlight w:val="none"/>
        </w:rPr>
      </w:pPr>
      <w:bookmarkStart w:id="10" w:name="_Toc27864"/>
    </w:p>
    <w:p w14:paraId="0C08820B">
      <w:pPr>
        <w:pStyle w:val="4"/>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2.项目概况与招标范围</w:t>
      </w:r>
      <w:bookmarkEnd w:id="8"/>
      <w:bookmarkEnd w:id="9"/>
      <w:bookmarkEnd w:id="10"/>
    </w:p>
    <w:p w14:paraId="2C6D8697">
      <w:pPr>
        <w:shd w:val="clear" w:fill="FFFFFF" w:themeFill="background1"/>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2.1 </w:t>
      </w:r>
      <w:r>
        <w:rPr>
          <w:rFonts w:ascii="宋体" w:hAnsi="宋体"/>
          <w:color w:val="auto"/>
          <w:sz w:val="24"/>
          <w:highlight w:val="none"/>
        </w:rPr>
        <w:t>项目概况与招标</w:t>
      </w:r>
      <w:r>
        <w:rPr>
          <w:rFonts w:hint="eastAsia" w:ascii="宋体" w:hAnsi="宋体"/>
          <w:color w:val="auto"/>
          <w:sz w:val="24"/>
          <w:highlight w:val="none"/>
        </w:rPr>
        <w:t>范围</w:t>
      </w:r>
    </w:p>
    <w:p w14:paraId="1177ED88">
      <w:pPr>
        <w:shd w:val="clear" w:fill="FFFFFF" w:themeFill="background1"/>
        <w:spacing w:line="360" w:lineRule="auto"/>
        <w:ind w:firstLine="480" w:firstLineChars="200"/>
        <w:rPr>
          <w:rFonts w:ascii="宋体" w:hAnsi="宋体"/>
          <w:color w:val="auto"/>
          <w:sz w:val="24"/>
          <w:highlight w:val="none"/>
        </w:rPr>
      </w:pPr>
      <w:r>
        <w:rPr>
          <w:rFonts w:hint="eastAsia" w:ascii="宋体" w:hAnsi="宋体"/>
          <w:color w:val="auto"/>
          <w:sz w:val="24"/>
          <w:highlight w:val="none"/>
        </w:rPr>
        <w:t>2.1.1 建设地点：</w:t>
      </w:r>
      <w:r>
        <w:rPr>
          <w:rFonts w:hint="eastAsia" w:ascii="宋体" w:hAnsi="宋体" w:cs="宋体"/>
          <w:color w:val="auto"/>
          <w:sz w:val="24"/>
          <w:highlight w:val="none"/>
          <w:u w:val="single"/>
          <w:lang w:eastAsia="zh-CN"/>
        </w:rPr>
        <w:t>乐昌市坪石镇</w:t>
      </w:r>
      <w:r>
        <w:rPr>
          <w:rFonts w:hint="eastAsia" w:ascii="宋体" w:hAnsi="宋体"/>
          <w:color w:val="auto"/>
          <w:sz w:val="24"/>
          <w:highlight w:val="none"/>
        </w:rPr>
        <w:t>。</w:t>
      </w:r>
    </w:p>
    <w:p w14:paraId="1064E122">
      <w:pPr>
        <w:widowControl/>
        <w:shd w:val="clear" w:fill="FFFFFF" w:themeFill="background1"/>
        <w:spacing w:line="360" w:lineRule="auto"/>
        <w:ind w:firstLine="480"/>
        <w:jc w:val="left"/>
        <w:rPr>
          <w:rFonts w:ascii="宋体" w:hAnsi="宋体" w:cs="宋体"/>
          <w:color w:val="auto"/>
          <w:sz w:val="24"/>
          <w:highlight w:val="none"/>
          <w:u w:val="single"/>
        </w:rPr>
      </w:pPr>
      <w:r>
        <w:rPr>
          <w:rFonts w:hint="eastAsia" w:ascii="宋体" w:hAnsi="宋体"/>
          <w:color w:val="auto"/>
          <w:sz w:val="24"/>
          <w:highlight w:val="none"/>
        </w:rPr>
        <w:t>2.1.2 建设内容及规</w:t>
      </w:r>
      <w:r>
        <w:rPr>
          <w:rFonts w:hint="eastAsia" w:ascii="宋体" w:hAnsi="宋体" w:cs="宋体"/>
          <w:color w:val="auto"/>
          <w:sz w:val="24"/>
          <w:highlight w:val="none"/>
        </w:rPr>
        <w:t>模：</w:t>
      </w:r>
      <w:r>
        <w:rPr>
          <w:rFonts w:hint="eastAsia" w:ascii="宋体" w:hAnsi="宋体" w:cs="宋体"/>
          <w:color w:val="auto"/>
          <w:sz w:val="24"/>
          <w:highlight w:val="none"/>
          <w:u w:val="single"/>
          <w:lang w:val="en-US" w:eastAsia="zh-CN"/>
        </w:rPr>
        <w:t>起点接国道G535线（桩号：K0+000），经过老杨毡、白家、罗家渡圩等，至终点（桩号：K2+830）与X892线交界处，路线全长2.830公里。</w:t>
      </w:r>
      <w:r>
        <w:rPr>
          <w:rStyle w:val="121"/>
          <w:rFonts w:hint="eastAsia" w:ascii="宋体" w:hAnsi="宋体" w:eastAsia="宋体" w:cs="宋体"/>
          <w:color w:val="auto"/>
          <w:sz w:val="24"/>
          <w:szCs w:val="24"/>
          <w:highlight w:val="none"/>
          <w:u w:val="single"/>
        </w:rPr>
        <w:t>项目路线按三级公路路面宽度标准(局部困难路段宜宽则宽、宜窄则窄)设计，设计速度为30Km/h(</w:t>
      </w:r>
      <w:r>
        <w:rPr>
          <w:rStyle w:val="121"/>
          <w:rFonts w:hint="eastAsia" w:ascii="宋体" w:hAnsi="宋体" w:eastAsia="宋体" w:cs="宋体"/>
          <w:color w:val="auto"/>
          <w:sz w:val="24"/>
          <w:szCs w:val="24"/>
          <w:highlight w:val="none"/>
          <w:u w:val="single"/>
          <w:lang w:val="en-US" w:eastAsia="zh-CN"/>
        </w:rPr>
        <w:t>困</w:t>
      </w:r>
      <w:r>
        <w:rPr>
          <w:rStyle w:val="121"/>
          <w:rFonts w:hint="eastAsia" w:ascii="宋体" w:hAnsi="宋体" w:eastAsia="宋体" w:cs="宋体"/>
          <w:color w:val="auto"/>
          <w:sz w:val="24"/>
          <w:szCs w:val="24"/>
          <w:highlight w:val="none"/>
          <w:u w:val="single"/>
        </w:rPr>
        <w:t>难路段降低至15km/h)进行设计</w:t>
      </w:r>
      <w:r>
        <w:rPr>
          <w:rStyle w:val="121"/>
          <w:rFonts w:hint="eastAsia" w:ascii="宋体" w:hAnsi="宋体" w:eastAsia="宋体" w:cs="宋体"/>
          <w:color w:val="auto"/>
          <w:sz w:val="24"/>
          <w:szCs w:val="24"/>
          <w:highlight w:val="none"/>
          <w:u w:val="single"/>
          <w:lang w:val="en-US" w:eastAsia="zh-CN"/>
        </w:rPr>
        <w:t>。即四升三，并完善相关交通安全设施及排水设施</w:t>
      </w:r>
      <w:r>
        <w:rPr>
          <w:rStyle w:val="121"/>
          <w:rFonts w:hint="eastAsia" w:ascii="宋体" w:hAnsi="宋体" w:eastAsia="宋体" w:cs="宋体"/>
          <w:color w:val="auto"/>
          <w:sz w:val="24"/>
          <w:szCs w:val="24"/>
          <w:highlight w:val="none"/>
          <w:lang w:val="en-US" w:eastAsia="zh-CN"/>
        </w:rPr>
        <w:t>。</w:t>
      </w:r>
    </w:p>
    <w:p w14:paraId="6EB89923">
      <w:pPr>
        <w:shd w:val="clear" w:fill="FFFFFF" w:themeFill="background1"/>
        <w:spacing w:line="400" w:lineRule="atLeast"/>
        <w:ind w:firstLine="480" w:firstLineChars="200"/>
        <w:rPr>
          <w:rFonts w:ascii="宋体" w:hAnsi="宋体" w:cs="Arial"/>
          <w:color w:val="auto"/>
          <w:sz w:val="24"/>
          <w:highlight w:val="none"/>
        </w:rPr>
      </w:pPr>
      <w:r>
        <w:rPr>
          <w:rFonts w:hint="eastAsia" w:ascii="宋体" w:hAnsi="宋体"/>
          <w:color w:val="auto"/>
          <w:sz w:val="24"/>
          <w:highlight w:val="none"/>
        </w:rPr>
        <w:t>2.1.3 招标范</w:t>
      </w:r>
      <w:r>
        <w:rPr>
          <w:rFonts w:hint="eastAsia" w:ascii="宋体" w:hAnsi="宋体" w:cs="Arial"/>
          <w:color w:val="auto"/>
          <w:sz w:val="24"/>
          <w:highlight w:val="none"/>
        </w:rPr>
        <w:t>围</w:t>
      </w:r>
      <w:r>
        <w:rPr>
          <w:rFonts w:hint="eastAsia" w:ascii="宋体" w:hAnsi="宋体"/>
          <w:color w:val="auto"/>
          <w:sz w:val="24"/>
          <w:highlight w:val="none"/>
        </w:rPr>
        <w:t>：</w:t>
      </w:r>
      <w:r>
        <w:rPr>
          <w:rFonts w:hint="eastAsia" w:ascii="宋体" w:hAnsi="宋体"/>
          <w:color w:val="auto"/>
          <w:sz w:val="24"/>
          <w:highlight w:val="none"/>
          <w:u w:val="single"/>
        </w:rPr>
        <w:t>本项目施工图设计和工程量清单范围内的工程施工</w:t>
      </w:r>
      <w:r>
        <w:rPr>
          <w:rFonts w:hint="eastAsia" w:ascii="宋体" w:hAnsi="宋体"/>
          <w:color w:val="auto"/>
          <w:sz w:val="24"/>
          <w:highlight w:val="none"/>
        </w:rPr>
        <w:t>。</w:t>
      </w:r>
    </w:p>
    <w:p w14:paraId="3FFA5F40">
      <w:pPr>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2.1.4 </w:t>
      </w:r>
      <w:r>
        <w:rPr>
          <w:rFonts w:hint="eastAsia" w:ascii="宋体" w:hAnsi="宋体" w:cs="Arial"/>
          <w:color w:val="auto"/>
          <w:sz w:val="24"/>
          <w:highlight w:val="none"/>
        </w:rPr>
        <w:t>计划工期：</w:t>
      </w:r>
      <w:r>
        <w:rPr>
          <w:rFonts w:hint="eastAsia" w:ascii="宋体" w:hAnsi="宋体"/>
          <w:color w:val="auto"/>
          <w:kern w:val="0"/>
          <w:sz w:val="24"/>
          <w:highlight w:val="none"/>
          <w:u w:val="single"/>
          <w:lang w:eastAsia="zh-CN"/>
        </w:rPr>
        <w:t>1</w:t>
      </w:r>
      <w:r>
        <w:rPr>
          <w:rFonts w:hint="eastAsia" w:ascii="宋体" w:hAnsi="宋体"/>
          <w:color w:val="auto"/>
          <w:kern w:val="0"/>
          <w:sz w:val="24"/>
          <w:highlight w:val="none"/>
          <w:u w:val="single"/>
          <w:lang w:val="en-US" w:eastAsia="zh-CN"/>
        </w:rPr>
        <w:t>0</w:t>
      </w:r>
      <w:r>
        <w:rPr>
          <w:rFonts w:hint="eastAsia" w:ascii="宋体" w:hAnsi="宋体"/>
          <w:color w:val="auto"/>
          <w:kern w:val="0"/>
          <w:sz w:val="24"/>
          <w:highlight w:val="none"/>
          <w:u w:val="single"/>
          <w:lang w:eastAsia="zh-CN"/>
        </w:rPr>
        <w:t>0日历天</w:t>
      </w:r>
      <w:r>
        <w:rPr>
          <w:rFonts w:hint="eastAsia" w:ascii="宋体" w:hAnsi="宋体"/>
          <w:color w:val="auto"/>
          <w:sz w:val="24"/>
          <w:highlight w:val="none"/>
        </w:rPr>
        <w:t>；实际开工时间以监理签发开工令为准。</w:t>
      </w:r>
    </w:p>
    <w:p w14:paraId="166EE668">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工程投资：</w:t>
      </w:r>
      <w:r>
        <w:rPr>
          <w:rFonts w:hint="eastAsia" w:ascii="宋体" w:hAnsi="宋体" w:cs="宋体"/>
          <w:color w:val="auto"/>
          <w:sz w:val="24"/>
          <w:highlight w:val="none"/>
          <w:u w:val="single"/>
          <w:lang w:val="en-US" w:eastAsia="zh-CN"/>
        </w:rPr>
        <w:t>本项目</w:t>
      </w:r>
      <w:r>
        <w:rPr>
          <w:rFonts w:hint="eastAsia" w:ascii="宋体" w:hAnsi="宋体" w:cs="宋体"/>
          <w:color w:val="auto"/>
          <w:sz w:val="24"/>
          <w:highlight w:val="none"/>
          <w:u w:val="single"/>
          <w:lang w:eastAsia="zh-CN"/>
        </w:rPr>
        <w:t>建安工程费用</w:t>
      </w:r>
      <w:r>
        <w:rPr>
          <w:rFonts w:hint="eastAsia" w:ascii="宋体" w:hAnsi="宋体" w:cs="宋体"/>
          <w:color w:val="auto"/>
          <w:sz w:val="24"/>
          <w:highlight w:val="none"/>
          <w:u w:val="single"/>
          <w:lang w:val="en-US" w:eastAsia="zh-CN"/>
        </w:rPr>
        <w:t>约为189.70</w:t>
      </w:r>
      <w:r>
        <w:rPr>
          <w:rFonts w:hint="eastAsia" w:ascii="宋体" w:hAnsi="宋体" w:cs="宋体"/>
          <w:color w:val="auto"/>
          <w:sz w:val="24"/>
          <w:highlight w:val="none"/>
          <w:u w:val="single"/>
          <w:lang w:eastAsia="zh-CN"/>
        </w:rPr>
        <w:t>万元</w:t>
      </w:r>
      <w:r>
        <w:rPr>
          <w:rFonts w:hint="eastAsia" w:ascii="宋体" w:hAnsi="宋体" w:cs="宋体"/>
          <w:color w:val="auto"/>
          <w:sz w:val="24"/>
          <w:highlight w:val="none"/>
        </w:rPr>
        <w:t>。</w:t>
      </w:r>
    </w:p>
    <w:p w14:paraId="3B1BEB4D">
      <w:pPr>
        <w:shd w:val="clear" w:fill="FFFFFF" w:themeFill="background1"/>
        <w:spacing w:line="400" w:lineRule="atLeast"/>
        <w:ind w:firstLine="480" w:firstLineChars="200"/>
        <w:rPr>
          <w:color w:val="auto"/>
          <w:highlight w:val="none"/>
        </w:rPr>
      </w:pPr>
      <w:r>
        <w:rPr>
          <w:rFonts w:hint="eastAsia" w:ascii="宋体" w:hAnsi="宋体"/>
          <w:color w:val="auto"/>
          <w:sz w:val="24"/>
          <w:highlight w:val="none"/>
        </w:rPr>
        <w:t>2.2 标段划分：本次施工招标只设一个标段。</w:t>
      </w:r>
    </w:p>
    <w:tbl>
      <w:tblPr>
        <w:tblStyle w:val="43"/>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859"/>
        <w:gridCol w:w="1136"/>
        <w:gridCol w:w="985"/>
        <w:gridCol w:w="928"/>
        <w:gridCol w:w="3046"/>
        <w:gridCol w:w="1445"/>
      </w:tblGrid>
      <w:tr w14:paraId="593E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437" w:type="dxa"/>
            <w:vAlign w:val="center"/>
          </w:tcPr>
          <w:p w14:paraId="7C9DF7EE">
            <w:pPr>
              <w:shd w:val="clear" w:fill="FFFFFF" w:themeFill="background1"/>
              <w:adjustRightInd w:val="0"/>
              <w:snapToGrid w:val="0"/>
              <w:spacing w:line="400" w:lineRule="atLeast"/>
              <w:jc w:val="center"/>
              <w:rPr>
                <w:rFonts w:ascii="宋体" w:hAnsi="宋体" w:cs="宋体"/>
                <w:color w:val="auto"/>
                <w:sz w:val="24"/>
                <w:highlight w:val="none"/>
              </w:rPr>
            </w:pPr>
            <w:bookmarkStart w:id="11" w:name="_Toc424739346"/>
            <w:bookmarkStart w:id="12" w:name="_Toc20608"/>
            <w:r>
              <w:rPr>
                <w:rFonts w:hint="eastAsia" w:ascii="宋体" w:hAnsi="宋体" w:cs="宋体"/>
                <w:color w:val="auto"/>
                <w:sz w:val="24"/>
                <w:highlight w:val="none"/>
              </w:rPr>
              <w:t>标段类别</w:t>
            </w:r>
          </w:p>
        </w:tc>
        <w:tc>
          <w:tcPr>
            <w:tcW w:w="859" w:type="dxa"/>
            <w:vAlign w:val="center"/>
          </w:tcPr>
          <w:p w14:paraId="668899D6">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标段</w:t>
            </w:r>
          </w:p>
        </w:tc>
        <w:tc>
          <w:tcPr>
            <w:tcW w:w="1136" w:type="dxa"/>
            <w:vAlign w:val="center"/>
          </w:tcPr>
          <w:p w14:paraId="42509504">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起讫桩号</w:t>
            </w:r>
          </w:p>
        </w:tc>
        <w:tc>
          <w:tcPr>
            <w:tcW w:w="985" w:type="dxa"/>
            <w:vAlign w:val="center"/>
          </w:tcPr>
          <w:p w14:paraId="429D389F">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长度（km）</w:t>
            </w:r>
          </w:p>
        </w:tc>
        <w:tc>
          <w:tcPr>
            <w:tcW w:w="928" w:type="dxa"/>
            <w:vAlign w:val="center"/>
          </w:tcPr>
          <w:p w14:paraId="6FDC2A5C">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主要工程项目</w:t>
            </w:r>
          </w:p>
        </w:tc>
        <w:tc>
          <w:tcPr>
            <w:tcW w:w="3046" w:type="dxa"/>
            <w:vAlign w:val="center"/>
          </w:tcPr>
          <w:p w14:paraId="3FC5AFF9">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对投标人资质要求</w:t>
            </w:r>
          </w:p>
        </w:tc>
        <w:tc>
          <w:tcPr>
            <w:tcW w:w="1445" w:type="dxa"/>
            <w:vAlign w:val="center"/>
          </w:tcPr>
          <w:p w14:paraId="34C7A103">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备注</w:t>
            </w:r>
          </w:p>
        </w:tc>
      </w:tr>
      <w:tr w14:paraId="3EFC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345" w:type="dxa"/>
            <w:gridSpan w:val="5"/>
            <w:shd w:val="clear" w:color="auto" w:fill="FFFFFF" w:themeFill="background1"/>
            <w:vAlign w:val="center"/>
          </w:tcPr>
          <w:p w14:paraId="0BA06B77">
            <w:pPr>
              <w:shd w:val="clear" w:fill="FFFFFF" w:themeFill="background1"/>
              <w:adjustRightInd w:val="0"/>
              <w:snapToGrid w:val="0"/>
              <w:spacing w:line="400" w:lineRule="atLeast"/>
              <w:rPr>
                <w:rFonts w:ascii="宋体" w:hAnsi="宋体" w:cs="宋体"/>
                <w:color w:val="auto"/>
                <w:sz w:val="24"/>
                <w:highlight w:val="none"/>
              </w:rPr>
            </w:pPr>
            <w:r>
              <w:rPr>
                <w:rFonts w:hint="eastAsia" w:ascii="宋体" w:hAnsi="宋体" w:cs="宋体"/>
                <w:color w:val="auto"/>
                <w:sz w:val="24"/>
                <w:highlight w:val="none"/>
              </w:rPr>
              <w:t>标段的划分及主要工程项目情况详见本招标公告2.1及2.2条</w:t>
            </w:r>
          </w:p>
        </w:tc>
        <w:tc>
          <w:tcPr>
            <w:tcW w:w="3046" w:type="dxa"/>
            <w:vAlign w:val="center"/>
          </w:tcPr>
          <w:p w14:paraId="24274FC7">
            <w:pPr>
              <w:shd w:val="clear" w:fill="FFFFFF" w:themeFill="background1"/>
              <w:adjustRightInd w:val="0"/>
              <w:snapToGrid w:val="0"/>
              <w:spacing w:line="400" w:lineRule="atLeast"/>
              <w:rPr>
                <w:rFonts w:ascii="宋体" w:hAnsi="宋体" w:cs="宋体"/>
                <w:color w:val="auto"/>
                <w:sz w:val="24"/>
                <w:highlight w:val="none"/>
              </w:rPr>
            </w:pPr>
            <w:r>
              <w:rPr>
                <w:rFonts w:hint="eastAsia" w:ascii="宋体" w:hAnsi="宋体" w:cs="宋体"/>
                <w:color w:val="auto"/>
                <w:sz w:val="24"/>
                <w:highlight w:val="none"/>
              </w:rPr>
              <w:t>具备《建筑业企业资质标准》（建市[2014]159号）规定的公路工程施工总承包三级以上（含三级）资质。</w:t>
            </w:r>
          </w:p>
        </w:tc>
        <w:tc>
          <w:tcPr>
            <w:tcW w:w="1445" w:type="dxa"/>
            <w:vAlign w:val="center"/>
          </w:tcPr>
          <w:p w14:paraId="31ABFFB9">
            <w:pPr>
              <w:shd w:val="clear" w:fill="FFFFFF" w:themeFill="background1"/>
              <w:adjustRightInd w:val="0"/>
              <w:snapToGrid w:val="0"/>
              <w:spacing w:line="400" w:lineRule="atLeast"/>
              <w:rPr>
                <w:rFonts w:ascii="宋体" w:hAnsi="宋体" w:cs="宋体"/>
                <w:color w:val="auto"/>
                <w:sz w:val="24"/>
                <w:highlight w:val="none"/>
              </w:rPr>
            </w:pPr>
            <w:r>
              <w:rPr>
                <w:rFonts w:hint="eastAsia" w:ascii="宋体" w:hAnsi="宋体" w:cs="宋体"/>
                <w:color w:val="auto"/>
                <w:sz w:val="24"/>
                <w:highlight w:val="none"/>
              </w:rPr>
              <w:t>资格审查条件见招标文件附录1至附录7</w:t>
            </w:r>
          </w:p>
        </w:tc>
      </w:tr>
    </w:tbl>
    <w:p w14:paraId="71D9A3C9">
      <w:pPr>
        <w:pStyle w:val="4"/>
        <w:shd w:val="clear" w:fill="FFFFFF" w:themeFill="background1"/>
        <w:spacing w:line="240" w:lineRule="exact"/>
        <w:rPr>
          <w:rFonts w:ascii="宋体" w:hAnsi="宋体" w:eastAsia="宋体" w:cs="黑体"/>
          <w:bCs w:val="0"/>
          <w:color w:val="auto"/>
          <w:sz w:val="28"/>
          <w:szCs w:val="28"/>
          <w:highlight w:val="none"/>
        </w:rPr>
      </w:pPr>
      <w:bookmarkStart w:id="13" w:name="_Toc32609"/>
    </w:p>
    <w:p w14:paraId="7154ADE3">
      <w:pPr>
        <w:pStyle w:val="4"/>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3.投标人资格要求</w:t>
      </w:r>
      <w:bookmarkEnd w:id="11"/>
      <w:bookmarkEnd w:id="12"/>
      <w:bookmarkEnd w:id="13"/>
    </w:p>
    <w:p w14:paraId="25CA95E9">
      <w:pPr>
        <w:pStyle w:val="16"/>
        <w:shd w:val="clear" w:fill="FFFFFF" w:themeFill="background1"/>
        <w:spacing w:line="400" w:lineRule="atLeast"/>
        <w:ind w:firstLine="480" w:firstLineChars="200"/>
        <w:rPr>
          <w:rFonts w:ascii="宋体" w:hAnsi="宋体"/>
          <w:color w:val="auto"/>
          <w:sz w:val="24"/>
          <w:highlight w:val="none"/>
          <w:u w:val="single"/>
        </w:rPr>
      </w:pPr>
      <w:r>
        <w:rPr>
          <w:rFonts w:hint="eastAsia" w:ascii="宋体" w:hAnsi="宋体"/>
          <w:color w:val="auto"/>
          <w:sz w:val="24"/>
          <w:highlight w:val="none"/>
        </w:rPr>
        <w:t xml:space="preserve">3.1 </w:t>
      </w:r>
      <w:r>
        <w:rPr>
          <w:rFonts w:hint="eastAsia" w:ascii="宋体" w:hAnsi="宋体" w:cs="宋体"/>
          <w:color w:val="auto"/>
          <w:sz w:val="24"/>
          <w:highlight w:val="none"/>
        </w:rPr>
        <w:t>本次招标要求投标人须具备</w:t>
      </w:r>
      <w:r>
        <w:rPr>
          <w:rFonts w:hint="eastAsia" w:ascii="宋体" w:hAnsi="宋体" w:cs="宋体"/>
          <w:color w:val="auto"/>
          <w:sz w:val="24"/>
          <w:highlight w:val="none"/>
          <w:u w:val="single"/>
        </w:rPr>
        <w:t>上述第2.2款表中所列相应</w:t>
      </w:r>
      <w:r>
        <w:rPr>
          <w:rFonts w:hint="eastAsia" w:ascii="宋体" w:hAnsi="宋体" w:cs="宋体"/>
          <w:color w:val="auto"/>
          <w:kern w:val="0"/>
          <w:sz w:val="24"/>
          <w:highlight w:val="none"/>
        </w:rPr>
        <w:t>资质、</w:t>
      </w:r>
      <w:r>
        <w:rPr>
          <w:rFonts w:hint="eastAsia" w:ascii="宋体" w:hAnsi="宋体" w:cs="宋体"/>
          <w:color w:val="auto"/>
          <w:sz w:val="24"/>
          <w:highlight w:val="none"/>
          <w:u w:val="single"/>
        </w:rPr>
        <w:t>类似工程</w:t>
      </w:r>
      <w:r>
        <w:rPr>
          <w:rFonts w:hint="eastAsia" w:ascii="宋体" w:hAnsi="宋体" w:cs="宋体"/>
          <w:color w:val="auto"/>
          <w:sz w:val="24"/>
          <w:highlight w:val="none"/>
        </w:rPr>
        <w:t>业绩，并在人员、设备、资金等方面具有相应的施工能力。</w:t>
      </w:r>
    </w:p>
    <w:p w14:paraId="0A0C7166">
      <w:pPr>
        <w:shd w:val="clear" w:fill="FFFFFF" w:themeFill="background1"/>
        <w:wordWrap w:val="0"/>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投标人应进入交通运输部“全国公路建设市场监督管理系统（https://hwdms.mot.gov.cn/BMWebSite/）”中的公路工程施工资质企业名录，且投标人名称和资质与该名录中的相应企业名称和资质完全一致。</w:t>
      </w:r>
    </w:p>
    <w:p w14:paraId="03A39ADA">
      <w:pPr>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3.2 本次招标</w:t>
      </w:r>
      <w:r>
        <w:rPr>
          <w:rFonts w:hint="eastAsia" w:ascii="宋体" w:hAnsi="宋体"/>
          <w:color w:val="auto"/>
          <w:sz w:val="24"/>
          <w:highlight w:val="none"/>
          <w:u w:val="single"/>
        </w:rPr>
        <w:t>不接受</w:t>
      </w:r>
      <w:r>
        <w:rPr>
          <w:rFonts w:hint="eastAsia" w:ascii="宋体" w:hAnsi="宋体"/>
          <w:color w:val="auto"/>
          <w:sz w:val="24"/>
          <w:highlight w:val="none"/>
        </w:rPr>
        <w:t>联合体投标。</w:t>
      </w:r>
    </w:p>
    <w:p w14:paraId="718FB7CF">
      <w:pPr>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3.3 在本次招标中，每个投标人可对</w:t>
      </w:r>
      <w:r>
        <w:rPr>
          <w:rFonts w:hint="eastAsia" w:ascii="宋体" w:hAnsi="宋体"/>
          <w:color w:val="auto"/>
          <w:sz w:val="24"/>
          <w:highlight w:val="none"/>
          <w:u w:val="single"/>
        </w:rPr>
        <w:t xml:space="preserve"> 1 </w:t>
      </w:r>
      <w:r>
        <w:rPr>
          <w:rFonts w:hint="eastAsia" w:ascii="宋体" w:hAnsi="宋体"/>
          <w:color w:val="auto"/>
          <w:sz w:val="24"/>
          <w:highlight w:val="none"/>
        </w:rPr>
        <w:t>个标段投标，且只允许中</w:t>
      </w:r>
      <w:r>
        <w:rPr>
          <w:rFonts w:hint="eastAsia" w:ascii="宋体" w:hAnsi="宋体"/>
          <w:color w:val="auto"/>
          <w:sz w:val="24"/>
          <w:highlight w:val="none"/>
          <w:u w:val="single"/>
        </w:rPr>
        <w:t xml:space="preserve"> 1</w:t>
      </w:r>
      <w:r>
        <w:rPr>
          <w:rFonts w:hint="eastAsia" w:ascii="宋体" w:hAnsi="宋体"/>
          <w:color w:val="auto"/>
          <w:sz w:val="24"/>
          <w:highlight w:val="none"/>
        </w:rPr>
        <w:t>个标。</w:t>
      </w:r>
    </w:p>
    <w:p w14:paraId="03D6B265">
      <w:pPr>
        <w:pStyle w:val="16"/>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3.4 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14:paraId="71B5C658">
      <w:pPr>
        <w:pStyle w:val="16"/>
        <w:shd w:val="clear" w:fill="FFFFFF" w:themeFill="background1"/>
        <w:spacing w:line="400" w:lineRule="atLeast"/>
        <w:rPr>
          <w:rFonts w:ascii="宋体" w:hAnsi="宋体"/>
          <w:color w:val="auto"/>
          <w:sz w:val="24"/>
          <w:highlight w:val="none"/>
        </w:rPr>
      </w:pPr>
      <w:r>
        <w:rPr>
          <w:rFonts w:hint="eastAsia" w:ascii="宋体" w:hAnsi="宋体"/>
          <w:color w:val="auto"/>
          <w:sz w:val="24"/>
          <w:highlight w:val="none"/>
        </w:rPr>
        <w:t xml:space="preserve">    注：①单位负责人是指：单位的法定代表人或者法律、行政法规规定代表单位行使职权的主要负责人；</w:t>
      </w:r>
    </w:p>
    <w:p w14:paraId="660FD978">
      <w:pPr>
        <w:pStyle w:val="16"/>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②控股是指：控股是指：出资额占有限责任公司资本总额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w:t>
      </w:r>
    </w:p>
    <w:p w14:paraId="3E9E8268">
      <w:pPr>
        <w:pStyle w:val="16"/>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③管理关系是指：不具有出资持股关系的其它单位之间存在的管理与被管理关系。</w:t>
      </w:r>
    </w:p>
    <w:p w14:paraId="3335FDAE">
      <w:pPr>
        <w:pStyle w:val="16"/>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3.5 在“信用中国”网站（https://www.creditchina.gov.cn/）中被列入失信被执行人名单的投标人、在“国家企业信用信息公示系统” (https://www.gsxt.gov.cn) 中被列入严重违法失信企业名单的投标人，均按否决投标处理。</w:t>
      </w:r>
    </w:p>
    <w:p w14:paraId="37F4EBD8">
      <w:pPr>
        <w:pStyle w:val="16"/>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3.6 根据有关文件精神，投标人的企业相关证书到期的，均按该证书的发证机构相关行业主管部门最新文件执行（如自动顺延或推迟办理延期业务的通知），投标人必须将相关文件附在该证书后面中，证明在开标日继续有效</w:t>
      </w:r>
      <w:r>
        <w:rPr>
          <w:rFonts w:ascii="宋体" w:hAnsi="宋体"/>
          <w:color w:val="auto"/>
          <w:sz w:val="24"/>
          <w:highlight w:val="none"/>
        </w:rPr>
        <w:t>。</w:t>
      </w:r>
    </w:p>
    <w:p w14:paraId="301A8C4F">
      <w:pPr>
        <w:pStyle w:val="4"/>
        <w:shd w:val="clear" w:fill="FFFFFF" w:themeFill="background1"/>
        <w:spacing w:line="240" w:lineRule="exact"/>
        <w:rPr>
          <w:rFonts w:ascii="宋体" w:hAnsi="宋体" w:eastAsia="宋体" w:cs="黑体"/>
          <w:bCs w:val="0"/>
          <w:color w:val="auto"/>
          <w:sz w:val="28"/>
          <w:szCs w:val="28"/>
          <w:highlight w:val="none"/>
        </w:rPr>
      </w:pPr>
      <w:bookmarkStart w:id="14" w:name="_Toc424739347"/>
      <w:bookmarkStart w:id="15" w:name="_Toc27732"/>
      <w:bookmarkStart w:id="16" w:name="_Toc28412"/>
    </w:p>
    <w:p w14:paraId="0157323D">
      <w:pPr>
        <w:pStyle w:val="4"/>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4.</w:t>
      </w:r>
      <w:bookmarkEnd w:id="14"/>
      <w:r>
        <w:rPr>
          <w:rFonts w:hint="eastAsia" w:ascii="宋体" w:hAnsi="宋体" w:eastAsia="宋体" w:cs="黑体"/>
          <w:bCs w:val="0"/>
          <w:color w:val="auto"/>
          <w:sz w:val="28"/>
          <w:szCs w:val="28"/>
          <w:highlight w:val="none"/>
        </w:rPr>
        <w:t>招标文件的获取</w:t>
      </w:r>
      <w:bookmarkEnd w:id="15"/>
      <w:bookmarkEnd w:id="16"/>
    </w:p>
    <w:p w14:paraId="40B89D5E">
      <w:pPr>
        <w:pStyle w:val="73"/>
        <w:widowControl/>
        <w:shd w:val="clear" w:fill="FFFFFF" w:themeFill="background1"/>
        <w:snapToGrid w:val="0"/>
        <w:spacing w:line="400" w:lineRule="atLeast"/>
        <w:ind w:firstLine="480"/>
        <w:rPr>
          <w:rFonts w:hAnsi="宋体" w:cs="Tahoma"/>
          <w:color w:val="auto"/>
          <w:kern w:val="0"/>
          <w:highlight w:val="none"/>
        </w:rPr>
      </w:pPr>
      <w:r>
        <w:rPr>
          <w:rFonts w:hint="eastAsia" w:hAnsi="宋体" w:cs="Tahoma"/>
          <w:color w:val="auto"/>
          <w:kern w:val="0"/>
          <w:highlight w:val="none"/>
        </w:rPr>
        <w:t>4.1 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交易平台-投标人操作指南（电子评标）》，了解网上获取招标文件操作流程。技术咨询电话：18819797080/0751-8379671 伍先生，业务咨询电话：0751-8633211、8379023。</w:t>
      </w:r>
    </w:p>
    <w:p w14:paraId="7EE6D68D">
      <w:pPr>
        <w:pStyle w:val="73"/>
        <w:widowControl/>
        <w:shd w:val="clear" w:fill="FFFFFF" w:themeFill="background1"/>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4.2 只有申领了数字证书（CA）、“粤企签”或GDCA/SZCA/NETCA等符合法律法规规定的电子印章，并在交易平台中完成企业信息数据入库的投标人，方可在交易平台获取招标文件和电子投标。</w:t>
      </w:r>
    </w:p>
    <w:p w14:paraId="7238E737">
      <w:pPr>
        <w:pStyle w:val="73"/>
        <w:widowControl/>
        <w:shd w:val="clear" w:fill="FFFFFF" w:themeFill="background1"/>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9A59D77">
      <w:pPr>
        <w:pStyle w:val="73"/>
        <w:widowControl/>
        <w:shd w:val="clear" w:fill="FFFFFF" w:themeFill="background1"/>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已入库企业有关信息（如单位名称、基本账号、资质、人员等）发生变化的，须及时在交易平台进行相应变更。投标人未及时变更信息而造成的损失和后果，由投标人自行承担。</w:t>
      </w:r>
    </w:p>
    <w:p w14:paraId="4330B437">
      <w:pPr>
        <w:pStyle w:val="73"/>
        <w:widowControl/>
        <w:shd w:val="clear" w:fill="FFFFFF" w:themeFill="background1"/>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BEE4535">
      <w:pPr>
        <w:pStyle w:val="58"/>
        <w:shd w:val="clear" w:fill="FFFFFF" w:themeFill="background1"/>
        <w:spacing w:line="440" w:lineRule="exact"/>
        <w:rPr>
          <w:rFonts w:ascii="宋体" w:hAnsi="宋体" w:cs="宋体"/>
          <w:bCs/>
          <w:color w:val="auto"/>
          <w:highlight w:val="none"/>
        </w:rPr>
      </w:pPr>
      <w:bookmarkStart w:id="17" w:name="OLE_LINK4"/>
      <w:bookmarkStart w:id="18" w:name="_Toc26909"/>
      <w:r>
        <w:rPr>
          <w:rFonts w:hint="eastAsia" w:ascii="宋体" w:hAnsi="宋体" w:cs="宋体"/>
          <w:bCs/>
          <w:color w:val="auto"/>
          <w:highlight w:val="none"/>
        </w:rPr>
        <w:t>4.3 投标保证金</w:t>
      </w:r>
    </w:p>
    <w:p w14:paraId="3849631E">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4.3.1 投标人须缴纳金额为人民币</w:t>
      </w:r>
      <w:r>
        <w:rPr>
          <w:rFonts w:hint="eastAsia" w:ascii="宋体" w:hAnsi="宋体" w:cs="宋体"/>
          <w:bCs/>
          <w:color w:val="auto"/>
          <w:highlight w:val="none"/>
          <w:u w:val="single"/>
          <w:lang w:val="en-US" w:eastAsia="zh-CN"/>
        </w:rPr>
        <w:t>2</w:t>
      </w:r>
      <w:r>
        <w:rPr>
          <w:rFonts w:hint="eastAsia" w:ascii="宋体" w:hAnsi="宋体" w:cs="宋体"/>
          <w:bCs/>
          <w:color w:val="auto"/>
          <w:highlight w:val="none"/>
          <w:u w:val="single"/>
        </w:rPr>
        <w:t>万元</w:t>
      </w:r>
      <w:r>
        <w:rPr>
          <w:rFonts w:hint="eastAsia" w:ascii="宋体" w:hAnsi="宋体" w:cs="宋体"/>
          <w:bCs/>
          <w:color w:val="auto"/>
          <w:highlight w:val="none"/>
        </w:rPr>
        <w:t>的投标保证。</w:t>
      </w:r>
    </w:p>
    <w:p w14:paraId="13FA00F0">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4.3.2 投标保证的形式包括投标保证金、投标保证担保、投标保证保险三种，由投标人自主选择。</w:t>
      </w:r>
    </w:p>
    <w:p w14:paraId="7781CED7">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1）采用投标保证金的，投标人在交易平台获取招标文件后，即可在交易平台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43D7D2EF">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2）采用投标保证担保的，投标人应提交有效的电子保函，电子保函的有效期不得短于投标有效期。投标人必须在投标保证担保截止时间（详见“重要事项时间地点一览表”）前，在交易平台完成网上办理电子保函。</w:t>
      </w:r>
    </w:p>
    <w:p w14:paraId="05FC08E2">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3）采用投标保证保险的，投标人须在投标保证保险投保截止时间（见本章第二节“重要事项时间地点一览表”）前，在交易平台完成网上投保。投标人可在交易平台选择保险机构、录入投保信息、支付保费、打印电子保单，电子保单的有效期不得短于投标有效期。逾期投保的，其投标无效。</w:t>
      </w:r>
    </w:p>
    <w:p w14:paraId="0192EDF7">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温馨提醒：投标人采用投标保证担保或投标保证保险的，为避免在评标过程中因有效期发生争议，建议投标人将电子保函或电子保单有效期设置为较招标文件规定的投标有效期延长不少于20个日历天。</w:t>
      </w:r>
    </w:p>
    <w:p w14:paraId="0C036D20">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4.3.3若投标人因自身原因未能正确完成网上获取招标文件、电子投标、缴纳投标保证的，其投标无效。</w:t>
      </w:r>
    </w:p>
    <w:p w14:paraId="6769ABCC">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 xml:space="preserve">4.4 </w:t>
      </w:r>
      <w:r>
        <w:rPr>
          <w:rFonts w:hint="eastAsia" w:ascii="宋体" w:hAnsi="宋体"/>
          <w:color w:val="auto"/>
          <w:highlight w:val="none"/>
        </w:rPr>
        <w:t>获取招标文件等资料的方式：已经在</w:t>
      </w:r>
      <w:r>
        <w:rPr>
          <w:rFonts w:hint="eastAsia" w:ascii="宋体" w:hAnsi="宋体" w:cs="宋体"/>
          <w:color w:val="auto"/>
          <w:highlight w:val="none"/>
        </w:rPr>
        <w:t>全国公共资源交易平台 （广东省·韶关市）</w:t>
      </w:r>
      <w:r>
        <w:rPr>
          <w:rFonts w:hint="eastAsia" w:ascii="宋体" w:hAnsi="宋体"/>
          <w:color w:val="auto"/>
          <w:highlight w:val="none"/>
        </w:rPr>
        <w:t>报名的投标人可直接在平台中获取招标文件</w:t>
      </w:r>
      <w:r>
        <w:rPr>
          <w:rFonts w:hint="eastAsia" w:ascii="宋体" w:hAnsi="宋体" w:cs="宋体"/>
          <w:bCs/>
          <w:color w:val="auto"/>
          <w:highlight w:val="none"/>
        </w:rPr>
        <w:t>、工程量清单、图纸等相关资料。</w:t>
      </w:r>
      <w:bookmarkEnd w:id="17"/>
    </w:p>
    <w:p w14:paraId="45D35F65">
      <w:pPr>
        <w:pStyle w:val="58"/>
        <w:shd w:val="clear" w:fill="FFFFFF" w:themeFill="background1"/>
        <w:spacing w:line="240" w:lineRule="exact"/>
        <w:rPr>
          <w:rFonts w:ascii="宋体" w:hAnsi="宋体" w:cs="宋体"/>
          <w:bCs/>
          <w:color w:val="auto"/>
          <w:highlight w:val="none"/>
        </w:rPr>
      </w:pPr>
    </w:p>
    <w:p w14:paraId="14EF15BB">
      <w:pPr>
        <w:shd w:val="clear" w:fill="FFFFFF" w:themeFill="background1"/>
        <w:spacing w:line="440" w:lineRule="exact"/>
        <w:outlineLvl w:val="0"/>
        <w:rPr>
          <w:rFonts w:ascii="宋体" w:hAnsi="宋体" w:cs="宋体"/>
          <w:b/>
          <w:color w:val="auto"/>
          <w:sz w:val="28"/>
          <w:szCs w:val="28"/>
          <w:highlight w:val="none"/>
        </w:rPr>
      </w:pPr>
      <w:bookmarkStart w:id="19" w:name="_Toc27968"/>
      <w:r>
        <w:rPr>
          <w:rFonts w:hint="eastAsia" w:ascii="宋体" w:hAnsi="宋体" w:cs="黑体"/>
          <w:color w:val="auto"/>
          <w:sz w:val="28"/>
          <w:szCs w:val="28"/>
          <w:highlight w:val="none"/>
        </w:rPr>
        <w:t>5.</w:t>
      </w:r>
      <w:bookmarkEnd w:id="18"/>
      <w:bookmarkStart w:id="20" w:name="_Toc5243"/>
      <w:r>
        <w:rPr>
          <w:rFonts w:hint="eastAsia" w:ascii="宋体" w:hAnsi="宋体" w:cs="宋体"/>
          <w:b/>
          <w:color w:val="auto"/>
          <w:sz w:val="28"/>
          <w:szCs w:val="28"/>
          <w:highlight w:val="none"/>
        </w:rPr>
        <w:t>电子投标及相关事宜</w:t>
      </w:r>
      <w:bookmarkEnd w:id="19"/>
    </w:p>
    <w:p w14:paraId="78258AC1">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投标人若对招标文件、工程量清单等资料有疑问，应在提问截止时间（见“重要事项时间地点一览表”）前使用交易平台提出问题。未在指定时间前、未采用指定方式提出的，招标人不予受理。</w:t>
      </w:r>
    </w:p>
    <w:p w14:paraId="1E123D8F">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 招标人在提问截止时间（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25C70E4E">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招标人对招标文件所作的答疑（或修改）公告，构成招标文件的组成部分。</w:t>
      </w:r>
    </w:p>
    <w:p w14:paraId="4ACC42C4">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5.4投标人必须在规定的截止时间前使用交易平台完成网上获取招标文件、缴纳投标保证和全流程电子投标。只有满足以上所有条件，方为有效投标。</w:t>
      </w:r>
    </w:p>
    <w:p w14:paraId="1EDCF19E">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5.5根据《关于全面启用全流程电子化招标投标的通知》（韶交易发〔2022〕24 号）文件，自2022年11月28日起，进入交易平台以招标方式进行交易的项目将全面启用全流程电子化招标投标。投标人可通过交易平台在线办理电子保函、保证保险和投标及下载中标通知书等业务。全流程电子化招标投标项目不再接收纸质投标文件，也不接收纸质保函等单证资料。</w:t>
      </w:r>
    </w:p>
    <w:p w14:paraId="0868D3E9">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28A0DE2">
      <w:pPr>
        <w:shd w:val="clear" w:fill="FFFFFF" w:themeFill="background1"/>
        <w:spacing w:line="400" w:lineRule="atLeast"/>
        <w:ind w:firstLine="480" w:firstLineChars="200"/>
        <w:rPr>
          <w:rFonts w:ascii="宋体" w:hAnsi="宋体"/>
          <w:color w:val="auto"/>
          <w:sz w:val="24"/>
          <w:highlight w:val="none"/>
        </w:rPr>
      </w:pPr>
      <w:r>
        <w:rPr>
          <w:rFonts w:hint="eastAsia" w:ascii="宋体" w:hAnsi="宋体" w:cs="宋体"/>
          <w:color w:val="auto"/>
          <w:sz w:val="24"/>
          <w:highlight w:val="none"/>
        </w:rPr>
        <w:t>5.7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p>
    <w:p w14:paraId="4D4D61A0">
      <w:pPr>
        <w:pStyle w:val="4"/>
        <w:shd w:val="clear" w:fill="FFFFFF" w:themeFill="background1"/>
        <w:spacing w:line="240" w:lineRule="exact"/>
        <w:rPr>
          <w:rFonts w:ascii="宋体" w:hAnsi="宋体" w:eastAsia="宋体" w:cs="黑体"/>
          <w:bCs w:val="0"/>
          <w:color w:val="auto"/>
          <w:sz w:val="28"/>
          <w:szCs w:val="28"/>
          <w:highlight w:val="none"/>
        </w:rPr>
      </w:pPr>
      <w:bookmarkStart w:id="21" w:name="_Toc13025"/>
    </w:p>
    <w:p w14:paraId="0F9919B5">
      <w:pPr>
        <w:pStyle w:val="4"/>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6.发布公告的媒介</w:t>
      </w:r>
      <w:bookmarkEnd w:id="20"/>
      <w:bookmarkEnd w:id="21"/>
    </w:p>
    <w:p w14:paraId="050AB057">
      <w:pPr>
        <w:shd w:val="clear" w:fill="FFFFFF" w:themeFill="background1"/>
        <w:adjustRightInd w:val="0"/>
        <w:snapToGrid w:val="0"/>
        <w:spacing w:line="360" w:lineRule="auto"/>
        <w:ind w:firstLine="480" w:firstLineChars="200"/>
        <w:rPr>
          <w:rFonts w:ascii="宋体" w:hAnsi="宋体" w:cs="宋体"/>
          <w:color w:val="auto"/>
          <w:sz w:val="24"/>
          <w:highlight w:val="none"/>
        </w:rPr>
      </w:pPr>
      <w:bookmarkStart w:id="22" w:name="_Toc19457"/>
      <w:r>
        <w:rPr>
          <w:rFonts w:hint="eastAsia" w:ascii="宋体" w:hAnsi="宋体" w:cs="宋体"/>
          <w:color w:val="auto"/>
          <w:kern w:val="0"/>
          <w:sz w:val="24"/>
          <w:highlight w:val="none"/>
        </w:rPr>
        <w:t>本次招标公告同时在①广东省招标投标监管网（http://zbtb.gd.gov.cn/）、②</w:t>
      </w:r>
      <w:r>
        <w:rPr>
          <w:rFonts w:hint="eastAsia" w:ascii="宋体" w:hAnsi="宋体" w:cs="宋体"/>
          <w:color w:val="auto"/>
          <w:sz w:val="24"/>
          <w:highlight w:val="none"/>
        </w:rPr>
        <w:t>全国公共资源交易平台 （广东省·韶关市）（https://ygp.gdzwfw.gov.cn/ggzy-portal/#/440200/index）</w:t>
      </w:r>
      <w:r>
        <w:rPr>
          <w:rFonts w:hint="eastAsia" w:ascii="宋体" w:hAnsi="宋体" w:cs="宋体"/>
          <w:color w:val="auto"/>
          <w:kern w:val="0"/>
          <w:sz w:val="24"/>
          <w:highlight w:val="none"/>
        </w:rPr>
        <w:t>上发布。如公告详细内容不一致者，以</w:t>
      </w:r>
      <w:r>
        <w:rPr>
          <w:rFonts w:hint="eastAsia" w:ascii="宋体" w:hAnsi="宋体" w:cs="宋体"/>
          <w:color w:val="auto"/>
          <w:sz w:val="24"/>
          <w:highlight w:val="none"/>
        </w:rPr>
        <w:t>全国公共资源交易平台 （广东省·韶关市）</w:t>
      </w:r>
      <w:r>
        <w:rPr>
          <w:rFonts w:hint="eastAsia" w:ascii="宋体" w:hAnsi="宋体" w:cs="宋体"/>
          <w:color w:val="auto"/>
          <w:kern w:val="0"/>
          <w:sz w:val="24"/>
          <w:highlight w:val="none"/>
        </w:rPr>
        <w:t>公告为准。</w:t>
      </w:r>
    </w:p>
    <w:p w14:paraId="65626C6B">
      <w:pPr>
        <w:shd w:val="clear" w:fill="FFFFFF" w:themeFill="background1"/>
        <w:spacing w:after="136" w:line="360" w:lineRule="auto"/>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在规定的报名期间，如本项目报名的投标人不足3家时，招标人依法有权选择以下任一方式：（1）在</w:t>
      </w:r>
      <w:r>
        <w:rPr>
          <w:rFonts w:hint="eastAsia" w:ascii="宋体" w:hAnsi="宋体" w:cs="宋体"/>
          <w:color w:val="auto"/>
          <w:sz w:val="24"/>
          <w:highlight w:val="none"/>
        </w:rPr>
        <w:t>全国公共资源交易平台 （广东省·韶关市）</w:t>
      </w:r>
      <w:r>
        <w:rPr>
          <w:rFonts w:hint="eastAsia" w:ascii="宋体" w:hAnsi="宋体" w:cs="宋体"/>
          <w:color w:val="auto"/>
          <w:kern w:val="0"/>
          <w:sz w:val="24"/>
          <w:highlight w:val="none"/>
        </w:rPr>
        <w:t>发布公告延长报名时间，在延期报名时间内，已报名投标人的资料仍有效并可自行补充资料，未报名的投标人可根据公告的约定进行报名；（2）依法重新组织招标。</w:t>
      </w:r>
    </w:p>
    <w:p w14:paraId="17862CB7">
      <w:pPr>
        <w:shd w:val="clear" w:fill="FFFFFF" w:themeFill="background1"/>
        <w:spacing w:after="136"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保证金缴纳截止时间到期后，若交易平台显示成功缴纳投标保证金的投标人数量少于3家时，招标人将取消于次日召开的项目开标会，发布公告延长报名时间或依法重新组织招标。投标人可在投标保证金缴纳截止时间起至电子投标截止时间前自行登录全国公共资源交易平台 （广东省·韶关市）（https://ygp.gdzwfw.gov.cn/ggzy-portal/#/440200/index）查询是否发布了取消项目开标会的相关信息。</w:t>
      </w:r>
    </w:p>
    <w:p w14:paraId="0E69A7D2">
      <w:pPr>
        <w:pStyle w:val="4"/>
        <w:shd w:val="clear" w:fill="FFFFFF" w:themeFill="background1"/>
        <w:spacing w:line="240" w:lineRule="exact"/>
        <w:rPr>
          <w:rFonts w:ascii="宋体" w:hAnsi="宋体" w:eastAsia="宋体" w:cs="黑体"/>
          <w:bCs w:val="0"/>
          <w:color w:val="auto"/>
          <w:sz w:val="28"/>
          <w:szCs w:val="28"/>
          <w:highlight w:val="none"/>
        </w:rPr>
      </w:pPr>
      <w:bookmarkStart w:id="23" w:name="_Toc27075"/>
    </w:p>
    <w:p w14:paraId="567EBB8F">
      <w:pPr>
        <w:pStyle w:val="4"/>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7.</w:t>
      </w:r>
      <w:bookmarkStart w:id="24" w:name="_Toc13961"/>
      <w:bookmarkStart w:id="25" w:name="_Toc435045826"/>
      <w:bookmarkStart w:id="26" w:name="_Toc328560386"/>
      <w:r>
        <w:rPr>
          <w:rFonts w:hint="eastAsia" w:ascii="宋体" w:hAnsi="宋体" w:eastAsia="宋体" w:cs="黑体"/>
          <w:bCs w:val="0"/>
          <w:color w:val="auto"/>
          <w:sz w:val="28"/>
          <w:szCs w:val="28"/>
          <w:highlight w:val="none"/>
        </w:rPr>
        <w:t>联系方式</w:t>
      </w:r>
      <w:bookmarkEnd w:id="22"/>
      <w:bookmarkEnd w:id="23"/>
      <w:bookmarkEnd w:id="24"/>
    </w:p>
    <w:bookmarkEnd w:id="25"/>
    <w:bookmarkEnd w:id="26"/>
    <w:tbl>
      <w:tblPr>
        <w:tblStyle w:val="44"/>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4926"/>
      </w:tblGrid>
      <w:tr w14:paraId="4FC4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48CC5365">
            <w:pPr>
              <w:shd w:val="clear" w:fill="FFFFFF" w:themeFill="background1"/>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招标人：</w:t>
            </w:r>
            <w:r>
              <w:rPr>
                <w:rFonts w:hint="eastAsia" w:ascii="宋体" w:hAnsi="宋体"/>
                <w:color w:val="auto"/>
                <w:sz w:val="24"/>
                <w:highlight w:val="none"/>
                <w:lang w:eastAsia="zh-CN"/>
              </w:rPr>
              <w:t>乐昌市坪石镇人民政府</w:t>
            </w:r>
          </w:p>
          <w:p w14:paraId="5DA512C1">
            <w:pPr>
              <w:shd w:val="clear" w:fill="FFFFFF" w:themeFill="background1"/>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乐昌市坪石镇群众路三巷89号</w:t>
            </w:r>
          </w:p>
          <w:p w14:paraId="7FAD67D6">
            <w:pPr>
              <w:shd w:val="clear" w:fill="FFFFFF" w:themeFill="background1"/>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张工</w:t>
            </w:r>
          </w:p>
          <w:p w14:paraId="010ADCB3">
            <w:pPr>
              <w:shd w:val="clear" w:fill="FFFFFF" w:themeFill="background1"/>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电    话：</w:t>
            </w:r>
            <w:r>
              <w:rPr>
                <w:rFonts w:hint="eastAsia" w:ascii="宋体" w:hAnsi="宋体" w:eastAsia="宋体" w:cs="宋体"/>
                <w:color w:val="auto"/>
                <w:kern w:val="0"/>
                <w:sz w:val="24"/>
                <w:szCs w:val="24"/>
                <w:highlight w:val="none"/>
                <w:lang w:eastAsia="zh-CN"/>
              </w:rPr>
              <w:t>0751—5529211</w:t>
            </w:r>
          </w:p>
        </w:tc>
        <w:tc>
          <w:tcPr>
            <w:tcW w:w="4926" w:type="dxa"/>
            <w:tcBorders>
              <w:tl2br w:val="nil"/>
              <w:tr2bl w:val="nil"/>
            </w:tcBorders>
          </w:tcPr>
          <w:p w14:paraId="660695C5">
            <w:pPr>
              <w:shd w:val="clear" w:fill="FFFFFF" w:themeFill="background1"/>
              <w:spacing w:line="420" w:lineRule="exac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单位名称：</w:t>
            </w:r>
            <w:r>
              <w:rPr>
                <w:rFonts w:hint="eastAsia" w:ascii="宋体" w:hAnsi="宋体" w:cs="宋体"/>
                <w:color w:val="auto"/>
                <w:kern w:val="0"/>
                <w:sz w:val="24"/>
                <w:highlight w:val="none"/>
                <w:lang w:eastAsia="zh-CN"/>
              </w:rPr>
              <w:t>广东合正项目管理有限公司</w:t>
            </w:r>
          </w:p>
          <w:p w14:paraId="5A61CAE8">
            <w:pPr>
              <w:shd w:val="clear" w:fill="FFFFFF" w:themeFill="background1"/>
              <w:spacing w:line="420" w:lineRule="exac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办公地址：</w:t>
            </w:r>
            <w:r>
              <w:rPr>
                <w:rFonts w:hint="eastAsia" w:ascii="宋体" w:hAnsi="宋体" w:cs="宋体"/>
                <w:color w:val="auto"/>
                <w:kern w:val="0"/>
                <w:sz w:val="24"/>
                <w:highlight w:val="none"/>
                <w:lang w:eastAsia="zh-CN"/>
              </w:rPr>
              <w:t>韶关市武江区百旺大道42号莞韶双创中心研发办公楼五楼</w:t>
            </w:r>
          </w:p>
          <w:p w14:paraId="25B223A7">
            <w:pPr>
              <w:shd w:val="clear" w:fill="FFFFFF" w:themeFill="background1"/>
              <w:spacing w:line="420" w:lineRule="exac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联 系 人：</w:t>
            </w:r>
            <w:r>
              <w:rPr>
                <w:rFonts w:hint="eastAsia" w:ascii="宋体" w:hAnsi="宋体" w:cs="宋体"/>
                <w:color w:val="auto"/>
                <w:kern w:val="0"/>
                <w:sz w:val="24"/>
                <w:highlight w:val="none"/>
                <w:lang w:eastAsia="zh-CN"/>
              </w:rPr>
              <w:t>孔工</w:t>
            </w:r>
          </w:p>
          <w:p w14:paraId="0836D584">
            <w:pPr>
              <w:shd w:val="clear" w:fill="FFFFFF" w:themeFill="background1"/>
              <w:spacing w:line="420" w:lineRule="exac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联系电话：</w:t>
            </w:r>
            <w:r>
              <w:rPr>
                <w:rFonts w:hint="eastAsia" w:ascii="宋体" w:hAnsi="宋体" w:cs="宋体"/>
                <w:color w:val="auto"/>
                <w:kern w:val="0"/>
                <w:sz w:val="24"/>
                <w:highlight w:val="none"/>
                <w:lang w:eastAsia="zh-CN"/>
              </w:rPr>
              <w:t>0751-8219991</w:t>
            </w:r>
          </w:p>
        </w:tc>
      </w:tr>
      <w:tr w14:paraId="2CF7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852" w:type="dxa"/>
            <w:gridSpan w:val="2"/>
            <w:tcBorders>
              <w:tl2br w:val="nil"/>
              <w:tr2bl w:val="nil"/>
            </w:tcBorders>
          </w:tcPr>
          <w:p w14:paraId="6874A120">
            <w:pPr>
              <w:pStyle w:val="37"/>
              <w:widowControl/>
              <w:shd w:val="clear" w:fill="FFFFFF" w:themeFill="background1"/>
              <w:spacing w:before="312" w:beforeLines="100"/>
              <w:jc w:val="right"/>
              <w:rPr>
                <w:rFonts w:ascii="宋体" w:hAnsi="宋体" w:cs="宋体"/>
                <w:color w:val="auto"/>
                <w:kern w:val="0"/>
                <w:highlight w:val="none"/>
              </w:rPr>
            </w:pPr>
          </w:p>
        </w:tc>
      </w:tr>
    </w:tbl>
    <w:p w14:paraId="602E66B3">
      <w:pPr>
        <w:pStyle w:val="4"/>
        <w:numPr>
          <w:ilvl w:val="0"/>
          <w:numId w:val="4"/>
        </w:numPr>
        <w:shd w:val="clear" w:fill="FFFFFF" w:themeFill="background1"/>
        <w:spacing w:before="140" w:after="140" w:line="240" w:lineRule="auto"/>
        <w:rPr>
          <w:rFonts w:ascii="宋体" w:hAnsi="宋体" w:eastAsia="宋体" w:cs="黑体"/>
          <w:color w:val="auto"/>
          <w:sz w:val="30"/>
          <w:szCs w:val="30"/>
          <w:highlight w:val="none"/>
        </w:rPr>
      </w:pPr>
      <w:r>
        <w:rPr>
          <w:rFonts w:hint="eastAsia" w:ascii="宋体" w:hAnsi="宋体" w:eastAsia="宋体" w:cs="黑体"/>
          <w:b w:val="0"/>
          <w:bCs w:val="0"/>
          <w:color w:val="auto"/>
          <w:sz w:val="30"/>
          <w:szCs w:val="30"/>
          <w:highlight w:val="none"/>
        </w:rPr>
        <w:br w:type="page"/>
      </w:r>
      <w:bookmarkStart w:id="27" w:name="_Toc19197"/>
      <w:r>
        <w:rPr>
          <w:rFonts w:hint="eastAsia" w:ascii="宋体" w:hAnsi="宋体" w:eastAsia="宋体" w:cs="黑体"/>
          <w:color w:val="auto"/>
          <w:sz w:val="30"/>
          <w:szCs w:val="30"/>
          <w:highlight w:val="none"/>
        </w:rPr>
        <w:t>重要事项时间地点一览表</w:t>
      </w:r>
      <w:bookmarkEnd w:id="27"/>
    </w:p>
    <w:tbl>
      <w:tblPr>
        <w:tblStyle w:val="43"/>
        <w:tblW w:w="100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62"/>
        <w:gridCol w:w="1425"/>
        <w:gridCol w:w="8212"/>
      </w:tblGrid>
      <w:tr w14:paraId="1E74EC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D717ECD">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425" w:type="dxa"/>
            <w:tcBorders>
              <w:top w:val="single" w:color="080000" w:sz="4" w:space="0"/>
              <w:left w:val="single" w:color="080000" w:sz="4" w:space="0"/>
              <w:bottom w:val="single" w:color="080000" w:sz="4" w:space="0"/>
              <w:right w:val="single" w:color="080000" w:sz="4" w:space="0"/>
            </w:tcBorders>
            <w:vAlign w:val="center"/>
          </w:tcPr>
          <w:p w14:paraId="69A663D4">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招标公告发布时间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74E1331">
            <w:pPr>
              <w:pStyle w:val="73"/>
              <w:shd w:val="clear" w:fill="FFFFFF" w:themeFill="background1"/>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rPr>
              <w:t>2025年10月30日18时00分</w:t>
            </w:r>
          </w:p>
        </w:tc>
      </w:tr>
      <w:tr w14:paraId="218BB0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08EBE84">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425" w:type="dxa"/>
            <w:tcBorders>
              <w:top w:val="single" w:color="080000" w:sz="4" w:space="0"/>
              <w:left w:val="single" w:color="080000" w:sz="4" w:space="0"/>
              <w:bottom w:val="single" w:color="080000" w:sz="4" w:space="0"/>
              <w:right w:val="single" w:color="080000" w:sz="4" w:space="0"/>
            </w:tcBorders>
            <w:vAlign w:val="center"/>
          </w:tcPr>
          <w:p w14:paraId="0A2519D1">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获取招标文件截止时间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0624FC2A">
            <w:pPr>
              <w:pStyle w:val="73"/>
              <w:shd w:val="clear" w:fill="FFFFFF" w:themeFill="background1"/>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lang w:val="en-US" w:eastAsia="zh-CN"/>
              </w:rPr>
              <w:t>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月21日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p>
        </w:tc>
      </w:tr>
      <w:tr w14:paraId="50853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263D380D">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425" w:type="dxa"/>
            <w:tcBorders>
              <w:top w:val="single" w:color="080000" w:sz="4" w:space="0"/>
              <w:left w:val="single" w:color="080000" w:sz="4" w:space="0"/>
              <w:bottom w:val="single" w:color="080000" w:sz="4" w:space="0"/>
              <w:right w:val="single" w:color="080000" w:sz="4" w:space="0"/>
            </w:tcBorders>
            <w:vAlign w:val="center"/>
          </w:tcPr>
          <w:p w14:paraId="14349FCE">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网上提问截止时间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4B7602F2">
            <w:pPr>
              <w:pStyle w:val="73"/>
              <w:shd w:val="clear" w:fill="FFFFFF" w:themeFill="background1"/>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rPr>
              <w:t>2025</w:t>
            </w:r>
            <w:r>
              <w:rPr>
                <w:rFonts w:hint="eastAsia" w:ascii="宋体" w:hAnsi="宋体" w:eastAsia="宋体" w:cs="宋体"/>
                <w:snapToGrid w:val="0"/>
                <w:color w:val="auto"/>
                <w:kern w:val="0"/>
                <w:sz w:val="24"/>
                <w:szCs w:val="24"/>
                <w:highlight w:val="none"/>
                <w:u w:val="none"/>
              </w:rPr>
              <w:t>年</w:t>
            </w:r>
            <w:r>
              <w:rPr>
                <w:rFonts w:hint="eastAsia" w:hAnsi="宋体" w:cs="宋体"/>
                <w:snapToGrid w:val="0"/>
                <w:color w:val="auto"/>
                <w:kern w:val="0"/>
                <w:sz w:val="24"/>
                <w:szCs w:val="24"/>
                <w:highlight w:val="none"/>
                <w:u w:val="none"/>
                <w:lang w:val="en-US" w:eastAsia="zh-CN"/>
              </w:rPr>
              <w:t>11</w:t>
            </w:r>
            <w:r>
              <w:rPr>
                <w:rFonts w:hint="eastAsia" w:ascii="宋体" w:hAnsi="宋体" w:eastAsia="宋体" w:cs="宋体"/>
                <w:snapToGrid w:val="0"/>
                <w:color w:val="auto"/>
                <w:kern w:val="0"/>
                <w:sz w:val="24"/>
                <w:szCs w:val="24"/>
                <w:highlight w:val="none"/>
                <w:u w:val="none"/>
              </w:rPr>
              <w:t>月</w:t>
            </w:r>
            <w:r>
              <w:rPr>
                <w:rFonts w:hint="eastAsia" w:hAnsi="宋体" w:cs="宋体"/>
                <w:snapToGrid w:val="0"/>
                <w:color w:val="auto"/>
                <w:kern w:val="0"/>
                <w:sz w:val="24"/>
                <w:szCs w:val="24"/>
                <w:highlight w:val="none"/>
                <w:u w:val="none"/>
                <w:lang w:val="en-US" w:eastAsia="zh-CN"/>
              </w:rPr>
              <w:t>11</w:t>
            </w:r>
            <w:r>
              <w:rPr>
                <w:rFonts w:hint="eastAsia" w:ascii="宋体" w:hAnsi="宋体" w:eastAsia="宋体" w:cs="宋体"/>
                <w:snapToGrid w:val="0"/>
                <w:color w:val="auto"/>
                <w:kern w:val="0"/>
                <w:sz w:val="24"/>
                <w:szCs w:val="24"/>
                <w:highlight w:val="none"/>
                <w:u w:val="none"/>
              </w:rPr>
              <w:t>日16时00分</w:t>
            </w:r>
          </w:p>
        </w:tc>
      </w:tr>
      <w:tr w14:paraId="2DC6E2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4F07DB3">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425" w:type="dxa"/>
            <w:tcBorders>
              <w:top w:val="single" w:color="080000" w:sz="4" w:space="0"/>
              <w:left w:val="single" w:color="080000" w:sz="4" w:space="0"/>
              <w:bottom w:val="single" w:color="080000" w:sz="4" w:space="0"/>
              <w:right w:val="single" w:color="080000" w:sz="4" w:space="0"/>
            </w:tcBorders>
            <w:vAlign w:val="center"/>
          </w:tcPr>
          <w:p w14:paraId="6D624DDB">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网上答疑时间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6538E59A">
            <w:pPr>
              <w:pStyle w:val="73"/>
              <w:shd w:val="clear" w:fill="FFFFFF" w:themeFill="background1"/>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rPr>
              <w:t>2025</w:t>
            </w:r>
            <w:r>
              <w:rPr>
                <w:rFonts w:hint="eastAsia" w:ascii="宋体" w:hAnsi="宋体" w:eastAsia="宋体" w:cs="宋体"/>
                <w:snapToGrid w:val="0"/>
                <w:color w:val="auto"/>
                <w:kern w:val="0"/>
                <w:sz w:val="24"/>
                <w:szCs w:val="24"/>
                <w:highlight w:val="none"/>
                <w:u w:val="none"/>
              </w:rPr>
              <w:t>年</w:t>
            </w:r>
            <w:r>
              <w:rPr>
                <w:rFonts w:hint="eastAsia" w:hAnsi="宋体" w:cs="宋体"/>
                <w:snapToGrid w:val="0"/>
                <w:color w:val="auto"/>
                <w:kern w:val="0"/>
                <w:sz w:val="24"/>
                <w:szCs w:val="24"/>
                <w:highlight w:val="none"/>
                <w:u w:val="none"/>
                <w:lang w:val="en-US" w:eastAsia="zh-CN"/>
              </w:rPr>
              <w:t>11</w:t>
            </w:r>
            <w:r>
              <w:rPr>
                <w:rFonts w:hint="eastAsia" w:ascii="宋体" w:hAnsi="宋体" w:eastAsia="宋体" w:cs="宋体"/>
                <w:snapToGrid w:val="0"/>
                <w:color w:val="auto"/>
                <w:kern w:val="0"/>
                <w:sz w:val="24"/>
                <w:szCs w:val="24"/>
                <w:highlight w:val="none"/>
                <w:u w:val="none"/>
              </w:rPr>
              <w:t>月</w:t>
            </w:r>
            <w:r>
              <w:rPr>
                <w:rFonts w:hint="eastAsia" w:hAnsi="宋体" w:cs="宋体"/>
                <w:snapToGrid w:val="0"/>
                <w:color w:val="auto"/>
                <w:kern w:val="0"/>
                <w:sz w:val="24"/>
                <w:szCs w:val="24"/>
                <w:highlight w:val="none"/>
                <w:u w:val="none"/>
                <w:lang w:val="en-US" w:eastAsia="zh-CN"/>
              </w:rPr>
              <w:t>11</w:t>
            </w:r>
            <w:r>
              <w:rPr>
                <w:rFonts w:hint="eastAsia" w:ascii="宋体" w:hAnsi="宋体" w:eastAsia="宋体" w:cs="宋体"/>
                <w:snapToGrid w:val="0"/>
                <w:color w:val="auto"/>
                <w:kern w:val="0"/>
                <w:sz w:val="24"/>
                <w:szCs w:val="24"/>
                <w:highlight w:val="none"/>
                <w:u w:val="none"/>
              </w:rPr>
              <w:t>日16时30分至</w:t>
            </w:r>
            <w:r>
              <w:rPr>
                <w:rFonts w:hint="eastAsia" w:ascii="宋体" w:hAnsi="宋体" w:eastAsia="宋体" w:cs="宋体"/>
                <w:snapToGrid w:val="0"/>
                <w:color w:val="auto"/>
                <w:kern w:val="0"/>
                <w:sz w:val="24"/>
                <w:szCs w:val="24"/>
                <w:highlight w:val="none"/>
                <w:u w:val="none"/>
                <w:lang w:val="en-US" w:eastAsia="zh-CN"/>
              </w:rPr>
              <w:t>2025</w:t>
            </w:r>
            <w:r>
              <w:rPr>
                <w:rFonts w:hint="eastAsia" w:ascii="宋体" w:hAnsi="宋体" w:eastAsia="宋体" w:cs="宋体"/>
                <w:snapToGrid w:val="0"/>
                <w:color w:val="auto"/>
                <w:kern w:val="0"/>
                <w:sz w:val="24"/>
                <w:szCs w:val="24"/>
                <w:highlight w:val="none"/>
                <w:u w:val="none"/>
              </w:rPr>
              <w:t>年</w:t>
            </w:r>
            <w:r>
              <w:rPr>
                <w:rFonts w:hint="eastAsia" w:hAnsi="宋体" w:cs="宋体"/>
                <w:snapToGrid w:val="0"/>
                <w:color w:val="auto"/>
                <w:kern w:val="0"/>
                <w:sz w:val="24"/>
                <w:szCs w:val="24"/>
                <w:highlight w:val="none"/>
                <w:u w:val="none"/>
                <w:lang w:val="en-US" w:eastAsia="zh-CN"/>
              </w:rPr>
              <w:t>11</w:t>
            </w:r>
            <w:r>
              <w:rPr>
                <w:rFonts w:hint="eastAsia" w:ascii="宋体" w:hAnsi="宋体" w:eastAsia="宋体" w:cs="宋体"/>
                <w:snapToGrid w:val="0"/>
                <w:color w:val="auto"/>
                <w:kern w:val="0"/>
                <w:sz w:val="24"/>
                <w:szCs w:val="24"/>
                <w:highlight w:val="none"/>
                <w:u w:val="none"/>
              </w:rPr>
              <w:t>月</w:t>
            </w:r>
            <w:r>
              <w:rPr>
                <w:rFonts w:hint="eastAsia" w:hAnsi="宋体" w:cs="宋体"/>
                <w:snapToGrid w:val="0"/>
                <w:color w:val="auto"/>
                <w:kern w:val="0"/>
                <w:sz w:val="24"/>
                <w:szCs w:val="24"/>
                <w:highlight w:val="none"/>
                <w:u w:val="none"/>
                <w:lang w:val="en-US" w:eastAsia="zh-CN"/>
              </w:rPr>
              <w:t>14</w:t>
            </w:r>
            <w:r>
              <w:rPr>
                <w:rFonts w:hint="eastAsia" w:ascii="宋体" w:hAnsi="宋体" w:eastAsia="宋体" w:cs="宋体"/>
                <w:snapToGrid w:val="0"/>
                <w:color w:val="auto"/>
                <w:kern w:val="0"/>
                <w:sz w:val="24"/>
                <w:szCs w:val="24"/>
                <w:highlight w:val="none"/>
                <w:u w:val="none"/>
              </w:rPr>
              <w:t>日16时00分</w:t>
            </w:r>
          </w:p>
        </w:tc>
      </w:tr>
      <w:tr w14:paraId="48798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6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00FA8FA">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bookmarkStart w:id="28" w:name="OLE_LINK5" w:colFirst="1" w:colLast="2"/>
            <w:r>
              <w:rPr>
                <w:rFonts w:hint="eastAsia" w:hAnsi="宋体" w:cs="宋体"/>
                <w:snapToGrid w:val="0"/>
                <w:color w:val="auto"/>
                <w:kern w:val="0"/>
                <w:szCs w:val="24"/>
                <w:highlight w:val="none"/>
              </w:rPr>
              <w:t>5</w:t>
            </w:r>
          </w:p>
        </w:tc>
        <w:tc>
          <w:tcPr>
            <w:tcW w:w="1425" w:type="dxa"/>
            <w:tcBorders>
              <w:top w:val="single" w:color="080000" w:sz="4" w:space="0"/>
              <w:left w:val="single" w:color="080000" w:sz="4" w:space="0"/>
              <w:bottom w:val="single" w:color="080000" w:sz="4" w:space="0"/>
              <w:right w:val="single" w:color="080000" w:sz="4" w:space="0"/>
            </w:tcBorders>
            <w:vAlign w:val="center"/>
          </w:tcPr>
          <w:p w14:paraId="6B65244D">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投标保证缴</w:t>
            </w:r>
          </w:p>
          <w:p w14:paraId="491B5EDD">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纳截止时间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2A2C0FE3">
            <w:pPr>
              <w:pStyle w:val="73"/>
              <w:shd w:val="clear" w:fill="FFFFFF" w:themeFill="background1"/>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投标保证金到账截止时间：</w:t>
            </w:r>
            <w:r>
              <w:rPr>
                <w:rFonts w:hint="eastAsia" w:ascii="宋体" w:hAnsi="宋体" w:eastAsia="宋体" w:cs="宋体"/>
                <w:color w:val="auto"/>
                <w:sz w:val="24"/>
                <w:szCs w:val="24"/>
                <w:highlight w:val="none"/>
                <w:u w:val="none"/>
                <w:lang w:val="en-US" w:eastAsia="zh-CN"/>
              </w:rPr>
              <w:t>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月2</w:t>
            </w:r>
            <w:r>
              <w:rPr>
                <w:rFonts w:hint="eastAsia" w:ascii="宋体" w:hAnsi="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snapToGrid w:val="0"/>
                <w:color w:val="auto"/>
                <w:kern w:val="0"/>
                <w:sz w:val="24"/>
                <w:szCs w:val="24"/>
                <w:highlight w:val="none"/>
                <w:u w:val="none"/>
              </w:rPr>
              <w:t>；</w:t>
            </w:r>
          </w:p>
          <w:p w14:paraId="693E2BD7">
            <w:pPr>
              <w:pStyle w:val="73"/>
              <w:shd w:val="clear" w:fill="FFFFFF" w:themeFill="background1"/>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投标保证担保提交截止时间：</w:t>
            </w:r>
            <w:r>
              <w:rPr>
                <w:rFonts w:hint="eastAsia" w:ascii="宋体" w:hAnsi="宋体" w:eastAsia="宋体" w:cs="宋体"/>
                <w:color w:val="auto"/>
                <w:sz w:val="24"/>
                <w:szCs w:val="24"/>
                <w:highlight w:val="none"/>
                <w:u w:val="none"/>
                <w:lang w:val="en-US" w:eastAsia="zh-CN"/>
              </w:rPr>
              <w:t>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月2</w:t>
            </w:r>
            <w:r>
              <w:rPr>
                <w:rFonts w:hint="eastAsia" w:ascii="宋体" w:hAnsi="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snapToGrid w:val="0"/>
                <w:color w:val="auto"/>
                <w:kern w:val="0"/>
                <w:sz w:val="24"/>
                <w:szCs w:val="24"/>
                <w:highlight w:val="none"/>
                <w:u w:val="none"/>
              </w:rPr>
              <w:t>；</w:t>
            </w:r>
          </w:p>
          <w:p w14:paraId="7ABFE656">
            <w:pPr>
              <w:pStyle w:val="36"/>
              <w:shd w:val="clear" w:fill="FFFFFF" w:themeFill="background1"/>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投标保证保险投保截止时间：</w:t>
            </w:r>
            <w:r>
              <w:rPr>
                <w:rFonts w:hint="eastAsia" w:ascii="宋体" w:hAnsi="宋体" w:eastAsia="宋体" w:cs="宋体"/>
                <w:color w:val="auto"/>
                <w:sz w:val="24"/>
                <w:szCs w:val="24"/>
                <w:highlight w:val="none"/>
                <w:u w:val="none"/>
                <w:lang w:val="en-US" w:eastAsia="zh-CN"/>
              </w:rPr>
              <w:t>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月2</w:t>
            </w:r>
            <w:r>
              <w:rPr>
                <w:rFonts w:hint="eastAsia" w:ascii="宋体" w:hAnsi="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snapToGrid w:val="0"/>
                <w:color w:val="auto"/>
                <w:kern w:val="0"/>
                <w:sz w:val="24"/>
                <w:szCs w:val="24"/>
                <w:highlight w:val="none"/>
                <w:u w:val="none"/>
              </w:rPr>
              <w:t>。</w:t>
            </w:r>
          </w:p>
        </w:tc>
      </w:tr>
      <w:bookmarkEnd w:id="28"/>
      <w:tr w14:paraId="66EDF4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6"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6BBCCA4F">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425" w:type="dxa"/>
            <w:tcBorders>
              <w:top w:val="single" w:color="080000" w:sz="4" w:space="0"/>
              <w:left w:val="single" w:color="080000" w:sz="4" w:space="0"/>
              <w:bottom w:val="single" w:color="080000" w:sz="4" w:space="0"/>
              <w:right w:val="single" w:color="080000" w:sz="4" w:space="0"/>
            </w:tcBorders>
            <w:vAlign w:val="center"/>
          </w:tcPr>
          <w:p w14:paraId="2F1B035A">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电子投标截止时间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51DC7FF">
            <w:pPr>
              <w:pStyle w:val="36"/>
              <w:shd w:val="clear" w:fill="FFFFFF" w:themeFill="background1"/>
              <w:wordWrap w:val="0"/>
              <w:adjustRightInd w:val="0"/>
              <w:snapToGrid w:val="0"/>
              <w:spacing w:line="400" w:lineRule="exact"/>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lang w:val="en-US" w:eastAsia="zh-CN"/>
              </w:rPr>
              <w:t>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月21日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p>
        </w:tc>
      </w:tr>
      <w:tr w14:paraId="1899B9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A7DB4D2">
            <w:pPr>
              <w:shd w:val="clear" w:fill="FFFFFF" w:themeFill="background1"/>
              <w:wordWrap w:val="0"/>
              <w:adjustRightInd w:val="0"/>
              <w:snapToGrid w:val="0"/>
              <w:spacing w:line="400" w:lineRule="exact"/>
              <w:jc w:val="center"/>
              <w:rPr>
                <w:rFonts w:hAnsi="宋体" w:cs="宋体"/>
                <w:snapToGrid w:val="0"/>
                <w:color w:val="auto"/>
                <w:kern w:val="0"/>
                <w:highlight w:val="none"/>
              </w:rPr>
            </w:pPr>
            <w:r>
              <w:rPr>
                <w:rFonts w:hint="eastAsia" w:ascii="宋体" w:hAnsi="宋体" w:cs="宋体"/>
                <w:snapToGrid w:val="0"/>
                <w:color w:val="auto"/>
                <w:kern w:val="0"/>
                <w:sz w:val="24"/>
                <w:highlight w:val="none"/>
              </w:rPr>
              <w:t>7</w:t>
            </w:r>
          </w:p>
        </w:tc>
        <w:tc>
          <w:tcPr>
            <w:tcW w:w="1425" w:type="dxa"/>
            <w:tcBorders>
              <w:top w:val="single" w:color="080000" w:sz="4" w:space="0"/>
              <w:left w:val="single" w:color="080000" w:sz="4" w:space="0"/>
              <w:bottom w:val="single" w:color="080000" w:sz="4" w:space="0"/>
              <w:right w:val="single" w:color="080000" w:sz="4" w:space="0"/>
            </w:tcBorders>
            <w:vAlign w:val="center"/>
          </w:tcPr>
          <w:p w14:paraId="0D90A576">
            <w:pPr>
              <w:shd w:val="clear" w:fill="FFFFFF" w:themeFill="background1"/>
              <w:wordWrap w:val="0"/>
              <w:adjustRightInd w:val="0"/>
              <w:snapToGrid w:val="0"/>
              <w:spacing w:line="400" w:lineRule="exact"/>
              <w:jc w:val="center"/>
              <w:rPr>
                <w:rFonts w:hAnsi="宋体" w:cs="宋体"/>
                <w:snapToGrid w:val="0"/>
                <w:color w:val="auto"/>
                <w:kern w:val="0"/>
                <w:highlight w:val="none"/>
              </w:rPr>
            </w:pPr>
            <w:r>
              <w:rPr>
                <w:rFonts w:hint="eastAsia" w:ascii="宋体" w:hAnsi="宋体" w:cs="宋体"/>
                <w:snapToGrid w:val="0"/>
                <w:color w:val="auto"/>
                <w:kern w:val="0"/>
                <w:sz w:val="24"/>
                <w:highlight w:val="none"/>
              </w:rPr>
              <w:t>评审原件（如有）递交时间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1DD46A8A">
            <w:pPr>
              <w:shd w:val="clear" w:fill="FFFFFF" w:themeFill="background1"/>
              <w:wordWrap w:val="0"/>
              <w:adjustRightInd w:val="0"/>
              <w:snapToGrid w:val="0"/>
              <w:spacing w:line="400" w:lineRule="exact"/>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lang w:val="en-US" w:eastAsia="zh-CN"/>
              </w:rPr>
              <w:t>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月21日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snapToGrid w:val="0"/>
                <w:color w:val="auto"/>
                <w:kern w:val="0"/>
                <w:sz w:val="24"/>
                <w:szCs w:val="24"/>
                <w:highlight w:val="none"/>
                <w:u w:val="none"/>
              </w:rPr>
              <w:t>至</w:t>
            </w:r>
            <w:r>
              <w:rPr>
                <w:rFonts w:hint="eastAsia" w:ascii="宋体" w:hAnsi="宋体" w:eastAsia="宋体" w:cs="宋体"/>
                <w:color w:val="auto"/>
                <w:sz w:val="24"/>
                <w:szCs w:val="24"/>
                <w:highlight w:val="none"/>
                <w:u w:val="none"/>
                <w:lang w:val="en-US" w:eastAsia="zh-CN"/>
              </w:rPr>
              <w:t>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月21日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p>
        </w:tc>
      </w:tr>
      <w:tr w14:paraId="245F18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5D7EC34D">
            <w:pPr>
              <w:shd w:val="clear" w:fill="FFFFFF" w:themeFill="background1"/>
              <w:wordWrap w:val="0"/>
              <w:adjustRightInd w:val="0"/>
              <w:snapToGrid w:val="0"/>
              <w:spacing w:line="400" w:lineRule="exact"/>
              <w:jc w:val="center"/>
              <w:rPr>
                <w:rFonts w:hAnsi="宋体" w:cs="宋体"/>
                <w:snapToGrid w:val="0"/>
                <w:color w:val="auto"/>
                <w:kern w:val="0"/>
                <w:highlight w:val="none"/>
              </w:rPr>
            </w:pPr>
            <w:r>
              <w:rPr>
                <w:rFonts w:hint="eastAsia" w:ascii="宋体" w:hAnsi="宋体" w:cs="宋体"/>
                <w:snapToGrid w:val="0"/>
                <w:color w:val="auto"/>
                <w:kern w:val="0"/>
                <w:sz w:val="24"/>
                <w:highlight w:val="none"/>
              </w:rPr>
              <w:t>8</w:t>
            </w:r>
          </w:p>
        </w:tc>
        <w:tc>
          <w:tcPr>
            <w:tcW w:w="1425" w:type="dxa"/>
            <w:tcBorders>
              <w:top w:val="single" w:color="080000" w:sz="4" w:space="0"/>
              <w:left w:val="single" w:color="080000" w:sz="4" w:space="0"/>
              <w:bottom w:val="single" w:color="080000" w:sz="4" w:space="0"/>
              <w:right w:val="single" w:color="080000" w:sz="4" w:space="0"/>
            </w:tcBorders>
            <w:vAlign w:val="center"/>
          </w:tcPr>
          <w:p w14:paraId="0F943337">
            <w:pPr>
              <w:shd w:val="clear" w:fill="FFFFFF" w:themeFill="background1"/>
              <w:wordWrap w:val="0"/>
              <w:adjustRightInd w:val="0"/>
              <w:snapToGrid w:val="0"/>
              <w:spacing w:line="400" w:lineRule="exact"/>
              <w:jc w:val="center"/>
              <w:rPr>
                <w:rFonts w:hAnsi="宋体" w:cs="宋体"/>
                <w:snapToGrid w:val="0"/>
                <w:color w:val="auto"/>
                <w:kern w:val="0"/>
                <w:highlight w:val="none"/>
              </w:rPr>
            </w:pPr>
            <w:r>
              <w:rPr>
                <w:rFonts w:hint="eastAsia" w:ascii="宋体" w:hAnsi="宋体" w:cs="宋体"/>
                <w:snapToGrid w:val="0"/>
                <w:color w:val="auto"/>
                <w:kern w:val="0"/>
                <w:sz w:val="24"/>
                <w:highlight w:val="none"/>
              </w:rPr>
              <w:t>评审原件（如有）递交地点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4C82EC7C">
            <w:pPr>
              <w:pStyle w:val="73"/>
              <w:shd w:val="clear" w:fill="FFFFFF" w:themeFill="background1"/>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递交场所：韶关市公共资源交易中心乐昌分中心；</w:t>
            </w:r>
          </w:p>
          <w:p w14:paraId="62F360CC">
            <w:pPr>
              <w:pStyle w:val="73"/>
              <w:shd w:val="clear" w:fill="FFFFFF" w:themeFill="background1"/>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地址：乐昌市昌山北路23号，具体开标室以当日现场通知为准。</w:t>
            </w:r>
          </w:p>
        </w:tc>
      </w:tr>
      <w:tr w14:paraId="01A181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6CC1DB6">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425" w:type="dxa"/>
            <w:tcBorders>
              <w:top w:val="single" w:color="080000" w:sz="4" w:space="0"/>
              <w:left w:val="single" w:color="080000" w:sz="4" w:space="0"/>
              <w:bottom w:val="single" w:color="080000" w:sz="4" w:space="0"/>
              <w:right w:val="single" w:color="080000" w:sz="4" w:space="0"/>
            </w:tcBorders>
            <w:vAlign w:val="center"/>
          </w:tcPr>
          <w:p w14:paraId="39D391EF">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开标时间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35364DAD">
            <w:pPr>
              <w:pStyle w:val="73"/>
              <w:shd w:val="clear" w:fill="FFFFFF" w:themeFill="background1"/>
              <w:wordWrap w:val="0"/>
              <w:adjustRightInd w:val="0"/>
              <w:snapToGrid w:val="0"/>
              <w:spacing w:line="400" w:lineRule="exact"/>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lang w:val="en-US" w:eastAsia="zh-CN"/>
              </w:rPr>
              <w:t>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月21日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p>
        </w:tc>
      </w:tr>
      <w:tr w14:paraId="05B989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70C82ABA">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425" w:type="dxa"/>
            <w:tcBorders>
              <w:top w:val="single" w:color="080000" w:sz="4" w:space="0"/>
              <w:left w:val="single" w:color="080000" w:sz="4" w:space="0"/>
              <w:bottom w:val="single" w:color="080000" w:sz="4" w:space="0"/>
              <w:right w:val="single" w:color="080000" w:sz="4" w:space="0"/>
            </w:tcBorders>
            <w:vAlign w:val="center"/>
          </w:tcPr>
          <w:p w14:paraId="4BDFFC7B">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开标地点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0D55E752">
            <w:pPr>
              <w:pStyle w:val="73"/>
              <w:shd w:val="clear" w:fill="FFFFFF" w:themeFill="background1"/>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开标地点：韶关市公共资源交易中心乐昌分中心；</w:t>
            </w:r>
          </w:p>
          <w:p w14:paraId="6952BD29">
            <w:pPr>
              <w:pStyle w:val="73"/>
              <w:shd w:val="clear" w:fill="FFFFFF" w:themeFill="background1"/>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地址：乐昌市昌山北路23号，具体开标室以当日现场通知为准。</w:t>
            </w:r>
          </w:p>
        </w:tc>
      </w:tr>
      <w:tr w14:paraId="101DEC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2" w:hRule="exact"/>
        </w:trPr>
        <w:tc>
          <w:tcPr>
            <w:tcW w:w="10099" w:type="dxa"/>
            <w:gridSpan w:val="3"/>
            <w:tcBorders>
              <w:top w:val="single" w:color="080000" w:sz="4" w:space="0"/>
              <w:left w:val="single" w:color="080000" w:sz="4" w:space="0"/>
              <w:bottom w:val="single" w:color="080000" w:sz="4" w:space="0"/>
              <w:right w:val="single" w:color="080000" w:sz="4" w:space="0"/>
            </w:tcBorders>
            <w:vAlign w:val="center"/>
          </w:tcPr>
          <w:p w14:paraId="22627FE6">
            <w:pPr>
              <w:pStyle w:val="36"/>
              <w:shd w:val="clear" w:fill="FFFFFF" w:themeFill="background1"/>
              <w:wordWrap w:val="0"/>
              <w:adjustRightInd w:val="0"/>
              <w:snapToGrid w:val="0"/>
              <w:spacing w:line="400" w:lineRule="exact"/>
              <w:jc w:val="left"/>
              <w:rPr>
                <w:rFonts w:ascii="宋体" w:hAnsi="宋体" w:cs="宋体"/>
                <w:snapToGrid w:val="0"/>
                <w:color w:val="auto"/>
                <w:kern w:val="0"/>
                <w:sz w:val="24"/>
                <w:highlight w:val="none"/>
              </w:rPr>
            </w:pPr>
            <w:r>
              <w:rPr>
                <w:rFonts w:hint="eastAsia" w:ascii="宋体" w:hAnsi="宋体" w:eastAsia="宋体" w:cs="宋体"/>
                <w:color w:val="auto"/>
                <w:sz w:val="24"/>
                <w:szCs w:val="24"/>
                <w:highlight w:val="none"/>
              </w:rPr>
              <w:t>备注：投标人应按有关要求办理数字证书（CA）和企业入库、网上</w:t>
            </w:r>
            <w:r>
              <w:rPr>
                <w:rFonts w:hint="eastAsia" w:ascii="宋体" w:hAnsi="宋体" w:eastAsia="宋体" w:cs="宋体"/>
                <w:color w:val="auto"/>
                <w:sz w:val="24"/>
                <w:szCs w:val="24"/>
                <w:highlight w:val="none"/>
                <w:lang w:eastAsia="zh-CN"/>
              </w:rPr>
              <w:t>获取招标文件</w:t>
            </w:r>
            <w:r>
              <w:rPr>
                <w:rFonts w:hint="eastAsia" w:ascii="宋体" w:hAnsi="宋体" w:eastAsia="宋体" w:cs="宋体"/>
                <w:color w:val="auto"/>
                <w:sz w:val="24"/>
                <w:szCs w:val="24"/>
                <w:highlight w:val="none"/>
              </w:rPr>
              <w:t>、电子投标、下载招标文件（包括工程量清单及相关图纸资料文件）。若由于投标人自身原因未能及时取得上述资料的，由此发生的任何责任由投标人自行承担。</w:t>
            </w:r>
          </w:p>
        </w:tc>
      </w:tr>
    </w:tbl>
    <w:p w14:paraId="44B50196">
      <w:pPr>
        <w:shd w:val="clear" w:fill="FFFFFF" w:themeFill="background1"/>
        <w:adjustRightInd w:val="0"/>
        <w:snapToGrid w:val="0"/>
        <w:spacing w:before="120" w:after="90"/>
        <w:jc w:val="center"/>
        <w:rPr>
          <w:rFonts w:ascii="宋体" w:hAnsi="宋体"/>
          <w:b/>
          <w:bCs/>
          <w:color w:val="auto"/>
          <w:sz w:val="44"/>
          <w:szCs w:val="44"/>
          <w:highlight w:val="none"/>
        </w:rPr>
      </w:pPr>
    </w:p>
    <w:p w14:paraId="7852F036">
      <w:pPr>
        <w:pStyle w:val="55"/>
        <w:shd w:val="clear" w:fill="FFFFFF" w:themeFill="background1"/>
        <w:rPr>
          <w:color w:val="auto"/>
          <w:highlight w:val="none"/>
        </w:rPr>
      </w:pPr>
    </w:p>
    <w:p w14:paraId="3709D449">
      <w:pPr>
        <w:pStyle w:val="55"/>
        <w:shd w:val="clear" w:fill="FFFFFF" w:themeFill="background1"/>
        <w:rPr>
          <w:color w:val="auto"/>
          <w:highlight w:val="none"/>
        </w:rPr>
      </w:pPr>
    </w:p>
    <w:p w14:paraId="59CB0025">
      <w:pPr>
        <w:pStyle w:val="55"/>
        <w:shd w:val="clear" w:fill="FFFFFF" w:themeFill="background1"/>
        <w:rPr>
          <w:color w:val="auto"/>
          <w:highlight w:val="none"/>
        </w:rPr>
      </w:pPr>
    </w:p>
    <w:p w14:paraId="41889C65">
      <w:pPr>
        <w:shd w:val="clear" w:fill="FFFFFF" w:themeFill="background1"/>
        <w:adjustRightInd w:val="0"/>
        <w:snapToGrid w:val="0"/>
        <w:spacing w:before="120" w:after="90"/>
        <w:jc w:val="center"/>
        <w:rPr>
          <w:rFonts w:ascii="宋体" w:hAnsi="宋体"/>
          <w:b/>
          <w:bCs/>
          <w:color w:val="auto"/>
          <w:sz w:val="44"/>
          <w:szCs w:val="44"/>
          <w:highlight w:val="none"/>
        </w:rPr>
      </w:pPr>
    </w:p>
    <w:p w14:paraId="160C5309">
      <w:pPr>
        <w:pStyle w:val="55"/>
        <w:shd w:val="clear" w:fill="FFFFFF" w:themeFill="background1"/>
        <w:rPr>
          <w:color w:val="auto"/>
          <w:highlight w:val="none"/>
        </w:rPr>
      </w:pPr>
    </w:p>
    <w:p w14:paraId="453B2115">
      <w:pPr>
        <w:pStyle w:val="55"/>
        <w:shd w:val="clear" w:fill="FFFFFF" w:themeFill="background1"/>
        <w:rPr>
          <w:color w:val="auto"/>
          <w:highlight w:val="none"/>
        </w:rPr>
      </w:pPr>
    </w:p>
    <w:p w14:paraId="124759B0">
      <w:pPr>
        <w:pStyle w:val="55"/>
        <w:shd w:val="clear" w:fill="FFFFFF" w:themeFill="background1"/>
        <w:rPr>
          <w:color w:val="auto"/>
          <w:highlight w:val="none"/>
        </w:rPr>
      </w:pPr>
    </w:p>
    <w:p w14:paraId="702F5612">
      <w:pPr>
        <w:pStyle w:val="55"/>
        <w:shd w:val="clear" w:fill="FFFFFF" w:themeFill="background1"/>
        <w:rPr>
          <w:color w:val="auto"/>
          <w:highlight w:val="none"/>
        </w:rPr>
      </w:pPr>
    </w:p>
    <w:p w14:paraId="7F455D7B">
      <w:pPr>
        <w:shd w:val="clear" w:fill="FFFFFF" w:themeFill="background1"/>
        <w:adjustRightInd w:val="0"/>
        <w:snapToGrid w:val="0"/>
        <w:spacing w:before="120" w:after="90"/>
        <w:jc w:val="center"/>
        <w:rPr>
          <w:rFonts w:ascii="宋体" w:hAnsi="宋体"/>
          <w:b/>
          <w:bCs/>
          <w:color w:val="auto"/>
          <w:sz w:val="44"/>
          <w:szCs w:val="44"/>
          <w:highlight w:val="none"/>
        </w:rPr>
      </w:pPr>
      <w:r>
        <w:rPr>
          <w:rFonts w:ascii="宋体" w:hAnsi="宋体"/>
          <w:b/>
          <w:bCs/>
          <w:color w:val="auto"/>
          <w:sz w:val="44"/>
          <w:szCs w:val="44"/>
          <w:highlight w:val="none"/>
        </w:rPr>
        <w:t>第二章  投标人须知</w:t>
      </w:r>
    </w:p>
    <w:p w14:paraId="26BA7FB0">
      <w:pPr>
        <w:pStyle w:val="3"/>
        <w:shd w:val="clear" w:fill="FFFFFF" w:themeFill="background1"/>
        <w:adjustRightInd w:val="0"/>
        <w:snapToGrid w:val="0"/>
        <w:spacing w:before="120" w:after="90" w:line="240" w:lineRule="auto"/>
        <w:jc w:val="center"/>
        <w:rPr>
          <w:rFonts w:ascii="宋体" w:hAnsi="宋体"/>
          <w:b w:val="0"/>
          <w:bCs w:val="0"/>
          <w:color w:val="auto"/>
          <w:sz w:val="36"/>
          <w:highlight w:val="none"/>
        </w:rPr>
        <w:sectPr>
          <w:pgSz w:w="11906" w:h="16838"/>
          <w:pgMar w:top="1134" w:right="1134" w:bottom="1134" w:left="1134" w:header="851" w:footer="992" w:gutter="0"/>
          <w:cols w:space="720" w:num="1"/>
          <w:docGrid w:type="lines" w:linePitch="312" w:charSpace="0"/>
        </w:sectPr>
      </w:pPr>
    </w:p>
    <w:bookmarkEnd w:id="3"/>
    <w:bookmarkEnd w:id="4"/>
    <w:p w14:paraId="7EA411C1">
      <w:pPr>
        <w:pStyle w:val="3"/>
        <w:shd w:val="clear" w:fill="FFFFFF" w:themeFill="background1"/>
        <w:adjustRightInd w:val="0"/>
        <w:snapToGrid w:val="0"/>
        <w:spacing w:before="120" w:after="90" w:line="240" w:lineRule="auto"/>
        <w:jc w:val="center"/>
        <w:rPr>
          <w:rFonts w:ascii="宋体" w:hAnsi="宋体"/>
          <w:color w:val="auto"/>
          <w:sz w:val="36"/>
          <w:highlight w:val="none"/>
        </w:rPr>
      </w:pPr>
      <w:bookmarkStart w:id="29" w:name="_Toc43475661"/>
      <w:bookmarkEnd w:id="29"/>
      <w:r>
        <w:rPr>
          <w:rFonts w:ascii="宋体" w:hAnsi="宋体"/>
          <w:color w:val="auto"/>
          <w:sz w:val="36"/>
          <w:highlight w:val="none"/>
        </w:rPr>
        <w:t>第二章  投标人须知</w:t>
      </w:r>
    </w:p>
    <w:p w14:paraId="7A078083">
      <w:pPr>
        <w:shd w:val="clear" w:fill="FFFFFF" w:themeFill="background1"/>
        <w:jc w:val="left"/>
        <w:rPr>
          <w:rFonts w:ascii="宋体" w:hAnsi="宋体"/>
          <w:b/>
          <w:color w:val="auto"/>
          <w:sz w:val="24"/>
          <w:highlight w:val="none"/>
        </w:rPr>
      </w:pPr>
      <w:bookmarkStart w:id="30" w:name="_Toc234382587"/>
    </w:p>
    <w:bookmarkEnd w:id="30"/>
    <w:p w14:paraId="53423FD8">
      <w:pPr>
        <w:pStyle w:val="4"/>
        <w:shd w:val="clear" w:fill="FFFFFF" w:themeFill="background1"/>
        <w:rPr>
          <w:b w:val="0"/>
          <w:bCs w:val="0"/>
          <w:color w:val="auto"/>
          <w:sz w:val="28"/>
          <w:szCs w:val="28"/>
          <w:highlight w:val="none"/>
        </w:rPr>
      </w:pPr>
      <w:bookmarkStart w:id="31" w:name="_Toc43475662"/>
      <w:bookmarkEnd w:id="31"/>
      <w:r>
        <w:rPr>
          <w:b w:val="0"/>
          <w:bCs w:val="0"/>
          <w:color w:val="auto"/>
          <w:sz w:val="28"/>
          <w:szCs w:val="28"/>
          <w:highlight w:val="none"/>
        </w:rPr>
        <w:t>投标人须知前附表</w:t>
      </w:r>
    </w:p>
    <w:tbl>
      <w:tblPr>
        <w:tblStyle w:val="43"/>
        <w:tblW w:w="10227"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68"/>
        <w:gridCol w:w="2728"/>
        <w:gridCol w:w="6531"/>
      </w:tblGrid>
      <w:tr w14:paraId="3F0B20C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blHeader/>
        </w:trPr>
        <w:tc>
          <w:tcPr>
            <w:tcW w:w="968" w:type="dxa"/>
            <w:vAlign w:val="center"/>
          </w:tcPr>
          <w:p w14:paraId="7B15E38F">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8" w:type="dxa"/>
            <w:vAlign w:val="center"/>
          </w:tcPr>
          <w:p w14:paraId="1B3EC596">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531" w:type="dxa"/>
            <w:vAlign w:val="center"/>
          </w:tcPr>
          <w:p w14:paraId="513C8B52">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1BC7D8B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9BB223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728" w:type="dxa"/>
            <w:vAlign w:val="center"/>
          </w:tcPr>
          <w:p w14:paraId="2D0A38A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6531" w:type="dxa"/>
            <w:vAlign w:val="center"/>
          </w:tcPr>
          <w:p w14:paraId="28311147">
            <w:pPr>
              <w:shd w:val="clear" w:fill="FFFFFF" w:themeFill="background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w:t>
            </w:r>
            <w:r>
              <w:rPr>
                <w:rFonts w:hint="eastAsia" w:ascii="宋体" w:hAnsi="宋体" w:cs="宋体"/>
                <w:color w:val="auto"/>
                <w:szCs w:val="21"/>
                <w:highlight w:val="none"/>
                <w:lang w:eastAsia="zh-CN"/>
              </w:rPr>
              <w:t>乐昌市坪石镇人民政府</w:t>
            </w:r>
          </w:p>
          <w:p w14:paraId="2B17B449">
            <w:pPr>
              <w:shd w:val="clear" w:fill="FFFFFF" w:themeFill="background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乐昌市坪石镇群众路三巷89号</w:t>
            </w:r>
          </w:p>
          <w:p w14:paraId="239448F5">
            <w:pPr>
              <w:shd w:val="clear" w:fill="FFFFFF" w:themeFill="background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eastAsia="zh-CN"/>
              </w:rPr>
              <w:t>张工</w:t>
            </w:r>
          </w:p>
          <w:p w14:paraId="16DEFDC6">
            <w:pPr>
              <w:shd w:val="clear" w:fill="FFFFFF" w:themeFill="background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eastAsia="宋体" w:cs="宋体"/>
                <w:color w:val="auto"/>
                <w:kern w:val="0"/>
                <w:sz w:val="24"/>
                <w:szCs w:val="24"/>
                <w:highlight w:val="none"/>
                <w:lang w:eastAsia="zh-CN"/>
              </w:rPr>
              <w:t xml:space="preserve">0751—5529211 </w:t>
            </w:r>
          </w:p>
        </w:tc>
      </w:tr>
      <w:tr w14:paraId="46E764F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C58859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728" w:type="dxa"/>
            <w:vAlign w:val="center"/>
          </w:tcPr>
          <w:p w14:paraId="1F6EFA1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531" w:type="dxa"/>
            <w:vAlign w:val="center"/>
          </w:tcPr>
          <w:p w14:paraId="0D96B337">
            <w:pPr>
              <w:shd w:val="clear" w:fill="FFFFFF" w:themeFill="background1"/>
              <w:rPr>
                <w:rFonts w:hint="eastAsia" w:ascii="宋体" w:hAnsi="宋体" w:eastAsia="宋体" w:cs="宋体"/>
                <w:color w:val="auto"/>
                <w:szCs w:val="21"/>
                <w:highlight w:val="none"/>
                <w:lang w:eastAsia="zh-CN"/>
              </w:rPr>
            </w:pPr>
            <w:r>
              <w:rPr>
                <w:rFonts w:ascii="宋体" w:hAnsi="宋体" w:cs="宋体"/>
                <w:color w:val="auto"/>
                <w:szCs w:val="21"/>
                <w:highlight w:val="none"/>
              </w:rPr>
              <w:t>单位名称：</w:t>
            </w:r>
            <w:r>
              <w:rPr>
                <w:rFonts w:hint="eastAsia" w:ascii="宋体" w:hAnsi="宋体" w:cs="宋体"/>
                <w:color w:val="auto"/>
                <w:szCs w:val="21"/>
                <w:highlight w:val="none"/>
                <w:lang w:eastAsia="zh-CN"/>
              </w:rPr>
              <w:t>广东合正项目管理有限公司</w:t>
            </w:r>
          </w:p>
          <w:p w14:paraId="592A1CB1">
            <w:pPr>
              <w:shd w:val="clear" w:fill="FFFFFF" w:themeFill="background1"/>
              <w:rPr>
                <w:rFonts w:hint="eastAsia" w:ascii="宋体" w:hAnsi="宋体" w:eastAsia="宋体" w:cs="宋体"/>
                <w:color w:val="auto"/>
                <w:szCs w:val="21"/>
                <w:highlight w:val="none"/>
                <w:lang w:eastAsia="zh-CN"/>
              </w:rPr>
            </w:pPr>
            <w:r>
              <w:rPr>
                <w:rFonts w:ascii="宋体" w:hAnsi="宋体" w:cs="宋体"/>
                <w:color w:val="auto"/>
                <w:szCs w:val="21"/>
                <w:highlight w:val="none"/>
              </w:rPr>
              <w:t>办公地址：</w:t>
            </w:r>
            <w:r>
              <w:rPr>
                <w:rFonts w:hint="eastAsia" w:ascii="宋体" w:hAnsi="宋体" w:cs="宋体"/>
                <w:color w:val="auto"/>
                <w:szCs w:val="21"/>
                <w:highlight w:val="none"/>
                <w:lang w:eastAsia="zh-CN"/>
              </w:rPr>
              <w:t>韶关市武江区百旺大道42号莞韶双创中心研发办公楼五楼</w:t>
            </w:r>
          </w:p>
          <w:p w14:paraId="29F89CC5">
            <w:pPr>
              <w:shd w:val="clear" w:fill="FFFFFF" w:themeFill="background1"/>
              <w:rPr>
                <w:rFonts w:hint="eastAsia" w:ascii="宋体" w:hAnsi="宋体" w:eastAsia="宋体" w:cs="宋体"/>
                <w:color w:val="auto"/>
                <w:szCs w:val="21"/>
                <w:highlight w:val="none"/>
                <w:lang w:eastAsia="zh-CN"/>
              </w:rPr>
            </w:pPr>
            <w:r>
              <w:rPr>
                <w:rFonts w:ascii="宋体" w:hAnsi="宋体" w:cs="宋体"/>
                <w:color w:val="auto"/>
                <w:szCs w:val="21"/>
                <w:highlight w:val="none"/>
              </w:rPr>
              <w:t>联 系 人：</w:t>
            </w:r>
            <w:r>
              <w:rPr>
                <w:rFonts w:hint="eastAsia" w:ascii="宋体" w:hAnsi="宋体" w:cs="宋体"/>
                <w:color w:val="auto"/>
                <w:szCs w:val="21"/>
                <w:highlight w:val="none"/>
                <w:lang w:eastAsia="zh-CN"/>
              </w:rPr>
              <w:t>孔工</w:t>
            </w:r>
          </w:p>
          <w:p w14:paraId="200AE5B0">
            <w:pPr>
              <w:shd w:val="clear" w:fill="FFFFFF" w:themeFill="background1"/>
              <w:rPr>
                <w:rFonts w:hint="eastAsia" w:ascii="宋体" w:hAnsi="宋体" w:eastAsia="宋体" w:cs="宋体"/>
                <w:color w:val="auto"/>
                <w:szCs w:val="21"/>
                <w:highlight w:val="none"/>
                <w:lang w:eastAsia="zh-CN"/>
              </w:rPr>
            </w:pPr>
            <w:r>
              <w:rPr>
                <w:rFonts w:ascii="宋体" w:hAnsi="宋体" w:cs="宋体"/>
                <w:color w:val="auto"/>
                <w:szCs w:val="21"/>
                <w:highlight w:val="none"/>
              </w:rPr>
              <w:t>联系电话：</w:t>
            </w:r>
            <w:r>
              <w:rPr>
                <w:rFonts w:hint="eastAsia" w:ascii="宋体" w:hAnsi="宋体" w:cs="宋体"/>
                <w:color w:val="auto"/>
                <w:szCs w:val="21"/>
                <w:highlight w:val="none"/>
                <w:lang w:eastAsia="zh-CN"/>
              </w:rPr>
              <w:t>0751-8219991</w:t>
            </w:r>
          </w:p>
        </w:tc>
      </w:tr>
      <w:tr w14:paraId="60028D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6D9079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728" w:type="dxa"/>
            <w:vAlign w:val="center"/>
          </w:tcPr>
          <w:p w14:paraId="19C35D9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6531" w:type="dxa"/>
            <w:vAlign w:val="center"/>
          </w:tcPr>
          <w:p w14:paraId="24AEAEB6">
            <w:pPr>
              <w:shd w:val="clear" w:fill="FFFFFF" w:themeFill="background1"/>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乐昌市“百千万工程”典型镇村公路建设项目（第二批） X330 罗家渡至新秦路网提升改造工程施工</w:t>
            </w:r>
          </w:p>
        </w:tc>
      </w:tr>
      <w:tr w14:paraId="34D6493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44D81F2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728" w:type="dxa"/>
            <w:vAlign w:val="center"/>
          </w:tcPr>
          <w:p w14:paraId="4BB8ED5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标段建设地点</w:t>
            </w:r>
          </w:p>
        </w:tc>
        <w:tc>
          <w:tcPr>
            <w:tcW w:w="6531" w:type="dxa"/>
            <w:vAlign w:val="center"/>
          </w:tcPr>
          <w:p w14:paraId="6C0E3AA8">
            <w:pPr>
              <w:shd w:val="clear" w:fill="FFFFFF" w:themeFill="background1"/>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乐昌市坪石镇</w:t>
            </w:r>
          </w:p>
        </w:tc>
      </w:tr>
      <w:tr w14:paraId="3138BB4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4782308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728" w:type="dxa"/>
            <w:vAlign w:val="center"/>
          </w:tcPr>
          <w:p w14:paraId="0472647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531" w:type="dxa"/>
            <w:vAlign w:val="center"/>
          </w:tcPr>
          <w:p w14:paraId="133A299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lang w:eastAsia="zh-CN"/>
              </w:rPr>
              <w:t>上级财政资金，不足部分</w:t>
            </w:r>
            <w:r>
              <w:rPr>
                <w:rFonts w:hint="eastAsia" w:ascii="宋体" w:hAnsi="宋体" w:cs="宋体"/>
                <w:color w:val="auto"/>
                <w:szCs w:val="21"/>
                <w:highlight w:val="none"/>
              </w:rPr>
              <w:t>由地方</w:t>
            </w:r>
            <w:r>
              <w:rPr>
                <w:rFonts w:hint="eastAsia" w:ascii="宋体" w:hAnsi="宋体" w:cs="宋体"/>
                <w:color w:val="auto"/>
                <w:szCs w:val="21"/>
                <w:highlight w:val="none"/>
                <w:lang w:eastAsia="zh-CN"/>
              </w:rPr>
              <w:t>自筹解决</w:t>
            </w:r>
          </w:p>
        </w:tc>
      </w:tr>
      <w:tr w14:paraId="695AC4A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0318611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8" w:type="dxa"/>
            <w:vAlign w:val="center"/>
          </w:tcPr>
          <w:p w14:paraId="088BAA9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531" w:type="dxa"/>
            <w:vAlign w:val="center"/>
          </w:tcPr>
          <w:p w14:paraId="40C345E4">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已落实</w:t>
            </w:r>
          </w:p>
        </w:tc>
      </w:tr>
      <w:tr w14:paraId="029D9A8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E7B6E2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728" w:type="dxa"/>
            <w:vAlign w:val="center"/>
          </w:tcPr>
          <w:p w14:paraId="3C06720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531" w:type="dxa"/>
            <w:vAlign w:val="center"/>
          </w:tcPr>
          <w:p w14:paraId="64331D37">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本项目施工图设计和工程量清单范围内的工程施工。</w:t>
            </w:r>
          </w:p>
        </w:tc>
      </w:tr>
      <w:tr w14:paraId="46A2995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560E319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728" w:type="dxa"/>
            <w:vAlign w:val="center"/>
          </w:tcPr>
          <w:p w14:paraId="5DCA6AC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6531" w:type="dxa"/>
            <w:vAlign w:val="center"/>
          </w:tcPr>
          <w:p w14:paraId="6F799E8F">
            <w:pPr>
              <w:shd w:val="clear" w:fill="FFFFFF" w:themeFill="background1"/>
              <w:spacing w:line="32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计划工期：</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lang w:eastAsia="zh-CN"/>
              </w:rPr>
              <w:t>日历天</w:t>
            </w:r>
            <w:r>
              <w:rPr>
                <w:rFonts w:hint="eastAsia" w:ascii="宋体" w:hAnsi="宋体" w:cs="宋体"/>
                <w:color w:val="auto"/>
                <w:szCs w:val="21"/>
                <w:highlight w:val="none"/>
              </w:rPr>
              <w:t>；(实际开工时间以监理签发开工令为准）</w:t>
            </w:r>
          </w:p>
          <w:p w14:paraId="0BE3B91A">
            <w:pPr>
              <w:shd w:val="clear" w:fill="FFFFFF" w:themeFill="background1"/>
              <w:spacing w:line="32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 年 /  月  / 日</w:t>
            </w:r>
            <w:r>
              <w:rPr>
                <w:rFonts w:hint="eastAsia" w:ascii="宋体" w:hAnsi="宋体" w:cs="宋体"/>
                <w:color w:val="auto"/>
                <w:szCs w:val="21"/>
                <w:highlight w:val="none"/>
              </w:rPr>
              <w:t>；</w:t>
            </w:r>
          </w:p>
          <w:p w14:paraId="4465626D">
            <w:pPr>
              <w:shd w:val="clear" w:fill="FFFFFF" w:themeFill="background1"/>
              <w:spacing w:line="280" w:lineRule="exact"/>
              <w:ind w:firstLine="105" w:firstLineChars="50"/>
              <w:rPr>
                <w:rFonts w:ascii="宋体" w:hAnsi="宋体" w:cs="宋体"/>
                <w:color w:val="auto"/>
                <w:szCs w:val="21"/>
                <w:highlight w:val="none"/>
                <w:u w:val="single"/>
              </w:rPr>
            </w:pPr>
            <w:r>
              <w:rPr>
                <w:rFonts w:hint="eastAsia" w:ascii="宋体" w:hAnsi="宋体" w:cs="宋体"/>
                <w:color w:val="auto"/>
                <w:szCs w:val="21"/>
                <w:highlight w:val="none"/>
              </w:rPr>
              <w:t>计划交工日期：</w:t>
            </w:r>
            <w:r>
              <w:rPr>
                <w:rFonts w:hint="eastAsia" w:ascii="宋体" w:hAnsi="宋体" w:cs="宋体"/>
                <w:color w:val="auto"/>
                <w:szCs w:val="21"/>
                <w:highlight w:val="none"/>
                <w:u w:val="single"/>
              </w:rPr>
              <w:t xml:space="preserve"> / 年 /  月 /  日。</w:t>
            </w:r>
          </w:p>
        </w:tc>
      </w:tr>
      <w:tr w14:paraId="56982A3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79F888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728" w:type="dxa"/>
            <w:vAlign w:val="center"/>
          </w:tcPr>
          <w:p w14:paraId="1D4F6A0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531" w:type="dxa"/>
            <w:vAlign w:val="center"/>
          </w:tcPr>
          <w:p w14:paraId="2E2757F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标段工程交工验收的质量评定：质量评分：≥75；质量等级：合格。</w:t>
            </w:r>
          </w:p>
          <w:p w14:paraId="4144A7E2">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竣工验收的质量评定：质量评分：≥75；质量等级：合格。</w:t>
            </w:r>
          </w:p>
        </w:tc>
      </w:tr>
      <w:tr w14:paraId="43460A4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05F9144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1.3.4</w:t>
            </w:r>
          </w:p>
        </w:tc>
        <w:tc>
          <w:tcPr>
            <w:tcW w:w="2728" w:type="dxa"/>
            <w:vAlign w:val="center"/>
          </w:tcPr>
          <w:p w14:paraId="375DB3F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安全目标</w:t>
            </w:r>
          </w:p>
        </w:tc>
        <w:tc>
          <w:tcPr>
            <w:tcW w:w="6531" w:type="dxa"/>
            <w:vAlign w:val="center"/>
          </w:tcPr>
          <w:p w14:paraId="12510BA6">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严格执行有关安全生产的法律法规和规章制度，确保项目建设期内</w:t>
            </w:r>
            <w:r>
              <w:rPr>
                <w:rFonts w:hint="eastAsia" w:ascii="宋体" w:hAnsi="宋体" w:cs="宋体"/>
                <w:color w:val="auto"/>
                <w:szCs w:val="21"/>
                <w:highlight w:val="none"/>
                <w:u w:val="single"/>
              </w:rPr>
              <w:t>无安全生产责任事故发生。</w:t>
            </w:r>
          </w:p>
        </w:tc>
      </w:tr>
      <w:tr w14:paraId="7BAA03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1B644D7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728" w:type="dxa"/>
            <w:tcBorders>
              <w:bottom w:val="single" w:color="000000" w:sz="6" w:space="0"/>
            </w:tcBorders>
            <w:vAlign w:val="center"/>
          </w:tcPr>
          <w:p w14:paraId="19AA9BFC">
            <w:pPr>
              <w:pStyle w:val="15"/>
              <w:shd w:val="clear" w:fill="FFFFFF" w:themeFill="background1"/>
              <w:topLinePunct/>
              <w:rPr>
                <w:rFonts w:hAnsi="宋体" w:cs="宋体"/>
                <w:color w:val="auto"/>
                <w:sz w:val="21"/>
                <w:szCs w:val="21"/>
                <w:highlight w:val="none"/>
              </w:rPr>
            </w:pPr>
            <w:r>
              <w:rPr>
                <w:rFonts w:hint="eastAsia" w:hAnsi="宋体" w:cs="宋体"/>
                <w:color w:val="auto"/>
                <w:sz w:val="21"/>
                <w:szCs w:val="21"/>
                <w:highlight w:val="none"/>
              </w:rPr>
              <w:t>投标人资质条件、能力和信誉</w:t>
            </w:r>
          </w:p>
        </w:tc>
        <w:tc>
          <w:tcPr>
            <w:tcW w:w="6531" w:type="dxa"/>
            <w:tcBorders>
              <w:bottom w:val="single" w:color="000000" w:sz="6" w:space="0"/>
            </w:tcBorders>
            <w:vAlign w:val="center"/>
          </w:tcPr>
          <w:p w14:paraId="70D1BC57">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资质条件：见附录1</w:t>
            </w:r>
          </w:p>
          <w:p w14:paraId="5E14DE1E">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财务要求：见附录2</w:t>
            </w:r>
          </w:p>
          <w:p w14:paraId="57BA4DC7">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业绩要求：见附录3</w:t>
            </w:r>
          </w:p>
          <w:p w14:paraId="027B8AA1">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信誉要求：见附录4</w:t>
            </w:r>
          </w:p>
          <w:p w14:paraId="23781564">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项目经理和项目总工资格要求：见附录5</w:t>
            </w:r>
          </w:p>
          <w:p w14:paraId="220F22D2">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其他要求：见附录6、7</w:t>
            </w:r>
          </w:p>
        </w:tc>
      </w:tr>
      <w:tr w14:paraId="5AE2FE2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7FED670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728" w:type="dxa"/>
            <w:tcBorders>
              <w:bottom w:val="single" w:color="000000" w:sz="6" w:space="0"/>
            </w:tcBorders>
            <w:vAlign w:val="center"/>
          </w:tcPr>
          <w:p w14:paraId="24280613">
            <w:pPr>
              <w:pStyle w:val="15"/>
              <w:shd w:val="clear" w:fill="FFFFFF" w:themeFill="background1"/>
              <w:topLinePunct/>
              <w:jc w:val="center"/>
              <w:rPr>
                <w:rFonts w:hAnsi="宋体" w:cs="宋体"/>
                <w:color w:val="auto"/>
                <w:sz w:val="21"/>
                <w:szCs w:val="21"/>
                <w:highlight w:val="none"/>
              </w:rPr>
            </w:pPr>
            <w:r>
              <w:rPr>
                <w:rFonts w:hint="eastAsia" w:hAnsi="宋体" w:cs="宋体"/>
                <w:color w:val="auto"/>
                <w:sz w:val="21"/>
                <w:szCs w:val="21"/>
                <w:highlight w:val="none"/>
              </w:rPr>
              <w:t>是否接受联合体投标</w:t>
            </w:r>
          </w:p>
        </w:tc>
        <w:tc>
          <w:tcPr>
            <w:tcW w:w="6531" w:type="dxa"/>
            <w:tcBorders>
              <w:bottom w:val="single" w:color="000000" w:sz="6" w:space="0"/>
            </w:tcBorders>
            <w:vAlign w:val="center"/>
          </w:tcPr>
          <w:p w14:paraId="428E8BA6">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☑不接受</w:t>
            </w:r>
          </w:p>
          <w:p w14:paraId="2F71D976">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□接受，还应满足下列要求：</w:t>
            </w:r>
          </w:p>
          <w:p w14:paraId="7A3CA2A5">
            <w:pPr>
              <w:pStyle w:val="15"/>
              <w:shd w:val="clear" w:fill="FFFFFF" w:themeFill="background1"/>
              <w:topLinePunct/>
              <w:adjustRightInd w:val="0"/>
              <w:snapToGrid w:val="0"/>
              <w:rPr>
                <w:rFonts w:hAnsi="宋体" w:cs="宋体"/>
                <w:color w:val="auto"/>
                <w:sz w:val="21"/>
                <w:szCs w:val="21"/>
                <w:highlight w:val="none"/>
                <w:u w:val="single"/>
              </w:rPr>
            </w:pPr>
            <w:r>
              <w:rPr>
                <w:rFonts w:hint="eastAsia" w:hAnsi="宋体" w:cs="宋体"/>
                <w:color w:val="auto"/>
                <w:sz w:val="21"/>
                <w:szCs w:val="21"/>
                <w:highlight w:val="none"/>
              </w:rPr>
              <w:t>（1）联合体所有成员数量不得超过</w:t>
            </w:r>
            <w:r>
              <w:rPr>
                <w:rFonts w:hint="eastAsia" w:hAnsi="宋体" w:cs="宋体"/>
                <w:color w:val="auto"/>
                <w:sz w:val="21"/>
                <w:szCs w:val="21"/>
                <w:highlight w:val="none"/>
                <w:u w:val="single"/>
              </w:rPr>
              <w:t xml:space="preserve"> / </w:t>
            </w:r>
            <w:r>
              <w:rPr>
                <w:rFonts w:hint="eastAsia" w:hAnsi="宋体" w:cs="宋体"/>
                <w:color w:val="auto"/>
                <w:sz w:val="21"/>
                <w:szCs w:val="21"/>
                <w:highlight w:val="none"/>
              </w:rPr>
              <w:t>家；</w:t>
            </w:r>
          </w:p>
          <w:p w14:paraId="219E54A9">
            <w:pPr>
              <w:pStyle w:val="15"/>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（2）联合体牵头人应具有</w:t>
            </w:r>
            <w:r>
              <w:rPr>
                <w:rFonts w:hint="eastAsia" w:hAnsi="宋体" w:cs="宋体"/>
                <w:color w:val="auto"/>
                <w:sz w:val="21"/>
                <w:szCs w:val="21"/>
                <w:highlight w:val="none"/>
                <w:u w:val="single"/>
              </w:rPr>
              <w:t xml:space="preserve"> / </w:t>
            </w:r>
            <w:r>
              <w:rPr>
                <w:rFonts w:hint="eastAsia" w:hAnsi="宋体" w:cs="宋体"/>
                <w:color w:val="auto"/>
                <w:sz w:val="21"/>
                <w:szCs w:val="21"/>
                <w:highlight w:val="none"/>
              </w:rPr>
              <w:t>资质；</w:t>
            </w:r>
          </w:p>
        </w:tc>
      </w:tr>
      <w:tr w14:paraId="177A7CA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32F9538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728" w:type="dxa"/>
            <w:tcBorders>
              <w:bottom w:val="single" w:color="000000" w:sz="6" w:space="0"/>
            </w:tcBorders>
            <w:vAlign w:val="center"/>
          </w:tcPr>
          <w:p w14:paraId="78A3F689">
            <w:pPr>
              <w:pStyle w:val="15"/>
              <w:shd w:val="clear" w:fill="FFFFFF" w:themeFill="background1"/>
              <w:topLinePunct/>
              <w:jc w:val="center"/>
              <w:rPr>
                <w:rFonts w:hAnsi="宋体" w:cs="宋体"/>
                <w:color w:val="auto"/>
                <w:sz w:val="21"/>
                <w:szCs w:val="21"/>
                <w:highlight w:val="none"/>
              </w:rPr>
            </w:pPr>
            <w:r>
              <w:rPr>
                <w:rFonts w:hint="eastAsia" w:hAnsi="宋体" w:cs="宋体"/>
                <w:color w:val="auto"/>
                <w:sz w:val="21"/>
                <w:szCs w:val="21"/>
                <w:highlight w:val="none"/>
              </w:rPr>
              <w:t>投标人不得存在的其他关联情形</w:t>
            </w:r>
          </w:p>
        </w:tc>
        <w:tc>
          <w:tcPr>
            <w:tcW w:w="6531" w:type="dxa"/>
            <w:tcBorders>
              <w:bottom w:val="single" w:color="000000" w:sz="6" w:space="0"/>
            </w:tcBorders>
            <w:vAlign w:val="center"/>
          </w:tcPr>
          <w:p w14:paraId="7B902161">
            <w:pPr>
              <w:pStyle w:val="15"/>
              <w:shd w:val="clear" w:fill="FFFFFF" w:themeFill="background1"/>
              <w:topLinePunct/>
              <w:adjustRightInd w:val="0"/>
              <w:snapToGrid w:val="0"/>
              <w:jc w:val="center"/>
              <w:rPr>
                <w:rFonts w:hAnsi="宋体" w:cs="宋体"/>
                <w:color w:val="auto"/>
                <w:sz w:val="21"/>
                <w:szCs w:val="21"/>
                <w:highlight w:val="none"/>
              </w:rPr>
            </w:pPr>
            <w:r>
              <w:rPr>
                <w:rFonts w:hint="eastAsia" w:hAnsi="宋体" w:cs="宋体"/>
                <w:color w:val="auto"/>
                <w:sz w:val="21"/>
                <w:szCs w:val="21"/>
                <w:highlight w:val="none"/>
              </w:rPr>
              <w:t>/</w:t>
            </w:r>
          </w:p>
        </w:tc>
      </w:tr>
      <w:tr w14:paraId="52E6ACB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6" w:space="0"/>
            </w:tcBorders>
            <w:vAlign w:val="center"/>
          </w:tcPr>
          <w:p w14:paraId="612C7EB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1.4.4</w:t>
            </w:r>
          </w:p>
        </w:tc>
        <w:tc>
          <w:tcPr>
            <w:tcW w:w="2728" w:type="dxa"/>
            <w:tcBorders>
              <w:top w:val="single" w:color="000000" w:sz="6" w:space="0"/>
            </w:tcBorders>
            <w:vAlign w:val="center"/>
          </w:tcPr>
          <w:p w14:paraId="5A638D03">
            <w:pPr>
              <w:pStyle w:val="15"/>
              <w:shd w:val="clear" w:fill="FFFFFF" w:themeFill="background1"/>
              <w:topLinePunct/>
              <w:jc w:val="center"/>
              <w:rPr>
                <w:rFonts w:hAnsi="宋体" w:cs="宋体"/>
                <w:color w:val="auto"/>
                <w:sz w:val="21"/>
                <w:szCs w:val="21"/>
                <w:highlight w:val="none"/>
              </w:rPr>
            </w:pPr>
            <w:r>
              <w:rPr>
                <w:rFonts w:hint="eastAsia" w:hAnsi="宋体" w:cs="宋体"/>
                <w:color w:val="auto"/>
                <w:sz w:val="21"/>
                <w:szCs w:val="21"/>
                <w:highlight w:val="none"/>
              </w:rPr>
              <w:t>投标人不得存在的其他不良状况或不良信用</w:t>
            </w:r>
          </w:p>
        </w:tc>
        <w:tc>
          <w:tcPr>
            <w:tcW w:w="6531" w:type="dxa"/>
            <w:tcBorders>
              <w:top w:val="single" w:color="000000" w:sz="6" w:space="0"/>
            </w:tcBorders>
            <w:vAlign w:val="center"/>
          </w:tcPr>
          <w:p w14:paraId="2FE6088C">
            <w:pPr>
              <w:pStyle w:val="15"/>
              <w:shd w:val="clear" w:fill="FFFFFF" w:themeFill="background1"/>
              <w:topLinePunct/>
              <w:adjustRightInd w:val="0"/>
              <w:snapToGrid w:val="0"/>
              <w:jc w:val="center"/>
              <w:rPr>
                <w:rFonts w:hAnsi="宋体" w:cs="宋体"/>
                <w:color w:val="auto"/>
                <w:sz w:val="21"/>
                <w:szCs w:val="21"/>
                <w:highlight w:val="none"/>
              </w:rPr>
            </w:pPr>
            <w:r>
              <w:rPr>
                <w:rFonts w:hint="eastAsia" w:hAnsi="宋体" w:cs="宋体"/>
                <w:color w:val="auto"/>
                <w:sz w:val="21"/>
                <w:szCs w:val="21"/>
                <w:highlight w:val="none"/>
              </w:rPr>
              <w:t>/</w:t>
            </w:r>
          </w:p>
        </w:tc>
      </w:tr>
      <w:tr w14:paraId="2E9DD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0898205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728" w:type="dxa"/>
            <w:vMerge w:val="restart"/>
            <w:vAlign w:val="center"/>
          </w:tcPr>
          <w:p w14:paraId="710CED9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531" w:type="dxa"/>
            <w:vAlign w:val="center"/>
          </w:tcPr>
          <w:p w14:paraId="24CB09E6">
            <w:pPr>
              <w:shd w:val="clear" w:fill="FFFFFF" w:themeFill="background1"/>
              <w:ind w:left="105" w:leftChars="50"/>
              <w:rPr>
                <w:rFonts w:ascii="宋体" w:hAnsi="宋体" w:cs="宋体"/>
                <w:color w:val="auto"/>
                <w:szCs w:val="21"/>
                <w:highlight w:val="none"/>
              </w:rPr>
            </w:pPr>
            <w:r>
              <w:rPr>
                <w:rFonts w:hint="eastAsia" w:ascii="宋体" w:hAnsi="宋体" w:cs="宋体"/>
                <w:color w:val="auto"/>
                <w:kern w:val="0"/>
                <w:szCs w:val="21"/>
                <w:highlight w:val="none"/>
              </w:rPr>
              <w:t>招标人不组织投标预备会。</w:t>
            </w:r>
          </w:p>
        </w:tc>
      </w:tr>
      <w:tr w14:paraId="78D12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3FD50B27">
            <w:pPr>
              <w:shd w:val="clear" w:fill="FFFFFF" w:themeFill="background1"/>
              <w:jc w:val="center"/>
              <w:rPr>
                <w:rFonts w:ascii="宋体" w:hAnsi="宋体" w:cs="宋体"/>
                <w:color w:val="auto"/>
                <w:szCs w:val="21"/>
                <w:highlight w:val="none"/>
              </w:rPr>
            </w:pPr>
          </w:p>
        </w:tc>
        <w:tc>
          <w:tcPr>
            <w:tcW w:w="2728" w:type="dxa"/>
            <w:vMerge w:val="continue"/>
            <w:vAlign w:val="center"/>
          </w:tcPr>
          <w:p w14:paraId="6375A7EA">
            <w:pPr>
              <w:shd w:val="clear" w:fill="FFFFFF" w:themeFill="background1"/>
              <w:jc w:val="center"/>
              <w:rPr>
                <w:rFonts w:ascii="宋体" w:hAnsi="宋体" w:cs="宋体"/>
                <w:color w:val="auto"/>
                <w:szCs w:val="21"/>
                <w:highlight w:val="none"/>
              </w:rPr>
            </w:pPr>
          </w:p>
        </w:tc>
        <w:tc>
          <w:tcPr>
            <w:tcW w:w="6531" w:type="dxa"/>
            <w:vAlign w:val="center"/>
          </w:tcPr>
          <w:p w14:paraId="252C8F29">
            <w:pPr>
              <w:shd w:val="clear" w:fill="FFFFFF" w:themeFill="background1"/>
              <w:ind w:left="105" w:leftChars="50"/>
              <w:jc w:val="left"/>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u w:val="single"/>
              </w:rPr>
              <w:t xml:space="preserve">   /  </w:t>
            </w:r>
          </w:p>
        </w:tc>
      </w:tr>
      <w:tr w14:paraId="0291F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19ED392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1.11.1</w:t>
            </w:r>
          </w:p>
        </w:tc>
        <w:tc>
          <w:tcPr>
            <w:tcW w:w="2728" w:type="dxa"/>
            <w:vAlign w:val="center"/>
          </w:tcPr>
          <w:p w14:paraId="652628C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分  包</w:t>
            </w:r>
          </w:p>
        </w:tc>
        <w:tc>
          <w:tcPr>
            <w:tcW w:w="6531" w:type="dxa"/>
            <w:vAlign w:val="center"/>
          </w:tcPr>
          <w:p w14:paraId="0128DD09">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☑不允许</w:t>
            </w:r>
          </w:p>
          <w:p w14:paraId="5CF15118">
            <w:pPr>
              <w:shd w:val="clear" w:fill="FFFFFF" w:themeFill="background1"/>
              <w:rPr>
                <w:color w:val="auto"/>
                <w:highlight w:val="none"/>
              </w:rPr>
            </w:pPr>
            <w:r>
              <w:rPr>
                <w:rFonts w:hint="eastAsia"/>
                <w:color w:val="auto"/>
                <w:highlight w:val="none"/>
              </w:rPr>
              <w:t>□允许，允许分包的专项工程（或不允许分包的专项工程）：</w:t>
            </w:r>
            <w:r>
              <w:rPr>
                <w:rFonts w:hint="eastAsia"/>
                <w:color w:val="auto"/>
                <w:highlight w:val="none"/>
                <w:u w:val="single"/>
              </w:rPr>
              <w:t xml:space="preserve">      /   </w:t>
            </w:r>
            <w:r>
              <w:rPr>
                <w:rFonts w:hint="eastAsia"/>
                <w:color w:val="auto"/>
                <w:highlight w:val="none"/>
              </w:rPr>
              <w:t xml:space="preserve">      </w:t>
            </w:r>
          </w:p>
          <w:p w14:paraId="4232FCBF">
            <w:pPr>
              <w:shd w:val="clear" w:fill="FFFFFF" w:themeFill="background1"/>
              <w:ind w:left="105" w:leftChars="50"/>
              <w:rPr>
                <w:color w:val="auto"/>
                <w:highlight w:val="none"/>
              </w:rPr>
            </w:pPr>
            <w:r>
              <w:rPr>
                <w:rFonts w:hint="eastAsia"/>
                <w:color w:val="auto"/>
                <w:highlight w:val="none"/>
              </w:rPr>
              <w:t>对分包人的资格要求：</w:t>
            </w:r>
            <w:r>
              <w:rPr>
                <w:rFonts w:hint="eastAsia"/>
                <w:color w:val="auto"/>
                <w:highlight w:val="none"/>
                <w:u w:val="single"/>
              </w:rPr>
              <w:t xml:space="preserve">       </w:t>
            </w:r>
            <w:r>
              <w:rPr>
                <w:rFonts w:hint="eastAsia"/>
                <w:color w:val="auto"/>
                <w:highlight w:val="none"/>
              </w:rPr>
              <w:t xml:space="preserve">/        </w:t>
            </w:r>
          </w:p>
        </w:tc>
      </w:tr>
      <w:tr w14:paraId="76171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A749B9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8" w:type="dxa"/>
            <w:vAlign w:val="center"/>
          </w:tcPr>
          <w:p w14:paraId="3418FFD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531" w:type="dxa"/>
            <w:vAlign w:val="center"/>
          </w:tcPr>
          <w:p w14:paraId="3225647C">
            <w:pPr>
              <w:shd w:val="clear" w:fill="FFFFFF" w:themeFill="background1"/>
              <w:rPr>
                <w:rFonts w:ascii="宋体" w:hAnsi="宋体" w:cs="宋体"/>
                <w:b/>
                <w:color w:val="auto"/>
                <w:szCs w:val="21"/>
                <w:highlight w:val="none"/>
              </w:rPr>
            </w:pPr>
            <w:r>
              <w:rPr>
                <w:rFonts w:hint="eastAsia" w:ascii="宋体" w:hAnsi="宋体" w:cs="宋体"/>
                <w:color w:val="auto"/>
                <w:szCs w:val="21"/>
                <w:highlight w:val="none"/>
              </w:rPr>
              <w:t xml:space="preserve"> 招标文件所附的其他资料</w:t>
            </w:r>
          </w:p>
        </w:tc>
      </w:tr>
      <w:tr w14:paraId="5F7BD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38854B2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728" w:type="dxa"/>
            <w:vMerge w:val="restart"/>
            <w:vAlign w:val="center"/>
          </w:tcPr>
          <w:p w14:paraId="057ACB53">
            <w:pPr>
              <w:shd w:val="clear" w:fill="FFFFFF" w:themeFill="background1"/>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投标人要求澄清</w:t>
            </w:r>
          </w:p>
          <w:p w14:paraId="72CB8F61">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w:t>
            </w:r>
          </w:p>
        </w:tc>
        <w:tc>
          <w:tcPr>
            <w:tcW w:w="6531" w:type="dxa"/>
            <w:vAlign w:val="center"/>
          </w:tcPr>
          <w:p w14:paraId="362E9E91">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时间：</w:t>
            </w:r>
            <w:r>
              <w:rPr>
                <w:rFonts w:hint="eastAsia" w:ascii="宋体" w:hAnsi="宋体" w:cs="宋体"/>
                <w:color w:val="auto"/>
                <w:kern w:val="0"/>
                <w:szCs w:val="21"/>
                <w:highlight w:val="none"/>
                <w:u w:val="single"/>
              </w:rPr>
              <w:t>递交投标文件截止之日10天前</w:t>
            </w:r>
          </w:p>
        </w:tc>
      </w:tr>
      <w:tr w14:paraId="1B8D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3F57CD20">
            <w:pPr>
              <w:shd w:val="clear" w:fill="FFFFFF" w:themeFill="background1"/>
              <w:jc w:val="center"/>
              <w:rPr>
                <w:rFonts w:ascii="宋体" w:hAnsi="宋体" w:cs="宋体"/>
                <w:color w:val="auto"/>
                <w:szCs w:val="21"/>
                <w:highlight w:val="none"/>
              </w:rPr>
            </w:pPr>
          </w:p>
        </w:tc>
        <w:tc>
          <w:tcPr>
            <w:tcW w:w="2728" w:type="dxa"/>
            <w:vMerge w:val="continue"/>
            <w:vAlign w:val="center"/>
          </w:tcPr>
          <w:p w14:paraId="052D7B50">
            <w:pPr>
              <w:shd w:val="clear" w:fill="FFFFFF" w:themeFill="background1"/>
              <w:autoSpaceDE w:val="0"/>
              <w:autoSpaceDN w:val="0"/>
              <w:jc w:val="center"/>
              <w:rPr>
                <w:rFonts w:ascii="宋体" w:hAnsi="宋体" w:cs="宋体"/>
                <w:color w:val="auto"/>
                <w:szCs w:val="21"/>
                <w:highlight w:val="none"/>
              </w:rPr>
            </w:pPr>
          </w:p>
        </w:tc>
        <w:tc>
          <w:tcPr>
            <w:tcW w:w="6531" w:type="dxa"/>
            <w:vAlign w:val="center"/>
          </w:tcPr>
          <w:p w14:paraId="335A9A1A">
            <w:pPr>
              <w:shd w:val="clear" w:fill="FFFFFF" w:themeFill="background1"/>
              <w:rPr>
                <w:rFonts w:ascii="宋体" w:hAnsi="宋体" w:cs="宋体"/>
                <w:color w:val="auto"/>
                <w:szCs w:val="21"/>
                <w:highlight w:val="none"/>
              </w:rPr>
            </w:pPr>
            <w:r>
              <w:rPr>
                <w:rFonts w:hint="eastAsia" w:ascii="宋体" w:hAnsi="宋体" w:cs="宋体"/>
                <w:color w:val="auto"/>
                <w:kern w:val="0"/>
                <w:szCs w:val="21"/>
                <w:highlight w:val="none"/>
              </w:rPr>
              <w:t>形式：投标人在全国公共资源交易平台 （广东省·韶关市）（https://ygp.gdzwfw.gov.cn/ggzy-portal/#/440200/index）</w:t>
            </w:r>
            <w:r>
              <w:rPr>
                <w:rFonts w:hint="eastAsia" w:ascii="宋体" w:hAnsi="宋体" w:cs="宋体"/>
                <w:color w:val="auto"/>
                <w:szCs w:val="21"/>
                <w:highlight w:val="none"/>
                <w:u w:val="single"/>
              </w:rPr>
              <w:t>招标答疑栏以不记名方式提出。</w:t>
            </w:r>
          </w:p>
        </w:tc>
      </w:tr>
      <w:tr w14:paraId="2C238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54C5E9C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728" w:type="dxa"/>
            <w:vAlign w:val="center"/>
          </w:tcPr>
          <w:p w14:paraId="63E79B5E">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招标文件澄清发出的形式</w:t>
            </w:r>
          </w:p>
        </w:tc>
        <w:tc>
          <w:tcPr>
            <w:tcW w:w="6531" w:type="dxa"/>
            <w:vAlign w:val="center"/>
          </w:tcPr>
          <w:p w14:paraId="18038984">
            <w:pPr>
              <w:shd w:val="clear" w:fill="FFFFFF" w:themeFill="background1"/>
              <w:rPr>
                <w:rFonts w:ascii="宋体" w:hAnsi="宋体" w:cs="宋体"/>
                <w:color w:val="auto"/>
                <w:szCs w:val="21"/>
                <w:highlight w:val="none"/>
              </w:rPr>
            </w:pPr>
            <w:r>
              <w:rPr>
                <w:rFonts w:hint="eastAsia" w:ascii="宋体" w:hAnsi="宋体" w:cs="宋体"/>
                <w:color w:val="auto"/>
                <w:kern w:val="0"/>
                <w:szCs w:val="21"/>
                <w:highlight w:val="none"/>
              </w:rPr>
              <w:t>网站公告：全国公共资源交易平台 （广东省·韶关市）（https://ygp.gdzwfw.gov.cn/ggzy-portal/#/440200/index）</w:t>
            </w:r>
            <w:r>
              <w:rPr>
                <w:rFonts w:hint="eastAsia" w:ascii="宋体" w:hAnsi="宋体" w:cs="宋体"/>
                <w:color w:val="auto"/>
                <w:szCs w:val="21"/>
                <w:highlight w:val="none"/>
              </w:rPr>
              <w:t>发布。</w:t>
            </w:r>
          </w:p>
        </w:tc>
      </w:tr>
      <w:tr w14:paraId="1A679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3BCEB56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728" w:type="dxa"/>
            <w:vMerge w:val="restart"/>
            <w:vAlign w:val="center"/>
          </w:tcPr>
          <w:p w14:paraId="60E5C627">
            <w:pPr>
              <w:shd w:val="clear" w:fill="FFFFFF" w:themeFill="background1"/>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投标人确认收到招标文件澄</w:t>
            </w:r>
          </w:p>
          <w:p w14:paraId="321A413F">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清</w:t>
            </w:r>
          </w:p>
        </w:tc>
        <w:tc>
          <w:tcPr>
            <w:tcW w:w="6531" w:type="dxa"/>
            <w:vAlign w:val="center"/>
          </w:tcPr>
          <w:p w14:paraId="2399C38E">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时间：以全国公共资源交易平台 （广东省·韶关市）（https://ygp.gdzwfw.gov.cn/ggzy-portal/#/440200/index）</w:t>
            </w:r>
            <w:r>
              <w:rPr>
                <w:rFonts w:hint="eastAsia" w:ascii="宋体" w:hAnsi="宋体" w:cs="宋体"/>
                <w:color w:val="auto"/>
                <w:szCs w:val="21"/>
                <w:highlight w:val="none"/>
              </w:rPr>
              <w:t>发布时间为准。</w:t>
            </w:r>
          </w:p>
        </w:tc>
      </w:tr>
      <w:tr w14:paraId="510E1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622605BF">
            <w:pPr>
              <w:shd w:val="clear" w:fill="FFFFFF" w:themeFill="background1"/>
              <w:jc w:val="center"/>
              <w:rPr>
                <w:rFonts w:ascii="宋体" w:hAnsi="宋体" w:cs="宋体"/>
                <w:color w:val="auto"/>
                <w:szCs w:val="21"/>
                <w:highlight w:val="none"/>
              </w:rPr>
            </w:pPr>
          </w:p>
        </w:tc>
        <w:tc>
          <w:tcPr>
            <w:tcW w:w="2728" w:type="dxa"/>
            <w:vMerge w:val="continue"/>
            <w:vAlign w:val="center"/>
          </w:tcPr>
          <w:p w14:paraId="3F608591">
            <w:pPr>
              <w:shd w:val="clear" w:fill="FFFFFF" w:themeFill="background1"/>
              <w:autoSpaceDE w:val="0"/>
              <w:autoSpaceDN w:val="0"/>
              <w:jc w:val="center"/>
              <w:rPr>
                <w:rFonts w:ascii="宋体" w:hAnsi="宋体" w:cs="宋体"/>
                <w:color w:val="auto"/>
                <w:szCs w:val="21"/>
                <w:highlight w:val="none"/>
              </w:rPr>
            </w:pPr>
          </w:p>
        </w:tc>
        <w:tc>
          <w:tcPr>
            <w:tcW w:w="6531" w:type="dxa"/>
            <w:vAlign w:val="center"/>
          </w:tcPr>
          <w:p w14:paraId="36C2D969">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rPr>
              <w:t>投标人应及时留意浏览网上发出的澄清公告，因投标人自身原因未及时获知澄清内容而导致的任何后果将由投标人自行承担。</w:t>
            </w:r>
          </w:p>
        </w:tc>
      </w:tr>
      <w:tr w14:paraId="1606C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627E6BD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728" w:type="dxa"/>
            <w:vAlign w:val="center"/>
          </w:tcPr>
          <w:p w14:paraId="4F50F65D">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招标文件修改发出的形式</w:t>
            </w:r>
          </w:p>
        </w:tc>
        <w:tc>
          <w:tcPr>
            <w:tcW w:w="6531" w:type="dxa"/>
            <w:vAlign w:val="center"/>
          </w:tcPr>
          <w:p w14:paraId="7F97FE84">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在全国公共资源交易平台 （广东省·韶关市）（https://ygp.gdzwfw.gov.cn/ggzy-portal/#/440200/index）公布。</w:t>
            </w:r>
          </w:p>
        </w:tc>
      </w:tr>
      <w:tr w14:paraId="187D1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3B8C4A7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728" w:type="dxa"/>
            <w:vMerge w:val="restart"/>
            <w:vAlign w:val="center"/>
          </w:tcPr>
          <w:p w14:paraId="294FCE6A">
            <w:pPr>
              <w:shd w:val="clear" w:fill="FFFFFF" w:themeFill="background1"/>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投标人确认收到招标文件修</w:t>
            </w:r>
          </w:p>
          <w:p w14:paraId="7A639C64">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改</w:t>
            </w:r>
          </w:p>
        </w:tc>
        <w:tc>
          <w:tcPr>
            <w:tcW w:w="6531" w:type="dxa"/>
            <w:vAlign w:val="center"/>
          </w:tcPr>
          <w:p w14:paraId="3D9FFD84">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时间：以全国公共资源交易平台 （广东省·韶关市）（https://ygp.gdzwfw.gov.cn/ggzy-portal/#/440200/index）</w:t>
            </w:r>
            <w:r>
              <w:rPr>
                <w:rFonts w:hint="eastAsia" w:ascii="宋体" w:hAnsi="宋体" w:cs="宋体"/>
                <w:color w:val="auto"/>
                <w:szCs w:val="21"/>
                <w:highlight w:val="none"/>
              </w:rPr>
              <w:t>发布时间为准</w:t>
            </w:r>
          </w:p>
        </w:tc>
      </w:tr>
      <w:tr w14:paraId="441A3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0FA286BC">
            <w:pPr>
              <w:shd w:val="clear" w:fill="FFFFFF" w:themeFill="background1"/>
              <w:jc w:val="center"/>
              <w:rPr>
                <w:rFonts w:ascii="宋体" w:hAnsi="宋体" w:cs="宋体"/>
                <w:color w:val="auto"/>
                <w:szCs w:val="21"/>
                <w:highlight w:val="none"/>
              </w:rPr>
            </w:pPr>
          </w:p>
        </w:tc>
        <w:tc>
          <w:tcPr>
            <w:tcW w:w="2728" w:type="dxa"/>
            <w:vMerge w:val="continue"/>
            <w:vAlign w:val="center"/>
          </w:tcPr>
          <w:p w14:paraId="17EF42B1">
            <w:pPr>
              <w:shd w:val="clear" w:fill="FFFFFF" w:themeFill="background1"/>
              <w:autoSpaceDE w:val="0"/>
              <w:autoSpaceDN w:val="0"/>
              <w:jc w:val="center"/>
              <w:rPr>
                <w:rFonts w:ascii="宋体" w:hAnsi="宋体" w:cs="宋体"/>
                <w:color w:val="auto"/>
                <w:szCs w:val="21"/>
                <w:highlight w:val="none"/>
              </w:rPr>
            </w:pPr>
          </w:p>
        </w:tc>
        <w:tc>
          <w:tcPr>
            <w:tcW w:w="6531" w:type="dxa"/>
            <w:vAlign w:val="center"/>
          </w:tcPr>
          <w:p w14:paraId="2F446262">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rPr>
              <w:t>投标人应及时留意浏览网上发出的修改公告，因投标人自身原因未及时获知修改内容而导致的任何后果将由投标人自行承担。</w:t>
            </w:r>
          </w:p>
        </w:tc>
      </w:tr>
      <w:tr w14:paraId="4B498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2AFEB7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728" w:type="dxa"/>
            <w:vAlign w:val="center"/>
          </w:tcPr>
          <w:p w14:paraId="7D7E246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投标文件密封形式</w:t>
            </w:r>
          </w:p>
        </w:tc>
        <w:tc>
          <w:tcPr>
            <w:tcW w:w="6531" w:type="dxa"/>
            <w:vAlign w:val="center"/>
          </w:tcPr>
          <w:p w14:paraId="5E6BB900">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☑双信封</w:t>
            </w:r>
          </w:p>
          <w:p w14:paraId="5D2D5BB7">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□单信封</w:t>
            </w:r>
          </w:p>
        </w:tc>
      </w:tr>
      <w:tr w14:paraId="7187F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4B511D6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728" w:type="dxa"/>
            <w:vAlign w:val="center"/>
          </w:tcPr>
          <w:p w14:paraId="44A1A83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531" w:type="dxa"/>
            <w:vAlign w:val="center"/>
          </w:tcPr>
          <w:p w14:paraId="6DF66F1B">
            <w:pPr>
              <w:shd w:val="clear" w:fill="FFFFFF" w:themeFill="background1"/>
              <w:ind w:left="105" w:leftChars="50" w:right="113"/>
              <w:jc w:val="center"/>
              <w:rPr>
                <w:rFonts w:ascii="宋体" w:hAnsi="宋体" w:cs="宋体"/>
                <w:color w:val="auto"/>
                <w:szCs w:val="21"/>
                <w:highlight w:val="none"/>
              </w:rPr>
            </w:pPr>
            <w:r>
              <w:rPr>
                <w:rFonts w:hint="eastAsia" w:ascii="宋体" w:hAnsi="宋体" w:cs="宋体"/>
                <w:color w:val="auto"/>
                <w:szCs w:val="21"/>
                <w:highlight w:val="none"/>
              </w:rPr>
              <w:t>/</w:t>
            </w:r>
          </w:p>
        </w:tc>
      </w:tr>
      <w:tr w14:paraId="3D792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D08AA0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728" w:type="dxa"/>
            <w:vAlign w:val="center"/>
          </w:tcPr>
          <w:p w14:paraId="7BE35CB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增值税税金计算方法</w:t>
            </w:r>
          </w:p>
        </w:tc>
        <w:tc>
          <w:tcPr>
            <w:tcW w:w="6531" w:type="dxa"/>
            <w:vAlign w:val="center"/>
          </w:tcPr>
          <w:p w14:paraId="55CD801E">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按国家、省、市现行规定执行</w:t>
            </w:r>
          </w:p>
        </w:tc>
      </w:tr>
      <w:tr w14:paraId="2E9E9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18B94B2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728" w:type="dxa"/>
            <w:vAlign w:val="center"/>
          </w:tcPr>
          <w:p w14:paraId="2BB0821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工程量清单的填写方式</w:t>
            </w:r>
          </w:p>
        </w:tc>
        <w:tc>
          <w:tcPr>
            <w:tcW w:w="6531" w:type="dxa"/>
            <w:vAlign w:val="center"/>
          </w:tcPr>
          <w:p w14:paraId="70FEBAEA">
            <w:pPr>
              <w:pStyle w:val="80"/>
              <w:shd w:val="clear" w:fill="FFFFFF" w:themeFill="background1"/>
              <w:spacing w:line="359" w:lineRule="exact"/>
              <w:ind w:left="107"/>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投标人按照招标人</w:t>
            </w:r>
            <w:r>
              <w:rPr>
                <w:rFonts w:hint="eastAsia" w:ascii="宋体" w:hAnsi="宋体" w:cs="宋体"/>
                <w:color w:val="auto"/>
                <w:spacing w:val="2"/>
                <w:szCs w:val="21"/>
                <w:highlight w:val="none"/>
              </w:rPr>
              <w:t>提</w:t>
            </w:r>
            <w:r>
              <w:rPr>
                <w:rFonts w:hint="eastAsia" w:ascii="宋体" w:hAnsi="宋体" w:cs="宋体"/>
                <w:color w:val="auto"/>
                <w:szCs w:val="21"/>
                <w:highlight w:val="none"/>
              </w:rPr>
              <w:t>供的工程</w:t>
            </w:r>
            <w:r>
              <w:rPr>
                <w:rFonts w:hint="eastAsia" w:ascii="宋体" w:hAnsi="宋体" w:cs="宋体"/>
                <w:color w:val="auto"/>
                <w:spacing w:val="2"/>
                <w:szCs w:val="21"/>
                <w:highlight w:val="none"/>
              </w:rPr>
              <w:t>量</w:t>
            </w:r>
            <w:r>
              <w:rPr>
                <w:rFonts w:hint="eastAsia" w:ascii="宋体" w:hAnsi="宋体" w:cs="宋体"/>
                <w:color w:val="auto"/>
                <w:szCs w:val="21"/>
                <w:highlight w:val="none"/>
              </w:rPr>
              <w:t>固化清单</w:t>
            </w:r>
            <w:r>
              <w:rPr>
                <w:rFonts w:hint="eastAsia" w:ascii="宋体" w:hAnsi="宋体" w:cs="宋体"/>
                <w:color w:val="auto"/>
                <w:spacing w:val="2"/>
                <w:szCs w:val="21"/>
                <w:highlight w:val="none"/>
              </w:rPr>
              <w:t>电</w:t>
            </w:r>
            <w:r>
              <w:rPr>
                <w:rFonts w:hint="eastAsia" w:ascii="宋体" w:hAnsi="宋体" w:cs="宋体"/>
                <w:color w:val="auto"/>
                <w:szCs w:val="21"/>
                <w:highlight w:val="none"/>
              </w:rPr>
              <w:t>子文件填写工程量清单，下</w:t>
            </w:r>
            <w:r>
              <w:rPr>
                <w:rFonts w:hint="eastAsia" w:ascii="宋体" w:hAnsi="宋体" w:cs="宋体"/>
                <w:color w:val="auto"/>
                <w:spacing w:val="-3"/>
                <w:szCs w:val="21"/>
                <w:highlight w:val="none"/>
              </w:rPr>
              <w:t>载</w:t>
            </w:r>
            <w:r>
              <w:rPr>
                <w:rFonts w:hint="eastAsia" w:ascii="宋体" w:hAnsi="宋体" w:cs="宋体"/>
                <w:color w:val="auto"/>
                <w:szCs w:val="21"/>
                <w:highlight w:val="none"/>
              </w:rPr>
              <w:t>网站</w:t>
            </w:r>
            <w:r>
              <w:rPr>
                <w:rFonts w:hint="eastAsia" w:ascii="宋体" w:hAnsi="宋体" w:cs="宋体"/>
                <w:color w:val="auto"/>
                <w:spacing w:val="-3"/>
                <w:szCs w:val="21"/>
                <w:highlight w:val="none"/>
              </w:rPr>
              <w:t>：</w:t>
            </w:r>
            <w:r>
              <w:rPr>
                <w:rFonts w:hint="eastAsia" w:ascii="宋体" w:hAnsi="宋体" w:cs="宋体"/>
                <w:color w:val="auto"/>
                <w:szCs w:val="21"/>
                <w:highlight w:val="none"/>
              </w:rPr>
              <w:t>全国公共资源交易平台 （广东省·韶关市）。</w:t>
            </w:r>
          </w:p>
          <w:p w14:paraId="159477FA">
            <w:pPr>
              <w:shd w:val="clear" w:fill="FFFFFF" w:themeFill="background1"/>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☑投标人按照招标人提供的书面工程量清单填写工程量清单，下</w:t>
            </w:r>
            <w:r>
              <w:rPr>
                <w:rFonts w:hint="eastAsia" w:ascii="宋体" w:hAnsi="宋体" w:cs="宋体"/>
                <w:color w:val="auto"/>
                <w:spacing w:val="-3"/>
                <w:szCs w:val="21"/>
                <w:highlight w:val="none"/>
              </w:rPr>
              <w:t>载</w:t>
            </w:r>
            <w:r>
              <w:rPr>
                <w:rFonts w:hint="eastAsia" w:ascii="宋体" w:hAnsi="宋体" w:cs="宋体"/>
                <w:color w:val="auto"/>
                <w:szCs w:val="21"/>
                <w:highlight w:val="none"/>
              </w:rPr>
              <w:t>网站</w:t>
            </w:r>
            <w:r>
              <w:rPr>
                <w:rFonts w:hint="eastAsia" w:ascii="宋体" w:hAnsi="宋体" w:cs="宋体"/>
                <w:color w:val="auto"/>
                <w:spacing w:val="-3"/>
                <w:szCs w:val="21"/>
                <w:highlight w:val="none"/>
              </w:rPr>
              <w:t>：</w:t>
            </w:r>
            <w:r>
              <w:rPr>
                <w:rFonts w:hint="eastAsia" w:ascii="宋体" w:hAnsi="宋体" w:cs="宋体"/>
                <w:color w:val="auto"/>
                <w:szCs w:val="21"/>
                <w:highlight w:val="none"/>
              </w:rPr>
              <w:t>全国公共资源交易平台 （广东省·韶关市）。</w:t>
            </w:r>
          </w:p>
        </w:tc>
      </w:tr>
      <w:tr w14:paraId="07346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6403E34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728" w:type="dxa"/>
            <w:vAlign w:val="center"/>
          </w:tcPr>
          <w:p w14:paraId="008D56B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6531" w:type="dxa"/>
            <w:vAlign w:val="center"/>
          </w:tcPr>
          <w:p w14:paraId="1450986A">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□单价</w:t>
            </w:r>
          </w:p>
          <w:p w14:paraId="63D64DEE">
            <w:pPr>
              <w:shd w:val="clear" w:fill="FFFFFF" w:themeFill="background1"/>
              <w:ind w:left="113" w:right="-11"/>
              <w:rPr>
                <w:rFonts w:ascii="宋体" w:hAnsi="宋体" w:cs="宋体"/>
                <w:color w:val="auto"/>
                <w:szCs w:val="21"/>
                <w:highlight w:val="none"/>
              </w:rPr>
            </w:pPr>
            <w:r>
              <w:rPr>
                <w:rFonts w:hint="eastAsia" w:ascii="宋体" w:hAnsi="宋体" w:cs="宋体"/>
                <w:color w:val="auto"/>
                <w:szCs w:val="21"/>
                <w:highlight w:val="none"/>
              </w:rPr>
              <w:t>☑总价</w:t>
            </w:r>
          </w:p>
        </w:tc>
      </w:tr>
      <w:tr w14:paraId="785A2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F5BB1E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3.2.6</w:t>
            </w:r>
          </w:p>
        </w:tc>
        <w:tc>
          <w:tcPr>
            <w:tcW w:w="2728" w:type="dxa"/>
            <w:vAlign w:val="center"/>
          </w:tcPr>
          <w:p w14:paraId="52ACFF0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是否接受调价函</w:t>
            </w:r>
          </w:p>
        </w:tc>
        <w:tc>
          <w:tcPr>
            <w:tcW w:w="6531" w:type="dxa"/>
            <w:vAlign w:val="center"/>
          </w:tcPr>
          <w:p w14:paraId="3ECF5C27">
            <w:pPr>
              <w:shd w:val="clear" w:fill="FFFFFF" w:themeFill="background1"/>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□是</w:t>
            </w:r>
            <w:bookmarkStart w:id="1764" w:name="_GoBack"/>
            <w:bookmarkEnd w:id="1764"/>
          </w:p>
          <w:p w14:paraId="5C43E69A">
            <w:pPr>
              <w:shd w:val="clear" w:fill="FFFFFF" w:themeFill="background1"/>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☑否</w:t>
            </w:r>
          </w:p>
        </w:tc>
      </w:tr>
      <w:tr w14:paraId="3077C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6971A7D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3.2.8</w:t>
            </w:r>
          </w:p>
        </w:tc>
        <w:tc>
          <w:tcPr>
            <w:tcW w:w="2728" w:type="dxa"/>
            <w:vAlign w:val="center"/>
          </w:tcPr>
          <w:p w14:paraId="3E735EE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531" w:type="dxa"/>
            <w:vAlign w:val="center"/>
          </w:tcPr>
          <w:p w14:paraId="4E773124">
            <w:pPr>
              <w:pStyle w:val="53"/>
              <w:shd w:val="clear" w:fill="FFFFFF" w:themeFill="background1"/>
              <w:jc w:val="left"/>
              <w:rPr>
                <w:rFonts w:hint="default"/>
                <w:b w:val="0"/>
                <w:bCs/>
                <w:color w:val="auto"/>
                <w:highlight w:val="none"/>
                <w:lang w:val="en-US" w:eastAsia="zh-CN"/>
              </w:rPr>
            </w:pPr>
            <w:r>
              <w:rPr>
                <w:rFonts w:hint="default"/>
                <w:b w:val="0"/>
                <w:bCs/>
                <w:color w:val="auto"/>
                <w:highlight w:val="none"/>
                <w:lang w:val="en-US" w:eastAsia="zh-CN"/>
              </w:rPr>
              <w:t>本次招标项目最高投标限价根据市政府十六届80次常务会议要求，在审定的预算价基础上下浮10%确定为：壹佰捌拾玖万陆仟捌佰壹拾肆元捌角整（¥1896814.80元），其中暂列金额(统一报价)为：¥61000.00元，安全生产费：¥29243元（统一报价），施工场地建设费：¥60000.00元（统一报价）。</w:t>
            </w:r>
          </w:p>
          <w:p w14:paraId="324FF739">
            <w:pPr>
              <w:pStyle w:val="53"/>
              <w:shd w:val="clear" w:fill="FFFFFF" w:themeFill="background1"/>
              <w:jc w:val="left"/>
              <w:rPr>
                <w:rFonts w:hint="default"/>
                <w:color w:val="auto"/>
                <w:highlight w:val="none"/>
                <w:lang w:val="en-US"/>
              </w:rPr>
            </w:pPr>
            <w:r>
              <w:rPr>
                <w:rFonts w:hint="default"/>
                <w:b w:val="0"/>
                <w:bCs/>
                <w:color w:val="auto"/>
                <w:highlight w:val="none"/>
                <w:lang w:val="en-US" w:eastAsia="zh-CN"/>
              </w:rPr>
              <w:t>注:暂列金额投标人按给定金额统一报价，但并不属于承包人所有，也不必然发生，只能按照发包人（建设单位）的指示使用，其最终结算费用应以实际发生为准，其余额仍归发包人（建设单位）所有。</w:t>
            </w:r>
          </w:p>
        </w:tc>
      </w:tr>
      <w:tr w14:paraId="0E614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572DD61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3.2.9</w:t>
            </w:r>
          </w:p>
        </w:tc>
        <w:tc>
          <w:tcPr>
            <w:tcW w:w="2728" w:type="dxa"/>
            <w:vAlign w:val="center"/>
          </w:tcPr>
          <w:p w14:paraId="0DCDF2F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投标报价其他要求</w:t>
            </w:r>
          </w:p>
        </w:tc>
        <w:tc>
          <w:tcPr>
            <w:tcW w:w="6531" w:type="dxa"/>
            <w:vAlign w:val="center"/>
          </w:tcPr>
          <w:p w14:paraId="3CB64107">
            <w:pPr>
              <w:shd w:val="clear" w:fill="FFFFFF" w:themeFill="background1"/>
              <w:ind w:left="113" w:right="113"/>
              <w:jc w:val="center"/>
              <w:rPr>
                <w:rFonts w:ascii="宋体" w:hAnsi="宋体" w:cs="宋体"/>
                <w:color w:val="auto"/>
                <w:szCs w:val="21"/>
                <w:highlight w:val="none"/>
              </w:rPr>
            </w:pPr>
            <w:r>
              <w:rPr>
                <w:rFonts w:hint="eastAsia" w:ascii="宋体" w:hAnsi="宋体" w:cs="宋体"/>
                <w:color w:val="auto"/>
                <w:szCs w:val="21"/>
                <w:highlight w:val="none"/>
              </w:rPr>
              <w:t>/</w:t>
            </w:r>
          </w:p>
        </w:tc>
      </w:tr>
      <w:tr w14:paraId="0927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131A9DF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728" w:type="dxa"/>
            <w:vAlign w:val="center"/>
          </w:tcPr>
          <w:p w14:paraId="09FA878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531" w:type="dxa"/>
            <w:vAlign w:val="center"/>
          </w:tcPr>
          <w:p w14:paraId="137F7506">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自投标人提交投标文件截止之日起计算90日</w:t>
            </w:r>
          </w:p>
        </w:tc>
      </w:tr>
      <w:tr w14:paraId="29DB2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7FD4A82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8" w:type="dxa"/>
            <w:tcBorders>
              <w:top w:val="single" w:color="000000" w:sz="4" w:space="0"/>
              <w:left w:val="single" w:color="000000" w:sz="4" w:space="0"/>
              <w:bottom w:val="single" w:color="000000" w:sz="4" w:space="0"/>
              <w:right w:val="single" w:color="000000" w:sz="4" w:space="0"/>
            </w:tcBorders>
            <w:vAlign w:val="center"/>
          </w:tcPr>
          <w:p w14:paraId="114F0337">
            <w:pPr>
              <w:pStyle w:val="57"/>
              <w:shd w:val="clear" w:fill="FFFFFF" w:themeFill="background1"/>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6531" w:type="dxa"/>
            <w:tcBorders>
              <w:top w:val="single" w:color="000000" w:sz="4" w:space="0"/>
              <w:left w:val="single" w:color="000000" w:sz="4" w:space="0"/>
              <w:bottom w:val="single" w:color="000000" w:sz="4" w:space="0"/>
              <w:right w:val="single" w:color="000000" w:sz="12" w:space="0"/>
            </w:tcBorders>
            <w:vAlign w:val="center"/>
          </w:tcPr>
          <w:p w14:paraId="109B1D5B">
            <w:pPr>
              <w:pStyle w:val="80"/>
              <w:shd w:val="clear" w:fill="FFFFFF" w:themeFill="background1"/>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36BCFFDC">
            <w:pPr>
              <w:pStyle w:val="57"/>
              <w:shd w:val="clear" w:fill="FFFFFF" w:themeFill="background1"/>
              <w:spacing w:line="400" w:lineRule="exact"/>
              <w:ind w:firstLine="105" w:firstLineChars="50"/>
              <w:jc w:val="left"/>
              <w:rPr>
                <w:rFonts w:ascii="宋体" w:hAnsi="宋体" w:cs="宋体"/>
                <w:color w:val="auto"/>
                <w:sz w:val="21"/>
                <w:szCs w:val="21"/>
                <w:highlight w:val="none"/>
              </w:rPr>
            </w:pPr>
            <w:r>
              <w:rPr>
                <w:rFonts w:hint="eastAsia" w:ascii="宋体" w:hAnsi="宋体" w:cs="宋体"/>
                <w:color w:val="auto"/>
                <w:sz w:val="21"/>
                <w:szCs w:val="21"/>
                <w:highlight w:val="none"/>
              </w:rPr>
              <w:t>☑要求，投标保证金为人民币：</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万元</w:t>
            </w:r>
            <w:r>
              <w:rPr>
                <w:rFonts w:hint="eastAsia" w:ascii="宋体" w:hAnsi="宋体" w:cs="宋体"/>
                <w:color w:val="auto"/>
                <w:sz w:val="21"/>
                <w:szCs w:val="21"/>
                <w:highlight w:val="none"/>
              </w:rPr>
              <w:t>。</w:t>
            </w:r>
          </w:p>
          <w:p w14:paraId="2B3B766D">
            <w:pPr>
              <w:pStyle w:val="57"/>
              <w:shd w:val="clear" w:fill="FFFFFF" w:themeFill="background1"/>
              <w:spacing w:line="400" w:lineRule="exact"/>
              <w:ind w:firstLine="105" w:firstLineChars="50"/>
              <w:jc w:val="left"/>
              <w:rPr>
                <w:rFonts w:ascii="宋体" w:hAnsi="宋体" w:cs="宋体"/>
                <w:bCs/>
                <w:color w:val="auto"/>
                <w:sz w:val="21"/>
                <w:szCs w:val="21"/>
                <w:highlight w:val="none"/>
              </w:rPr>
            </w:pPr>
            <w:r>
              <w:rPr>
                <w:rFonts w:hint="eastAsia" w:ascii="宋体" w:hAnsi="宋体" w:cs="宋体"/>
                <w:bCs/>
                <w:color w:val="auto"/>
                <w:sz w:val="21"/>
                <w:szCs w:val="21"/>
                <w:highlight w:val="none"/>
              </w:rPr>
              <w:t>投标保证金的有关说明： </w:t>
            </w:r>
          </w:p>
          <w:p w14:paraId="74A9B14A">
            <w:pPr>
              <w:pStyle w:val="80"/>
              <w:shd w:val="clear" w:fill="FFFFFF" w:themeFill="background1"/>
              <w:spacing w:line="420" w:lineRule="exact"/>
              <w:ind w:right="136"/>
              <w:rPr>
                <w:rFonts w:ascii="宋体" w:hAnsi="宋体" w:cs="宋体"/>
                <w:bCs/>
                <w:color w:val="auto"/>
                <w:szCs w:val="21"/>
                <w:highlight w:val="none"/>
              </w:rPr>
            </w:pPr>
            <w:r>
              <w:rPr>
                <w:rFonts w:hint="eastAsia" w:ascii="宋体" w:hAnsi="宋体" w:cs="宋体"/>
                <w:bCs/>
                <w:color w:val="auto"/>
                <w:szCs w:val="21"/>
                <w:highlight w:val="none"/>
              </w:rPr>
              <w:t>1、投标保证的形式包括投标保证金、投标保证担保、投标保证保险三种，由投标人自主选择。</w:t>
            </w:r>
          </w:p>
          <w:p w14:paraId="2859C087">
            <w:pPr>
              <w:pStyle w:val="80"/>
              <w:shd w:val="clear" w:fill="FFFFFF" w:themeFill="background1"/>
              <w:spacing w:line="420" w:lineRule="exact"/>
              <w:ind w:right="136"/>
              <w:rPr>
                <w:rFonts w:ascii="宋体" w:hAnsi="宋体" w:cs="宋体"/>
                <w:bCs/>
                <w:color w:val="auto"/>
                <w:szCs w:val="21"/>
                <w:highlight w:val="none"/>
              </w:rPr>
            </w:pPr>
            <w:r>
              <w:rPr>
                <w:rFonts w:hint="eastAsia" w:ascii="宋体" w:hAnsi="宋体" w:cs="宋体"/>
                <w:bCs/>
                <w:color w:val="auto"/>
                <w:szCs w:val="21"/>
                <w:highlight w:val="none"/>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4F8AD8FA">
            <w:pPr>
              <w:pStyle w:val="80"/>
              <w:shd w:val="clear" w:fill="FFFFFF" w:themeFill="background1"/>
              <w:spacing w:line="420" w:lineRule="exact"/>
              <w:ind w:right="136"/>
              <w:rPr>
                <w:rFonts w:ascii="宋体" w:hAnsi="宋体" w:cs="宋体"/>
                <w:bCs/>
                <w:color w:val="auto"/>
                <w:szCs w:val="21"/>
                <w:highlight w:val="none"/>
              </w:rPr>
            </w:pPr>
            <w:r>
              <w:rPr>
                <w:rFonts w:hint="eastAsia" w:ascii="宋体" w:hAnsi="宋体" w:cs="宋体"/>
                <w:bCs/>
                <w:color w:val="auto"/>
                <w:szCs w:val="21"/>
                <w:highlight w:val="none"/>
              </w:rPr>
              <w:t>（2）采用投标保证担保的，投标人应提交有效的银行保函，银行保函的有效期不得短于投标有效期。投标人必须在投标保证担保截止时间（见“重要事项时间地点一览表””）前，在交易平台完成网上办理电子保函。</w:t>
            </w:r>
          </w:p>
          <w:p w14:paraId="63194DBE">
            <w:pPr>
              <w:pStyle w:val="80"/>
              <w:shd w:val="clear" w:fill="FFFFFF" w:themeFill="background1"/>
              <w:spacing w:line="420" w:lineRule="exact"/>
              <w:ind w:right="136"/>
              <w:rPr>
                <w:rFonts w:ascii="宋体" w:hAnsi="宋体" w:cs="宋体"/>
                <w:bCs/>
                <w:color w:val="auto"/>
                <w:szCs w:val="21"/>
                <w:highlight w:val="none"/>
              </w:rPr>
            </w:pPr>
            <w:r>
              <w:rPr>
                <w:rFonts w:hint="eastAsia" w:ascii="宋体" w:hAnsi="宋体" w:cs="宋体"/>
                <w:bCs/>
                <w:color w:val="auto"/>
                <w:szCs w:val="21"/>
                <w:highlight w:val="none"/>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w:t>
            </w:r>
          </w:p>
          <w:p w14:paraId="092BA729">
            <w:pPr>
              <w:pStyle w:val="80"/>
              <w:shd w:val="clear" w:fill="FFFFFF" w:themeFill="background1"/>
              <w:spacing w:line="420" w:lineRule="exact"/>
              <w:ind w:right="136"/>
              <w:rPr>
                <w:rFonts w:ascii="宋体" w:hAnsi="宋体" w:cs="宋体"/>
                <w:color w:val="auto"/>
                <w:szCs w:val="21"/>
                <w:highlight w:val="none"/>
              </w:rPr>
            </w:pPr>
            <w:r>
              <w:rPr>
                <w:rFonts w:hint="eastAsia" w:ascii="宋体" w:hAnsi="宋体" w:cs="宋体"/>
                <w:bCs/>
                <w:color w:val="auto"/>
                <w:szCs w:val="21"/>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F95822A">
            <w:pPr>
              <w:pStyle w:val="55"/>
              <w:shd w:val="clear" w:fill="FFFFFF" w:themeFill="background1"/>
              <w:rPr>
                <w:rFonts w:ascii="宋体" w:hAnsi="宋体" w:cs="宋体"/>
                <w:color w:val="auto"/>
                <w:sz w:val="21"/>
                <w:szCs w:val="21"/>
                <w:highlight w:val="none"/>
              </w:rPr>
            </w:pPr>
            <w:r>
              <w:rPr>
                <w:rFonts w:hint="eastAsia" w:ascii="宋体" w:hAnsi="宋体" w:cs="宋体"/>
                <w:color w:val="auto"/>
                <w:sz w:val="21"/>
                <w:szCs w:val="21"/>
                <w:highlight w:val="none"/>
              </w:rPr>
              <w:t>□不要求</w:t>
            </w:r>
          </w:p>
        </w:tc>
      </w:tr>
      <w:tr w14:paraId="583E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11CE0F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3.4.3</w:t>
            </w:r>
          </w:p>
        </w:tc>
        <w:tc>
          <w:tcPr>
            <w:tcW w:w="2728" w:type="dxa"/>
            <w:tcBorders>
              <w:top w:val="single" w:color="000000" w:sz="4" w:space="0"/>
              <w:left w:val="single" w:color="000000" w:sz="4" w:space="0"/>
              <w:bottom w:val="single" w:color="000000" w:sz="4" w:space="0"/>
              <w:right w:val="single" w:color="000000" w:sz="4" w:space="0"/>
            </w:tcBorders>
            <w:vAlign w:val="center"/>
          </w:tcPr>
          <w:p w14:paraId="28FFAAFB">
            <w:pPr>
              <w:pStyle w:val="80"/>
              <w:shd w:val="clear" w:fill="FFFFFF" w:themeFill="background1"/>
              <w:ind w:left="1"/>
              <w:jc w:val="center"/>
              <w:rPr>
                <w:rFonts w:ascii="宋体" w:hAnsi="宋体" w:cs="宋体"/>
                <w:color w:val="auto"/>
                <w:szCs w:val="21"/>
                <w:highlight w:val="none"/>
              </w:rPr>
            </w:pPr>
            <w:r>
              <w:rPr>
                <w:rFonts w:hint="eastAsia" w:ascii="宋体" w:hAnsi="宋体" w:cs="宋体"/>
                <w:color w:val="auto"/>
                <w:szCs w:val="21"/>
                <w:highlight w:val="none"/>
              </w:rPr>
              <w:t>投标保证金的利息计算原则</w:t>
            </w:r>
          </w:p>
        </w:tc>
        <w:tc>
          <w:tcPr>
            <w:tcW w:w="6531" w:type="dxa"/>
            <w:tcBorders>
              <w:top w:val="single" w:color="000000" w:sz="4" w:space="0"/>
              <w:left w:val="single" w:color="000000" w:sz="4" w:space="0"/>
              <w:bottom w:val="single" w:color="000000" w:sz="4" w:space="0"/>
              <w:right w:val="single" w:color="000000" w:sz="12" w:space="0"/>
            </w:tcBorders>
            <w:vAlign w:val="center"/>
          </w:tcPr>
          <w:p w14:paraId="10952CA3">
            <w:pPr>
              <w:pStyle w:val="80"/>
              <w:shd w:val="clear" w:fill="FFFFFF" w:themeFill="background1"/>
              <w:ind w:left="1"/>
              <w:jc w:val="left"/>
              <w:rPr>
                <w:rFonts w:ascii="宋体" w:hAnsi="宋体" w:cs="宋体"/>
                <w:color w:val="auto"/>
                <w:szCs w:val="21"/>
                <w:highlight w:val="none"/>
              </w:rPr>
            </w:pPr>
            <w:r>
              <w:rPr>
                <w:rFonts w:hint="eastAsia" w:ascii="宋体" w:hAnsi="宋体" w:cs="宋体"/>
                <w:color w:val="auto"/>
                <w:szCs w:val="21"/>
                <w:highlight w:val="none"/>
              </w:rPr>
              <w:t>利息退还方式按韶关市公共资源交易中心相关规定办理。</w:t>
            </w:r>
          </w:p>
        </w:tc>
      </w:tr>
      <w:tr w14:paraId="44458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2DBE43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728" w:type="dxa"/>
            <w:tcBorders>
              <w:top w:val="single" w:color="000000" w:sz="4" w:space="0"/>
              <w:left w:val="single" w:color="000000" w:sz="4" w:space="0"/>
              <w:bottom w:val="single" w:color="000000" w:sz="4" w:space="0"/>
              <w:right w:val="single" w:color="000000" w:sz="4" w:space="0"/>
            </w:tcBorders>
            <w:vAlign w:val="center"/>
          </w:tcPr>
          <w:p w14:paraId="3D4475B8">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其他可以不予退还投标保证金的情形</w:t>
            </w:r>
          </w:p>
        </w:tc>
        <w:tc>
          <w:tcPr>
            <w:tcW w:w="6531" w:type="dxa"/>
            <w:tcBorders>
              <w:top w:val="single" w:color="000000" w:sz="4" w:space="0"/>
              <w:left w:val="single" w:color="000000" w:sz="4" w:space="0"/>
              <w:bottom w:val="single" w:color="000000" w:sz="4" w:space="0"/>
              <w:right w:val="single" w:color="000000" w:sz="12" w:space="0"/>
            </w:tcBorders>
            <w:vAlign w:val="center"/>
          </w:tcPr>
          <w:p w14:paraId="566A33A3">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（4）串通投标；或</w:t>
            </w:r>
          </w:p>
          <w:p w14:paraId="67A0AB90">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（5）评标、中标候选人公示、签订合同前等环节因作假而被取消中标资格；或</w:t>
            </w:r>
          </w:p>
          <w:p w14:paraId="107B9AA3">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（6）因投诉属实取消投标资格的；或</w:t>
            </w:r>
          </w:p>
          <w:p w14:paraId="08069FBE">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（7）其他违反规定、妨碍公平竞争准则的行为；或</w:t>
            </w:r>
          </w:p>
          <w:p w14:paraId="5E461193">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w:t>
            </w:r>
          </w:p>
        </w:tc>
      </w:tr>
      <w:tr w14:paraId="22988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44298F2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3.5</w:t>
            </w:r>
          </w:p>
        </w:tc>
        <w:tc>
          <w:tcPr>
            <w:tcW w:w="2728" w:type="dxa"/>
            <w:tcBorders>
              <w:top w:val="single" w:color="000000" w:sz="4" w:space="0"/>
              <w:left w:val="single" w:color="000000" w:sz="4" w:space="0"/>
              <w:bottom w:val="single" w:color="000000" w:sz="4" w:space="0"/>
              <w:right w:val="single" w:color="000000" w:sz="4" w:space="0"/>
            </w:tcBorders>
            <w:vAlign w:val="center"/>
          </w:tcPr>
          <w:p w14:paraId="3E4874C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523B221A">
            <w:pPr>
              <w:shd w:val="clear" w:fill="FFFFFF" w:themeFill="background1"/>
              <w:spacing w:line="360" w:lineRule="exact"/>
              <w:rPr>
                <w:rFonts w:ascii="宋体" w:hAnsi="宋体" w:cs="宋体"/>
                <w:color w:val="auto"/>
                <w:szCs w:val="21"/>
                <w:highlight w:val="none"/>
              </w:rPr>
            </w:pPr>
            <w:r>
              <w:rPr>
                <w:rFonts w:hint="eastAsia" w:ascii="宋体" w:hAnsi="宋体" w:cs="宋体"/>
                <w:color w:val="auto"/>
                <w:szCs w:val="21"/>
                <w:highlight w:val="none"/>
              </w:rPr>
              <w:t>□无</w:t>
            </w:r>
          </w:p>
          <w:p w14:paraId="163556BE">
            <w:pPr>
              <w:shd w:val="clear" w:fill="FFFFFF" w:themeFill="background1"/>
              <w:ind w:right="113"/>
              <w:rPr>
                <w:rFonts w:ascii="宋体" w:hAnsi="宋体" w:cs="宋体"/>
                <w:color w:val="auto"/>
                <w:szCs w:val="21"/>
                <w:highlight w:val="none"/>
                <w:u w:val="single"/>
              </w:rPr>
            </w:pPr>
            <w:r>
              <w:rPr>
                <w:rFonts w:hint="eastAsia" w:ascii="宋体" w:hAnsi="宋体" w:cs="宋体"/>
                <w:color w:val="auto"/>
                <w:szCs w:val="21"/>
                <w:highlight w:val="none"/>
              </w:rPr>
              <w:t>☑有，具体要求：投标人提供的各类证照复印件均指彩色扫描件或彩色复印件，其他资料的复印件可为黑白扫描或黑白复印件。</w:t>
            </w:r>
          </w:p>
        </w:tc>
      </w:tr>
      <w:tr w14:paraId="5FFF0B8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7BF31DF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728" w:type="dxa"/>
            <w:tcBorders>
              <w:top w:val="single" w:color="000000" w:sz="4" w:space="0"/>
              <w:left w:val="single" w:color="000000" w:sz="4" w:space="0"/>
              <w:bottom w:val="single" w:color="000000" w:sz="4" w:space="0"/>
              <w:right w:val="single" w:color="000000" w:sz="4" w:space="0"/>
            </w:tcBorders>
            <w:vAlign w:val="center"/>
          </w:tcPr>
          <w:p w14:paraId="61ECFDD3">
            <w:pPr>
              <w:shd w:val="clear" w:fill="FFFFFF" w:themeFill="background1"/>
              <w:adjustRightInd w:val="0"/>
              <w:snapToGrid w:val="0"/>
              <w:ind w:right="113"/>
              <w:jc w:val="cente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7E42FE83">
            <w:pPr>
              <w:shd w:val="clear" w:fill="FFFFFF" w:themeFill="background1"/>
              <w:adjustRightInd w:val="0"/>
              <w:snapToGrid w:val="0"/>
              <w:ind w:right="113"/>
              <w:rPr>
                <w:rFonts w:ascii="宋体" w:hAnsi="宋体" w:cs="宋体"/>
                <w:color w:val="auto"/>
                <w:szCs w:val="21"/>
                <w:highlight w:val="none"/>
              </w:rPr>
            </w:pPr>
            <w:r>
              <w:rPr>
                <w:rFonts w:hint="eastAsia" w:ascii="宋体" w:hAnsi="宋体" w:cs="宋体"/>
                <w:color w:val="auto"/>
                <w:szCs w:val="21"/>
                <w:highlight w:val="none"/>
                <w:lang w:eastAsia="zh-CN"/>
              </w:rPr>
              <w:t>2022年～ 2024年</w:t>
            </w:r>
            <w:r>
              <w:rPr>
                <w:rFonts w:hint="eastAsia" w:ascii="宋体" w:hAnsi="宋体" w:cs="宋体"/>
                <w:color w:val="auto"/>
                <w:szCs w:val="21"/>
                <w:highlight w:val="none"/>
              </w:rPr>
              <w:t>（近三个年度）</w:t>
            </w:r>
          </w:p>
        </w:tc>
      </w:tr>
      <w:tr w14:paraId="0FC640C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69C5E0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728" w:type="dxa"/>
            <w:tcBorders>
              <w:top w:val="single" w:color="000000" w:sz="4" w:space="0"/>
              <w:left w:val="single" w:color="000000" w:sz="4" w:space="0"/>
              <w:bottom w:val="single" w:color="000000" w:sz="4" w:space="0"/>
              <w:right w:val="single" w:color="000000" w:sz="4" w:space="0"/>
            </w:tcBorders>
            <w:vAlign w:val="center"/>
          </w:tcPr>
          <w:p w14:paraId="74B6F57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37663E3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u w:val="single"/>
                <w:lang w:eastAsia="zh-CN"/>
              </w:rPr>
              <w:t>2020年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月1日</w:t>
            </w:r>
            <w:r>
              <w:rPr>
                <w:rFonts w:hint="eastAsia" w:ascii="宋体" w:hAnsi="宋体" w:cs="宋体"/>
                <w:color w:val="auto"/>
                <w:kern w:val="0"/>
                <w:szCs w:val="21"/>
                <w:highlight w:val="none"/>
              </w:rPr>
              <w:t>至</w:t>
            </w:r>
            <w:r>
              <w:rPr>
                <w:rFonts w:hint="eastAsia" w:ascii="宋体" w:hAnsi="宋体" w:cs="宋体"/>
                <w:color w:val="auto"/>
                <w:szCs w:val="21"/>
                <w:highlight w:val="none"/>
              </w:rPr>
              <w:t>投标文件递交截止之日止（近五年）以“全国公路建设市场监督管理系统”上的交工验收或未交工验收一次性竣工验收的时间为准。</w:t>
            </w:r>
          </w:p>
        </w:tc>
      </w:tr>
      <w:tr w14:paraId="143DDAF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054068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728" w:type="dxa"/>
            <w:tcBorders>
              <w:top w:val="single" w:color="000000" w:sz="4" w:space="0"/>
              <w:left w:val="single" w:color="000000" w:sz="4" w:space="0"/>
              <w:bottom w:val="single" w:color="000000" w:sz="4" w:space="0"/>
              <w:right w:val="single" w:color="000000" w:sz="4" w:space="0"/>
            </w:tcBorders>
            <w:vAlign w:val="center"/>
          </w:tcPr>
          <w:p w14:paraId="0383169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531" w:type="dxa"/>
            <w:tcBorders>
              <w:top w:val="single" w:color="000000" w:sz="4" w:space="0"/>
              <w:left w:val="single" w:color="000000" w:sz="4" w:space="0"/>
              <w:bottom w:val="single" w:color="000000" w:sz="4" w:space="0"/>
              <w:right w:val="single" w:color="000000" w:sz="12" w:space="0"/>
            </w:tcBorders>
            <w:vAlign w:val="center"/>
          </w:tcPr>
          <w:p w14:paraId="015BB700">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不允许</w:t>
            </w:r>
          </w:p>
          <w:p w14:paraId="15C33D41">
            <w:pPr>
              <w:shd w:val="clear" w:fill="FFFFFF" w:themeFill="background1"/>
              <w:ind w:right="113" w:firstLine="120"/>
              <w:rPr>
                <w:rFonts w:ascii="宋体" w:hAnsi="宋体" w:cs="宋体"/>
                <w:color w:val="auto"/>
                <w:szCs w:val="21"/>
                <w:highlight w:val="none"/>
                <w:u w:val="single"/>
              </w:rPr>
            </w:pPr>
            <w:r>
              <w:rPr>
                <w:rFonts w:hint="eastAsia" w:ascii="宋体" w:hAnsi="宋体" w:cs="宋体"/>
                <w:color w:val="auto"/>
                <w:szCs w:val="21"/>
                <w:highlight w:val="none"/>
              </w:rPr>
              <w:t>□允许</w:t>
            </w:r>
          </w:p>
        </w:tc>
      </w:tr>
      <w:tr w14:paraId="77995D2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C06D14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3.7.4</w:t>
            </w:r>
          </w:p>
        </w:tc>
        <w:tc>
          <w:tcPr>
            <w:tcW w:w="2728" w:type="dxa"/>
            <w:tcBorders>
              <w:top w:val="single" w:color="000000" w:sz="4" w:space="0"/>
              <w:left w:val="single" w:color="000000" w:sz="4" w:space="0"/>
              <w:bottom w:val="single" w:color="000000" w:sz="4" w:space="0"/>
              <w:right w:val="single" w:color="000000" w:sz="4" w:space="0"/>
            </w:tcBorders>
            <w:vAlign w:val="center"/>
          </w:tcPr>
          <w:p w14:paraId="2C67BA49">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投标文件副本份数及其他要求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2E4294D7">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本项目采用全流程电子投标，不需要提交纸质版的投标文件。</w:t>
            </w:r>
          </w:p>
        </w:tc>
      </w:tr>
      <w:tr w14:paraId="388E7DE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AA7314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3.7.5</w:t>
            </w:r>
          </w:p>
        </w:tc>
        <w:tc>
          <w:tcPr>
            <w:tcW w:w="2728" w:type="dxa"/>
            <w:tcBorders>
              <w:top w:val="single" w:color="000000" w:sz="4" w:space="0"/>
              <w:left w:val="single" w:color="000000" w:sz="4" w:space="0"/>
              <w:bottom w:val="single" w:color="000000" w:sz="4" w:space="0"/>
              <w:right w:val="single" w:color="000000" w:sz="4" w:space="0"/>
            </w:tcBorders>
            <w:vAlign w:val="center"/>
          </w:tcPr>
          <w:p w14:paraId="53D3F78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装订的其他要求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49FE6983">
            <w:pPr>
              <w:pStyle w:val="57"/>
              <w:shd w:val="clear" w:fill="FFFFFF" w:themeFill="background1"/>
              <w:jc w:val="left"/>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6E7C16A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0158FE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728" w:type="dxa"/>
            <w:tcBorders>
              <w:top w:val="single" w:color="000000" w:sz="4" w:space="0"/>
              <w:left w:val="single" w:color="000000" w:sz="4" w:space="0"/>
              <w:bottom w:val="single" w:color="000000" w:sz="4" w:space="0"/>
              <w:right w:val="single" w:color="000000" w:sz="4" w:space="0"/>
            </w:tcBorders>
            <w:vAlign w:val="center"/>
          </w:tcPr>
          <w:p w14:paraId="12DDE155">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封套上应载明的信息</w:t>
            </w:r>
          </w:p>
        </w:tc>
        <w:tc>
          <w:tcPr>
            <w:tcW w:w="6531" w:type="dxa"/>
            <w:tcBorders>
              <w:top w:val="single" w:color="000000" w:sz="4" w:space="0"/>
              <w:left w:val="single" w:color="000000" w:sz="4" w:space="0"/>
              <w:bottom w:val="single" w:color="000000" w:sz="4" w:space="0"/>
              <w:right w:val="single" w:color="000000" w:sz="12" w:space="0"/>
            </w:tcBorders>
            <w:vAlign w:val="center"/>
          </w:tcPr>
          <w:p w14:paraId="3D165046">
            <w:pPr>
              <w:pStyle w:val="80"/>
              <w:shd w:val="clear" w:fill="FFFFFF" w:themeFill="background1"/>
              <w:tabs>
                <w:tab w:val="left" w:pos="733"/>
                <w:tab w:val="left" w:pos="2587"/>
              </w:tabs>
              <w:spacing w:before="85" w:line="314" w:lineRule="auto"/>
              <w:ind w:right="101"/>
              <w:jc w:val="left"/>
              <w:rPr>
                <w:rFonts w:ascii="宋体" w:hAnsi="宋体" w:cs="宋体"/>
                <w:color w:val="auto"/>
                <w:szCs w:val="21"/>
                <w:highlight w:val="none"/>
              </w:rPr>
            </w:pPr>
            <w:r>
              <w:rPr>
                <w:rFonts w:hint="eastAsia" w:ascii="宋体" w:hAnsi="宋体" w:cs="宋体"/>
                <w:color w:val="auto"/>
                <w:kern w:val="0"/>
                <w:szCs w:val="21"/>
                <w:highlight w:val="none"/>
              </w:rPr>
              <w:t>本项目采用全流程电子投标，不需要提交纸质版的投标文件。</w:t>
            </w:r>
          </w:p>
        </w:tc>
      </w:tr>
      <w:tr w14:paraId="4FE3B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D7A336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728" w:type="dxa"/>
            <w:tcBorders>
              <w:top w:val="single" w:color="auto" w:sz="4" w:space="0"/>
              <w:left w:val="single" w:color="auto" w:sz="4" w:space="0"/>
              <w:bottom w:val="single" w:color="auto" w:sz="4" w:space="0"/>
              <w:right w:val="single" w:color="auto" w:sz="4" w:space="0"/>
            </w:tcBorders>
            <w:vAlign w:val="center"/>
          </w:tcPr>
          <w:p w14:paraId="05C1926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531" w:type="dxa"/>
            <w:tcBorders>
              <w:top w:val="single" w:color="auto" w:sz="4" w:space="0"/>
              <w:left w:val="single" w:color="auto" w:sz="4" w:space="0"/>
              <w:bottom w:val="single" w:color="auto" w:sz="4" w:space="0"/>
              <w:right w:val="single" w:color="auto" w:sz="12" w:space="0"/>
            </w:tcBorders>
            <w:vAlign w:val="center"/>
          </w:tcPr>
          <w:p w14:paraId="74A5BD81">
            <w:pPr>
              <w:shd w:val="clear" w:fill="FFFFFF" w:themeFill="background1"/>
              <w:spacing w:line="276" w:lineRule="auto"/>
              <w:ind w:right="118" w:rightChars="56"/>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p w14:paraId="682765AD">
            <w:pPr>
              <w:shd w:val="clear" w:fill="FFFFFF" w:themeFill="background1"/>
              <w:spacing w:line="276" w:lineRule="auto"/>
              <w:rPr>
                <w:rFonts w:ascii="宋体" w:hAnsi="宋体" w:cs="宋体"/>
                <w:color w:val="auto"/>
                <w:szCs w:val="21"/>
                <w:highlight w:val="none"/>
              </w:rPr>
            </w:pPr>
            <w:r>
              <w:rPr>
                <w:rFonts w:hint="eastAsia" w:ascii="宋体" w:hAnsi="宋体" w:cs="宋体"/>
                <w:color w:val="auto"/>
                <w:szCs w:val="21"/>
                <w:highlight w:val="none"/>
              </w:rPr>
              <w:t>□是，退还时间：</w:t>
            </w:r>
          </w:p>
        </w:tc>
      </w:tr>
      <w:tr w14:paraId="27321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162B7D79">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5.1</w:t>
            </w:r>
          </w:p>
        </w:tc>
        <w:tc>
          <w:tcPr>
            <w:tcW w:w="2728" w:type="dxa"/>
            <w:tcBorders>
              <w:top w:val="single" w:color="auto" w:sz="4" w:space="0"/>
              <w:left w:val="single" w:color="auto" w:sz="4" w:space="0"/>
              <w:bottom w:val="single" w:color="auto" w:sz="4" w:space="0"/>
              <w:right w:val="single" w:color="auto" w:sz="4" w:space="0"/>
            </w:tcBorders>
            <w:vAlign w:val="center"/>
          </w:tcPr>
          <w:p w14:paraId="6D2ABAB6">
            <w:pPr>
              <w:shd w:val="clear" w:fill="FFFFFF" w:themeFill="background1"/>
              <w:autoSpaceDE w:val="0"/>
              <w:autoSpaceDN w:val="0"/>
              <w:jc w:val="center"/>
              <w:rPr>
                <w:rFonts w:ascii="宋体" w:hAnsi="宋体" w:cs="宋体"/>
                <w:b/>
                <w:color w:val="auto"/>
                <w:szCs w:val="21"/>
                <w:highlight w:val="none"/>
              </w:rPr>
            </w:pPr>
            <w:r>
              <w:rPr>
                <w:rFonts w:hint="eastAsia" w:ascii="宋体" w:hAnsi="宋体" w:cs="宋体"/>
                <w:color w:val="auto"/>
                <w:kern w:val="0"/>
                <w:szCs w:val="21"/>
                <w:highlight w:val="none"/>
              </w:rPr>
              <w:t>开标时间和地点</w:t>
            </w:r>
          </w:p>
        </w:tc>
        <w:tc>
          <w:tcPr>
            <w:tcW w:w="6531" w:type="dxa"/>
            <w:tcBorders>
              <w:top w:val="single" w:color="auto" w:sz="4" w:space="0"/>
              <w:left w:val="single" w:color="auto" w:sz="4" w:space="0"/>
              <w:bottom w:val="single" w:color="auto" w:sz="4" w:space="0"/>
              <w:right w:val="single" w:color="auto" w:sz="12" w:space="0"/>
            </w:tcBorders>
            <w:vAlign w:val="center"/>
          </w:tcPr>
          <w:p w14:paraId="2C5E509B">
            <w:pPr>
              <w:shd w:val="clear" w:fill="FFFFFF" w:themeFill="background1"/>
              <w:autoSpaceDE w:val="0"/>
              <w:autoSpaceDN w:val="0"/>
              <w:spacing w:line="360" w:lineRule="exact"/>
              <w:jc w:val="left"/>
              <w:rPr>
                <w:rFonts w:ascii="宋体" w:hAnsi="宋体" w:cs="宋体"/>
                <w:color w:val="auto"/>
                <w:kern w:val="0"/>
                <w:szCs w:val="21"/>
                <w:highlight w:val="none"/>
              </w:rPr>
            </w:pPr>
            <w:r>
              <w:rPr>
                <w:rFonts w:hint="eastAsia" w:ascii="宋体" w:hAnsi="宋体" w:cs="宋体"/>
                <w:b/>
                <w:color w:val="auto"/>
                <w:kern w:val="0"/>
                <w:szCs w:val="21"/>
                <w:highlight w:val="none"/>
              </w:rPr>
              <w:t>投标文件第一信封（商务及技术文件）</w:t>
            </w:r>
            <w:r>
              <w:rPr>
                <w:rFonts w:hint="eastAsia" w:ascii="宋体" w:hAnsi="宋体" w:cs="宋体"/>
                <w:color w:val="auto"/>
                <w:kern w:val="0"/>
                <w:szCs w:val="21"/>
                <w:highlight w:val="none"/>
              </w:rPr>
              <w:t>开标时间：同投标截止时间</w:t>
            </w:r>
          </w:p>
          <w:p w14:paraId="2FEF60FA">
            <w:pPr>
              <w:shd w:val="clear" w:fill="FFFFFF" w:themeFill="background1"/>
              <w:autoSpaceDE w:val="0"/>
              <w:autoSpaceDN w:val="0"/>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开标地点：韶关市公共资源交易中心，地址：广东省韶关市武江区西联镇，具体房间号以当日现场通知为准。</w:t>
            </w:r>
          </w:p>
          <w:p w14:paraId="5BEFA70C">
            <w:pPr>
              <w:shd w:val="clear" w:fill="FFFFFF" w:themeFill="background1"/>
              <w:autoSpaceDE w:val="0"/>
              <w:autoSpaceDN w:val="0"/>
              <w:spacing w:line="360" w:lineRule="exact"/>
              <w:jc w:val="left"/>
              <w:rPr>
                <w:rFonts w:ascii="宋体" w:hAnsi="宋体" w:cs="宋体"/>
                <w:color w:val="auto"/>
                <w:kern w:val="0"/>
                <w:szCs w:val="21"/>
                <w:highlight w:val="none"/>
              </w:rPr>
            </w:pPr>
            <w:r>
              <w:rPr>
                <w:rFonts w:hint="eastAsia" w:ascii="宋体" w:hAnsi="宋体" w:cs="宋体"/>
                <w:b/>
                <w:color w:val="auto"/>
                <w:kern w:val="0"/>
                <w:szCs w:val="21"/>
                <w:highlight w:val="none"/>
              </w:rPr>
              <w:t>投标文件第二信封（报价文件）开标时间</w:t>
            </w:r>
            <w:r>
              <w:rPr>
                <w:rFonts w:hint="eastAsia" w:ascii="宋体" w:hAnsi="宋体" w:cs="宋体"/>
                <w:color w:val="auto"/>
                <w:kern w:val="0"/>
                <w:szCs w:val="21"/>
                <w:highlight w:val="none"/>
              </w:rPr>
              <w:t>：同投标截止时间，且在宣布通过商务文件和技术文件的投标人名单后。</w:t>
            </w:r>
          </w:p>
          <w:p w14:paraId="1B758D91">
            <w:pPr>
              <w:shd w:val="clear" w:fill="FFFFFF" w:themeFill="background1"/>
              <w:autoSpaceDE w:val="0"/>
              <w:autoSpaceDN w:val="0"/>
              <w:spacing w:line="360" w:lineRule="exact"/>
              <w:jc w:val="left"/>
              <w:rPr>
                <w:rFonts w:ascii="宋体" w:hAnsi="宋体" w:cs="宋体"/>
                <w:color w:val="auto"/>
                <w:szCs w:val="21"/>
                <w:highlight w:val="none"/>
              </w:rPr>
            </w:pPr>
            <w:r>
              <w:rPr>
                <w:rFonts w:hint="eastAsia" w:ascii="宋体" w:hAnsi="宋体" w:cs="宋体"/>
                <w:color w:val="auto"/>
                <w:kern w:val="0"/>
                <w:szCs w:val="21"/>
                <w:highlight w:val="none"/>
              </w:rPr>
              <w:t>开标地点：韶关市公共资源交易中心，地址：广东省韶关市武江区西联镇，具体房间号以当日现场通知为准。</w:t>
            </w:r>
          </w:p>
        </w:tc>
      </w:tr>
      <w:tr w14:paraId="46CD4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78969D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5.2.1</w:t>
            </w:r>
          </w:p>
        </w:tc>
        <w:tc>
          <w:tcPr>
            <w:tcW w:w="2728" w:type="dxa"/>
            <w:tcBorders>
              <w:top w:val="single" w:color="auto" w:sz="4" w:space="0"/>
              <w:left w:val="single" w:color="auto" w:sz="4" w:space="0"/>
              <w:bottom w:val="single" w:color="auto" w:sz="4" w:space="0"/>
              <w:right w:val="single" w:color="auto" w:sz="4" w:space="0"/>
            </w:tcBorders>
            <w:vAlign w:val="center"/>
          </w:tcPr>
          <w:p w14:paraId="6CC48602">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第一个信封（商务及技术文件）开标程序</w:t>
            </w:r>
          </w:p>
        </w:tc>
        <w:tc>
          <w:tcPr>
            <w:tcW w:w="6531" w:type="dxa"/>
            <w:tcBorders>
              <w:top w:val="single" w:color="auto" w:sz="4" w:space="0"/>
              <w:left w:val="single" w:color="auto" w:sz="4" w:space="0"/>
              <w:bottom w:val="single" w:color="auto" w:sz="4" w:space="0"/>
              <w:right w:val="single" w:color="auto" w:sz="12" w:space="0"/>
            </w:tcBorders>
            <w:vAlign w:val="center"/>
          </w:tcPr>
          <w:p w14:paraId="2AF1C5F5">
            <w:pPr>
              <w:shd w:val="clear" w:fill="FFFFFF" w:themeFill="background1"/>
              <w:autoSpaceDE w:val="0"/>
              <w:autoSpaceDN w:val="0"/>
              <w:spacing w:line="360" w:lineRule="exact"/>
              <w:rPr>
                <w:rFonts w:ascii="宋体" w:hAnsi="宋体" w:cs="宋体"/>
                <w:color w:val="auto"/>
                <w:kern w:val="0"/>
                <w:szCs w:val="21"/>
                <w:highlight w:val="none"/>
                <w:u w:val="single"/>
              </w:rPr>
            </w:pPr>
            <w:r>
              <w:rPr>
                <w:rFonts w:hint="eastAsia" w:ascii="宋体" w:hAnsi="宋体" w:cs="宋体"/>
                <w:color w:val="auto"/>
                <w:kern w:val="0"/>
                <w:szCs w:val="21"/>
                <w:highlight w:val="none"/>
              </w:rPr>
              <w:t>（4）密封情况检查：</w:t>
            </w:r>
            <w:r>
              <w:rPr>
                <w:rFonts w:hint="eastAsia" w:ascii="宋体" w:hAnsi="宋体" w:cs="宋体"/>
                <w:color w:val="auto"/>
                <w:kern w:val="0"/>
                <w:szCs w:val="21"/>
                <w:highlight w:val="none"/>
                <w:u w:val="single"/>
              </w:rPr>
              <w:t>本项目采用全流程电子投标，不需检查密封情况。</w:t>
            </w:r>
          </w:p>
          <w:p w14:paraId="34FDA86A">
            <w:pPr>
              <w:shd w:val="clear" w:fill="FFFFFF" w:themeFill="background1"/>
              <w:autoSpaceDE w:val="0"/>
              <w:autoSpaceDN w:val="0"/>
              <w:spacing w:line="360" w:lineRule="exact"/>
              <w:rPr>
                <w:rFonts w:ascii="宋体" w:hAnsi="宋体" w:cs="宋体"/>
                <w:color w:val="auto"/>
                <w:szCs w:val="21"/>
                <w:highlight w:val="none"/>
              </w:rPr>
            </w:pPr>
            <w:r>
              <w:rPr>
                <w:rFonts w:hint="eastAsia" w:ascii="宋体" w:hAnsi="宋体" w:cs="宋体"/>
                <w:color w:val="auto"/>
                <w:kern w:val="0"/>
                <w:szCs w:val="21"/>
                <w:highlight w:val="none"/>
              </w:rPr>
              <w:t>（5）开标顺序：</w:t>
            </w:r>
            <w:r>
              <w:rPr>
                <w:rFonts w:hint="eastAsia" w:ascii="宋体" w:hAnsi="宋体" w:cs="宋体"/>
                <w:color w:val="auto"/>
                <w:kern w:val="0"/>
                <w:szCs w:val="21"/>
                <w:highlight w:val="none"/>
                <w:u w:val="single"/>
              </w:rPr>
              <w:t>对投标截止时间前上传的电子投标文件随机开标，先对投标文件第一信封（商务及技术文件）进行开标，并检查投标保证。</w:t>
            </w:r>
          </w:p>
        </w:tc>
      </w:tr>
      <w:tr w14:paraId="4263A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7DF0AEB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5.2.3</w:t>
            </w:r>
          </w:p>
        </w:tc>
        <w:tc>
          <w:tcPr>
            <w:tcW w:w="2728" w:type="dxa"/>
            <w:tcBorders>
              <w:top w:val="single" w:color="auto" w:sz="4" w:space="0"/>
              <w:left w:val="single" w:color="auto" w:sz="4" w:space="0"/>
              <w:bottom w:val="single" w:color="auto" w:sz="4" w:space="0"/>
              <w:right w:val="single" w:color="auto" w:sz="4" w:space="0"/>
            </w:tcBorders>
            <w:vAlign w:val="center"/>
          </w:tcPr>
          <w:p w14:paraId="2F12076E">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第二个信封（报价文件）开标程序</w:t>
            </w:r>
          </w:p>
        </w:tc>
        <w:tc>
          <w:tcPr>
            <w:tcW w:w="6531" w:type="dxa"/>
            <w:tcBorders>
              <w:top w:val="single" w:color="auto" w:sz="4" w:space="0"/>
              <w:left w:val="single" w:color="auto" w:sz="4" w:space="0"/>
              <w:bottom w:val="single" w:color="auto" w:sz="4" w:space="0"/>
              <w:right w:val="single" w:color="auto" w:sz="12" w:space="0"/>
            </w:tcBorders>
            <w:vAlign w:val="center"/>
          </w:tcPr>
          <w:p w14:paraId="7D2B5FAF">
            <w:pPr>
              <w:shd w:val="clear" w:fill="FFFFFF" w:themeFill="background1"/>
              <w:autoSpaceDE w:val="0"/>
              <w:autoSpaceDN w:val="0"/>
              <w:rPr>
                <w:rFonts w:ascii="宋体" w:hAnsi="宋体" w:cs="宋体"/>
                <w:color w:val="auto"/>
                <w:kern w:val="0"/>
                <w:szCs w:val="21"/>
                <w:highlight w:val="none"/>
                <w:u w:val="single"/>
              </w:rPr>
            </w:pPr>
            <w:r>
              <w:rPr>
                <w:rFonts w:hint="eastAsia" w:ascii="宋体" w:hAnsi="宋体" w:cs="宋体"/>
                <w:color w:val="auto"/>
                <w:kern w:val="0"/>
                <w:szCs w:val="21"/>
                <w:highlight w:val="none"/>
              </w:rPr>
              <w:t>（4）密封情况检查：</w:t>
            </w:r>
            <w:r>
              <w:rPr>
                <w:rFonts w:hint="eastAsia" w:ascii="宋体" w:hAnsi="宋体" w:cs="宋体"/>
                <w:color w:val="auto"/>
                <w:kern w:val="0"/>
                <w:szCs w:val="21"/>
                <w:highlight w:val="none"/>
                <w:u w:val="single"/>
              </w:rPr>
              <w:t>本项目采用全流程电子投标，不需检查密封情况。</w:t>
            </w:r>
          </w:p>
          <w:p w14:paraId="46613750">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（5）开标顺序：</w:t>
            </w:r>
            <w:r>
              <w:rPr>
                <w:rFonts w:hint="eastAsia" w:ascii="宋体" w:hAnsi="宋体" w:cs="宋体"/>
                <w:color w:val="auto"/>
                <w:kern w:val="0"/>
                <w:szCs w:val="21"/>
                <w:highlight w:val="none"/>
                <w:u w:val="single"/>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70526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4C5FE029">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6.1.1</w:t>
            </w:r>
          </w:p>
        </w:tc>
        <w:tc>
          <w:tcPr>
            <w:tcW w:w="2728" w:type="dxa"/>
            <w:tcBorders>
              <w:top w:val="single" w:color="auto" w:sz="4" w:space="0"/>
              <w:left w:val="single" w:color="auto" w:sz="4" w:space="0"/>
              <w:bottom w:val="single" w:color="auto" w:sz="4" w:space="0"/>
              <w:right w:val="single" w:color="auto" w:sz="4" w:space="0"/>
            </w:tcBorders>
            <w:vAlign w:val="center"/>
          </w:tcPr>
          <w:p w14:paraId="2043291F">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评标委员会的组建</w:t>
            </w:r>
          </w:p>
        </w:tc>
        <w:tc>
          <w:tcPr>
            <w:tcW w:w="6531" w:type="dxa"/>
            <w:tcBorders>
              <w:top w:val="single" w:color="auto" w:sz="4" w:space="0"/>
              <w:left w:val="single" w:color="auto" w:sz="4" w:space="0"/>
              <w:bottom w:val="single" w:color="auto" w:sz="4" w:space="0"/>
              <w:right w:val="single" w:color="auto" w:sz="12" w:space="0"/>
            </w:tcBorders>
            <w:vAlign w:val="center"/>
          </w:tcPr>
          <w:p w14:paraId="1E14A967">
            <w:pPr>
              <w:shd w:val="clear" w:fill="FFFFFF" w:themeFill="background1"/>
              <w:ind w:right="113"/>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u w:val="single"/>
              </w:rPr>
              <w:t>7人</w:t>
            </w:r>
            <w:r>
              <w:rPr>
                <w:rFonts w:hint="eastAsia" w:ascii="宋体" w:hAnsi="宋体" w:cs="宋体"/>
                <w:color w:val="auto"/>
                <w:szCs w:val="21"/>
                <w:highlight w:val="none"/>
              </w:rPr>
              <w:t>，其中招标人代表</w:t>
            </w:r>
            <w:r>
              <w:rPr>
                <w:rFonts w:hint="eastAsia" w:ascii="宋体" w:hAnsi="宋体" w:cs="宋体"/>
                <w:color w:val="auto"/>
                <w:szCs w:val="21"/>
                <w:highlight w:val="none"/>
                <w:u w:val="single"/>
              </w:rPr>
              <w:t>0</w:t>
            </w:r>
            <w:r>
              <w:rPr>
                <w:rFonts w:hint="eastAsia" w:ascii="宋体" w:hAnsi="宋体" w:cs="宋体"/>
                <w:color w:val="auto"/>
                <w:szCs w:val="21"/>
                <w:highlight w:val="none"/>
              </w:rPr>
              <w:t>人，专家</w:t>
            </w:r>
            <w:r>
              <w:rPr>
                <w:rFonts w:hint="eastAsia" w:ascii="宋体" w:hAnsi="宋体" w:cs="宋体"/>
                <w:color w:val="auto"/>
                <w:szCs w:val="21"/>
                <w:highlight w:val="none"/>
                <w:u w:val="single"/>
              </w:rPr>
              <w:t>7</w:t>
            </w:r>
            <w:r>
              <w:rPr>
                <w:rFonts w:hint="eastAsia" w:ascii="宋体" w:hAnsi="宋体" w:cs="宋体"/>
                <w:color w:val="auto"/>
                <w:szCs w:val="21"/>
                <w:highlight w:val="none"/>
              </w:rPr>
              <w:t>人；</w:t>
            </w:r>
          </w:p>
          <w:p w14:paraId="6567B4F0">
            <w:pPr>
              <w:shd w:val="clear" w:fill="FFFFFF" w:themeFill="background1"/>
              <w:ind w:right="113"/>
              <w:rPr>
                <w:rFonts w:ascii="宋体" w:hAnsi="宋体" w:cs="宋体"/>
                <w:b/>
                <w:color w:val="auto"/>
                <w:szCs w:val="21"/>
                <w:highlight w:val="none"/>
              </w:rPr>
            </w:pPr>
            <w:r>
              <w:rPr>
                <w:rFonts w:hint="eastAsia" w:ascii="宋体" w:hAnsi="宋体" w:cs="宋体"/>
                <w:color w:val="auto"/>
                <w:szCs w:val="21"/>
                <w:highlight w:val="none"/>
              </w:rPr>
              <w:t>专家确定方式：从广东省综合评标评审专家库--韶关市区域中随机抽取。</w:t>
            </w:r>
          </w:p>
        </w:tc>
      </w:tr>
      <w:tr w14:paraId="1E163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91A953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728" w:type="dxa"/>
            <w:tcBorders>
              <w:top w:val="single" w:color="auto" w:sz="4" w:space="0"/>
              <w:left w:val="single" w:color="auto" w:sz="4" w:space="0"/>
              <w:bottom w:val="single" w:color="auto" w:sz="4" w:space="0"/>
              <w:right w:val="single" w:color="auto" w:sz="4" w:space="0"/>
            </w:tcBorders>
            <w:vAlign w:val="center"/>
          </w:tcPr>
          <w:p w14:paraId="0EBE267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6531" w:type="dxa"/>
            <w:tcBorders>
              <w:top w:val="single" w:color="auto" w:sz="4" w:space="0"/>
              <w:left w:val="single" w:color="auto" w:sz="4" w:space="0"/>
              <w:bottom w:val="single" w:color="auto" w:sz="4" w:space="0"/>
              <w:right w:val="single" w:color="auto" w:sz="12" w:space="0"/>
            </w:tcBorders>
            <w:vAlign w:val="center"/>
          </w:tcPr>
          <w:p w14:paraId="730A9BA9">
            <w:pPr>
              <w:shd w:val="clear" w:fill="FFFFFF" w:themeFill="background1"/>
              <w:ind w:left="147" w:leftChars="70"/>
              <w:rPr>
                <w:rFonts w:ascii="宋体" w:hAnsi="宋体" w:cs="宋体"/>
                <w:color w:val="auto"/>
                <w:szCs w:val="21"/>
                <w:highlight w:val="none"/>
              </w:rPr>
            </w:pPr>
            <w:r>
              <w:rPr>
                <w:rFonts w:hint="eastAsia" w:ascii="宋体" w:hAnsi="宋体" w:cs="宋体"/>
                <w:color w:val="auto"/>
                <w:szCs w:val="21"/>
                <w:highlight w:val="none"/>
              </w:rPr>
              <w:t xml:space="preserve"> 3 个</w:t>
            </w:r>
          </w:p>
        </w:tc>
      </w:tr>
      <w:tr w14:paraId="0B4FF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4D91BD9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7.1</w:t>
            </w:r>
          </w:p>
        </w:tc>
        <w:tc>
          <w:tcPr>
            <w:tcW w:w="2728" w:type="dxa"/>
            <w:tcBorders>
              <w:top w:val="single" w:color="auto" w:sz="4" w:space="0"/>
              <w:left w:val="single" w:color="auto" w:sz="4" w:space="0"/>
              <w:bottom w:val="single" w:color="auto" w:sz="4" w:space="0"/>
              <w:right w:val="single" w:color="auto" w:sz="4" w:space="0"/>
            </w:tcBorders>
            <w:vAlign w:val="center"/>
          </w:tcPr>
          <w:p w14:paraId="4742F80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p w14:paraId="5A5F476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及期限</w:t>
            </w:r>
          </w:p>
        </w:tc>
        <w:tc>
          <w:tcPr>
            <w:tcW w:w="6531" w:type="dxa"/>
            <w:tcBorders>
              <w:top w:val="single" w:color="auto" w:sz="4" w:space="0"/>
              <w:left w:val="single" w:color="auto" w:sz="4" w:space="0"/>
              <w:bottom w:val="single" w:color="auto" w:sz="4" w:space="0"/>
              <w:right w:val="single" w:color="auto" w:sz="12" w:space="0"/>
            </w:tcBorders>
            <w:vAlign w:val="center"/>
          </w:tcPr>
          <w:p w14:paraId="7D561430">
            <w:pPr>
              <w:shd w:val="clear" w:fill="FFFFFF" w:themeFill="background1"/>
              <w:wordWrap w:val="0"/>
              <w:spacing w:line="276" w:lineRule="auto"/>
              <w:ind w:left="147" w:leftChars="70"/>
              <w:jc w:val="left"/>
              <w:rPr>
                <w:rFonts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 东 省 招 标 投 标 监 管 网 、全国公共资源交易平台 （广东省·韶关市）</w:t>
            </w:r>
          </w:p>
          <w:p w14:paraId="121D0CF0">
            <w:pPr>
              <w:shd w:val="clear" w:fill="FFFFFF" w:themeFill="background1"/>
              <w:spacing w:line="276" w:lineRule="auto"/>
              <w:ind w:left="147" w:leftChars="70"/>
              <w:rPr>
                <w:rFonts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 xml:space="preserve"> 3 日</w:t>
            </w:r>
          </w:p>
          <w:p w14:paraId="634B6FFB">
            <w:pPr>
              <w:shd w:val="clear" w:fill="FFFFFF" w:themeFill="background1"/>
              <w:ind w:left="145" w:leftChars="69"/>
              <w:rPr>
                <w:rFonts w:ascii="宋体" w:hAnsi="宋体" w:cs="宋体"/>
                <w:color w:val="auto"/>
                <w:szCs w:val="21"/>
                <w:highlight w:val="none"/>
              </w:rPr>
            </w:pPr>
            <w:r>
              <w:rPr>
                <w:rFonts w:hint="eastAsia" w:ascii="宋体" w:hAnsi="宋体" w:cs="宋体"/>
                <w:color w:val="auto"/>
                <w:szCs w:val="21"/>
                <w:highlight w:val="none"/>
              </w:rPr>
              <w:t>公示的其他内容：</w:t>
            </w:r>
            <w:r>
              <w:rPr>
                <w:rFonts w:hint="eastAsia" w:ascii="宋体" w:hAnsi="宋体" w:cs="宋体"/>
                <w:color w:val="auto"/>
                <w:szCs w:val="21"/>
                <w:highlight w:val="none"/>
                <w:u w:val="thick"/>
              </w:rPr>
              <w:t>最新年度信用等级使用情况及所有承诺使用最新年度 AA、A 级投标人的年度信用等级使用情况。</w:t>
            </w:r>
          </w:p>
        </w:tc>
      </w:tr>
      <w:tr w14:paraId="4B9FB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4A76753">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7.4</w:t>
            </w:r>
          </w:p>
        </w:tc>
        <w:tc>
          <w:tcPr>
            <w:tcW w:w="2728" w:type="dxa"/>
            <w:tcBorders>
              <w:top w:val="single" w:color="auto" w:sz="4" w:space="0"/>
              <w:left w:val="single" w:color="auto" w:sz="4" w:space="0"/>
              <w:bottom w:val="single" w:color="auto" w:sz="4" w:space="0"/>
              <w:right w:val="single" w:color="auto" w:sz="4" w:space="0"/>
            </w:tcBorders>
            <w:vAlign w:val="center"/>
          </w:tcPr>
          <w:p w14:paraId="2EC1A2E2">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是否授权评标委员会确定中标人</w:t>
            </w:r>
          </w:p>
        </w:tc>
        <w:tc>
          <w:tcPr>
            <w:tcW w:w="6531" w:type="dxa"/>
            <w:tcBorders>
              <w:top w:val="single" w:color="auto" w:sz="4" w:space="0"/>
              <w:left w:val="single" w:color="auto" w:sz="4" w:space="0"/>
              <w:bottom w:val="single" w:color="auto" w:sz="4" w:space="0"/>
              <w:right w:val="single" w:color="auto" w:sz="12" w:space="0"/>
            </w:tcBorders>
            <w:vAlign w:val="center"/>
          </w:tcPr>
          <w:p w14:paraId="0CB49FE0">
            <w:pPr>
              <w:shd w:val="clear" w:fill="FFFFFF" w:themeFill="background1"/>
              <w:spacing w:line="440" w:lineRule="exact"/>
              <w:rPr>
                <w:rFonts w:ascii="宋体" w:hAnsi="宋体" w:cs="宋体"/>
                <w:color w:val="auto"/>
                <w:szCs w:val="21"/>
                <w:highlight w:val="none"/>
              </w:rPr>
            </w:pPr>
            <w:r>
              <w:rPr>
                <w:rFonts w:hint="eastAsia" w:ascii="宋体" w:hAnsi="宋体" w:cs="宋体"/>
                <w:color w:val="auto"/>
                <w:szCs w:val="21"/>
                <w:highlight w:val="none"/>
              </w:rPr>
              <w:t>□是</w:t>
            </w:r>
          </w:p>
          <w:p w14:paraId="079C2744">
            <w:pPr>
              <w:shd w:val="clear" w:fill="FFFFFF" w:themeFill="background1"/>
              <w:spacing w:line="440" w:lineRule="exact"/>
              <w:rPr>
                <w:rFonts w:ascii="宋体" w:hAnsi="宋体" w:cs="宋体"/>
                <w:b/>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tc>
      </w:tr>
      <w:tr w14:paraId="2AE93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0D9291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7.5</w:t>
            </w:r>
          </w:p>
        </w:tc>
        <w:tc>
          <w:tcPr>
            <w:tcW w:w="2728" w:type="dxa"/>
            <w:tcBorders>
              <w:top w:val="single" w:color="auto" w:sz="4" w:space="0"/>
              <w:left w:val="single" w:color="auto" w:sz="4" w:space="0"/>
              <w:bottom w:val="single" w:color="auto" w:sz="4" w:space="0"/>
              <w:right w:val="single" w:color="auto" w:sz="4" w:space="0"/>
            </w:tcBorders>
            <w:vAlign w:val="center"/>
          </w:tcPr>
          <w:p w14:paraId="238139F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中标通知书和中标结果通知发出的形式</w:t>
            </w:r>
          </w:p>
        </w:tc>
        <w:tc>
          <w:tcPr>
            <w:tcW w:w="6531" w:type="dxa"/>
            <w:tcBorders>
              <w:top w:val="single" w:color="auto" w:sz="4" w:space="0"/>
              <w:left w:val="single" w:color="auto" w:sz="4" w:space="0"/>
              <w:bottom w:val="single" w:color="auto" w:sz="4" w:space="0"/>
              <w:right w:val="single" w:color="auto" w:sz="12" w:space="0"/>
            </w:tcBorders>
            <w:vAlign w:val="center"/>
          </w:tcPr>
          <w:p w14:paraId="5F4F598E">
            <w:pPr>
              <w:shd w:val="clear" w:fill="FFFFFF" w:themeFill="background1"/>
              <w:spacing w:line="440" w:lineRule="exact"/>
              <w:rPr>
                <w:rFonts w:ascii="宋体" w:hAnsi="宋体" w:cs="宋体"/>
                <w:color w:val="auto"/>
                <w:szCs w:val="21"/>
                <w:highlight w:val="none"/>
              </w:rPr>
            </w:pPr>
            <w:r>
              <w:rPr>
                <w:rFonts w:hint="eastAsia" w:ascii="宋体" w:hAnsi="宋体" w:cs="宋体"/>
                <w:color w:val="auto"/>
                <w:szCs w:val="21"/>
                <w:highlight w:val="none"/>
              </w:rPr>
              <w:t>书面形式</w:t>
            </w:r>
          </w:p>
        </w:tc>
      </w:tr>
      <w:tr w14:paraId="3A879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031EB37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7.6</w:t>
            </w:r>
          </w:p>
        </w:tc>
        <w:tc>
          <w:tcPr>
            <w:tcW w:w="2728" w:type="dxa"/>
            <w:tcBorders>
              <w:top w:val="single" w:color="auto" w:sz="4" w:space="0"/>
              <w:left w:val="single" w:color="auto" w:sz="4" w:space="0"/>
              <w:bottom w:val="single" w:color="auto" w:sz="4" w:space="0"/>
              <w:right w:val="single" w:color="auto" w:sz="4" w:space="0"/>
            </w:tcBorders>
            <w:vAlign w:val="center"/>
          </w:tcPr>
          <w:p w14:paraId="450DCD1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中标结果公告媒介</w:t>
            </w:r>
          </w:p>
        </w:tc>
        <w:tc>
          <w:tcPr>
            <w:tcW w:w="6531" w:type="dxa"/>
            <w:tcBorders>
              <w:top w:val="single" w:color="auto" w:sz="4" w:space="0"/>
              <w:left w:val="single" w:color="auto" w:sz="4" w:space="0"/>
              <w:bottom w:val="single" w:color="auto" w:sz="4" w:space="0"/>
              <w:right w:val="single" w:color="auto" w:sz="12" w:space="0"/>
            </w:tcBorders>
            <w:vAlign w:val="center"/>
          </w:tcPr>
          <w:p w14:paraId="5A87AB10">
            <w:pPr>
              <w:pStyle w:val="80"/>
              <w:shd w:val="clear" w:fill="FFFFFF" w:themeFill="background1"/>
              <w:spacing w:before="78"/>
              <w:ind w:left="107"/>
              <w:rPr>
                <w:rFonts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 东 省 招 标 投 标 监 管 网 、全国公共资源交易平台 （广东省·韶关市）</w:t>
            </w:r>
            <w:r>
              <w:rPr>
                <w:rFonts w:hint="eastAsia" w:ascii="宋体" w:hAnsi="宋体" w:cs="宋体"/>
                <w:color w:val="auto"/>
                <w:szCs w:val="21"/>
                <w:highlight w:val="none"/>
              </w:rPr>
              <w:t>。</w:t>
            </w:r>
          </w:p>
        </w:tc>
      </w:tr>
      <w:tr w14:paraId="7B5D1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0ECFC0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7.7.1</w:t>
            </w:r>
          </w:p>
        </w:tc>
        <w:tc>
          <w:tcPr>
            <w:tcW w:w="2728" w:type="dxa"/>
            <w:tcBorders>
              <w:top w:val="single" w:color="auto" w:sz="4" w:space="0"/>
              <w:left w:val="single" w:color="auto" w:sz="4" w:space="0"/>
              <w:bottom w:val="single" w:color="auto" w:sz="4" w:space="0"/>
              <w:right w:val="single" w:color="auto" w:sz="4" w:space="0"/>
            </w:tcBorders>
            <w:vAlign w:val="center"/>
          </w:tcPr>
          <w:p w14:paraId="308B4CC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531" w:type="dxa"/>
            <w:tcBorders>
              <w:top w:val="single" w:color="auto" w:sz="4" w:space="0"/>
              <w:left w:val="single" w:color="auto" w:sz="4" w:space="0"/>
              <w:bottom w:val="single" w:color="auto" w:sz="4" w:space="0"/>
              <w:right w:val="single" w:color="auto" w:sz="12" w:space="0"/>
            </w:tcBorders>
            <w:vAlign w:val="center"/>
          </w:tcPr>
          <w:p w14:paraId="695746DD">
            <w:pPr>
              <w:shd w:val="clear" w:fill="FFFFFF" w:themeFill="background1"/>
              <w:ind w:right="113" w:firstLine="210" w:firstLineChars="100"/>
              <w:rPr>
                <w:rFonts w:ascii="宋体" w:hAnsi="宋体" w:cs="宋体"/>
                <w:color w:val="auto"/>
                <w:szCs w:val="21"/>
                <w:highlight w:val="none"/>
              </w:rPr>
            </w:pPr>
            <w:r>
              <w:rPr>
                <w:rFonts w:hint="eastAsia" w:ascii="宋体" w:hAnsi="宋体" w:cs="宋体"/>
                <w:color w:val="auto"/>
                <w:szCs w:val="21"/>
                <w:highlight w:val="none"/>
              </w:rPr>
              <w:t>是否要求中标人提交履约保证金：</w:t>
            </w:r>
          </w:p>
          <w:p w14:paraId="3284F2B1">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要求，履约担保形式：</w:t>
            </w:r>
            <w:r>
              <w:rPr>
                <w:rFonts w:hint="eastAsia" w:ascii="宋体" w:hAnsi="宋体" w:cs="宋体"/>
                <w:color w:val="auto"/>
                <w:szCs w:val="21"/>
                <w:highlight w:val="none"/>
                <w:u w:val="single"/>
              </w:rPr>
              <w:t>由投标人自主选择采用现金（或支票）、或银行保函或其他合法形式。</w:t>
            </w:r>
          </w:p>
          <w:p w14:paraId="53D0DEAD">
            <w:pPr>
              <w:shd w:val="clear" w:fill="FFFFFF" w:themeFill="background1"/>
              <w:ind w:left="105" w:leftChars="50" w:right="113"/>
              <w:rPr>
                <w:rFonts w:ascii="宋体" w:hAnsi="宋体" w:cs="宋体"/>
                <w:color w:val="auto"/>
                <w:szCs w:val="21"/>
                <w:highlight w:val="none"/>
                <w:u w:val="single"/>
              </w:rPr>
            </w:pPr>
            <w:r>
              <w:rPr>
                <w:rFonts w:hint="eastAsia" w:ascii="宋体" w:hAnsi="宋体" w:cs="宋体"/>
                <w:color w:val="auto"/>
                <w:szCs w:val="21"/>
                <w:highlight w:val="none"/>
              </w:rPr>
              <w:t xml:space="preserve">   履约担保金额：</w:t>
            </w:r>
            <w:r>
              <w:rPr>
                <w:rFonts w:hint="eastAsia" w:ascii="宋体" w:hAnsi="宋体" w:cs="宋体"/>
                <w:color w:val="auto"/>
                <w:szCs w:val="21"/>
                <w:highlight w:val="none"/>
                <w:u w:val="single"/>
              </w:rPr>
              <w:t>中标合同额的10%。</w:t>
            </w:r>
          </w:p>
          <w:p w14:paraId="08368E80">
            <w:pPr>
              <w:shd w:val="clear" w:fill="FFFFFF" w:themeFill="background1"/>
              <w:ind w:left="105" w:leftChars="50" w:right="113"/>
              <w:rPr>
                <w:rFonts w:ascii="宋体" w:hAnsi="宋体" w:cs="宋体"/>
                <w:color w:val="auto"/>
                <w:szCs w:val="21"/>
                <w:highlight w:val="none"/>
                <w:u w:val="single"/>
              </w:rPr>
            </w:pPr>
            <w:r>
              <w:rPr>
                <w:rFonts w:hint="eastAsia" w:ascii="宋体" w:hAnsi="宋体" w:cs="宋体"/>
                <w:color w:val="auto"/>
                <w:szCs w:val="21"/>
                <w:highlight w:val="none"/>
              </w:rPr>
              <w:t xml:space="preserve">   采用银行保函时，</w:t>
            </w:r>
            <w:r>
              <w:rPr>
                <w:rFonts w:hint="eastAsia" w:ascii="宋体" w:hAnsi="宋体" w:cs="宋体"/>
                <w:color w:val="auto"/>
                <w:szCs w:val="21"/>
                <w:highlight w:val="none"/>
                <w:u w:val="single"/>
              </w:rPr>
              <w:t>出具履约担保的银行级别：投标人公司注册所在地的全国性国有商业银行或股份制商业银行的分支机构。</w:t>
            </w:r>
          </w:p>
          <w:p w14:paraId="55DB5504">
            <w:pPr>
              <w:shd w:val="clear" w:fill="FFFFFF" w:themeFill="background1"/>
              <w:ind w:left="105" w:leftChars="50" w:right="113"/>
              <w:rPr>
                <w:rFonts w:ascii="宋体" w:hAnsi="宋体" w:cs="宋体"/>
                <w:color w:val="auto"/>
                <w:szCs w:val="21"/>
                <w:highlight w:val="none"/>
              </w:rPr>
            </w:pPr>
          </w:p>
          <w:p w14:paraId="1FACF86C">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□不要求</w:t>
            </w:r>
          </w:p>
        </w:tc>
      </w:tr>
      <w:tr w14:paraId="3300D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48BE04A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8.5.1</w:t>
            </w:r>
          </w:p>
        </w:tc>
        <w:tc>
          <w:tcPr>
            <w:tcW w:w="2728" w:type="dxa"/>
            <w:tcBorders>
              <w:top w:val="single" w:color="auto" w:sz="4" w:space="0"/>
              <w:left w:val="single" w:color="auto" w:sz="4" w:space="0"/>
              <w:bottom w:val="single" w:color="auto" w:sz="4" w:space="0"/>
              <w:right w:val="single" w:color="auto" w:sz="4" w:space="0"/>
            </w:tcBorders>
            <w:vAlign w:val="center"/>
          </w:tcPr>
          <w:p w14:paraId="2DD55A6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监督部门</w:t>
            </w:r>
          </w:p>
        </w:tc>
        <w:tc>
          <w:tcPr>
            <w:tcW w:w="6531" w:type="dxa"/>
            <w:tcBorders>
              <w:top w:val="single" w:color="auto" w:sz="4" w:space="0"/>
              <w:left w:val="single" w:color="auto" w:sz="4" w:space="0"/>
              <w:bottom w:val="single" w:color="auto" w:sz="4" w:space="0"/>
              <w:right w:val="single" w:color="auto" w:sz="12" w:space="0"/>
            </w:tcBorders>
            <w:vAlign w:val="center"/>
          </w:tcPr>
          <w:p w14:paraId="6403D996">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监督部门：乐昌市交通运输局</w:t>
            </w:r>
          </w:p>
          <w:p w14:paraId="6DF96011">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地  址：乐昌市公园路7号</w:t>
            </w:r>
          </w:p>
          <w:p w14:paraId="5A0FA54B">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 xml:space="preserve">电  话：0751-5574986 </w:t>
            </w:r>
          </w:p>
          <w:p w14:paraId="6837EE1D">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邮政编码：512229</w:t>
            </w:r>
          </w:p>
        </w:tc>
      </w:tr>
      <w:tr w14:paraId="3A708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67CA55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9</w:t>
            </w:r>
          </w:p>
        </w:tc>
        <w:tc>
          <w:tcPr>
            <w:tcW w:w="2728" w:type="dxa"/>
            <w:tcBorders>
              <w:top w:val="single" w:color="auto" w:sz="4" w:space="0"/>
              <w:left w:val="single" w:color="auto" w:sz="4" w:space="0"/>
              <w:bottom w:val="single" w:color="auto" w:sz="4" w:space="0"/>
              <w:right w:val="single" w:color="auto" w:sz="4" w:space="0"/>
            </w:tcBorders>
            <w:vAlign w:val="center"/>
          </w:tcPr>
          <w:p w14:paraId="3E511B88">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是否采用电子招标投标</w:t>
            </w:r>
          </w:p>
        </w:tc>
        <w:tc>
          <w:tcPr>
            <w:tcW w:w="6531" w:type="dxa"/>
            <w:tcBorders>
              <w:top w:val="single" w:color="auto" w:sz="4" w:space="0"/>
              <w:left w:val="single" w:color="auto" w:sz="4" w:space="0"/>
              <w:bottom w:val="single" w:color="auto" w:sz="4" w:space="0"/>
              <w:right w:val="single" w:color="auto" w:sz="12" w:space="0"/>
            </w:tcBorders>
            <w:vAlign w:val="center"/>
          </w:tcPr>
          <w:p w14:paraId="4B69C350">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□否</w:t>
            </w:r>
          </w:p>
          <w:p w14:paraId="1D9DC1B9">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eq \o\ac(</w:instrText>
            </w:r>
            <w:r>
              <w:rPr>
                <w:rFonts w:hint="eastAsia" w:ascii="宋体" w:hAnsi="宋体" w:cs="宋体"/>
                <w:color w:val="auto"/>
                <w:kern w:val="0"/>
                <w:position w:val="-4"/>
                <w:sz w:val="31"/>
                <w:szCs w:val="21"/>
                <w:highlight w:val="none"/>
              </w:rPr>
              <w:instrText xml:space="preserve">□</w:instrText>
            </w:r>
            <w:r>
              <w:rPr>
                <w:rFonts w:hint="eastAsia" w:ascii="宋体" w:hAnsi="宋体" w:cs="宋体"/>
                <w:color w:val="auto"/>
                <w:kern w:val="0"/>
                <w:szCs w:val="21"/>
                <w:highlight w:val="none"/>
              </w:rPr>
              <w:instrText xml:space="preserve">,√)</w:instrTex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是，具体要求：</w:t>
            </w:r>
          </w:p>
          <w:p w14:paraId="354CC216">
            <w:pPr>
              <w:pStyle w:val="82"/>
              <w:shd w:val="clear" w:fill="FFFFFF" w:themeFill="background1"/>
              <w:ind w:firstLine="422" w:firstLineChars="200"/>
              <w:rPr>
                <w:rFonts w:ascii="宋体" w:hAnsi="宋体" w:cs="宋体"/>
                <w:color w:val="auto"/>
                <w:szCs w:val="21"/>
                <w:highlight w:val="none"/>
              </w:rPr>
            </w:pPr>
            <w:r>
              <w:rPr>
                <w:rFonts w:hint="eastAsia" w:ascii="宋体" w:hAnsi="宋体" w:cs="宋体"/>
                <w:b/>
                <w:bCs/>
                <w:color w:val="auto"/>
                <w:kern w:val="0"/>
                <w:szCs w:val="21"/>
                <w:highlight w:val="none"/>
                <w:u w:val="single"/>
              </w:rPr>
              <w:t>投标人必须在规定的截止时间前使用建设工程交易平台完成电子投标(包括缴纳投标保证金)。</w:t>
            </w:r>
          </w:p>
        </w:tc>
      </w:tr>
      <w:tr w14:paraId="4C990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227" w:type="dxa"/>
            <w:gridSpan w:val="3"/>
            <w:tcBorders>
              <w:top w:val="single" w:color="auto" w:sz="4" w:space="0"/>
              <w:left w:val="single" w:color="auto" w:sz="12" w:space="0"/>
              <w:bottom w:val="single" w:color="auto" w:sz="4" w:space="0"/>
              <w:right w:val="single" w:color="auto" w:sz="12" w:space="0"/>
            </w:tcBorders>
            <w:vAlign w:val="center"/>
          </w:tcPr>
          <w:p w14:paraId="2265FA7F">
            <w:p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需补充的其他内容</w:t>
            </w:r>
          </w:p>
        </w:tc>
      </w:tr>
      <w:tr w14:paraId="13D41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4A9B03F">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kern w:val="0"/>
                <w:szCs w:val="21"/>
                <w:highlight w:val="none"/>
              </w:rPr>
              <w:t>1.4.4</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C1FEB16">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投标人须知正文</w:t>
            </w:r>
          </w:p>
          <w:p w14:paraId="2AAAF582">
            <w:pPr>
              <w:shd w:val="clear" w:fill="FFFFFF" w:themeFill="background1"/>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第 1.4.4 项中（1）目中的“招标项目所在地”指“广东省”。</w:t>
            </w:r>
          </w:p>
          <w:p w14:paraId="479C8C05">
            <w:pPr>
              <w:shd w:val="clear" w:fill="FFFFFF" w:themeFill="background1"/>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第 1.4.4（6）目内容细化如下：</w:t>
            </w:r>
          </w:p>
          <w:p w14:paraId="04F5CB31">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（6）投标人及其法定代表人、拟委任的项目经理（含备选，如有）、项目总工（含备选，如有）在近三年内有行贿犯罪行为的（以投标人投标函中的承诺为准）。</w:t>
            </w:r>
          </w:p>
        </w:tc>
      </w:tr>
      <w:tr w14:paraId="143BE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EBFC174">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6C05E9E">
            <w:pPr>
              <w:pStyle w:val="57"/>
              <w:shd w:val="clear" w:fill="FFFFFF" w:themeFill="background1"/>
              <w:spacing w:line="380" w:lineRule="exact"/>
              <w:jc w:val="both"/>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在投标人须知范本原文增加内容如下：</w:t>
            </w:r>
          </w:p>
          <w:p w14:paraId="24BAEE01">
            <w:p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2.2.5 澄清和修改内容将以编号的补遗书形式在全国公共资源交易平台 （广东省·韶关市）（https://ygp.gdzwfw.gov.cn/ggzy-portal/#/440200/index）建设工程栏目的公告公示上发布。补遗书作为招标文件的组成部分，对所有投标人均具有约束力。</w:t>
            </w:r>
          </w:p>
        </w:tc>
      </w:tr>
      <w:tr w14:paraId="73082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EC3C3AC">
            <w:pPr>
              <w:shd w:val="clear" w:fill="FFFFFF" w:themeFill="background1"/>
              <w:autoSpaceDE w:val="0"/>
              <w:autoSpaceDN w:val="0"/>
              <w:spacing w:line="480" w:lineRule="auto"/>
              <w:jc w:val="center"/>
              <w:rPr>
                <w:rFonts w:ascii="宋体" w:hAnsi="宋体" w:cs="宋体"/>
                <w:color w:val="auto"/>
                <w:szCs w:val="21"/>
                <w:highlight w:val="none"/>
              </w:rPr>
            </w:pPr>
            <w:r>
              <w:rPr>
                <w:rFonts w:hint="eastAsia" w:ascii="宋体" w:hAnsi="宋体" w:cs="宋体"/>
                <w:bCs/>
                <w:color w:val="auto"/>
                <w:kern w:val="0"/>
                <w:szCs w:val="21"/>
                <w:highlight w:val="none"/>
              </w:rPr>
              <w:t>2.3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2455F62">
            <w:pPr>
              <w:shd w:val="clear" w:fill="FFFFFF" w:themeFill="background1"/>
              <w:autoSpaceDE w:val="0"/>
              <w:autoSpaceDN w:val="0"/>
              <w:adjustRightInd w:val="0"/>
              <w:spacing w:before="51" w:line="269" w:lineRule="auto"/>
              <w:ind w:right="176"/>
              <w:jc w:val="left"/>
              <w:rPr>
                <w:rFonts w:ascii="宋体" w:hAnsi="宋体" w:cs="宋体"/>
                <w:b/>
                <w:color w:val="auto"/>
                <w:szCs w:val="21"/>
                <w:highlight w:val="none"/>
              </w:rPr>
            </w:pPr>
            <w:r>
              <w:rPr>
                <w:rFonts w:hint="eastAsia" w:ascii="宋体" w:hAnsi="宋体" w:cs="宋体"/>
                <w:b/>
                <w:color w:val="auto"/>
                <w:szCs w:val="21"/>
                <w:highlight w:val="none"/>
              </w:rPr>
              <w:t>投标人须知正文第2.3款内容修改如下：</w:t>
            </w:r>
          </w:p>
          <w:p w14:paraId="67132479">
            <w:pPr>
              <w:shd w:val="clear" w:fill="FFFFFF" w:themeFill="background1"/>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2.3.1在投标人须知前附表规定的截止投标时间15天前，招标人可以书面修改招标文件，并在</w:t>
            </w:r>
            <w:r>
              <w:rPr>
                <w:rFonts w:hint="eastAsia" w:ascii="宋体" w:hAnsi="宋体" w:cs="宋体"/>
                <w:color w:val="auto"/>
                <w:kern w:val="0"/>
                <w:szCs w:val="21"/>
                <w:highlight w:val="none"/>
                <w:u w:val="single"/>
              </w:rPr>
              <w:t>全国公共资源交易平台 （广东省·韶关市）</w:t>
            </w:r>
            <w:r>
              <w:rPr>
                <w:rFonts w:hint="eastAsia" w:ascii="宋体" w:hAnsi="宋体" w:cs="宋体"/>
                <w:color w:val="auto"/>
                <w:kern w:val="0"/>
                <w:szCs w:val="21"/>
                <w:highlight w:val="none"/>
              </w:rPr>
              <w:t>网站上</w:t>
            </w:r>
            <w:r>
              <w:rPr>
                <w:rFonts w:hint="eastAsia" w:ascii="宋体" w:hAnsi="宋体" w:cs="宋体"/>
                <w:color w:val="auto"/>
                <w:szCs w:val="21"/>
                <w:highlight w:val="none"/>
              </w:rPr>
              <w:t>发布。如果修改招标文件的时间超出规定的截止时间，相应延长投标截止时间。</w:t>
            </w:r>
          </w:p>
          <w:p w14:paraId="5FDC23DF">
            <w:pPr>
              <w:shd w:val="clear" w:fill="FFFFFF" w:themeFill="background1"/>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2.3.2招标文件的修改及有关补充通知一经在全国公共资源交易平台 （广东省·韶关市）网站上发布，视作已发放给所有投标人。</w:t>
            </w:r>
          </w:p>
        </w:tc>
      </w:tr>
      <w:tr w14:paraId="603F8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B09B979">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69975E6">
            <w:pPr>
              <w:shd w:val="clear" w:fill="FFFFFF" w:themeFill="background1"/>
              <w:spacing w:line="380" w:lineRule="exact"/>
              <w:ind w:firstLine="435"/>
              <w:rPr>
                <w:rFonts w:ascii="宋体" w:hAnsi="宋体" w:cs="宋体"/>
                <w:b/>
                <w:bCs/>
                <w:color w:val="auto"/>
                <w:szCs w:val="21"/>
                <w:highlight w:val="none"/>
              </w:rPr>
            </w:pPr>
            <w:r>
              <w:rPr>
                <w:rFonts w:hint="eastAsia" w:ascii="宋体" w:hAnsi="宋体" w:cs="宋体"/>
                <w:b/>
                <w:bCs/>
                <w:color w:val="auto"/>
                <w:szCs w:val="21"/>
                <w:highlight w:val="none"/>
              </w:rPr>
              <w:t>将投标人须知原文3.1.1款修改如下：</w:t>
            </w:r>
          </w:p>
          <w:p w14:paraId="41EEB77A">
            <w:pPr>
              <w:shd w:val="clear" w:fill="FFFFFF" w:themeFill="background1"/>
              <w:spacing w:line="380" w:lineRule="exact"/>
              <w:ind w:firstLine="435"/>
              <w:rPr>
                <w:rFonts w:ascii="宋体" w:hAnsi="宋体" w:cs="宋体"/>
                <w:b/>
                <w:bCs/>
                <w:color w:val="auto"/>
                <w:szCs w:val="21"/>
                <w:highlight w:val="none"/>
              </w:rPr>
            </w:pPr>
            <w:r>
              <w:rPr>
                <w:rFonts w:hint="eastAsia" w:ascii="宋体" w:hAnsi="宋体" w:cs="宋体"/>
                <w:b/>
                <w:bCs/>
                <w:color w:val="auto"/>
                <w:szCs w:val="21"/>
                <w:highlight w:val="none"/>
              </w:rPr>
              <w:t>3.1.1 投标文件应包括下列内容：</w:t>
            </w:r>
          </w:p>
          <w:p w14:paraId="0F29E76A">
            <w:pPr>
              <w:shd w:val="clear" w:fill="FFFFFF" w:themeFill="background1"/>
              <w:spacing w:line="380" w:lineRule="exact"/>
              <w:ind w:firstLine="435"/>
              <w:rPr>
                <w:rFonts w:ascii="宋体" w:hAnsi="宋体" w:cs="宋体"/>
                <w:color w:val="auto"/>
                <w:szCs w:val="21"/>
                <w:highlight w:val="none"/>
              </w:rPr>
            </w:pPr>
            <w:r>
              <w:rPr>
                <w:rFonts w:hint="eastAsia" w:ascii="宋体" w:hAnsi="宋体" w:cs="宋体"/>
                <w:color w:val="auto"/>
                <w:szCs w:val="21"/>
                <w:highlight w:val="none"/>
              </w:rPr>
              <w:t>第一个信封（商务及技术文件）</w:t>
            </w:r>
          </w:p>
          <w:p w14:paraId="333027DE">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（1）投标函及投标函附录</w:t>
            </w:r>
          </w:p>
          <w:p w14:paraId="6738B7EB">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（2）授权委托书或法定代表人身份证明</w:t>
            </w:r>
          </w:p>
          <w:p w14:paraId="78A8EF36">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（3）投标保证金</w:t>
            </w:r>
          </w:p>
          <w:p w14:paraId="4E29DA6F">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（4）施工组织设计</w:t>
            </w:r>
          </w:p>
          <w:p w14:paraId="57DE6853">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（5）项目管理机构</w:t>
            </w:r>
          </w:p>
          <w:p w14:paraId="1C434F3E">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（6）拟分包项目情况表</w:t>
            </w:r>
          </w:p>
          <w:p w14:paraId="5C0D25F5">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（7）资格审查资料(适用于未进行资格预审的)</w:t>
            </w:r>
          </w:p>
          <w:p w14:paraId="5055EE90">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（8）其他资料</w:t>
            </w:r>
          </w:p>
          <w:p w14:paraId="40A3F944">
            <w:pPr>
              <w:shd w:val="clear" w:fill="FFFFFF" w:themeFill="background1"/>
              <w:spacing w:line="380" w:lineRule="exact"/>
              <w:ind w:firstLine="435"/>
              <w:rPr>
                <w:rFonts w:ascii="宋体" w:hAnsi="宋体" w:cs="宋体"/>
                <w:color w:val="auto"/>
                <w:szCs w:val="21"/>
                <w:highlight w:val="none"/>
              </w:rPr>
            </w:pPr>
            <w:r>
              <w:rPr>
                <w:rFonts w:hint="eastAsia" w:ascii="宋体" w:hAnsi="宋体" w:cs="宋体"/>
                <w:color w:val="auto"/>
                <w:szCs w:val="21"/>
                <w:highlight w:val="none"/>
              </w:rPr>
              <w:t>第二个封信（报价文件）</w:t>
            </w:r>
          </w:p>
          <w:p w14:paraId="318EFD79">
            <w:pPr>
              <w:numPr>
                <w:ilvl w:val="0"/>
                <w:numId w:val="5"/>
              </w:num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投标函；</w:t>
            </w:r>
          </w:p>
          <w:p w14:paraId="15879B8C">
            <w:pPr>
              <w:numPr>
                <w:ilvl w:val="0"/>
                <w:numId w:val="5"/>
              </w:num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已标价工程量清单。</w:t>
            </w:r>
          </w:p>
          <w:p w14:paraId="180C7BFF">
            <w:pPr>
              <w:pStyle w:val="55"/>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tc>
      </w:tr>
      <w:tr w14:paraId="23AB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5F7145B2">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414D58B">
            <w:pPr>
              <w:pStyle w:val="80"/>
              <w:shd w:val="clear" w:fill="FFFFFF" w:themeFill="background1"/>
              <w:spacing w:before="19" w:line="380" w:lineRule="exact"/>
              <w:ind w:left="103" w:right="-22"/>
              <w:rPr>
                <w:rFonts w:ascii="宋体" w:hAnsi="宋体" w:cs="宋体"/>
                <w:b/>
                <w:bCs/>
                <w:color w:val="auto"/>
                <w:szCs w:val="21"/>
                <w:highlight w:val="none"/>
              </w:rPr>
            </w:pPr>
            <w:r>
              <w:rPr>
                <w:rFonts w:hint="eastAsia" w:ascii="宋体" w:hAnsi="宋体" w:cs="宋体"/>
                <w:b/>
                <w:bCs/>
                <w:color w:val="auto"/>
                <w:szCs w:val="21"/>
                <w:highlight w:val="none"/>
              </w:rPr>
              <w:t>投标人须知正文第3.2.1项部分内容细化如下：</w:t>
            </w:r>
          </w:p>
          <w:p w14:paraId="685C23CD">
            <w:pPr>
              <w:pStyle w:val="80"/>
              <w:numPr>
                <w:ilvl w:val="0"/>
                <w:numId w:val="6"/>
              </w:numPr>
              <w:shd w:val="clear" w:fill="FFFFFF" w:themeFill="background1"/>
              <w:spacing w:before="19" w:line="380" w:lineRule="exact"/>
              <w:ind w:right="-22"/>
              <w:rPr>
                <w:rFonts w:ascii="宋体" w:hAnsi="宋体" w:cs="宋体"/>
                <w:color w:val="auto"/>
                <w:szCs w:val="21"/>
                <w:highlight w:val="none"/>
              </w:rPr>
            </w:pPr>
            <w:r>
              <w:rPr>
                <w:rFonts w:hint="eastAsia" w:ascii="宋体" w:hAnsi="宋体" w:cs="宋体"/>
                <w:color w:val="auto"/>
                <w:szCs w:val="21"/>
                <w:highlight w:val="none"/>
              </w:rPr>
              <w:t>本项目招标由招标人提供工程量清单（已报名的投标单位可在全国公共资源交易平台 （广东省·韶关市）系统下载），投标人应按照招标人提供的工程量清单填写本合同各工程子目的单价、合价和总额价。投标人未在工程量清单中填入单价或总额价的工程子目，将被认为其已包含在工程量清单其他子目的单价和总额价中，招标人将不予支付。评标委员会将按照第三章“评标办法”规定对投标价进行算术性错误修正及其它错误修正。</w:t>
            </w:r>
          </w:p>
          <w:p w14:paraId="1255133D">
            <w:pPr>
              <w:pStyle w:val="80"/>
              <w:shd w:val="clear" w:fill="FFFFFF" w:themeFill="background1"/>
              <w:spacing w:before="19" w:line="380" w:lineRule="exact"/>
              <w:ind w:right="-22"/>
              <w:rPr>
                <w:rFonts w:ascii="宋体" w:hAnsi="宋体" w:cs="宋体"/>
                <w:color w:val="auto"/>
                <w:szCs w:val="21"/>
                <w:highlight w:val="none"/>
              </w:rPr>
            </w:pPr>
            <w:r>
              <w:rPr>
                <w:rFonts w:hint="eastAsia" w:ascii="宋体" w:hAnsi="宋体" w:cs="宋体"/>
                <w:color w:val="auto"/>
                <w:szCs w:val="21"/>
                <w:highlight w:val="none"/>
              </w:rPr>
              <w:t>增加以下内容：</w:t>
            </w:r>
          </w:p>
          <w:p w14:paraId="0BB6EE55">
            <w:pPr>
              <w:pStyle w:val="80"/>
              <w:numPr>
                <w:ilvl w:val="0"/>
                <w:numId w:val="6"/>
              </w:numPr>
              <w:shd w:val="clear" w:fill="FFFFFF" w:themeFill="background1"/>
              <w:spacing w:before="19" w:line="380" w:lineRule="exact"/>
              <w:ind w:right="-22"/>
              <w:rPr>
                <w:rFonts w:ascii="宋体" w:hAnsi="宋体" w:cs="宋体"/>
                <w:color w:val="auto"/>
                <w:szCs w:val="21"/>
                <w:highlight w:val="none"/>
              </w:rPr>
            </w:pPr>
            <w:r>
              <w:rPr>
                <w:rFonts w:hint="eastAsia" w:ascii="宋体" w:hAnsi="宋体" w:cs="宋体"/>
                <w:color w:val="auto"/>
                <w:szCs w:val="21"/>
                <w:highlight w:val="none"/>
              </w:rPr>
              <w:t>投标人的投标函文字报价、工程量清单投标报价总价和上传至全国公共资源交易平台 （广东省·韶关市）交易平台的投标报价三者应该一致。若发生不一致而且是由于投标人的原因所致，将视为重大偏差，其投标将被否决。</w:t>
            </w:r>
          </w:p>
          <w:p w14:paraId="0EB72512">
            <w:pPr>
              <w:shd w:val="clear" w:fill="FFFFFF" w:themeFill="background1"/>
              <w:spacing w:line="380" w:lineRule="exact"/>
              <w:rPr>
                <w:rFonts w:ascii="宋体" w:hAnsi="宋体" w:cs="宋体"/>
                <w:color w:val="auto"/>
                <w:szCs w:val="21"/>
                <w:highlight w:val="none"/>
              </w:rPr>
            </w:pPr>
            <w:r>
              <w:rPr>
                <w:rFonts w:hint="eastAsia" w:ascii="宋体" w:hAnsi="宋体" w:cs="宋体"/>
                <w:b/>
                <w:bCs/>
                <w:color w:val="auto"/>
                <w:szCs w:val="21"/>
                <w:highlight w:val="none"/>
              </w:rPr>
              <w:t>投标报价的所有单价取小数点后两位，所有合价和总价应四舍五入取整数</w:t>
            </w:r>
            <w:r>
              <w:rPr>
                <w:rFonts w:hint="eastAsia" w:ascii="宋体" w:hAnsi="宋体" w:cs="宋体"/>
                <w:color w:val="auto"/>
                <w:szCs w:val="21"/>
                <w:highlight w:val="none"/>
              </w:rPr>
              <w:t>。工程量清单不需要附单价分析表、项目清单、分项清单，但投标人中标后，发包人可要求中标人提交项目清单、分项清单及单价分析表，中标人不得拒绝。</w:t>
            </w:r>
          </w:p>
        </w:tc>
      </w:tr>
      <w:tr w14:paraId="0C1B5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52BC337">
            <w:pPr>
              <w:shd w:val="clear" w:fill="FFFFFF" w:themeFill="background1"/>
              <w:spacing w:line="420" w:lineRule="exact"/>
              <w:jc w:val="center"/>
              <w:rPr>
                <w:rFonts w:ascii="宋体" w:hAnsi="宋体" w:cs="宋体"/>
                <w:color w:val="auto"/>
                <w:szCs w:val="21"/>
                <w:highlight w:val="none"/>
              </w:rPr>
            </w:pPr>
            <w:r>
              <w:rPr>
                <w:rFonts w:hint="eastAsia" w:ascii="宋体" w:hAnsi="宋体" w:cs="宋体"/>
                <w:color w:val="auto"/>
                <w:szCs w:val="21"/>
                <w:highlight w:val="none"/>
                <w:lang w:val="zh-CN" w:bidi="zh-CN"/>
              </w:rPr>
              <w:t>3.4</w:t>
            </w:r>
            <w:r>
              <w:rPr>
                <w:rFonts w:hint="eastAsia" w:ascii="宋体" w:hAnsi="宋体" w:cs="宋体"/>
                <w:color w:val="auto"/>
                <w:szCs w:val="21"/>
                <w:highlight w:val="none"/>
                <w:lang w:bidi="zh-CN"/>
              </w:rPr>
              <w:t>.3</w:t>
            </w:r>
          </w:p>
        </w:tc>
        <w:tc>
          <w:tcPr>
            <w:tcW w:w="9259" w:type="dxa"/>
            <w:gridSpan w:val="2"/>
            <w:tcBorders>
              <w:top w:val="single" w:color="auto" w:sz="4" w:space="0"/>
              <w:left w:val="single" w:color="auto" w:sz="2" w:space="0"/>
              <w:bottom w:val="single" w:color="auto" w:sz="4" w:space="0"/>
              <w:right w:val="single" w:color="auto" w:sz="12" w:space="0"/>
            </w:tcBorders>
          </w:tcPr>
          <w:p w14:paraId="1B257934">
            <w:pPr>
              <w:shd w:val="clear" w:fill="FFFFFF" w:themeFill="background1"/>
              <w:spacing w:line="276"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投标人须知正文3.4.3</w:t>
            </w:r>
            <w:r>
              <w:rPr>
                <w:rFonts w:hint="eastAsia" w:ascii="宋体" w:hAnsi="宋体" w:cs="宋体"/>
                <w:b/>
                <w:bCs/>
                <w:color w:val="auto"/>
                <w:szCs w:val="21"/>
                <w:highlight w:val="none"/>
              </w:rPr>
              <w:t>项</w:t>
            </w:r>
            <w:r>
              <w:rPr>
                <w:rFonts w:hint="eastAsia" w:ascii="宋体" w:hAnsi="宋体" w:cs="宋体"/>
                <w:b/>
                <w:bCs/>
                <w:color w:val="auto"/>
                <w:szCs w:val="21"/>
                <w:highlight w:val="none"/>
                <w:lang w:val="zh-CN"/>
              </w:rPr>
              <w:t xml:space="preserve">修改如下：     </w:t>
            </w:r>
          </w:p>
          <w:p w14:paraId="37B1ADED">
            <w:pPr>
              <w:pStyle w:val="55"/>
              <w:shd w:val="clear" w:fill="FFFFFF" w:themeFill="background1"/>
              <w:spacing w:line="240" w:lineRule="auto"/>
              <w:rPr>
                <w:rFonts w:ascii="宋体" w:hAnsi="宋体" w:cs="宋体"/>
                <w:color w:val="auto"/>
                <w:sz w:val="21"/>
                <w:szCs w:val="21"/>
                <w:highlight w:val="none"/>
              </w:rPr>
            </w:pPr>
            <w:r>
              <w:rPr>
                <w:rFonts w:hint="eastAsia" w:ascii="宋体" w:hAnsi="宋体" w:cs="宋体"/>
                <w:color w:val="auto"/>
                <w:sz w:val="21"/>
                <w:szCs w:val="21"/>
                <w:highlight w:val="none"/>
                <w:lang w:val="zh-CN"/>
              </w:rPr>
              <w:t>3.4.3（</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1FD1A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61A60D5">
            <w:pPr>
              <w:shd w:val="clear" w:fill="FFFFFF" w:themeFill="background1"/>
              <w:spacing w:line="380" w:lineRule="exact"/>
              <w:jc w:val="center"/>
              <w:rPr>
                <w:rFonts w:ascii="宋体" w:hAnsi="宋体" w:cs="宋体"/>
                <w:color w:val="auto"/>
                <w:szCs w:val="21"/>
                <w:highlight w:val="none"/>
                <w:lang w:bidi="zh-CN"/>
              </w:rPr>
            </w:pPr>
            <w:r>
              <w:rPr>
                <w:rFonts w:hint="eastAsia" w:ascii="宋体" w:hAnsi="宋体" w:cs="宋体"/>
                <w:color w:val="auto"/>
                <w:szCs w:val="21"/>
                <w:highlight w:val="none"/>
                <w:lang w:bidi="zh-CN"/>
              </w:rPr>
              <w:t>3.5.1</w:t>
            </w:r>
          </w:p>
        </w:tc>
        <w:tc>
          <w:tcPr>
            <w:tcW w:w="9259" w:type="dxa"/>
            <w:gridSpan w:val="2"/>
            <w:tcBorders>
              <w:top w:val="single" w:color="auto" w:sz="4" w:space="0"/>
              <w:left w:val="single" w:color="auto" w:sz="2" w:space="0"/>
              <w:bottom w:val="single" w:color="auto" w:sz="4" w:space="0"/>
              <w:right w:val="single" w:color="auto" w:sz="12" w:space="0"/>
            </w:tcBorders>
          </w:tcPr>
          <w:p w14:paraId="27986720">
            <w:pPr>
              <w:shd w:val="clear" w:fill="FFFFFF" w:themeFill="background1"/>
              <w:spacing w:line="380" w:lineRule="exact"/>
              <w:rPr>
                <w:rFonts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 xml:space="preserve">投标人须知正文第 3.5.1 项内容修改如下： </w:t>
            </w:r>
          </w:p>
          <w:p w14:paraId="2E0D90D9">
            <w:pPr>
              <w:shd w:val="clear" w:fill="FFFFFF" w:themeFill="background1"/>
              <w:spacing w:line="380" w:lineRule="exact"/>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投标人须知正文第 3.5.1 项内容修改如下：</w:t>
            </w:r>
          </w:p>
          <w:p w14:paraId="2DA418AD">
            <w:pPr>
              <w:shd w:val="clear" w:fill="FFFFFF" w:themeFill="background1"/>
              <w:spacing w:line="380" w:lineRule="exact"/>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投标人基本情况表”应附企业法人营业执照、施工资质证书、安全生产许可证、基本账户开户许可证（如企业所在地已取消企业银行账户许可而无法提供开户许可证的，则需附上开户银行出具的“基本存款账户信息”或“人民银行账户管理系统查询的基本账户信息截图”，下同）的复印件， 投标人在交通运输部“全国公路建设市场监督管理系统”公路工程施工资质企业名录中的网页截图复印件，以及投标人在“国家企业信用信息公示系统”中基础信息（体现股东及出资详细信息）的网页截图复印件。</w:t>
            </w:r>
          </w:p>
          <w:p w14:paraId="0B20240A">
            <w:pPr>
              <w:shd w:val="clear" w:fill="FFFFFF" w:themeFill="background1"/>
              <w:spacing w:line="380" w:lineRule="exact"/>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企业法人营业执照、施工资质证书、安全生产许可证、基本账户开户许可证的复印件应提供全本（证书封面、封底、空白页除外），包括投标人名称、投标人其他相关信息、颁发机构名称、投标人信息变更情况等关键页在内。</w:t>
            </w:r>
          </w:p>
        </w:tc>
      </w:tr>
      <w:tr w14:paraId="0CFEA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EBFD20A">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3.5.2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39A51EB">
            <w:pPr>
              <w:shd w:val="clear" w:fill="FFFFFF" w:themeFill="background1"/>
              <w:spacing w:line="38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投标人须知正文第 3.5.2 项内容修改如下：</w:t>
            </w:r>
          </w:p>
          <w:p w14:paraId="31788988">
            <w:pPr>
              <w:shd w:val="clear" w:fill="FFFFFF" w:themeFill="background1"/>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近年财务状况表”具体年份要求见投标人须知前附表，近年财务信息以投标人提供的“全国公路建设市场监督管理系统”企业所填的信息截图为准。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近年财务状况表”所填数据应与信息截图的数据一致。</w:t>
            </w:r>
          </w:p>
        </w:tc>
      </w:tr>
      <w:tr w14:paraId="60F07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D241CC3">
            <w:pPr>
              <w:shd w:val="clear" w:fill="FFFFFF" w:themeFill="background1"/>
              <w:spacing w:line="380" w:lineRule="exact"/>
              <w:jc w:val="center"/>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3.5.3</w:t>
            </w:r>
          </w:p>
          <w:p w14:paraId="1616D0AC">
            <w:pPr>
              <w:shd w:val="clear" w:fill="FFFFFF" w:themeFill="background1"/>
              <w:spacing w:line="380" w:lineRule="exact"/>
              <w:jc w:val="center"/>
              <w:rPr>
                <w:rFonts w:ascii="宋体" w:hAnsi="宋体" w:cs="宋体"/>
                <w:color w:val="auto"/>
                <w:szCs w:val="21"/>
                <w:highlight w:val="none"/>
                <w:lang w:val="zh-CN" w:bidi="zh-CN"/>
              </w:rPr>
            </w:pP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40D1B7E">
            <w:pPr>
              <w:shd w:val="clear" w:fill="FFFFFF" w:themeFill="background1"/>
              <w:spacing w:line="380" w:lineRule="exact"/>
              <w:ind w:firstLine="422" w:firstLineChars="200"/>
              <w:rPr>
                <w:b/>
                <w:bCs/>
                <w:color w:val="auto"/>
                <w:highlight w:val="none"/>
              </w:rPr>
            </w:pPr>
            <w:r>
              <w:rPr>
                <w:rFonts w:hint="eastAsia"/>
                <w:b/>
                <w:bCs/>
                <w:color w:val="auto"/>
                <w:highlight w:val="none"/>
              </w:rPr>
              <w:t>投标人须知正文第 3.5.3 项内容修改如下：</w:t>
            </w:r>
          </w:p>
          <w:p w14:paraId="7CEB525A">
            <w:pPr>
              <w:shd w:val="clear" w:fill="FFFFFF" w:themeFill="background1"/>
              <w:spacing w:line="380" w:lineRule="exact"/>
              <w:ind w:firstLine="420" w:firstLineChars="200"/>
              <w:rPr>
                <w:color w:val="auto"/>
                <w:highlight w:val="none"/>
              </w:rPr>
            </w:pPr>
            <w:r>
              <w:rPr>
                <w:rFonts w:hint="eastAsia"/>
                <w:color w:val="auto"/>
                <w:highlight w:val="none"/>
              </w:rPr>
              <w:t>“近年完成的类似项目”应是已列入交通运输部“全国公路建设市场监督管理系统”并公开的总包已建业绩或分包（不包括劳务分包）已建业绩，具体时间要求见投标人须知前附表。</w:t>
            </w:r>
          </w:p>
          <w:p w14:paraId="63E7D4B4">
            <w:pPr>
              <w:shd w:val="clear" w:fill="FFFFFF" w:themeFill="background1"/>
              <w:spacing w:line="380" w:lineRule="exact"/>
              <w:ind w:firstLine="420" w:firstLineChars="200"/>
              <w:rPr>
                <w:color w:val="auto"/>
                <w:highlight w:val="none"/>
              </w:rPr>
            </w:pPr>
            <w:r>
              <w:rPr>
                <w:rFonts w:hint="eastAsia"/>
                <w:color w:val="auto"/>
                <w:highlight w:val="none"/>
              </w:rPr>
              <w:t>“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4F72D413">
            <w:pPr>
              <w:shd w:val="clear" w:fill="FFFFFF" w:themeFill="background1"/>
              <w:spacing w:line="380" w:lineRule="exact"/>
              <w:ind w:firstLine="420" w:firstLineChars="200"/>
              <w:rPr>
                <w:color w:val="auto"/>
                <w:highlight w:val="none"/>
              </w:rPr>
            </w:pPr>
            <w:r>
              <w:rPr>
                <w:rFonts w:hint="eastAsia"/>
                <w:color w:val="auto"/>
                <w:highlight w:val="none"/>
              </w:rPr>
              <w:t>如投标人未提供相关项目网页截图复印件或相关项目网页截图中的信息无法证实投标人满足招标文件规定的资格审查条件（业绩最低要求）或评标办法评分标准（如有），则该项目业绩不予认定。</w:t>
            </w:r>
          </w:p>
          <w:p w14:paraId="45BD8C1E">
            <w:pPr>
              <w:shd w:val="clear" w:fill="FFFFFF" w:themeFill="background1"/>
              <w:spacing w:line="380" w:lineRule="exact"/>
              <w:ind w:firstLine="420" w:firstLineChars="200"/>
              <w:rPr>
                <w:color w:val="auto"/>
                <w:highlight w:val="none"/>
              </w:rPr>
            </w:pPr>
            <w:r>
              <w:rPr>
                <w:rFonts w:hint="eastAsia"/>
                <w:color w:val="auto"/>
                <w:highlight w:val="none"/>
              </w:rPr>
              <w:t>如近年来，投标人法人机构发生合法变更或重组或法人名称变更时，应提供相关部门的合法批件或其他相关证明材料来证明其所附业绩的继承性。</w:t>
            </w:r>
          </w:p>
        </w:tc>
      </w:tr>
      <w:tr w14:paraId="4485A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44B150B">
            <w:pPr>
              <w:shd w:val="clear" w:fill="FFFFFF" w:themeFill="background1"/>
              <w:spacing w:line="420" w:lineRule="exact"/>
              <w:jc w:val="center"/>
              <w:rPr>
                <w:rFonts w:ascii="宋体" w:hAnsi="宋体" w:cs="宋体"/>
                <w:color w:val="auto"/>
                <w:szCs w:val="21"/>
                <w:highlight w:val="none"/>
                <w:lang w:val="zh-CN" w:bidi="zh-CN"/>
              </w:rPr>
            </w:pPr>
            <w:r>
              <w:rPr>
                <w:rFonts w:hint="eastAsia" w:ascii="宋体" w:hAnsi="宋体" w:cs="宋体"/>
                <w:color w:val="auto"/>
                <w:szCs w:val="21"/>
                <w:highlight w:val="none"/>
              </w:rPr>
              <w:t>3.5.4</w:t>
            </w:r>
          </w:p>
        </w:tc>
        <w:tc>
          <w:tcPr>
            <w:tcW w:w="9259" w:type="dxa"/>
            <w:gridSpan w:val="2"/>
            <w:tcBorders>
              <w:top w:val="single" w:color="auto" w:sz="4" w:space="0"/>
              <w:left w:val="single" w:color="auto" w:sz="2" w:space="0"/>
              <w:bottom w:val="single" w:color="auto" w:sz="4" w:space="0"/>
              <w:right w:val="single" w:color="auto" w:sz="12" w:space="0"/>
            </w:tcBorders>
          </w:tcPr>
          <w:p w14:paraId="141FA9C2">
            <w:pPr>
              <w:shd w:val="clear" w:fill="FFFFFF" w:themeFill="background1"/>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 xml:space="preserve">投标人须知正文第 3.5.4 项内容修改如下： </w:t>
            </w:r>
          </w:p>
          <w:p w14:paraId="688BDE9D">
            <w:pPr>
              <w:shd w:val="clear" w:fill="FFFFFF" w:themeFill="background1"/>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“投标人的信誉情况”应附投标人在“国家企业信用信息公示系统”中未被列入严重违法失信企业名单、在“信用中国”网站中未被列入失信被执行人名单的网页截图复印件。</w:t>
            </w:r>
          </w:p>
        </w:tc>
      </w:tr>
      <w:tr w14:paraId="1CC20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4196CB8">
            <w:pPr>
              <w:shd w:val="clear" w:fill="FFFFFF" w:themeFill="background1"/>
              <w:spacing w:line="420" w:lineRule="exact"/>
              <w:jc w:val="center"/>
              <w:rPr>
                <w:rFonts w:ascii="宋体" w:hAnsi="宋体" w:cs="宋体"/>
                <w:color w:val="auto"/>
                <w:szCs w:val="21"/>
                <w:highlight w:val="none"/>
                <w:lang w:val="zh-CN" w:bidi="zh-CN"/>
              </w:rPr>
            </w:pPr>
            <w:r>
              <w:rPr>
                <w:rFonts w:hint="eastAsia" w:ascii="宋体" w:hAnsi="宋体" w:cs="宋体"/>
                <w:color w:val="auto"/>
                <w:szCs w:val="21"/>
                <w:highlight w:val="none"/>
              </w:rPr>
              <w:t>3.5.5</w:t>
            </w:r>
          </w:p>
        </w:tc>
        <w:tc>
          <w:tcPr>
            <w:tcW w:w="9259" w:type="dxa"/>
            <w:gridSpan w:val="2"/>
            <w:tcBorders>
              <w:top w:val="single" w:color="auto" w:sz="4" w:space="0"/>
              <w:left w:val="single" w:color="auto" w:sz="2" w:space="0"/>
              <w:bottom w:val="single" w:color="auto" w:sz="4" w:space="0"/>
              <w:right w:val="single" w:color="auto" w:sz="12" w:space="0"/>
            </w:tcBorders>
          </w:tcPr>
          <w:p w14:paraId="7A597618">
            <w:pPr>
              <w:shd w:val="clear" w:fill="FFFFFF" w:themeFill="background1"/>
              <w:spacing w:line="42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删除原 3.5.5 项内容，修改如下： </w:t>
            </w:r>
          </w:p>
          <w:p w14:paraId="00AC40AB">
            <w:pPr>
              <w:shd w:val="clear" w:fill="FFFFFF" w:themeFill="background1"/>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拟委任的项目经理和项目总工资历表”应同时附①交通运输部“全国公路建设市场监督管理系统”中载明的、能够证明项目经理（以及备选人，如有）和项目总工（以及备选人，如有）满足投标人须知前附表附录 5 或者评标办法评分标准（如有）所提出的各项指标（即包括人员的“基本信息”、“职称信息”、“执业资格”、“个人业绩”等栏目在内）的网页截图复印件或网页打印件；②建造师注册证书在全国建筑市场监管公共服务平台上公开信息的网页截图复印件或网页打印件；③安全生产考核合格证书在交通运输部公路水运工程施工企业主要负责人和安全生产管理人员信息管理系统上查询公开信息的网页截图复印件或网页打印件；④投标人在社保系统打印的拟委任的项目经理（以及备选人，如有）和项目总工（以及备选人，如有）参加社保的缴费明细复印件（社保时段为投标文件递交截止日前半年时间内连续不少于三个月）。</w:t>
            </w:r>
          </w:p>
          <w:p w14:paraId="1B488AC1">
            <w:pPr>
              <w:shd w:val="clear" w:fill="FFFFFF" w:themeFill="background1"/>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建造师注册信息以②的证明材料为准，安全生产考核信息以③的证明材料为准。</w:t>
            </w:r>
          </w:p>
          <w:p w14:paraId="443A5ECF">
            <w:pPr>
              <w:shd w:val="clear" w:fill="FFFFFF" w:themeFill="background1"/>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除上述资料外，投标人无需再提供任何证明材料。</w:t>
            </w:r>
          </w:p>
          <w:p w14:paraId="3B4A25CF">
            <w:pPr>
              <w:shd w:val="clear" w:fill="FFFFFF" w:themeFill="background1"/>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如项目经理（以及备选人，如有）和项目总工（以及备选人，如有）目前仍在其他项目上任职，则投标人应按投标函的格式承诺上述人员能够从该项目撤离。</w:t>
            </w:r>
          </w:p>
        </w:tc>
      </w:tr>
      <w:tr w14:paraId="6B5B4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5C76BAF">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3.5.7</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6D60A4B">
            <w:pPr>
              <w:widowControl/>
              <w:shd w:val="clear" w:fill="FFFFFF" w:themeFill="background1"/>
              <w:jc w:val="left"/>
              <w:rPr>
                <w:b/>
                <w:color w:val="auto"/>
                <w:highlight w:val="none"/>
              </w:rPr>
            </w:pPr>
            <w:r>
              <w:rPr>
                <w:rFonts w:hint="eastAsia" w:ascii="宋体" w:hAnsi="宋体" w:cs="宋体"/>
                <w:b/>
                <w:color w:val="auto"/>
                <w:kern w:val="0"/>
                <w:sz w:val="20"/>
                <w:szCs w:val="20"/>
                <w:highlight w:val="none"/>
              </w:rPr>
              <w:t xml:space="preserve">删除原 3.5.7 项内容，修改如下： </w:t>
            </w:r>
          </w:p>
          <w:p w14:paraId="311EEA39">
            <w:pPr>
              <w:widowControl/>
              <w:shd w:val="clear" w:fill="FFFFFF" w:themeFill="background1"/>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“拟投入本标段的主要设备表”（如有）应按本章附录7备注要求承诺。</w:t>
            </w:r>
          </w:p>
        </w:tc>
      </w:tr>
      <w:tr w14:paraId="31D9E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99DF5C4">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3.7</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DA70497">
            <w:pPr>
              <w:pStyle w:val="57"/>
              <w:shd w:val="clear" w:fill="FFFFFF" w:themeFill="background1"/>
              <w:spacing w:line="380" w:lineRule="exact"/>
              <w:jc w:val="both"/>
              <w:rPr>
                <w:rFonts w:ascii="宋体" w:hAnsi="宋体" w:cs="宋体"/>
                <w:b/>
                <w:color w:val="auto"/>
                <w:kern w:val="2"/>
                <w:sz w:val="21"/>
                <w:szCs w:val="21"/>
                <w:highlight w:val="none"/>
              </w:rPr>
            </w:pPr>
            <w:r>
              <w:rPr>
                <w:rFonts w:hint="eastAsia" w:ascii="宋体" w:hAnsi="宋体" w:cs="宋体"/>
                <w:b/>
                <w:color w:val="auto"/>
                <w:sz w:val="21"/>
                <w:szCs w:val="21"/>
                <w:highlight w:val="none"/>
              </w:rPr>
              <w:t>删除原 3.7.4、3.7.5项内容，修改如下：</w:t>
            </w:r>
          </w:p>
          <w:p w14:paraId="48B90456">
            <w:pPr>
              <w:pStyle w:val="57"/>
              <w:shd w:val="clear" w:fill="FFFFFF" w:themeFill="background1"/>
              <w:spacing w:line="380" w:lineRule="exact"/>
              <w:ind w:firstLine="420" w:firstLineChars="200"/>
              <w:jc w:val="both"/>
              <w:rPr>
                <w:rFonts w:ascii="宋体" w:hAnsi="宋体" w:cs="宋体"/>
                <w:color w:val="auto"/>
                <w:sz w:val="21"/>
                <w:szCs w:val="21"/>
                <w:highlight w:val="none"/>
              </w:rPr>
            </w:pPr>
            <w:r>
              <w:rPr>
                <w:rFonts w:hint="eastAsia" w:ascii="宋体" w:hAnsi="宋体" w:cs="宋体"/>
                <w:color w:val="auto"/>
                <w:kern w:val="2"/>
                <w:sz w:val="21"/>
                <w:szCs w:val="21"/>
                <w:highlight w:val="none"/>
              </w:rPr>
              <w:t>3.7.4</w:t>
            </w:r>
            <w:r>
              <w:rPr>
                <w:rFonts w:hint="eastAsia" w:ascii="宋体" w:hAnsi="宋体" w:cs="宋体"/>
                <w:color w:val="auto"/>
                <w:sz w:val="21"/>
                <w:szCs w:val="21"/>
                <w:highlight w:val="none"/>
              </w:rPr>
              <w:t>本项目采用全流程电子投标，不需要提交纸质版的投标文件</w:t>
            </w:r>
            <w:r>
              <w:rPr>
                <w:rFonts w:hint="eastAsia" w:ascii="宋体" w:hAnsi="宋体" w:cs="宋体"/>
                <w:color w:val="auto"/>
                <w:kern w:val="2"/>
                <w:sz w:val="21"/>
                <w:szCs w:val="21"/>
                <w:highlight w:val="none"/>
              </w:rPr>
              <w:t>，投标单位没有成功</w:t>
            </w:r>
            <w:r>
              <w:rPr>
                <w:rFonts w:hint="eastAsia" w:ascii="宋体" w:hAnsi="宋体" w:cs="宋体"/>
                <w:bCs/>
                <w:color w:val="auto"/>
                <w:sz w:val="21"/>
                <w:szCs w:val="21"/>
                <w:highlight w:val="none"/>
              </w:rPr>
              <w:t>完成电子投标（包括缴纳投标保证金）</w:t>
            </w:r>
            <w:r>
              <w:rPr>
                <w:rFonts w:hint="eastAsia" w:ascii="宋体" w:hAnsi="宋体" w:cs="宋体"/>
                <w:color w:val="auto"/>
                <w:kern w:val="2"/>
                <w:sz w:val="21"/>
                <w:szCs w:val="21"/>
                <w:highlight w:val="none"/>
              </w:rPr>
              <w:t>，则视为无效，按无效标书处理。</w:t>
            </w:r>
          </w:p>
        </w:tc>
      </w:tr>
      <w:tr w14:paraId="3646A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B579ECC">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szCs w:val="21"/>
                <w:highlight w:val="none"/>
              </w:rPr>
              <w:t>4.1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F360D6D">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 4.1 项内容修改如下：</w:t>
            </w:r>
          </w:p>
          <w:p w14:paraId="6A7278EE">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kern w:val="0"/>
                <w:szCs w:val="21"/>
                <w:highlight w:val="none"/>
              </w:rPr>
              <w:t>本项目采用全流程电子投标，不需要提交纸质版的投标文件。投标单位</w:t>
            </w:r>
            <w:r>
              <w:rPr>
                <w:rFonts w:hint="eastAsia" w:ascii="宋体" w:hAnsi="宋体" w:cs="Arial"/>
                <w:color w:val="auto"/>
                <w:szCs w:val="21"/>
                <w:highlight w:val="none"/>
              </w:rPr>
              <w:t>中标后须提交</w:t>
            </w:r>
            <w:r>
              <w:rPr>
                <w:rFonts w:hint="eastAsia" w:ascii="宋体" w:hAnsi="宋体" w:cs="宋体"/>
                <w:bCs/>
                <w:color w:val="auto"/>
                <w:kern w:val="0"/>
                <w:szCs w:val="21"/>
                <w:highlight w:val="none"/>
              </w:rPr>
              <w:t>一正两副的纸质版投标文件。</w:t>
            </w:r>
          </w:p>
        </w:tc>
      </w:tr>
      <w:tr w14:paraId="21CE5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97F956E">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szCs w:val="21"/>
                <w:highlight w:val="none"/>
              </w:rPr>
              <w:t>4.2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A4F95EF">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 4.2 项内容修改如下：</w:t>
            </w:r>
          </w:p>
          <w:p w14:paraId="072A6F41">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kern w:val="0"/>
                <w:szCs w:val="21"/>
                <w:highlight w:val="none"/>
              </w:rPr>
              <w:t>本项目采用全流程电子投标，不需要提交纸质版的投标文件。投标人应在规定的截止时间前登录建设工程交易平台完成电子投标（包括缴纳投标保证金），方为有效投标。</w:t>
            </w:r>
          </w:p>
        </w:tc>
      </w:tr>
      <w:tr w14:paraId="4405E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326C600">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szCs w:val="21"/>
                <w:highlight w:val="none"/>
              </w:rPr>
              <w:t>4.3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F00E3F1">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 4.3 项内容修改如下：</w:t>
            </w:r>
          </w:p>
          <w:p w14:paraId="1B391B0B">
            <w:pPr>
              <w:shd w:val="clear" w:fill="FFFFFF" w:themeFill="background1"/>
              <w:spacing w:line="38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4.3电子投标文件的修改、撤回：</w:t>
            </w:r>
          </w:p>
          <w:p w14:paraId="6BCA783D">
            <w:pPr>
              <w:shd w:val="clear" w:fill="FFFFFF" w:themeFill="background1"/>
              <w:spacing w:line="38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tc>
      </w:tr>
      <w:tr w14:paraId="48A74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F9497A2">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szCs w:val="21"/>
                <w:highlight w:val="none"/>
              </w:rPr>
              <w:t>5.1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6EFDA08E">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 5.1 项内容修改如下：</w:t>
            </w:r>
          </w:p>
          <w:p w14:paraId="3418844D">
            <w:pPr>
              <w:shd w:val="clear" w:fill="FFFFFF" w:themeFill="background1"/>
              <w:spacing w:line="38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5.1开标时间和地点</w:t>
            </w:r>
          </w:p>
          <w:p w14:paraId="0E54F08A">
            <w:pPr>
              <w:shd w:val="clear" w:fill="FFFFFF" w:themeFill="background1"/>
              <w:spacing w:line="380" w:lineRule="exact"/>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投标人无须进行现场签到，可登录交易平台及时观看开标实况、提出异议或进行澄清、确认等操作，具体详见招标文件和投标人操作指南为准。投标人未及时观看开标实况的，视其默认开标结果，以及放弃在开标期间见证、澄清、确认、监督、投诉、申辩的权利。</w:t>
            </w:r>
          </w:p>
        </w:tc>
      </w:tr>
      <w:tr w14:paraId="32D68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F119DE5">
            <w:pPr>
              <w:shd w:val="clear" w:fill="FFFFFF" w:themeFill="background1"/>
              <w:jc w:val="center"/>
              <w:rPr>
                <w:rFonts w:ascii="宋体" w:hAnsi="宋体" w:cs="宋体"/>
                <w:bCs/>
                <w:color w:val="auto"/>
                <w:szCs w:val="21"/>
                <w:highlight w:val="none"/>
              </w:rPr>
            </w:pPr>
            <w:r>
              <w:rPr>
                <w:rFonts w:hint="eastAsia" w:ascii="宋体" w:hAnsi="宋体" w:cs="宋体"/>
                <w:bCs/>
                <w:color w:val="auto"/>
                <w:szCs w:val="21"/>
                <w:highlight w:val="none"/>
              </w:rPr>
              <w:t>5.2.1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5EBE3DA">
            <w:pPr>
              <w:shd w:val="clear" w:fill="FFFFFF" w:themeFill="background1"/>
              <w:spacing w:line="276" w:lineRule="auto"/>
              <w:rPr>
                <w:rFonts w:ascii="宋体" w:hAnsi="宋体" w:cs="宋体"/>
                <w:b/>
                <w:color w:val="auto"/>
                <w:szCs w:val="21"/>
                <w:highlight w:val="none"/>
              </w:rPr>
            </w:pPr>
            <w:r>
              <w:rPr>
                <w:rFonts w:hint="eastAsia" w:ascii="宋体" w:hAnsi="宋体" w:cs="宋体"/>
                <w:b/>
                <w:color w:val="auto"/>
                <w:szCs w:val="21"/>
                <w:highlight w:val="none"/>
              </w:rPr>
              <w:t>删除投标人须知正文第5.2.1（4）款，并对序号进行修改。</w:t>
            </w:r>
          </w:p>
          <w:p w14:paraId="4613FDB2">
            <w:pPr>
              <w:shd w:val="clear" w:fill="FFFFFF" w:themeFill="background1"/>
              <w:spacing w:line="276"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投标人须知正文第5.2.1（5）款修改为：</w:t>
            </w:r>
          </w:p>
          <w:p w14:paraId="1281BA36">
            <w:pPr>
              <w:shd w:val="clear" w:fill="FFFFFF" w:themeFill="background1"/>
              <w:spacing w:line="276"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主持人组织，在交易场所工作人员的见证下，招标代理机构对投标人的电子投标信息进行解密，解密成功后查看各投标人投标保证金缴纳情况及第一个信封（商务及技术文件）开标一览表。</w:t>
            </w:r>
          </w:p>
        </w:tc>
      </w:tr>
      <w:tr w14:paraId="27430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E465377">
            <w:pPr>
              <w:shd w:val="clear" w:fill="FFFFFF" w:themeFill="background1"/>
              <w:jc w:val="center"/>
              <w:rPr>
                <w:rFonts w:ascii="宋体" w:hAnsi="宋体" w:cs="宋体"/>
                <w:bCs/>
                <w:color w:val="auto"/>
                <w:szCs w:val="21"/>
                <w:highlight w:val="none"/>
              </w:rPr>
            </w:pPr>
            <w:r>
              <w:rPr>
                <w:rFonts w:hint="eastAsia" w:ascii="宋体" w:hAnsi="宋体" w:cs="宋体"/>
                <w:bCs/>
                <w:color w:val="auto"/>
                <w:szCs w:val="21"/>
                <w:highlight w:val="none"/>
              </w:rPr>
              <w:t>5.2.2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B680830">
            <w:pPr>
              <w:shd w:val="clear" w:fill="FFFFFF" w:themeFill="background1"/>
              <w:jc w:val="left"/>
              <w:rPr>
                <w:rFonts w:ascii="宋体" w:hAnsi="宋体" w:cs="宋体"/>
                <w:b/>
                <w:color w:val="auto"/>
                <w:szCs w:val="21"/>
                <w:highlight w:val="none"/>
              </w:rPr>
            </w:pPr>
            <w:r>
              <w:rPr>
                <w:rFonts w:hint="eastAsia" w:ascii="宋体" w:hAnsi="宋体" w:cs="宋体"/>
                <w:b/>
                <w:color w:val="auto"/>
                <w:szCs w:val="21"/>
                <w:highlight w:val="none"/>
              </w:rPr>
              <w:t>投标人须知正文 5.2.2项内容修改如下：</w:t>
            </w:r>
          </w:p>
          <w:p w14:paraId="2C553C01">
            <w:pPr>
              <w:shd w:val="clear" w:fill="FFFFFF" w:themeFill="background1"/>
              <w:jc w:val="left"/>
              <w:rPr>
                <w:rFonts w:ascii="宋体" w:hAnsi="宋体" w:cs="宋体"/>
                <w:bCs/>
                <w:color w:val="auto"/>
                <w:szCs w:val="21"/>
                <w:highlight w:val="none"/>
              </w:rPr>
            </w:pPr>
            <w:r>
              <w:rPr>
                <w:rFonts w:hint="eastAsia" w:ascii="宋体" w:hAnsi="宋体" w:cs="宋体"/>
                <w:bCs/>
                <w:color w:val="auto"/>
                <w:szCs w:val="21"/>
                <w:highlight w:val="none"/>
              </w:rPr>
              <w:t>5.2.2  在投标文件第一个信封（商务及技术文件）开标现场，投标文件第二个信封（报价文件）不予开标。</w:t>
            </w:r>
          </w:p>
        </w:tc>
      </w:tr>
      <w:tr w14:paraId="7B2F9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70A767B">
            <w:pPr>
              <w:shd w:val="clear" w:fill="FFFFFF" w:themeFill="background1"/>
              <w:jc w:val="center"/>
              <w:rPr>
                <w:rFonts w:ascii="宋体" w:hAnsi="宋体" w:cs="宋体"/>
                <w:bCs/>
                <w:color w:val="auto"/>
                <w:szCs w:val="21"/>
                <w:highlight w:val="none"/>
              </w:rPr>
            </w:pPr>
            <w:r>
              <w:rPr>
                <w:rFonts w:hint="eastAsia" w:ascii="宋体" w:hAnsi="宋体" w:cs="宋体"/>
                <w:bCs/>
                <w:color w:val="auto"/>
                <w:szCs w:val="21"/>
                <w:highlight w:val="none"/>
              </w:rPr>
              <w:t>5.2.3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6EC1553">
            <w:pPr>
              <w:shd w:val="clear" w:fill="FFFFFF" w:themeFill="background1"/>
              <w:spacing w:line="276" w:lineRule="auto"/>
              <w:ind w:firstLine="420"/>
              <w:rPr>
                <w:rFonts w:ascii="宋体" w:hAnsi="宋体" w:cs="宋体"/>
                <w:bCs/>
                <w:color w:val="auto"/>
                <w:szCs w:val="21"/>
                <w:highlight w:val="none"/>
              </w:rPr>
            </w:pPr>
            <w:r>
              <w:rPr>
                <w:rFonts w:hint="eastAsia" w:ascii="宋体" w:hAnsi="宋体" w:cs="宋体"/>
                <w:bCs/>
                <w:color w:val="auto"/>
                <w:szCs w:val="21"/>
                <w:highlight w:val="none"/>
              </w:rPr>
              <w:t>删除投标人须知正文第5.2.3（4）和（7）款，并对序号进行修改。</w:t>
            </w:r>
          </w:p>
        </w:tc>
      </w:tr>
      <w:tr w14:paraId="1849A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1F8D723">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EC580FA">
            <w:pPr>
              <w:pStyle w:val="57"/>
              <w:shd w:val="clear" w:fill="FFFFFF" w:themeFill="background1"/>
              <w:spacing w:line="380" w:lineRule="exact"/>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投标人须知正文6.1.2 项末增加如下内容：</w:t>
            </w:r>
          </w:p>
          <w:p w14:paraId="2B5F33C6">
            <w:pPr>
              <w:pStyle w:val="57"/>
              <w:shd w:val="clear" w:fill="FFFFFF" w:themeFill="background1"/>
              <w:spacing w:line="380" w:lineRule="exact"/>
              <w:jc w:val="both"/>
              <w:rPr>
                <w:rFonts w:ascii="宋体" w:hAnsi="宋体" w:cs="宋体"/>
                <w:color w:val="auto"/>
                <w:kern w:val="2"/>
                <w:sz w:val="21"/>
                <w:szCs w:val="21"/>
                <w:highlight w:val="none"/>
              </w:rPr>
            </w:pPr>
            <w:r>
              <w:rPr>
                <w:rFonts w:hint="eastAsia" w:ascii="宋体" w:hAnsi="宋体" w:cs="宋体"/>
                <w:color w:val="auto"/>
                <w:sz w:val="21"/>
                <w:szCs w:val="21"/>
                <w:highlight w:val="none"/>
              </w:rPr>
              <w:t xml:space="preserve">    招标人及其子公司、招标人下属单位、招标人的上级主管部门或者控股公司、招标代理机构的工作人员或者退休人员不得以专家身份参与本单位招标或者招标代理项目的评标。</w:t>
            </w:r>
          </w:p>
        </w:tc>
      </w:tr>
      <w:tr w14:paraId="69064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C2C09B8">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7.8.6</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C841A5B">
            <w:pPr>
              <w:pStyle w:val="80"/>
              <w:shd w:val="clear" w:fill="FFFFFF" w:themeFill="background1"/>
              <w:spacing w:before="6" w:line="380" w:lineRule="exact"/>
              <w:ind w:right="134"/>
              <w:rPr>
                <w:rFonts w:ascii="宋体" w:hAnsi="宋体" w:cs="宋体"/>
                <w:b/>
                <w:bCs/>
                <w:color w:val="auto"/>
                <w:kern w:val="0"/>
                <w:szCs w:val="21"/>
                <w:highlight w:val="none"/>
              </w:rPr>
            </w:pPr>
            <w:r>
              <w:rPr>
                <w:rFonts w:hint="eastAsia" w:ascii="宋体" w:hAnsi="宋体" w:cs="宋体"/>
                <w:b/>
                <w:bCs/>
                <w:color w:val="auto"/>
                <w:kern w:val="0"/>
                <w:szCs w:val="21"/>
                <w:highlight w:val="none"/>
              </w:rPr>
              <w:t>增加 7.8.6 项“不平衡报价的处理”：</w:t>
            </w:r>
          </w:p>
          <w:p w14:paraId="7CA97BA0">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中标人如果存在不平衡报价，招标人可以在保证投标总价不变的前提下予以合理调整，中标人应无条件接受。不平衡报价处理的具体条款如下：</w:t>
            </w:r>
          </w:p>
          <w:p w14:paraId="404242AC">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在签订合同前，招标人组织人员对中标人的工程量清单报价进行审核：</w:t>
            </w:r>
          </w:p>
          <w:p w14:paraId="1B135B29">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（1）若中标人的工程量清单报价，超过如下范围：招标人招标清单预算相应单价与（1-中标人中标价下浮率）乘积的 85 %～ 115 %，则视为存在不平衡报价。</w:t>
            </w:r>
          </w:p>
          <w:p w14:paraId="166AC87C">
            <w:pPr>
              <w:pStyle w:val="80"/>
              <w:shd w:val="clear" w:fill="FFFFFF" w:themeFill="background1"/>
              <w:spacing w:before="6" w:line="380" w:lineRule="exact"/>
              <w:ind w:right="134"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如果存在不平衡报价，招标人将在保证投标总价不变的前提下，按以下原则调整其工程量清单报价（不随报价调整的除外）：（1）招标人招标清单预算相应单价×（1-中标人中标价下浮率）为基准进行调整；（2）按上述算术修正和本款调整后，对以百分比计取的非固定报价项目的报价也应作相应的修正。</w:t>
            </w:r>
          </w:p>
          <w:p w14:paraId="6C76F692">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（2）为使调整后的投标总价保持不变，对处于招标人招标清单预算相应单价与（1- 中标人中标价下浮率）乘积的 85 %～ 115 %内的报价，招标人有权根据本项第（1）条调整原则进行报价调整。</w:t>
            </w:r>
          </w:p>
          <w:p w14:paraId="71A91C8E">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中标人中标价下浮率指中标人中标价较造价管理部门核备的清单预算之下浮比例。</w:t>
            </w:r>
          </w:p>
        </w:tc>
      </w:tr>
      <w:tr w14:paraId="33A22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BC34879">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8.5</w:t>
            </w:r>
          </w:p>
        </w:tc>
        <w:tc>
          <w:tcPr>
            <w:tcW w:w="9259" w:type="dxa"/>
            <w:gridSpan w:val="2"/>
            <w:tcBorders>
              <w:top w:val="single" w:color="auto" w:sz="4" w:space="0"/>
              <w:left w:val="single" w:color="auto" w:sz="2" w:space="0"/>
              <w:bottom w:val="single" w:color="auto" w:sz="4" w:space="0"/>
              <w:right w:val="single" w:color="auto" w:sz="12" w:space="0"/>
            </w:tcBorders>
          </w:tcPr>
          <w:p w14:paraId="09FB8B80">
            <w:pPr>
              <w:pStyle w:val="57"/>
              <w:shd w:val="clear" w:fill="FFFFFF" w:themeFill="background1"/>
              <w:spacing w:line="380" w:lineRule="exact"/>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投标人须知范本原文第 8.5.1 项细化如下：</w:t>
            </w:r>
          </w:p>
          <w:p w14:paraId="117948D9">
            <w:pPr>
              <w:pStyle w:val="57"/>
              <w:shd w:val="clear" w:fill="FFFFFF" w:themeFill="background1"/>
              <w:spacing w:line="380" w:lineRule="exact"/>
              <w:ind w:firstLine="630" w:firstLineChars="300"/>
              <w:jc w:val="left"/>
              <w:rPr>
                <w:rFonts w:ascii="宋体" w:hAnsi="宋体" w:cs="宋体"/>
                <w:color w:val="auto"/>
                <w:kern w:val="2"/>
                <w:sz w:val="21"/>
                <w:szCs w:val="21"/>
                <w:highlight w:val="none"/>
              </w:rPr>
            </w:pPr>
            <w:r>
              <w:rPr>
                <w:rFonts w:hint="eastAsia" w:ascii="宋体" w:hAnsi="宋体" w:cs="宋体"/>
                <w:color w:val="auto"/>
                <w:sz w:val="21"/>
                <w:szCs w:val="21"/>
                <w:highlight w:val="none"/>
              </w:rPr>
              <w:t>8.5.1 投标人或其他利害关系人认为招标投标活动不符合法律、行政法规规定的，可以自知道或应当知道之日起 10 日内向交通运输主管部门投诉。对于按法规规定应先提出异议的事项进行投诉的，应当提交已提出异议的证明文件。未按规定提出异议或者未提交已提出异议的证明文件的投诉，交通运输主管部门可以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交通运输主管部门处理投诉，有权查阅、复制有关文件、资料，调查有关情况，相关单位和人员应当予以配合。必要时，交通运输主管部门可以责令暂停招标投标活动。</w:t>
            </w:r>
          </w:p>
        </w:tc>
      </w:tr>
      <w:tr w14:paraId="1D226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58E1652">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10.1</w:t>
            </w:r>
          </w:p>
        </w:tc>
        <w:tc>
          <w:tcPr>
            <w:tcW w:w="9259" w:type="dxa"/>
            <w:gridSpan w:val="2"/>
            <w:tcBorders>
              <w:top w:val="single" w:color="auto" w:sz="4" w:space="0"/>
              <w:left w:val="single" w:color="auto" w:sz="2" w:space="0"/>
              <w:bottom w:val="single" w:color="auto" w:sz="4" w:space="0"/>
              <w:right w:val="single" w:color="auto" w:sz="12" w:space="0"/>
            </w:tcBorders>
          </w:tcPr>
          <w:p w14:paraId="26852EEB">
            <w:pPr>
              <w:pStyle w:val="57"/>
              <w:shd w:val="clear" w:fill="FFFFFF" w:themeFill="background1"/>
              <w:spacing w:line="380" w:lineRule="exact"/>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在 10.1 款后增加如下条款：10.2 款、10.3 款、10.4 款、10.5 款、10.6 款、10.7、10.8 款、10.9 款。</w:t>
            </w:r>
          </w:p>
          <w:p w14:paraId="55DEDBBB">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 信用等级的确定原则：</w:t>
            </w:r>
          </w:p>
          <w:p w14:paraId="5F0AD76A">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10.2.1 招标文件中的信用等级指的是广东省交通运输厅最新年度的信用评价。如无广东省最新年度信用等级而有上一年度广东省信用等级的，则其原信用等级可延续一年，但在递交资审申请文件（资格后审的为投标文件）时信用等级的使用次数应按上一年度公布的信用评价结果顺延上一年度的使用次数。具体使用次数有关规定如下：</w:t>
            </w:r>
          </w:p>
          <w:p w14:paraId="1F81C6E6">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1.对于信用等级为 AA 级的从业单位:</w:t>
            </w:r>
          </w:p>
          <w:p w14:paraId="29BE2CAB">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(1)仅最新一年度信用等级为 AA 级的从业单位在参加广东省公路工程建设项目投标活动（以递交资格预审申请文件或资格后审递交投标文件时间为准）时，可申请使用 AA 级分值 8 次，用完 8 次后信用等级分值将按 A 级分值取定；</w:t>
            </w:r>
          </w:p>
          <w:p w14:paraId="696DDA1B">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(2)连续最近两个年度信用等级为 AA 级的单位在参加广东省公路工程投标活动（以递交资格预审申请文件或资格后审递交投标文件时间为准）时，可申请使用 AA级分值 12 次，用完 12 次后信用等级分值将按 A 级取定；</w:t>
            </w:r>
          </w:p>
          <w:p w14:paraId="106B98B5">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2.对于信用等级为 A 级的从业单位:当年度信用等级 A 级单位在参加广东省公路工程建设项目招投标活动（以递交资格预审申请文件或资格后审递交投标文件时间为准）时，可申请使用 A 级分值 12 次，用完 12 次后信用等级分值将按 B 级分值取定。</w:t>
            </w:r>
          </w:p>
          <w:p w14:paraId="2FFAD91A">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3.当年度信用等级为 AA、A 级的从业单位未承诺使用的信用等级分值的，AA 级信用等级企业按 A 级对待、A 级信用等级企业按 B 级对待。</w:t>
            </w:r>
          </w:p>
          <w:p w14:paraId="1244D940">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4.若从业企业在信用评价年度信用等级由 AA 降级为 A 级时，AA 级信用等级已使用次数纳入 A 级信用等级使用次数合并累计。</w:t>
            </w:r>
          </w:p>
          <w:p w14:paraId="2B89B407">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10.2.2 信用等级延续 1 年后仍无信用评价等级的，按照初次进入广东省确定，原则上按 B 级对待，但下列情况除外：最新年度的全国公路从业单位（施工单位）信用评价结果为 C 级或 D 级的，则按最新年度的全国公路从业单位（施工单位）信用评价结果对待；或最新年度的全国公路从业单位（施工单位）信用评价结果未被评为 C级或 D 级的，但在广东省最近年度原评价等级为 D 级的，则按 C 级对待。</w:t>
            </w:r>
          </w:p>
          <w:p w14:paraId="2406BF81">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10.2.3 AA、A 级单位是指使用广东省信用评价等级申请承诺书的单位。提交申请承诺书未使用 AA、A 时，在评标过程中，AA 级信用等级企业按 A 级对待、A 级信用等级企业按 B 级对待。（注：属于资格预审项目的，以资格预审申请文件的为准。当出现跨年度信用等级时，以投标人资格预审时申请使用信用等级与投标文件递交截止日的信用等级作比较，按“就低原则”认定等级，即降低等级的按低等级认定、升高等级的仍维持资审时的申请等级。）</w:t>
            </w:r>
          </w:p>
          <w:p w14:paraId="66A12482">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10.2.4 在招标评标中，信用评价等级采用按次、按标段或标类（指资格预审时未明确具体标段的情形）申请使用的原则，即在同一次招标中的多个标段的投标，可对其中部分或全部标段申请使用 AA 或 A 级信用等级，无论中标与否，均应根据递交投标（或申请）文件情况按标段计算使用次数（非投标人原因导致招标失败的情况除外）。</w:t>
            </w:r>
          </w:p>
          <w:p w14:paraId="6D64A4BE">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10.2.5 招标项目为一个标段类别时，投标人以联合体形式投标的，信用等级以联合体中信用等级较低的为准。</w:t>
            </w:r>
          </w:p>
          <w:p w14:paraId="2618D045">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10.2.6 如招标内容包含了多个标段类别（如机电工程+交通安全设施工程类），招标项目的资质条件设置不止一个资质时投标人的信用等级认定原则：</w:t>
            </w:r>
          </w:p>
          <w:p w14:paraId="547DBF98">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就低不就高模式：</w:t>
            </w:r>
          </w:p>
          <w:p w14:paraId="5C7B7E1A">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独立投标的，按各类别招标内容相对应的投标人的信用等级，按就低不就高的原则确定投标人的最终信用等级得分；以联合体形式投标的，联合体成员按联合体协议书中约定承担的专业工程对应相应的信用等级按就低不就高的原则确定投标人的最终信用等级得分。</w:t>
            </w:r>
          </w:p>
          <w:p w14:paraId="1B8B2411">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举例：招标文件约定的机电工程所占的比例为 70%，交通安全设施工程所占的比例为30%，联合体形式投标的情形：单位甲为机电专业，其信用等级分值为机电工程A 级，单位乙为交通安全设施工程专业，其信用等级分值为交通安全设施工程 B 级。结合招标文件中约定的信用等级 A 级对应分值为 4.75 分，B 级对应分值为 4.45 分，则按方法一计算的联合体信用等级分值为：4.45 分。</w:t>
            </w:r>
          </w:p>
          <w:p w14:paraId="6FDF85B1">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14:paraId="086278E3">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10.4 如果开标后至中标通知书发出前，第一中标候选人发生投标人须知 1.4.4（1）至（7）的情形及中标候选人信用等级被广东省交通运输厅直接降为 D 级的情形，则取消其中标资格，招标人按推荐中标候选人排名顺序依次确定中标人，或重新组织招标。</w:t>
            </w:r>
          </w:p>
          <w:p w14:paraId="0044E464">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10.5 本招标文件中所有“类似工程”均指</w:t>
            </w:r>
            <w:r>
              <w:rPr>
                <w:rFonts w:hint="eastAsia" w:ascii="宋体" w:hAnsi="宋体" w:cs="宋体"/>
                <w:b/>
                <w:color w:val="auto"/>
                <w:sz w:val="21"/>
                <w:szCs w:val="21"/>
                <w:highlight w:val="none"/>
                <w:u w:val="single"/>
                <w:lang w:eastAsia="zh-CN"/>
              </w:rPr>
              <w:t>新建或改、扩建、路面改造</w:t>
            </w:r>
            <w:r>
              <w:rPr>
                <w:rFonts w:hint="eastAsia" w:ascii="宋体" w:hAnsi="宋体" w:cs="宋体"/>
                <w:b/>
                <w:color w:val="auto"/>
                <w:sz w:val="21"/>
                <w:szCs w:val="21"/>
                <w:highlight w:val="none"/>
                <w:u w:val="single"/>
              </w:rPr>
              <w:t>四级以上（含四级）</w:t>
            </w:r>
            <w:r>
              <w:rPr>
                <w:rFonts w:hint="eastAsia" w:ascii="宋体" w:hAnsi="宋体" w:cs="宋体"/>
                <w:color w:val="auto"/>
                <w:sz w:val="21"/>
                <w:szCs w:val="21"/>
                <w:highlight w:val="none"/>
              </w:rPr>
              <w:t>公路施工项目。在采用新建公路项目完工业绩时，对于同公路等级改、扩建中的新建桥梁或隧道工程业绩也应认可。</w:t>
            </w:r>
          </w:p>
          <w:p w14:paraId="42A495A3">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 有关业绩的说明</w:t>
            </w:r>
          </w:p>
          <w:p w14:paraId="21BDEE7D">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10.6.1</w:t>
            </w:r>
          </w:p>
          <w:p w14:paraId="188D9DEF">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a、特大桥及大桥按国家最新颁布的标准进行划分；</w:t>
            </w:r>
          </w:p>
          <w:p w14:paraId="01E068E0">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b、完成整座桥梁的半幅或整座桥梁其中的一部分工作内容达到特大桥或大桥对应技术标准的，按相应标段标准以座计算；</w:t>
            </w:r>
          </w:p>
          <w:p w14:paraId="04F5AAE3">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c、同一投标人的单座桥梁仅能计一次，只完成整个工程部分分部工程不参与计算业绩。</w:t>
            </w:r>
          </w:p>
          <w:p w14:paraId="1DD2509C">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10.6.2</w:t>
            </w:r>
          </w:p>
          <w:p w14:paraId="1810562F">
            <w:pPr>
              <w:pStyle w:val="57"/>
              <w:numPr>
                <w:ilvl w:val="0"/>
                <w:numId w:val="7"/>
              </w:numPr>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特长隧道：单座隧道单洞（即左洞加右洞）总长大于 6000m 的，或完成单座隧道的一部分且该部分的单洞累计长度大于 6000m 的，均按 1 座计；完成单座特长隧道的一部分，该部分单洞累计长度大于 3000m 且不大于 6000m 的，按 0.5 座计，完成 N 座该类隧道按 N×0.5 座计；</w:t>
            </w:r>
          </w:p>
          <w:p w14:paraId="3E23D788">
            <w:pPr>
              <w:pStyle w:val="57"/>
              <w:numPr>
                <w:ilvl w:val="0"/>
                <w:numId w:val="7"/>
              </w:numPr>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长隧道：单座隧道单洞（即左洞加右洞）总长大于 2000 米且不大于 6000 米的，或完成单座隧道的一部分且该部分的单洞累计长度大于2000 米且不大于6000 米的，均按 1 座计；</w:t>
            </w:r>
          </w:p>
          <w:p w14:paraId="5D71C42D">
            <w:pPr>
              <w:pStyle w:val="57"/>
              <w:numPr>
                <w:ilvl w:val="0"/>
                <w:numId w:val="7"/>
              </w:numPr>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同一座隧道同时满足条件的，同一投标人只计算一次业绩；特长隧道可计为长隧道。</w:t>
            </w:r>
          </w:p>
          <w:p w14:paraId="25E67FAD">
            <w:pPr>
              <w:pStyle w:val="57"/>
              <w:shd w:val="clear" w:fill="FFFFFF" w:themeFill="background1"/>
              <w:spacing w:line="380" w:lineRule="exact"/>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10.7 招标文件中如无特别说明，业绩里程累计长度均不扣除桥隧等构造物长度。</w:t>
            </w:r>
          </w:p>
          <w:p w14:paraId="02AD45D0">
            <w:pPr>
              <w:pStyle w:val="57"/>
              <w:shd w:val="clear" w:fill="FFFFFF" w:themeFill="background1"/>
              <w:spacing w:line="380" w:lineRule="exact"/>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10.8 若投标人在递交投标文件期间，出现采取不正当手段妨碍其他投标人投标的过激行为，或出现在开标会现场扰乱招投标市场秩序的行为，招标人有权将投标人此行为上报省级交通主管部门，作为不良记录纳入</w:t>
            </w:r>
            <w:r>
              <w:rPr>
                <w:rFonts w:hint="eastAsia" w:ascii="宋体" w:hAnsi="宋体" w:cs="宋体"/>
                <w:color w:val="auto"/>
                <w:sz w:val="21"/>
                <w:szCs w:val="21"/>
                <w:highlight w:val="none"/>
                <w:lang w:eastAsia="zh-CN"/>
              </w:rPr>
              <w:t>公路建设市场监督管理系统</w:t>
            </w:r>
            <w:r>
              <w:rPr>
                <w:rFonts w:hint="eastAsia" w:ascii="宋体" w:hAnsi="宋体" w:cs="宋体"/>
                <w:color w:val="auto"/>
                <w:sz w:val="21"/>
                <w:szCs w:val="21"/>
                <w:highlight w:val="none"/>
              </w:rPr>
              <w:t>。</w:t>
            </w:r>
          </w:p>
        </w:tc>
      </w:tr>
      <w:tr w14:paraId="22860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E572BA7">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9259" w:type="dxa"/>
            <w:gridSpan w:val="2"/>
            <w:tcBorders>
              <w:top w:val="single" w:color="auto" w:sz="4" w:space="0"/>
              <w:left w:val="single" w:color="auto" w:sz="2" w:space="0"/>
              <w:bottom w:val="single" w:color="auto" w:sz="4" w:space="0"/>
              <w:right w:val="single" w:color="auto" w:sz="12" w:space="0"/>
            </w:tcBorders>
          </w:tcPr>
          <w:p w14:paraId="7E34F4D0">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投标人须知正文增加第11款内容：</w:t>
            </w:r>
          </w:p>
          <w:p w14:paraId="074A9ECA">
            <w:pPr>
              <w:numPr>
                <w:ilvl w:val="0"/>
                <w:numId w:val="8"/>
              </w:numPr>
              <w:shd w:val="clear" w:fill="FFFFFF" w:themeFill="background1"/>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招标代理服务费等费用：</w:t>
            </w:r>
          </w:p>
          <w:p w14:paraId="7437DE2D">
            <w:pPr>
              <w:numPr>
                <w:ilvl w:val="0"/>
                <w:numId w:val="0"/>
              </w:num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lang w:val="en-US" w:eastAsia="zh-CN"/>
              </w:rPr>
              <w:t>参照</w:t>
            </w:r>
            <w:r>
              <w:rPr>
                <w:rFonts w:hint="eastAsia" w:ascii="宋体" w:hAnsi="宋体" w:cs="宋体"/>
                <w:color w:val="auto"/>
                <w:szCs w:val="21"/>
                <w:highlight w:val="none"/>
                <w:lang w:val="zh-CN" w:eastAsia="zh-CN"/>
              </w:rPr>
              <w:t>《招标代理服务收费管理暂行办法》计价格[2002]1980号文</w:t>
            </w:r>
            <w:r>
              <w:rPr>
                <w:rFonts w:hint="eastAsia" w:ascii="宋体" w:hAnsi="宋体" w:cs="宋体"/>
                <w:color w:val="auto"/>
                <w:szCs w:val="21"/>
                <w:highlight w:val="none"/>
                <w:lang w:val="en-US" w:eastAsia="zh-CN"/>
              </w:rPr>
              <w:t>规定的“工程类”计费标准收取招标代理服务费，</w:t>
            </w:r>
            <w:r>
              <w:rPr>
                <w:rFonts w:hint="eastAsia" w:ascii="宋体" w:hAnsi="宋体" w:cs="宋体"/>
                <w:color w:val="auto"/>
                <w:szCs w:val="21"/>
                <w:highlight w:val="none"/>
                <w:lang w:val="zh-CN" w:eastAsia="zh-CN"/>
              </w:rPr>
              <w:t>招标代理服务费由中标人支付，专家评审费按照实际发生向中标人收取</w:t>
            </w:r>
            <w:r>
              <w:rPr>
                <w:rFonts w:hint="eastAsia" w:ascii="宋体" w:hAnsi="宋体" w:cs="宋体"/>
                <w:color w:val="auto"/>
                <w:szCs w:val="21"/>
                <w:highlight w:val="none"/>
              </w:rPr>
              <w:t>。</w:t>
            </w:r>
          </w:p>
        </w:tc>
      </w:tr>
      <w:tr w14:paraId="5E25E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C5D137C">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3C825F8">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投标人须知正文增加第12款内容：</w:t>
            </w:r>
          </w:p>
          <w:p w14:paraId="7D61428A">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12电子投标及投标解密失败及突发情况的补救方案</w:t>
            </w:r>
          </w:p>
          <w:p w14:paraId="6760C7E9">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12.1按照交易平台关于全流程电子化项目的相关指南进行操作。详见全国公共资源交易平台（广东省·韶关市）发布的最新版操作指引。</w:t>
            </w:r>
          </w:p>
          <w:p w14:paraId="1ED2D2D9">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12.2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E42609C">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12.3补救方案</w:t>
            </w:r>
          </w:p>
          <w:p w14:paraId="1EEA39EB">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（1）投标文件解密失败的补救方案：</w:t>
            </w:r>
          </w:p>
          <w:p w14:paraId="7269C8EA">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0A752CB0">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（2）评标时突发情况的补救方案</w:t>
            </w:r>
          </w:p>
          <w:p w14:paraId="7F89228C">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r w14:paraId="2A265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227" w:type="dxa"/>
            <w:gridSpan w:val="3"/>
            <w:tcBorders>
              <w:top w:val="single" w:color="auto" w:sz="4" w:space="0"/>
              <w:left w:val="single" w:color="auto" w:sz="12" w:space="0"/>
              <w:bottom w:val="single" w:color="auto" w:sz="4" w:space="0"/>
              <w:right w:val="single" w:color="auto" w:sz="12" w:space="0"/>
            </w:tcBorders>
            <w:vAlign w:val="center"/>
          </w:tcPr>
          <w:p w14:paraId="20002618">
            <w:pPr>
              <w:pStyle w:val="16"/>
              <w:shd w:val="clear" w:fill="FFFFFF" w:themeFill="background1"/>
              <w:spacing w:line="3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备注：“投标人须知”前附表是“投标人须知”正文内容的补充、细化和修改，投标人应结合“投标人须知”正文与“投标人须知”前附表两部分内容仔细阅读“投标人须知”。</w:t>
            </w:r>
          </w:p>
        </w:tc>
      </w:tr>
    </w:tbl>
    <w:p w14:paraId="195A0D65">
      <w:pPr>
        <w:pStyle w:val="5"/>
        <w:shd w:val="clear" w:fill="FFFFFF" w:themeFill="background1"/>
        <w:spacing w:before="140" w:after="140" w:line="360" w:lineRule="auto"/>
        <w:jc w:val="center"/>
        <w:rPr>
          <w:rFonts w:ascii="宋体" w:hAnsi="宋体" w:cs="黑体"/>
          <w:bCs w:val="0"/>
          <w:color w:val="auto"/>
          <w:sz w:val="30"/>
          <w:szCs w:val="30"/>
          <w:highlight w:val="none"/>
        </w:rPr>
      </w:pPr>
      <w:bookmarkStart w:id="32" w:name="_Toc43475663"/>
      <w:bookmarkStart w:id="33" w:name="_Toc7714"/>
      <w:r>
        <w:rPr>
          <w:rFonts w:hint="eastAsia" w:ascii="宋体" w:hAnsi="宋体" w:cs="黑体"/>
          <w:bCs w:val="0"/>
          <w:color w:val="auto"/>
          <w:sz w:val="30"/>
          <w:szCs w:val="30"/>
          <w:highlight w:val="none"/>
        </w:rPr>
        <w:br w:type="page"/>
      </w:r>
    </w:p>
    <w:p w14:paraId="5D097080">
      <w:pPr>
        <w:pStyle w:val="5"/>
        <w:shd w:val="clear" w:fill="FFFFFF" w:themeFill="background1"/>
        <w:spacing w:before="140" w:after="140" w:line="360" w:lineRule="auto"/>
        <w:jc w:val="both"/>
        <w:rPr>
          <w:rFonts w:hint="eastAsia" w:ascii="宋体" w:hAnsi="宋体" w:cs="黑体"/>
          <w:bCs w:val="0"/>
          <w:color w:val="auto"/>
          <w:sz w:val="30"/>
          <w:szCs w:val="30"/>
          <w:highlight w:val="none"/>
        </w:rPr>
      </w:pPr>
      <w:bookmarkStart w:id="34" w:name="_Toc20937"/>
    </w:p>
    <w:p w14:paraId="397A25F7">
      <w:pPr>
        <w:pStyle w:val="5"/>
        <w:shd w:val="clear" w:fill="FFFFFF" w:themeFill="background1"/>
        <w:spacing w:before="140" w:after="140" w:line="360" w:lineRule="auto"/>
        <w:jc w:val="center"/>
        <w:rPr>
          <w:rFonts w:ascii="宋体" w:hAnsi="宋体" w:cs="黑体"/>
          <w:bCs w:val="0"/>
          <w:color w:val="auto"/>
          <w:sz w:val="30"/>
          <w:szCs w:val="30"/>
          <w:highlight w:val="none"/>
        </w:rPr>
      </w:pPr>
      <w:r>
        <w:rPr>
          <w:rFonts w:hint="eastAsia" w:ascii="宋体" w:hAnsi="宋体" w:cs="黑体"/>
          <w:bCs w:val="0"/>
          <w:color w:val="auto"/>
          <w:sz w:val="30"/>
          <w:szCs w:val="30"/>
          <w:highlight w:val="none"/>
        </w:rPr>
        <w:t>附录1  资格审查条件（资质最低要求）</w:t>
      </w:r>
      <w:bookmarkEnd w:id="34"/>
    </w:p>
    <w:tbl>
      <w:tblPr>
        <w:tblStyle w:val="43"/>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6B8D2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72" w:type="dxa"/>
            <w:vAlign w:val="center"/>
          </w:tcPr>
          <w:p w14:paraId="7B1E1A47">
            <w:pPr>
              <w:pStyle w:val="16"/>
              <w:shd w:val="clear" w:fill="FFFFFF" w:themeFill="background1"/>
              <w:jc w:val="center"/>
              <w:rPr>
                <w:rFonts w:ascii="Calibri" w:hAnsi="Calibri"/>
                <w:color w:val="auto"/>
                <w:sz w:val="24"/>
                <w:highlight w:val="none"/>
              </w:rPr>
            </w:pPr>
            <w:r>
              <w:rPr>
                <w:rFonts w:hint="eastAsia" w:ascii="宋体" w:hAnsi="宋体"/>
                <w:color w:val="auto"/>
                <w:sz w:val="24"/>
                <w:highlight w:val="none"/>
              </w:rPr>
              <w:t>施工企业资质等级要求</w:t>
            </w:r>
          </w:p>
        </w:tc>
      </w:tr>
      <w:tr w14:paraId="5AAFB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672" w:type="dxa"/>
            <w:vAlign w:val="center"/>
          </w:tcPr>
          <w:p w14:paraId="1B446641">
            <w:pPr>
              <w:pStyle w:val="16"/>
              <w:shd w:val="clear" w:fill="FFFFFF" w:themeFill="background1"/>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投标人须具备《建筑业企业资质标准》（建市[2014]159号）规定的公路工程施工总承包三级以上（含三级）资质。</w:t>
            </w:r>
          </w:p>
        </w:tc>
      </w:tr>
    </w:tbl>
    <w:p w14:paraId="50E3FBCB">
      <w:pPr>
        <w:shd w:val="clear" w:fill="FFFFFF" w:themeFill="background1"/>
        <w:rPr>
          <w:rFonts w:hint="eastAsia" w:ascii="宋体" w:hAnsi="宋体" w:cs="黑体"/>
          <w:bCs w:val="0"/>
          <w:color w:val="auto"/>
          <w:sz w:val="30"/>
          <w:szCs w:val="30"/>
          <w:highlight w:val="none"/>
        </w:rPr>
      </w:pPr>
      <w:bookmarkStart w:id="35" w:name="_Toc466575329"/>
      <w:bookmarkStart w:id="36" w:name="_Toc18853"/>
      <w:bookmarkStart w:id="37" w:name="_Toc451261208"/>
      <w:bookmarkStart w:id="38" w:name="_Toc393546205"/>
      <w:bookmarkStart w:id="39" w:name="_Toc330406140"/>
      <w:bookmarkStart w:id="40" w:name="_Toc238804055"/>
      <w:r>
        <w:rPr>
          <w:color w:val="auto"/>
          <w:highlight w:val="none"/>
        </w:rPr>
        <w:t>注：投标人应根据投标文件第二章“投标人须知”第 3.5.1 项的要求附相关证明材料。</w:t>
      </w:r>
      <w:bookmarkStart w:id="41" w:name="_Toc23973"/>
    </w:p>
    <w:p w14:paraId="3854E876">
      <w:pPr>
        <w:pStyle w:val="5"/>
        <w:shd w:val="clear" w:fill="FFFFFF" w:themeFill="background1"/>
        <w:spacing w:before="140" w:after="140" w:line="360" w:lineRule="auto"/>
        <w:jc w:val="center"/>
        <w:rPr>
          <w:rFonts w:ascii="宋体" w:hAnsi="宋体" w:cs="黑体"/>
          <w:bCs w:val="0"/>
          <w:color w:val="auto"/>
          <w:sz w:val="30"/>
          <w:szCs w:val="30"/>
          <w:highlight w:val="none"/>
        </w:rPr>
      </w:pPr>
      <w:r>
        <w:rPr>
          <w:rFonts w:hint="eastAsia" w:ascii="宋体" w:hAnsi="宋体" w:cs="黑体"/>
          <w:bCs w:val="0"/>
          <w:color w:val="auto"/>
          <w:sz w:val="30"/>
          <w:szCs w:val="30"/>
          <w:highlight w:val="none"/>
        </w:rPr>
        <w:t>附录2  资格审查条件（财务最低要求）</w:t>
      </w:r>
      <w:bookmarkEnd w:id="35"/>
      <w:bookmarkEnd w:id="36"/>
      <w:bookmarkEnd w:id="37"/>
      <w:bookmarkEnd w:id="41"/>
    </w:p>
    <w:tbl>
      <w:tblPr>
        <w:tblStyle w:val="43"/>
        <w:tblW w:w="9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14:paraId="779A1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46" w:type="dxa"/>
            <w:vAlign w:val="center"/>
          </w:tcPr>
          <w:p w14:paraId="68F51578">
            <w:pPr>
              <w:pStyle w:val="16"/>
              <w:shd w:val="clear" w:fill="FFFFFF" w:themeFill="background1"/>
              <w:spacing w:line="360" w:lineRule="auto"/>
              <w:jc w:val="center"/>
              <w:rPr>
                <w:rFonts w:ascii="Calibri" w:hAnsi="Calibri"/>
                <w:color w:val="auto"/>
                <w:sz w:val="24"/>
                <w:highlight w:val="none"/>
              </w:rPr>
            </w:pPr>
            <w:r>
              <w:rPr>
                <w:rFonts w:hint="eastAsia" w:ascii="宋体" w:hAnsi="宋体"/>
                <w:color w:val="auto"/>
                <w:sz w:val="24"/>
                <w:highlight w:val="none"/>
              </w:rPr>
              <w:t>财 务 要 求</w:t>
            </w:r>
          </w:p>
        </w:tc>
      </w:tr>
      <w:tr w14:paraId="348CE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746" w:type="dxa"/>
            <w:vAlign w:val="center"/>
          </w:tcPr>
          <w:p w14:paraId="5049B36B">
            <w:pPr>
              <w:pStyle w:val="16"/>
              <w:shd w:val="clear" w:fill="FFFFFF" w:themeFill="background1"/>
              <w:spacing w:line="360" w:lineRule="auto"/>
              <w:ind w:firstLine="480" w:firstLineChars="200"/>
              <w:rPr>
                <w:rFonts w:ascii="宋体" w:hAnsi="宋体"/>
                <w:color w:val="auto"/>
                <w:sz w:val="24"/>
                <w:highlight w:val="none"/>
              </w:rPr>
            </w:pPr>
            <w:r>
              <w:rPr>
                <w:rFonts w:ascii="宋体" w:hAnsi="宋体"/>
                <w:color w:val="auto"/>
                <w:sz w:val="24"/>
                <w:highlight w:val="none"/>
              </w:rPr>
              <w:t>1、企业净资产（总资产-总负债）不少于</w:t>
            </w:r>
            <w:r>
              <w:rPr>
                <w:rFonts w:hint="eastAsia" w:ascii="宋体" w:hAnsi="宋体"/>
                <w:color w:val="auto"/>
                <w:sz w:val="24"/>
                <w:highlight w:val="none"/>
                <w:lang w:val="en-US" w:eastAsia="zh-CN"/>
              </w:rPr>
              <w:t>250</w:t>
            </w:r>
            <w:r>
              <w:rPr>
                <w:rFonts w:ascii="宋体" w:hAnsi="宋体"/>
                <w:color w:val="auto"/>
                <w:sz w:val="24"/>
                <w:highlight w:val="none"/>
              </w:rPr>
              <w:t xml:space="preserve">万元人民币； </w:t>
            </w:r>
          </w:p>
          <w:p w14:paraId="37BFF733">
            <w:pPr>
              <w:pStyle w:val="16"/>
              <w:shd w:val="clear" w:fill="FFFFFF" w:themeFill="background1"/>
              <w:spacing w:line="360" w:lineRule="auto"/>
              <w:ind w:firstLine="480" w:firstLineChars="200"/>
              <w:rPr>
                <w:rFonts w:ascii="宋体" w:hAnsi="宋体"/>
                <w:color w:val="auto"/>
                <w:sz w:val="24"/>
                <w:highlight w:val="none"/>
              </w:rPr>
            </w:pPr>
            <w:r>
              <w:rPr>
                <w:rFonts w:ascii="宋体" w:hAnsi="宋体"/>
                <w:color w:val="auto"/>
                <w:sz w:val="24"/>
                <w:highlight w:val="none"/>
              </w:rPr>
              <w:t>2、营运资金（流动资产－流动负债）不少于</w:t>
            </w:r>
            <w:r>
              <w:rPr>
                <w:rFonts w:hint="eastAsia" w:ascii="宋体" w:hAnsi="宋体"/>
                <w:color w:val="auto"/>
                <w:sz w:val="24"/>
                <w:highlight w:val="none"/>
                <w:lang w:val="en-US" w:eastAsia="zh-CN"/>
              </w:rPr>
              <w:t>250</w:t>
            </w:r>
            <w:r>
              <w:rPr>
                <w:rFonts w:ascii="宋体" w:hAnsi="宋体"/>
                <w:color w:val="auto"/>
                <w:sz w:val="24"/>
                <w:highlight w:val="none"/>
              </w:rPr>
              <w:t xml:space="preserve">万元人民币；  </w:t>
            </w:r>
          </w:p>
          <w:p w14:paraId="3A52CB26">
            <w:pPr>
              <w:pStyle w:val="16"/>
              <w:shd w:val="clear" w:fill="FFFFFF" w:themeFill="background1"/>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kern w:val="0"/>
                <w:sz w:val="24"/>
                <w:highlight w:val="none"/>
              </w:rPr>
              <w:t>近三个年度的年平均营业总收入不少于</w:t>
            </w:r>
            <w:r>
              <w:rPr>
                <w:rFonts w:hint="eastAsia" w:ascii="宋体" w:hAnsi="宋体"/>
                <w:color w:val="auto"/>
                <w:sz w:val="24"/>
                <w:highlight w:val="none"/>
                <w:lang w:val="en-US" w:eastAsia="zh-CN"/>
              </w:rPr>
              <w:t>500</w:t>
            </w:r>
            <w:r>
              <w:rPr>
                <w:rFonts w:hint="eastAsia" w:ascii="宋体" w:hAnsi="宋体"/>
                <w:color w:val="auto"/>
                <w:kern w:val="0"/>
                <w:sz w:val="24"/>
                <w:highlight w:val="none"/>
              </w:rPr>
              <w:t>万元人民币</w:t>
            </w:r>
            <w:r>
              <w:rPr>
                <w:rFonts w:hint="eastAsia" w:ascii="宋体" w:hAnsi="宋体"/>
                <w:color w:val="auto"/>
                <w:sz w:val="24"/>
                <w:highlight w:val="none"/>
              </w:rPr>
              <w:t>；</w:t>
            </w:r>
          </w:p>
          <w:p w14:paraId="252493C1">
            <w:pPr>
              <w:pStyle w:val="16"/>
              <w:shd w:val="clear" w:fill="FFFFFF" w:themeFill="background1"/>
              <w:spacing w:line="360" w:lineRule="auto"/>
              <w:ind w:firstLine="480" w:firstLineChars="200"/>
              <w:rPr>
                <w:rFonts w:ascii="宋体" w:hAnsi="宋体"/>
                <w:color w:val="auto"/>
                <w:sz w:val="24"/>
                <w:highlight w:val="none"/>
              </w:rPr>
            </w:pPr>
            <w:r>
              <w:rPr>
                <w:rFonts w:hint="eastAsia" w:ascii="宋体" w:hAnsi="宋体"/>
                <w:color w:val="auto"/>
                <w:sz w:val="24"/>
                <w:highlight w:val="none"/>
              </w:rPr>
              <w:t>4、近三个年度至少有2年盈利。</w:t>
            </w:r>
          </w:p>
        </w:tc>
      </w:tr>
      <w:bookmarkEnd w:id="38"/>
      <w:bookmarkEnd w:id="39"/>
      <w:bookmarkEnd w:id="40"/>
    </w:tbl>
    <w:p w14:paraId="456EDE4D">
      <w:pPr>
        <w:shd w:val="clear" w:fill="FFFFFF" w:themeFill="background1"/>
        <w:spacing w:line="360" w:lineRule="auto"/>
        <w:ind w:firstLine="420" w:firstLineChars="200"/>
        <w:rPr>
          <w:rFonts w:ascii="宋体" w:hAnsi="宋体"/>
          <w:color w:val="auto"/>
          <w:szCs w:val="21"/>
          <w:highlight w:val="none"/>
        </w:rPr>
      </w:pPr>
      <w:bookmarkStart w:id="42" w:name="_Toc18126"/>
      <w:r>
        <w:rPr>
          <w:rFonts w:hint="eastAsia" w:ascii="宋体" w:hAnsi="宋体"/>
          <w:color w:val="auto"/>
          <w:szCs w:val="21"/>
          <w:highlight w:val="none"/>
        </w:rPr>
        <w:t>注：1、企业净资产、营运资金是按交通运输部“全国公路建设市场监督管理系统”登记的最新年度（近三个年度的最后一年，下同）数据计算得出。近三个年度是指202</w:t>
      </w:r>
      <w:r>
        <w:rPr>
          <w:rFonts w:hint="eastAsia" w:ascii="宋体" w:hAnsi="宋体"/>
          <w:color w:val="auto"/>
          <w:szCs w:val="21"/>
          <w:highlight w:val="none"/>
          <w:lang w:val="en-US" w:eastAsia="zh-CN"/>
        </w:rPr>
        <w:t>2</w:t>
      </w:r>
      <w:r>
        <w:rPr>
          <w:rFonts w:hint="eastAsia" w:ascii="宋体" w:hAnsi="宋体"/>
          <w:color w:val="auto"/>
          <w:szCs w:val="21"/>
          <w:highlight w:val="none"/>
        </w:rPr>
        <w:t>年、202</w:t>
      </w:r>
      <w:r>
        <w:rPr>
          <w:rFonts w:hint="eastAsia" w:ascii="宋体" w:hAnsi="宋体"/>
          <w:color w:val="auto"/>
          <w:szCs w:val="21"/>
          <w:highlight w:val="none"/>
          <w:lang w:val="en-US" w:eastAsia="zh-CN"/>
        </w:rPr>
        <w:t>3</w:t>
      </w:r>
      <w:r>
        <w:rPr>
          <w:rFonts w:hint="eastAsia" w:ascii="宋体" w:hAnsi="宋体"/>
          <w:color w:val="auto"/>
          <w:szCs w:val="21"/>
          <w:highlight w:val="none"/>
        </w:rPr>
        <w:t>年、202</w:t>
      </w:r>
      <w:r>
        <w:rPr>
          <w:rFonts w:hint="eastAsia" w:ascii="宋体" w:hAnsi="宋体"/>
          <w:color w:val="auto"/>
          <w:szCs w:val="21"/>
          <w:highlight w:val="none"/>
          <w:lang w:val="en-US" w:eastAsia="zh-CN"/>
        </w:rPr>
        <w:t>4</w:t>
      </w:r>
      <w:r>
        <w:rPr>
          <w:rFonts w:hint="eastAsia" w:ascii="宋体" w:hAnsi="宋体"/>
          <w:color w:val="auto"/>
          <w:szCs w:val="21"/>
          <w:highlight w:val="none"/>
        </w:rPr>
        <w:t>年。</w:t>
      </w:r>
    </w:p>
    <w:p w14:paraId="4F9DDEDE">
      <w:pPr>
        <w:shd w:val="clear" w:fill="FFFFFF" w:themeFill="background1"/>
        <w:spacing w:line="360" w:lineRule="auto"/>
        <w:ind w:firstLine="420" w:firstLineChars="200"/>
        <w:rPr>
          <w:rFonts w:hint="eastAsia" w:ascii="宋体" w:hAnsi="宋体" w:cs="黑体"/>
          <w:bCs w:val="0"/>
          <w:color w:val="auto"/>
          <w:sz w:val="30"/>
          <w:szCs w:val="30"/>
          <w:highlight w:val="none"/>
        </w:rPr>
      </w:pPr>
      <w:r>
        <w:rPr>
          <w:rFonts w:hint="eastAsia" w:ascii="宋体" w:hAnsi="宋体"/>
          <w:color w:val="auto"/>
          <w:szCs w:val="21"/>
          <w:highlight w:val="none"/>
        </w:rPr>
        <w:t>2、投标人应根据招标文件第二章“投标人须知”第 3.5.2 项的要求附相关证明材料。</w:t>
      </w:r>
      <w:bookmarkStart w:id="43" w:name="_Toc24636"/>
    </w:p>
    <w:p w14:paraId="5B548912">
      <w:pPr>
        <w:pStyle w:val="5"/>
        <w:shd w:val="clear" w:fill="FFFFFF" w:themeFill="background1"/>
        <w:spacing w:before="140" w:after="140" w:line="360" w:lineRule="auto"/>
        <w:jc w:val="center"/>
        <w:rPr>
          <w:rFonts w:ascii="宋体" w:hAnsi="宋体" w:cs="黑体"/>
          <w:bCs w:val="0"/>
          <w:color w:val="auto"/>
          <w:sz w:val="30"/>
          <w:szCs w:val="30"/>
          <w:highlight w:val="none"/>
        </w:rPr>
      </w:pPr>
      <w:r>
        <w:rPr>
          <w:rFonts w:hint="eastAsia" w:ascii="宋体" w:hAnsi="宋体" w:cs="黑体"/>
          <w:bCs w:val="0"/>
          <w:color w:val="auto"/>
          <w:sz w:val="30"/>
          <w:szCs w:val="30"/>
          <w:highlight w:val="none"/>
        </w:rPr>
        <w:t>附录3  资格审查条件（业绩最低要求）</w:t>
      </w:r>
      <w:bookmarkEnd w:id="42"/>
      <w:bookmarkEnd w:id="43"/>
    </w:p>
    <w:tbl>
      <w:tblPr>
        <w:tblStyle w:val="43"/>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419B4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672" w:type="dxa"/>
            <w:vAlign w:val="center"/>
          </w:tcPr>
          <w:p w14:paraId="2087ADA4">
            <w:pPr>
              <w:pStyle w:val="16"/>
              <w:shd w:val="clear" w:fill="FFFFFF" w:themeFill="background1"/>
              <w:spacing w:line="360" w:lineRule="auto"/>
              <w:jc w:val="center"/>
              <w:rPr>
                <w:rFonts w:ascii="Calibri" w:hAnsi="Calibri"/>
                <w:color w:val="auto"/>
                <w:sz w:val="24"/>
                <w:highlight w:val="none"/>
              </w:rPr>
            </w:pPr>
            <w:r>
              <w:rPr>
                <w:rFonts w:hint="eastAsia" w:ascii="宋体" w:hAnsi="宋体"/>
                <w:color w:val="auto"/>
                <w:sz w:val="24"/>
                <w:highlight w:val="none"/>
              </w:rPr>
              <w:t>业 绩 要 求</w:t>
            </w:r>
          </w:p>
        </w:tc>
      </w:tr>
      <w:tr w14:paraId="2BAB1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72" w:type="dxa"/>
            <w:vAlign w:val="center"/>
          </w:tcPr>
          <w:p w14:paraId="454FDA3B">
            <w:pPr>
              <w:widowControl/>
              <w:shd w:val="clear" w:fill="FFFFFF" w:themeFill="background1"/>
              <w:spacing w:line="360" w:lineRule="auto"/>
              <w:ind w:firstLine="480" w:firstLineChars="200"/>
              <w:textAlignment w:val="baseline"/>
              <w:rPr>
                <w:rStyle w:val="113"/>
                <w:rFonts w:ascii="宋体" w:hAnsi="宋体"/>
                <w:color w:val="auto"/>
                <w:sz w:val="24"/>
                <w:highlight w:val="none"/>
              </w:rPr>
            </w:pPr>
            <w:r>
              <w:rPr>
                <w:rStyle w:val="113"/>
                <w:rFonts w:ascii="宋体" w:hAnsi="宋体"/>
                <w:color w:val="auto"/>
                <w:sz w:val="24"/>
                <w:highlight w:val="none"/>
              </w:rPr>
              <w:t>近</w:t>
            </w:r>
            <w:r>
              <w:rPr>
                <w:rStyle w:val="113"/>
                <w:rFonts w:hint="eastAsia" w:ascii="宋体" w:hAnsi="宋体"/>
                <w:color w:val="auto"/>
                <w:sz w:val="24"/>
                <w:highlight w:val="none"/>
              </w:rPr>
              <w:t>五</w:t>
            </w:r>
            <w:r>
              <w:rPr>
                <w:rStyle w:val="113"/>
                <w:rFonts w:ascii="宋体" w:hAnsi="宋体"/>
                <w:color w:val="auto"/>
                <w:sz w:val="24"/>
                <w:highlight w:val="none"/>
              </w:rPr>
              <w:t>年</w:t>
            </w:r>
            <w:r>
              <w:rPr>
                <w:rStyle w:val="113"/>
                <w:rFonts w:hint="eastAsia" w:ascii="宋体" w:hAnsi="宋体"/>
                <w:color w:val="auto"/>
                <w:sz w:val="24"/>
                <w:highlight w:val="none"/>
              </w:rPr>
              <w:t>内，成功完成：</w:t>
            </w:r>
          </w:p>
          <w:p w14:paraId="4840366D">
            <w:pPr>
              <w:widowControl/>
              <w:shd w:val="clear" w:fill="FFFFFF" w:themeFill="background1"/>
              <w:spacing w:line="360" w:lineRule="auto"/>
              <w:ind w:firstLine="480" w:firstLineChars="200"/>
              <w:textAlignment w:val="baseline"/>
              <w:rPr>
                <w:rFonts w:ascii="宋体" w:hAnsi="宋体"/>
                <w:color w:val="auto"/>
                <w:kern w:val="0"/>
                <w:sz w:val="24"/>
                <w:highlight w:val="none"/>
              </w:rPr>
            </w:pPr>
            <w:r>
              <w:rPr>
                <w:rFonts w:hint="eastAsia" w:ascii="宋体" w:hAnsi="宋体" w:cs="宋体"/>
                <w:color w:val="auto"/>
                <w:kern w:val="0"/>
                <w:sz w:val="24"/>
                <w:highlight w:val="none"/>
                <w:lang w:bidi="ar"/>
              </w:rPr>
              <w:t>类似工程水泥混凝土（或沥青混凝土）路面工程至少</w:t>
            </w:r>
            <w:r>
              <w:rPr>
                <w:rFonts w:hint="eastAsia" w:ascii="宋体" w:hAnsi="宋体" w:cs="宋体"/>
                <w:color w:val="auto"/>
                <w:kern w:val="0"/>
                <w:sz w:val="24"/>
                <w:highlight w:val="none"/>
                <w:u w:val="single"/>
                <w:lang w:bidi="ar"/>
              </w:rPr>
              <w:t>1</w:t>
            </w:r>
            <w:r>
              <w:rPr>
                <w:rFonts w:hint="eastAsia" w:ascii="宋体" w:hAnsi="宋体" w:cs="宋体"/>
                <w:color w:val="auto"/>
                <w:kern w:val="0"/>
                <w:sz w:val="24"/>
                <w:highlight w:val="none"/>
                <w:lang w:bidi="ar"/>
              </w:rPr>
              <w:t>个标段</w:t>
            </w:r>
            <w:r>
              <w:rPr>
                <w:rStyle w:val="113"/>
                <w:rFonts w:hint="eastAsia" w:ascii="宋体" w:hAnsi="宋体"/>
                <w:color w:val="auto"/>
                <w:sz w:val="24"/>
                <w:highlight w:val="none"/>
              </w:rPr>
              <w:t>（其中有一个标段里程不少于</w:t>
            </w:r>
            <w:r>
              <w:rPr>
                <w:rStyle w:val="113"/>
                <w:rFonts w:hint="eastAsia" w:ascii="宋体" w:hAnsi="宋体"/>
                <w:color w:val="auto"/>
                <w:sz w:val="24"/>
                <w:highlight w:val="none"/>
                <w:u w:val="single"/>
              </w:rPr>
              <w:t xml:space="preserve"> </w:t>
            </w:r>
            <w:r>
              <w:rPr>
                <w:rFonts w:hint="eastAsia" w:ascii="宋体" w:hAnsi="宋体" w:cs="宋体"/>
                <w:bCs/>
                <w:color w:val="auto"/>
                <w:sz w:val="24"/>
                <w:highlight w:val="none"/>
                <w:u w:val="single"/>
                <w:lang w:val="en-US" w:eastAsia="zh-CN"/>
              </w:rPr>
              <w:t>3</w:t>
            </w:r>
            <w:r>
              <w:rPr>
                <w:rStyle w:val="113"/>
                <w:rFonts w:hint="eastAsia" w:ascii="宋体" w:hAnsi="宋体"/>
                <w:color w:val="auto"/>
                <w:sz w:val="24"/>
                <w:highlight w:val="none"/>
                <w:u w:val="single"/>
              </w:rPr>
              <w:t xml:space="preserve"> </w:t>
            </w:r>
            <w:r>
              <w:rPr>
                <w:rStyle w:val="113"/>
                <w:rFonts w:hint="eastAsia" w:ascii="宋体" w:hAnsi="宋体"/>
                <w:color w:val="auto"/>
                <w:sz w:val="24"/>
                <w:highlight w:val="none"/>
              </w:rPr>
              <w:t>km），且类似工程累计里程不少于</w:t>
            </w:r>
            <w:r>
              <w:rPr>
                <w:rStyle w:val="113"/>
                <w:rFonts w:hint="eastAsia" w:ascii="宋体" w:hAnsi="宋体"/>
                <w:color w:val="auto"/>
                <w:sz w:val="24"/>
                <w:highlight w:val="none"/>
                <w:u w:val="single"/>
              </w:rPr>
              <w:t xml:space="preserve"> </w:t>
            </w:r>
            <w:r>
              <w:rPr>
                <w:rFonts w:hint="eastAsia" w:ascii="宋体" w:hAnsi="宋体" w:cs="宋体"/>
                <w:bCs/>
                <w:color w:val="auto"/>
                <w:sz w:val="24"/>
                <w:highlight w:val="none"/>
                <w:u w:val="single"/>
                <w:lang w:val="en-US" w:eastAsia="zh-CN"/>
              </w:rPr>
              <w:t>3</w:t>
            </w:r>
            <w:r>
              <w:rPr>
                <w:rStyle w:val="113"/>
                <w:rFonts w:hint="eastAsia" w:ascii="宋体" w:hAnsi="宋体"/>
                <w:color w:val="auto"/>
                <w:sz w:val="24"/>
                <w:highlight w:val="none"/>
                <w:u w:val="single"/>
              </w:rPr>
              <w:t xml:space="preserve"> </w:t>
            </w:r>
            <w:r>
              <w:rPr>
                <w:rStyle w:val="113"/>
                <w:rFonts w:hint="eastAsia" w:ascii="宋体" w:hAnsi="宋体"/>
                <w:color w:val="auto"/>
                <w:sz w:val="24"/>
                <w:highlight w:val="none"/>
              </w:rPr>
              <w:t>km。</w:t>
            </w:r>
          </w:p>
        </w:tc>
      </w:tr>
    </w:tbl>
    <w:p w14:paraId="2C38BC34">
      <w:pPr>
        <w:shd w:val="clear" w:fill="FFFFFF" w:themeFill="background1"/>
        <w:spacing w:line="360" w:lineRule="auto"/>
        <w:ind w:left="105" w:hanging="105" w:hangingChars="50"/>
        <w:rPr>
          <w:rFonts w:ascii="宋体" w:hAnsi="宋体"/>
          <w:color w:val="auto"/>
          <w:szCs w:val="21"/>
          <w:highlight w:val="none"/>
        </w:rPr>
      </w:pPr>
      <w:r>
        <w:rPr>
          <w:rFonts w:hint="eastAsia" w:ascii="宋体" w:hAnsi="宋体"/>
          <w:color w:val="auto"/>
          <w:szCs w:val="21"/>
          <w:highlight w:val="none"/>
        </w:rPr>
        <w:t xml:space="preserve">注：1、本附录所要求的业绩仅限中华人民共和国境内业绩。 </w:t>
      </w:r>
    </w:p>
    <w:p w14:paraId="306F41C2">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2、投标人应根据招标文件第二章“投标人须知”第 3.5.3 项的要求附相关证明材料。</w:t>
      </w:r>
    </w:p>
    <w:p w14:paraId="1F4013AB">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3、近五年是指：</w:t>
      </w:r>
      <w:r>
        <w:rPr>
          <w:rFonts w:hint="eastAsia" w:ascii="宋体" w:hAnsi="宋体"/>
          <w:color w:val="auto"/>
          <w:szCs w:val="21"/>
          <w:highlight w:val="none"/>
          <w:lang w:eastAsia="zh-CN"/>
        </w:rPr>
        <w:t>2020年</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月1日</w:t>
      </w:r>
      <w:r>
        <w:rPr>
          <w:rFonts w:hint="eastAsia" w:ascii="宋体" w:hAnsi="宋体"/>
          <w:color w:val="auto"/>
          <w:szCs w:val="21"/>
          <w:highlight w:val="none"/>
        </w:rPr>
        <w:t>至投标文件递交截止之日止。</w:t>
      </w:r>
    </w:p>
    <w:p w14:paraId="33BB3841">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4、类似工程是指：</w:t>
      </w:r>
      <w:r>
        <w:rPr>
          <w:rFonts w:hint="eastAsia" w:ascii="宋体" w:hAnsi="宋体"/>
          <w:color w:val="auto"/>
          <w:szCs w:val="21"/>
          <w:highlight w:val="none"/>
          <w:u w:val="single"/>
        </w:rPr>
        <w:t>指</w:t>
      </w:r>
      <w:r>
        <w:rPr>
          <w:rFonts w:hint="eastAsia" w:ascii="宋体" w:hAnsi="宋体"/>
          <w:color w:val="auto"/>
          <w:szCs w:val="21"/>
          <w:highlight w:val="none"/>
          <w:u w:val="single"/>
          <w:lang w:eastAsia="zh-CN"/>
        </w:rPr>
        <w:t>新建或改、扩建、路面改造</w:t>
      </w:r>
      <w:r>
        <w:rPr>
          <w:rFonts w:hint="eastAsia" w:ascii="宋体" w:hAnsi="宋体"/>
          <w:color w:val="auto"/>
          <w:szCs w:val="21"/>
          <w:highlight w:val="none"/>
          <w:u w:val="single"/>
        </w:rPr>
        <w:t>四级以上（含四级）公路施工项</w:t>
      </w:r>
      <w:r>
        <w:rPr>
          <w:rFonts w:hint="eastAsia" w:ascii="宋体" w:hAnsi="宋体"/>
          <w:color w:val="auto"/>
          <w:szCs w:val="21"/>
          <w:highlight w:val="none"/>
        </w:rPr>
        <w:t>目。在采用新建的公路项目完工业绩时，对于同公路等级改、扩建中的新建桥梁或隧道工程业绩也应认可。</w:t>
      </w:r>
    </w:p>
    <w:p w14:paraId="49A977DD">
      <w:pPr>
        <w:pStyle w:val="16"/>
        <w:shd w:val="clear" w:fill="FFFFFF" w:themeFill="background1"/>
        <w:spacing w:line="360" w:lineRule="auto"/>
        <w:jc w:val="left"/>
        <w:rPr>
          <w:rFonts w:ascii="宋体" w:hAnsi="宋体" w:cs="宋体"/>
          <w:color w:val="auto"/>
          <w:kern w:val="0"/>
          <w:sz w:val="24"/>
          <w:highlight w:val="none"/>
        </w:rPr>
      </w:pPr>
    </w:p>
    <w:p w14:paraId="5FC68B5A">
      <w:pPr>
        <w:shd w:val="clear" w:fill="FFFFFF" w:themeFill="background1"/>
        <w:rPr>
          <w:color w:val="auto"/>
          <w:highlight w:val="none"/>
        </w:rPr>
      </w:pPr>
      <w:bookmarkStart w:id="44" w:name="_Toc27756"/>
      <w:bookmarkStart w:id="45" w:name="_Toc25225"/>
      <w:bookmarkStart w:id="46" w:name="_Toc451261211"/>
      <w:bookmarkStart w:id="47" w:name="_Toc466575333"/>
    </w:p>
    <w:p w14:paraId="20ED4054">
      <w:pPr>
        <w:pStyle w:val="5"/>
        <w:shd w:val="clear" w:fill="FFFFFF" w:themeFill="background1"/>
        <w:jc w:val="center"/>
        <w:rPr>
          <w:color w:val="auto"/>
          <w:highlight w:val="none"/>
        </w:rPr>
      </w:pPr>
      <w:bookmarkStart w:id="48" w:name="_Toc933"/>
      <w:r>
        <w:rPr>
          <w:rFonts w:hint="eastAsia"/>
          <w:color w:val="auto"/>
          <w:highlight w:val="none"/>
        </w:rPr>
        <w:t>附录4  资格审查条件(信誉最低要求)</w:t>
      </w:r>
      <w:bookmarkEnd w:id="44"/>
      <w:bookmarkEnd w:id="48"/>
    </w:p>
    <w:tbl>
      <w:tblPr>
        <w:tblStyle w:val="43"/>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56FD9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239" w:type="dxa"/>
            <w:vAlign w:val="center"/>
          </w:tcPr>
          <w:p w14:paraId="43324FB1">
            <w:pPr>
              <w:shd w:val="clear" w:fill="FFFFFF" w:themeFill="background1"/>
              <w:jc w:val="center"/>
              <w:rPr>
                <w:rFonts w:ascii="宋体" w:hAnsi="宋体"/>
                <w:color w:val="auto"/>
                <w:sz w:val="24"/>
                <w:highlight w:val="none"/>
              </w:rPr>
            </w:pPr>
            <w:r>
              <w:rPr>
                <w:rFonts w:hint="eastAsia" w:ascii="宋体" w:hAnsi="宋体"/>
                <w:color w:val="auto"/>
                <w:sz w:val="24"/>
                <w:highlight w:val="none"/>
              </w:rPr>
              <w:t>信 誉 要 求</w:t>
            </w:r>
          </w:p>
        </w:tc>
      </w:tr>
      <w:tr w14:paraId="01592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9239" w:type="dxa"/>
            <w:vAlign w:val="center"/>
          </w:tcPr>
          <w:p w14:paraId="17FF998D">
            <w:pPr>
              <w:pStyle w:val="57"/>
              <w:shd w:val="clear" w:fill="FFFFFF" w:themeFill="background1"/>
              <w:spacing w:line="360" w:lineRule="auto"/>
              <w:ind w:firstLine="480"/>
              <w:jc w:val="both"/>
              <w:rPr>
                <w:rFonts w:ascii="宋体" w:hAnsi="宋体" w:cs="宋体"/>
                <w:color w:val="auto"/>
                <w:kern w:val="2"/>
                <w:highlight w:val="none"/>
              </w:rPr>
            </w:pPr>
            <w:r>
              <w:rPr>
                <w:rFonts w:hint="eastAsia" w:ascii="宋体" w:hAnsi="宋体" w:cs="宋体"/>
                <w:color w:val="auto"/>
                <w:kern w:val="2"/>
                <w:highlight w:val="none"/>
              </w:rPr>
              <w:t>在最新年度广东省公路工程从业单位（施工单位）信用评价（含无最新年度而上一年度有信用评价）中，信用等级未被评为 D 级；</w:t>
            </w:r>
          </w:p>
          <w:p w14:paraId="7515EAEB">
            <w:pPr>
              <w:pStyle w:val="57"/>
              <w:shd w:val="clear" w:fill="FFFFFF" w:themeFill="background1"/>
              <w:spacing w:line="360" w:lineRule="auto"/>
              <w:ind w:firstLine="480"/>
              <w:jc w:val="both"/>
              <w:rPr>
                <w:rFonts w:ascii="宋体" w:hAnsi="宋体"/>
                <w:color w:val="auto"/>
                <w:highlight w:val="none"/>
              </w:rPr>
            </w:pPr>
            <w:r>
              <w:rPr>
                <w:rFonts w:hint="eastAsia" w:ascii="宋体" w:hAnsi="宋体" w:cs="宋体"/>
                <w:color w:val="auto"/>
                <w:kern w:val="2"/>
                <w:highlight w:val="none"/>
              </w:rPr>
              <w:t>初次进入广东省的投标人，在最新年度的全国公路从业单位（施工单位）信用评价结果中未被评为 D 级。</w:t>
            </w:r>
          </w:p>
        </w:tc>
      </w:tr>
    </w:tbl>
    <w:p w14:paraId="3FBABF84">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注：1、信用等级的确定原则遵循投标人须知前附表 10.2 款的规定。</w:t>
      </w:r>
    </w:p>
    <w:p w14:paraId="01B2B9A7">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2、投标人应根据第九章“投标文件格式”中“八、资格审查资料 (五) 投标人的信誉情况</w:t>
      </w:r>
    </w:p>
    <w:p w14:paraId="1F09BF58">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表”填写情况说明。</w:t>
      </w:r>
    </w:p>
    <w:p w14:paraId="3D678A93">
      <w:pPr>
        <w:pStyle w:val="5"/>
        <w:shd w:val="clear" w:fill="FFFFFF" w:themeFill="background1"/>
        <w:spacing w:before="140" w:after="140" w:line="360" w:lineRule="auto"/>
        <w:jc w:val="center"/>
        <w:rPr>
          <w:rFonts w:hint="eastAsia" w:ascii="宋体" w:hAnsi="宋体" w:cs="黑体"/>
          <w:bCs w:val="0"/>
          <w:color w:val="auto"/>
          <w:sz w:val="30"/>
          <w:szCs w:val="30"/>
          <w:highlight w:val="none"/>
        </w:rPr>
      </w:pPr>
      <w:bookmarkStart w:id="49" w:name="_Toc32466"/>
    </w:p>
    <w:p w14:paraId="34A18254">
      <w:pPr>
        <w:rPr>
          <w:rFonts w:hint="eastAsia"/>
          <w:color w:val="auto"/>
          <w:highlight w:val="none"/>
        </w:rPr>
      </w:pPr>
    </w:p>
    <w:p w14:paraId="2A7CDAAF">
      <w:pPr>
        <w:pStyle w:val="5"/>
        <w:shd w:val="clear" w:fill="FFFFFF" w:themeFill="background1"/>
        <w:spacing w:before="140" w:after="140" w:line="360" w:lineRule="auto"/>
        <w:jc w:val="center"/>
        <w:rPr>
          <w:rFonts w:ascii="宋体" w:hAnsi="宋体" w:cs="黑体"/>
          <w:bCs w:val="0"/>
          <w:color w:val="auto"/>
          <w:sz w:val="30"/>
          <w:szCs w:val="30"/>
          <w:highlight w:val="none"/>
        </w:rPr>
      </w:pPr>
      <w:r>
        <w:rPr>
          <w:rFonts w:hint="eastAsia" w:ascii="宋体" w:hAnsi="宋体" w:cs="黑体"/>
          <w:bCs w:val="0"/>
          <w:color w:val="auto"/>
          <w:sz w:val="30"/>
          <w:szCs w:val="30"/>
          <w:highlight w:val="none"/>
        </w:rPr>
        <w:t>附录5  资格审查条件(项目经理和项目总工最低要求)</w:t>
      </w:r>
      <w:bookmarkEnd w:id="45"/>
      <w:bookmarkEnd w:id="46"/>
      <w:bookmarkEnd w:id="47"/>
      <w:bookmarkEnd w:id="49"/>
    </w:p>
    <w:tbl>
      <w:tblPr>
        <w:tblStyle w:val="43"/>
        <w:tblW w:w="100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84"/>
        <w:gridCol w:w="720"/>
        <w:gridCol w:w="6155"/>
        <w:gridCol w:w="2033"/>
      </w:tblGrid>
      <w:tr w14:paraId="586B61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14:paraId="334D9BEA">
            <w:pPr>
              <w:shd w:val="clear" w:fill="FFFFFF" w:themeFill="background1"/>
              <w:spacing w:line="276" w:lineRule="auto"/>
              <w:jc w:val="center"/>
              <w:rPr>
                <w:rFonts w:ascii="Calibri" w:hAnsi="Calibri"/>
                <w:color w:val="auto"/>
                <w:sz w:val="24"/>
                <w:highlight w:val="none"/>
              </w:rPr>
            </w:pPr>
            <w:r>
              <w:rPr>
                <w:rFonts w:hint="eastAsia" w:ascii="宋体" w:hAnsi="宋体" w:cs="宋体"/>
                <w:color w:val="auto"/>
                <w:sz w:val="24"/>
                <w:highlight w:val="none"/>
              </w:rPr>
              <w:t>人  员</w:t>
            </w:r>
          </w:p>
        </w:tc>
        <w:tc>
          <w:tcPr>
            <w:tcW w:w="720" w:type="dxa"/>
            <w:tcBorders>
              <w:tl2br w:val="nil"/>
              <w:tr2bl w:val="nil"/>
            </w:tcBorders>
            <w:vAlign w:val="center"/>
          </w:tcPr>
          <w:p w14:paraId="3DC90AAF">
            <w:pPr>
              <w:shd w:val="clear" w:fill="FFFFFF" w:themeFill="background1"/>
              <w:spacing w:line="276" w:lineRule="auto"/>
              <w:jc w:val="center"/>
              <w:rPr>
                <w:rFonts w:ascii="Calibri" w:hAnsi="Calibri"/>
                <w:color w:val="auto"/>
                <w:sz w:val="24"/>
                <w:highlight w:val="none"/>
              </w:rPr>
            </w:pPr>
            <w:r>
              <w:rPr>
                <w:rFonts w:hint="eastAsia" w:ascii="宋体" w:hAnsi="宋体" w:cs="宋体"/>
                <w:color w:val="auto"/>
                <w:sz w:val="24"/>
                <w:highlight w:val="none"/>
              </w:rPr>
              <w:t>数量</w:t>
            </w:r>
          </w:p>
        </w:tc>
        <w:tc>
          <w:tcPr>
            <w:tcW w:w="6155" w:type="dxa"/>
            <w:tcBorders>
              <w:tl2br w:val="nil"/>
              <w:tr2bl w:val="nil"/>
            </w:tcBorders>
            <w:vAlign w:val="center"/>
          </w:tcPr>
          <w:p w14:paraId="35150CDD">
            <w:pPr>
              <w:shd w:val="clear" w:fill="FFFFFF" w:themeFill="background1"/>
              <w:spacing w:line="276" w:lineRule="auto"/>
              <w:jc w:val="center"/>
              <w:rPr>
                <w:rFonts w:ascii="Calibri" w:hAnsi="Calibri"/>
                <w:color w:val="auto"/>
                <w:sz w:val="24"/>
                <w:highlight w:val="none"/>
              </w:rPr>
            </w:pPr>
            <w:r>
              <w:rPr>
                <w:rFonts w:hint="eastAsia" w:ascii="宋体" w:hAnsi="宋体" w:cs="宋体"/>
                <w:color w:val="auto"/>
                <w:sz w:val="24"/>
                <w:highlight w:val="none"/>
              </w:rPr>
              <w:t>资 格 要 求</w:t>
            </w:r>
          </w:p>
        </w:tc>
        <w:tc>
          <w:tcPr>
            <w:tcW w:w="2033" w:type="dxa"/>
            <w:tcBorders>
              <w:tl2br w:val="nil"/>
              <w:tr2bl w:val="nil"/>
            </w:tcBorders>
            <w:vAlign w:val="center"/>
          </w:tcPr>
          <w:p w14:paraId="0B8E372A">
            <w:pPr>
              <w:shd w:val="clear" w:fill="FFFFFF" w:themeFill="background1"/>
              <w:spacing w:line="276" w:lineRule="auto"/>
              <w:jc w:val="center"/>
              <w:rPr>
                <w:rFonts w:ascii="Calibri" w:hAnsi="Calibri"/>
                <w:color w:val="auto"/>
                <w:sz w:val="24"/>
                <w:highlight w:val="none"/>
              </w:rPr>
            </w:pPr>
            <w:r>
              <w:rPr>
                <w:rFonts w:hint="eastAsia" w:ascii="宋体" w:hAnsi="宋体" w:cs="宋体"/>
                <w:color w:val="auto"/>
                <w:sz w:val="24"/>
                <w:highlight w:val="none"/>
              </w:rPr>
              <w:t>在 岗 要 求</w:t>
            </w:r>
          </w:p>
        </w:tc>
      </w:tr>
      <w:tr w14:paraId="16FA36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03" w:hRule="atLeast"/>
          <w:jc w:val="center"/>
        </w:trPr>
        <w:tc>
          <w:tcPr>
            <w:tcW w:w="1184" w:type="dxa"/>
            <w:tcBorders>
              <w:tl2br w:val="nil"/>
              <w:tr2bl w:val="nil"/>
            </w:tcBorders>
            <w:vAlign w:val="center"/>
          </w:tcPr>
          <w:p w14:paraId="15731CB2">
            <w:pPr>
              <w:shd w:val="clear" w:fill="FFFFFF" w:themeFill="background1"/>
              <w:spacing w:line="360" w:lineRule="auto"/>
              <w:jc w:val="center"/>
              <w:rPr>
                <w:rFonts w:ascii="Calibri" w:hAnsi="Calibri"/>
                <w:color w:val="auto"/>
                <w:sz w:val="24"/>
                <w:highlight w:val="none"/>
              </w:rPr>
            </w:pPr>
            <w:r>
              <w:rPr>
                <w:rFonts w:hint="eastAsia" w:ascii="宋体" w:hAnsi="宋体" w:cs="宋体"/>
                <w:color w:val="auto"/>
                <w:sz w:val="24"/>
                <w:highlight w:val="none"/>
              </w:rPr>
              <w:t>项目经理</w:t>
            </w:r>
          </w:p>
        </w:tc>
        <w:tc>
          <w:tcPr>
            <w:tcW w:w="720" w:type="dxa"/>
            <w:tcBorders>
              <w:tl2br w:val="nil"/>
              <w:tr2bl w:val="nil"/>
            </w:tcBorders>
            <w:vAlign w:val="center"/>
          </w:tcPr>
          <w:p w14:paraId="7BBFD146">
            <w:pPr>
              <w:shd w:val="clear" w:fill="FFFFFF" w:themeFill="background1"/>
              <w:spacing w:line="360" w:lineRule="auto"/>
              <w:jc w:val="center"/>
              <w:rPr>
                <w:rFonts w:ascii="Calibri" w:hAnsi="Calibri"/>
                <w:color w:val="auto"/>
                <w:sz w:val="24"/>
                <w:highlight w:val="none"/>
              </w:rPr>
            </w:pPr>
            <w:r>
              <w:rPr>
                <w:rFonts w:hint="eastAsia" w:ascii="宋体" w:hAnsi="宋体" w:cs="宋体"/>
                <w:color w:val="auto"/>
                <w:sz w:val="24"/>
                <w:highlight w:val="none"/>
              </w:rPr>
              <w:t>1</w:t>
            </w:r>
          </w:p>
        </w:tc>
        <w:tc>
          <w:tcPr>
            <w:tcW w:w="6155" w:type="dxa"/>
            <w:tcBorders>
              <w:tl2br w:val="nil"/>
              <w:tr2bl w:val="nil"/>
            </w:tcBorders>
            <w:vAlign w:val="center"/>
          </w:tcPr>
          <w:p w14:paraId="61DD35B1">
            <w:pPr>
              <w:shd w:val="clear" w:fill="FFFFFF" w:themeFill="background1"/>
              <w:spacing w:line="360" w:lineRule="auto"/>
              <w:ind w:right="6" w:rightChars="3"/>
              <w:rPr>
                <w:rFonts w:ascii="宋体" w:hAnsi="宋体"/>
                <w:color w:val="auto"/>
                <w:sz w:val="24"/>
                <w:highlight w:val="none"/>
              </w:rPr>
            </w:pPr>
            <w:r>
              <w:rPr>
                <w:rFonts w:hint="eastAsia" w:ascii="宋体" w:hAnsi="宋体" w:cs="宋体"/>
                <w:color w:val="auto"/>
                <w:sz w:val="24"/>
                <w:highlight w:val="none"/>
              </w:rPr>
              <w:t xml:space="preserve">    工程师</w:t>
            </w:r>
            <w:r>
              <w:rPr>
                <w:rFonts w:ascii="宋体" w:hAnsi="宋体" w:cs="宋体"/>
                <w:color w:val="auto"/>
                <w:sz w:val="24"/>
                <w:highlight w:val="none"/>
              </w:rPr>
              <w:t>或以上职称</w:t>
            </w:r>
            <w:r>
              <w:rPr>
                <w:rFonts w:hint="eastAsia" w:ascii="宋体" w:hAnsi="宋体" w:cs="宋体"/>
                <w:color w:val="auto"/>
                <w:sz w:val="24"/>
                <w:highlight w:val="none"/>
              </w:rPr>
              <w:t>，并持有住房和城乡建设部颁发的公路工程专业二级以上（含二级）建造师注册证书，具有交通主管部门颁发的有效安全生产“三类人员”B类证书。</w:t>
            </w:r>
          </w:p>
        </w:tc>
        <w:tc>
          <w:tcPr>
            <w:tcW w:w="2033" w:type="dxa"/>
            <w:vMerge w:val="restart"/>
            <w:tcBorders>
              <w:tl2br w:val="nil"/>
              <w:tr2bl w:val="nil"/>
            </w:tcBorders>
            <w:vAlign w:val="center"/>
          </w:tcPr>
          <w:p w14:paraId="500405C8">
            <w:pPr>
              <w:shd w:val="clear" w:fill="FFFFFF" w:themeFill="background1"/>
              <w:spacing w:line="360" w:lineRule="auto"/>
              <w:rPr>
                <w:rFonts w:ascii="宋体" w:hAnsi="宋体"/>
                <w:color w:val="auto"/>
                <w:sz w:val="24"/>
                <w:highlight w:val="none"/>
              </w:rPr>
            </w:pPr>
            <w:r>
              <w:rPr>
                <w:rFonts w:hint="eastAsia" w:ascii="宋体" w:hAnsi="宋体"/>
                <w:color w:val="auto"/>
                <w:sz w:val="24"/>
                <w:highlight w:val="none"/>
              </w:rPr>
              <w:t>无在岗项目（指目前未在其他项目上任职，或虽在其他项目上任职但本项目中标后能够从该项目撤离）。</w:t>
            </w:r>
          </w:p>
        </w:tc>
      </w:tr>
      <w:tr w14:paraId="728B98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jc w:val="center"/>
        </w:trPr>
        <w:tc>
          <w:tcPr>
            <w:tcW w:w="1184" w:type="dxa"/>
            <w:tcBorders>
              <w:tl2br w:val="nil"/>
              <w:tr2bl w:val="nil"/>
            </w:tcBorders>
            <w:vAlign w:val="center"/>
          </w:tcPr>
          <w:p w14:paraId="73686A32">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项目总工</w:t>
            </w:r>
          </w:p>
        </w:tc>
        <w:tc>
          <w:tcPr>
            <w:tcW w:w="720" w:type="dxa"/>
            <w:tcBorders>
              <w:tl2br w:val="nil"/>
              <w:tr2bl w:val="nil"/>
            </w:tcBorders>
            <w:vAlign w:val="center"/>
          </w:tcPr>
          <w:p w14:paraId="430F3F9A">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6155" w:type="dxa"/>
            <w:tcBorders>
              <w:tl2br w:val="nil"/>
              <w:tr2bl w:val="nil"/>
            </w:tcBorders>
            <w:vAlign w:val="center"/>
          </w:tcPr>
          <w:p w14:paraId="1E2D497D">
            <w:pPr>
              <w:shd w:val="clear" w:fill="FFFFFF" w:themeFill="background1"/>
              <w:spacing w:line="360" w:lineRule="auto"/>
              <w:ind w:firstLine="480" w:firstLineChars="200"/>
              <w:rPr>
                <w:rFonts w:ascii="Calibri" w:hAnsi="Calibri"/>
                <w:color w:val="auto"/>
                <w:sz w:val="24"/>
                <w:highlight w:val="none"/>
              </w:rPr>
            </w:pPr>
            <w:r>
              <w:rPr>
                <w:rFonts w:hint="eastAsia" w:ascii="宋体" w:hAnsi="宋体" w:cs="宋体"/>
                <w:color w:val="auto"/>
                <w:sz w:val="24"/>
                <w:highlight w:val="none"/>
              </w:rPr>
              <w:t>路桥相关专业工程师或以上职称，具有交通主管部门颁发的有效安全生产“三类人员”B类证书。</w:t>
            </w:r>
          </w:p>
        </w:tc>
        <w:tc>
          <w:tcPr>
            <w:tcW w:w="2033" w:type="dxa"/>
            <w:vMerge w:val="continue"/>
            <w:tcBorders>
              <w:tl2br w:val="nil"/>
              <w:tr2bl w:val="nil"/>
            </w:tcBorders>
            <w:vAlign w:val="center"/>
          </w:tcPr>
          <w:p w14:paraId="17537718">
            <w:pPr>
              <w:shd w:val="clear" w:fill="FFFFFF" w:themeFill="background1"/>
              <w:spacing w:line="360" w:lineRule="auto"/>
              <w:rPr>
                <w:rFonts w:ascii="Calibri" w:hAnsi="Calibri"/>
                <w:color w:val="auto"/>
                <w:sz w:val="24"/>
                <w:highlight w:val="none"/>
              </w:rPr>
            </w:pPr>
          </w:p>
        </w:tc>
      </w:tr>
    </w:tbl>
    <w:p w14:paraId="129136CA">
      <w:pPr>
        <w:shd w:val="clear" w:fill="FFFFFF" w:themeFill="background1"/>
        <w:spacing w:line="360" w:lineRule="auto"/>
        <w:rPr>
          <w:rFonts w:ascii="宋体" w:hAnsi="宋体"/>
          <w:color w:val="auto"/>
          <w:szCs w:val="21"/>
          <w:highlight w:val="none"/>
          <w:lang w:val="zh-CN"/>
        </w:rPr>
      </w:pPr>
      <w:r>
        <w:rPr>
          <w:rFonts w:hint="eastAsia" w:ascii="宋体" w:hAnsi="宋体"/>
          <w:color w:val="auto"/>
          <w:szCs w:val="21"/>
          <w:highlight w:val="none"/>
          <w:lang w:val="zh-CN"/>
        </w:rPr>
        <w:t>注：1．资格要求的人员建造师注册证书、安全生产“三类人员”B 类证书均应在投标人所在单位，否则视为无效。</w:t>
      </w:r>
    </w:p>
    <w:p w14:paraId="67673DE8">
      <w:pPr>
        <w:numPr>
          <w:ilvl w:val="0"/>
          <w:numId w:val="9"/>
        </w:numPr>
        <w:shd w:val="clear" w:fill="FFFFFF" w:themeFill="background1"/>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投标人应根据招标文件第二章“投标人须知”第 3.5.5 项的要求附相关证明材料。</w:t>
      </w:r>
    </w:p>
    <w:p w14:paraId="5EF00F4A">
      <w:pPr>
        <w:pStyle w:val="55"/>
        <w:shd w:val="clear" w:fill="FFFFFF" w:themeFill="background1"/>
        <w:rPr>
          <w:color w:val="auto"/>
          <w:highlight w:val="none"/>
        </w:rPr>
      </w:pPr>
    </w:p>
    <w:p w14:paraId="48A33E12">
      <w:pPr>
        <w:pStyle w:val="5"/>
        <w:shd w:val="clear" w:fill="FFFFFF" w:themeFill="background1"/>
        <w:spacing w:before="140" w:after="140" w:line="360" w:lineRule="auto"/>
        <w:jc w:val="center"/>
        <w:rPr>
          <w:rFonts w:ascii="宋体" w:hAnsi="宋体" w:cs="黑体"/>
          <w:bCs w:val="0"/>
          <w:color w:val="auto"/>
          <w:sz w:val="30"/>
          <w:szCs w:val="30"/>
          <w:highlight w:val="none"/>
        </w:rPr>
      </w:pPr>
      <w:bookmarkStart w:id="50" w:name="_Toc26687"/>
      <w:bookmarkStart w:id="51" w:name="_Toc8287"/>
      <w:r>
        <w:rPr>
          <w:rFonts w:hint="eastAsia" w:ascii="宋体" w:hAnsi="宋体" w:cs="黑体"/>
          <w:bCs w:val="0"/>
          <w:color w:val="auto"/>
          <w:sz w:val="30"/>
          <w:szCs w:val="30"/>
          <w:highlight w:val="none"/>
        </w:rPr>
        <w:t>附录6  资格审查条件(</w:t>
      </w:r>
      <w:bookmarkStart w:id="52" w:name="OLE_LINK1"/>
      <w:r>
        <w:rPr>
          <w:rFonts w:hint="eastAsia" w:ascii="宋体" w:hAnsi="宋体" w:cs="黑体"/>
          <w:bCs w:val="0"/>
          <w:color w:val="auto"/>
          <w:sz w:val="30"/>
          <w:szCs w:val="30"/>
          <w:highlight w:val="none"/>
        </w:rPr>
        <w:t>其他管理人员和技术人员最低要求</w:t>
      </w:r>
      <w:bookmarkEnd w:id="52"/>
      <w:r>
        <w:rPr>
          <w:rFonts w:hint="eastAsia" w:ascii="宋体" w:hAnsi="宋体" w:cs="黑体"/>
          <w:bCs w:val="0"/>
          <w:color w:val="auto"/>
          <w:sz w:val="30"/>
          <w:szCs w:val="30"/>
          <w:highlight w:val="none"/>
        </w:rPr>
        <w:t>)</w:t>
      </w:r>
      <w:bookmarkEnd w:id="50"/>
      <w:bookmarkEnd w:id="51"/>
    </w:p>
    <w:tbl>
      <w:tblPr>
        <w:tblStyle w:val="43"/>
        <w:tblW w:w="9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690"/>
        <w:gridCol w:w="7286"/>
      </w:tblGrid>
      <w:tr w14:paraId="7CE49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exact"/>
          <w:jc w:val="center"/>
        </w:trPr>
        <w:tc>
          <w:tcPr>
            <w:tcW w:w="1876" w:type="dxa"/>
            <w:vAlign w:val="center"/>
          </w:tcPr>
          <w:p w14:paraId="28BE81AE">
            <w:pPr>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人  员</w:t>
            </w:r>
          </w:p>
        </w:tc>
        <w:tc>
          <w:tcPr>
            <w:tcW w:w="690" w:type="dxa"/>
            <w:vAlign w:val="center"/>
          </w:tcPr>
          <w:p w14:paraId="42215507">
            <w:pPr>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86" w:type="dxa"/>
            <w:vAlign w:val="center"/>
          </w:tcPr>
          <w:p w14:paraId="7E2CB621">
            <w:pPr>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资 格 要 求</w:t>
            </w:r>
          </w:p>
        </w:tc>
      </w:tr>
      <w:tr w14:paraId="3363E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BE0D5F9">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质检工程师</w:t>
            </w:r>
          </w:p>
        </w:tc>
        <w:tc>
          <w:tcPr>
            <w:tcW w:w="690" w:type="dxa"/>
            <w:vAlign w:val="center"/>
          </w:tcPr>
          <w:p w14:paraId="0666C2F1">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14BCB46D">
            <w:pPr>
              <w:shd w:val="clear" w:fill="FFFFFF" w:themeFill="background1"/>
              <w:spacing w:line="320" w:lineRule="exact"/>
              <w:jc w:val="left"/>
              <w:rPr>
                <w:rFonts w:ascii="宋体" w:hAnsi="宋体" w:cs="宋体"/>
                <w:color w:val="auto"/>
                <w:sz w:val="24"/>
                <w:highlight w:val="none"/>
              </w:rPr>
            </w:pPr>
            <w:r>
              <w:rPr>
                <w:rFonts w:hint="eastAsia" w:ascii="宋体" w:hAnsi="宋体" w:cs="宋体"/>
                <w:color w:val="auto"/>
                <w:sz w:val="24"/>
                <w:highlight w:val="none"/>
              </w:rPr>
              <w:t>路桥相关专业工程师，累计 3 年从事类似工程经验。</w:t>
            </w:r>
          </w:p>
        </w:tc>
      </w:tr>
      <w:tr w14:paraId="4B3EE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3E5CD57D">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道路工程师</w:t>
            </w:r>
          </w:p>
        </w:tc>
        <w:tc>
          <w:tcPr>
            <w:tcW w:w="690" w:type="dxa"/>
            <w:vAlign w:val="center"/>
          </w:tcPr>
          <w:p w14:paraId="73A51976">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714A5969">
            <w:pPr>
              <w:shd w:val="clear" w:fill="FFFFFF" w:themeFill="background1"/>
              <w:spacing w:line="320" w:lineRule="exact"/>
              <w:rPr>
                <w:rFonts w:ascii="宋体" w:hAnsi="宋体" w:cs="宋体"/>
                <w:color w:val="auto"/>
                <w:sz w:val="24"/>
                <w:highlight w:val="none"/>
              </w:rPr>
            </w:pPr>
            <w:r>
              <w:rPr>
                <w:rFonts w:hint="eastAsia" w:ascii="宋体" w:hAnsi="宋体" w:cs="宋体"/>
                <w:color w:val="auto"/>
                <w:sz w:val="24"/>
                <w:highlight w:val="none"/>
              </w:rPr>
              <w:t>路桥相关专业工程师，累计 3 年从事类似工程经验。</w:t>
            </w:r>
          </w:p>
        </w:tc>
      </w:tr>
      <w:tr w14:paraId="3FC39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B1092A5">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测量工程师</w:t>
            </w:r>
          </w:p>
        </w:tc>
        <w:tc>
          <w:tcPr>
            <w:tcW w:w="690" w:type="dxa"/>
            <w:vAlign w:val="center"/>
          </w:tcPr>
          <w:p w14:paraId="45A0CC33">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1D12AB8F">
            <w:pPr>
              <w:shd w:val="clear" w:fill="FFFFFF" w:themeFill="background1"/>
              <w:spacing w:line="320" w:lineRule="exact"/>
              <w:jc w:val="left"/>
              <w:rPr>
                <w:rFonts w:ascii="宋体" w:hAnsi="宋体" w:cs="宋体"/>
                <w:bCs/>
                <w:color w:val="auto"/>
                <w:kern w:val="0"/>
                <w:sz w:val="24"/>
                <w:highlight w:val="none"/>
              </w:rPr>
            </w:pPr>
            <w:r>
              <w:rPr>
                <w:rFonts w:hint="eastAsia" w:ascii="宋体" w:hAnsi="宋体" w:cs="宋体"/>
                <w:color w:val="auto"/>
                <w:sz w:val="24"/>
                <w:highlight w:val="none"/>
              </w:rPr>
              <w:t>工程师，累计 3 年</w:t>
            </w:r>
            <w:r>
              <w:rPr>
                <w:rFonts w:hint="eastAsia" w:ascii="宋体" w:hAnsi="宋体" w:cs="宋体"/>
                <w:bCs/>
                <w:color w:val="auto"/>
                <w:kern w:val="0"/>
                <w:sz w:val="24"/>
                <w:highlight w:val="none"/>
              </w:rPr>
              <w:t>从事</w:t>
            </w:r>
            <w:r>
              <w:rPr>
                <w:rFonts w:hint="eastAsia" w:ascii="宋体" w:hAnsi="宋体" w:cs="宋体"/>
                <w:color w:val="auto"/>
                <w:sz w:val="24"/>
                <w:highlight w:val="none"/>
              </w:rPr>
              <w:t>类似工程经验。</w:t>
            </w:r>
          </w:p>
        </w:tc>
      </w:tr>
      <w:tr w14:paraId="72038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6359BC4">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试验工程师</w:t>
            </w:r>
          </w:p>
        </w:tc>
        <w:tc>
          <w:tcPr>
            <w:tcW w:w="690" w:type="dxa"/>
            <w:vAlign w:val="center"/>
          </w:tcPr>
          <w:p w14:paraId="6947259A">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576442B1">
            <w:pPr>
              <w:shd w:val="clear" w:fill="FFFFFF" w:themeFill="background1"/>
              <w:spacing w:line="320" w:lineRule="exact"/>
              <w:jc w:val="left"/>
              <w:rPr>
                <w:rFonts w:ascii="宋体" w:hAnsi="宋体" w:cs="宋体"/>
                <w:bCs/>
                <w:color w:val="auto"/>
                <w:kern w:val="0"/>
                <w:sz w:val="24"/>
                <w:highlight w:val="none"/>
              </w:rPr>
            </w:pPr>
            <w:r>
              <w:rPr>
                <w:rFonts w:ascii="宋体" w:hAnsi="宋体" w:cs="宋体"/>
                <w:bCs/>
                <w:color w:val="auto"/>
                <w:kern w:val="0"/>
                <w:sz w:val="24"/>
                <w:highlight w:val="none"/>
              </w:rPr>
              <w:t>持有行政主管部门核发的公路工程试验检测师资格证书或试验检测工程师资格证书，累计 3 年从事类似工程经验。</w:t>
            </w:r>
          </w:p>
        </w:tc>
      </w:tr>
      <w:tr w14:paraId="5CD46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423C1889">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财务负责人</w:t>
            </w:r>
          </w:p>
        </w:tc>
        <w:tc>
          <w:tcPr>
            <w:tcW w:w="690" w:type="dxa"/>
            <w:vAlign w:val="center"/>
          </w:tcPr>
          <w:p w14:paraId="2ADA67E7">
            <w:pPr>
              <w:shd w:val="clear" w:fill="FFFFFF" w:themeFill="background1"/>
              <w:spacing w:line="320" w:lineRule="exact"/>
              <w:jc w:val="center"/>
              <w:rPr>
                <w:rFonts w:ascii="宋体" w:hAnsi="宋体" w:cs="宋体"/>
                <w:bCs/>
                <w:color w:val="auto"/>
                <w:kern w:val="0"/>
                <w:sz w:val="24"/>
                <w:highlight w:val="none"/>
              </w:rPr>
            </w:pPr>
            <w:r>
              <w:rPr>
                <w:rFonts w:hint="eastAsia" w:ascii="宋体" w:hAnsi="宋体" w:cs="宋体"/>
                <w:color w:val="auto"/>
                <w:sz w:val="24"/>
                <w:highlight w:val="none"/>
              </w:rPr>
              <w:t>1</w:t>
            </w:r>
          </w:p>
        </w:tc>
        <w:tc>
          <w:tcPr>
            <w:tcW w:w="7286" w:type="dxa"/>
            <w:vAlign w:val="center"/>
          </w:tcPr>
          <w:p w14:paraId="32E57A30">
            <w:pPr>
              <w:shd w:val="clear" w:fill="FFFFFF" w:themeFill="background1"/>
              <w:spacing w:line="320" w:lineRule="exact"/>
              <w:jc w:val="left"/>
              <w:rPr>
                <w:rFonts w:ascii="宋体" w:hAnsi="宋体" w:cs="宋体"/>
                <w:bCs/>
                <w:color w:val="auto"/>
                <w:kern w:val="0"/>
                <w:sz w:val="24"/>
                <w:highlight w:val="none"/>
              </w:rPr>
            </w:pPr>
            <w:r>
              <w:rPr>
                <w:rFonts w:hint="eastAsia" w:ascii="宋体" w:hAnsi="宋体" w:cs="宋体"/>
                <w:bCs/>
                <w:color w:val="auto"/>
                <w:kern w:val="0"/>
                <w:sz w:val="24"/>
                <w:highlight w:val="none"/>
              </w:rPr>
              <w:t>累计3年从事类似工程经验。</w:t>
            </w:r>
          </w:p>
        </w:tc>
      </w:tr>
      <w:tr w14:paraId="0F52F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2950FDA6">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专职安全生产管理人员</w:t>
            </w:r>
          </w:p>
        </w:tc>
        <w:tc>
          <w:tcPr>
            <w:tcW w:w="690" w:type="dxa"/>
            <w:vAlign w:val="center"/>
          </w:tcPr>
          <w:p w14:paraId="4DE56B62">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26582A2D">
            <w:pPr>
              <w:shd w:val="clear" w:fill="FFFFFF" w:themeFill="background1"/>
              <w:spacing w:line="320" w:lineRule="exact"/>
              <w:jc w:val="left"/>
              <w:rPr>
                <w:rFonts w:ascii="宋体" w:hAnsi="宋体" w:cs="宋体"/>
                <w:bCs/>
                <w:color w:val="auto"/>
                <w:kern w:val="0"/>
                <w:sz w:val="24"/>
                <w:highlight w:val="none"/>
              </w:rPr>
            </w:pPr>
            <w:r>
              <w:rPr>
                <w:rFonts w:hint="eastAsia" w:ascii="宋体" w:hAnsi="宋体" w:cs="宋体"/>
                <w:bCs/>
                <w:color w:val="auto"/>
                <w:kern w:val="0"/>
                <w:sz w:val="24"/>
                <w:highlight w:val="none"/>
              </w:rPr>
              <w:t>具有交通主管部门颁发的有效安全生产“三类人员” C 类证书，累计 3 年从事类似工程经验。</w:t>
            </w:r>
          </w:p>
        </w:tc>
      </w:tr>
      <w:tr w14:paraId="65C5B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3556E9D">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资料员</w:t>
            </w:r>
          </w:p>
        </w:tc>
        <w:tc>
          <w:tcPr>
            <w:tcW w:w="690" w:type="dxa"/>
            <w:vAlign w:val="center"/>
          </w:tcPr>
          <w:p w14:paraId="6234C60F">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166439A2">
            <w:pPr>
              <w:shd w:val="clear" w:fill="FFFFFF" w:themeFill="background1"/>
              <w:spacing w:line="320" w:lineRule="exact"/>
              <w:jc w:val="left"/>
              <w:rPr>
                <w:rFonts w:ascii="宋体" w:hAnsi="宋体" w:cs="宋体"/>
                <w:bCs/>
                <w:color w:val="auto"/>
                <w:kern w:val="0"/>
                <w:sz w:val="24"/>
                <w:highlight w:val="none"/>
              </w:rPr>
            </w:pPr>
            <w:r>
              <w:rPr>
                <w:rFonts w:hint="eastAsia" w:ascii="宋体" w:hAnsi="宋体" w:cs="宋体"/>
                <w:color w:val="auto"/>
                <w:sz w:val="24"/>
                <w:highlight w:val="none"/>
              </w:rPr>
              <w:t>资料员，累计 3 年从事类似工作经验。</w:t>
            </w:r>
          </w:p>
        </w:tc>
      </w:tr>
    </w:tbl>
    <w:p w14:paraId="1D98F7F6">
      <w:pPr>
        <w:shd w:val="clear" w:fill="FFFFFF" w:themeFill="background1"/>
        <w:spacing w:line="360" w:lineRule="auto"/>
        <w:rPr>
          <w:color w:val="auto"/>
          <w:sz w:val="24"/>
          <w:highlight w:val="none"/>
        </w:rPr>
      </w:pPr>
      <w:r>
        <w:rPr>
          <w:rFonts w:hint="eastAsia"/>
          <w:color w:val="auto"/>
          <w:sz w:val="24"/>
          <w:highlight w:val="none"/>
        </w:rPr>
        <w:t>注：</w:t>
      </w:r>
    </w:p>
    <w:p w14:paraId="6DA9257B">
      <w:pPr>
        <w:shd w:val="clear" w:fill="FFFFFF" w:themeFill="background1"/>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1、附录 6 所要求人员须按投标文件投标函的格式承诺，中标人在进场前向招标人提交实际投入的人员。</w:t>
      </w:r>
    </w:p>
    <w:p w14:paraId="64C5043A">
      <w:pPr>
        <w:shd w:val="clear"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2、投标人中标后专职安全生产管理人员的配备应按照交通部《公路水运工程安全生产监督管理办法》的要求执行。招标人可根据项目的工期和进度，按规定设置最低的专职安全生产管理人员数量要求。</w:t>
      </w:r>
    </w:p>
    <w:p w14:paraId="7D3BF014">
      <w:pPr>
        <w:shd w:val="clear"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3、计划工程师的造价人员证书的等级结合项目属性按规定合理设定。</w:t>
      </w:r>
    </w:p>
    <w:p w14:paraId="65A46374">
      <w:pPr>
        <w:shd w:val="clear"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4、试验相关人员的配备应符合《广东省公路工程施工标准化指南》的要求。</w:t>
      </w:r>
    </w:p>
    <w:p w14:paraId="0B67A023">
      <w:pPr>
        <w:pStyle w:val="55"/>
        <w:shd w:val="clear" w:fill="FFFFFF" w:themeFill="background1"/>
        <w:rPr>
          <w:rFonts w:ascii="宋体" w:hAnsi="宋体" w:cs="宋体"/>
          <w:color w:val="auto"/>
          <w:sz w:val="21"/>
          <w:szCs w:val="21"/>
          <w:highlight w:val="none"/>
        </w:rPr>
      </w:pPr>
    </w:p>
    <w:p w14:paraId="38A4853F">
      <w:pPr>
        <w:pStyle w:val="5"/>
        <w:shd w:val="clear" w:fill="FFFFFF" w:themeFill="background1"/>
        <w:jc w:val="center"/>
        <w:rPr>
          <w:rFonts w:ascii="宋体" w:hAnsi="宋体" w:cs="黑体"/>
          <w:color w:val="auto"/>
          <w:sz w:val="30"/>
          <w:szCs w:val="30"/>
          <w:highlight w:val="none"/>
        </w:rPr>
      </w:pPr>
    </w:p>
    <w:p w14:paraId="1AB49F7F">
      <w:pPr>
        <w:pStyle w:val="5"/>
        <w:shd w:val="clear" w:fill="FFFFFF" w:themeFill="background1"/>
        <w:jc w:val="center"/>
        <w:rPr>
          <w:rFonts w:ascii="宋体" w:hAnsi="宋体" w:cs="黑体"/>
          <w:color w:val="auto"/>
          <w:sz w:val="30"/>
          <w:szCs w:val="30"/>
          <w:highlight w:val="none"/>
        </w:rPr>
      </w:pPr>
      <w:r>
        <w:rPr>
          <w:rFonts w:hint="eastAsia" w:ascii="宋体" w:hAnsi="宋体" w:cs="黑体"/>
          <w:color w:val="auto"/>
          <w:sz w:val="30"/>
          <w:szCs w:val="30"/>
          <w:highlight w:val="none"/>
        </w:rPr>
        <w:br w:type="page"/>
      </w:r>
    </w:p>
    <w:p w14:paraId="38D910E8">
      <w:pPr>
        <w:pStyle w:val="5"/>
        <w:shd w:val="clear" w:fill="FFFFFF" w:themeFill="background1"/>
        <w:jc w:val="center"/>
        <w:rPr>
          <w:rFonts w:ascii="宋体" w:hAnsi="宋体" w:cs="黑体"/>
          <w:color w:val="auto"/>
          <w:sz w:val="30"/>
          <w:szCs w:val="30"/>
          <w:highlight w:val="none"/>
        </w:rPr>
      </w:pPr>
      <w:bookmarkStart w:id="53" w:name="_Toc14728"/>
      <w:r>
        <w:rPr>
          <w:rFonts w:hint="eastAsia" w:ascii="宋体" w:hAnsi="宋体" w:cs="黑体"/>
          <w:color w:val="auto"/>
          <w:sz w:val="30"/>
          <w:szCs w:val="30"/>
          <w:highlight w:val="none"/>
        </w:rPr>
        <w:t>附录7  资格审查条件（主要设备最低要求）</w:t>
      </w:r>
      <w:bookmarkEnd w:id="53"/>
    </w:p>
    <w:tbl>
      <w:tblPr>
        <w:tblStyle w:val="43"/>
        <w:tblpPr w:leftFromText="180" w:rightFromText="180" w:vertAnchor="text" w:horzAnchor="page" w:tblpXSpec="center" w:tblpY="109"/>
        <w:tblOverlap w:val="never"/>
        <w:tblW w:w="8765" w:type="dxa"/>
        <w:tblInd w:w="0" w:type="dxa"/>
        <w:tblLayout w:type="fixed"/>
        <w:tblCellMar>
          <w:top w:w="0" w:type="dxa"/>
          <w:left w:w="0" w:type="dxa"/>
          <w:bottom w:w="0" w:type="dxa"/>
          <w:right w:w="0" w:type="dxa"/>
        </w:tblCellMar>
      </w:tblPr>
      <w:tblGrid>
        <w:gridCol w:w="772"/>
        <w:gridCol w:w="2736"/>
        <w:gridCol w:w="2972"/>
        <w:gridCol w:w="842"/>
        <w:gridCol w:w="1443"/>
      </w:tblGrid>
      <w:tr w14:paraId="5E25A31B">
        <w:tblPrEx>
          <w:tblCellMar>
            <w:top w:w="0" w:type="dxa"/>
            <w:left w:w="0" w:type="dxa"/>
            <w:bottom w:w="0" w:type="dxa"/>
            <w:right w:w="0" w:type="dxa"/>
          </w:tblCellMar>
        </w:tblPrEx>
        <w:trPr>
          <w:trHeight w:val="565" w:hRule="exact"/>
        </w:trPr>
        <w:tc>
          <w:tcPr>
            <w:tcW w:w="772" w:type="dxa"/>
            <w:tcBorders>
              <w:top w:val="single" w:color="000000" w:sz="12" w:space="0"/>
              <w:left w:val="single" w:color="000000" w:sz="12" w:space="0"/>
              <w:bottom w:val="single" w:color="000000" w:sz="8" w:space="0"/>
              <w:right w:val="single" w:color="000000" w:sz="8" w:space="0"/>
            </w:tcBorders>
            <w:vAlign w:val="center"/>
          </w:tcPr>
          <w:p w14:paraId="14AC9630">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55C6185B">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02A996E1">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1B5137B8">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5984ED70">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最低数量</w:t>
            </w:r>
          </w:p>
        </w:tc>
      </w:tr>
      <w:tr w14:paraId="54CA5001">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1B3E4BE">
            <w:pPr>
              <w:numPr>
                <w:ilvl w:val="0"/>
                <w:numId w:val="10"/>
              </w:numPr>
              <w:shd w:val="clear" w:fill="FFFFFF" w:themeFill="background1"/>
              <w:tabs>
                <w:tab w:val="left" w:pos="425"/>
              </w:tabs>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1D91F">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振动压路机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A0549">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≥18T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C3FA6">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5CA5011">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2D017ECA">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CA27F11">
            <w:pPr>
              <w:numPr>
                <w:ilvl w:val="0"/>
                <w:numId w:val="10"/>
              </w:numPr>
              <w:shd w:val="clear" w:fill="FFFFFF" w:themeFill="background1"/>
              <w:tabs>
                <w:tab w:val="left" w:pos="425"/>
              </w:tabs>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C2334">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双钢轮压路机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26E7E">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≥10T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FD466">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D7BCBC4">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0BE7D141">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D7AD104">
            <w:pPr>
              <w:numPr>
                <w:ilvl w:val="0"/>
                <w:numId w:val="10"/>
              </w:numPr>
              <w:shd w:val="clear" w:fill="FFFFFF" w:themeFill="background1"/>
              <w:tabs>
                <w:tab w:val="left" w:pos="425"/>
              </w:tabs>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AE977">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胶轮压路机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71FDE">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≥26T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EFA40">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1278B55">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2748B446">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F32C89E">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E607C">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装载机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A8E1E">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≥2m³</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EE58C">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142F48C">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624E673C">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1482178">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77046">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挖掘机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62635">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≥1.0m³</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FDFC2">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E964F14">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4CDEFC53">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4B247D0">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AB9E6">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自卸汽车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D9999">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≥8t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D491F">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辆</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008F86B">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r>
      <w:tr w14:paraId="121834B7">
        <w:tblPrEx>
          <w:tblCellMar>
            <w:top w:w="0" w:type="dxa"/>
            <w:left w:w="0" w:type="dxa"/>
            <w:bottom w:w="0" w:type="dxa"/>
            <w:right w:w="0" w:type="dxa"/>
          </w:tblCellMar>
        </w:tblPrEx>
        <w:trPr>
          <w:trHeight w:val="550"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6B9B0DE">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F5AA7">
            <w:pPr>
              <w:shd w:val="clear" w:fill="FFFFFF" w:themeFill="background1"/>
              <w:spacing w:line="360" w:lineRule="auto"/>
              <w:ind w:firstLine="240" w:firstLineChars="1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洒水车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11DDF">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color w:val="auto"/>
                <w:sz w:val="24"/>
                <w:highlight w:val="none"/>
              </w:rPr>
              <w:t>≥10000L</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5C49D">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color w:val="auto"/>
                <w:sz w:val="24"/>
                <w:highlight w:val="none"/>
              </w:rPr>
              <w:t>辆</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1B362C77">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w:t>
            </w:r>
          </w:p>
        </w:tc>
      </w:tr>
      <w:tr w14:paraId="78B28BC7">
        <w:tblPrEx>
          <w:tblCellMar>
            <w:top w:w="0" w:type="dxa"/>
            <w:left w:w="0" w:type="dxa"/>
            <w:bottom w:w="0" w:type="dxa"/>
            <w:right w:w="0" w:type="dxa"/>
          </w:tblCellMar>
        </w:tblPrEx>
        <w:trPr>
          <w:trHeight w:val="568" w:hRule="atLeas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33CDAA2">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BC661">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沥青混合料摊铺机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5CA77">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color w:val="auto"/>
                <w:sz w:val="24"/>
                <w:highlight w:val="none"/>
              </w:rPr>
              <w:t>≥6m</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5CE99">
            <w:pPr>
              <w:shd w:val="clear" w:fill="FFFFFF" w:themeFill="background1"/>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81FC08A">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color w:val="auto"/>
                <w:sz w:val="24"/>
                <w:highlight w:val="none"/>
              </w:rPr>
              <w:t>1</w:t>
            </w:r>
          </w:p>
        </w:tc>
      </w:tr>
      <w:tr w14:paraId="556F1C41">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5F7DE82">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E286A">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沥青洒布车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1B3EC">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≥8000L</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CB8C4">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1D41332">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1</w:t>
            </w:r>
          </w:p>
        </w:tc>
      </w:tr>
      <w:tr w14:paraId="2A862BE3">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14:paraId="6C6DBB53">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6C91C5AA">
            <w:pPr>
              <w:shd w:val="clear" w:fill="FFFFFF" w:themeFill="background1"/>
              <w:spacing w:line="360" w:lineRule="auto"/>
              <w:ind w:firstLine="240" w:firstLineChars="100"/>
              <w:rPr>
                <w:rFonts w:ascii="宋体" w:hAnsi="宋体" w:cs="宋体" w:eastAsiaTheme="minorEastAsia"/>
                <w:color w:val="auto"/>
                <w:sz w:val="24"/>
                <w:highlight w:val="none"/>
              </w:rPr>
            </w:pPr>
            <w:r>
              <w:rPr>
                <w:rFonts w:hint="eastAsia" w:ascii="宋体" w:hAnsi="宋体" w:cs="宋体"/>
                <w:color w:val="auto"/>
                <w:sz w:val="24"/>
                <w:highlight w:val="none"/>
              </w:rPr>
              <w:t>路面铣刨机</w:t>
            </w:r>
          </w:p>
        </w:tc>
        <w:tc>
          <w:tcPr>
            <w:tcW w:w="2972" w:type="dxa"/>
            <w:tcBorders>
              <w:top w:val="single" w:color="000000" w:sz="8" w:space="0"/>
              <w:left w:val="single" w:color="000000" w:sz="8" w:space="0"/>
              <w:bottom w:val="single" w:color="000000" w:sz="8" w:space="0"/>
              <w:right w:val="single" w:color="000000" w:sz="8" w:space="0"/>
            </w:tcBorders>
            <w:vAlign w:val="center"/>
          </w:tcPr>
          <w:p w14:paraId="4E786AC9">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≥2000mm</w:t>
            </w:r>
          </w:p>
        </w:tc>
        <w:tc>
          <w:tcPr>
            <w:tcW w:w="842" w:type="dxa"/>
            <w:tcBorders>
              <w:top w:val="single" w:color="000000" w:sz="8" w:space="0"/>
              <w:left w:val="single" w:color="000000" w:sz="8" w:space="0"/>
              <w:bottom w:val="single" w:color="000000" w:sz="8" w:space="0"/>
              <w:right w:val="single" w:color="000000" w:sz="8" w:space="0"/>
            </w:tcBorders>
            <w:vAlign w:val="center"/>
          </w:tcPr>
          <w:p w14:paraId="3B75D321">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vAlign w:val="center"/>
          </w:tcPr>
          <w:p w14:paraId="4F86C763">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1</w:t>
            </w:r>
          </w:p>
        </w:tc>
      </w:tr>
      <w:tr w14:paraId="4810F8AC">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14:paraId="1677EB2E">
            <w:pPr>
              <w:shd w:val="clear" w:fill="FFFFFF" w:themeFill="background1"/>
              <w:tabs>
                <w:tab w:val="left" w:pos="425"/>
              </w:tabs>
              <w:ind w:left="299"/>
              <w:rPr>
                <w:rFonts w:ascii="宋体" w:hAnsi="宋体" w:cs="宋体"/>
                <w:color w:val="auto"/>
                <w:sz w:val="24"/>
                <w:highlight w:val="none"/>
              </w:rPr>
            </w:pPr>
            <w:r>
              <w:rPr>
                <w:rFonts w:hint="eastAsia" w:ascii="宋体" w:hAnsi="宋体" w:cs="宋体"/>
                <w:color w:val="auto"/>
                <w:sz w:val="24"/>
                <w:highlight w:val="none"/>
              </w:rPr>
              <w:t>...</w:t>
            </w:r>
          </w:p>
        </w:tc>
        <w:tc>
          <w:tcPr>
            <w:tcW w:w="2736" w:type="dxa"/>
            <w:tcBorders>
              <w:top w:val="single" w:color="000000" w:sz="8" w:space="0"/>
              <w:left w:val="single" w:color="000000" w:sz="8" w:space="0"/>
              <w:bottom w:val="single" w:color="000000" w:sz="8" w:space="0"/>
              <w:right w:val="single" w:color="000000" w:sz="8" w:space="0"/>
            </w:tcBorders>
            <w:vAlign w:val="center"/>
          </w:tcPr>
          <w:p w14:paraId="48B7E9CF">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p>
        </w:tc>
        <w:tc>
          <w:tcPr>
            <w:tcW w:w="2972" w:type="dxa"/>
            <w:tcBorders>
              <w:top w:val="single" w:color="000000" w:sz="8" w:space="0"/>
              <w:left w:val="single" w:color="000000" w:sz="8" w:space="0"/>
              <w:bottom w:val="single" w:color="000000" w:sz="8" w:space="0"/>
              <w:right w:val="single" w:color="000000" w:sz="8" w:space="0"/>
            </w:tcBorders>
            <w:vAlign w:val="center"/>
          </w:tcPr>
          <w:p w14:paraId="0232A42D">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7AA7A912">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005EE5A3">
            <w:pPr>
              <w:shd w:val="clear" w:fill="FFFFFF" w:themeFill="background1"/>
              <w:spacing w:line="360" w:lineRule="auto"/>
              <w:jc w:val="center"/>
              <w:rPr>
                <w:rFonts w:ascii="宋体" w:hAnsi="宋体" w:cs="宋体"/>
                <w:color w:val="auto"/>
                <w:sz w:val="24"/>
                <w:highlight w:val="none"/>
              </w:rPr>
            </w:pPr>
          </w:p>
        </w:tc>
      </w:tr>
    </w:tbl>
    <w:p w14:paraId="5D805527">
      <w:pPr>
        <w:widowControl/>
        <w:shd w:val="clear" w:fill="FFFFFF" w:themeFill="background1"/>
        <w:jc w:val="left"/>
        <w:rPr>
          <w:rFonts w:ascii="宋体" w:hAnsi="宋体"/>
          <w:color w:val="auto"/>
          <w:sz w:val="24"/>
          <w:highlight w:val="none"/>
        </w:rPr>
      </w:pPr>
    </w:p>
    <w:p w14:paraId="1D65D1D0">
      <w:pPr>
        <w:widowControl/>
        <w:shd w:val="clear" w:fill="FFFFFF" w:themeFill="background1"/>
        <w:jc w:val="left"/>
        <w:rPr>
          <w:rFonts w:ascii="宋体" w:hAnsi="宋体"/>
          <w:color w:val="auto"/>
          <w:sz w:val="24"/>
          <w:highlight w:val="none"/>
        </w:rPr>
      </w:pPr>
      <w:r>
        <w:rPr>
          <w:rFonts w:hint="eastAsia" w:ascii="宋体" w:hAnsi="宋体"/>
          <w:color w:val="auto"/>
          <w:sz w:val="24"/>
          <w:highlight w:val="none"/>
        </w:rPr>
        <w:t>注：</w:t>
      </w:r>
    </w:p>
    <w:p w14:paraId="4F4DE70A">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1、投标人须按投标文件投标函的格式承诺。</w:t>
      </w:r>
    </w:p>
    <w:p w14:paraId="7E932E47">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2、招标人有权根据标段的工程特点、工程量及工程进度情况要求增加或调整相应的施工设备。</w:t>
      </w:r>
    </w:p>
    <w:p w14:paraId="7C783454">
      <w:pPr>
        <w:shd w:val="clear" w:fill="FFFFFF" w:themeFill="background1"/>
        <w:ind w:left="240"/>
        <w:rPr>
          <w:rFonts w:ascii="宋体" w:hAnsi="宋体"/>
          <w:color w:val="auto"/>
          <w:sz w:val="24"/>
          <w:highlight w:val="none"/>
        </w:rPr>
      </w:pPr>
      <w:r>
        <w:rPr>
          <w:rFonts w:hint="eastAsia" w:ascii="宋体" w:hAnsi="宋体"/>
          <w:color w:val="auto"/>
          <w:sz w:val="24"/>
          <w:highlight w:val="none"/>
        </w:rPr>
        <w:br w:type="page"/>
      </w:r>
    </w:p>
    <w:bookmarkEnd w:id="32"/>
    <w:bookmarkEnd w:id="33"/>
    <w:p w14:paraId="2FB2EA91">
      <w:pPr>
        <w:pStyle w:val="69"/>
        <w:shd w:val="clear" w:fill="FFFFFF" w:themeFill="background1"/>
        <w:spacing w:before="156"/>
        <w:rPr>
          <w:color w:val="auto"/>
          <w:highlight w:val="none"/>
        </w:rPr>
      </w:pPr>
      <w:bookmarkStart w:id="54" w:name="_Toc43475670"/>
      <w:bookmarkEnd w:id="54"/>
      <w:bookmarkStart w:id="55" w:name="_Toc11325"/>
      <w:bookmarkEnd w:id="55"/>
      <w:bookmarkStart w:id="56" w:name="_Toc2293"/>
      <w:bookmarkEnd w:id="56"/>
      <w:r>
        <w:rPr>
          <w:rFonts w:hint="eastAsia"/>
          <w:color w:val="auto"/>
          <w:highlight w:val="none"/>
        </w:rPr>
        <w:t>总则</w:t>
      </w:r>
    </w:p>
    <w:p w14:paraId="031B7C51">
      <w:pPr>
        <w:pStyle w:val="71"/>
        <w:shd w:val="clear" w:fill="FFFFFF" w:themeFill="background1"/>
        <w:rPr>
          <w:color w:val="auto"/>
          <w:highlight w:val="none"/>
        </w:rPr>
      </w:pPr>
      <w:bookmarkStart w:id="57" w:name="_Toc13126"/>
      <w:bookmarkEnd w:id="57"/>
      <w:bookmarkStart w:id="58" w:name="_Toc43475671"/>
      <w:bookmarkEnd w:id="58"/>
      <w:bookmarkStart w:id="59" w:name="_Toc4935"/>
      <w:bookmarkEnd w:id="59"/>
      <w:r>
        <w:rPr>
          <w:rFonts w:hint="eastAsia"/>
          <w:color w:val="auto"/>
          <w:highlight w:val="none"/>
        </w:rPr>
        <w:t>项目概况</w:t>
      </w:r>
    </w:p>
    <w:p w14:paraId="28A8D78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14:paraId="00C7292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 本招标项目招标人：见投标人须知前附表。</w:t>
      </w:r>
    </w:p>
    <w:p w14:paraId="2E6147D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1.1.3 本标段招标代理机构：见投标人须知前附表。</w:t>
      </w:r>
    </w:p>
    <w:p w14:paraId="37F2BDF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1.1.4 本招标项目名称：见投标人须知前附表。</w:t>
      </w:r>
    </w:p>
    <w:p w14:paraId="6D46748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1.1.5 本标段建设地点：见投标人须知前附表。</w:t>
      </w:r>
    </w:p>
    <w:p w14:paraId="197E7201">
      <w:pPr>
        <w:pStyle w:val="71"/>
        <w:shd w:val="clear" w:fill="FFFFFF" w:themeFill="background1"/>
        <w:rPr>
          <w:color w:val="auto"/>
          <w:highlight w:val="none"/>
        </w:rPr>
      </w:pPr>
      <w:bookmarkStart w:id="60" w:name="_Toc43475672"/>
      <w:bookmarkEnd w:id="60"/>
      <w:bookmarkStart w:id="61" w:name="_Toc9325"/>
      <w:bookmarkEnd w:id="61"/>
      <w:bookmarkStart w:id="62" w:name="_Toc31619"/>
      <w:bookmarkEnd w:id="62"/>
      <w:r>
        <w:rPr>
          <w:rFonts w:hint="eastAsia"/>
          <w:color w:val="auto"/>
          <w:highlight w:val="none"/>
        </w:rPr>
        <w:t>招标项目的资金来源和落实情况</w:t>
      </w:r>
    </w:p>
    <w:p w14:paraId="3DAB08D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14:paraId="190E76C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14:paraId="2642A315">
      <w:pPr>
        <w:pStyle w:val="71"/>
        <w:shd w:val="clear" w:fill="FFFFFF" w:themeFill="background1"/>
        <w:rPr>
          <w:color w:val="auto"/>
          <w:highlight w:val="none"/>
        </w:rPr>
      </w:pPr>
      <w:bookmarkStart w:id="63" w:name="_Toc13421"/>
      <w:bookmarkEnd w:id="63"/>
      <w:bookmarkStart w:id="64" w:name="_Toc11165"/>
      <w:bookmarkEnd w:id="64"/>
      <w:bookmarkStart w:id="65" w:name="_Toc43475673"/>
      <w:bookmarkEnd w:id="65"/>
      <w:r>
        <w:rPr>
          <w:rFonts w:hint="eastAsia"/>
          <w:color w:val="auto"/>
          <w:highlight w:val="none"/>
        </w:rPr>
        <w:t>招标范围、计划工期、质量要求和安全目标</w:t>
      </w:r>
    </w:p>
    <w:p w14:paraId="74A3AC2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1.3.1 本标段的招标范围：见投标人须知前附表。</w:t>
      </w:r>
    </w:p>
    <w:p w14:paraId="1ACBA8D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1.3.2 本标段的计划工期：见投标人须知前附表。</w:t>
      </w:r>
    </w:p>
    <w:p w14:paraId="314335C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1.3.3 本标段的质量要求：见投标人须知前附表。</w:t>
      </w:r>
    </w:p>
    <w:p w14:paraId="73D41B2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1.3.4 本标段的安全</w:t>
      </w:r>
      <w:r>
        <w:rPr>
          <w:rFonts w:hint="eastAsia"/>
          <w:color w:val="auto"/>
          <w:highlight w:val="none"/>
        </w:rPr>
        <w:t>目标：</w:t>
      </w:r>
      <w:r>
        <w:rPr>
          <w:rFonts w:hint="eastAsia" w:ascii="宋体" w:hAnsi="宋体" w:cs="宋体"/>
          <w:color w:val="auto"/>
          <w:highlight w:val="none"/>
        </w:rPr>
        <w:t>见投标人须知前附表。</w:t>
      </w:r>
    </w:p>
    <w:p w14:paraId="2CFFBF9C">
      <w:pPr>
        <w:pStyle w:val="71"/>
        <w:shd w:val="clear" w:fill="FFFFFF" w:themeFill="background1"/>
        <w:rPr>
          <w:color w:val="auto"/>
          <w:highlight w:val="none"/>
        </w:rPr>
      </w:pPr>
      <w:bookmarkStart w:id="66" w:name="_Toc43475674"/>
      <w:bookmarkEnd w:id="66"/>
      <w:bookmarkStart w:id="67" w:name="_Toc24385"/>
      <w:bookmarkEnd w:id="67"/>
      <w:bookmarkStart w:id="68" w:name="_Toc32214"/>
      <w:bookmarkEnd w:id="68"/>
      <w:r>
        <w:rPr>
          <w:rFonts w:hint="eastAsia"/>
          <w:color w:val="auto"/>
          <w:highlight w:val="none"/>
        </w:rPr>
        <w:t>投标人资格要求（适用于未进行资格预审的）</w:t>
      </w:r>
    </w:p>
    <w:p w14:paraId="63FCA26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1.4.1 投标人应具备承担本标段施工的资质条件、能力和信誉。</w:t>
      </w:r>
    </w:p>
    <w:p w14:paraId="18A33A4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（1）资质要求：见投标人须知前附表；</w:t>
      </w:r>
    </w:p>
    <w:p w14:paraId="13F24CB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（2）财务要求：见投标人须知前附表；</w:t>
      </w:r>
    </w:p>
    <w:p w14:paraId="155F954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（3）业绩要求：见投标人须知前附表；</w:t>
      </w:r>
    </w:p>
    <w:p w14:paraId="6B45BA9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（4）信誉要求：见投标人须知前附表；</w:t>
      </w:r>
    </w:p>
    <w:p w14:paraId="62D1C42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（5）项目经理和项目总工资格：见投标人须知前附表；</w:t>
      </w:r>
    </w:p>
    <w:p w14:paraId="0EA998D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（6）其他要求：见投标人须知前附表。</w:t>
      </w:r>
    </w:p>
    <w:p w14:paraId="22FBBDD7">
      <w:pPr>
        <w:pStyle w:val="59"/>
        <w:shd w:val="clear" w:fill="FFFFFF" w:themeFill="background1"/>
        <w:spacing w:line="360" w:lineRule="auto"/>
        <w:ind w:firstLine="480" w:firstLineChars="200"/>
        <w:rPr>
          <w:rFonts w:ascii="宋体" w:hAnsi="宋体" w:cs="宋体"/>
          <w:color w:val="auto"/>
          <w:highlight w:val="none"/>
        </w:rPr>
      </w:pPr>
      <w:r>
        <w:rPr>
          <w:color w:val="auto"/>
          <w:highlight w:val="none"/>
        </w:rPr>
        <w:t>需要提交的相关</w:t>
      </w:r>
      <w:r>
        <w:rPr>
          <w:rFonts w:hint="eastAsia" w:ascii="宋体" w:hAnsi="宋体" w:cs="宋体"/>
          <w:color w:val="auto"/>
          <w:highlight w:val="none"/>
        </w:rPr>
        <w:t>证明</w:t>
      </w:r>
      <w:r>
        <w:rPr>
          <w:color w:val="auto"/>
          <w:highlight w:val="none"/>
        </w:rPr>
        <w:t>材料见本章第</w:t>
      </w:r>
      <w:r>
        <w:rPr>
          <w:rFonts w:eastAsia="Times New Roman"/>
          <w:color w:val="auto"/>
          <w:highlight w:val="none"/>
        </w:rPr>
        <w:t xml:space="preserve">3.5 </w:t>
      </w:r>
      <w:r>
        <w:rPr>
          <w:color w:val="auto"/>
          <w:highlight w:val="none"/>
        </w:rPr>
        <w:t>款的规定</w:t>
      </w:r>
      <w:r>
        <w:rPr>
          <w:rFonts w:hint="eastAsia"/>
          <w:color w:val="auto"/>
          <w:highlight w:val="none"/>
        </w:rPr>
        <w:t>。</w:t>
      </w:r>
    </w:p>
    <w:p w14:paraId="364A49B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 1.4.1项和投标人须知前附表的要求外，还应遵守以下规定：</w:t>
      </w:r>
    </w:p>
    <w:p w14:paraId="0448AAC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（1）联合体各方应按招标文件提供的格式签订联合体协议书，明确联合体牵头人和各方权利义务，并承诺就中标项目向招标人承担连带责任；</w:t>
      </w:r>
    </w:p>
    <w:p w14:paraId="475B027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6965C30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（3）联合体各方不得再以自己名义单独或参加其他联合体在同一标段中投标；</w:t>
      </w:r>
    </w:p>
    <w:p w14:paraId="455CA25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160E7C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（5）尽管委任了联合体牵头人，但联合体各成员在投标、签订合同与履行合同过程中，仍负有连带的和各自的法律责任。</w:t>
      </w:r>
    </w:p>
    <w:p w14:paraId="7332F7AB">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 xml:space="preserve">    1.4.3 投标人（包括联合体各成员）不得与本标段相关单位存在下列关联关系：</w:t>
      </w:r>
    </w:p>
    <w:p w14:paraId="3744194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（1）为招标人不具有独立法人资格的附属机构（单位）；</w:t>
      </w:r>
    </w:p>
    <w:p w14:paraId="44A0944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（2）与招标人存在利害关系且可能影响招标公正性；</w:t>
      </w:r>
    </w:p>
    <w:p w14:paraId="78E7033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（3）与本标段的其他投标人同为一个单位负责人；</w:t>
      </w:r>
    </w:p>
    <w:p w14:paraId="4CA7A6D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（4）与本标段的其他投标人存在控股、管理关系；</w:t>
      </w:r>
    </w:p>
    <w:p w14:paraId="1654A81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（5）为本标段前期准备提供设计或咨询服务的法人或其任何附属机构（单位）；</w:t>
      </w:r>
    </w:p>
    <w:p w14:paraId="1407133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（6）为本标段的监理人；</w:t>
      </w:r>
    </w:p>
    <w:p w14:paraId="3A47312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（7）为本标段的代建人；</w:t>
      </w:r>
    </w:p>
    <w:p w14:paraId="256637B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（8）为本标段的招标代理机构；</w:t>
      </w:r>
    </w:p>
    <w:p w14:paraId="16CC114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（9）与本标段的监理人或代建人或招标代理机构同为一个法定代表人；</w:t>
      </w:r>
    </w:p>
    <w:p w14:paraId="1C469E1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（10）与本标段的监理人或代建人或招标代理机构存在控股或参股关系；</w:t>
      </w:r>
    </w:p>
    <w:p w14:paraId="7748F64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（11）法律法规或投标人须知前附表规定的其他情形。</w:t>
      </w:r>
    </w:p>
    <w:p w14:paraId="034EABB4">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 xml:space="preserve">    1.4.4 投标人（包括联合体各成员）不得存在下列不良状况或不良信用记录：</w:t>
      </w:r>
    </w:p>
    <w:p w14:paraId="370C48D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（1）被省级及以上交通运输主管部门取消招标项目所在地的投标资格且处于有效期内；</w:t>
      </w:r>
    </w:p>
    <w:p w14:paraId="70CE322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（2）被责令停业，暂扣或吊销执照，或吊销资质证书；</w:t>
      </w:r>
    </w:p>
    <w:p w14:paraId="4983C57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700AF93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（4）在国家企业信用信息公示系统（http://www.gsxt.gov.cn/）中被列入严重违法失信企业名单；</w:t>
      </w:r>
    </w:p>
    <w:p w14:paraId="6C75E10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（5）在“信用中国”网站（http://www.creditchina.gov.cn/）中被列入失信被执行人名单；</w:t>
      </w:r>
    </w:p>
    <w:p w14:paraId="530217C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（6）投标人或其法定代表人、拟委任的项目经理在近三年内有行贿犯罪行为的（行贿犯罪行为的认定以检察机关职务犯罪预防部门出具的查询结果为准）；</w:t>
      </w:r>
    </w:p>
    <w:p w14:paraId="4C0A63F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（7）法律法规或投标人须知前附表规定的其他情形。</w:t>
      </w:r>
    </w:p>
    <w:p w14:paraId="07F82A3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1.4.5 投标人（包括联合体各成员）应进入交通运输部“全国公路建设市场监督管理系统（https://hwdms.mot.gov.cn/BMWebSite/）”中的公路工程施工资质企业名录，且投标人名称和资质与该名录中的相应企业名称和资质完全一致。投标人不满足本项规定条件的，将被否决投标。</w:t>
      </w:r>
    </w:p>
    <w:p w14:paraId="04B89E71">
      <w:pPr>
        <w:pStyle w:val="71"/>
        <w:shd w:val="clear" w:fill="FFFFFF" w:themeFill="background1"/>
        <w:rPr>
          <w:color w:val="auto"/>
          <w:highlight w:val="none"/>
        </w:rPr>
      </w:pPr>
      <w:bookmarkStart w:id="69" w:name="_Toc43475675"/>
      <w:bookmarkEnd w:id="69"/>
      <w:bookmarkStart w:id="70" w:name="_Toc32451"/>
      <w:bookmarkEnd w:id="70"/>
      <w:bookmarkStart w:id="71" w:name="_Toc18622"/>
      <w:bookmarkEnd w:id="71"/>
      <w:r>
        <w:rPr>
          <w:rFonts w:hint="eastAsia"/>
          <w:color w:val="auto"/>
          <w:highlight w:val="none"/>
        </w:rPr>
        <w:t>费用承担</w:t>
      </w:r>
    </w:p>
    <w:p w14:paraId="37BAD8F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投标人准备和参加投标活动发生的费用自理。</w:t>
      </w:r>
    </w:p>
    <w:p w14:paraId="58F31E16">
      <w:pPr>
        <w:pStyle w:val="71"/>
        <w:shd w:val="clear" w:fill="FFFFFF" w:themeFill="background1"/>
        <w:rPr>
          <w:color w:val="auto"/>
          <w:highlight w:val="none"/>
        </w:rPr>
      </w:pPr>
      <w:bookmarkStart w:id="72" w:name="_Toc43475676"/>
      <w:bookmarkEnd w:id="72"/>
      <w:bookmarkStart w:id="73" w:name="_Toc30845"/>
      <w:bookmarkEnd w:id="73"/>
      <w:bookmarkStart w:id="74" w:name="_Toc7728"/>
      <w:bookmarkEnd w:id="74"/>
      <w:r>
        <w:rPr>
          <w:rFonts w:hint="eastAsia"/>
          <w:color w:val="auto"/>
          <w:highlight w:val="none"/>
        </w:rPr>
        <w:t>保密</w:t>
      </w:r>
    </w:p>
    <w:p w14:paraId="0E6C45A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 否则应承担相应的法律责任。</w:t>
      </w:r>
    </w:p>
    <w:p w14:paraId="0D5F4D49">
      <w:pPr>
        <w:pStyle w:val="71"/>
        <w:shd w:val="clear" w:fill="FFFFFF" w:themeFill="background1"/>
        <w:rPr>
          <w:color w:val="auto"/>
          <w:highlight w:val="none"/>
        </w:rPr>
      </w:pPr>
      <w:bookmarkStart w:id="75" w:name="_Toc43475677"/>
      <w:bookmarkEnd w:id="75"/>
      <w:bookmarkStart w:id="76" w:name="_Toc27711"/>
      <w:bookmarkEnd w:id="76"/>
      <w:bookmarkStart w:id="77" w:name="_Toc30800"/>
      <w:bookmarkEnd w:id="77"/>
      <w:r>
        <w:rPr>
          <w:rFonts w:hint="eastAsia"/>
          <w:color w:val="auto"/>
          <w:highlight w:val="none"/>
        </w:rPr>
        <w:t>语言文字</w:t>
      </w:r>
    </w:p>
    <w:p w14:paraId="7F4306F5">
      <w:pPr>
        <w:pStyle w:val="59"/>
        <w:shd w:val="clear" w:fill="FFFFFF" w:themeFill="background1"/>
        <w:spacing w:line="360" w:lineRule="auto"/>
        <w:ind w:firstLine="480" w:firstLineChars="200"/>
        <w:rPr>
          <w:rFonts w:ascii="宋体" w:hAnsi="宋体" w:cs="宋体"/>
          <w:color w:val="auto"/>
          <w:highlight w:val="none"/>
        </w:rPr>
      </w:pPr>
      <w:r>
        <w:rPr>
          <w:color w:val="auto"/>
          <w:highlight w:val="none"/>
        </w:rPr>
        <w:t>招标投标文件使用的语言文字为中文。专用术语使用外文的，应附有中文注释</w:t>
      </w:r>
      <w:r>
        <w:rPr>
          <w:rFonts w:hint="eastAsia" w:ascii="宋体" w:hAnsi="宋体" w:cs="宋体"/>
          <w:color w:val="auto"/>
          <w:highlight w:val="none"/>
        </w:rPr>
        <w:t>。</w:t>
      </w:r>
    </w:p>
    <w:p w14:paraId="605BB070">
      <w:pPr>
        <w:pStyle w:val="71"/>
        <w:shd w:val="clear" w:fill="FFFFFF" w:themeFill="background1"/>
        <w:rPr>
          <w:color w:val="auto"/>
          <w:highlight w:val="none"/>
        </w:rPr>
      </w:pPr>
      <w:bookmarkStart w:id="78" w:name="_Toc19075"/>
      <w:bookmarkEnd w:id="78"/>
      <w:bookmarkStart w:id="79" w:name="_Toc43475678"/>
      <w:bookmarkEnd w:id="79"/>
      <w:bookmarkStart w:id="80" w:name="_Toc19030"/>
      <w:bookmarkEnd w:id="80"/>
      <w:r>
        <w:rPr>
          <w:rFonts w:hint="eastAsia"/>
          <w:color w:val="auto"/>
          <w:highlight w:val="none"/>
        </w:rPr>
        <w:t>计量单位</w:t>
      </w:r>
    </w:p>
    <w:p w14:paraId="1BAA4B5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14:paraId="09E4A049">
      <w:pPr>
        <w:pStyle w:val="71"/>
        <w:shd w:val="clear" w:fill="FFFFFF" w:themeFill="background1"/>
        <w:rPr>
          <w:color w:val="auto"/>
          <w:highlight w:val="none"/>
        </w:rPr>
      </w:pPr>
      <w:bookmarkStart w:id="81" w:name="_Toc11791"/>
      <w:bookmarkEnd w:id="81"/>
      <w:bookmarkStart w:id="82" w:name="_Toc43475679"/>
      <w:bookmarkEnd w:id="82"/>
      <w:bookmarkStart w:id="83" w:name="_Toc9140"/>
      <w:bookmarkEnd w:id="83"/>
      <w:r>
        <w:rPr>
          <w:rFonts w:hint="eastAsia"/>
          <w:color w:val="auto"/>
          <w:highlight w:val="none"/>
        </w:rPr>
        <w:t>踏勘现场</w:t>
      </w:r>
    </w:p>
    <w:p w14:paraId="1D67C83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09FC7FB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1.9.2 投标人踏勘现场发生的费用自理。</w:t>
      </w:r>
    </w:p>
    <w:p w14:paraId="657E162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14:paraId="1391BFE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14:paraId="2F9FE8C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48BD4500">
      <w:pPr>
        <w:pStyle w:val="71"/>
        <w:shd w:val="clear" w:fill="FFFFFF" w:themeFill="background1"/>
        <w:rPr>
          <w:color w:val="auto"/>
          <w:highlight w:val="none"/>
        </w:rPr>
      </w:pPr>
      <w:bookmarkStart w:id="84" w:name="_Toc16718"/>
      <w:bookmarkEnd w:id="84"/>
      <w:bookmarkStart w:id="85" w:name="_Toc7547"/>
      <w:bookmarkEnd w:id="85"/>
      <w:bookmarkStart w:id="86" w:name="_Toc43475680"/>
      <w:bookmarkEnd w:id="86"/>
      <w:r>
        <w:rPr>
          <w:rFonts w:hint="eastAsia"/>
          <w:color w:val="auto"/>
          <w:highlight w:val="none"/>
        </w:rPr>
        <w:t>投标预备会</w:t>
      </w:r>
    </w:p>
    <w:p w14:paraId="6CACA5C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1.10.1 第一章“招标公告”或“投标邀请书”规定召开投标预备会的，招标人按规定的时间和地点召开投标预备会，澄清投标人提出的问题。</w:t>
      </w:r>
    </w:p>
    <w:p w14:paraId="74D45CF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1.10.2 投标人应按投标人须知前附表规定的时间和形式将提出的问题送达招标人，以便招标人在会议期间澄清。</w:t>
      </w:r>
    </w:p>
    <w:p w14:paraId="6E36CFF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1.10.3 投标预备会后，招标人将对投标人所提问题的澄清，以本章第 2.2 款规定的形式通知所有购买招标文件的投标人。该澄清内容为招标文件的组成部分。</w:t>
      </w:r>
    </w:p>
    <w:p w14:paraId="616DD05A">
      <w:pPr>
        <w:pStyle w:val="71"/>
        <w:shd w:val="clear" w:fill="FFFFFF" w:themeFill="background1"/>
        <w:rPr>
          <w:color w:val="auto"/>
          <w:highlight w:val="none"/>
        </w:rPr>
      </w:pPr>
      <w:bookmarkStart w:id="87" w:name="_Toc496"/>
      <w:bookmarkEnd w:id="87"/>
      <w:bookmarkStart w:id="88" w:name="_Toc43475681"/>
      <w:bookmarkEnd w:id="88"/>
      <w:bookmarkStart w:id="89" w:name="_Toc25367"/>
      <w:bookmarkEnd w:id="89"/>
      <w:r>
        <w:rPr>
          <w:rFonts w:hint="eastAsia"/>
          <w:color w:val="auto"/>
          <w:highlight w:val="none"/>
        </w:rPr>
        <w:t>分包</w:t>
      </w:r>
    </w:p>
    <w:p w14:paraId="6597F3D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1.11.1投标人拟在中标后将中标项目的部分非主体、非关键性工作进行分包的， 应符合以下规定：</w:t>
      </w:r>
    </w:p>
    <w:p w14:paraId="5893487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（1）分包内容要求：允许分包的工程范围仅限于非关键性工程或适合专业化队伍施工的专项工程。招标人允许分包或不允许分包的专项工程（如有）应在投标人须知前附表中载明。</w:t>
      </w:r>
    </w:p>
    <w:p w14:paraId="0C7C0F0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（2）接受分包的第三人资格要求：分包人的资格能力应与其分包工程的标准和规模相适应，且具备投标人须知前附表中规定的资格条件。</w:t>
      </w:r>
    </w:p>
    <w:p w14:paraId="65FFAF9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（3）其他要求：投标人如有分包计划，应按第九章“投标文件格式”的要求填写“拟分包项目情况表”，明确拟分包的工程及规模，且投标人中标后的分包应满足合同条款第4.3 款的相关要求。</w:t>
      </w:r>
    </w:p>
    <w:p w14:paraId="672769F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1.11.2中标人不得向他人转让中标项目，接受分包的人不得再次分包。中标人应就分包项目向招标人负责，接受分包的人就分包项目承担连带责任。</w:t>
      </w:r>
    </w:p>
    <w:p w14:paraId="5BE723BB">
      <w:pPr>
        <w:pStyle w:val="71"/>
        <w:shd w:val="clear" w:fill="FFFFFF" w:themeFill="background1"/>
        <w:rPr>
          <w:color w:val="auto"/>
          <w:highlight w:val="none"/>
        </w:rPr>
      </w:pPr>
      <w:bookmarkStart w:id="90" w:name="_Toc43475682"/>
      <w:bookmarkEnd w:id="90"/>
      <w:bookmarkStart w:id="91" w:name="_Toc27550"/>
      <w:bookmarkEnd w:id="91"/>
      <w:bookmarkStart w:id="92" w:name="_Toc29923"/>
      <w:bookmarkEnd w:id="92"/>
      <w:r>
        <w:rPr>
          <w:rFonts w:hint="eastAsia"/>
          <w:color w:val="auto"/>
          <w:highlight w:val="none"/>
        </w:rPr>
        <w:t>响应和偏差</w:t>
      </w:r>
    </w:p>
    <w:p w14:paraId="3479FD2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1.12.1投标文件偏离招标文件某些要求，视为投标文件存在偏差。偏差包括重大偏差和细微偏差。</w:t>
      </w:r>
    </w:p>
    <w:p w14:paraId="063B4A5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1.12.2投标文件应对招标文件的实质性要求和条件作出满足性或更有利于招标人的响应，否则，视为投标文件存在重大偏差，投标人的投标将被否决。</w:t>
      </w:r>
    </w:p>
    <w:p w14:paraId="6601A2A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投标文件存在第三章“评标办法”中所列任一否决投标情形的，均属于存在重大偏差。</w:t>
      </w:r>
    </w:p>
    <w:p w14:paraId="5BFF996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1.12.3投标文件中的下列偏差为细微偏差：</w:t>
      </w:r>
    </w:p>
    <w:p w14:paraId="2A4DE7B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在按照第三章“评标办法”的规定对投标价进行算术性错误修正及其他错误修正后，最终投标报价未超过最高投标限价（如有）的情况下，出现第三章“评标办法”规定的算术性错误和投标报价的其他错误；</w:t>
      </w:r>
    </w:p>
    <w:p w14:paraId="5C28346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（2）施工组织设计（含关键工程技术方案）和项目管理机构不够完善；</w:t>
      </w:r>
    </w:p>
    <w:p w14:paraId="47DC8FE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（3）投标文件页码不连续、采用活页夹装订、个别文字有遗漏错误等不影响投标文件实质性内容的偏差。</w:t>
      </w:r>
    </w:p>
    <w:p w14:paraId="35046C9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1.12.4评标委员会对投标文件中的细微偏差按如下规定处理：</w:t>
      </w:r>
    </w:p>
    <w:p w14:paraId="6D60023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（1）对于本章第 1.12.3 项（1）目所述的细微偏差，按照第三章“评标办法”的规定予以修正并要求投标人进行澄清；</w:t>
      </w:r>
    </w:p>
    <w:p w14:paraId="16885CC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17AC08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（3）对于本章第 1.12.3 项（3）目所述的细微偏差，可要求投标人对细微偏差进行澄清。</w:t>
      </w:r>
    </w:p>
    <w:p w14:paraId="26909C2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1.12.5投标人应根据招标文件的要求提供施工组织设计等内容以对招标文件作出响应。</w:t>
      </w:r>
    </w:p>
    <w:p w14:paraId="00C9389B">
      <w:pPr>
        <w:pStyle w:val="69"/>
        <w:shd w:val="clear" w:fill="FFFFFF" w:themeFill="background1"/>
        <w:spacing w:before="156"/>
        <w:rPr>
          <w:color w:val="auto"/>
          <w:highlight w:val="none"/>
        </w:rPr>
      </w:pPr>
      <w:bookmarkStart w:id="93" w:name="_Toc14851"/>
      <w:bookmarkEnd w:id="93"/>
      <w:bookmarkStart w:id="94" w:name="_Toc43475683"/>
      <w:bookmarkEnd w:id="94"/>
      <w:bookmarkStart w:id="95" w:name="_Toc18201"/>
      <w:bookmarkEnd w:id="95"/>
      <w:r>
        <w:rPr>
          <w:rFonts w:hint="eastAsia"/>
          <w:color w:val="auto"/>
          <w:highlight w:val="none"/>
        </w:rPr>
        <w:t>招标文件</w:t>
      </w:r>
    </w:p>
    <w:p w14:paraId="02A29449">
      <w:pPr>
        <w:pStyle w:val="71"/>
        <w:shd w:val="clear" w:fill="FFFFFF" w:themeFill="background1"/>
        <w:rPr>
          <w:color w:val="auto"/>
          <w:highlight w:val="none"/>
        </w:rPr>
      </w:pPr>
      <w:bookmarkStart w:id="96" w:name="_Toc22888"/>
      <w:bookmarkEnd w:id="96"/>
      <w:bookmarkStart w:id="97" w:name="_Toc21484"/>
      <w:bookmarkEnd w:id="97"/>
      <w:bookmarkStart w:id="98" w:name="_Toc43475684"/>
      <w:bookmarkEnd w:id="98"/>
      <w:r>
        <w:rPr>
          <w:rFonts w:hint="eastAsia"/>
          <w:color w:val="auto"/>
          <w:highlight w:val="none"/>
        </w:rPr>
        <w:t>招标文件的组成</w:t>
      </w:r>
    </w:p>
    <w:p w14:paraId="21465915">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本招标文件包括：</w:t>
      </w:r>
    </w:p>
    <w:p w14:paraId="30A219AB">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（1）招标公告（或投标邀请书）；</w:t>
      </w:r>
    </w:p>
    <w:p w14:paraId="0DC0D1C6">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（2）投标人须知；</w:t>
      </w:r>
    </w:p>
    <w:p w14:paraId="574551BF">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（3）评标办法；</w:t>
      </w:r>
    </w:p>
    <w:p w14:paraId="4AD468A3">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（4）合同条款及格式；</w:t>
      </w:r>
    </w:p>
    <w:p w14:paraId="5B9D989F">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（5）工程量清单；</w:t>
      </w:r>
    </w:p>
    <w:p w14:paraId="7FAA034D">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（6）图纸；</w:t>
      </w:r>
    </w:p>
    <w:p w14:paraId="716E0FE8">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（7）技术规范；</w:t>
      </w:r>
    </w:p>
    <w:p w14:paraId="7B4173EA">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（8）工程量清单计量规则；</w:t>
      </w:r>
    </w:p>
    <w:p w14:paraId="58979317">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（9）投标文件格式；</w:t>
      </w:r>
    </w:p>
    <w:p w14:paraId="75909701">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（10）投标人须知前附表规定的其他资料。</w:t>
      </w:r>
    </w:p>
    <w:p w14:paraId="7FC4C85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根据本章第 1.10 款、第 2.2 款和第 2.3 款对招标文件所作的澄清、修改，构成招标文件的组成部分。</w:t>
      </w:r>
    </w:p>
    <w:p w14:paraId="6591AC6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当招标文件、招标文件的澄清或修改等在同一内容的表述上不一致时，以最后发出的书面文件为准。</w:t>
      </w:r>
    </w:p>
    <w:p w14:paraId="3DC4DA11">
      <w:pPr>
        <w:pStyle w:val="71"/>
        <w:shd w:val="clear" w:fill="FFFFFF" w:themeFill="background1"/>
        <w:rPr>
          <w:color w:val="auto"/>
          <w:highlight w:val="none"/>
        </w:rPr>
      </w:pPr>
      <w:bookmarkStart w:id="99" w:name="_Toc16577"/>
      <w:bookmarkEnd w:id="99"/>
      <w:bookmarkStart w:id="100" w:name="_Toc26732"/>
      <w:bookmarkEnd w:id="100"/>
      <w:bookmarkStart w:id="101" w:name="_Toc43475685"/>
      <w:bookmarkEnd w:id="101"/>
      <w:r>
        <w:rPr>
          <w:rFonts w:hint="eastAsia"/>
          <w:color w:val="auto"/>
          <w:highlight w:val="none"/>
        </w:rPr>
        <w:t>招标文件的澄清</w:t>
      </w:r>
    </w:p>
    <w:p w14:paraId="7A7665B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2.2.1投标人应仔细阅读和检查招标文件的全部内容。如发现缺页或附件不全， 应及时向招标人提出，以便补齐。如有疑问，应按投标人须知前附表规定的时间和形式将提出的问题送达招标人，要求招标人对招标文件予以澄清。</w:t>
      </w:r>
    </w:p>
    <w:p w14:paraId="2357D09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2.2.2招标文件的澄清以投标人须知前附表规定的形式发给所有购买招标文件的投标人，但不指明澄清问题的来源。澄清发出的时间距本章第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602300B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2.2.3投标人在收到澄清后，应按投标人须知前附表规定的时间和形式通知招标人，确认已收到该澄清。</w:t>
      </w:r>
    </w:p>
    <w:p w14:paraId="4E2B13F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2.2.4除非招标人认为确有必要答复，否则，招标人有权拒绝回复投标人在本章第 2.2.1 项规定的时间后提出的任何澄清要求。</w:t>
      </w:r>
    </w:p>
    <w:p w14:paraId="0FF2C303">
      <w:pPr>
        <w:pStyle w:val="71"/>
        <w:shd w:val="clear" w:fill="FFFFFF" w:themeFill="background1"/>
        <w:rPr>
          <w:color w:val="auto"/>
          <w:highlight w:val="none"/>
        </w:rPr>
      </w:pPr>
      <w:bookmarkStart w:id="102" w:name="_Toc10051"/>
      <w:bookmarkEnd w:id="102"/>
      <w:bookmarkStart w:id="103" w:name="_Toc3321"/>
      <w:bookmarkEnd w:id="103"/>
      <w:bookmarkStart w:id="104" w:name="_Toc43475686"/>
      <w:bookmarkEnd w:id="104"/>
      <w:r>
        <w:rPr>
          <w:rFonts w:hint="eastAsia"/>
          <w:color w:val="auto"/>
          <w:highlight w:val="none"/>
        </w:rPr>
        <w:t>招标文件的修改</w:t>
      </w:r>
    </w:p>
    <w:p w14:paraId="3789ADA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2.3.1招标人以投标人须知前附表规定的形式修改招标文件，并通知所有已购买招标文件的投标人。修改招标文件的时间距本章第 4.2.1 项规定的投标截止时间不足15日，且修改内容可能影响投标文件编制的，将相应延长投标截止时间。</w:t>
      </w:r>
    </w:p>
    <w:p w14:paraId="2290AE2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2.3.2投标人收到修改内容后，应按投标人须知前附表规定的时间和形式通知招标人，确认已收到该修改。</w:t>
      </w:r>
    </w:p>
    <w:p w14:paraId="1318048C">
      <w:pPr>
        <w:pStyle w:val="71"/>
        <w:shd w:val="clear" w:fill="FFFFFF" w:themeFill="background1"/>
        <w:rPr>
          <w:color w:val="auto"/>
          <w:highlight w:val="none"/>
        </w:rPr>
      </w:pPr>
      <w:bookmarkStart w:id="105" w:name="_Toc54"/>
      <w:bookmarkEnd w:id="105"/>
      <w:bookmarkStart w:id="106" w:name="_Toc43475687"/>
      <w:bookmarkEnd w:id="106"/>
      <w:bookmarkStart w:id="107" w:name="_Toc5802"/>
      <w:bookmarkEnd w:id="107"/>
      <w:r>
        <w:rPr>
          <w:rFonts w:hint="eastAsia"/>
          <w:color w:val="auto"/>
          <w:highlight w:val="none"/>
        </w:rPr>
        <w:t>招标文件的异议</w:t>
      </w:r>
    </w:p>
    <w:p w14:paraId="1E29602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投标人或其他利害关系人对招标文件有异议的，应在投标截止时间 10 日前以书面形式提出。招标人将在收到异议之日起 3 日内作出答复；作出答复前，将暂停招标投标活动。</w:t>
      </w:r>
    </w:p>
    <w:p w14:paraId="10A19737">
      <w:pPr>
        <w:pStyle w:val="69"/>
        <w:shd w:val="clear" w:fill="FFFFFF" w:themeFill="background1"/>
        <w:spacing w:before="156"/>
        <w:rPr>
          <w:color w:val="auto"/>
          <w:highlight w:val="none"/>
        </w:rPr>
      </w:pPr>
      <w:bookmarkStart w:id="108" w:name="_Toc8676"/>
      <w:bookmarkEnd w:id="108"/>
      <w:bookmarkStart w:id="109" w:name="_Toc17093"/>
      <w:bookmarkEnd w:id="109"/>
      <w:bookmarkStart w:id="110" w:name="_Toc43475688"/>
      <w:bookmarkEnd w:id="110"/>
      <w:r>
        <w:rPr>
          <w:rFonts w:hint="eastAsia"/>
          <w:color w:val="auto"/>
          <w:highlight w:val="none"/>
        </w:rPr>
        <w:t>投标文件</w:t>
      </w:r>
    </w:p>
    <w:p w14:paraId="3264C050">
      <w:pPr>
        <w:pStyle w:val="71"/>
        <w:shd w:val="clear" w:fill="FFFFFF" w:themeFill="background1"/>
        <w:rPr>
          <w:color w:val="auto"/>
          <w:highlight w:val="none"/>
        </w:rPr>
      </w:pPr>
      <w:bookmarkStart w:id="111" w:name="_Toc27990"/>
      <w:bookmarkEnd w:id="111"/>
      <w:bookmarkStart w:id="112" w:name="_Toc10611"/>
      <w:bookmarkEnd w:id="112"/>
      <w:bookmarkStart w:id="113" w:name="_Toc43475689"/>
      <w:bookmarkEnd w:id="113"/>
      <w:r>
        <w:rPr>
          <w:rFonts w:hint="eastAsia"/>
          <w:color w:val="auto"/>
          <w:highlight w:val="none"/>
        </w:rPr>
        <w:t>投标文件的组成</w:t>
      </w:r>
    </w:p>
    <w:p w14:paraId="3881BEEC">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根据投标人须知前附表规定的不同形式，投标文件的组成应满足相应条款要求。</w:t>
      </w:r>
    </w:p>
    <w:p w14:paraId="01FD4634">
      <w:pPr>
        <w:shd w:val="clear" w:fill="FFFFFF" w:themeFill="background1"/>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若采用双信封形式，第 3.1.1 项采用以下条款：</w:t>
      </w:r>
    </w:p>
    <w:p w14:paraId="505A67C4">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3.1.1投标文件应包括下列内容：</w:t>
      </w:r>
    </w:p>
    <w:p w14:paraId="3BCA1C4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第一个信封（商务及技术文件）：</w:t>
      </w:r>
    </w:p>
    <w:p w14:paraId="24FF61D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（1）投标函及投标函附录；</w:t>
      </w:r>
    </w:p>
    <w:p w14:paraId="5CD420F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w:t>
      </w:r>
    </w:p>
    <w:p w14:paraId="4D09182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（3）联合体协议书；</w:t>
      </w:r>
    </w:p>
    <w:p w14:paraId="4289AF2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（4）投标保证金；</w:t>
      </w:r>
    </w:p>
    <w:p w14:paraId="53DE629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（5）施工组织设计；</w:t>
      </w:r>
    </w:p>
    <w:p w14:paraId="396ADF8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（6）项目管理机构；</w:t>
      </w:r>
    </w:p>
    <w:p w14:paraId="79C547F4">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（7）拟分包项目情况表；</w:t>
      </w:r>
    </w:p>
    <w:p w14:paraId="3290712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（8）资格审查资料；</w:t>
      </w:r>
    </w:p>
    <w:p w14:paraId="1C526E5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（9）投标人须知前附表规定的其他资料。</w:t>
      </w:r>
    </w:p>
    <w:p w14:paraId="7C38981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第二个信封（报价文件）：</w:t>
      </w:r>
    </w:p>
    <w:p w14:paraId="72EA5A8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（1）调价函及调价后的工程量清单；</w:t>
      </w:r>
    </w:p>
    <w:p w14:paraId="17F9D8B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（2）投标函；</w:t>
      </w:r>
    </w:p>
    <w:p w14:paraId="744BEAF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（3）已标价工程量清单；</w:t>
      </w:r>
    </w:p>
    <w:p w14:paraId="6852EBF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（4）合同用款估算表。</w:t>
      </w:r>
    </w:p>
    <w:p w14:paraId="3D03FF0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投标人在评标过程中作出的符合法律法规和招标文件规定的澄清确认，构成投标文件的组成部分。</w:t>
      </w:r>
    </w:p>
    <w:p w14:paraId="4D3E5B87">
      <w:pPr>
        <w:shd w:val="clear" w:fill="FFFFFF" w:themeFill="background1"/>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若采用单信封形式，第 3.1.1 项采用以下条款：</w:t>
      </w:r>
    </w:p>
    <w:p w14:paraId="4F77B7C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5C3E457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（1）投标函及投标函附录；</w:t>
      </w:r>
    </w:p>
    <w:p w14:paraId="36917B0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w:t>
      </w:r>
    </w:p>
    <w:p w14:paraId="5D9614E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（3）联合体协议书；</w:t>
      </w:r>
    </w:p>
    <w:p w14:paraId="4EE9DCA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（4）投标保证金；</w:t>
      </w:r>
    </w:p>
    <w:p w14:paraId="31DB073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（5）已标价工程量清单；</w:t>
      </w:r>
    </w:p>
    <w:p w14:paraId="7915398E">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（6）施工组织设计；</w:t>
      </w:r>
    </w:p>
    <w:p w14:paraId="00CF1CB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（7）项目管理机构；</w:t>
      </w:r>
    </w:p>
    <w:p w14:paraId="2F39B87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（8）拟分包项目情况表；</w:t>
      </w:r>
    </w:p>
    <w:p w14:paraId="47A18EA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（9）资格审查资料；</w:t>
      </w:r>
    </w:p>
    <w:p w14:paraId="5A600F9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（10）调价函及调价后的工程量清单（如有）；</w:t>
      </w:r>
    </w:p>
    <w:p w14:paraId="3DFDB9E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（11）投标人须知前附表规定的其他资料。</w:t>
      </w:r>
    </w:p>
    <w:p w14:paraId="68DC300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投标人在评标过程中作出的符合法律法规和招标文件规定的澄清确认，构成投标文件的组成部分。</w:t>
      </w:r>
    </w:p>
    <w:p w14:paraId="6EDDFDB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3.1.2投标人须知前附表规定不接受联合体投标的，或投标人没有组成联合体的，投标文件不包括本章第 3.1.1（3）目所指的联合体协议书。</w:t>
      </w:r>
    </w:p>
    <w:p w14:paraId="67970C14">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 投标人须知前附表未要求提交投标保证金的，投标文件不包括本章第 3.1.1（4）目所指的投标保证金。</w:t>
      </w:r>
    </w:p>
    <w:p w14:paraId="3B3F6E00">
      <w:pPr>
        <w:pStyle w:val="71"/>
        <w:shd w:val="clear" w:fill="FFFFFF" w:themeFill="background1"/>
        <w:rPr>
          <w:color w:val="auto"/>
          <w:highlight w:val="none"/>
        </w:rPr>
      </w:pPr>
      <w:bookmarkStart w:id="114" w:name="_Toc43475690"/>
      <w:bookmarkEnd w:id="114"/>
      <w:bookmarkStart w:id="115" w:name="_Toc8391"/>
      <w:bookmarkEnd w:id="115"/>
      <w:bookmarkStart w:id="116" w:name="_Toc5966"/>
      <w:bookmarkEnd w:id="116"/>
      <w:r>
        <w:rPr>
          <w:rFonts w:hint="eastAsia"/>
          <w:color w:val="auto"/>
          <w:highlight w:val="none"/>
        </w:rPr>
        <w:t>投标报价</w:t>
      </w:r>
    </w:p>
    <w:p w14:paraId="7D95EFB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3.2.1投标报价应包括国家规定的增值税税金，除投标人须知前附表另有规定外， 增值税税金按一般计税方法计算。投标人应按第九章“投标文件格式”的要求在投标函中进行报价并填写工程量清单相应表格。</w:t>
      </w:r>
    </w:p>
    <w:p w14:paraId="6C19404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工程量清单的填写分下列两种方式。投标人应按投标人须知前附表规定的方式填写工程量清单。</w:t>
      </w:r>
    </w:p>
    <w:p w14:paraId="2A3D6DC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385D3B9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w:t>
      </w:r>
    </w:p>
    <w:p w14:paraId="13C11CD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投标人根据招标人提供的工程量固化清单电子文件填报完成并打印的投标工程量清单中的投标报价和投标函大写金额报价应一致，如果报价金额出现差异，其投标将被否决。</w:t>
      </w:r>
    </w:p>
    <w:p w14:paraId="5096151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11030C4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3.2.2投标人应充分了解本项目的总体情况以及影响投标报价的其他要素。</w:t>
      </w:r>
    </w:p>
    <w:p w14:paraId="2375F15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3.2.3本项目的报价方式见投标人须知前附表。投标人在投标截止时间前修改投标函中的投标总报价，应同时修改投标文件“已标价工程量清单”中的相应报价。此修改须符合本章第 4.3 款的有关要求。</w:t>
      </w:r>
    </w:p>
    <w:p w14:paraId="7E1C613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3.2.4投标人如果发现工程量清单中的数量与图纸中数量不一致时，应立即通知招标人核查，除非招标人以书面方式予以更正，否则，应以工程量清单中列出的数量为准。</w:t>
      </w:r>
    </w:p>
    <w:p w14:paraId="4D34E53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3.2.5投标人应根据《公路水运工程安全生产监督管理办法》，在投标总价中计入安全生产费用，安全生产费用应符合合同条款第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14:paraId="3908AD7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3.2.6除投标人须知前附表另有规定外，招标人不接受调价函。若招标人接受调价函，则应在招标文件中给出调价函的格式。投标人若有调价函则应遵循如下规定：</w:t>
      </w:r>
    </w:p>
    <w:p w14:paraId="65C907A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（1）调价函必须采用招标文件规定的格式；调价函应说明调价后的最终报价，并以最终报价为准，而且投标人只能有一次调价的机会；</w:t>
      </w:r>
    </w:p>
    <w:p w14:paraId="1426FC8C">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（2）工程量清单中招标人指定的报价不允许调价；</w:t>
      </w:r>
    </w:p>
    <w:p w14:paraId="02A592F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（3）调价函必须附有调价后的工程量清单；调价函必须粘贴或机械装订在投标文件正本首页，与投标文件一起密封提交。</w:t>
      </w:r>
    </w:p>
    <w:p w14:paraId="2D7870B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08FA9BC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（4）若招标人接受调价函，投标人调价后的工程量清单和有效调价函的大写金额报价应保持一致，如果报价金额出现差异，则以有效调价函的大写金额报价为准。</w:t>
      </w:r>
    </w:p>
    <w:p w14:paraId="715553B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3.2.7在合同实施期间，投标人填写的单价、合价和总额价是否由于物价波动进行价格调整按照合同条款第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3C009D2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3.2.8招标人设有最高投标限价的，投标人的投标报价不得超过最高投标限价， 最高投标限价在投标人须知前附表中载明。</w:t>
      </w:r>
    </w:p>
    <w:p w14:paraId="31849A9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3.2.9投标报价的其他要求见投标人须知前附表。</w:t>
      </w:r>
    </w:p>
    <w:p w14:paraId="2A015078">
      <w:pPr>
        <w:pStyle w:val="71"/>
        <w:shd w:val="clear" w:fill="FFFFFF" w:themeFill="background1"/>
        <w:rPr>
          <w:color w:val="auto"/>
          <w:highlight w:val="none"/>
        </w:rPr>
      </w:pPr>
      <w:bookmarkStart w:id="117" w:name="_Toc14703"/>
      <w:bookmarkEnd w:id="117"/>
      <w:bookmarkStart w:id="118" w:name="_Toc21854"/>
      <w:bookmarkEnd w:id="118"/>
      <w:bookmarkStart w:id="119" w:name="_Toc43475691"/>
      <w:bookmarkEnd w:id="119"/>
      <w:r>
        <w:rPr>
          <w:rFonts w:hint="eastAsia"/>
          <w:color w:val="auto"/>
          <w:highlight w:val="none"/>
        </w:rPr>
        <w:t>投标有效期</w:t>
      </w:r>
    </w:p>
    <w:p w14:paraId="3CD0827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3.3.1除投标人须知前附表另有规定外，投标有效期为 90 日。</w:t>
      </w:r>
    </w:p>
    <w:p w14:paraId="2B8ECE3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3.3.2在投标有效期内，投标人撤销投标文件的，应承担招标文件和法律规定的责任。</w:t>
      </w:r>
    </w:p>
    <w:p w14:paraId="251F129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3E3D6065">
      <w:pPr>
        <w:pStyle w:val="71"/>
        <w:shd w:val="clear" w:fill="FFFFFF" w:themeFill="background1"/>
        <w:rPr>
          <w:color w:val="auto"/>
          <w:highlight w:val="none"/>
        </w:rPr>
      </w:pPr>
      <w:bookmarkStart w:id="120" w:name="_Toc25629"/>
      <w:bookmarkEnd w:id="120"/>
      <w:bookmarkStart w:id="121" w:name="_Toc20948"/>
      <w:bookmarkEnd w:id="121"/>
      <w:bookmarkStart w:id="122" w:name="_Toc43475692"/>
      <w:bookmarkEnd w:id="122"/>
      <w:r>
        <w:rPr>
          <w:rFonts w:hint="eastAsia"/>
          <w:color w:val="auto"/>
          <w:highlight w:val="none"/>
        </w:rPr>
        <w:t>投标保证金</w:t>
      </w:r>
    </w:p>
    <w:p w14:paraId="2AD42FB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2D561A2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投标保证金应采用现金、支票、银行保函或招标人在投标人须知前附表规定的其他形式。</w:t>
      </w:r>
    </w:p>
    <w:p w14:paraId="0B52BEB4">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08317CF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（2）若采用银行保函，则应由符合投标人须知前附表规定级别的银行开具，并采用招标文件提供的格式。银行保函复印件装订在投标文件内，原件应在递交投标文件截止时间之前单独密封递交给招标人。</w:t>
      </w:r>
    </w:p>
    <w:p w14:paraId="0172280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无论采取何种形式的投标保证金，投标保证金有效期均应与投标有效期一致。招标人如果按本章第 3.3.3 项的规定延长了投标有效期，则投标保证金的有效期也相应延长。</w:t>
      </w:r>
    </w:p>
    <w:p w14:paraId="3469E55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3.4.2投标人不按本章第 3.4.1 项要求提交投标保证金的，评标委员会将否决其投标。</w:t>
      </w:r>
    </w:p>
    <w:p w14:paraId="51253D6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3538875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利息计算原则见投标人须知前附表。</w:t>
      </w:r>
    </w:p>
    <w:p w14:paraId="07B4C5CC">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3.4.4有下列情形之一的，投标保证金将不予退还：</w:t>
      </w:r>
    </w:p>
    <w:p w14:paraId="3B984CB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（1）投标人在投标有效期内撤销投标文件；</w:t>
      </w:r>
    </w:p>
    <w:p w14:paraId="0365F1A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（2）中标人在收到中标通知书后，无正当理由不与招标人订立合同，在签订合同时向招标人提出附加条件，或不按照招标文件要求提交履约保证金；</w:t>
      </w:r>
    </w:p>
    <w:p w14:paraId="7D315947">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（3）发生投标人须知前附表规定的其他可以不予退还投标保证金的情形。</w:t>
      </w:r>
    </w:p>
    <w:p w14:paraId="685F58FA">
      <w:pPr>
        <w:pStyle w:val="71"/>
        <w:shd w:val="clear" w:fill="FFFFFF" w:themeFill="background1"/>
        <w:spacing w:line="480" w:lineRule="exact"/>
        <w:rPr>
          <w:color w:val="auto"/>
          <w:highlight w:val="none"/>
        </w:rPr>
      </w:pPr>
      <w:bookmarkStart w:id="123" w:name="_Toc43475693"/>
      <w:bookmarkEnd w:id="123"/>
      <w:bookmarkStart w:id="124" w:name="_Toc7507"/>
      <w:bookmarkEnd w:id="124"/>
      <w:bookmarkStart w:id="125" w:name="_Toc4081"/>
      <w:bookmarkEnd w:id="125"/>
      <w:r>
        <w:rPr>
          <w:rFonts w:hint="eastAsia"/>
          <w:color w:val="auto"/>
          <w:highlight w:val="none"/>
        </w:rPr>
        <w:t>资格审查资料（适用于未进行资格预审的）</w:t>
      </w:r>
    </w:p>
    <w:p w14:paraId="2E34850A">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除投标人须知前附表另有规定外，投标人应按下列规定提供资格审查资料，以证明其满足本章第 1.4 款规定的资质、财务、业绩、信誉等要求。</w:t>
      </w:r>
    </w:p>
    <w:p w14:paraId="717B55F5">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投标人基本情况表”应附企业法人营业执照副本和组织机构代码证副本（按照“三证合一”或“五证合一”登记制度进行登记的，可仅提供营业执照副本，下同）、施工资质证书副本、安全生产许可证副本、基本账户开户许可证的复印件，投标人在交通运输部“全国公路建设市场监督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180052B0">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14:paraId="0713C667">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3F83CC20">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3.5.3“近年完成的类似项目”应是已列入交通运输主管部门“</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”并公开的主包已建业绩或分包已建业绩，具体时间要求见投标人须知前附表。</w:t>
      </w:r>
    </w:p>
    <w:p w14:paraId="7E2D60AA">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“近年完成的类似项目情况表”应附在交通运输部“全国公路建设市场监督管理系统”（网址：</w:t>
      </w:r>
      <w:r>
        <w:rPr>
          <w:color w:val="auto"/>
          <w:highlight w:val="none"/>
        </w:rPr>
        <w:fldChar w:fldCharType="begin"/>
      </w:r>
      <w:r>
        <w:rPr>
          <w:color w:val="auto"/>
          <w:highlight w:val="none"/>
        </w:rPr>
        <w:instrText xml:space="preserve"> HYPERLINK "http://glxy.mot.gov.cn/BM/）中查询到的企业" </w:instrText>
      </w:r>
      <w:r>
        <w:rPr>
          <w:color w:val="auto"/>
          <w:highlight w:val="none"/>
        </w:rPr>
        <w:fldChar w:fldCharType="separate"/>
      </w:r>
      <w:r>
        <w:rPr>
          <w:rFonts w:hint="eastAsia"/>
          <w:color w:val="auto"/>
          <w:highlight w:val="none"/>
        </w:rPr>
        <w:t>https://hwdms.mot.gov.cn/BMWebSite/</w:t>
      </w:r>
      <w:r>
        <w:rPr>
          <w:rStyle w:val="50"/>
          <w:rFonts w:hint="eastAsia" w:ascii="宋体" w:hAnsi="宋体" w:cs="宋体"/>
          <w:color w:val="auto"/>
          <w:sz w:val="24"/>
          <w:szCs w:val="24"/>
          <w:highlight w:val="none"/>
        </w:rPr>
        <w:t>）中查询到的企业“业绩信息”相关项目网页截图复印件，即包括“项目名称”“标段类型”“合同价”“主要工程量”“项目主要管理人员”等栏目在内的项目详细信息网页截图复印件。在交通运输部“全国公路建设市场监督管理系统”中无法查询，但可在省级交通运输主管部门“</w:t>
      </w:r>
      <w:r>
        <w:rPr>
          <w:rStyle w:val="50"/>
          <w:rFonts w:hint="eastAsia" w:ascii="宋体" w:hAnsi="宋体" w:cs="宋体"/>
          <w:color w:val="auto"/>
          <w:sz w:val="24"/>
          <w:szCs w:val="24"/>
          <w:highlight w:val="none"/>
          <w:lang w:eastAsia="zh-CN"/>
        </w:rPr>
        <w:t>公路建设市场监督管理系统</w:t>
      </w:r>
      <w:r>
        <w:rPr>
          <w:rStyle w:val="50"/>
          <w:rFonts w:hint="eastAsia" w:ascii="宋体" w:hAnsi="宋体" w:cs="宋体"/>
          <w:color w:val="auto"/>
          <w:sz w:val="24"/>
          <w:szCs w:val="24"/>
          <w:highlight w:val="none"/>
        </w:rPr>
        <w:t>”中查询的，应附省级交通运输主管部门“</w:t>
      </w:r>
      <w:r>
        <w:rPr>
          <w:rStyle w:val="50"/>
          <w:rFonts w:hint="eastAsia" w:ascii="宋体" w:hAnsi="宋体" w:cs="宋体"/>
          <w:color w:val="auto"/>
          <w:sz w:val="24"/>
          <w:szCs w:val="24"/>
          <w:highlight w:val="none"/>
          <w:lang w:eastAsia="zh-CN"/>
        </w:rPr>
        <w:t>公路建设市场监督管理系统</w:t>
      </w:r>
      <w:r>
        <w:rPr>
          <w:rStyle w:val="50"/>
          <w:rFonts w:hint="eastAsia" w:ascii="宋体" w:hAnsi="宋体" w:cs="宋体"/>
          <w:color w:val="auto"/>
          <w:sz w:val="24"/>
          <w:szCs w:val="24"/>
          <w:highlight w:val="none"/>
        </w:rPr>
        <w:t>”中查询到的网页截图复印件。除网页截图复印件外，投标人无须再提供任何业绩证明材料。</w:t>
      </w:r>
      <w:r>
        <w:rPr>
          <w:rStyle w:val="50"/>
          <w:rFonts w:hint="eastAsia" w:ascii="宋体" w:hAnsi="宋体" w:cs="宋体"/>
          <w:color w:val="auto"/>
          <w:sz w:val="24"/>
          <w:szCs w:val="24"/>
          <w:highlight w:val="none"/>
        </w:rPr>
        <w:fldChar w:fldCharType="end"/>
      </w:r>
    </w:p>
    <w:p w14:paraId="03FF6C6D">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如投标人未提供相关项目网页截图复印件或相关项目网页截图的信息无法证实投标人满足招标文件规定的资格审查条件（业绩最低要求），则该项目业绩不予认定。</w:t>
      </w:r>
    </w:p>
    <w:p w14:paraId="0922411A">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3.5.4“投标人的信誉情况表”应附投标人在国家企业信用信息公示系统中未被列入严重违法失信企业名单、在“信用中国”网站中未被列入失信被执行人名单的网页截图复印件。</w:t>
      </w:r>
    </w:p>
    <w:p w14:paraId="25B0E7E3">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3.5.5“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14:paraId="505A32E6">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委任的项目经理和项目总工资历表”还应附交通运输部“全国公路建设市场监督管理系统”中载明的、能够证明项目经理和项目总工具有相关业绩的网页截图复印件。在交通运输部“全国公路建设市场监督管理系统”中无法查询，但可在省级交通运输主管部门“</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”中查询的，应附省级交通运输主管部门“</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中查询到的网页截图复印件。除网页截图复印件外，投标人无须再提供任何业绩证明材料。如投标人未提供相关业绩网页截图复印件或相关业绩网页截图的信息无法证实投标人满足招标文件规定的资格审查条件（项目经理或项目总工最低要求），则该业绩不予认定。</w:t>
      </w:r>
    </w:p>
    <w:p w14:paraId="6F27B2F2">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3.5.6“拟委任的其他管理和技术人员汇总表”（如有）应填报满足投标人须知前附表附录 6 规定的其他人员的相关信息。                                           </w:t>
      </w:r>
    </w:p>
    <w:p w14:paraId="7634C8F9">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3.5.7“拟投入本标段的主要施工机械表”“拟配备本标段的主要材料试验、测量、质检仪器设备表”（如有）应填报满足投标人须知前附表附录 7 规定的机械设备和试验检测设备。</w:t>
      </w:r>
    </w:p>
    <w:p w14:paraId="7EBF623D">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3.5.8投标人须知前附表规定接受联合体投标的，本章第 3.5.1 项至第 3.5.7 项规定的表格和资料应包括联合体各方相关情况。</w:t>
      </w:r>
    </w:p>
    <w:p w14:paraId="7B08B3BF">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3.5.9除合同条款约定的特殊情形外，投标人在投标文件中填报的项目经理和项目总工不允许更换。</w:t>
      </w:r>
    </w:p>
    <w:p w14:paraId="17E59881">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3.5.10投标人在投标文件中填报的资质、业绩、主要人员资历和目前在岗情况、信用等级等信息，应与其在交通运输主管部门“</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”上填报并发布的相关信息一致。投标人应根据本单位实际情况及时完成相关信息的申报、录入和动态更新，并对相关信息的真实性、完整性和准确性负责。</w:t>
      </w:r>
    </w:p>
    <w:p w14:paraId="6F5F8407">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w:t>
      </w:r>
    </w:p>
    <w:p w14:paraId="6386B60C">
      <w:pPr>
        <w:pStyle w:val="71"/>
        <w:shd w:val="clear" w:fill="FFFFFF" w:themeFill="background1"/>
        <w:spacing w:line="499" w:lineRule="exact"/>
        <w:rPr>
          <w:color w:val="auto"/>
          <w:highlight w:val="none"/>
        </w:rPr>
      </w:pPr>
      <w:bookmarkStart w:id="126" w:name="_Toc16547"/>
      <w:bookmarkEnd w:id="126"/>
      <w:bookmarkStart w:id="127" w:name="_Toc29836"/>
      <w:bookmarkEnd w:id="127"/>
      <w:bookmarkStart w:id="128" w:name="_Toc43475694"/>
      <w:bookmarkEnd w:id="128"/>
      <w:r>
        <w:rPr>
          <w:rFonts w:hint="eastAsia"/>
          <w:color w:val="auto"/>
          <w:highlight w:val="none"/>
        </w:rPr>
        <w:t>备选投标方案</w:t>
      </w:r>
    </w:p>
    <w:p w14:paraId="240FB09F">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3.6.1除投标人须知前附表规定允许外，投标人不得递交备选投标方案，否则其投标将被否决。</w:t>
      </w:r>
    </w:p>
    <w:p w14:paraId="701C32AB">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446A89C">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3.6.3投标人提供两个或两个以上投标报价，或在投标文件中提供一个报价，但同时提供两个或两个以上施工组织设计的，视为提供备选方案。</w:t>
      </w:r>
    </w:p>
    <w:p w14:paraId="7EDA4E96">
      <w:pPr>
        <w:pStyle w:val="71"/>
        <w:shd w:val="clear" w:fill="FFFFFF" w:themeFill="background1"/>
        <w:spacing w:line="499" w:lineRule="exact"/>
        <w:rPr>
          <w:color w:val="auto"/>
          <w:highlight w:val="none"/>
        </w:rPr>
      </w:pPr>
      <w:bookmarkStart w:id="129" w:name="_Toc43475695"/>
      <w:bookmarkEnd w:id="129"/>
      <w:bookmarkStart w:id="130" w:name="_Toc32152"/>
      <w:bookmarkEnd w:id="130"/>
      <w:bookmarkStart w:id="131" w:name="_Toc14793"/>
      <w:bookmarkEnd w:id="131"/>
      <w:r>
        <w:rPr>
          <w:rFonts w:hint="eastAsia"/>
          <w:color w:val="auto"/>
          <w:highlight w:val="none"/>
        </w:rPr>
        <w:t>投标文件的编制</w:t>
      </w:r>
    </w:p>
    <w:p w14:paraId="4BA5F7F4">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3.7.1投标文件应按第九章“投标文件格式”进行编写，如有必要，可以增加附页， 作为投标文件的组成部分。其中，投标函附录在满足招标文件实质性要求的基础上， 可以提出比招标文件要求更有利于招标人的承诺。</w:t>
      </w:r>
    </w:p>
    <w:p w14:paraId="4B8CDCB2">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3.7.2投标文件应对招标文件有关工期、投标有效期、质量要求、安全目标、技术标准和要求、招标范围等实质性内容作出响应。</w:t>
      </w:r>
    </w:p>
    <w:p w14:paraId="1F0A7500">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w:t>
      </w:r>
    </w:p>
    <w:p w14:paraId="413E9A71">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如果投标文件由委托代理人签署，则投标人须提交授权委托书，授权委托书应按第九章“投标文件格式”的要求出具，并由法定代表人和委托代理人亲笔签名，不得使用印章、签名章或其他电子制版签名代替。</w:t>
      </w:r>
    </w:p>
    <w:p w14:paraId="3349FCDF">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如果由投标人的法定代表人亲自签署投标文件，则投标人须提交法定代表人身份证明，身份证明应符合第九章“投标文件格式”的要求。</w:t>
      </w:r>
    </w:p>
    <w:p w14:paraId="3B3F722E">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以联合体形式参与投标的，投标文件由联合体牵头人的法定代表人或其委托代理人按上述规定签署并加盖联合体牵头人单位章。法定代表人授权委托书或法定代表人身份证明须由</w:t>
      </w:r>
    </w:p>
    <w:p w14:paraId="02976AC5">
      <w:pPr>
        <w:shd w:val="clear" w:fill="FFFFFF" w:themeFill="background1"/>
        <w:adjustRightInd w:val="0"/>
        <w:snapToGrid w:val="0"/>
        <w:spacing w:line="499" w:lineRule="exact"/>
        <w:rPr>
          <w:rFonts w:ascii="宋体" w:hAnsi="宋体" w:cs="宋体"/>
          <w:color w:val="auto"/>
          <w:sz w:val="24"/>
          <w:highlight w:val="none"/>
        </w:rPr>
      </w:pPr>
      <w:r>
        <w:rPr>
          <w:rFonts w:hint="eastAsia" w:ascii="宋体" w:hAnsi="宋体" w:cs="宋体"/>
          <w:color w:val="auto"/>
          <w:sz w:val="24"/>
          <w:highlight w:val="none"/>
        </w:rPr>
        <w:t>联合体牵头人按上述规定出具。</w:t>
      </w:r>
    </w:p>
    <w:p w14:paraId="71F8D4D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投标文件应尽量避免涂改、行间插字或删除。如果出现上述情况，改动之处应由投标人的法定代表人或其授权的代理人签字或盖单位章。</w:t>
      </w:r>
    </w:p>
    <w:p w14:paraId="0863F52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3.7.4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39613A3C">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7E2CB664">
      <w:pPr>
        <w:pStyle w:val="69"/>
        <w:shd w:val="clear" w:fill="FFFFFF" w:themeFill="background1"/>
        <w:spacing w:before="156"/>
        <w:rPr>
          <w:color w:val="auto"/>
          <w:highlight w:val="none"/>
        </w:rPr>
      </w:pPr>
      <w:bookmarkStart w:id="132" w:name="_Toc30022"/>
      <w:bookmarkEnd w:id="132"/>
      <w:bookmarkStart w:id="133" w:name="_Toc43475696"/>
      <w:bookmarkEnd w:id="133"/>
      <w:bookmarkStart w:id="134" w:name="_Toc17102"/>
      <w:bookmarkEnd w:id="134"/>
      <w:r>
        <w:rPr>
          <w:rFonts w:hint="eastAsia"/>
          <w:color w:val="auto"/>
          <w:highlight w:val="none"/>
        </w:rPr>
        <w:t>投标</w:t>
      </w:r>
    </w:p>
    <w:p w14:paraId="222C5C2F">
      <w:pPr>
        <w:pStyle w:val="71"/>
        <w:shd w:val="clear" w:fill="FFFFFF" w:themeFill="background1"/>
        <w:rPr>
          <w:color w:val="auto"/>
          <w:highlight w:val="none"/>
        </w:rPr>
      </w:pPr>
      <w:bookmarkStart w:id="135" w:name="_Toc846"/>
      <w:bookmarkEnd w:id="135"/>
      <w:bookmarkStart w:id="136" w:name="_Toc7543"/>
      <w:bookmarkEnd w:id="136"/>
      <w:bookmarkStart w:id="137" w:name="_Toc43475697"/>
      <w:bookmarkEnd w:id="137"/>
      <w:r>
        <w:rPr>
          <w:rFonts w:hint="eastAsia"/>
          <w:color w:val="auto"/>
          <w:highlight w:val="none"/>
        </w:rPr>
        <w:t>投标文件的密封和标识</w:t>
      </w:r>
    </w:p>
    <w:p w14:paraId="098422D6">
      <w:pPr>
        <w:pStyle w:val="59"/>
        <w:shd w:val="clear" w:fill="FFFFFF" w:themeFill="background1"/>
        <w:spacing w:line="360" w:lineRule="auto"/>
        <w:rPr>
          <w:rFonts w:ascii="宋体" w:hAnsi="宋体" w:cs="宋体"/>
          <w:b/>
          <w:bCs/>
          <w:color w:val="auto"/>
          <w:highlight w:val="none"/>
        </w:rPr>
      </w:pPr>
      <w:r>
        <w:rPr>
          <w:rFonts w:hint="eastAsia" w:ascii="宋体" w:hAnsi="宋体" w:cs="宋体"/>
          <w:b/>
          <w:bCs/>
          <w:color w:val="auto"/>
          <w:highlight w:val="none"/>
        </w:rPr>
        <w:t>若采用双信封形式，第 4.1.1 项和第 4.1.2 项采用以下条款：</w:t>
      </w:r>
    </w:p>
    <w:p w14:paraId="36A10ED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4.1.1投标文件应采用双信封形式密封。投标文件第一个信封（商务及技术文件） 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14:paraId="236F51EC">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采用银行保函形式提交投标保证金的，银行保函原件应密封在单独的封套中。</w:t>
      </w:r>
    </w:p>
    <w:p w14:paraId="093E721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4.1.2投标文件第一个信封（商务及技术文件）、第二个信封（报价文件）以及银行保函封套上应写明的内容见投标人须知前附表。</w:t>
      </w:r>
    </w:p>
    <w:p w14:paraId="7DF69542">
      <w:pPr>
        <w:pStyle w:val="59"/>
        <w:shd w:val="clear" w:fill="FFFFFF" w:themeFill="background1"/>
        <w:spacing w:line="360" w:lineRule="auto"/>
        <w:rPr>
          <w:rFonts w:ascii="宋体" w:hAnsi="宋体" w:cs="宋体"/>
          <w:b/>
          <w:bCs/>
          <w:color w:val="auto"/>
          <w:highlight w:val="none"/>
        </w:rPr>
      </w:pPr>
      <w:r>
        <w:rPr>
          <w:rFonts w:hint="eastAsia" w:ascii="宋体" w:hAnsi="宋体" w:cs="宋体"/>
          <w:b/>
          <w:bCs/>
          <w:color w:val="auto"/>
          <w:highlight w:val="none"/>
        </w:rPr>
        <w:t>若采用单信封形式，第 4.1.1 项和第 4.1.2 项采用以下条款：</w:t>
      </w:r>
    </w:p>
    <w:p w14:paraId="2BBEBA3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投标文件应采用单信封形式密封。投标文件的正本与副本、投标文件电子版文件（如需要）以及填写完毕的工程量固化清单电子文件（如采用工程量固化清单形式）应统一密封在一个封套中。封套应加贴封条，并在封套的封口处加盖投标人单位章或由投标人的法定代表人或其委托代理人签字。</w:t>
      </w:r>
    </w:p>
    <w:p w14:paraId="452DE03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采用银行保函形式提交投标保证金的，银行保函原件应密封在单独的封套中。</w:t>
      </w:r>
    </w:p>
    <w:p w14:paraId="7BD360F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4.1.2投标文件以及银行保函封套上应写明的内容见投标人须知前附表。</w:t>
      </w:r>
    </w:p>
    <w:p w14:paraId="6FD70B5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4.1.3未按本章第 4.1.1 项要求密封的投标文件，招标人将予以拒收。</w:t>
      </w:r>
    </w:p>
    <w:p w14:paraId="53EACE9E">
      <w:pPr>
        <w:pStyle w:val="71"/>
        <w:shd w:val="clear" w:fill="FFFFFF" w:themeFill="background1"/>
        <w:rPr>
          <w:color w:val="auto"/>
          <w:highlight w:val="none"/>
        </w:rPr>
      </w:pPr>
      <w:bookmarkStart w:id="138" w:name="_Toc15836"/>
      <w:bookmarkEnd w:id="138"/>
      <w:bookmarkStart w:id="139" w:name="_Toc26267"/>
      <w:bookmarkEnd w:id="139"/>
      <w:bookmarkStart w:id="140" w:name="_Toc43475698"/>
      <w:bookmarkEnd w:id="140"/>
      <w:r>
        <w:rPr>
          <w:rFonts w:hint="eastAsia"/>
          <w:color w:val="auto"/>
          <w:highlight w:val="none"/>
        </w:rPr>
        <w:t>投标文件的递交</w:t>
      </w:r>
    </w:p>
    <w:p w14:paraId="73242B9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4.2.1投标人应在第一章“招标公告”或“投标邀请书”规定的投标截止时间前递交投标文件。</w:t>
      </w:r>
    </w:p>
    <w:p w14:paraId="7F79A77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4.2.2投标人递交投标文件的地点：见第一章“招标公告”或“投标邀请书”。</w:t>
      </w:r>
    </w:p>
    <w:p w14:paraId="3AECB67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4.2.3除投标人须知前附表另有规定外，投标人所递交的投标文件不予退还。投标人少于 3 个的，投标文件当场退还给投标人。</w:t>
      </w:r>
    </w:p>
    <w:p w14:paraId="6F5C98D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4.2.4招标人收到投标文件后，向投标人出具签收凭证。</w:t>
      </w:r>
    </w:p>
    <w:p w14:paraId="260367E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4.2.5逾期送达的或未送达指定地点的投标文件，招标人将予以拒收。</w:t>
      </w:r>
    </w:p>
    <w:p w14:paraId="4F4BE874">
      <w:pPr>
        <w:pStyle w:val="71"/>
        <w:shd w:val="clear" w:fill="FFFFFF" w:themeFill="background1"/>
        <w:rPr>
          <w:color w:val="auto"/>
          <w:highlight w:val="none"/>
        </w:rPr>
      </w:pPr>
      <w:bookmarkStart w:id="141" w:name="_Toc21683"/>
      <w:bookmarkEnd w:id="141"/>
      <w:bookmarkStart w:id="142" w:name="_Toc4348"/>
      <w:bookmarkEnd w:id="142"/>
      <w:bookmarkStart w:id="143" w:name="_Toc43475699"/>
      <w:bookmarkEnd w:id="143"/>
      <w:r>
        <w:rPr>
          <w:rFonts w:hint="eastAsia"/>
          <w:color w:val="auto"/>
          <w:highlight w:val="none"/>
        </w:rPr>
        <w:t>投标文件的修改与撤回</w:t>
      </w:r>
    </w:p>
    <w:p w14:paraId="146B497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4.3.1在本章第 4.2.1 项规定的投标截止时间前，投标人可以修改或撤回已递交的投标文件，但应以书面形式通知招标人。</w:t>
      </w:r>
    </w:p>
    <w:p w14:paraId="1F07BA0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4.3.2投标人修改或撤回已递交投标文件的书面通知应按照本章第3.7.3 项的要求签字或盖章。招标人收到书面通知后，向投标人出具签收凭证。</w:t>
      </w:r>
    </w:p>
    <w:p w14:paraId="0560F94E">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4.3.3投标人撤回投标文件的，招标人自收到投标人书面撤回通知之日起 5 日内退还已收取的投标保证金。</w:t>
      </w:r>
    </w:p>
    <w:p w14:paraId="3901D83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4.3.4修改的内容为投标文件的组成部分。修改的投标文件应按照本章第 3 条、第 4 条的规定进行编制、密封、标记和递交，并标明“修改”字样。</w:t>
      </w:r>
    </w:p>
    <w:p w14:paraId="5201773E">
      <w:pPr>
        <w:pStyle w:val="69"/>
        <w:shd w:val="clear" w:fill="FFFFFF" w:themeFill="background1"/>
        <w:spacing w:before="156"/>
        <w:rPr>
          <w:color w:val="auto"/>
          <w:highlight w:val="none"/>
        </w:rPr>
      </w:pPr>
      <w:bookmarkStart w:id="144" w:name="_Toc43475700"/>
      <w:bookmarkEnd w:id="144"/>
      <w:bookmarkStart w:id="145" w:name="_Toc24477"/>
      <w:bookmarkEnd w:id="145"/>
      <w:bookmarkStart w:id="146" w:name="_Toc19606"/>
      <w:bookmarkEnd w:id="146"/>
      <w:r>
        <w:rPr>
          <w:rFonts w:hint="eastAsia"/>
          <w:color w:val="auto"/>
          <w:highlight w:val="none"/>
        </w:rPr>
        <w:t>开标</w:t>
      </w:r>
    </w:p>
    <w:p w14:paraId="090B8A0F">
      <w:pPr>
        <w:pStyle w:val="16"/>
        <w:shd w:val="clear" w:fill="FFFFFF" w:themeFill="background1"/>
        <w:spacing w:before="1"/>
        <w:rPr>
          <w:rFonts w:ascii="宋体" w:hAnsi="宋体" w:cs="宋体"/>
          <w:b/>
          <w:bCs/>
          <w:color w:val="auto"/>
          <w:sz w:val="24"/>
          <w:highlight w:val="none"/>
        </w:rPr>
      </w:pPr>
      <w:r>
        <w:rPr>
          <w:rFonts w:hint="eastAsia" w:ascii="宋体" w:hAnsi="宋体" w:cs="宋体"/>
          <w:b/>
          <w:bCs/>
          <w:color w:val="auto"/>
          <w:sz w:val="24"/>
          <w:highlight w:val="none"/>
        </w:rPr>
        <w:t>若采用双信封形式，第 5.1 款采用以下条款：</w:t>
      </w:r>
    </w:p>
    <w:p w14:paraId="23896AFC">
      <w:pPr>
        <w:pStyle w:val="71"/>
        <w:numPr>
          <w:ilvl w:val="0"/>
          <w:numId w:val="0"/>
        </w:numPr>
        <w:shd w:val="clear" w:fill="FFFFFF" w:themeFill="background1"/>
        <w:spacing w:line="360" w:lineRule="auto"/>
        <w:rPr>
          <w:color w:val="auto"/>
          <w:highlight w:val="none"/>
        </w:rPr>
      </w:pPr>
      <w:bookmarkStart w:id="147" w:name="_Toc16362"/>
      <w:bookmarkEnd w:id="147"/>
      <w:bookmarkStart w:id="148" w:name="_Toc43475701"/>
      <w:bookmarkEnd w:id="148"/>
      <w:bookmarkStart w:id="149" w:name="_bookmark61"/>
      <w:bookmarkEnd w:id="149"/>
      <w:bookmarkStart w:id="150" w:name="_Toc11481"/>
      <w:bookmarkEnd w:id="150"/>
      <w:r>
        <w:rPr>
          <w:rFonts w:hint="eastAsia"/>
          <w:color w:val="auto"/>
          <w:highlight w:val="none"/>
        </w:rPr>
        <w:t>5.1 开标时间和地点</w:t>
      </w:r>
    </w:p>
    <w:p w14:paraId="6A1D113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项规定的投标截止时间（开标时间）和投标人须知前附表</w:t>
      </w:r>
      <w:r>
        <w:rPr>
          <w:rFonts w:hint="eastAsia" w:ascii="宋体" w:hAnsi="宋体" w:cs="宋体"/>
          <w:color w:val="auto"/>
          <w:spacing w:val="-2"/>
          <w:highlight w:val="none"/>
        </w:rPr>
        <w:t>规定的地点对</w:t>
      </w:r>
      <w:r>
        <w:rPr>
          <w:rFonts w:hint="eastAsia" w:ascii="宋体" w:hAnsi="宋体" w:cs="宋体"/>
          <w:color w:val="auto"/>
          <w:highlight w:val="none"/>
        </w:rPr>
        <w:t>收到</w:t>
      </w:r>
      <w:r>
        <w:rPr>
          <w:rFonts w:hint="eastAsia" w:ascii="宋体" w:hAnsi="宋体" w:cs="宋体"/>
          <w:color w:val="auto"/>
          <w:spacing w:val="-2"/>
          <w:highlight w:val="none"/>
        </w:rPr>
        <w:t>的投标文件</w:t>
      </w:r>
      <w:r>
        <w:rPr>
          <w:rFonts w:hint="eastAsia" w:ascii="宋体" w:hAnsi="宋体" w:cs="宋体"/>
          <w:color w:val="auto"/>
          <w:highlight w:val="none"/>
        </w:rPr>
        <w:t>第一</w:t>
      </w:r>
      <w:r>
        <w:rPr>
          <w:rFonts w:hint="eastAsia" w:ascii="宋体" w:hAnsi="宋体" w:cs="宋体"/>
          <w:color w:val="auto"/>
          <w:spacing w:val="-2"/>
          <w:highlight w:val="none"/>
        </w:rPr>
        <w:t>个信封</w:t>
      </w:r>
      <w:r>
        <w:rPr>
          <w:rFonts w:hint="eastAsia" w:ascii="宋体" w:hAnsi="宋体" w:cs="宋体"/>
          <w:color w:val="auto"/>
          <w:highlight w:val="none"/>
        </w:rPr>
        <w:t>（商务及技术文件</w:t>
      </w:r>
      <w:r>
        <w:rPr>
          <w:rFonts w:hint="eastAsia" w:ascii="宋体" w:hAnsi="宋体" w:cs="宋体"/>
          <w:color w:val="auto"/>
          <w:spacing w:val="-32"/>
          <w:highlight w:val="none"/>
        </w:rPr>
        <w:t>）</w:t>
      </w:r>
      <w:r>
        <w:rPr>
          <w:rFonts w:hint="eastAsia" w:ascii="宋体" w:hAnsi="宋体" w:cs="宋体"/>
          <w:color w:val="auto"/>
          <w:spacing w:val="-6"/>
          <w:highlight w:val="none"/>
        </w:rPr>
        <w:t>公开开标，并邀请所有投标人的法定代表人或其委托代理人准时</w:t>
      </w:r>
      <w:r>
        <w:rPr>
          <w:rFonts w:hint="eastAsia" w:ascii="宋体" w:hAnsi="宋体" w:cs="宋体"/>
          <w:color w:val="auto"/>
          <w:highlight w:val="none"/>
        </w:rPr>
        <w:t>参加</w:t>
      </w:r>
      <w:r>
        <w:rPr>
          <w:rFonts w:hint="eastAsia" w:ascii="宋体" w:hAnsi="宋体" w:cs="宋体"/>
          <w:color w:val="auto"/>
          <w:spacing w:val="-6"/>
          <w:highlight w:val="none"/>
        </w:rPr>
        <w:t>。</w:t>
      </w:r>
    </w:p>
    <w:p w14:paraId="7AAA659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招标人在投标人须知前附表规定的时间和地点对投标文件第二个信封（报价文件）公开开标，并邀请所有投标人的法定代表人或其委托代理人准时参加。</w:t>
      </w:r>
    </w:p>
    <w:p w14:paraId="3EE4D659">
      <w:pPr>
        <w:pStyle w:val="59"/>
        <w:shd w:val="clear" w:fill="FFFFFF" w:themeFill="background1"/>
        <w:spacing w:line="360" w:lineRule="auto"/>
        <w:ind w:firstLine="464" w:firstLineChars="200"/>
        <w:rPr>
          <w:rFonts w:ascii="宋体" w:hAnsi="宋体" w:cs="宋体"/>
          <w:color w:val="auto"/>
          <w:highlight w:val="none"/>
        </w:rPr>
      </w:pPr>
      <w:r>
        <w:rPr>
          <w:rFonts w:hint="eastAsia" w:ascii="宋体" w:hAnsi="宋体" w:cs="宋体"/>
          <w:color w:val="auto"/>
          <w:spacing w:val="-4"/>
          <w:highlight w:val="none"/>
        </w:rPr>
        <w:t>投标人若未派</w:t>
      </w:r>
      <w:r>
        <w:rPr>
          <w:rFonts w:hint="eastAsia" w:ascii="宋体" w:hAnsi="宋体" w:cs="宋体"/>
          <w:color w:val="auto"/>
          <w:highlight w:val="none"/>
        </w:rPr>
        <w:t>法定代表人</w:t>
      </w:r>
      <w:r>
        <w:rPr>
          <w:rFonts w:hint="eastAsia" w:ascii="宋体" w:hAnsi="宋体" w:cs="宋体"/>
          <w:color w:val="auto"/>
          <w:spacing w:val="-4"/>
          <w:highlight w:val="none"/>
        </w:rPr>
        <w:t>或委托代理人出席开标活动，视为该投标人默认开标结果。</w:t>
      </w:r>
    </w:p>
    <w:p w14:paraId="6B5339A1">
      <w:pPr>
        <w:shd w:val="clear" w:fill="FFFFFF" w:themeFill="background1"/>
        <w:adjustRightInd w:val="0"/>
        <w:snapToGrid w:val="0"/>
        <w:spacing w:line="360" w:lineRule="auto"/>
        <w:ind w:firstLine="482" w:firstLineChars="200"/>
        <w:rPr>
          <w:rFonts w:ascii="宋体" w:hAnsi="宋体" w:cs="宋体"/>
          <w:b/>
          <w:bCs/>
          <w:color w:val="auto"/>
          <w:sz w:val="24"/>
          <w:highlight w:val="none"/>
        </w:rPr>
      </w:pPr>
    </w:p>
    <w:p w14:paraId="6E6A6537">
      <w:pPr>
        <w:shd w:val="clear" w:fill="FFFFFF" w:themeFill="background1"/>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若采用单信封形式，第 5.1 款采用以下条款：</w:t>
      </w:r>
    </w:p>
    <w:p w14:paraId="506121DE">
      <w:pPr>
        <w:pStyle w:val="71"/>
        <w:numPr>
          <w:ilvl w:val="0"/>
          <w:numId w:val="0"/>
        </w:numPr>
        <w:shd w:val="clear" w:fill="FFFFFF" w:themeFill="background1"/>
        <w:spacing w:line="360" w:lineRule="auto"/>
        <w:rPr>
          <w:color w:val="auto"/>
          <w:highlight w:val="none"/>
        </w:rPr>
      </w:pPr>
      <w:bookmarkStart w:id="151" w:name="_Toc29307"/>
      <w:bookmarkEnd w:id="151"/>
      <w:bookmarkStart w:id="152" w:name="_Toc43475702"/>
      <w:bookmarkEnd w:id="152"/>
      <w:bookmarkStart w:id="153" w:name="_Toc25702"/>
      <w:bookmarkEnd w:id="153"/>
      <w:bookmarkStart w:id="154" w:name="_bookmark62"/>
      <w:bookmarkEnd w:id="154"/>
      <w:r>
        <w:rPr>
          <w:rFonts w:hint="eastAsia"/>
          <w:color w:val="auto"/>
          <w:highlight w:val="none"/>
        </w:rPr>
        <w:t>5.1 开标时间和地点</w:t>
      </w:r>
    </w:p>
    <w:p w14:paraId="2F7D644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项规定的投标截止时间（开标时间）和投标人须知前附表规定的地点公开开标，并邀请所有投标人的法定代表人或其委托代理人准时参加。</w:t>
      </w:r>
    </w:p>
    <w:p w14:paraId="5C42E3A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投标人若未派法定代表人</w:t>
      </w:r>
      <w:r>
        <w:rPr>
          <w:rFonts w:hint="eastAsia" w:ascii="宋体" w:hAnsi="宋体" w:cs="宋体"/>
          <w:color w:val="auto"/>
          <w:spacing w:val="-4"/>
          <w:highlight w:val="none"/>
        </w:rPr>
        <w:t>或委托代理人出席开标活动，视为该投标人默认开标结果。</w:t>
      </w:r>
    </w:p>
    <w:p w14:paraId="624586C6">
      <w:pPr>
        <w:shd w:val="clear" w:fill="FFFFFF" w:themeFill="background1"/>
        <w:adjustRightInd w:val="0"/>
        <w:snapToGrid w:val="0"/>
        <w:spacing w:line="360" w:lineRule="auto"/>
        <w:ind w:firstLine="482" w:firstLineChars="200"/>
        <w:rPr>
          <w:rFonts w:ascii="宋体" w:hAnsi="宋体" w:cs="宋体"/>
          <w:b/>
          <w:bCs/>
          <w:color w:val="auto"/>
          <w:sz w:val="24"/>
          <w:highlight w:val="none"/>
        </w:rPr>
      </w:pPr>
    </w:p>
    <w:p w14:paraId="1186F29E">
      <w:pPr>
        <w:shd w:val="clear" w:fill="FFFFFF" w:themeFill="background1"/>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若采用双信封形式，第 5.2 款采用以下条款：</w:t>
      </w:r>
    </w:p>
    <w:p w14:paraId="7D60A167">
      <w:pPr>
        <w:pStyle w:val="71"/>
        <w:numPr>
          <w:ilvl w:val="0"/>
          <w:numId w:val="0"/>
        </w:numPr>
        <w:shd w:val="clear" w:fill="FFFFFF" w:themeFill="background1"/>
        <w:spacing w:line="360" w:lineRule="auto"/>
        <w:rPr>
          <w:rFonts w:ascii="宋体" w:hAnsi="宋体" w:cs="宋体"/>
          <w:color w:val="auto"/>
          <w:highlight w:val="none"/>
        </w:rPr>
      </w:pPr>
      <w:bookmarkStart w:id="155" w:name="_Toc3383"/>
      <w:bookmarkEnd w:id="155"/>
      <w:bookmarkStart w:id="156" w:name="_Toc20358"/>
      <w:bookmarkEnd w:id="156"/>
      <w:bookmarkStart w:id="157" w:name="_bookmark63"/>
      <w:bookmarkEnd w:id="157"/>
      <w:bookmarkStart w:id="158" w:name="_Toc43475703"/>
      <w:bookmarkEnd w:id="158"/>
      <w:r>
        <w:rPr>
          <w:rFonts w:hint="eastAsia" w:ascii="宋体" w:hAnsi="宋体" w:cs="宋体"/>
          <w:color w:val="auto"/>
          <w:highlight w:val="none"/>
        </w:rPr>
        <w:t>5.2 开标程序</w:t>
      </w:r>
    </w:p>
    <w:p w14:paraId="5CD27D6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5.2.1 主持人按下列程序对投标文件第一个信封（商务及技术文件）进行开标：</w:t>
      </w:r>
    </w:p>
    <w:p w14:paraId="2B670ED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50AE318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14:paraId="1643997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6D05D60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3B049AC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（5）按照投标人须知前附表规定的开标顺序当众开标，公布标段名称、投标人名称、投标保证金的递交情况、工期及其他内容，并记录在案；</w:t>
      </w:r>
    </w:p>
    <w:p w14:paraId="5E86DB3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（6）投标人代表、招标人代表、记录人等有关人员在开标记录上签字确认；</w:t>
      </w:r>
    </w:p>
    <w:p w14:paraId="5670269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（7）开标结束。</w:t>
      </w:r>
    </w:p>
    <w:p w14:paraId="622B238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5.2.2 在投标文件第一个信封（商务及技术文件）开标现场，投标文件第二个信封（报价文件）不予开封，由招标人密封保存。</w:t>
      </w:r>
    </w:p>
    <w:p w14:paraId="5118F10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5.2.3 招标人将按照本章第 5.1 款规定的时间和地点对投标文件第二个信封（报价文件）进行开标。主持人按下列程序进行开标：</w:t>
      </w:r>
    </w:p>
    <w:p w14:paraId="126B65A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0E63A9A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（2）当众拆开投标文件第一个信封（商务及技术文件）评审结果的密封袋，宣布通过投标文件第一个信封（商务及技术文件）评审的投标人名单；</w:t>
      </w:r>
    </w:p>
    <w:p w14:paraId="31CB32B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7088628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50BC632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4D2E308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（6）计算并宣布评标基准价；</w:t>
      </w:r>
    </w:p>
    <w:p w14:paraId="5AD3C06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（7）将未通过投标文件第一个信封（商务及技术文件）评审的投标文件第二个信封（报价文件）退还给投标人；</w:t>
      </w:r>
    </w:p>
    <w:p w14:paraId="4640727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（8）投标人代表、招标人代表、记录人等有关人员在开标记录上签字确认；</w:t>
      </w:r>
    </w:p>
    <w:p w14:paraId="6C62535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（9）开标结束。</w:t>
      </w:r>
    </w:p>
    <w:p w14:paraId="7AFDF59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342CC42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（1）未在投标函上填写投标总价；</w:t>
      </w:r>
    </w:p>
    <w:p w14:paraId="294E50C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（2）投标报价或调价函中的报价超出招标人公布的最高投标限价（如有）；</w:t>
      </w:r>
    </w:p>
    <w:p w14:paraId="01174AA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（3）投标报价或调价函中报价的大写金额无法确定具体数值；</w:t>
      </w:r>
    </w:p>
    <w:p w14:paraId="354C911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（4）投标函上填写的标段号与投标文件封套上标记的标段号不一致。</w:t>
      </w:r>
    </w:p>
    <w:p w14:paraId="65222CA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4CEA58E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5.2.5 在投标文件第一个信封（商务及技术文件）或第二个信封（报价文件）开标过程中，若招标人宣读的内容与投标文件不符，投标人有权在开标现场提出疑问， </w:t>
      </w:r>
      <w:r>
        <w:rPr>
          <w:rFonts w:hint="eastAsia" w:ascii="宋体" w:hAnsi="宋体" w:cs="宋体"/>
          <w:color w:val="auto"/>
          <w:spacing w:val="-7"/>
          <w:highlight w:val="none"/>
        </w:rPr>
        <w:t>经招标人当场核查确认之后，可</w:t>
      </w:r>
      <w:r>
        <w:rPr>
          <w:rFonts w:hint="eastAsia" w:ascii="宋体" w:hAnsi="宋体" w:cs="宋体"/>
          <w:color w:val="auto"/>
          <w:highlight w:val="none"/>
        </w:rPr>
        <w:t>重新</w:t>
      </w:r>
      <w:r>
        <w:rPr>
          <w:rFonts w:hint="eastAsia" w:ascii="宋体" w:hAnsi="宋体" w:cs="宋体"/>
          <w:color w:val="auto"/>
          <w:spacing w:val="-7"/>
          <w:highlight w:val="none"/>
        </w:rPr>
        <w:t>宣读其投标文件。若投标人现场未提出疑问，则</w:t>
      </w:r>
      <w:r>
        <w:rPr>
          <w:rFonts w:hint="eastAsia" w:ascii="宋体" w:hAnsi="宋体" w:cs="宋体"/>
          <w:color w:val="auto"/>
          <w:highlight w:val="none"/>
        </w:rPr>
        <w:t>认为投标人已确认招标人宣读的内容。</w:t>
      </w:r>
    </w:p>
    <w:p w14:paraId="3C34D4E7">
      <w:pPr>
        <w:pStyle w:val="16"/>
        <w:shd w:val="clear" w:fill="FFFFFF" w:themeFill="background1"/>
        <w:spacing w:line="307" w:lineRule="exact"/>
        <w:ind w:left="849"/>
        <w:rPr>
          <w:rFonts w:ascii="宋体" w:hAnsi="宋体" w:cs="宋体"/>
          <w:b/>
          <w:bCs/>
          <w:color w:val="auto"/>
          <w:sz w:val="24"/>
          <w:highlight w:val="none"/>
        </w:rPr>
      </w:pPr>
    </w:p>
    <w:p w14:paraId="596403FF">
      <w:pPr>
        <w:pStyle w:val="16"/>
        <w:shd w:val="clear" w:fill="FFFFFF" w:themeFill="background1"/>
        <w:spacing w:line="307" w:lineRule="exact"/>
        <w:rPr>
          <w:rFonts w:ascii="宋体" w:hAnsi="宋体" w:cs="宋体"/>
          <w:b/>
          <w:bCs/>
          <w:color w:val="auto"/>
          <w:sz w:val="24"/>
          <w:highlight w:val="none"/>
        </w:rPr>
      </w:pPr>
      <w:r>
        <w:rPr>
          <w:rFonts w:hint="eastAsia" w:ascii="宋体" w:hAnsi="宋体" w:cs="宋体"/>
          <w:b/>
          <w:bCs/>
          <w:color w:val="auto"/>
          <w:sz w:val="24"/>
          <w:highlight w:val="none"/>
        </w:rPr>
        <w:t>若采用单信封形式，第 5.2 款采用以下条款：</w:t>
      </w:r>
    </w:p>
    <w:p w14:paraId="26B5E383">
      <w:pPr>
        <w:pStyle w:val="71"/>
        <w:numPr>
          <w:ilvl w:val="0"/>
          <w:numId w:val="0"/>
        </w:numPr>
        <w:shd w:val="clear" w:fill="FFFFFF" w:themeFill="background1"/>
        <w:spacing w:line="360" w:lineRule="auto"/>
        <w:rPr>
          <w:rFonts w:ascii="宋体" w:hAnsi="宋体" w:cs="宋体"/>
          <w:color w:val="auto"/>
          <w:highlight w:val="none"/>
        </w:rPr>
      </w:pPr>
      <w:bookmarkStart w:id="159" w:name="_Toc19648"/>
      <w:bookmarkEnd w:id="159"/>
      <w:bookmarkStart w:id="160" w:name="_bookmark64"/>
      <w:bookmarkEnd w:id="160"/>
      <w:bookmarkStart w:id="161" w:name="_Toc43475704"/>
      <w:bookmarkEnd w:id="161"/>
      <w:bookmarkStart w:id="162" w:name="_Toc23268"/>
      <w:bookmarkEnd w:id="162"/>
      <w:r>
        <w:rPr>
          <w:rFonts w:hint="eastAsia" w:ascii="宋体" w:hAnsi="宋体" w:cs="宋体"/>
          <w:color w:val="auto"/>
          <w:highlight w:val="none"/>
        </w:rPr>
        <w:t>5.2 开标程序</w:t>
      </w:r>
    </w:p>
    <w:p w14:paraId="5A5E1DA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5.2.1 主持人按下列程序进行开标：</w:t>
      </w:r>
    </w:p>
    <w:p w14:paraId="514D516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1E8B0BE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14:paraId="24395DD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5857EAE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06D75BD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（5）按照投标人须知前附表规定的开标顺序当众开标，公布标段名称、投标人名称、投标保证金的递交情况、投标报价、工期及其他内容，并记录在案；</w:t>
      </w:r>
    </w:p>
    <w:p w14:paraId="6B5DD34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（6）计算并宣布评标基准价；</w:t>
      </w:r>
    </w:p>
    <w:p w14:paraId="681784A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（7）投标人代表、招标人代表、记录人等有关人员在开标记录上签字确认；</w:t>
      </w:r>
    </w:p>
    <w:p w14:paraId="79DF2F6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（8）开标结束。</w:t>
      </w:r>
    </w:p>
    <w:p w14:paraId="23AC678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5.2.2 若采用合理低价法或综合评分法，在开标现场，招标人将按第三章“评标办法”规定的原则计算并宣布评标基准价。若招标人发现投标文件出现以下任一情况， 其投标报价将不再参加评标基准价的计算：</w:t>
      </w:r>
    </w:p>
    <w:p w14:paraId="031E250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（1）未在投标函上填写投标总价；</w:t>
      </w:r>
    </w:p>
    <w:p w14:paraId="5544BF97">
      <w:pPr>
        <w:pStyle w:val="59"/>
        <w:shd w:val="clear" w:fill="FFFFFF" w:themeFill="background1"/>
        <w:spacing w:line="360" w:lineRule="auto"/>
        <w:ind w:firstLine="476" w:firstLineChars="200"/>
        <w:rPr>
          <w:rFonts w:ascii="宋体" w:hAnsi="宋体" w:cs="宋体"/>
          <w:color w:val="auto"/>
          <w:highlight w:val="none"/>
        </w:rPr>
      </w:pPr>
      <w:r>
        <w:rPr>
          <w:rFonts w:hint="eastAsia" w:ascii="宋体" w:hAnsi="宋体" w:cs="宋体"/>
          <w:color w:val="auto"/>
          <w:spacing w:val="-1"/>
          <w:highlight w:val="none"/>
        </w:rPr>
        <w:t>（</w:t>
      </w:r>
      <w:r>
        <w:rPr>
          <w:rFonts w:hint="eastAsia" w:ascii="宋体" w:hAnsi="宋体" w:cs="宋体"/>
          <w:color w:val="auto"/>
          <w:highlight w:val="none"/>
        </w:rPr>
        <w:t>2）投标报价或调价函中的报价超出招标人公布的最高投标限价（如有</w:t>
      </w:r>
      <w:r>
        <w:rPr>
          <w:rFonts w:hint="eastAsia" w:ascii="宋体" w:hAnsi="宋体" w:cs="宋体"/>
          <w:color w:val="auto"/>
          <w:spacing w:val="-120"/>
          <w:highlight w:val="none"/>
        </w:rPr>
        <w:t>）</w:t>
      </w:r>
      <w:r>
        <w:rPr>
          <w:rFonts w:hint="eastAsia" w:ascii="宋体" w:hAnsi="宋体" w:cs="宋体"/>
          <w:color w:val="auto"/>
          <w:highlight w:val="none"/>
        </w:rPr>
        <w:t>；</w:t>
      </w:r>
    </w:p>
    <w:p w14:paraId="2FEE3EB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（3）投标报价或调价函中报价的大写金额无法确定具体数值；</w:t>
      </w:r>
    </w:p>
    <w:p w14:paraId="102391F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（4）投标函上填写的标段号与投标文件封套上标记的标段号不一致。</w:t>
      </w:r>
    </w:p>
    <w:p w14:paraId="459F9402">
      <w:pPr>
        <w:pStyle w:val="59"/>
        <w:shd w:val="clear" w:fill="FFFFFF" w:themeFill="background1"/>
        <w:spacing w:line="360" w:lineRule="auto"/>
        <w:ind w:firstLine="460" w:firstLineChars="200"/>
        <w:rPr>
          <w:rFonts w:ascii="宋体" w:hAnsi="宋体" w:cs="宋体"/>
          <w:color w:val="auto"/>
          <w:highlight w:val="none"/>
        </w:rPr>
      </w:pPr>
      <w:r>
        <w:rPr>
          <w:rFonts w:hint="eastAsia" w:ascii="宋体" w:hAnsi="宋体" w:cs="宋体"/>
          <w:color w:val="auto"/>
          <w:spacing w:val="-5"/>
          <w:highlight w:val="none"/>
        </w:rPr>
        <w:t>如果投标人认为某一标段的评标基准价计算有误，有权在开标现场提出，经招标</w:t>
      </w:r>
      <w:r>
        <w:rPr>
          <w:rFonts w:hint="eastAsia" w:ascii="宋体" w:hAnsi="宋体" w:cs="宋体"/>
          <w:color w:val="auto"/>
          <w:spacing w:val="-12"/>
          <w:highlight w:val="none"/>
        </w:rPr>
        <w:t>人当场核实确认之后，可</w:t>
      </w:r>
      <w:r>
        <w:rPr>
          <w:rFonts w:hint="eastAsia" w:ascii="宋体" w:hAnsi="宋体" w:cs="宋体"/>
          <w:color w:val="auto"/>
          <w:highlight w:val="none"/>
        </w:rPr>
        <w:t>重新</w:t>
      </w:r>
      <w:r>
        <w:rPr>
          <w:rFonts w:hint="eastAsia" w:ascii="宋体" w:hAnsi="宋体" w:cs="宋体"/>
          <w:color w:val="auto"/>
          <w:spacing w:val="-12"/>
          <w:highlight w:val="none"/>
        </w:rPr>
        <w:t>宣布评标基准价。开标现场宣布的评标基准价除计算有误经评标委员会修正外，在整个评标期间保持不变，不随任何因素发生变化。</w:t>
      </w:r>
    </w:p>
    <w:p w14:paraId="53C2BF7F">
      <w:pPr>
        <w:pStyle w:val="59"/>
        <w:shd w:val="clear" w:fill="FFFFFF" w:themeFill="background1"/>
        <w:spacing w:line="360" w:lineRule="auto"/>
        <w:ind w:firstLine="480" w:firstLineChars="200"/>
        <w:rPr>
          <w:color w:val="auto"/>
          <w:highlight w:val="none"/>
        </w:rPr>
      </w:pPr>
      <w:r>
        <w:rPr>
          <w:rFonts w:hint="eastAsia" w:ascii="宋体" w:hAnsi="宋体" w:cs="宋体"/>
          <w:color w:val="auto"/>
          <w:highlight w:val="none"/>
        </w:rPr>
        <w:t>5.2.3 若</w:t>
      </w:r>
      <w:r>
        <w:rPr>
          <w:color w:val="auto"/>
          <w:highlight w:val="none"/>
        </w:rPr>
        <w:t>招标人宣读的内容与投标文件不符，投标人有权在开标现场提出疑问，</w:t>
      </w:r>
      <w:r>
        <w:rPr>
          <w:color w:val="auto"/>
          <w:spacing w:val="-7"/>
          <w:highlight w:val="none"/>
        </w:rPr>
        <w:t>经招标人当场核查确认之后，可重新宣读其投标文件。若投标人现场未提出疑问，则</w:t>
      </w:r>
      <w:r>
        <w:rPr>
          <w:color w:val="auto"/>
          <w:highlight w:val="none"/>
        </w:rPr>
        <w:t>认为投标人已确认招标人宣读的内容。</w:t>
      </w:r>
    </w:p>
    <w:p w14:paraId="2CAEFA7B">
      <w:pPr>
        <w:pStyle w:val="59"/>
        <w:shd w:val="clear" w:fill="FFFFFF" w:themeFill="background1"/>
        <w:spacing w:line="360" w:lineRule="auto"/>
        <w:ind w:firstLine="482" w:firstLineChars="200"/>
        <w:rPr>
          <w:color w:val="auto"/>
          <w:highlight w:val="none"/>
        </w:rPr>
      </w:pPr>
      <w:r>
        <w:rPr>
          <w:rFonts w:hint="eastAsia" w:ascii="宋体" w:hAnsi="宋体" w:cs="宋体"/>
          <w:b/>
          <w:color w:val="auto"/>
          <w:highlight w:val="none"/>
        </w:rPr>
        <w:t>5.3 开标异议</w:t>
      </w:r>
    </w:p>
    <w:p w14:paraId="124D1800">
      <w:pPr>
        <w:pStyle w:val="59"/>
        <w:shd w:val="clear" w:fill="FFFFFF" w:themeFill="background1"/>
        <w:spacing w:line="360" w:lineRule="auto"/>
        <w:ind w:firstLine="480" w:firstLineChars="200"/>
        <w:rPr>
          <w:color w:val="auto"/>
          <w:highlight w:val="none"/>
        </w:rPr>
      </w:pPr>
      <w:r>
        <w:rPr>
          <w:rFonts w:hint="eastAsia"/>
          <w:color w:val="auto"/>
          <w:highlight w:val="none"/>
        </w:rPr>
        <w:t>投标人对开标有异议的，应在开标现场提出，招标人当场作出答复，并制作记录，有异议的投标人代表、招标人代表、记录人等有关人员在记录上签字确认。</w:t>
      </w:r>
    </w:p>
    <w:p w14:paraId="7A191D4B">
      <w:pPr>
        <w:pStyle w:val="69"/>
        <w:shd w:val="clear" w:fill="FFFFFF" w:themeFill="background1"/>
        <w:spacing w:before="156"/>
        <w:rPr>
          <w:color w:val="auto"/>
          <w:highlight w:val="none"/>
        </w:rPr>
      </w:pPr>
      <w:bookmarkStart w:id="163" w:name="_Toc43475705"/>
      <w:bookmarkEnd w:id="163"/>
      <w:bookmarkStart w:id="164" w:name="_Toc14516"/>
      <w:bookmarkEnd w:id="164"/>
      <w:bookmarkStart w:id="165" w:name="_Toc32113"/>
      <w:bookmarkEnd w:id="165"/>
      <w:r>
        <w:rPr>
          <w:rFonts w:hint="eastAsia"/>
          <w:color w:val="auto"/>
          <w:highlight w:val="none"/>
        </w:rPr>
        <w:t>评标</w:t>
      </w:r>
    </w:p>
    <w:p w14:paraId="5AEE9B24">
      <w:pPr>
        <w:pStyle w:val="71"/>
        <w:numPr>
          <w:ilvl w:val="0"/>
          <w:numId w:val="0"/>
        </w:numPr>
        <w:shd w:val="clear" w:fill="FFFFFF" w:themeFill="background1"/>
        <w:spacing w:line="360" w:lineRule="auto"/>
        <w:rPr>
          <w:rFonts w:ascii="宋体" w:hAnsi="宋体" w:cs="宋体"/>
          <w:color w:val="auto"/>
          <w:highlight w:val="none"/>
        </w:rPr>
      </w:pPr>
      <w:bookmarkStart w:id="166" w:name="_Toc11570"/>
      <w:bookmarkEnd w:id="166"/>
      <w:bookmarkStart w:id="167" w:name="_Toc494"/>
      <w:bookmarkEnd w:id="167"/>
      <w:bookmarkStart w:id="168" w:name="_Toc43475706"/>
      <w:bookmarkEnd w:id="168"/>
      <w:r>
        <w:rPr>
          <w:rFonts w:hint="eastAsia" w:ascii="宋体" w:hAnsi="宋体" w:cs="宋体"/>
          <w:color w:val="auto"/>
          <w:highlight w:val="none"/>
        </w:rPr>
        <w:t>6.1 评标委员会</w:t>
      </w:r>
    </w:p>
    <w:p w14:paraId="724AA04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专家组成。评标委员会成员人数以及技术、经济等方面专家的确定方式见投标人须知前附表。</w:t>
      </w:r>
    </w:p>
    <w:p w14:paraId="057B8E1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14:paraId="63E89D0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（1）为负责招标项目监督管理的交通运输主管部门的工作人员；</w:t>
      </w:r>
    </w:p>
    <w:p w14:paraId="53BB4B9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（2）与投标人法定代表人或其委托代理人有近亲属关系；</w:t>
      </w:r>
    </w:p>
    <w:p w14:paraId="7A84D12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（3）为投标人的工作人员或退休人员；</w:t>
      </w:r>
    </w:p>
    <w:p w14:paraId="6F1A5C4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（4）与投标人有其他利害关系，可能影响评标活动公正性；</w:t>
      </w:r>
    </w:p>
    <w:p w14:paraId="1A7B376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（5）在与招标投标有关的活动中有过违法违规行为、曾受过行政处罚或刑事处罚。</w:t>
      </w:r>
    </w:p>
    <w:p w14:paraId="7E4838A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14:paraId="698E5DE8">
      <w:pPr>
        <w:pStyle w:val="71"/>
        <w:numPr>
          <w:ilvl w:val="0"/>
          <w:numId w:val="0"/>
        </w:numPr>
        <w:shd w:val="clear" w:fill="FFFFFF" w:themeFill="background1"/>
        <w:spacing w:line="360" w:lineRule="auto"/>
        <w:rPr>
          <w:rFonts w:ascii="宋体" w:hAnsi="宋体" w:cs="宋体"/>
          <w:color w:val="auto"/>
          <w:highlight w:val="none"/>
        </w:rPr>
      </w:pPr>
      <w:bookmarkStart w:id="169" w:name="_Toc43475707"/>
      <w:bookmarkEnd w:id="169"/>
      <w:bookmarkStart w:id="170" w:name="_Toc16027"/>
      <w:bookmarkEnd w:id="170"/>
      <w:bookmarkStart w:id="171" w:name="_Toc16826"/>
      <w:bookmarkEnd w:id="171"/>
      <w:r>
        <w:rPr>
          <w:rFonts w:hint="eastAsia" w:ascii="宋体" w:hAnsi="宋体" w:cs="宋体"/>
          <w:color w:val="auto"/>
          <w:highlight w:val="none"/>
        </w:rPr>
        <w:t>6.2 评标原则</w:t>
      </w:r>
    </w:p>
    <w:p w14:paraId="2EDAA63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14:paraId="39E7F5F0">
      <w:pPr>
        <w:pStyle w:val="71"/>
        <w:numPr>
          <w:ilvl w:val="0"/>
          <w:numId w:val="0"/>
        </w:numPr>
        <w:shd w:val="clear" w:fill="FFFFFF" w:themeFill="background1"/>
        <w:spacing w:line="360" w:lineRule="auto"/>
        <w:rPr>
          <w:rFonts w:ascii="宋体" w:hAnsi="宋体" w:cs="宋体"/>
          <w:color w:val="auto"/>
          <w:highlight w:val="none"/>
        </w:rPr>
      </w:pPr>
      <w:bookmarkStart w:id="172" w:name="_Toc13218"/>
      <w:bookmarkEnd w:id="172"/>
      <w:bookmarkStart w:id="173" w:name="_Toc10176"/>
      <w:bookmarkEnd w:id="173"/>
      <w:bookmarkStart w:id="174" w:name="_Toc43475708"/>
      <w:bookmarkEnd w:id="174"/>
      <w:r>
        <w:rPr>
          <w:rFonts w:hint="eastAsia" w:ascii="宋体" w:hAnsi="宋体" w:cs="宋体"/>
          <w:color w:val="auto"/>
          <w:highlight w:val="none"/>
        </w:rPr>
        <w:t>6.3 评标</w:t>
      </w:r>
    </w:p>
    <w:p w14:paraId="36472C2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14:paraId="0DB240F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6.3.2评标完成后，评标委员会应向招标人提交书面评标报告和中标候选人名单。评标委员会推荐中标候选人的人数见投标人须知前附表。</w:t>
      </w:r>
    </w:p>
    <w:p w14:paraId="07C37980">
      <w:pPr>
        <w:pStyle w:val="69"/>
        <w:shd w:val="clear" w:fill="FFFFFF" w:themeFill="background1"/>
        <w:spacing w:before="156"/>
        <w:rPr>
          <w:color w:val="auto"/>
          <w:highlight w:val="none"/>
        </w:rPr>
      </w:pPr>
      <w:bookmarkStart w:id="175" w:name="_Toc7643"/>
      <w:bookmarkEnd w:id="175"/>
      <w:bookmarkStart w:id="176" w:name="_Toc43475709"/>
      <w:bookmarkEnd w:id="176"/>
      <w:bookmarkStart w:id="177" w:name="_Toc14072"/>
      <w:bookmarkEnd w:id="177"/>
      <w:r>
        <w:rPr>
          <w:rFonts w:hint="eastAsia"/>
          <w:color w:val="auto"/>
          <w:highlight w:val="none"/>
        </w:rPr>
        <w:t>合同授予</w:t>
      </w:r>
    </w:p>
    <w:p w14:paraId="2682553B">
      <w:pPr>
        <w:pStyle w:val="71"/>
        <w:numPr>
          <w:ilvl w:val="0"/>
          <w:numId w:val="0"/>
        </w:numPr>
        <w:shd w:val="clear" w:fill="FFFFFF" w:themeFill="background1"/>
        <w:spacing w:line="360" w:lineRule="auto"/>
        <w:rPr>
          <w:rFonts w:ascii="宋体" w:hAnsi="宋体" w:cs="宋体"/>
          <w:color w:val="auto"/>
          <w:highlight w:val="none"/>
        </w:rPr>
      </w:pPr>
      <w:bookmarkStart w:id="178" w:name="_Toc43475710"/>
      <w:bookmarkEnd w:id="178"/>
      <w:bookmarkStart w:id="179" w:name="_Toc11047"/>
      <w:bookmarkEnd w:id="179"/>
      <w:bookmarkStart w:id="180" w:name="_Toc14770"/>
      <w:bookmarkEnd w:id="180"/>
      <w:r>
        <w:rPr>
          <w:rFonts w:hint="eastAsia" w:ascii="宋体" w:hAnsi="宋体" w:cs="宋体"/>
          <w:color w:val="auto"/>
          <w:highlight w:val="none"/>
        </w:rPr>
        <w:t>7.1中标候选人公示</w:t>
      </w:r>
    </w:p>
    <w:p w14:paraId="38BE287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招标人在收到评标报告之日起 3 日内，按照投标人须知前附表规定的公示媒介和期限公示中标候选人，公示期不得少于 3 日，公示内容包括：</w:t>
      </w:r>
    </w:p>
    <w:p w14:paraId="266BA5A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（1）中标候选人排序、名称、投标报价，对工程质量要求、安全目标和工期的响应情况；</w:t>
      </w:r>
    </w:p>
    <w:p w14:paraId="72771AA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（2）中标候选人在投标文件中承诺的项目经理和项目总工姓名、个人业绩、相关证书名称和编号；</w:t>
      </w:r>
    </w:p>
    <w:p w14:paraId="0E4EB3B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（3）中标候选人在投标文件中填报的项目业绩；</w:t>
      </w:r>
    </w:p>
    <w:p w14:paraId="3EDE35D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（4）被否决投标的投标人名称、否决依据和原因；</w:t>
      </w:r>
    </w:p>
    <w:p w14:paraId="16308D9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（5）提出异议的渠道和方式；</w:t>
      </w:r>
    </w:p>
    <w:p w14:paraId="3353122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（6）投标人须知前附表规定公示的其他内容。</w:t>
      </w:r>
    </w:p>
    <w:p w14:paraId="446BF807">
      <w:pPr>
        <w:pStyle w:val="71"/>
        <w:numPr>
          <w:ilvl w:val="0"/>
          <w:numId w:val="0"/>
        </w:numPr>
        <w:shd w:val="clear" w:fill="FFFFFF" w:themeFill="background1"/>
        <w:spacing w:line="360" w:lineRule="auto"/>
        <w:rPr>
          <w:rFonts w:ascii="宋体" w:hAnsi="宋体" w:cs="宋体"/>
          <w:color w:val="auto"/>
          <w:highlight w:val="none"/>
        </w:rPr>
      </w:pPr>
      <w:bookmarkStart w:id="181" w:name="_Toc18347"/>
      <w:bookmarkEnd w:id="181"/>
      <w:bookmarkStart w:id="182" w:name="_Toc9144"/>
      <w:bookmarkEnd w:id="182"/>
      <w:bookmarkStart w:id="183" w:name="_Toc43475711"/>
      <w:bookmarkEnd w:id="183"/>
      <w:r>
        <w:rPr>
          <w:rFonts w:hint="eastAsia" w:ascii="宋体" w:hAnsi="宋体" w:cs="宋体"/>
          <w:color w:val="auto"/>
          <w:highlight w:val="none"/>
        </w:rPr>
        <w:t>7.2评标结果异议</w:t>
      </w:r>
    </w:p>
    <w:p w14:paraId="6BB9938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投标人或其他利害关系人对依法必须进行招标的项目的评标结果有异议的，应在中标候选人公示期间提出。招标人将在收到异议之日起 3 日内作出答复；作出答复前， 将暂停招标投标活动。</w:t>
      </w:r>
    </w:p>
    <w:p w14:paraId="17B142AD">
      <w:pPr>
        <w:pStyle w:val="71"/>
        <w:numPr>
          <w:ilvl w:val="0"/>
          <w:numId w:val="0"/>
        </w:numPr>
        <w:shd w:val="clear" w:fill="FFFFFF" w:themeFill="background1"/>
        <w:spacing w:line="360" w:lineRule="auto"/>
        <w:rPr>
          <w:rFonts w:ascii="宋体" w:hAnsi="宋体" w:cs="宋体"/>
          <w:color w:val="auto"/>
          <w:highlight w:val="none"/>
        </w:rPr>
      </w:pPr>
      <w:bookmarkStart w:id="184" w:name="_Toc2966"/>
      <w:bookmarkEnd w:id="184"/>
      <w:bookmarkStart w:id="185" w:name="_Toc9592"/>
      <w:bookmarkEnd w:id="185"/>
      <w:bookmarkStart w:id="186" w:name="_Toc43475712"/>
      <w:bookmarkEnd w:id="186"/>
      <w:r>
        <w:rPr>
          <w:rFonts w:hint="eastAsia" w:ascii="宋体" w:hAnsi="宋体" w:cs="宋体"/>
          <w:color w:val="auto"/>
          <w:highlight w:val="none"/>
        </w:rPr>
        <w:t>7.3中标候选人履约能力审查</w:t>
      </w:r>
    </w:p>
    <w:p w14:paraId="1E34412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090E8D2">
      <w:pPr>
        <w:pStyle w:val="71"/>
        <w:numPr>
          <w:ilvl w:val="0"/>
          <w:numId w:val="0"/>
        </w:numPr>
        <w:shd w:val="clear" w:fill="FFFFFF" w:themeFill="background1"/>
        <w:spacing w:line="360" w:lineRule="auto"/>
        <w:rPr>
          <w:rFonts w:ascii="宋体" w:hAnsi="宋体" w:cs="宋体"/>
          <w:color w:val="auto"/>
          <w:highlight w:val="none"/>
        </w:rPr>
      </w:pPr>
      <w:bookmarkStart w:id="187" w:name="_Toc43475713"/>
      <w:bookmarkEnd w:id="187"/>
      <w:bookmarkStart w:id="188" w:name="_Toc11384"/>
      <w:bookmarkEnd w:id="188"/>
      <w:bookmarkStart w:id="189" w:name="_Toc12376"/>
      <w:bookmarkEnd w:id="189"/>
      <w:r>
        <w:rPr>
          <w:rFonts w:hint="eastAsia" w:ascii="宋体" w:hAnsi="宋体" w:cs="宋体"/>
          <w:color w:val="auto"/>
          <w:highlight w:val="none"/>
        </w:rPr>
        <w:t>7.4定标</w:t>
      </w:r>
    </w:p>
    <w:p w14:paraId="4ED4849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14:paraId="2E123BD7">
      <w:pPr>
        <w:pStyle w:val="71"/>
        <w:numPr>
          <w:ilvl w:val="0"/>
          <w:numId w:val="0"/>
        </w:numPr>
        <w:shd w:val="clear" w:fill="FFFFFF" w:themeFill="background1"/>
        <w:spacing w:line="360" w:lineRule="auto"/>
        <w:rPr>
          <w:rFonts w:ascii="宋体" w:hAnsi="宋体" w:cs="宋体"/>
          <w:color w:val="auto"/>
          <w:highlight w:val="none"/>
        </w:rPr>
      </w:pPr>
      <w:bookmarkStart w:id="190" w:name="_Toc6352"/>
      <w:bookmarkEnd w:id="190"/>
      <w:bookmarkStart w:id="191" w:name="_Toc12433"/>
      <w:bookmarkEnd w:id="191"/>
      <w:bookmarkStart w:id="192" w:name="_Toc43475714"/>
      <w:bookmarkEnd w:id="192"/>
      <w:r>
        <w:rPr>
          <w:rFonts w:hint="eastAsia" w:ascii="宋体" w:hAnsi="宋体" w:cs="宋体"/>
          <w:color w:val="auto"/>
          <w:highlight w:val="none"/>
        </w:rPr>
        <w:t>7.5中标通知</w:t>
      </w:r>
    </w:p>
    <w:p w14:paraId="4A0DE92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在本章第 3.3 款规定的投标有效期内，招标人以投标人须知前附表规定的形式向中标人发出中标通知书，同时将中标结果通知未中标的投标人。</w:t>
      </w:r>
    </w:p>
    <w:p w14:paraId="1EB7FF1D">
      <w:pPr>
        <w:pStyle w:val="71"/>
        <w:numPr>
          <w:ilvl w:val="0"/>
          <w:numId w:val="0"/>
        </w:numPr>
        <w:shd w:val="clear" w:fill="FFFFFF" w:themeFill="background1"/>
        <w:spacing w:line="360" w:lineRule="auto"/>
        <w:rPr>
          <w:rFonts w:ascii="宋体" w:hAnsi="宋体" w:cs="宋体"/>
          <w:color w:val="auto"/>
          <w:highlight w:val="none"/>
        </w:rPr>
      </w:pPr>
      <w:bookmarkStart w:id="193" w:name="_Toc25675"/>
      <w:bookmarkEnd w:id="193"/>
      <w:bookmarkStart w:id="194" w:name="_Toc7550"/>
      <w:bookmarkEnd w:id="194"/>
      <w:bookmarkStart w:id="195" w:name="_Toc43475715"/>
      <w:bookmarkEnd w:id="195"/>
      <w:r>
        <w:rPr>
          <w:rFonts w:hint="eastAsia" w:ascii="宋体" w:hAnsi="宋体" w:cs="宋体"/>
          <w:color w:val="auto"/>
          <w:highlight w:val="none"/>
        </w:rPr>
        <w:t>7.6中标结果公告</w:t>
      </w:r>
    </w:p>
    <w:p w14:paraId="77000EB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招标人在确定中标人之日起 3 日内，按照投标人须知前附表规定的公告媒介和期限公告中标结果，公告期不得少于 3 日。公告内容包括中标人名称、中标价。</w:t>
      </w:r>
    </w:p>
    <w:p w14:paraId="6AE3694F">
      <w:pPr>
        <w:pStyle w:val="71"/>
        <w:numPr>
          <w:ilvl w:val="0"/>
          <w:numId w:val="0"/>
        </w:numPr>
        <w:shd w:val="clear" w:fill="FFFFFF" w:themeFill="background1"/>
        <w:spacing w:line="360" w:lineRule="auto"/>
        <w:rPr>
          <w:rFonts w:ascii="宋体" w:hAnsi="宋体" w:cs="宋体"/>
          <w:color w:val="auto"/>
          <w:highlight w:val="none"/>
        </w:rPr>
      </w:pPr>
      <w:bookmarkStart w:id="196" w:name="_Toc10013"/>
      <w:bookmarkEnd w:id="196"/>
      <w:bookmarkStart w:id="197" w:name="_Toc20034"/>
      <w:bookmarkEnd w:id="197"/>
      <w:bookmarkStart w:id="198" w:name="_Toc43475716"/>
      <w:bookmarkEnd w:id="198"/>
      <w:r>
        <w:rPr>
          <w:rFonts w:hint="eastAsia" w:ascii="宋体" w:hAnsi="宋体" w:cs="宋体"/>
          <w:color w:val="auto"/>
          <w:highlight w:val="none"/>
        </w:rPr>
        <w:t>7.7履约保证金</w:t>
      </w:r>
    </w:p>
    <w:p w14:paraId="33C3D9A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281FFEA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采用银行保函时，应由符合投标人须知前附表规定级别的银行开具，所需的费用由中标人承担，中标人应保证银行保函有效。</w:t>
      </w:r>
    </w:p>
    <w:p w14:paraId="5F55FA8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7.7.2中标人不能按本章第 7.7.1 项要求提交履约保证金的，视为放弃中标，其投标保证金不予退还，给招标人造成的损失超过投标保证金数额的，中标人还应对超过部分予以赔偿。</w:t>
      </w:r>
    </w:p>
    <w:p w14:paraId="462E92F5">
      <w:pPr>
        <w:pStyle w:val="71"/>
        <w:numPr>
          <w:ilvl w:val="0"/>
          <w:numId w:val="0"/>
        </w:numPr>
        <w:shd w:val="clear" w:fill="FFFFFF" w:themeFill="background1"/>
        <w:spacing w:line="360" w:lineRule="auto"/>
        <w:rPr>
          <w:rFonts w:ascii="宋体" w:hAnsi="宋体" w:cs="宋体"/>
          <w:color w:val="auto"/>
          <w:highlight w:val="none"/>
        </w:rPr>
      </w:pPr>
      <w:bookmarkStart w:id="199" w:name="_Toc43475717"/>
      <w:bookmarkEnd w:id="199"/>
      <w:bookmarkStart w:id="200" w:name="_Toc27583"/>
      <w:bookmarkEnd w:id="200"/>
      <w:bookmarkStart w:id="201" w:name="_Toc4886"/>
      <w:bookmarkEnd w:id="201"/>
      <w:r>
        <w:rPr>
          <w:rFonts w:hint="eastAsia" w:ascii="宋体" w:hAnsi="宋体" w:cs="宋体"/>
          <w:color w:val="auto"/>
          <w:highlight w:val="none"/>
        </w:rPr>
        <w:t>7.8签订合同</w:t>
      </w:r>
    </w:p>
    <w:p w14:paraId="7F60511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7.8.1招标人和中标人应在中标通知书发出之日起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1F0D7FC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7.8.2发出中标通知书后，招标人无正当理由拒签合同，或在签订合同时向中标人提出附加条件的，招标人向中标人退还投标保证金；给中标人造成损失的，还应赔偿损失。</w:t>
      </w:r>
    </w:p>
    <w:p w14:paraId="3AD1F1C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7.8.3签约合同价的确定原则如下：</w:t>
      </w:r>
    </w:p>
    <w:p w14:paraId="63752BE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（1）按照评标办法规定对投标报价进行修正后，若修正后的最终投标报价小于开标时的投标函大写金额报价，则签订合同时以修正后的最终投标报价为准；</w:t>
      </w:r>
    </w:p>
    <w:p w14:paraId="702F3EE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48A6219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7.8.4联合体中标的，联合体各方应共同与招标人签订合同，就中标项目向招标人承担连带责任。</w:t>
      </w:r>
    </w:p>
    <w:p w14:paraId="2DEE825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7.8.5招标人和中标人在签订合同协议书的同时，须按照本招标文件规定的格式和要求签订廉政合同及安全生产合同，明确双方在廉政建设和安全生产方面的权利和义务以及应承担的违约责任。</w:t>
      </w:r>
    </w:p>
    <w:p w14:paraId="390EDCA7">
      <w:pPr>
        <w:pStyle w:val="69"/>
        <w:shd w:val="clear" w:fill="FFFFFF" w:themeFill="background1"/>
        <w:spacing w:before="156"/>
        <w:rPr>
          <w:color w:val="auto"/>
          <w:highlight w:val="none"/>
        </w:rPr>
      </w:pPr>
      <w:bookmarkStart w:id="202" w:name="_Toc43475718"/>
      <w:bookmarkEnd w:id="202"/>
      <w:bookmarkStart w:id="203" w:name="_Toc1683"/>
      <w:bookmarkEnd w:id="203"/>
      <w:bookmarkStart w:id="204" w:name="_Toc32608"/>
      <w:bookmarkEnd w:id="204"/>
      <w:r>
        <w:rPr>
          <w:rFonts w:hint="eastAsia"/>
          <w:color w:val="auto"/>
          <w:highlight w:val="none"/>
        </w:rPr>
        <w:t>纪律和监督</w:t>
      </w:r>
    </w:p>
    <w:p w14:paraId="32F3ED5F">
      <w:pPr>
        <w:pStyle w:val="71"/>
        <w:numPr>
          <w:ilvl w:val="0"/>
          <w:numId w:val="0"/>
        </w:numPr>
        <w:shd w:val="clear" w:fill="FFFFFF" w:themeFill="background1"/>
        <w:spacing w:line="360" w:lineRule="auto"/>
        <w:rPr>
          <w:rFonts w:ascii="宋体" w:hAnsi="宋体" w:cs="宋体"/>
          <w:color w:val="auto"/>
          <w:highlight w:val="none"/>
        </w:rPr>
      </w:pPr>
      <w:bookmarkStart w:id="205" w:name="_Toc19942"/>
      <w:bookmarkEnd w:id="205"/>
      <w:bookmarkStart w:id="206" w:name="_Toc43475719"/>
      <w:bookmarkEnd w:id="206"/>
      <w:bookmarkStart w:id="207" w:name="_Toc18388"/>
      <w:bookmarkEnd w:id="207"/>
      <w:r>
        <w:rPr>
          <w:rFonts w:hint="eastAsia" w:ascii="宋体" w:hAnsi="宋体" w:cs="宋体"/>
          <w:color w:val="auto"/>
          <w:highlight w:val="none"/>
        </w:rPr>
        <w:t>8.1对招标人的纪律要求</w:t>
      </w:r>
    </w:p>
    <w:p w14:paraId="36841337">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招标人不得泄露招标投标活动中应保密的情况和资料，不得与投标人串通损害国家利益、社会公共利益或他人合法权益。</w:t>
      </w:r>
    </w:p>
    <w:p w14:paraId="0D236AA5">
      <w:pPr>
        <w:pStyle w:val="71"/>
        <w:numPr>
          <w:ilvl w:val="0"/>
          <w:numId w:val="0"/>
        </w:numPr>
        <w:shd w:val="clear" w:fill="FFFFFF" w:themeFill="background1"/>
        <w:spacing w:line="360" w:lineRule="auto"/>
        <w:rPr>
          <w:rFonts w:ascii="宋体" w:hAnsi="宋体" w:cs="宋体"/>
          <w:color w:val="auto"/>
          <w:highlight w:val="none"/>
        </w:rPr>
      </w:pPr>
      <w:bookmarkStart w:id="208" w:name="_Toc43475720"/>
      <w:bookmarkEnd w:id="208"/>
      <w:bookmarkStart w:id="209" w:name="_Toc11030"/>
      <w:bookmarkEnd w:id="209"/>
      <w:bookmarkStart w:id="210" w:name="_Toc7432"/>
      <w:bookmarkEnd w:id="210"/>
      <w:r>
        <w:rPr>
          <w:rFonts w:hint="eastAsia" w:ascii="宋体" w:hAnsi="宋体" w:cs="宋体"/>
          <w:color w:val="auto"/>
          <w:highlight w:val="none"/>
        </w:rPr>
        <w:t>8.2对投标人的纪律要求</w:t>
      </w:r>
    </w:p>
    <w:p w14:paraId="76E87E06">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51A0F86D">
      <w:pPr>
        <w:pStyle w:val="71"/>
        <w:numPr>
          <w:ilvl w:val="0"/>
          <w:numId w:val="0"/>
        </w:numPr>
        <w:shd w:val="clear" w:fill="FFFFFF" w:themeFill="background1"/>
        <w:spacing w:line="360" w:lineRule="auto"/>
        <w:rPr>
          <w:rFonts w:ascii="宋体" w:hAnsi="宋体" w:cs="宋体"/>
          <w:color w:val="auto"/>
          <w:highlight w:val="none"/>
        </w:rPr>
      </w:pPr>
      <w:bookmarkStart w:id="211" w:name="_Toc43475721"/>
      <w:bookmarkEnd w:id="211"/>
      <w:bookmarkStart w:id="212" w:name="_Toc15026"/>
      <w:bookmarkEnd w:id="212"/>
      <w:bookmarkStart w:id="213" w:name="_Toc23985"/>
      <w:bookmarkEnd w:id="213"/>
      <w:r>
        <w:rPr>
          <w:rFonts w:hint="eastAsia" w:ascii="宋体" w:hAnsi="宋体" w:cs="宋体"/>
          <w:color w:val="auto"/>
          <w:highlight w:val="none"/>
        </w:rPr>
        <w:t>8.3对评标委员会成员的纪律要求</w:t>
      </w:r>
    </w:p>
    <w:p w14:paraId="36DED8AA">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151B3160">
      <w:pPr>
        <w:pStyle w:val="71"/>
        <w:numPr>
          <w:ilvl w:val="0"/>
          <w:numId w:val="0"/>
        </w:numPr>
        <w:shd w:val="clear" w:fill="FFFFFF" w:themeFill="background1"/>
        <w:spacing w:line="360" w:lineRule="auto"/>
        <w:rPr>
          <w:rFonts w:ascii="宋体" w:hAnsi="宋体" w:cs="宋体"/>
          <w:color w:val="auto"/>
          <w:highlight w:val="none"/>
        </w:rPr>
      </w:pPr>
      <w:bookmarkStart w:id="214" w:name="_Toc31858"/>
      <w:bookmarkEnd w:id="214"/>
      <w:bookmarkStart w:id="215" w:name="_Toc20211"/>
      <w:bookmarkEnd w:id="215"/>
      <w:bookmarkStart w:id="216" w:name="_Toc43475722"/>
      <w:bookmarkEnd w:id="216"/>
      <w:r>
        <w:rPr>
          <w:rFonts w:hint="eastAsia" w:ascii="宋体" w:hAnsi="宋体" w:cs="宋体"/>
          <w:color w:val="auto"/>
          <w:highlight w:val="none"/>
        </w:rPr>
        <w:t>8.4对与评标活动有关的工作人员的纪律要求</w:t>
      </w:r>
    </w:p>
    <w:p w14:paraId="3A2E2890">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33A9973C">
      <w:pPr>
        <w:pStyle w:val="71"/>
        <w:numPr>
          <w:ilvl w:val="0"/>
          <w:numId w:val="0"/>
        </w:numPr>
        <w:shd w:val="clear" w:fill="FFFFFF" w:themeFill="background1"/>
        <w:spacing w:line="360" w:lineRule="auto"/>
        <w:rPr>
          <w:rFonts w:ascii="宋体" w:hAnsi="宋体" w:cs="宋体"/>
          <w:color w:val="auto"/>
          <w:highlight w:val="none"/>
        </w:rPr>
      </w:pPr>
      <w:bookmarkStart w:id="217" w:name="_Toc24359"/>
      <w:bookmarkEnd w:id="217"/>
      <w:bookmarkStart w:id="218" w:name="_Toc22887"/>
      <w:bookmarkEnd w:id="218"/>
      <w:bookmarkStart w:id="219" w:name="_Toc43475723"/>
      <w:bookmarkEnd w:id="219"/>
      <w:r>
        <w:rPr>
          <w:rFonts w:hint="eastAsia" w:ascii="宋体" w:hAnsi="宋体" w:cs="宋体"/>
          <w:color w:val="auto"/>
          <w:highlight w:val="none"/>
        </w:rPr>
        <w:t>8.5投诉</w:t>
      </w:r>
    </w:p>
    <w:p w14:paraId="62DBD951">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8.5.1投标人或其他利害关系人认为招标投标活动不符合法律、行政法规规定的， 可以自知道或应当知道之日起 10 日内向有关行政监督部门投诉。投诉应有明确的请求和必要的证明材料。</w:t>
      </w:r>
    </w:p>
    <w:p w14:paraId="29ADE345">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监督部门的联系方式见投标人须知前附表。</w:t>
      </w:r>
    </w:p>
    <w:p w14:paraId="5CC30C7C">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8.5.2投标人或其他利害关系人对招标文件、开标和评标结果提出投诉的，应按照本章第 2.4 款、第 5.3 款和第 7.2 款的规定先向招标人提出异议。异议答复期间不计算在第 8.5.1 项规定的期限内。</w:t>
      </w:r>
    </w:p>
    <w:p w14:paraId="03061BB3">
      <w:pPr>
        <w:pStyle w:val="69"/>
        <w:shd w:val="clear" w:fill="FFFFFF" w:themeFill="background1"/>
        <w:spacing w:before="156"/>
        <w:rPr>
          <w:color w:val="auto"/>
          <w:highlight w:val="none"/>
        </w:rPr>
      </w:pPr>
      <w:bookmarkStart w:id="220" w:name="_Toc16397"/>
      <w:bookmarkEnd w:id="220"/>
      <w:bookmarkStart w:id="221" w:name="_Toc43475724"/>
      <w:bookmarkEnd w:id="221"/>
      <w:bookmarkStart w:id="222" w:name="_Toc18834"/>
      <w:bookmarkEnd w:id="222"/>
      <w:r>
        <w:rPr>
          <w:rFonts w:hint="eastAsia"/>
          <w:color w:val="auto"/>
          <w:highlight w:val="none"/>
        </w:rPr>
        <w:t>是否采用电子招标投标</w:t>
      </w:r>
    </w:p>
    <w:p w14:paraId="52BBCFFF">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14:paraId="2A7BA52B">
      <w:pPr>
        <w:pStyle w:val="69"/>
        <w:shd w:val="clear" w:fill="FFFFFF" w:themeFill="background1"/>
        <w:spacing w:before="156"/>
        <w:rPr>
          <w:rFonts w:ascii="宋体" w:hAnsi="宋体" w:cs="宋体"/>
          <w:color w:val="auto"/>
          <w:highlight w:val="none"/>
        </w:rPr>
      </w:pPr>
      <w:bookmarkStart w:id="223" w:name="_Toc43475725"/>
      <w:bookmarkEnd w:id="223"/>
      <w:bookmarkStart w:id="224" w:name="_Toc29544"/>
      <w:bookmarkEnd w:id="224"/>
      <w:bookmarkStart w:id="225" w:name="_Toc22521"/>
      <w:bookmarkEnd w:id="225"/>
      <w:r>
        <w:rPr>
          <w:rFonts w:hint="eastAsia" w:ascii="宋体" w:hAnsi="宋体" w:cs="宋体"/>
          <w:color w:val="auto"/>
          <w:highlight w:val="none"/>
        </w:rPr>
        <w:t>需要补充的其他内容</w:t>
      </w:r>
    </w:p>
    <w:p w14:paraId="6438550B">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10.1自购买招标文件之日起，投标人应保证其提供的联系方式（电话、传真、电子邮件）一直有效，以便及时收到招标人发出的函件(招标文件的澄清、修改等)， 并应及时向招标人反馈信息，否则招标人不承担由此引起的一切后果。</w:t>
      </w:r>
    </w:p>
    <w:p w14:paraId="2E6AF35C">
      <w:pPr>
        <w:pStyle w:val="58"/>
        <w:shd w:val="clear" w:fill="FFFFFF" w:themeFill="background1"/>
        <w:spacing w:line="360" w:lineRule="auto"/>
        <w:ind w:firstLine="0" w:firstLineChars="0"/>
        <w:rPr>
          <w:rFonts w:ascii="宋体" w:hAnsi="宋体" w:cs="宋体"/>
          <w:color w:val="auto"/>
          <w:highlight w:val="none"/>
        </w:rPr>
      </w:pPr>
      <w:r>
        <w:rPr>
          <w:rFonts w:hint="eastAsia" w:ascii="宋体" w:hAnsi="宋体" w:cs="宋体"/>
          <w:color w:val="auto"/>
          <w:highlight w:val="none"/>
        </w:rPr>
        <w:t>需要补充的其他内容：见投标人须知前附表。</w:t>
      </w:r>
    </w:p>
    <w:p w14:paraId="08BC8C76">
      <w:pPr>
        <w:pStyle w:val="58"/>
        <w:shd w:val="clear" w:fill="FFFFFF" w:themeFill="background1"/>
        <w:spacing w:line="360" w:lineRule="auto"/>
        <w:ind w:firstLine="0" w:firstLineChars="0"/>
        <w:rPr>
          <w:rFonts w:ascii="宋体" w:hAnsi="宋体" w:cs="宋体"/>
          <w:color w:val="auto"/>
          <w:highlight w:val="none"/>
        </w:rPr>
      </w:pPr>
    </w:p>
    <w:p w14:paraId="6DBCAC26">
      <w:pPr>
        <w:pStyle w:val="58"/>
        <w:shd w:val="clear" w:fill="FFFFFF" w:themeFill="background1"/>
        <w:rPr>
          <w:rFonts w:ascii="宋体" w:hAnsi="宋体" w:cs="宋体"/>
          <w:color w:val="auto"/>
          <w:highlight w:val="none"/>
        </w:rPr>
      </w:pPr>
    </w:p>
    <w:p w14:paraId="260FC2EF">
      <w:pPr>
        <w:pStyle w:val="58"/>
        <w:shd w:val="clear" w:fill="FFFFFF" w:themeFill="background1"/>
        <w:ind w:firstLine="0" w:firstLineChars="0"/>
        <w:rPr>
          <w:rFonts w:ascii="宋体" w:hAnsi="宋体" w:cs="宋体"/>
          <w:color w:val="auto"/>
          <w:highlight w:val="none"/>
        </w:rPr>
        <w:sectPr>
          <w:pgSz w:w="11906" w:h="16838"/>
          <w:pgMar w:top="1134" w:right="1134" w:bottom="1134" w:left="1134" w:header="851" w:footer="992" w:gutter="0"/>
          <w:cols w:space="720" w:num="1"/>
          <w:docGrid w:type="lines" w:linePitch="312" w:charSpace="0"/>
        </w:sectPr>
      </w:pPr>
    </w:p>
    <w:p w14:paraId="545C11E5">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26" w:name="_Toc8014"/>
      <w:bookmarkEnd w:id="226"/>
      <w:bookmarkStart w:id="227" w:name="_Toc19478"/>
      <w:bookmarkEnd w:id="227"/>
      <w:bookmarkStart w:id="228" w:name="_Toc43475726"/>
      <w:bookmarkEnd w:id="228"/>
      <w:r>
        <w:rPr>
          <w:rFonts w:hint="eastAsia" w:ascii="宋体" w:hAnsi="宋体" w:cs="宋体"/>
          <w:color w:val="auto"/>
          <w:highlight w:val="none"/>
        </w:rPr>
        <w:t>附件一：开标记录表</w:t>
      </w:r>
    </w:p>
    <w:p w14:paraId="5731727A">
      <w:pPr>
        <w:pStyle w:val="58"/>
        <w:shd w:val="clear" w:fill="FFFFFF" w:themeFill="background1"/>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 xml:space="preserve">（项目名称） </w:t>
      </w:r>
      <w:r>
        <w:rPr>
          <w:rFonts w:hint="eastAsia" w:ascii="宋体" w:hAnsi="宋体" w:cs="宋体"/>
          <w:b/>
          <w:bCs/>
          <w:color w:val="auto"/>
          <w:sz w:val="30"/>
          <w:szCs w:val="30"/>
          <w:highlight w:val="none"/>
        </w:rPr>
        <w:t>第一个信封（商务及技术文件）</w:t>
      </w:r>
    </w:p>
    <w:p w14:paraId="0F05256E">
      <w:pPr>
        <w:pStyle w:val="58"/>
        <w:shd w:val="clear" w:fill="FFFFFF" w:themeFill="background1"/>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开标记录表</w:t>
      </w:r>
    </w:p>
    <w:p w14:paraId="23476E93">
      <w:pPr>
        <w:pStyle w:val="58"/>
        <w:shd w:val="clear" w:fill="FFFFFF" w:themeFill="background1"/>
        <w:spacing w:line="360" w:lineRule="auto"/>
        <w:ind w:firstLine="0" w:firstLineChars="0"/>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43"/>
        <w:tblpPr w:leftFromText="180" w:rightFromText="180" w:vertAnchor="text" w:tblpXSpec="center" w:tblpY="1"/>
        <w:tblOverlap w:val="never"/>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39"/>
        <w:gridCol w:w="1641"/>
        <w:gridCol w:w="1971"/>
        <w:gridCol w:w="986"/>
        <w:gridCol w:w="841"/>
        <w:gridCol w:w="1241"/>
        <w:gridCol w:w="1241"/>
      </w:tblGrid>
      <w:tr w14:paraId="6E08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1602870E">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39" w:type="dxa"/>
            <w:vAlign w:val="center"/>
          </w:tcPr>
          <w:p w14:paraId="1AF113B6">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1641" w:type="dxa"/>
            <w:vAlign w:val="center"/>
          </w:tcPr>
          <w:p w14:paraId="55EDEEFB">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1971" w:type="dxa"/>
            <w:vAlign w:val="center"/>
          </w:tcPr>
          <w:p w14:paraId="45D6D96D">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投标保证金</w:t>
            </w:r>
          </w:p>
          <w:p w14:paraId="72E96756">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递交情况</w:t>
            </w:r>
          </w:p>
        </w:tc>
        <w:tc>
          <w:tcPr>
            <w:tcW w:w="986" w:type="dxa"/>
            <w:vAlign w:val="center"/>
          </w:tcPr>
          <w:p w14:paraId="570B8349">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质量</w:t>
            </w:r>
          </w:p>
          <w:p w14:paraId="7E868B47">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目标</w:t>
            </w:r>
          </w:p>
        </w:tc>
        <w:tc>
          <w:tcPr>
            <w:tcW w:w="841" w:type="dxa"/>
            <w:vAlign w:val="center"/>
          </w:tcPr>
          <w:p w14:paraId="37AB17A9">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工期</w:t>
            </w:r>
          </w:p>
        </w:tc>
        <w:tc>
          <w:tcPr>
            <w:tcW w:w="1241" w:type="dxa"/>
            <w:vAlign w:val="center"/>
          </w:tcPr>
          <w:p w14:paraId="36EDEB47">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241" w:type="dxa"/>
          </w:tcPr>
          <w:p w14:paraId="58469D6A">
            <w:pPr>
              <w:pStyle w:val="80"/>
              <w:shd w:val="clear" w:fill="FFFFFF" w:themeFill="background1"/>
              <w:rPr>
                <w:rFonts w:ascii="Calibri" w:hAnsi="Calibri"/>
                <w:color w:val="auto"/>
                <w:sz w:val="20"/>
                <w:highlight w:val="none"/>
              </w:rPr>
            </w:pPr>
          </w:p>
          <w:p w14:paraId="6B5548CE">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14:paraId="3503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00644B29">
            <w:pPr>
              <w:pStyle w:val="58"/>
              <w:shd w:val="clear" w:fill="FFFFFF" w:themeFill="background1"/>
              <w:spacing w:line="360" w:lineRule="auto"/>
              <w:ind w:firstLine="0" w:firstLineChars="0"/>
              <w:jc w:val="center"/>
              <w:rPr>
                <w:rFonts w:ascii="宋体" w:hAnsi="宋体" w:cs="宋体"/>
                <w:color w:val="auto"/>
                <w:highlight w:val="none"/>
              </w:rPr>
            </w:pPr>
          </w:p>
        </w:tc>
        <w:tc>
          <w:tcPr>
            <w:tcW w:w="1439" w:type="dxa"/>
            <w:vAlign w:val="center"/>
          </w:tcPr>
          <w:p w14:paraId="148BDDA0">
            <w:pPr>
              <w:pStyle w:val="58"/>
              <w:shd w:val="clear" w:fill="FFFFFF" w:themeFill="background1"/>
              <w:spacing w:line="360" w:lineRule="auto"/>
              <w:ind w:firstLine="0" w:firstLineChars="0"/>
              <w:jc w:val="center"/>
              <w:rPr>
                <w:rFonts w:ascii="宋体" w:hAnsi="宋体" w:cs="宋体"/>
                <w:color w:val="auto"/>
                <w:highlight w:val="none"/>
              </w:rPr>
            </w:pPr>
          </w:p>
        </w:tc>
        <w:tc>
          <w:tcPr>
            <w:tcW w:w="1641" w:type="dxa"/>
            <w:vAlign w:val="center"/>
          </w:tcPr>
          <w:p w14:paraId="0A61F4C8">
            <w:pPr>
              <w:pStyle w:val="58"/>
              <w:shd w:val="clear" w:fill="FFFFFF" w:themeFill="background1"/>
              <w:spacing w:line="360" w:lineRule="auto"/>
              <w:ind w:firstLine="0" w:firstLineChars="0"/>
              <w:jc w:val="center"/>
              <w:rPr>
                <w:rFonts w:ascii="宋体" w:hAnsi="宋体" w:cs="宋体"/>
                <w:color w:val="auto"/>
                <w:highlight w:val="none"/>
              </w:rPr>
            </w:pPr>
          </w:p>
        </w:tc>
        <w:tc>
          <w:tcPr>
            <w:tcW w:w="1971" w:type="dxa"/>
            <w:vAlign w:val="center"/>
          </w:tcPr>
          <w:p w14:paraId="72DD7F5E">
            <w:pPr>
              <w:pStyle w:val="58"/>
              <w:shd w:val="clear" w:fill="FFFFFF" w:themeFill="background1"/>
              <w:spacing w:line="360" w:lineRule="auto"/>
              <w:ind w:firstLine="0" w:firstLineChars="0"/>
              <w:jc w:val="center"/>
              <w:rPr>
                <w:rFonts w:ascii="宋体" w:hAnsi="宋体" w:cs="宋体"/>
                <w:color w:val="auto"/>
                <w:highlight w:val="none"/>
              </w:rPr>
            </w:pPr>
          </w:p>
        </w:tc>
        <w:tc>
          <w:tcPr>
            <w:tcW w:w="986" w:type="dxa"/>
            <w:vAlign w:val="center"/>
          </w:tcPr>
          <w:p w14:paraId="6E2611FC">
            <w:pPr>
              <w:pStyle w:val="58"/>
              <w:shd w:val="clear" w:fill="FFFFFF" w:themeFill="background1"/>
              <w:spacing w:line="360" w:lineRule="auto"/>
              <w:ind w:firstLine="0" w:firstLineChars="0"/>
              <w:jc w:val="center"/>
              <w:rPr>
                <w:rFonts w:ascii="宋体" w:hAnsi="宋体" w:cs="宋体"/>
                <w:color w:val="auto"/>
                <w:highlight w:val="none"/>
              </w:rPr>
            </w:pPr>
          </w:p>
        </w:tc>
        <w:tc>
          <w:tcPr>
            <w:tcW w:w="841" w:type="dxa"/>
            <w:vAlign w:val="center"/>
          </w:tcPr>
          <w:p w14:paraId="454E0453">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5EE8A267">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3C640C13">
            <w:pPr>
              <w:pStyle w:val="58"/>
              <w:shd w:val="clear" w:fill="FFFFFF" w:themeFill="background1"/>
              <w:spacing w:line="360" w:lineRule="auto"/>
              <w:ind w:firstLine="0" w:firstLineChars="0"/>
              <w:jc w:val="center"/>
              <w:rPr>
                <w:rFonts w:ascii="宋体" w:hAnsi="宋体" w:cs="宋体"/>
                <w:color w:val="auto"/>
                <w:highlight w:val="none"/>
              </w:rPr>
            </w:pPr>
          </w:p>
        </w:tc>
      </w:tr>
      <w:tr w14:paraId="0329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7D7AEB86">
            <w:pPr>
              <w:pStyle w:val="58"/>
              <w:shd w:val="clear" w:fill="FFFFFF" w:themeFill="background1"/>
              <w:spacing w:line="360" w:lineRule="auto"/>
              <w:ind w:firstLine="0" w:firstLineChars="0"/>
              <w:jc w:val="center"/>
              <w:rPr>
                <w:rFonts w:ascii="宋体" w:hAnsi="宋体" w:cs="宋体"/>
                <w:color w:val="auto"/>
                <w:highlight w:val="none"/>
              </w:rPr>
            </w:pPr>
          </w:p>
        </w:tc>
        <w:tc>
          <w:tcPr>
            <w:tcW w:w="1439" w:type="dxa"/>
            <w:vAlign w:val="center"/>
          </w:tcPr>
          <w:p w14:paraId="2C7496CA">
            <w:pPr>
              <w:pStyle w:val="58"/>
              <w:shd w:val="clear" w:fill="FFFFFF" w:themeFill="background1"/>
              <w:spacing w:line="360" w:lineRule="auto"/>
              <w:ind w:firstLine="0" w:firstLineChars="0"/>
              <w:jc w:val="center"/>
              <w:rPr>
                <w:rFonts w:ascii="宋体" w:hAnsi="宋体" w:cs="宋体"/>
                <w:color w:val="auto"/>
                <w:highlight w:val="none"/>
              </w:rPr>
            </w:pPr>
          </w:p>
        </w:tc>
        <w:tc>
          <w:tcPr>
            <w:tcW w:w="1641" w:type="dxa"/>
            <w:vAlign w:val="center"/>
          </w:tcPr>
          <w:p w14:paraId="7F420E47">
            <w:pPr>
              <w:pStyle w:val="58"/>
              <w:shd w:val="clear" w:fill="FFFFFF" w:themeFill="background1"/>
              <w:spacing w:line="360" w:lineRule="auto"/>
              <w:ind w:firstLine="0" w:firstLineChars="0"/>
              <w:jc w:val="center"/>
              <w:rPr>
                <w:rFonts w:ascii="宋体" w:hAnsi="宋体" w:cs="宋体"/>
                <w:color w:val="auto"/>
                <w:highlight w:val="none"/>
              </w:rPr>
            </w:pPr>
          </w:p>
        </w:tc>
        <w:tc>
          <w:tcPr>
            <w:tcW w:w="1971" w:type="dxa"/>
            <w:vAlign w:val="center"/>
          </w:tcPr>
          <w:p w14:paraId="36BFA68D">
            <w:pPr>
              <w:pStyle w:val="58"/>
              <w:shd w:val="clear" w:fill="FFFFFF" w:themeFill="background1"/>
              <w:spacing w:line="360" w:lineRule="auto"/>
              <w:ind w:firstLine="0" w:firstLineChars="0"/>
              <w:jc w:val="center"/>
              <w:rPr>
                <w:rFonts w:ascii="宋体" w:hAnsi="宋体" w:cs="宋体"/>
                <w:color w:val="auto"/>
                <w:highlight w:val="none"/>
              </w:rPr>
            </w:pPr>
          </w:p>
        </w:tc>
        <w:tc>
          <w:tcPr>
            <w:tcW w:w="986" w:type="dxa"/>
            <w:vAlign w:val="center"/>
          </w:tcPr>
          <w:p w14:paraId="23E3EA24">
            <w:pPr>
              <w:pStyle w:val="58"/>
              <w:shd w:val="clear" w:fill="FFFFFF" w:themeFill="background1"/>
              <w:spacing w:line="360" w:lineRule="auto"/>
              <w:ind w:firstLine="0" w:firstLineChars="0"/>
              <w:jc w:val="center"/>
              <w:rPr>
                <w:rFonts w:ascii="宋体" w:hAnsi="宋体" w:cs="宋体"/>
                <w:color w:val="auto"/>
                <w:highlight w:val="none"/>
              </w:rPr>
            </w:pPr>
          </w:p>
        </w:tc>
        <w:tc>
          <w:tcPr>
            <w:tcW w:w="841" w:type="dxa"/>
            <w:vAlign w:val="center"/>
          </w:tcPr>
          <w:p w14:paraId="5893F990">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66FA34A5">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4F0D5B08">
            <w:pPr>
              <w:pStyle w:val="58"/>
              <w:shd w:val="clear" w:fill="FFFFFF" w:themeFill="background1"/>
              <w:spacing w:line="360" w:lineRule="auto"/>
              <w:ind w:firstLine="0" w:firstLineChars="0"/>
              <w:jc w:val="center"/>
              <w:rPr>
                <w:rFonts w:ascii="宋体" w:hAnsi="宋体" w:cs="宋体"/>
                <w:color w:val="auto"/>
                <w:highlight w:val="none"/>
              </w:rPr>
            </w:pPr>
          </w:p>
        </w:tc>
      </w:tr>
      <w:tr w14:paraId="5E2B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51DA558D">
            <w:pPr>
              <w:pStyle w:val="58"/>
              <w:shd w:val="clear" w:fill="FFFFFF" w:themeFill="background1"/>
              <w:spacing w:line="360" w:lineRule="auto"/>
              <w:ind w:firstLine="0" w:firstLineChars="0"/>
              <w:jc w:val="center"/>
              <w:rPr>
                <w:rFonts w:ascii="宋体" w:hAnsi="宋体" w:cs="宋体"/>
                <w:color w:val="auto"/>
                <w:highlight w:val="none"/>
              </w:rPr>
            </w:pPr>
          </w:p>
        </w:tc>
        <w:tc>
          <w:tcPr>
            <w:tcW w:w="1439" w:type="dxa"/>
            <w:vAlign w:val="center"/>
          </w:tcPr>
          <w:p w14:paraId="404F9B50">
            <w:pPr>
              <w:pStyle w:val="58"/>
              <w:shd w:val="clear" w:fill="FFFFFF" w:themeFill="background1"/>
              <w:spacing w:line="360" w:lineRule="auto"/>
              <w:ind w:firstLine="0" w:firstLineChars="0"/>
              <w:jc w:val="center"/>
              <w:rPr>
                <w:rFonts w:ascii="宋体" w:hAnsi="宋体" w:cs="宋体"/>
                <w:color w:val="auto"/>
                <w:highlight w:val="none"/>
              </w:rPr>
            </w:pPr>
          </w:p>
        </w:tc>
        <w:tc>
          <w:tcPr>
            <w:tcW w:w="1641" w:type="dxa"/>
            <w:vAlign w:val="center"/>
          </w:tcPr>
          <w:p w14:paraId="2238A5B0">
            <w:pPr>
              <w:pStyle w:val="58"/>
              <w:shd w:val="clear" w:fill="FFFFFF" w:themeFill="background1"/>
              <w:spacing w:line="360" w:lineRule="auto"/>
              <w:ind w:firstLine="0" w:firstLineChars="0"/>
              <w:jc w:val="center"/>
              <w:rPr>
                <w:rFonts w:ascii="宋体" w:hAnsi="宋体" w:cs="宋体"/>
                <w:color w:val="auto"/>
                <w:highlight w:val="none"/>
              </w:rPr>
            </w:pPr>
          </w:p>
        </w:tc>
        <w:tc>
          <w:tcPr>
            <w:tcW w:w="1971" w:type="dxa"/>
            <w:vAlign w:val="center"/>
          </w:tcPr>
          <w:p w14:paraId="7663797A">
            <w:pPr>
              <w:pStyle w:val="58"/>
              <w:shd w:val="clear" w:fill="FFFFFF" w:themeFill="background1"/>
              <w:spacing w:line="360" w:lineRule="auto"/>
              <w:ind w:firstLine="0" w:firstLineChars="0"/>
              <w:jc w:val="center"/>
              <w:rPr>
                <w:rFonts w:ascii="宋体" w:hAnsi="宋体" w:cs="宋体"/>
                <w:color w:val="auto"/>
                <w:highlight w:val="none"/>
              </w:rPr>
            </w:pPr>
          </w:p>
        </w:tc>
        <w:tc>
          <w:tcPr>
            <w:tcW w:w="986" w:type="dxa"/>
            <w:vAlign w:val="center"/>
          </w:tcPr>
          <w:p w14:paraId="7D0553F0">
            <w:pPr>
              <w:pStyle w:val="58"/>
              <w:shd w:val="clear" w:fill="FFFFFF" w:themeFill="background1"/>
              <w:spacing w:line="360" w:lineRule="auto"/>
              <w:ind w:firstLine="0" w:firstLineChars="0"/>
              <w:jc w:val="center"/>
              <w:rPr>
                <w:rFonts w:ascii="宋体" w:hAnsi="宋体" w:cs="宋体"/>
                <w:color w:val="auto"/>
                <w:highlight w:val="none"/>
              </w:rPr>
            </w:pPr>
          </w:p>
        </w:tc>
        <w:tc>
          <w:tcPr>
            <w:tcW w:w="841" w:type="dxa"/>
            <w:vAlign w:val="center"/>
          </w:tcPr>
          <w:p w14:paraId="56DDDD71">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4536CF74">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5F581368">
            <w:pPr>
              <w:pStyle w:val="58"/>
              <w:shd w:val="clear" w:fill="FFFFFF" w:themeFill="background1"/>
              <w:spacing w:line="360" w:lineRule="auto"/>
              <w:ind w:firstLine="0" w:firstLineChars="0"/>
              <w:jc w:val="center"/>
              <w:rPr>
                <w:rFonts w:ascii="宋体" w:hAnsi="宋体" w:cs="宋体"/>
                <w:color w:val="auto"/>
                <w:highlight w:val="none"/>
              </w:rPr>
            </w:pPr>
          </w:p>
        </w:tc>
      </w:tr>
      <w:tr w14:paraId="03AE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66211F6C">
            <w:pPr>
              <w:pStyle w:val="58"/>
              <w:shd w:val="clear" w:fill="FFFFFF" w:themeFill="background1"/>
              <w:spacing w:line="360" w:lineRule="auto"/>
              <w:ind w:firstLine="0" w:firstLineChars="0"/>
              <w:jc w:val="center"/>
              <w:rPr>
                <w:rFonts w:ascii="宋体" w:hAnsi="宋体" w:cs="宋体"/>
                <w:color w:val="auto"/>
                <w:highlight w:val="none"/>
              </w:rPr>
            </w:pPr>
          </w:p>
        </w:tc>
        <w:tc>
          <w:tcPr>
            <w:tcW w:w="1439" w:type="dxa"/>
            <w:vAlign w:val="center"/>
          </w:tcPr>
          <w:p w14:paraId="39C36840">
            <w:pPr>
              <w:pStyle w:val="58"/>
              <w:shd w:val="clear" w:fill="FFFFFF" w:themeFill="background1"/>
              <w:spacing w:line="360" w:lineRule="auto"/>
              <w:ind w:firstLine="0" w:firstLineChars="0"/>
              <w:jc w:val="center"/>
              <w:rPr>
                <w:rFonts w:ascii="宋体" w:hAnsi="宋体" w:cs="宋体"/>
                <w:color w:val="auto"/>
                <w:highlight w:val="none"/>
              </w:rPr>
            </w:pPr>
          </w:p>
        </w:tc>
        <w:tc>
          <w:tcPr>
            <w:tcW w:w="1641" w:type="dxa"/>
            <w:vAlign w:val="center"/>
          </w:tcPr>
          <w:p w14:paraId="6FCFF108">
            <w:pPr>
              <w:pStyle w:val="58"/>
              <w:shd w:val="clear" w:fill="FFFFFF" w:themeFill="background1"/>
              <w:spacing w:line="360" w:lineRule="auto"/>
              <w:ind w:firstLine="0" w:firstLineChars="0"/>
              <w:jc w:val="center"/>
              <w:rPr>
                <w:rFonts w:ascii="宋体" w:hAnsi="宋体" w:cs="宋体"/>
                <w:color w:val="auto"/>
                <w:highlight w:val="none"/>
              </w:rPr>
            </w:pPr>
          </w:p>
        </w:tc>
        <w:tc>
          <w:tcPr>
            <w:tcW w:w="1971" w:type="dxa"/>
            <w:vAlign w:val="center"/>
          </w:tcPr>
          <w:p w14:paraId="1CD1E53B">
            <w:pPr>
              <w:pStyle w:val="58"/>
              <w:shd w:val="clear" w:fill="FFFFFF" w:themeFill="background1"/>
              <w:spacing w:line="360" w:lineRule="auto"/>
              <w:ind w:firstLine="0" w:firstLineChars="0"/>
              <w:jc w:val="center"/>
              <w:rPr>
                <w:rFonts w:ascii="宋体" w:hAnsi="宋体" w:cs="宋体"/>
                <w:color w:val="auto"/>
                <w:highlight w:val="none"/>
              </w:rPr>
            </w:pPr>
          </w:p>
        </w:tc>
        <w:tc>
          <w:tcPr>
            <w:tcW w:w="986" w:type="dxa"/>
            <w:vAlign w:val="center"/>
          </w:tcPr>
          <w:p w14:paraId="771093D3">
            <w:pPr>
              <w:pStyle w:val="58"/>
              <w:shd w:val="clear" w:fill="FFFFFF" w:themeFill="background1"/>
              <w:spacing w:line="360" w:lineRule="auto"/>
              <w:ind w:firstLine="0" w:firstLineChars="0"/>
              <w:jc w:val="center"/>
              <w:rPr>
                <w:rFonts w:ascii="宋体" w:hAnsi="宋体" w:cs="宋体"/>
                <w:color w:val="auto"/>
                <w:highlight w:val="none"/>
              </w:rPr>
            </w:pPr>
          </w:p>
        </w:tc>
        <w:tc>
          <w:tcPr>
            <w:tcW w:w="841" w:type="dxa"/>
            <w:vAlign w:val="center"/>
          </w:tcPr>
          <w:p w14:paraId="7174B0E1">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20E47DE3">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1DF4146E">
            <w:pPr>
              <w:pStyle w:val="58"/>
              <w:shd w:val="clear" w:fill="FFFFFF" w:themeFill="background1"/>
              <w:spacing w:line="360" w:lineRule="auto"/>
              <w:ind w:firstLine="0" w:firstLineChars="0"/>
              <w:jc w:val="center"/>
              <w:rPr>
                <w:rFonts w:ascii="宋体" w:hAnsi="宋体" w:cs="宋体"/>
                <w:color w:val="auto"/>
                <w:highlight w:val="none"/>
              </w:rPr>
            </w:pPr>
          </w:p>
        </w:tc>
      </w:tr>
    </w:tbl>
    <w:p w14:paraId="0227835D">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 xml:space="preserve">招标人代表：                        记录人： </w:t>
      </w:r>
    </w:p>
    <w:p w14:paraId="640C5134">
      <w:pPr>
        <w:pStyle w:val="58"/>
        <w:shd w:val="clear" w:fill="FFFFFF" w:themeFill="background1"/>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14:paraId="24C5732F">
      <w:pPr>
        <w:pStyle w:val="58"/>
        <w:shd w:val="clear" w:fill="FFFFFF" w:themeFill="background1"/>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 xml:space="preserve">（项目名称） </w:t>
      </w:r>
      <w:r>
        <w:rPr>
          <w:rFonts w:hint="eastAsia" w:ascii="宋体" w:hAnsi="宋体" w:cs="宋体"/>
          <w:b/>
          <w:bCs/>
          <w:color w:val="auto"/>
          <w:sz w:val="30"/>
          <w:szCs w:val="30"/>
          <w:highlight w:val="none"/>
        </w:rPr>
        <w:t>第二个信封（报价文件）</w:t>
      </w:r>
    </w:p>
    <w:p w14:paraId="6719C4B3">
      <w:pPr>
        <w:pStyle w:val="58"/>
        <w:shd w:val="clear" w:fill="FFFFFF" w:themeFill="background1"/>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开标记录表</w:t>
      </w:r>
    </w:p>
    <w:p w14:paraId="68E75A3A">
      <w:pPr>
        <w:pStyle w:val="58"/>
        <w:shd w:val="clear" w:fill="FFFFFF" w:themeFill="background1"/>
        <w:spacing w:line="360" w:lineRule="auto"/>
        <w:ind w:firstLine="0" w:firstLineChars="0"/>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43"/>
        <w:tblpPr w:leftFromText="180" w:rightFromText="180" w:vertAnchor="text" w:tblpXSpec="center" w:tblpY="1"/>
        <w:tblOverlap w:val="neve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22"/>
        <w:gridCol w:w="1800"/>
        <w:gridCol w:w="2155"/>
        <w:gridCol w:w="1796"/>
        <w:gridCol w:w="803"/>
        <w:gridCol w:w="1193"/>
      </w:tblGrid>
      <w:tr w14:paraId="32A0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15D30038">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22" w:type="dxa"/>
            <w:vAlign w:val="center"/>
          </w:tcPr>
          <w:p w14:paraId="13F73FCF">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1800" w:type="dxa"/>
            <w:vAlign w:val="center"/>
          </w:tcPr>
          <w:p w14:paraId="3E090B11">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2155" w:type="dxa"/>
            <w:vAlign w:val="center"/>
          </w:tcPr>
          <w:p w14:paraId="0680EB01">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投标报价（元）</w:t>
            </w:r>
          </w:p>
        </w:tc>
        <w:tc>
          <w:tcPr>
            <w:tcW w:w="1796" w:type="dxa"/>
            <w:vAlign w:val="center"/>
          </w:tcPr>
          <w:p w14:paraId="59187822">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是否超过最高投标限价</w:t>
            </w:r>
          </w:p>
        </w:tc>
        <w:tc>
          <w:tcPr>
            <w:tcW w:w="803" w:type="dxa"/>
            <w:vAlign w:val="center"/>
          </w:tcPr>
          <w:p w14:paraId="59275A3D">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193" w:type="dxa"/>
            <w:vAlign w:val="center"/>
          </w:tcPr>
          <w:p w14:paraId="4AB779C8">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14:paraId="246E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2527B694">
            <w:pPr>
              <w:pStyle w:val="58"/>
              <w:shd w:val="clear" w:fill="FFFFFF" w:themeFill="background1"/>
              <w:spacing w:line="360" w:lineRule="auto"/>
              <w:ind w:firstLine="0" w:firstLineChars="0"/>
              <w:jc w:val="center"/>
              <w:rPr>
                <w:rFonts w:ascii="宋体" w:hAnsi="宋体" w:cs="宋体"/>
                <w:color w:val="auto"/>
                <w:highlight w:val="none"/>
              </w:rPr>
            </w:pPr>
          </w:p>
        </w:tc>
        <w:tc>
          <w:tcPr>
            <w:tcW w:w="1422" w:type="dxa"/>
            <w:vAlign w:val="center"/>
          </w:tcPr>
          <w:p w14:paraId="6ACBFA1D">
            <w:pPr>
              <w:pStyle w:val="58"/>
              <w:shd w:val="clear" w:fill="FFFFFF" w:themeFill="background1"/>
              <w:spacing w:line="360" w:lineRule="auto"/>
              <w:ind w:firstLine="0" w:firstLineChars="0"/>
              <w:jc w:val="center"/>
              <w:rPr>
                <w:rFonts w:ascii="宋体" w:hAnsi="宋体" w:cs="宋体"/>
                <w:color w:val="auto"/>
                <w:highlight w:val="none"/>
              </w:rPr>
            </w:pPr>
          </w:p>
        </w:tc>
        <w:tc>
          <w:tcPr>
            <w:tcW w:w="1800" w:type="dxa"/>
            <w:vAlign w:val="center"/>
          </w:tcPr>
          <w:p w14:paraId="7CCA7ADC">
            <w:pPr>
              <w:pStyle w:val="58"/>
              <w:shd w:val="clear" w:fill="FFFFFF" w:themeFill="background1"/>
              <w:spacing w:line="360" w:lineRule="auto"/>
              <w:ind w:firstLine="0" w:firstLineChars="0"/>
              <w:jc w:val="center"/>
              <w:rPr>
                <w:rFonts w:ascii="宋体" w:hAnsi="宋体" w:cs="宋体"/>
                <w:color w:val="auto"/>
                <w:highlight w:val="none"/>
              </w:rPr>
            </w:pPr>
          </w:p>
        </w:tc>
        <w:tc>
          <w:tcPr>
            <w:tcW w:w="2155" w:type="dxa"/>
            <w:vAlign w:val="center"/>
          </w:tcPr>
          <w:p w14:paraId="774693A7">
            <w:pPr>
              <w:pStyle w:val="58"/>
              <w:shd w:val="clear" w:fill="FFFFFF" w:themeFill="background1"/>
              <w:spacing w:line="360" w:lineRule="auto"/>
              <w:ind w:firstLine="0" w:firstLineChars="0"/>
              <w:jc w:val="center"/>
              <w:rPr>
                <w:rFonts w:ascii="宋体" w:hAnsi="宋体" w:cs="宋体"/>
                <w:color w:val="auto"/>
                <w:highlight w:val="none"/>
              </w:rPr>
            </w:pPr>
          </w:p>
        </w:tc>
        <w:tc>
          <w:tcPr>
            <w:tcW w:w="1796" w:type="dxa"/>
            <w:vAlign w:val="center"/>
          </w:tcPr>
          <w:p w14:paraId="35211CA3">
            <w:pPr>
              <w:pStyle w:val="58"/>
              <w:shd w:val="clear" w:fill="FFFFFF" w:themeFill="background1"/>
              <w:spacing w:line="360" w:lineRule="auto"/>
              <w:ind w:firstLine="0" w:firstLineChars="0"/>
              <w:jc w:val="center"/>
              <w:rPr>
                <w:rFonts w:ascii="宋体" w:hAnsi="宋体" w:cs="宋体"/>
                <w:color w:val="auto"/>
                <w:highlight w:val="none"/>
              </w:rPr>
            </w:pPr>
          </w:p>
        </w:tc>
        <w:tc>
          <w:tcPr>
            <w:tcW w:w="803" w:type="dxa"/>
            <w:vAlign w:val="center"/>
          </w:tcPr>
          <w:p w14:paraId="65FEE0F3">
            <w:pPr>
              <w:pStyle w:val="58"/>
              <w:shd w:val="clear" w:fill="FFFFFF" w:themeFill="background1"/>
              <w:spacing w:line="360" w:lineRule="auto"/>
              <w:ind w:firstLine="0" w:firstLineChars="0"/>
              <w:jc w:val="center"/>
              <w:rPr>
                <w:rFonts w:ascii="宋体" w:hAnsi="宋体" w:cs="宋体"/>
                <w:color w:val="auto"/>
                <w:highlight w:val="none"/>
              </w:rPr>
            </w:pPr>
          </w:p>
        </w:tc>
        <w:tc>
          <w:tcPr>
            <w:tcW w:w="1193" w:type="dxa"/>
            <w:vAlign w:val="center"/>
          </w:tcPr>
          <w:p w14:paraId="45E9E9F9">
            <w:pPr>
              <w:pStyle w:val="58"/>
              <w:shd w:val="clear" w:fill="FFFFFF" w:themeFill="background1"/>
              <w:spacing w:line="360" w:lineRule="auto"/>
              <w:ind w:firstLine="0" w:firstLineChars="0"/>
              <w:jc w:val="center"/>
              <w:rPr>
                <w:rFonts w:ascii="宋体" w:hAnsi="宋体" w:cs="宋体"/>
                <w:color w:val="auto"/>
                <w:highlight w:val="none"/>
              </w:rPr>
            </w:pPr>
          </w:p>
        </w:tc>
      </w:tr>
      <w:tr w14:paraId="6224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62F95F2E">
            <w:pPr>
              <w:pStyle w:val="58"/>
              <w:shd w:val="clear" w:fill="FFFFFF" w:themeFill="background1"/>
              <w:spacing w:line="360" w:lineRule="auto"/>
              <w:ind w:firstLine="0" w:firstLineChars="0"/>
              <w:jc w:val="center"/>
              <w:rPr>
                <w:rFonts w:ascii="宋体" w:hAnsi="宋体" w:cs="宋体"/>
                <w:color w:val="auto"/>
                <w:highlight w:val="none"/>
              </w:rPr>
            </w:pPr>
          </w:p>
        </w:tc>
        <w:tc>
          <w:tcPr>
            <w:tcW w:w="1422" w:type="dxa"/>
            <w:vAlign w:val="center"/>
          </w:tcPr>
          <w:p w14:paraId="001D4EAF">
            <w:pPr>
              <w:pStyle w:val="58"/>
              <w:shd w:val="clear" w:fill="FFFFFF" w:themeFill="background1"/>
              <w:spacing w:line="360" w:lineRule="auto"/>
              <w:ind w:firstLine="0" w:firstLineChars="0"/>
              <w:jc w:val="center"/>
              <w:rPr>
                <w:rFonts w:ascii="宋体" w:hAnsi="宋体" w:cs="宋体"/>
                <w:color w:val="auto"/>
                <w:highlight w:val="none"/>
              </w:rPr>
            </w:pPr>
          </w:p>
        </w:tc>
        <w:tc>
          <w:tcPr>
            <w:tcW w:w="1800" w:type="dxa"/>
            <w:vAlign w:val="center"/>
          </w:tcPr>
          <w:p w14:paraId="51CD24A0">
            <w:pPr>
              <w:pStyle w:val="58"/>
              <w:shd w:val="clear" w:fill="FFFFFF" w:themeFill="background1"/>
              <w:spacing w:line="360" w:lineRule="auto"/>
              <w:ind w:firstLine="0" w:firstLineChars="0"/>
              <w:jc w:val="center"/>
              <w:rPr>
                <w:rFonts w:ascii="宋体" w:hAnsi="宋体" w:cs="宋体"/>
                <w:color w:val="auto"/>
                <w:highlight w:val="none"/>
              </w:rPr>
            </w:pPr>
          </w:p>
        </w:tc>
        <w:tc>
          <w:tcPr>
            <w:tcW w:w="2155" w:type="dxa"/>
            <w:vAlign w:val="center"/>
          </w:tcPr>
          <w:p w14:paraId="360F9E83">
            <w:pPr>
              <w:pStyle w:val="58"/>
              <w:shd w:val="clear" w:fill="FFFFFF" w:themeFill="background1"/>
              <w:spacing w:line="360" w:lineRule="auto"/>
              <w:ind w:firstLine="0" w:firstLineChars="0"/>
              <w:jc w:val="center"/>
              <w:rPr>
                <w:rFonts w:ascii="宋体" w:hAnsi="宋体" w:cs="宋体"/>
                <w:color w:val="auto"/>
                <w:highlight w:val="none"/>
              </w:rPr>
            </w:pPr>
          </w:p>
        </w:tc>
        <w:tc>
          <w:tcPr>
            <w:tcW w:w="1796" w:type="dxa"/>
            <w:vAlign w:val="center"/>
          </w:tcPr>
          <w:p w14:paraId="3B3B16F8">
            <w:pPr>
              <w:pStyle w:val="58"/>
              <w:shd w:val="clear" w:fill="FFFFFF" w:themeFill="background1"/>
              <w:spacing w:line="360" w:lineRule="auto"/>
              <w:ind w:firstLine="0" w:firstLineChars="0"/>
              <w:jc w:val="center"/>
              <w:rPr>
                <w:rFonts w:ascii="宋体" w:hAnsi="宋体" w:cs="宋体"/>
                <w:color w:val="auto"/>
                <w:highlight w:val="none"/>
              </w:rPr>
            </w:pPr>
          </w:p>
        </w:tc>
        <w:tc>
          <w:tcPr>
            <w:tcW w:w="803" w:type="dxa"/>
            <w:vAlign w:val="center"/>
          </w:tcPr>
          <w:p w14:paraId="229A8E0D">
            <w:pPr>
              <w:pStyle w:val="58"/>
              <w:shd w:val="clear" w:fill="FFFFFF" w:themeFill="background1"/>
              <w:spacing w:line="360" w:lineRule="auto"/>
              <w:ind w:firstLine="0" w:firstLineChars="0"/>
              <w:jc w:val="center"/>
              <w:rPr>
                <w:rFonts w:ascii="宋体" w:hAnsi="宋体" w:cs="宋体"/>
                <w:color w:val="auto"/>
                <w:highlight w:val="none"/>
              </w:rPr>
            </w:pPr>
          </w:p>
        </w:tc>
        <w:tc>
          <w:tcPr>
            <w:tcW w:w="1193" w:type="dxa"/>
            <w:vAlign w:val="center"/>
          </w:tcPr>
          <w:p w14:paraId="5D560B20">
            <w:pPr>
              <w:pStyle w:val="58"/>
              <w:shd w:val="clear" w:fill="FFFFFF" w:themeFill="background1"/>
              <w:spacing w:line="360" w:lineRule="auto"/>
              <w:ind w:firstLine="0" w:firstLineChars="0"/>
              <w:jc w:val="center"/>
              <w:rPr>
                <w:rFonts w:ascii="宋体" w:hAnsi="宋体" w:cs="宋体"/>
                <w:color w:val="auto"/>
                <w:highlight w:val="none"/>
              </w:rPr>
            </w:pPr>
          </w:p>
        </w:tc>
      </w:tr>
      <w:tr w14:paraId="24C8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1CC29D28">
            <w:pPr>
              <w:pStyle w:val="58"/>
              <w:shd w:val="clear" w:fill="FFFFFF" w:themeFill="background1"/>
              <w:spacing w:line="360" w:lineRule="auto"/>
              <w:ind w:firstLine="0" w:firstLineChars="0"/>
              <w:jc w:val="center"/>
              <w:rPr>
                <w:rFonts w:ascii="宋体" w:hAnsi="宋体" w:cs="宋体"/>
                <w:color w:val="auto"/>
                <w:highlight w:val="none"/>
              </w:rPr>
            </w:pPr>
          </w:p>
        </w:tc>
        <w:tc>
          <w:tcPr>
            <w:tcW w:w="1422" w:type="dxa"/>
            <w:vAlign w:val="center"/>
          </w:tcPr>
          <w:p w14:paraId="0E26945F">
            <w:pPr>
              <w:pStyle w:val="58"/>
              <w:shd w:val="clear" w:fill="FFFFFF" w:themeFill="background1"/>
              <w:spacing w:line="360" w:lineRule="auto"/>
              <w:ind w:firstLine="0" w:firstLineChars="0"/>
              <w:jc w:val="center"/>
              <w:rPr>
                <w:rFonts w:ascii="宋体" w:hAnsi="宋体" w:cs="宋体"/>
                <w:color w:val="auto"/>
                <w:highlight w:val="none"/>
              </w:rPr>
            </w:pPr>
          </w:p>
        </w:tc>
        <w:tc>
          <w:tcPr>
            <w:tcW w:w="1800" w:type="dxa"/>
            <w:vAlign w:val="center"/>
          </w:tcPr>
          <w:p w14:paraId="1DBB348E">
            <w:pPr>
              <w:pStyle w:val="58"/>
              <w:shd w:val="clear" w:fill="FFFFFF" w:themeFill="background1"/>
              <w:spacing w:line="360" w:lineRule="auto"/>
              <w:ind w:firstLine="0" w:firstLineChars="0"/>
              <w:jc w:val="center"/>
              <w:rPr>
                <w:rFonts w:ascii="宋体" w:hAnsi="宋体" w:cs="宋体"/>
                <w:color w:val="auto"/>
                <w:highlight w:val="none"/>
              </w:rPr>
            </w:pPr>
          </w:p>
        </w:tc>
        <w:tc>
          <w:tcPr>
            <w:tcW w:w="2155" w:type="dxa"/>
            <w:vAlign w:val="center"/>
          </w:tcPr>
          <w:p w14:paraId="03F540D6">
            <w:pPr>
              <w:pStyle w:val="58"/>
              <w:shd w:val="clear" w:fill="FFFFFF" w:themeFill="background1"/>
              <w:spacing w:line="360" w:lineRule="auto"/>
              <w:ind w:firstLine="0" w:firstLineChars="0"/>
              <w:jc w:val="center"/>
              <w:rPr>
                <w:rFonts w:ascii="宋体" w:hAnsi="宋体" w:cs="宋体"/>
                <w:color w:val="auto"/>
                <w:highlight w:val="none"/>
              </w:rPr>
            </w:pPr>
          </w:p>
        </w:tc>
        <w:tc>
          <w:tcPr>
            <w:tcW w:w="1796" w:type="dxa"/>
            <w:vAlign w:val="center"/>
          </w:tcPr>
          <w:p w14:paraId="75C7247C">
            <w:pPr>
              <w:pStyle w:val="58"/>
              <w:shd w:val="clear" w:fill="FFFFFF" w:themeFill="background1"/>
              <w:spacing w:line="360" w:lineRule="auto"/>
              <w:ind w:firstLine="0" w:firstLineChars="0"/>
              <w:jc w:val="center"/>
              <w:rPr>
                <w:rFonts w:ascii="宋体" w:hAnsi="宋体" w:cs="宋体"/>
                <w:color w:val="auto"/>
                <w:highlight w:val="none"/>
              </w:rPr>
            </w:pPr>
          </w:p>
        </w:tc>
        <w:tc>
          <w:tcPr>
            <w:tcW w:w="803" w:type="dxa"/>
            <w:vAlign w:val="center"/>
          </w:tcPr>
          <w:p w14:paraId="658E621A">
            <w:pPr>
              <w:pStyle w:val="58"/>
              <w:shd w:val="clear" w:fill="FFFFFF" w:themeFill="background1"/>
              <w:spacing w:line="360" w:lineRule="auto"/>
              <w:ind w:firstLine="0" w:firstLineChars="0"/>
              <w:jc w:val="center"/>
              <w:rPr>
                <w:rFonts w:ascii="宋体" w:hAnsi="宋体" w:cs="宋体"/>
                <w:color w:val="auto"/>
                <w:highlight w:val="none"/>
              </w:rPr>
            </w:pPr>
          </w:p>
        </w:tc>
        <w:tc>
          <w:tcPr>
            <w:tcW w:w="1193" w:type="dxa"/>
            <w:vAlign w:val="center"/>
          </w:tcPr>
          <w:p w14:paraId="0E7B0276">
            <w:pPr>
              <w:pStyle w:val="58"/>
              <w:shd w:val="clear" w:fill="FFFFFF" w:themeFill="background1"/>
              <w:spacing w:line="360" w:lineRule="auto"/>
              <w:ind w:firstLine="0" w:firstLineChars="0"/>
              <w:jc w:val="center"/>
              <w:rPr>
                <w:rFonts w:ascii="宋体" w:hAnsi="宋体" w:cs="宋体"/>
                <w:color w:val="auto"/>
                <w:highlight w:val="none"/>
              </w:rPr>
            </w:pPr>
          </w:p>
        </w:tc>
      </w:tr>
      <w:tr w14:paraId="3F82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40FB6744">
            <w:pPr>
              <w:pStyle w:val="58"/>
              <w:shd w:val="clear" w:fill="FFFFFF" w:themeFill="background1"/>
              <w:spacing w:line="360" w:lineRule="auto"/>
              <w:ind w:firstLine="0" w:firstLineChars="0"/>
              <w:jc w:val="center"/>
              <w:rPr>
                <w:rFonts w:ascii="宋体" w:hAnsi="宋体" w:cs="宋体"/>
                <w:color w:val="auto"/>
                <w:highlight w:val="none"/>
              </w:rPr>
            </w:pPr>
          </w:p>
        </w:tc>
        <w:tc>
          <w:tcPr>
            <w:tcW w:w="1422" w:type="dxa"/>
            <w:vAlign w:val="center"/>
          </w:tcPr>
          <w:p w14:paraId="457D6FEF">
            <w:pPr>
              <w:pStyle w:val="58"/>
              <w:shd w:val="clear" w:fill="FFFFFF" w:themeFill="background1"/>
              <w:spacing w:line="360" w:lineRule="auto"/>
              <w:ind w:firstLine="0" w:firstLineChars="0"/>
              <w:jc w:val="center"/>
              <w:rPr>
                <w:rFonts w:ascii="宋体" w:hAnsi="宋体" w:cs="宋体"/>
                <w:color w:val="auto"/>
                <w:highlight w:val="none"/>
              </w:rPr>
            </w:pPr>
          </w:p>
        </w:tc>
        <w:tc>
          <w:tcPr>
            <w:tcW w:w="1800" w:type="dxa"/>
            <w:vAlign w:val="center"/>
          </w:tcPr>
          <w:p w14:paraId="2AA14EA7">
            <w:pPr>
              <w:pStyle w:val="58"/>
              <w:shd w:val="clear" w:fill="FFFFFF" w:themeFill="background1"/>
              <w:spacing w:line="360" w:lineRule="auto"/>
              <w:ind w:firstLine="0" w:firstLineChars="0"/>
              <w:jc w:val="center"/>
              <w:rPr>
                <w:rFonts w:ascii="宋体" w:hAnsi="宋体" w:cs="宋体"/>
                <w:color w:val="auto"/>
                <w:highlight w:val="none"/>
              </w:rPr>
            </w:pPr>
          </w:p>
        </w:tc>
        <w:tc>
          <w:tcPr>
            <w:tcW w:w="2155" w:type="dxa"/>
            <w:vAlign w:val="center"/>
          </w:tcPr>
          <w:p w14:paraId="18FE8570">
            <w:pPr>
              <w:pStyle w:val="58"/>
              <w:shd w:val="clear" w:fill="FFFFFF" w:themeFill="background1"/>
              <w:spacing w:line="360" w:lineRule="auto"/>
              <w:ind w:firstLine="0" w:firstLineChars="0"/>
              <w:jc w:val="center"/>
              <w:rPr>
                <w:rFonts w:ascii="宋体" w:hAnsi="宋体" w:cs="宋体"/>
                <w:color w:val="auto"/>
                <w:highlight w:val="none"/>
              </w:rPr>
            </w:pPr>
          </w:p>
        </w:tc>
        <w:tc>
          <w:tcPr>
            <w:tcW w:w="1796" w:type="dxa"/>
            <w:vAlign w:val="center"/>
          </w:tcPr>
          <w:p w14:paraId="3BE88A89">
            <w:pPr>
              <w:pStyle w:val="58"/>
              <w:shd w:val="clear" w:fill="FFFFFF" w:themeFill="background1"/>
              <w:spacing w:line="360" w:lineRule="auto"/>
              <w:ind w:firstLine="0" w:firstLineChars="0"/>
              <w:jc w:val="center"/>
              <w:rPr>
                <w:rFonts w:ascii="宋体" w:hAnsi="宋体" w:cs="宋体"/>
                <w:color w:val="auto"/>
                <w:highlight w:val="none"/>
              </w:rPr>
            </w:pPr>
          </w:p>
        </w:tc>
        <w:tc>
          <w:tcPr>
            <w:tcW w:w="803" w:type="dxa"/>
            <w:vAlign w:val="center"/>
          </w:tcPr>
          <w:p w14:paraId="7850A7F3">
            <w:pPr>
              <w:pStyle w:val="58"/>
              <w:shd w:val="clear" w:fill="FFFFFF" w:themeFill="background1"/>
              <w:spacing w:line="360" w:lineRule="auto"/>
              <w:ind w:firstLine="0" w:firstLineChars="0"/>
              <w:jc w:val="center"/>
              <w:rPr>
                <w:rFonts w:ascii="宋体" w:hAnsi="宋体" w:cs="宋体"/>
                <w:color w:val="auto"/>
                <w:highlight w:val="none"/>
              </w:rPr>
            </w:pPr>
          </w:p>
        </w:tc>
        <w:tc>
          <w:tcPr>
            <w:tcW w:w="1193" w:type="dxa"/>
            <w:vAlign w:val="center"/>
          </w:tcPr>
          <w:p w14:paraId="1663558D">
            <w:pPr>
              <w:pStyle w:val="58"/>
              <w:shd w:val="clear" w:fill="FFFFFF" w:themeFill="background1"/>
              <w:spacing w:line="360" w:lineRule="auto"/>
              <w:ind w:firstLine="0" w:firstLineChars="0"/>
              <w:jc w:val="center"/>
              <w:rPr>
                <w:rFonts w:ascii="宋体" w:hAnsi="宋体" w:cs="宋体"/>
                <w:color w:val="auto"/>
                <w:highlight w:val="none"/>
              </w:rPr>
            </w:pPr>
          </w:p>
        </w:tc>
      </w:tr>
      <w:tr w14:paraId="11B6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12" w:type="dxa"/>
            <w:gridSpan w:val="3"/>
            <w:vAlign w:val="center"/>
          </w:tcPr>
          <w:p w14:paraId="6BFCF509">
            <w:pPr>
              <w:pStyle w:val="58"/>
              <w:shd w:val="clear" w:fill="FFFFFF" w:themeFill="background1"/>
              <w:spacing w:line="360" w:lineRule="auto"/>
              <w:ind w:firstLine="0" w:firstLineChars="0"/>
              <w:rPr>
                <w:rFonts w:ascii="宋体" w:hAnsi="宋体" w:cs="宋体"/>
                <w:color w:val="auto"/>
                <w:highlight w:val="none"/>
              </w:rPr>
            </w:pPr>
            <w:r>
              <w:rPr>
                <w:rFonts w:hint="eastAsia" w:ascii="宋体" w:hAnsi="宋体" w:cs="宋体"/>
                <w:color w:val="auto"/>
                <w:highlight w:val="none"/>
              </w:rPr>
              <w:t>招标人编制的最高投标限价（如有）</w:t>
            </w:r>
          </w:p>
        </w:tc>
        <w:tc>
          <w:tcPr>
            <w:tcW w:w="5947" w:type="dxa"/>
            <w:gridSpan w:val="4"/>
            <w:vAlign w:val="center"/>
          </w:tcPr>
          <w:p w14:paraId="0848230A">
            <w:pPr>
              <w:pStyle w:val="58"/>
              <w:shd w:val="clear" w:fill="FFFFFF" w:themeFill="background1"/>
              <w:spacing w:line="360" w:lineRule="auto"/>
              <w:ind w:firstLine="0" w:firstLineChars="0"/>
              <w:rPr>
                <w:rFonts w:ascii="宋体" w:hAnsi="宋体" w:cs="宋体"/>
                <w:color w:val="auto"/>
                <w:highlight w:val="none"/>
              </w:rPr>
            </w:pPr>
          </w:p>
        </w:tc>
      </w:tr>
    </w:tbl>
    <w:p w14:paraId="608AC61B">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 xml:space="preserve">招标人代表：                      记录人：             </w:t>
      </w:r>
    </w:p>
    <w:p w14:paraId="5F6F13A0">
      <w:pPr>
        <w:pStyle w:val="58"/>
        <w:shd w:val="clear" w:fill="FFFFFF" w:themeFill="background1"/>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14:paraId="2334B01B">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29" w:name="_Toc1011"/>
      <w:bookmarkEnd w:id="229"/>
      <w:bookmarkStart w:id="230" w:name="_Toc43475727"/>
      <w:bookmarkEnd w:id="230"/>
      <w:bookmarkStart w:id="231" w:name="_Toc19245"/>
      <w:bookmarkEnd w:id="231"/>
      <w:r>
        <w:rPr>
          <w:rFonts w:hint="eastAsia" w:ascii="宋体" w:hAnsi="宋体" w:cs="宋体"/>
          <w:color w:val="auto"/>
          <w:highlight w:val="none"/>
        </w:rPr>
        <w:t>附件二：问题澄清通知</w:t>
      </w:r>
    </w:p>
    <w:p w14:paraId="4CE6B924">
      <w:pPr>
        <w:pStyle w:val="58"/>
        <w:shd w:val="clear" w:fill="FFFFFF" w:themeFill="background1"/>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问题澄清通知</w:t>
      </w:r>
    </w:p>
    <w:p w14:paraId="225A15BA">
      <w:pPr>
        <w:pStyle w:val="58"/>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（编号：）</w:t>
      </w:r>
    </w:p>
    <w:p w14:paraId="08841BEB">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（投标人名称）：</w:t>
      </w:r>
    </w:p>
    <w:p w14:paraId="41B8B855">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u w:val="single"/>
        </w:rPr>
        <w:t xml:space="preserve">（项目名称） </w:t>
      </w:r>
      <w:r>
        <w:rPr>
          <w:rFonts w:hint="eastAsia" w:ascii="宋体" w:hAnsi="宋体" w:cs="宋体"/>
          <w:color w:val="auto"/>
          <w:highlight w:val="none"/>
        </w:rPr>
        <w:t>招标的评标委员会，对你方的投标文件进行了仔细的审查，现需你方对下列问题以书面形式予以澄清</w:t>
      </w:r>
      <w:r>
        <w:rPr>
          <w:color w:val="auto"/>
          <w:highlight w:val="none"/>
        </w:rPr>
        <w:t>或说明</w:t>
      </w:r>
      <w:r>
        <w:rPr>
          <w:rFonts w:hint="eastAsia" w:ascii="宋体" w:hAnsi="宋体" w:cs="宋体"/>
          <w:color w:val="auto"/>
          <w:highlight w:val="none"/>
        </w:rPr>
        <w:t>：</w:t>
      </w:r>
    </w:p>
    <w:p w14:paraId="73534EF5">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w:t>
      </w:r>
    </w:p>
    <w:p w14:paraId="750EB140">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2.</w:t>
      </w:r>
    </w:p>
    <w:p w14:paraId="75B5EAE3">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w:t>
      </w:r>
    </w:p>
    <w:p w14:paraId="0E805D28">
      <w:pPr>
        <w:pStyle w:val="58"/>
        <w:shd w:val="clear" w:fill="FFFFFF" w:themeFill="background1"/>
        <w:spacing w:line="360" w:lineRule="auto"/>
        <w:rPr>
          <w:rFonts w:ascii="宋体" w:hAnsi="宋体" w:cs="宋体"/>
          <w:color w:val="auto"/>
          <w:highlight w:val="none"/>
          <w:u w:val="single"/>
        </w:rPr>
      </w:pPr>
      <w:r>
        <w:rPr>
          <w:rFonts w:hint="eastAsia" w:ascii="宋体" w:hAnsi="宋体" w:cs="宋体"/>
          <w:color w:val="auto"/>
          <w:highlight w:val="none"/>
        </w:rPr>
        <w:t>请将上述问题的澄清</w:t>
      </w:r>
      <w:r>
        <w:rPr>
          <w:color w:val="auto"/>
          <w:highlight w:val="none"/>
        </w:rPr>
        <w:t>或说明</w:t>
      </w:r>
      <w:r>
        <w:rPr>
          <w:rFonts w:hint="eastAsia" w:ascii="宋体" w:hAnsi="宋体" w:cs="宋体"/>
          <w:color w:val="auto"/>
          <w:highlight w:val="none"/>
        </w:rPr>
        <w:t>于年   月   日时前递交至（详细地址）或传真至（传真号码）</w:t>
      </w:r>
      <w:r>
        <w:rPr>
          <w:color w:val="auto"/>
          <w:highlight w:val="none"/>
        </w:rPr>
        <w:t>或通过下载招标文件的电子招标交易平台上传</w:t>
      </w:r>
      <w:r>
        <w:rPr>
          <w:rFonts w:hint="eastAsia"/>
          <w:color w:val="auto"/>
          <w:spacing w:val="-108"/>
          <w:highlight w:val="none"/>
        </w:rPr>
        <w:t>。</w:t>
      </w:r>
      <w:r>
        <w:rPr>
          <w:rFonts w:hint="eastAsia" w:ascii="宋体" w:hAnsi="宋体" w:cs="宋体"/>
          <w:color w:val="auto"/>
          <w:highlight w:val="none"/>
        </w:rPr>
        <w:t>采用传真方式的，应在年   月   日时分前将原件递交至</w:t>
      </w:r>
      <w:r>
        <w:rPr>
          <w:rFonts w:hint="eastAsia" w:ascii="宋体" w:hAnsi="宋体" w:cs="宋体"/>
          <w:color w:val="auto"/>
          <w:highlight w:val="none"/>
          <w:u w:val="single"/>
        </w:rPr>
        <w:t xml:space="preserve"> （详细地址）。</w:t>
      </w:r>
    </w:p>
    <w:p w14:paraId="5BE7DA07">
      <w:pPr>
        <w:pStyle w:val="58"/>
        <w:shd w:val="clear" w:fill="FFFFFF" w:themeFill="background1"/>
        <w:spacing w:line="360" w:lineRule="auto"/>
        <w:rPr>
          <w:rFonts w:ascii="宋体" w:hAnsi="宋体" w:cs="宋体"/>
          <w:color w:val="auto"/>
          <w:highlight w:val="none"/>
        </w:rPr>
      </w:pPr>
    </w:p>
    <w:p w14:paraId="65389A66">
      <w:pPr>
        <w:pStyle w:val="59"/>
        <w:shd w:val="clear" w:fill="FFFFFF" w:themeFill="background1"/>
        <w:spacing w:line="360" w:lineRule="auto"/>
        <w:jc w:val="right"/>
        <w:rPr>
          <w:rFonts w:ascii="宋体" w:hAnsi="宋体" w:cs="宋体"/>
          <w:color w:val="auto"/>
          <w:highlight w:val="none"/>
        </w:rPr>
      </w:pPr>
      <w:r>
        <w:rPr>
          <w:rFonts w:hint="eastAsia" w:ascii="宋体" w:hAnsi="宋体" w:cs="宋体"/>
          <w:color w:val="auto"/>
          <w:highlight w:val="none"/>
        </w:rPr>
        <w:t xml:space="preserve">评标委员会授权的招标人或招标代理机构： </w:t>
      </w:r>
      <w:r>
        <w:rPr>
          <w:rFonts w:hint="eastAsia" w:ascii="宋体" w:hAnsi="宋体" w:cs="宋体"/>
          <w:color w:val="auto"/>
          <w:highlight w:val="none"/>
        </w:rPr>
        <w:tab/>
      </w:r>
      <w:r>
        <w:rPr>
          <w:rFonts w:hint="eastAsia" w:ascii="宋体" w:hAnsi="宋体" w:cs="宋体"/>
          <w:color w:val="auto"/>
          <w:highlight w:val="none"/>
        </w:rPr>
        <w:t>（签字或盖单位章）</w:t>
      </w:r>
    </w:p>
    <w:p w14:paraId="6351D3E4">
      <w:pPr>
        <w:pStyle w:val="59"/>
        <w:shd w:val="clear" w:fill="FFFFFF" w:themeFill="background1"/>
        <w:spacing w:line="360" w:lineRule="auto"/>
        <w:ind w:left="4536" w:leftChars="2160" w:firstLine="1200" w:firstLineChars="500"/>
        <w:rPr>
          <w:rFonts w:ascii="宋体" w:hAnsi="宋体" w:cs="宋体"/>
          <w:color w:val="auto"/>
          <w:highlight w:val="none"/>
        </w:rPr>
      </w:pPr>
      <w:r>
        <w:rPr>
          <w:rFonts w:hint="eastAsia" w:ascii="宋体" w:hAnsi="宋体" w:cs="宋体"/>
          <w:color w:val="auto"/>
          <w:highlight w:val="none"/>
        </w:rPr>
        <w:t>年   月  日</w:t>
      </w:r>
    </w:p>
    <w:p w14:paraId="1CFC744B">
      <w:pPr>
        <w:pStyle w:val="59"/>
        <w:shd w:val="clear" w:fill="FFFFFF" w:themeFill="background1"/>
        <w:ind w:left="4536" w:leftChars="2160" w:firstLine="1200" w:firstLineChars="500"/>
        <w:rPr>
          <w:rFonts w:ascii="宋体" w:hAnsi="宋体" w:cs="宋体"/>
          <w:color w:val="auto"/>
          <w:highlight w:val="none"/>
        </w:rPr>
      </w:pPr>
    </w:p>
    <w:p w14:paraId="187D06D5">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32" w:name="_Toc43475728"/>
      <w:bookmarkEnd w:id="232"/>
      <w:bookmarkStart w:id="233" w:name="_Toc20337"/>
      <w:bookmarkEnd w:id="233"/>
      <w:bookmarkStart w:id="234" w:name="_Toc11846"/>
      <w:bookmarkEnd w:id="234"/>
      <w:r>
        <w:rPr>
          <w:rFonts w:hint="eastAsia" w:ascii="宋体" w:hAnsi="宋体" w:cs="宋体"/>
          <w:color w:val="auto"/>
          <w:highlight w:val="none"/>
        </w:rPr>
        <w:t>附件三：问题的澄清</w:t>
      </w:r>
    </w:p>
    <w:p w14:paraId="3D547DEB">
      <w:pPr>
        <w:pStyle w:val="58"/>
        <w:shd w:val="clear" w:fill="FFFFFF" w:themeFill="background1"/>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问题的澄清</w:t>
      </w:r>
    </w:p>
    <w:p w14:paraId="51100422">
      <w:pPr>
        <w:pStyle w:val="58"/>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（编号：）</w:t>
      </w:r>
    </w:p>
    <w:p w14:paraId="7904B4A7">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（项目名称） 招标评标委员会：</w:t>
      </w:r>
    </w:p>
    <w:p w14:paraId="01E7FA8D">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问题澄清通知（编号：）已收悉，现澄清、说明如下：</w:t>
      </w:r>
    </w:p>
    <w:p w14:paraId="553D5CD0">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w:t>
      </w:r>
    </w:p>
    <w:p w14:paraId="5FA2CA30">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2.</w:t>
      </w:r>
    </w:p>
    <w:p w14:paraId="4BC8234D">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w:t>
      </w:r>
    </w:p>
    <w:p w14:paraId="17E45062">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上述问题澄清或说明，不改变我方投标文件的实质性内容，构成我方投标文件的组成部分。</w:t>
      </w:r>
    </w:p>
    <w:p w14:paraId="33802A35">
      <w:pPr>
        <w:pStyle w:val="58"/>
        <w:shd w:val="clear" w:fill="FFFFFF" w:themeFill="background1"/>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投标人：（盖单位章）</w:t>
      </w:r>
    </w:p>
    <w:p w14:paraId="4021785C">
      <w:pPr>
        <w:pStyle w:val="58"/>
        <w:shd w:val="clear" w:fill="FFFFFF" w:themeFill="background1"/>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法定代表人或其委托代理人：（签字）</w:t>
      </w:r>
    </w:p>
    <w:p w14:paraId="299368C6">
      <w:pPr>
        <w:pStyle w:val="58"/>
        <w:shd w:val="clear" w:fill="FFFFFF" w:themeFill="background1"/>
        <w:spacing w:line="360" w:lineRule="auto"/>
        <w:ind w:left="4536" w:leftChars="2160" w:firstLine="1440" w:firstLineChars="600"/>
        <w:rPr>
          <w:rFonts w:ascii="宋体" w:hAnsi="宋体" w:cs="宋体"/>
          <w:color w:val="auto"/>
          <w:highlight w:val="none"/>
        </w:rPr>
      </w:pPr>
      <w:r>
        <w:rPr>
          <w:rFonts w:hint="eastAsia" w:ascii="宋体" w:hAnsi="宋体" w:cs="宋体"/>
          <w:color w:val="auto"/>
          <w:highlight w:val="none"/>
        </w:rPr>
        <w:t>年  月  日</w:t>
      </w:r>
    </w:p>
    <w:p w14:paraId="21E78DD8">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35" w:name="_Toc43475729"/>
      <w:bookmarkEnd w:id="235"/>
      <w:bookmarkStart w:id="236" w:name="_Toc19958"/>
      <w:bookmarkEnd w:id="236"/>
      <w:bookmarkStart w:id="237" w:name="_Toc10043"/>
      <w:bookmarkEnd w:id="237"/>
      <w:r>
        <w:rPr>
          <w:rFonts w:hint="eastAsia" w:ascii="宋体" w:hAnsi="宋体" w:cs="宋体"/>
          <w:color w:val="auto"/>
          <w:highlight w:val="none"/>
        </w:rPr>
        <w:t>附件四：中标通知书</w:t>
      </w:r>
    </w:p>
    <w:p w14:paraId="06E6B40E">
      <w:pPr>
        <w:pStyle w:val="58"/>
        <w:shd w:val="clear" w:fill="FFFFFF" w:themeFill="background1"/>
        <w:spacing w:line="360" w:lineRule="auto"/>
        <w:ind w:firstLine="600"/>
        <w:jc w:val="center"/>
        <w:rPr>
          <w:rFonts w:ascii="宋体" w:hAnsi="宋体" w:cs="宋体"/>
          <w:color w:val="auto"/>
          <w:highlight w:val="none"/>
        </w:rPr>
      </w:pPr>
      <w:r>
        <w:rPr>
          <w:rFonts w:hint="eastAsia" w:ascii="宋体" w:hAnsi="宋体" w:cs="宋体"/>
          <w:color w:val="auto"/>
          <w:sz w:val="30"/>
          <w:szCs w:val="30"/>
          <w:highlight w:val="none"/>
        </w:rPr>
        <w:t>中标通知书</w:t>
      </w:r>
    </w:p>
    <w:p w14:paraId="7BFCF22F">
      <w:pPr>
        <w:pStyle w:val="58"/>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u w:val="single"/>
        </w:rPr>
        <w:t xml:space="preserve"> 韶关市公共资源交易中心 </w:t>
      </w:r>
      <w:r>
        <w:rPr>
          <w:rFonts w:hint="eastAsia" w:ascii="宋体" w:hAnsi="宋体" w:cs="宋体"/>
          <w:color w:val="auto"/>
          <w:highlight w:val="none"/>
        </w:rPr>
        <w:t>提供的中标通知书格式）</w:t>
      </w:r>
    </w:p>
    <w:p w14:paraId="7E0E09D7">
      <w:pPr>
        <w:pStyle w:val="59"/>
        <w:shd w:val="clear" w:fill="FFFFFF" w:themeFill="background1"/>
        <w:spacing w:line="360" w:lineRule="auto"/>
        <w:ind w:left="4536" w:leftChars="2160" w:firstLine="1200" w:firstLineChars="500"/>
        <w:rPr>
          <w:rFonts w:ascii="宋体" w:hAnsi="宋体" w:cs="宋体"/>
          <w:color w:val="auto"/>
          <w:highlight w:val="none"/>
        </w:rPr>
      </w:pPr>
    </w:p>
    <w:p w14:paraId="5634C28C">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38" w:name="_Toc23714"/>
      <w:bookmarkEnd w:id="238"/>
      <w:bookmarkStart w:id="239" w:name="_Toc43475730"/>
      <w:bookmarkEnd w:id="239"/>
      <w:bookmarkStart w:id="240" w:name="_Toc30346"/>
      <w:bookmarkEnd w:id="240"/>
      <w:r>
        <w:rPr>
          <w:rFonts w:hint="eastAsia" w:ascii="宋体" w:hAnsi="宋体" w:cs="宋体"/>
          <w:color w:val="auto"/>
          <w:highlight w:val="none"/>
        </w:rPr>
        <w:t>附件五：中标结果通知书</w:t>
      </w:r>
    </w:p>
    <w:p w14:paraId="45880F8D">
      <w:pPr>
        <w:pStyle w:val="58"/>
        <w:shd w:val="clear" w:fill="FFFFFF" w:themeFill="background1"/>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中标结果通知书</w:t>
      </w:r>
    </w:p>
    <w:p w14:paraId="75BCF1EA">
      <w:pPr>
        <w:pStyle w:val="58"/>
        <w:shd w:val="clear" w:fill="FFFFFF" w:themeFill="background1"/>
        <w:spacing w:line="360" w:lineRule="auto"/>
        <w:ind w:firstLine="600"/>
        <w:jc w:val="center"/>
        <w:rPr>
          <w:rFonts w:ascii="宋体" w:hAnsi="宋体" w:cs="宋体"/>
          <w:color w:val="auto"/>
          <w:sz w:val="30"/>
          <w:szCs w:val="30"/>
          <w:highlight w:val="none"/>
        </w:rPr>
      </w:pPr>
    </w:p>
    <w:p w14:paraId="38015355">
      <w:pPr>
        <w:pStyle w:val="58"/>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u w:val="single"/>
        </w:rPr>
        <w:t xml:space="preserve"> 韶关市公共资源交易中心 </w:t>
      </w:r>
      <w:r>
        <w:rPr>
          <w:rFonts w:hint="eastAsia" w:ascii="宋体" w:hAnsi="宋体" w:cs="宋体"/>
          <w:color w:val="auto"/>
          <w:highlight w:val="none"/>
        </w:rPr>
        <w:t>提供的中标结果通知书格式）</w:t>
      </w:r>
    </w:p>
    <w:p w14:paraId="49148410">
      <w:pPr>
        <w:pStyle w:val="58"/>
        <w:shd w:val="clear" w:fill="FFFFFF" w:themeFill="background1"/>
        <w:spacing w:line="360" w:lineRule="auto"/>
        <w:ind w:left="4536" w:leftChars="2160" w:firstLine="960" w:firstLineChars="400"/>
        <w:rPr>
          <w:rFonts w:ascii="宋体" w:hAnsi="宋体" w:cs="宋体"/>
          <w:color w:val="auto"/>
          <w:highlight w:val="none"/>
        </w:rPr>
      </w:pPr>
    </w:p>
    <w:p w14:paraId="3F3F4CE4">
      <w:pPr>
        <w:pStyle w:val="58"/>
        <w:shd w:val="clear" w:fill="FFFFFF" w:themeFill="background1"/>
        <w:spacing w:line="360" w:lineRule="auto"/>
        <w:ind w:left="4536" w:leftChars="2160" w:firstLine="960" w:firstLineChars="400"/>
        <w:rPr>
          <w:rFonts w:ascii="宋体" w:hAnsi="宋体" w:cs="宋体"/>
          <w:color w:val="auto"/>
          <w:highlight w:val="none"/>
        </w:rPr>
      </w:pPr>
    </w:p>
    <w:p w14:paraId="71E56A98">
      <w:pPr>
        <w:pStyle w:val="58"/>
        <w:shd w:val="clear" w:fill="FFFFFF" w:themeFill="background1"/>
        <w:spacing w:line="360" w:lineRule="auto"/>
        <w:ind w:left="4536" w:leftChars="2160" w:firstLine="960" w:firstLineChars="400"/>
        <w:rPr>
          <w:rFonts w:ascii="宋体" w:hAnsi="宋体" w:cs="宋体"/>
          <w:color w:val="auto"/>
          <w:highlight w:val="none"/>
        </w:rPr>
      </w:pPr>
    </w:p>
    <w:p w14:paraId="19AB2A42">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41" w:name="_Toc43475731"/>
      <w:bookmarkEnd w:id="241"/>
      <w:bookmarkStart w:id="242" w:name="_Toc19033"/>
      <w:bookmarkEnd w:id="242"/>
      <w:bookmarkStart w:id="243" w:name="_Toc14151"/>
      <w:bookmarkEnd w:id="243"/>
      <w:r>
        <w:rPr>
          <w:rFonts w:hint="eastAsia" w:ascii="宋体" w:hAnsi="宋体" w:cs="宋体"/>
          <w:color w:val="auto"/>
          <w:highlight w:val="none"/>
        </w:rPr>
        <w:t>附表六：确认通知</w:t>
      </w:r>
    </w:p>
    <w:p w14:paraId="41F51F81">
      <w:pPr>
        <w:pStyle w:val="58"/>
        <w:shd w:val="clear" w:fill="FFFFFF" w:themeFill="background1"/>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确认通知</w:t>
      </w:r>
    </w:p>
    <w:p w14:paraId="62C5A25A">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u w:val="single"/>
        </w:rPr>
        <w:t xml:space="preserve">        （招标人名称）</w:t>
      </w:r>
      <w:r>
        <w:rPr>
          <w:rFonts w:hint="eastAsia" w:ascii="宋体" w:hAnsi="宋体" w:cs="宋体"/>
          <w:color w:val="auto"/>
          <w:highlight w:val="none"/>
        </w:rPr>
        <w:t>：</w:t>
      </w:r>
    </w:p>
    <w:p w14:paraId="411F8C16">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我方与年   月   日发出的</w:t>
      </w:r>
      <w:r>
        <w:rPr>
          <w:rFonts w:hint="eastAsia" w:ascii="宋体" w:hAnsi="宋体" w:cs="宋体"/>
          <w:color w:val="auto"/>
          <w:highlight w:val="none"/>
          <w:u w:val="single"/>
        </w:rPr>
        <w:t xml:space="preserve">    （项目名称）</w:t>
      </w:r>
      <w:r>
        <w:rPr>
          <w:rFonts w:hint="eastAsia" w:ascii="宋体" w:hAnsi="宋体" w:cs="宋体"/>
          <w:color w:val="auto"/>
          <w:highlight w:val="none"/>
        </w:rPr>
        <w:t>招标关于招标文件澄清/修改的通知（第号补遗书，正文共页），我方已于年   月   日收到。</w:t>
      </w:r>
    </w:p>
    <w:p w14:paraId="5E8B3DD5">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特此确认。</w:t>
      </w:r>
    </w:p>
    <w:p w14:paraId="7C7D507C">
      <w:pPr>
        <w:pStyle w:val="58"/>
        <w:shd w:val="clear" w:fill="FFFFFF" w:themeFill="background1"/>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投标人：（盖单位章）</w:t>
      </w:r>
    </w:p>
    <w:p w14:paraId="17D48414">
      <w:pPr>
        <w:pStyle w:val="58"/>
        <w:shd w:val="clear" w:fill="FFFFFF" w:themeFill="background1"/>
        <w:spacing w:line="360" w:lineRule="auto"/>
        <w:ind w:left="4536" w:leftChars="2160" w:firstLine="960" w:firstLineChars="400"/>
        <w:rPr>
          <w:rFonts w:ascii="宋体" w:hAnsi="宋体" w:cs="宋体"/>
          <w:color w:val="auto"/>
          <w:highlight w:val="none"/>
        </w:rPr>
      </w:pPr>
      <w:r>
        <w:rPr>
          <w:rFonts w:hint="eastAsia" w:ascii="宋体" w:hAnsi="宋体" w:cs="宋体"/>
          <w:color w:val="auto"/>
          <w:highlight w:val="none"/>
        </w:rPr>
        <w:t>年  月  日</w:t>
      </w:r>
    </w:p>
    <w:p w14:paraId="5A12C912">
      <w:pPr>
        <w:pStyle w:val="58"/>
        <w:shd w:val="clear" w:fill="FFFFFF" w:themeFill="background1"/>
        <w:spacing w:line="360" w:lineRule="auto"/>
        <w:ind w:firstLine="0" w:firstLineChars="0"/>
        <w:rPr>
          <w:rFonts w:ascii="宋体" w:hAnsi="宋体" w:cs="宋体"/>
          <w:color w:val="auto"/>
          <w:highlight w:val="none"/>
        </w:rPr>
        <w:sectPr>
          <w:pgSz w:w="11906" w:h="16838"/>
          <w:pgMar w:top="1134" w:right="1134" w:bottom="1134" w:left="1134" w:header="851" w:footer="992" w:gutter="0"/>
          <w:cols w:space="720" w:num="1"/>
          <w:docGrid w:type="lines" w:linePitch="312" w:charSpace="0"/>
        </w:sectPr>
      </w:pPr>
    </w:p>
    <w:p w14:paraId="1D0E5053">
      <w:pPr>
        <w:shd w:val="clear" w:fill="FFFFFF" w:themeFill="background1"/>
        <w:tabs>
          <w:tab w:val="left" w:pos="5219"/>
        </w:tabs>
        <w:spacing w:before="192"/>
        <w:rPr>
          <w:color w:val="auto"/>
          <w:spacing w:val="-20"/>
          <w:sz w:val="54"/>
          <w:highlight w:val="none"/>
        </w:rPr>
      </w:pPr>
    </w:p>
    <w:p w14:paraId="0FA8FB71">
      <w:pPr>
        <w:shd w:val="clear" w:fill="FFFFFF" w:themeFill="background1"/>
        <w:tabs>
          <w:tab w:val="left" w:pos="5219"/>
        </w:tabs>
        <w:spacing w:before="192"/>
        <w:rPr>
          <w:color w:val="auto"/>
          <w:spacing w:val="-20"/>
          <w:sz w:val="54"/>
          <w:highlight w:val="none"/>
        </w:rPr>
      </w:pPr>
    </w:p>
    <w:p w14:paraId="71F9EB86">
      <w:pPr>
        <w:shd w:val="clear" w:fill="FFFFFF" w:themeFill="background1"/>
        <w:tabs>
          <w:tab w:val="left" w:pos="5219"/>
        </w:tabs>
        <w:spacing w:before="192"/>
        <w:rPr>
          <w:color w:val="auto"/>
          <w:spacing w:val="-20"/>
          <w:sz w:val="54"/>
          <w:highlight w:val="none"/>
        </w:rPr>
      </w:pPr>
    </w:p>
    <w:p w14:paraId="1AD770CA">
      <w:pPr>
        <w:shd w:val="clear" w:fill="FFFFFF" w:themeFill="background1"/>
        <w:tabs>
          <w:tab w:val="left" w:pos="5219"/>
        </w:tabs>
        <w:spacing w:before="192"/>
        <w:rPr>
          <w:color w:val="auto"/>
          <w:spacing w:val="-20"/>
          <w:sz w:val="54"/>
          <w:highlight w:val="none"/>
        </w:rPr>
      </w:pPr>
    </w:p>
    <w:p w14:paraId="34A959CB">
      <w:pPr>
        <w:shd w:val="clear" w:fill="FFFFFF" w:themeFill="background1"/>
        <w:tabs>
          <w:tab w:val="left" w:pos="5219"/>
        </w:tabs>
        <w:spacing w:before="192"/>
        <w:rPr>
          <w:color w:val="auto"/>
          <w:spacing w:val="-20"/>
          <w:sz w:val="54"/>
          <w:highlight w:val="none"/>
        </w:rPr>
      </w:pPr>
    </w:p>
    <w:p w14:paraId="48D9B22B">
      <w:pPr>
        <w:shd w:val="clear" w:fill="FFFFFF" w:themeFill="background1"/>
        <w:jc w:val="center"/>
        <w:rPr>
          <w:color w:val="auto"/>
          <w:sz w:val="54"/>
          <w:highlight w:val="none"/>
        </w:rPr>
      </w:pPr>
      <w:r>
        <w:rPr>
          <w:b/>
          <w:bCs/>
          <w:color w:val="auto"/>
          <w:spacing w:val="-20"/>
          <w:sz w:val="54"/>
          <w:highlight w:val="none"/>
        </w:rPr>
        <w:t>第三</w:t>
      </w:r>
      <w:r>
        <w:rPr>
          <w:b/>
          <w:bCs/>
          <w:color w:val="auto"/>
          <w:sz w:val="54"/>
          <w:highlight w:val="none"/>
        </w:rPr>
        <w:t>章</w:t>
      </w:r>
      <w:r>
        <w:rPr>
          <w:b/>
          <w:bCs/>
          <w:color w:val="auto"/>
          <w:spacing w:val="-20"/>
          <w:sz w:val="54"/>
          <w:highlight w:val="none"/>
        </w:rPr>
        <w:t>评标办法</w:t>
      </w:r>
    </w:p>
    <w:p w14:paraId="66DC89DA">
      <w:pPr>
        <w:shd w:val="clear" w:fill="FFFFFF" w:themeFill="background1"/>
        <w:jc w:val="left"/>
        <w:rPr>
          <w:color w:val="auto"/>
          <w:sz w:val="54"/>
          <w:highlight w:val="none"/>
        </w:rPr>
        <w:sectPr>
          <w:footerReference r:id="rId8" w:type="default"/>
          <w:pgSz w:w="11910" w:h="16840"/>
          <w:pgMar w:top="940" w:right="720" w:bottom="1180" w:left="980" w:header="707" w:footer="998" w:gutter="0"/>
          <w:cols w:space="720" w:num="1"/>
        </w:sectPr>
      </w:pPr>
    </w:p>
    <w:p w14:paraId="6D99E6D8">
      <w:pPr>
        <w:shd w:val="clear" w:fill="FFFFFF" w:themeFill="background1"/>
        <w:jc w:val="center"/>
        <w:rPr>
          <w:rFonts w:ascii="宋体" w:hAnsi="宋体"/>
          <w:color w:val="auto"/>
          <w:sz w:val="72"/>
          <w:szCs w:val="72"/>
          <w:highlight w:val="none"/>
        </w:rPr>
      </w:pPr>
      <w:bookmarkStart w:id="244" w:name="_Toc43475732"/>
      <w:bookmarkEnd w:id="244"/>
    </w:p>
    <w:p w14:paraId="67D4D1CD">
      <w:pPr>
        <w:pStyle w:val="3"/>
        <w:shd w:val="clear" w:fill="FFFFFF" w:themeFill="background1"/>
        <w:jc w:val="center"/>
        <w:rPr>
          <w:rFonts w:hint="eastAsia" w:ascii="宋体" w:hAnsi="宋体" w:eastAsia="宋体" w:cs="宋体"/>
          <w:b w:val="0"/>
          <w:bCs w:val="0"/>
          <w:color w:val="auto"/>
          <w:sz w:val="36"/>
          <w:szCs w:val="36"/>
          <w:highlight w:val="none"/>
        </w:rPr>
      </w:pPr>
      <w:bookmarkStart w:id="245" w:name="_Toc26510"/>
      <w:r>
        <w:rPr>
          <w:rFonts w:hint="eastAsia" w:ascii="宋体" w:hAnsi="宋体" w:eastAsia="宋体" w:cs="宋体"/>
          <w:color w:val="auto"/>
          <w:sz w:val="36"/>
          <w:szCs w:val="36"/>
          <w:highlight w:val="none"/>
        </w:rPr>
        <w:t>第三章评标办法</w:t>
      </w:r>
      <w:r>
        <w:rPr>
          <w:rFonts w:hint="eastAsia" w:ascii="宋体" w:hAnsi="宋体" w:eastAsia="宋体" w:cs="宋体"/>
          <w:b w:val="0"/>
          <w:bCs w:val="0"/>
          <w:color w:val="auto"/>
          <w:sz w:val="36"/>
          <w:szCs w:val="36"/>
          <w:highlight w:val="none"/>
        </w:rPr>
        <w:t>（</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双</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信</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封</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的</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技</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术</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评</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分</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最</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低</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标</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价</w:t>
      </w:r>
      <w:r>
        <w:rPr>
          <w:rFonts w:hint="eastAsia" w:ascii="宋体" w:hAnsi="宋体" w:eastAsia="宋体" w:cs="宋体"/>
          <w:b w:val="0"/>
          <w:bCs w:val="0"/>
          <w:color w:val="auto"/>
          <w:spacing w:val="-35"/>
          <w:sz w:val="36"/>
          <w:szCs w:val="36"/>
          <w:highlight w:val="none"/>
        </w:rPr>
        <w:t xml:space="preserve"> </w:t>
      </w:r>
      <w:r>
        <w:rPr>
          <w:rFonts w:hint="eastAsia" w:ascii="宋体" w:hAnsi="宋体" w:eastAsia="宋体" w:cs="宋体"/>
          <w:b w:val="0"/>
          <w:bCs w:val="0"/>
          <w:color w:val="auto"/>
          <w:spacing w:val="-35"/>
          <w:sz w:val="36"/>
          <w:szCs w:val="36"/>
          <w:highlight w:val="none"/>
          <w14:textOutline w14:w="6540" w14:cap="sq" w14:cmpd="sng" w14:algn="ctr">
            <w14:solidFill>
              <w14:srgbClr w14:val="000000"/>
            </w14:solidFill>
            <w14:prstDash w14:val="solid"/>
            <w14:bevel/>
          </w14:textOutline>
        </w:rPr>
        <w:t>法</w:t>
      </w:r>
      <w:r>
        <w:rPr>
          <w:rFonts w:hint="eastAsia" w:ascii="宋体" w:hAnsi="宋体" w:eastAsia="宋体" w:cs="宋体"/>
          <w:b w:val="0"/>
          <w:bCs w:val="0"/>
          <w:color w:val="auto"/>
          <w:sz w:val="36"/>
          <w:szCs w:val="36"/>
          <w:highlight w:val="none"/>
        </w:rPr>
        <w:t>）</w:t>
      </w:r>
      <w:bookmarkEnd w:id="245"/>
    </w:p>
    <w:p w14:paraId="3B65B660">
      <w:pPr>
        <w:pStyle w:val="4"/>
        <w:shd w:val="clear" w:fill="FFFFFF" w:themeFill="background1"/>
        <w:rPr>
          <w:rFonts w:hint="eastAsia" w:ascii="宋体" w:hAnsi="宋体" w:eastAsia="宋体" w:cs="宋体"/>
          <w:color w:val="auto"/>
          <w:sz w:val="24"/>
          <w:szCs w:val="24"/>
          <w:highlight w:val="none"/>
        </w:rPr>
      </w:pPr>
      <w:bookmarkStart w:id="246" w:name="_Toc13608"/>
      <w:r>
        <w:rPr>
          <w:rFonts w:hint="eastAsia" w:ascii="宋体" w:hAnsi="宋体" w:eastAsia="宋体" w:cs="宋体"/>
          <w:color w:val="auto"/>
          <w:sz w:val="24"/>
          <w:szCs w:val="24"/>
          <w:highlight w:val="none"/>
        </w:rPr>
        <w:t>评标办法前附表</w:t>
      </w:r>
      <w:bookmarkEnd w:id="246"/>
    </w:p>
    <w:tbl>
      <w:tblPr>
        <w:tblStyle w:val="43"/>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1043"/>
        <w:gridCol w:w="174"/>
        <w:gridCol w:w="875"/>
        <w:gridCol w:w="189"/>
        <w:gridCol w:w="25"/>
        <w:gridCol w:w="800"/>
        <w:gridCol w:w="1175"/>
        <w:gridCol w:w="837"/>
        <w:gridCol w:w="4994"/>
        <w:gridCol w:w="22"/>
      </w:tblGrid>
      <w:tr w14:paraId="5233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72" w:hRule="atLeast"/>
          <w:jc w:val="center"/>
        </w:trPr>
        <w:tc>
          <w:tcPr>
            <w:tcW w:w="2281" w:type="dxa"/>
            <w:gridSpan w:val="4"/>
            <w:vAlign w:val="center"/>
          </w:tcPr>
          <w:p w14:paraId="4342DC93">
            <w:pPr>
              <w:shd w:val="clear" w:fill="FFFFFF" w:themeFill="background1"/>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7853" w:type="dxa"/>
            <w:gridSpan w:val="6"/>
            <w:vAlign w:val="center"/>
          </w:tcPr>
          <w:p w14:paraId="0012D486">
            <w:pPr>
              <w:shd w:val="clear" w:fill="FFFFFF" w:themeFill="background1"/>
              <w:jc w:val="center"/>
              <w:rPr>
                <w:rFonts w:ascii="宋体" w:hAnsi="宋体" w:cs="宋体"/>
                <w:b/>
                <w:color w:val="auto"/>
                <w:sz w:val="24"/>
                <w:highlight w:val="none"/>
              </w:rPr>
            </w:pPr>
            <w:r>
              <w:rPr>
                <w:rFonts w:hint="eastAsia" w:ascii="宋体" w:hAnsi="宋体" w:cs="宋体"/>
                <w:b/>
                <w:color w:val="auto"/>
                <w:sz w:val="24"/>
                <w:highlight w:val="none"/>
              </w:rPr>
              <w:t>评审因素与评审标准</w:t>
            </w:r>
          </w:p>
        </w:tc>
      </w:tr>
      <w:tr w14:paraId="2667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668" w:hRule="atLeast"/>
          <w:jc w:val="center"/>
        </w:trPr>
        <w:tc>
          <w:tcPr>
            <w:tcW w:w="1043" w:type="dxa"/>
            <w:vAlign w:val="center"/>
          </w:tcPr>
          <w:p w14:paraId="74971C48">
            <w:pPr>
              <w:pStyle w:val="80"/>
              <w:shd w:val="clear" w:fill="FFFFFF" w:themeFill="background1"/>
              <w:tabs>
                <w:tab w:val="left" w:pos="804"/>
              </w:tabs>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1</w:t>
            </w:r>
          </w:p>
        </w:tc>
        <w:tc>
          <w:tcPr>
            <w:tcW w:w="1238" w:type="dxa"/>
            <w:gridSpan w:val="3"/>
            <w:vAlign w:val="center"/>
          </w:tcPr>
          <w:p w14:paraId="44D0D2FE">
            <w:pPr>
              <w:pStyle w:val="80"/>
              <w:shd w:val="clear" w:fill="FFFFFF" w:themeFill="background1"/>
              <w:tabs>
                <w:tab w:val="left" w:pos="804"/>
              </w:tabs>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评标方法</w:t>
            </w:r>
          </w:p>
        </w:tc>
        <w:tc>
          <w:tcPr>
            <w:tcW w:w="7853" w:type="dxa"/>
            <w:gridSpan w:val="6"/>
          </w:tcPr>
          <w:p w14:paraId="1C062E47">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评标价相等时，评标委员会依次按照以下优先顺序推荐中标候选人或确定中标人：</w:t>
            </w:r>
          </w:p>
          <w:p w14:paraId="00BDB919">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（1）按招标文件规定被认定为最新年度广东省公路工程从业单位信用评价等级较高的投标人优先；</w:t>
            </w:r>
          </w:p>
          <w:p w14:paraId="29FD72F6">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【采用如下的优先顺序：承诺使用的 AA 级投标人、不承诺使用的 AA 级投标人、承诺使用的 A 级投标人、不承诺使用的 A 级投标人、B 级投标人、未参评且被确定为 B 级投标人】</w:t>
            </w:r>
          </w:p>
          <w:p w14:paraId="4F33D0AD">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（2）以投标人企业最新年度净资产较高的优先；</w:t>
            </w:r>
          </w:p>
          <w:p w14:paraId="491B01A8">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（3）评标委员会视投标人情况综合比较，投票确定其名次。</w:t>
            </w:r>
          </w:p>
        </w:tc>
      </w:tr>
      <w:tr w14:paraId="067E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1125" w:hRule="atLeast"/>
          <w:jc w:val="center"/>
        </w:trPr>
        <w:tc>
          <w:tcPr>
            <w:tcW w:w="1043" w:type="dxa"/>
            <w:vAlign w:val="center"/>
          </w:tcPr>
          <w:p w14:paraId="6CA862BB">
            <w:pPr>
              <w:pStyle w:val="80"/>
              <w:shd w:val="clear" w:fill="FFFFFF" w:themeFill="background1"/>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2.1.1</w:t>
            </w:r>
          </w:p>
          <w:p w14:paraId="20B85478">
            <w:pPr>
              <w:pStyle w:val="80"/>
              <w:shd w:val="clear" w:fill="FFFFFF" w:themeFill="background1"/>
              <w:tabs>
                <w:tab w:val="left" w:pos="804"/>
              </w:tabs>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2.1.3</w:t>
            </w:r>
          </w:p>
        </w:tc>
        <w:tc>
          <w:tcPr>
            <w:tcW w:w="1238" w:type="dxa"/>
            <w:gridSpan w:val="3"/>
            <w:vAlign w:val="center"/>
          </w:tcPr>
          <w:p w14:paraId="1DB85EF9">
            <w:pPr>
              <w:pStyle w:val="80"/>
              <w:shd w:val="clear" w:fill="FFFFFF" w:themeFill="background1"/>
              <w:tabs>
                <w:tab w:val="left" w:pos="804"/>
              </w:tabs>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形式评审与响应性评审标准</w:t>
            </w:r>
          </w:p>
        </w:tc>
        <w:tc>
          <w:tcPr>
            <w:tcW w:w="7853" w:type="dxa"/>
            <w:gridSpan w:val="6"/>
          </w:tcPr>
          <w:p w14:paraId="3CC1D882">
            <w:pPr>
              <w:pStyle w:val="80"/>
              <w:shd w:val="clear" w:fill="FFFFFF" w:themeFill="background1"/>
              <w:tabs>
                <w:tab w:val="left" w:pos="804"/>
              </w:tabs>
              <w:overflowPunct w:val="0"/>
              <w:rPr>
                <w:rFonts w:ascii="宋体" w:hAnsi="宋体" w:cs="宋体"/>
                <w:b/>
                <w:color w:val="auto"/>
                <w:spacing w:val="-1"/>
                <w:sz w:val="24"/>
                <w:highlight w:val="none"/>
              </w:rPr>
            </w:pPr>
            <w:r>
              <w:rPr>
                <w:rFonts w:hint="eastAsia" w:ascii="宋体" w:hAnsi="宋体" w:cs="宋体"/>
                <w:b/>
                <w:color w:val="auto"/>
                <w:spacing w:val="-1"/>
                <w:sz w:val="24"/>
                <w:highlight w:val="none"/>
              </w:rPr>
              <w:t>第一个信封（商务及技术文件）评审标准：</w:t>
            </w:r>
          </w:p>
          <w:p w14:paraId="18C1CFE4">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（1）投标文件按照招标文件规定的格式、内容填写，字迹清晰可辨：</w:t>
            </w:r>
          </w:p>
          <w:p w14:paraId="43FC83B2">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a.投标函按招标文件规定填报了项目名称、标段号（如有)、补遗书编号（如有)、工期、工程质量要求及安全目标；</w:t>
            </w:r>
          </w:p>
          <w:p w14:paraId="15C586E0">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b.投标函附录的所有数据均符合招标文件规定；</w:t>
            </w:r>
          </w:p>
          <w:p w14:paraId="78A9CD32">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c.投标文件组成齐全完整，内容均按规定填写。</w:t>
            </w:r>
          </w:p>
          <w:p w14:paraId="7B8F53C9">
            <w:pPr>
              <w:pStyle w:val="80"/>
              <w:numPr>
                <w:ilvl w:val="0"/>
                <w:numId w:val="11"/>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投标文件上法定代表人或其委托代理人的签字、投标人的单位章盖章齐全，符合招标文件规定。</w:t>
            </w:r>
          </w:p>
          <w:p w14:paraId="6A8C54FF">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（3）投标人按照招标文件的规定提供了投标保证金：</w:t>
            </w:r>
          </w:p>
          <w:p w14:paraId="47C746B4">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a.投标保证金金额符合招标文件规定的金额，且投标保证金有效期不少于投标有效期；</w:t>
            </w:r>
          </w:p>
          <w:p w14:paraId="57F59C7B">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b.若投标保证金采用现金或支票形式提交，投标人应在投标人须知 3.4.1款规定的时间，将投标保证金由投标人的基本账户转入招标人指定账户；</w:t>
            </w:r>
          </w:p>
          <w:p w14:paraId="6EF43A22">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c.若投标保证金采用银行保函或投标人须知前附表 3.4.1 项规定的其他形式提交，应满足招标文件要求。</w:t>
            </w:r>
          </w:p>
          <w:p w14:paraId="5774603D">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（4）投标人法定代表人授权委托代理人签署投标文件的，需提交授权委托书，且授权人和被授权人均在授权委托书上签名，未使用印章、签名章或其他电子制版签名代替。</w:t>
            </w:r>
          </w:p>
          <w:p w14:paraId="5F952CDA">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投标人法定代表人亲自签署投标文件的，提供了法定代表人身份证明，且法定代表人在法定代表人身份证明上签名，未使用印章、签名章或其他电子制版签名代替。</w:t>
            </w:r>
          </w:p>
          <w:p w14:paraId="7A7680A2">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如投标人不具备拟分包工程所需的某专项工程相应资质或投标人如有分包计划，符合招标文件第二章“投标人须知” 第 1.11 款规定，且按招标文件第九章“投标文件格式”的要求填写了“拟分包项目情况表”。</w:t>
            </w:r>
          </w:p>
          <w:p w14:paraId="7F916376">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同一投标人未提交两个以上不同的投标文件，但招标文件要求提交备选投标的除外。</w:t>
            </w:r>
          </w:p>
          <w:p w14:paraId="2E2D25FA">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投标文件中未出现有关投标报价的内容。</w:t>
            </w:r>
          </w:p>
          <w:p w14:paraId="67F6F1E4">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投标文件载明的招标项目完成期限未超过招标文件规定的时限。</w:t>
            </w:r>
          </w:p>
          <w:p w14:paraId="20F0AACE">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投标文件对招标文件的实质性要求和条件作出响应。</w:t>
            </w:r>
          </w:p>
          <w:p w14:paraId="0C30CEB3">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权利义务符合招标文件规定：</w:t>
            </w:r>
          </w:p>
          <w:p w14:paraId="3935D339">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a. 投标人应接受招标文件规定的风险划分原则，未提出新的风险划分办法；</w:t>
            </w:r>
          </w:p>
          <w:p w14:paraId="383817BF">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b. 投标人未增加发包人的责任范围，或减少投标人义务；</w:t>
            </w:r>
          </w:p>
          <w:p w14:paraId="599F238E">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c.投标人未提出不同的工程验收、计量、支付办法；</w:t>
            </w:r>
          </w:p>
          <w:p w14:paraId="13865CE1">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d. 投标人对合同纠纷、事故处理办法未提出异议；</w:t>
            </w:r>
          </w:p>
          <w:p w14:paraId="1BCC2C18">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e. 投标人在投标活动中无欺诈行为；</w:t>
            </w:r>
          </w:p>
          <w:p w14:paraId="61CE3B9C">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f. 投标人未对合同条款有重要保留。</w:t>
            </w:r>
          </w:p>
          <w:p w14:paraId="08F37DF2">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投标文件未附有招标人不能接受的条件。</w:t>
            </w:r>
          </w:p>
          <w:p w14:paraId="14D9E7A6">
            <w:pPr>
              <w:pStyle w:val="80"/>
              <w:shd w:val="clear" w:fill="FFFFFF" w:themeFill="background1"/>
              <w:tabs>
                <w:tab w:val="left" w:pos="804"/>
              </w:tabs>
              <w:overflowPunct w:val="0"/>
              <w:rPr>
                <w:rFonts w:ascii="宋体" w:hAnsi="宋体" w:cs="宋体"/>
                <w:color w:val="auto"/>
                <w:sz w:val="24"/>
                <w:highlight w:val="none"/>
              </w:rPr>
            </w:pPr>
          </w:p>
          <w:p w14:paraId="507FB0A0">
            <w:pPr>
              <w:pStyle w:val="80"/>
              <w:shd w:val="clear" w:fill="FFFFFF" w:themeFill="background1"/>
              <w:tabs>
                <w:tab w:val="left" w:pos="804"/>
              </w:tabs>
              <w:overflowPunct w:val="0"/>
              <w:rPr>
                <w:rFonts w:ascii="宋体" w:hAnsi="宋体" w:cs="宋体"/>
                <w:b/>
                <w:color w:val="auto"/>
                <w:sz w:val="24"/>
                <w:highlight w:val="none"/>
              </w:rPr>
            </w:pPr>
            <w:r>
              <w:rPr>
                <w:rFonts w:hint="eastAsia" w:ascii="宋体" w:hAnsi="宋体" w:cs="宋体"/>
                <w:b/>
                <w:color w:val="auto"/>
                <w:sz w:val="24"/>
                <w:highlight w:val="none"/>
              </w:rPr>
              <w:t>第二个信封（报价文件）评审标准：</w:t>
            </w:r>
          </w:p>
          <w:p w14:paraId="197A3BC5">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（1）投标文件按照招标文件规定的格式、内容填写，字迹清晰可辩：</w:t>
            </w:r>
          </w:p>
          <w:p w14:paraId="092E6E79">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a. 投标函按招标文件规定填报了项目名称、标段号（如有)、补遗书编号（如有)、投标总报价（包括大写金额和小写金额)；</w:t>
            </w:r>
          </w:p>
          <w:p w14:paraId="61F55C0D">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b. 已标价工程量清单说明文字与招标文件规定一致，未进行实质性修改和删减；</w:t>
            </w:r>
          </w:p>
          <w:p w14:paraId="6EB4D6CD">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c. 投标文件组成齐全完整，内容均按规定填写。</w:t>
            </w:r>
          </w:p>
          <w:p w14:paraId="202B1AB7">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（2）投标文件上法定代表人或其委托代理人的签字、投标人的单位章盖章齐全，符合招标文件规定。</w:t>
            </w:r>
          </w:p>
          <w:p w14:paraId="4065ACAF">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（3）投标报价中的报价未超过招标文件设定的最高投标限价。</w:t>
            </w:r>
          </w:p>
          <w:p w14:paraId="3EA1B977">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（4）投标报价中报价的大写金额能够确定具体数值。</w:t>
            </w:r>
          </w:p>
          <w:p w14:paraId="20D18142">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（5）同一投标人未提交两个以上不同的投标报价，但招标文件要求提交备选投标的除外。</w:t>
            </w:r>
          </w:p>
          <w:p w14:paraId="167F2B38">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（6）投标文件未附有招标人不能接受的条件。</w:t>
            </w:r>
          </w:p>
        </w:tc>
      </w:tr>
      <w:tr w14:paraId="324C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662" w:hRule="atLeast"/>
          <w:jc w:val="center"/>
        </w:trPr>
        <w:tc>
          <w:tcPr>
            <w:tcW w:w="1043" w:type="dxa"/>
            <w:vAlign w:val="center"/>
          </w:tcPr>
          <w:p w14:paraId="5DC02C07">
            <w:pPr>
              <w:pStyle w:val="80"/>
              <w:shd w:val="clear" w:fill="FFFFFF" w:themeFill="background1"/>
              <w:kinsoku w:val="0"/>
              <w:overflowPunct w:val="0"/>
              <w:jc w:val="center"/>
              <w:rPr>
                <w:rFonts w:ascii="宋体" w:hAnsi="宋体" w:cs="宋体"/>
                <w:color w:val="auto"/>
                <w:sz w:val="24"/>
                <w:highlight w:val="none"/>
              </w:rPr>
            </w:pPr>
            <w:r>
              <w:rPr>
                <w:rFonts w:hint="eastAsia" w:ascii="宋体" w:hAnsi="宋体" w:cs="宋体"/>
                <w:color w:val="auto"/>
                <w:spacing w:val="-1"/>
                <w:sz w:val="24"/>
                <w:highlight w:val="none"/>
              </w:rPr>
              <w:t>2.1.2</w:t>
            </w:r>
          </w:p>
        </w:tc>
        <w:tc>
          <w:tcPr>
            <w:tcW w:w="1238" w:type="dxa"/>
            <w:gridSpan w:val="3"/>
            <w:vAlign w:val="center"/>
          </w:tcPr>
          <w:p w14:paraId="5C0A0F1F">
            <w:pPr>
              <w:pStyle w:val="80"/>
              <w:shd w:val="clear" w:fill="FFFFFF" w:themeFill="background1"/>
              <w:kinsoku w:val="0"/>
              <w:overflowPunct w:val="0"/>
              <w:jc w:val="center"/>
              <w:rPr>
                <w:rFonts w:ascii="宋体" w:hAnsi="宋体" w:cs="宋体"/>
                <w:color w:val="auto"/>
                <w:sz w:val="24"/>
                <w:highlight w:val="none"/>
              </w:rPr>
            </w:pPr>
            <w:r>
              <w:rPr>
                <w:rFonts w:hint="eastAsia" w:ascii="宋体" w:hAnsi="宋体" w:cs="宋体"/>
                <w:color w:val="auto"/>
                <w:sz w:val="24"/>
                <w:highlight w:val="none"/>
              </w:rPr>
              <w:t>资格评审标准</w:t>
            </w:r>
          </w:p>
        </w:tc>
        <w:tc>
          <w:tcPr>
            <w:tcW w:w="7853" w:type="dxa"/>
            <w:gridSpan w:val="6"/>
          </w:tcPr>
          <w:p w14:paraId="6AFD4F3F">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2BB92BB6">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（2）投标人的资质等级符合招标文件规定；</w:t>
            </w:r>
          </w:p>
          <w:p w14:paraId="33C2A9A1">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（3）投标人的财务状况符合招标文件规定；</w:t>
            </w:r>
          </w:p>
          <w:p w14:paraId="025BE330">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（4）投标人的类似项目业绩符合招标文件规定；</w:t>
            </w:r>
          </w:p>
          <w:p w14:paraId="4CE9F089">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（5）投标人的信誉符合招标文件规定；</w:t>
            </w:r>
          </w:p>
          <w:p w14:paraId="32C54614">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（6）投标人的项目经理和项目总工资格、在岗情况符合招标文件规定，并按规定在投标文件中签字确认；</w:t>
            </w:r>
          </w:p>
          <w:p w14:paraId="43FB1BE8">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（7）投标人的其他要求符合招标文件规定；</w:t>
            </w:r>
          </w:p>
          <w:p w14:paraId="35FDAE73">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（8）投标人不存在第二章“投标人须知”第 1.4.3 项或第 1.4.4 项规 定的任何一种情形；</w:t>
            </w:r>
          </w:p>
          <w:p w14:paraId="2B8BAACA">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（9）投标人符合第二章“投标人须知”第 1.4.5 项规定。</w:t>
            </w:r>
          </w:p>
          <w:p w14:paraId="3E58955B">
            <w:pPr>
              <w:pStyle w:val="80"/>
              <w:shd w:val="clear" w:fill="FFFFFF" w:themeFill="background1"/>
              <w:tabs>
                <w:tab w:val="left" w:pos="804"/>
              </w:tabs>
              <w:overflowPunct w:val="0"/>
              <w:rPr>
                <w:rFonts w:ascii="宋体" w:hAnsi="宋体" w:cs="宋体"/>
                <w:color w:val="auto"/>
                <w:sz w:val="24"/>
                <w:highlight w:val="none"/>
              </w:rPr>
            </w:pPr>
          </w:p>
        </w:tc>
      </w:tr>
      <w:tr w14:paraId="34C4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375" w:hRule="atLeast"/>
          <w:jc w:val="center"/>
        </w:trPr>
        <w:tc>
          <w:tcPr>
            <w:tcW w:w="1043" w:type="dxa"/>
            <w:vAlign w:val="center"/>
          </w:tcPr>
          <w:p w14:paraId="6EE80F55">
            <w:pPr>
              <w:shd w:val="clear" w:fill="FFFFFF" w:themeFill="background1"/>
              <w:jc w:val="center"/>
              <w:rPr>
                <w:rFonts w:ascii="宋体" w:hAnsi="宋体" w:cs="宋体"/>
                <w:color w:val="auto"/>
                <w:spacing w:val="-1"/>
                <w:sz w:val="24"/>
                <w:highlight w:val="none"/>
              </w:rPr>
            </w:pPr>
            <w:r>
              <w:rPr>
                <w:rFonts w:hint="eastAsia" w:ascii="宋体" w:hAnsi="宋体" w:cs="宋体"/>
                <w:b/>
                <w:color w:val="auto"/>
                <w:sz w:val="24"/>
                <w:highlight w:val="none"/>
              </w:rPr>
              <w:t>条款号</w:t>
            </w:r>
          </w:p>
        </w:tc>
        <w:tc>
          <w:tcPr>
            <w:tcW w:w="1238" w:type="dxa"/>
            <w:gridSpan w:val="3"/>
            <w:vAlign w:val="center"/>
          </w:tcPr>
          <w:p w14:paraId="72C10C27">
            <w:pPr>
              <w:shd w:val="clear" w:fill="FFFFFF" w:themeFill="background1"/>
              <w:jc w:val="center"/>
              <w:rPr>
                <w:rFonts w:ascii="宋体" w:hAnsi="宋体" w:cs="宋体"/>
                <w:color w:val="auto"/>
                <w:sz w:val="24"/>
                <w:highlight w:val="none"/>
              </w:rPr>
            </w:pPr>
            <w:r>
              <w:rPr>
                <w:rFonts w:hint="eastAsia" w:ascii="宋体" w:hAnsi="宋体" w:cs="宋体"/>
                <w:b/>
                <w:color w:val="auto"/>
                <w:sz w:val="24"/>
                <w:highlight w:val="none"/>
              </w:rPr>
              <w:t>条款内容</w:t>
            </w:r>
          </w:p>
        </w:tc>
        <w:tc>
          <w:tcPr>
            <w:tcW w:w="7853" w:type="dxa"/>
            <w:gridSpan w:val="6"/>
            <w:vAlign w:val="center"/>
          </w:tcPr>
          <w:p w14:paraId="6CC78EFD">
            <w:pPr>
              <w:shd w:val="clear" w:fill="FFFFFF" w:themeFill="background1"/>
              <w:jc w:val="center"/>
              <w:rPr>
                <w:rFonts w:ascii="宋体" w:hAnsi="宋体" w:cs="宋体"/>
                <w:color w:val="auto"/>
                <w:sz w:val="24"/>
                <w:highlight w:val="none"/>
              </w:rPr>
            </w:pPr>
            <w:r>
              <w:rPr>
                <w:rFonts w:hint="eastAsia" w:ascii="宋体" w:hAnsi="宋体" w:cs="宋体"/>
                <w:b/>
                <w:color w:val="auto"/>
                <w:sz w:val="24"/>
                <w:highlight w:val="none"/>
              </w:rPr>
              <w:t>编列内容</w:t>
            </w:r>
          </w:p>
        </w:tc>
      </w:tr>
      <w:tr w14:paraId="5043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115" w:hRule="atLeast"/>
          <w:jc w:val="center"/>
        </w:trPr>
        <w:tc>
          <w:tcPr>
            <w:tcW w:w="1043" w:type="dxa"/>
            <w:vAlign w:val="center"/>
          </w:tcPr>
          <w:p w14:paraId="4E3588F0">
            <w:pPr>
              <w:pStyle w:val="80"/>
              <w:shd w:val="clear" w:fill="FFFFFF" w:themeFill="background1"/>
              <w:kinsoku w:val="0"/>
              <w:overflowPunct w:val="0"/>
              <w:spacing w:line="400" w:lineRule="exact"/>
              <w:jc w:val="center"/>
              <w:rPr>
                <w:rFonts w:ascii="宋体" w:hAnsi="宋体" w:cs="宋体"/>
                <w:b/>
                <w:color w:val="auto"/>
                <w:sz w:val="24"/>
                <w:highlight w:val="none"/>
              </w:rPr>
            </w:pPr>
            <w:r>
              <w:rPr>
                <w:rFonts w:hint="eastAsia" w:ascii="宋体" w:hAnsi="宋体" w:cs="宋体"/>
                <w:color w:val="auto"/>
                <w:sz w:val="24"/>
                <w:highlight w:val="none"/>
              </w:rPr>
              <w:t>2.2.1</w:t>
            </w:r>
          </w:p>
        </w:tc>
        <w:tc>
          <w:tcPr>
            <w:tcW w:w="1238" w:type="dxa"/>
            <w:gridSpan w:val="3"/>
            <w:vAlign w:val="center"/>
          </w:tcPr>
          <w:p w14:paraId="7DA3700F">
            <w:pPr>
              <w:widowControl/>
              <w:shd w:val="clear" w:fill="FFFFFF" w:themeFill="background1"/>
              <w:spacing w:line="400" w:lineRule="exact"/>
              <w:jc w:val="center"/>
              <w:rPr>
                <w:rFonts w:ascii="宋体" w:hAnsi="宋体" w:cs="宋体"/>
                <w:b/>
                <w:color w:val="auto"/>
                <w:sz w:val="24"/>
                <w:highlight w:val="none"/>
              </w:rPr>
            </w:pPr>
            <w:r>
              <w:rPr>
                <w:rFonts w:hint="eastAsia" w:ascii="宋体" w:hAnsi="宋体" w:cs="宋体"/>
                <w:color w:val="auto"/>
                <w:kern w:val="0"/>
                <w:sz w:val="24"/>
                <w:highlight w:val="none"/>
              </w:rPr>
              <w:t>第一个信封评分分值构成 (总100分）</w:t>
            </w:r>
          </w:p>
        </w:tc>
        <w:tc>
          <w:tcPr>
            <w:tcW w:w="7853" w:type="dxa"/>
            <w:gridSpan w:val="6"/>
            <w:vAlign w:val="center"/>
          </w:tcPr>
          <w:p w14:paraId="3B6A1B31">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施工组织设计（A）：</w:t>
            </w:r>
            <w:r>
              <w:rPr>
                <w:rFonts w:hint="eastAsia" w:ascii="宋体" w:hAnsi="宋体" w:cs="宋体"/>
                <w:color w:val="auto"/>
                <w:kern w:val="0"/>
                <w:sz w:val="24"/>
                <w:highlight w:val="none"/>
                <w:u w:val="single"/>
              </w:rPr>
              <w:t>40</w:t>
            </w:r>
            <w:r>
              <w:rPr>
                <w:rFonts w:hint="eastAsia" w:ascii="宋体" w:hAnsi="宋体" w:cs="宋体"/>
                <w:color w:val="auto"/>
                <w:kern w:val="0"/>
                <w:sz w:val="24"/>
                <w:highlight w:val="none"/>
              </w:rPr>
              <w:t xml:space="preserve">分 </w:t>
            </w:r>
          </w:p>
          <w:p w14:paraId="32977CA9">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主要人员（B）：</w:t>
            </w:r>
            <w:r>
              <w:rPr>
                <w:rFonts w:hint="eastAsia" w:ascii="宋体" w:hAnsi="宋体" w:cs="宋体"/>
                <w:color w:val="auto"/>
                <w:kern w:val="0"/>
                <w:sz w:val="24"/>
                <w:highlight w:val="none"/>
                <w:u w:val="single"/>
              </w:rPr>
              <w:t>25</w:t>
            </w:r>
            <w:r>
              <w:rPr>
                <w:rFonts w:hint="eastAsia" w:ascii="宋体" w:hAnsi="宋体" w:cs="宋体"/>
                <w:color w:val="auto"/>
                <w:kern w:val="0"/>
                <w:sz w:val="24"/>
                <w:highlight w:val="none"/>
              </w:rPr>
              <w:t xml:space="preserve">分 </w:t>
            </w:r>
          </w:p>
          <w:p w14:paraId="496D3E11">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其他因素（C）</w:t>
            </w:r>
          </w:p>
          <w:p w14:paraId="6BC21B0B">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技术能力：</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 xml:space="preserve">分 </w:t>
            </w:r>
          </w:p>
          <w:p w14:paraId="4A14D36A">
            <w:pPr>
              <w:widowControl/>
              <w:shd w:val="clear" w:fill="FFFFFF" w:themeFill="background1"/>
              <w:spacing w:line="400" w:lineRule="exact"/>
              <w:rPr>
                <w:rFonts w:ascii="宋体" w:hAnsi="宋体" w:cs="宋体"/>
                <w:b/>
                <w:color w:val="auto"/>
                <w:sz w:val="24"/>
                <w:highlight w:val="none"/>
              </w:rPr>
            </w:pPr>
            <w:r>
              <w:rPr>
                <w:rFonts w:hint="eastAsia" w:ascii="宋体" w:hAnsi="宋体" w:cs="宋体"/>
                <w:color w:val="auto"/>
                <w:kern w:val="0"/>
                <w:sz w:val="24"/>
                <w:highlight w:val="none"/>
              </w:rPr>
              <w:t>履约信誉：</w:t>
            </w:r>
            <w:r>
              <w:rPr>
                <w:rFonts w:hint="eastAsia" w:ascii="宋体" w:hAnsi="宋体" w:cs="宋体"/>
                <w:color w:val="auto"/>
                <w:kern w:val="0"/>
                <w:sz w:val="24"/>
                <w:highlight w:val="none"/>
                <w:u w:val="single"/>
              </w:rPr>
              <w:t>15</w:t>
            </w:r>
            <w:r>
              <w:rPr>
                <w:rFonts w:hint="eastAsia" w:ascii="宋体" w:hAnsi="宋体" w:cs="宋体"/>
                <w:color w:val="auto"/>
                <w:kern w:val="0"/>
                <w:sz w:val="24"/>
                <w:highlight w:val="none"/>
              </w:rPr>
              <w:t xml:space="preserve">分 </w:t>
            </w:r>
          </w:p>
        </w:tc>
      </w:tr>
      <w:tr w14:paraId="5DCA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217" w:hRule="atLeast"/>
          <w:jc w:val="center"/>
        </w:trPr>
        <w:tc>
          <w:tcPr>
            <w:tcW w:w="1043" w:type="dxa"/>
            <w:vAlign w:val="center"/>
          </w:tcPr>
          <w:p w14:paraId="21003B62">
            <w:pPr>
              <w:pStyle w:val="80"/>
              <w:shd w:val="clear" w:fill="FFFFFF" w:themeFill="background1"/>
              <w:kinsoku w:val="0"/>
              <w:overflowPunct w:val="0"/>
              <w:spacing w:line="400" w:lineRule="exact"/>
              <w:jc w:val="center"/>
              <w:rPr>
                <w:rFonts w:ascii="宋体" w:hAnsi="宋体" w:cs="宋体"/>
                <w:b/>
                <w:color w:val="auto"/>
                <w:sz w:val="24"/>
                <w:highlight w:val="none"/>
              </w:rPr>
            </w:pPr>
            <w:r>
              <w:rPr>
                <w:rFonts w:hint="eastAsia" w:ascii="宋体" w:hAnsi="宋体" w:cs="宋体"/>
                <w:color w:val="auto"/>
                <w:sz w:val="24"/>
                <w:highlight w:val="none"/>
              </w:rPr>
              <w:t>2.2.3</w:t>
            </w:r>
          </w:p>
        </w:tc>
        <w:tc>
          <w:tcPr>
            <w:tcW w:w="1238" w:type="dxa"/>
            <w:gridSpan w:val="3"/>
            <w:vAlign w:val="center"/>
          </w:tcPr>
          <w:p w14:paraId="14DFE64E">
            <w:pPr>
              <w:widowControl/>
              <w:shd w:val="clear" w:fill="FFFFFF" w:themeFill="background1"/>
              <w:spacing w:line="400" w:lineRule="exact"/>
              <w:jc w:val="center"/>
              <w:rPr>
                <w:rFonts w:ascii="宋体" w:hAnsi="宋体" w:cs="宋体"/>
                <w:b/>
                <w:color w:val="auto"/>
                <w:sz w:val="24"/>
                <w:highlight w:val="none"/>
              </w:rPr>
            </w:pPr>
            <w:r>
              <w:rPr>
                <w:rFonts w:hint="eastAsia" w:ascii="宋体" w:hAnsi="宋体" w:cs="宋体"/>
                <w:color w:val="auto"/>
                <w:kern w:val="0"/>
                <w:sz w:val="24"/>
                <w:highlight w:val="none"/>
              </w:rPr>
              <w:t>第二个信封详细评审标准</w:t>
            </w:r>
          </w:p>
        </w:tc>
        <w:tc>
          <w:tcPr>
            <w:tcW w:w="7853" w:type="dxa"/>
            <w:gridSpan w:val="6"/>
            <w:vAlign w:val="center"/>
          </w:tcPr>
          <w:p w14:paraId="1FDE07E9">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评标价的评审：</w:t>
            </w:r>
          </w:p>
          <w:p w14:paraId="76B47B71">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(1)评标价计算公式：</w:t>
            </w:r>
          </w:p>
          <w:p w14:paraId="13412104">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评标价=修正后的投标总报价一暂估价一暂列金额（不含计日工总额）</w:t>
            </w:r>
          </w:p>
          <w:p w14:paraId="6F46C7C8">
            <w:pPr>
              <w:widowControl/>
              <w:shd w:val="clear" w:fill="FFFFFF" w:themeFill="background1"/>
              <w:spacing w:line="400" w:lineRule="exact"/>
              <w:rPr>
                <w:rFonts w:ascii="宋体" w:hAnsi="宋体" w:cs="宋体"/>
                <w:b/>
                <w:color w:val="auto"/>
                <w:sz w:val="24"/>
                <w:highlight w:val="none"/>
              </w:rPr>
            </w:pPr>
            <w:r>
              <w:rPr>
                <w:rFonts w:hint="eastAsia" w:ascii="宋体" w:hAnsi="宋体" w:cs="宋体"/>
                <w:color w:val="auto"/>
                <w:kern w:val="0"/>
                <w:sz w:val="24"/>
                <w:highlight w:val="none"/>
              </w:rPr>
              <w:t xml:space="preserve">    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14:paraId="4974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295" w:hRule="atLeast"/>
          <w:jc w:val="center"/>
        </w:trPr>
        <w:tc>
          <w:tcPr>
            <w:tcW w:w="1043" w:type="dxa"/>
            <w:vAlign w:val="center"/>
          </w:tcPr>
          <w:p w14:paraId="2FF1105C">
            <w:pPr>
              <w:widowControl/>
              <w:shd w:val="clear" w:fill="FFFFFF" w:themeFill="background1"/>
              <w:spacing w:line="400" w:lineRule="exact"/>
              <w:jc w:val="center"/>
              <w:rPr>
                <w:rFonts w:ascii="宋体" w:hAnsi="宋体" w:cs="宋体"/>
                <w:b/>
                <w:color w:val="auto"/>
                <w:sz w:val="24"/>
                <w:highlight w:val="none"/>
              </w:rPr>
            </w:pPr>
            <w:r>
              <w:rPr>
                <w:rFonts w:hint="eastAsia" w:ascii="宋体" w:hAnsi="宋体" w:cs="宋体"/>
                <w:color w:val="auto"/>
                <w:kern w:val="0"/>
                <w:sz w:val="24"/>
                <w:highlight w:val="none"/>
              </w:rPr>
              <w:t>3.2.4</w:t>
            </w:r>
          </w:p>
        </w:tc>
        <w:tc>
          <w:tcPr>
            <w:tcW w:w="1238" w:type="dxa"/>
            <w:gridSpan w:val="3"/>
            <w:vAlign w:val="center"/>
          </w:tcPr>
          <w:p w14:paraId="1BD5B846">
            <w:pPr>
              <w:widowControl/>
              <w:shd w:val="clear" w:fill="FFFFFF" w:themeFill="background1"/>
              <w:spacing w:line="400" w:lineRule="exact"/>
              <w:jc w:val="center"/>
              <w:rPr>
                <w:rFonts w:ascii="宋体" w:hAnsi="宋体" w:cs="宋体"/>
                <w:b/>
                <w:color w:val="auto"/>
                <w:sz w:val="24"/>
                <w:highlight w:val="none"/>
              </w:rPr>
            </w:pPr>
            <w:r>
              <w:rPr>
                <w:rFonts w:hint="eastAsia" w:ascii="宋体" w:hAnsi="宋体" w:cs="宋体"/>
                <w:color w:val="auto"/>
                <w:kern w:val="0"/>
                <w:sz w:val="24"/>
                <w:highlight w:val="none"/>
              </w:rPr>
              <w:t>通过第一个信封详细评审的投标人数量</w:t>
            </w:r>
          </w:p>
        </w:tc>
        <w:tc>
          <w:tcPr>
            <w:tcW w:w="7853" w:type="dxa"/>
            <w:gridSpan w:val="6"/>
            <w:vAlign w:val="center"/>
          </w:tcPr>
          <w:p w14:paraId="1ED6A4AC">
            <w:pPr>
              <w:widowControl/>
              <w:shd w:val="clear" w:fill="FFFFFF" w:themeFill="background1"/>
              <w:spacing w:line="400" w:lineRule="exact"/>
              <w:rPr>
                <w:rFonts w:ascii="宋体" w:hAnsi="宋体" w:cs="宋体"/>
                <w:b/>
                <w:color w:val="auto"/>
                <w:sz w:val="24"/>
                <w:highlight w:val="none"/>
              </w:rPr>
            </w:pPr>
            <w:r>
              <w:rPr>
                <w:rFonts w:hint="eastAsia" w:ascii="宋体" w:hAnsi="宋体" w:cs="宋体"/>
                <w:color w:val="auto"/>
                <w:kern w:val="0"/>
                <w:sz w:val="24"/>
                <w:highlight w:val="none"/>
              </w:rPr>
              <w:t>按照投标人的商务和技术得分由高到低排序，选择前 5 名（不少于 3 名但不足 5 名时，按全部实际数量）通过详细评审。</w:t>
            </w:r>
          </w:p>
        </w:tc>
      </w:tr>
      <w:tr w14:paraId="6136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3" w:type="dxa"/>
            <w:gridSpan w:val="11"/>
          </w:tcPr>
          <w:p w14:paraId="1358FBB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评分因素与权重分值</w:t>
            </w:r>
          </w:p>
        </w:tc>
      </w:tr>
      <w:tr w14:paraId="337D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Align w:val="center"/>
          </w:tcPr>
          <w:p w14:paraId="46B277FD">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条款号</w:t>
            </w:r>
          </w:p>
        </w:tc>
        <w:tc>
          <w:tcPr>
            <w:tcW w:w="1089" w:type="dxa"/>
            <w:gridSpan w:val="3"/>
            <w:vAlign w:val="center"/>
          </w:tcPr>
          <w:p w14:paraId="2988DCEE">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评分因素</w:t>
            </w:r>
          </w:p>
        </w:tc>
        <w:tc>
          <w:tcPr>
            <w:tcW w:w="800" w:type="dxa"/>
            <w:vAlign w:val="center"/>
          </w:tcPr>
          <w:p w14:paraId="09C27E28">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评分因素权重</w:t>
            </w:r>
          </w:p>
        </w:tc>
        <w:tc>
          <w:tcPr>
            <w:tcW w:w="1175" w:type="dxa"/>
            <w:vAlign w:val="center"/>
          </w:tcPr>
          <w:p w14:paraId="29FB36FA">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各评分因素细分项</w:t>
            </w:r>
          </w:p>
        </w:tc>
        <w:tc>
          <w:tcPr>
            <w:tcW w:w="837" w:type="dxa"/>
            <w:vAlign w:val="center"/>
          </w:tcPr>
          <w:p w14:paraId="73647A79">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分值</w:t>
            </w:r>
          </w:p>
        </w:tc>
        <w:tc>
          <w:tcPr>
            <w:tcW w:w="5016" w:type="dxa"/>
            <w:gridSpan w:val="2"/>
            <w:vAlign w:val="center"/>
          </w:tcPr>
          <w:p w14:paraId="131D6797">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评分标准</w:t>
            </w:r>
          </w:p>
        </w:tc>
      </w:tr>
      <w:tr w14:paraId="03AA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Merge w:val="restart"/>
            <w:vAlign w:val="center"/>
          </w:tcPr>
          <w:p w14:paraId="4C6D9A35">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2.2.2</w:t>
            </w:r>
          </w:p>
          <w:p w14:paraId="00380C1C">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1089" w:type="dxa"/>
            <w:gridSpan w:val="3"/>
            <w:vMerge w:val="restart"/>
            <w:vAlign w:val="center"/>
          </w:tcPr>
          <w:p w14:paraId="60C4CB89">
            <w:pPr>
              <w:widowControl/>
              <w:shd w:val="clear" w:fill="FFFFFF" w:themeFill="background1"/>
              <w:spacing w:line="400" w:lineRule="exact"/>
              <w:jc w:val="center"/>
              <w:rPr>
                <w:rFonts w:ascii="宋体" w:hAnsi="宋体" w:cs="宋体"/>
                <w:color w:val="auto"/>
                <w:kern w:val="0"/>
                <w:sz w:val="24"/>
                <w:highlight w:val="none"/>
              </w:rPr>
            </w:pPr>
          </w:p>
          <w:p w14:paraId="5B4D11D9">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施工组织设计</w:t>
            </w:r>
          </w:p>
          <w:p w14:paraId="551DCFBA">
            <w:pPr>
              <w:shd w:val="clear" w:fill="FFFFFF" w:themeFill="background1"/>
              <w:spacing w:line="400" w:lineRule="exact"/>
              <w:jc w:val="center"/>
              <w:rPr>
                <w:rFonts w:ascii="宋体" w:hAnsi="宋体" w:cs="宋体"/>
                <w:color w:val="auto"/>
                <w:sz w:val="24"/>
                <w:highlight w:val="none"/>
              </w:rPr>
            </w:pPr>
          </w:p>
        </w:tc>
        <w:tc>
          <w:tcPr>
            <w:tcW w:w="800" w:type="dxa"/>
            <w:vMerge w:val="restart"/>
            <w:vAlign w:val="center"/>
          </w:tcPr>
          <w:p w14:paraId="061F541E">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40分</w:t>
            </w:r>
          </w:p>
        </w:tc>
        <w:tc>
          <w:tcPr>
            <w:tcW w:w="1175" w:type="dxa"/>
            <w:vAlign w:val="center"/>
          </w:tcPr>
          <w:p w14:paraId="4E6E2DC6">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sz w:val="24"/>
                <w:highlight w:val="none"/>
              </w:rPr>
            </w:pPr>
            <w:r>
              <w:rPr>
                <w:rFonts w:ascii="宋体" w:hAnsi="宋体" w:cs="宋体"/>
                <w:color w:val="auto"/>
                <w:sz w:val="24"/>
                <w:highlight w:val="none"/>
              </w:rPr>
              <w:t>总体施</w:t>
            </w:r>
          </w:p>
          <w:p w14:paraId="6DED5123">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sz w:val="24"/>
                <w:highlight w:val="none"/>
              </w:rPr>
            </w:pPr>
            <w:r>
              <w:rPr>
                <w:rFonts w:ascii="宋体" w:hAnsi="宋体" w:cs="宋体"/>
                <w:color w:val="auto"/>
                <w:sz w:val="24"/>
                <w:highlight w:val="none"/>
              </w:rPr>
              <w:t>工组织</w:t>
            </w:r>
          </w:p>
          <w:p w14:paraId="176AAF1B">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sz w:val="24"/>
                <w:highlight w:val="none"/>
              </w:rPr>
            </w:pPr>
            <w:r>
              <w:rPr>
                <w:rFonts w:ascii="宋体" w:hAnsi="宋体" w:cs="宋体"/>
                <w:color w:val="auto"/>
                <w:sz w:val="24"/>
                <w:highlight w:val="none"/>
              </w:rPr>
              <w:t>布置及</w:t>
            </w:r>
          </w:p>
          <w:p w14:paraId="263FABE5">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sz w:val="24"/>
                <w:highlight w:val="none"/>
              </w:rPr>
            </w:pPr>
            <w:r>
              <w:rPr>
                <w:rFonts w:ascii="宋体" w:hAnsi="宋体" w:cs="宋体"/>
                <w:color w:val="auto"/>
                <w:sz w:val="24"/>
                <w:highlight w:val="none"/>
              </w:rPr>
              <w:t>规划</w:t>
            </w:r>
          </w:p>
        </w:tc>
        <w:tc>
          <w:tcPr>
            <w:tcW w:w="837" w:type="dxa"/>
            <w:vAlign w:val="center"/>
          </w:tcPr>
          <w:p w14:paraId="750E3ED3">
            <w:pPr>
              <w:widowControl/>
              <w:shd w:val="clear" w:fill="FFFFFF" w:themeFill="background1"/>
              <w:tabs>
                <w:tab w:val="left" w:pos="223"/>
              </w:tabs>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u w:val="single"/>
              </w:rPr>
              <w:t>15</w:t>
            </w:r>
            <w:r>
              <w:rPr>
                <w:rFonts w:ascii="宋体" w:hAnsi="宋体" w:cs="宋体"/>
                <w:color w:val="auto"/>
                <w:sz w:val="24"/>
                <w:highlight w:val="none"/>
              </w:rPr>
              <w:t>分</w:t>
            </w:r>
          </w:p>
        </w:tc>
        <w:tc>
          <w:tcPr>
            <w:tcW w:w="5016" w:type="dxa"/>
            <w:gridSpan w:val="2"/>
            <w:vAlign w:val="center"/>
          </w:tcPr>
          <w:p w14:paraId="49A88FFE">
            <w:pPr>
              <w:widowControl/>
              <w:shd w:val="clear" w:fill="FFFFFF" w:themeFill="background1"/>
              <w:tabs>
                <w:tab w:val="left" w:pos="241"/>
              </w:tabs>
              <w:autoSpaceDE w:val="0"/>
              <w:autoSpaceDN w:val="0"/>
              <w:adjustRightInd w:val="0"/>
              <w:snapToGrid w:val="0"/>
              <w:spacing w:line="400" w:lineRule="exact"/>
              <w:ind w:firstLine="2"/>
              <w:textAlignment w:val="baseline"/>
              <w:rPr>
                <w:rFonts w:ascii="宋体" w:hAnsi="宋体" w:cs="宋体"/>
                <w:color w:val="auto"/>
                <w:sz w:val="24"/>
                <w:highlight w:val="none"/>
              </w:rPr>
            </w:pPr>
            <w:r>
              <w:rPr>
                <w:rFonts w:ascii="宋体" w:hAnsi="宋体" w:cs="宋体"/>
                <w:color w:val="auto"/>
                <w:sz w:val="24"/>
                <w:highlight w:val="none"/>
              </w:rPr>
              <w:t>(1)对项目的基本情况了解全面、准确，施工总体布置规划、施工进度计划科学合理、可操作性强，按《广东省公路工程施工标准化指南》及《公路工程施工安全防护设施技术指南》执行，得</w:t>
            </w:r>
            <w:r>
              <w:rPr>
                <w:rFonts w:hint="eastAsia" w:ascii="宋体" w:hAnsi="宋体" w:cs="宋体"/>
                <w:color w:val="auto"/>
                <w:sz w:val="24"/>
                <w:highlight w:val="none"/>
                <w:u w:val="single"/>
              </w:rPr>
              <w:t xml:space="preserve"> 12.1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15.0 </w:t>
            </w:r>
            <w:r>
              <w:rPr>
                <w:rFonts w:ascii="宋体" w:hAnsi="宋体" w:cs="宋体"/>
                <w:color w:val="auto"/>
                <w:sz w:val="24"/>
                <w:highlight w:val="none"/>
              </w:rPr>
              <w:t>分(满分分值的80%</w:t>
            </w:r>
            <w:r>
              <w:rPr>
                <w:rFonts w:hint="eastAsia" w:ascii="宋体" w:hAnsi="宋体" w:cs="宋体"/>
                <w:color w:val="auto"/>
                <w:sz w:val="24"/>
                <w:highlight w:val="none"/>
                <w:lang w:val="en-US" w:eastAsia="zh-CN"/>
              </w:rPr>
              <w:t>～</w:t>
            </w:r>
            <w:r>
              <w:rPr>
                <w:rFonts w:ascii="宋体" w:hAnsi="宋体" w:cs="宋体"/>
                <w:color w:val="auto"/>
                <w:sz w:val="24"/>
                <w:highlight w:val="none"/>
              </w:rPr>
              <w:t>100%)；</w:t>
            </w:r>
          </w:p>
          <w:p w14:paraId="67E132CC">
            <w:pPr>
              <w:widowControl/>
              <w:shd w:val="clear" w:fill="FFFFFF" w:themeFill="background1"/>
              <w:tabs>
                <w:tab w:val="left" w:pos="241"/>
              </w:tabs>
              <w:autoSpaceDE w:val="0"/>
              <w:autoSpaceDN w:val="0"/>
              <w:adjustRightInd w:val="0"/>
              <w:snapToGrid w:val="0"/>
              <w:spacing w:line="400" w:lineRule="exact"/>
              <w:ind w:firstLine="2"/>
              <w:textAlignment w:val="baseline"/>
              <w:rPr>
                <w:rFonts w:ascii="宋体" w:hAnsi="宋体" w:cs="宋体"/>
                <w:color w:val="auto"/>
                <w:sz w:val="24"/>
                <w:highlight w:val="none"/>
              </w:rPr>
            </w:pPr>
            <w:r>
              <w:rPr>
                <w:rFonts w:ascii="宋体" w:hAnsi="宋体" w:cs="宋体"/>
                <w:color w:val="auto"/>
                <w:sz w:val="24"/>
                <w:highlight w:val="none"/>
              </w:rPr>
              <w:t>(2)满足工程建设需要，施工总体布置规划、施工进度计划基本可行，得</w:t>
            </w:r>
            <w:r>
              <w:rPr>
                <w:rFonts w:hint="eastAsia" w:ascii="宋体" w:hAnsi="宋体" w:cs="宋体"/>
                <w:color w:val="auto"/>
                <w:sz w:val="24"/>
                <w:highlight w:val="none"/>
                <w:u w:val="single"/>
              </w:rPr>
              <w:t xml:space="preserve"> 9.1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12.0 </w:t>
            </w:r>
            <w:r>
              <w:rPr>
                <w:rFonts w:ascii="宋体" w:hAnsi="宋体" w:cs="宋体"/>
                <w:color w:val="auto"/>
                <w:sz w:val="24"/>
                <w:highlight w:val="none"/>
              </w:rPr>
              <w:t>分(满分分值的 60%</w:t>
            </w:r>
            <w:r>
              <w:rPr>
                <w:rFonts w:hint="eastAsia" w:ascii="宋体" w:hAnsi="宋体" w:cs="宋体"/>
                <w:color w:val="auto"/>
                <w:sz w:val="24"/>
                <w:highlight w:val="none"/>
                <w:lang w:eastAsia="zh-CN"/>
              </w:rPr>
              <w:t>～</w:t>
            </w:r>
            <w:r>
              <w:rPr>
                <w:rFonts w:ascii="宋体" w:hAnsi="宋体" w:cs="宋体"/>
                <w:color w:val="auto"/>
                <w:sz w:val="24"/>
                <w:highlight w:val="none"/>
              </w:rPr>
              <w:t>80%)；</w:t>
            </w:r>
          </w:p>
          <w:p w14:paraId="4F16FC8B">
            <w:pPr>
              <w:widowControl/>
              <w:shd w:val="clear" w:fill="FFFFFF" w:themeFill="background1"/>
              <w:tabs>
                <w:tab w:val="left" w:pos="241"/>
              </w:tabs>
              <w:autoSpaceDE w:val="0"/>
              <w:autoSpaceDN w:val="0"/>
              <w:adjustRightInd w:val="0"/>
              <w:snapToGrid w:val="0"/>
              <w:spacing w:line="400" w:lineRule="exact"/>
              <w:ind w:firstLine="2"/>
              <w:textAlignment w:val="baseline"/>
              <w:rPr>
                <w:rFonts w:ascii="宋体" w:hAnsi="宋体" w:cs="宋体"/>
                <w:color w:val="auto"/>
                <w:sz w:val="24"/>
                <w:highlight w:val="none"/>
              </w:rPr>
            </w:pPr>
            <w:r>
              <w:rPr>
                <w:rFonts w:ascii="宋体" w:hAnsi="宋体" w:cs="宋体"/>
                <w:color w:val="auto"/>
                <w:sz w:val="24"/>
                <w:highlight w:val="none"/>
              </w:rPr>
              <w:t>(3)一般但不被评定为不响应的,得</w:t>
            </w:r>
            <w:r>
              <w:rPr>
                <w:rFonts w:hint="eastAsia" w:ascii="宋体" w:hAnsi="宋体" w:cs="宋体"/>
                <w:color w:val="auto"/>
                <w:sz w:val="24"/>
                <w:highlight w:val="none"/>
                <w:u w:val="single"/>
              </w:rPr>
              <w:t xml:space="preserve"> 9 </w:t>
            </w:r>
            <w:r>
              <w:rPr>
                <w:rFonts w:ascii="宋体" w:hAnsi="宋体" w:cs="宋体"/>
                <w:color w:val="auto"/>
                <w:sz w:val="24"/>
                <w:highlight w:val="none"/>
              </w:rPr>
              <w:t>分(满分分值的 60%)。</w:t>
            </w:r>
          </w:p>
        </w:tc>
      </w:tr>
      <w:tr w14:paraId="624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Merge w:val="continue"/>
            <w:vAlign w:val="center"/>
          </w:tcPr>
          <w:p w14:paraId="58CA361D">
            <w:pPr>
              <w:shd w:val="clear" w:fill="FFFFFF" w:themeFill="background1"/>
              <w:spacing w:line="400" w:lineRule="exact"/>
              <w:jc w:val="center"/>
              <w:rPr>
                <w:rFonts w:ascii="宋体" w:hAnsi="宋体" w:cs="宋体"/>
                <w:color w:val="auto"/>
                <w:sz w:val="24"/>
                <w:highlight w:val="none"/>
              </w:rPr>
            </w:pPr>
          </w:p>
        </w:tc>
        <w:tc>
          <w:tcPr>
            <w:tcW w:w="1089" w:type="dxa"/>
            <w:gridSpan w:val="3"/>
            <w:vMerge w:val="continue"/>
            <w:vAlign w:val="center"/>
          </w:tcPr>
          <w:p w14:paraId="553012AF">
            <w:pPr>
              <w:shd w:val="clear" w:fill="FFFFFF" w:themeFill="background1"/>
              <w:spacing w:line="400" w:lineRule="exact"/>
              <w:jc w:val="center"/>
              <w:rPr>
                <w:rFonts w:ascii="宋体" w:hAnsi="宋体" w:cs="宋体"/>
                <w:color w:val="auto"/>
                <w:sz w:val="24"/>
                <w:highlight w:val="none"/>
              </w:rPr>
            </w:pPr>
          </w:p>
        </w:tc>
        <w:tc>
          <w:tcPr>
            <w:tcW w:w="800" w:type="dxa"/>
            <w:vMerge w:val="continue"/>
            <w:vAlign w:val="center"/>
          </w:tcPr>
          <w:p w14:paraId="6F902DF6">
            <w:pPr>
              <w:widowControl/>
              <w:shd w:val="clear" w:fill="FFFFFF" w:themeFill="background1"/>
              <w:spacing w:line="400" w:lineRule="exact"/>
              <w:jc w:val="center"/>
              <w:rPr>
                <w:rFonts w:ascii="宋体" w:hAnsi="宋体" w:cs="宋体"/>
                <w:color w:val="auto"/>
                <w:sz w:val="24"/>
                <w:highlight w:val="none"/>
              </w:rPr>
            </w:pPr>
          </w:p>
        </w:tc>
        <w:tc>
          <w:tcPr>
            <w:tcW w:w="1175" w:type="dxa"/>
            <w:vAlign w:val="center"/>
          </w:tcPr>
          <w:p w14:paraId="642FA02A">
            <w:pPr>
              <w:widowControl/>
              <w:shd w:val="clear" w:fill="FFFFFF" w:themeFill="background1"/>
              <w:autoSpaceDE w:val="0"/>
              <w:autoSpaceDN w:val="0"/>
              <w:adjustRightInd w:val="0"/>
              <w:snapToGrid w:val="0"/>
              <w:spacing w:line="360" w:lineRule="auto"/>
              <w:ind w:firstLine="1"/>
              <w:jc w:val="center"/>
              <w:textAlignment w:val="baseline"/>
              <w:rPr>
                <w:rFonts w:ascii="宋体" w:hAnsi="宋体" w:cs="宋体"/>
                <w:color w:val="auto"/>
                <w:sz w:val="24"/>
                <w:highlight w:val="none"/>
              </w:rPr>
            </w:pPr>
            <w:r>
              <w:rPr>
                <w:rFonts w:ascii="宋体" w:hAnsi="宋体" w:cs="宋体"/>
                <w:color w:val="auto"/>
                <w:sz w:val="24"/>
                <w:highlight w:val="none"/>
              </w:rPr>
              <w:t>重点、难 点和关 键工程 的施工 方案与 技术措 施</w:t>
            </w:r>
          </w:p>
        </w:tc>
        <w:tc>
          <w:tcPr>
            <w:tcW w:w="837" w:type="dxa"/>
            <w:vAlign w:val="center"/>
          </w:tcPr>
          <w:p w14:paraId="2451BA9C">
            <w:pPr>
              <w:widowControl/>
              <w:shd w:val="clear" w:fill="FFFFFF" w:themeFill="background1"/>
              <w:tabs>
                <w:tab w:val="left" w:pos="223"/>
              </w:tabs>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u w:val="single"/>
              </w:rPr>
              <w:t>15</w:t>
            </w:r>
            <w:r>
              <w:rPr>
                <w:rFonts w:ascii="宋体" w:hAnsi="宋体" w:cs="宋体"/>
                <w:color w:val="auto"/>
                <w:sz w:val="24"/>
                <w:highlight w:val="none"/>
              </w:rPr>
              <w:t>分</w:t>
            </w:r>
          </w:p>
        </w:tc>
        <w:tc>
          <w:tcPr>
            <w:tcW w:w="5016" w:type="dxa"/>
            <w:gridSpan w:val="2"/>
            <w:vAlign w:val="center"/>
          </w:tcPr>
          <w:p w14:paraId="3BFFB976">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w:t>
            </w:r>
            <w:r>
              <w:rPr>
                <w:rFonts w:hint="eastAsia" w:ascii="宋体" w:hAnsi="宋体" w:cs="宋体"/>
                <w:color w:val="auto"/>
                <w:sz w:val="24"/>
                <w:highlight w:val="none"/>
                <w:u w:val="single"/>
              </w:rPr>
              <w:t xml:space="preserve"> 12.1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15 .0</w:t>
            </w:r>
            <w:r>
              <w:rPr>
                <w:rFonts w:ascii="宋体" w:hAnsi="宋体" w:cs="宋体"/>
                <w:color w:val="auto"/>
                <w:sz w:val="24"/>
                <w:highlight w:val="none"/>
              </w:rPr>
              <w:t>分(满分分值的80%</w:t>
            </w:r>
            <w:r>
              <w:rPr>
                <w:rFonts w:hint="eastAsia" w:ascii="宋体" w:hAnsi="宋体" w:cs="宋体"/>
                <w:color w:val="auto"/>
                <w:sz w:val="24"/>
                <w:highlight w:val="none"/>
                <w:lang w:eastAsia="zh-CN"/>
              </w:rPr>
              <w:t>～</w:t>
            </w:r>
            <w:r>
              <w:rPr>
                <w:rFonts w:ascii="宋体" w:hAnsi="宋体" w:cs="宋体"/>
                <w:color w:val="auto"/>
                <w:sz w:val="24"/>
                <w:highlight w:val="none"/>
              </w:rPr>
              <w:t xml:space="preserve"> 100%)；</w:t>
            </w:r>
          </w:p>
          <w:p w14:paraId="4E23778E">
            <w:pPr>
              <w:widowControl/>
              <w:shd w:val="clear" w:fill="FFFFFF" w:themeFill="background1"/>
              <w:autoSpaceDE w:val="0"/>
              <w:autoSpaceDN w:val="0"/>
              <w:adjustRightInd w:val="0"/>
              <w:snapToGrid w:val="0"/>
              <w:spacing w:line="400" w:lineRule="exact"/>
              <w:ind w:hanging="1"/>
              <w:textAlignment w:val="baseline"/>
              <w:rPr>
                <w:rFonts w:ascii="宋体" w:hAnsi="宋体" w:cs="宋体"/>
                <w:color w:val="auto"/>
                <w:sz w:val="24"/>
                <w:highlight w:val="none"/>
              </w:rPr>
            </w:pPr>
            <w:r>
              <w:rPr>
                <w:rFonts w:ascii="宋体" w:hAnsi="宋体" w:cs="宋体"/>
                <w:color w:val="auto"/>
                <w:sz w:val="24"/>
                <w:highlight w:val="none"/>
              </w:rPr>
              <w:t>(2)对项目重点、难点和关键工程认识基本到位，施工方案与技术措施基本可行，重点较为突出的，得</w:t>
            </w:r>
            <w:r>
              <w:rPr>
                <w:rFonts w:hint="eastAsia" w:ascii="宋体" w:hAnsi="宋体" w:cs="宋体"/>
                <w:color w:val="auto"/>
                <w:sz w:val="24"/>
                <w:highlight w:val="none"/>
                <w:u w:val="single"/>
              </w:rPr>
              <w:t xml:space="preserve"> 9.1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12.0 </w:t>
            </w:r>
            <w:r>
              <w:rPr>
                <w:rFonts w:ascii="宋体" w:hAnsi="宋体" w:cs="宋体"/>
                <w:color w:val="auto"/>
                <w:sz w:val="24"/>
                <w:highlight w:val="none"/>
              </w:rPr>
              <w:t>分(满分分值的60%</w:t>
            </w:r>
            <w:r>
              <w:rPr>
                <w:rFonts w:hint="eastAsia" w:ascii="宋体" w:hAnsi="宋体" w:cs="宋体"/>
                <w:color w:val="auto"/>
                <w:sz w:val="24"/>
                <w:highlight w:val="none"/>
                <w:lang w:eastAsia="zh-CN"/>
              </w:rPr>
              <w:t>～</w:t>
            </w:r>
            <w:r>
              <w:rPr>
                <w:rFonts w:ascii="宋体" w:hAnsi="宋体" w:cs="宋体"/>
                <w:color w:val="auto"/>
                <w:sz w:val="24"/>
                <w:highlight w:val="none"/>
              </w:rPr>
              <w:t>80%)；</w:t>
            </w:r>
          </w:p>
          <w:p w14:paraId="5B29F00F">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(3)一般但不被评定为不响应的，得</w:t>
            </w:r>
            <w:r>
              <w:rPr>
                <w:rFonts w:hint="eastAsia" w:ascii="宋体" w:hAnsi="宋体" w:cs="宋体"/>
                <w:color w:val="auto"/>
                <w:sz w:val="24"/>
                <w:highlight w:val="none"/>
                <w:u w:val="single"/>
              </w:rPr>
              <w:t xml:space="preserve"> 9 </w:t>
            </w:r>
            <w:r>
              <w:rPr>
                <w:rFonts w:ascii="宋体" w:hAnsi="宋体" w:cs="宋体"/>
                <w:color w:val="auto"/>
                <w:sz w:val="24"/>
                <w:highlight w:val="none"/>
              </w:rPr>
              <w:t>分(满分分值的60%) 。</w:t>
            </w:r>
          </w:p>
        </w:tc>
      </w:tr>
      <w:tr w14:paraId="5CF2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1236" w:type="dxa"/>
            <w:gridSpan w:val="3"/>
            <w:vMerge w:val="continue"/>
            <w:vAlign w:val="center"/>
          </w:tcPr>
          <w:p w14:paraId="546AAF5D">
            <w:pPr>
              <w:shd w:val="clear" w:fill="FFFFFF" w:themeFill="background1"/>
              <w:spacing w:line="400" w:lineRule="exact"/>
              <w:jc w:val="center"/>
              <w:rPr>
                <w:rFonts w:ascii="宋体" w:hAnsi="宋体" w:cs="宋体"/>
                <w:color w:val="auto"/>
                <w:sz w:val="24"/>
                <w:highlight w:val="none"/>
              </w:rPr>
            </w:pPr>
          </w:p>
        </w:tc>
        <w:tc>
          <w:tcPr>
            <w:tcW w:w="1089" w:type="dxa"/>
            <w:gridSpan w:val="3"/>
            <w:vMerge w:val="continue"/>
            <w:vAlign w:val="center"/>
          </w:tcPr>
          <w:p w14:paraId="29C5F1E9">
            <w:pPr>
              <w:shd w:val="clear" w:fill="FFFFFF" w:themeFill="background1"/>
              <w:spacing w:line="400" w:lineRule="exact"/>
              <w:jc w:val="center"/>
              <w:rPr>
                <w:rFonts w:ascii="宋体" w:hAnsi="宋体" w:cs="宋体"/>
                <w:color w:val="auto"/>
                <w:sz w:val="24"/>
                <w:highlight w:val="none"/>
              </w:rPr>
            </w:pPr>
          </w:p>
        </w:tc>
        <w:tc>
          <w:tcPr>
            <w:tcW w:w="800" w:type="dxa"/>
            <w:vMerge w:val="continue"/>
            <w:vAlign w:val="center"/>
          </w:tcPr>
          <w:p w14:paraId="6613ED86">
            <w:pPr>
              <w:widowControl/>
              <w:shd w:val="clear" w:fill="FFFFFF" w:themeFill="background1"/>
              <w:spacing w:line="400" w:lineRule="exact"/>
              <w:jc w:val="center"/>
              <w:rPr>
                <w:rFonts w:ascii="宋体" w:hAnsi="宋体" w:cs="宋体"/>
                <w:color w:val="auto"/>
                <w:sz w:val="24"/>
                <w:highlight w:val="none"/>
              </w:rPr>
            </w:pPr>
          </w:p>
        </w:tc>
        <w:tc>
          <w:tcPr>
            <w:tcW w:w="1175" w:type="dxa"/>
            <w:vAlign w:val="center"/>
          </w:tcPr>
          <w:p w14:paraId="40E29BA4">
            <w:pPr>
              <w:widowControl/>
              <w:shd w:val="clear" w:fill="FFFFFF" w:themeFill="background1"/>
              <w:autoSpaceDE w:val="0"/>
              <w:autoSpaceDN w:val="0"/>
              <w:adjustRightInd w:val="0"/>
              <w:snapToGrid w:val="0"/>
              <w:spacing w:line="360" w:lineRule="auto"/>
              <w:ind w:firstLine="3"/>
              <w:jc w:val="center"/>
              <w:textAlignment w:val="baseline"/>
              <w:rPr>
                <w:rFonts w:ascii="宋体" w:hAnsi="宋体" w:cs="宋体"/>
                <w:color w:val="auto"/>
                <w:sz w:val="24"/>
                <w:highlight w:val="none"/>
              </w:rPr>
            </w:pPr>
            <w:r>
              <w:rPr>
                <w:rFonts w:ascii="宋体" w:hAnsi="宋体" w:cs="宋体"/>
                <w:color w:val="auto"/>
                <w:sz w:val="24"/>
                <w:highlight w:val="none"/>
              </w:rPr>
              <w:t>工期、质 量、安 全、环保 水保、文 明施工 保证措 施</w:t>
            </w:r>
          </w:p>
        </w:tc>
        <w:tc>
          <w:tcPr>
            <w:tcW w:w="837" w:type="dxa"/>
            <w:vAlign w:val="center"/>
          </w:tcPr>
          <w:p w14:paraId="1A3CC18B">
            <w:pPr>
              <w:widowControl/>
              <w:shd w:val="clear" w:fill="FFFFFF" w:themeFill="background1"/>
              <w:tabs>
                <w:tab w:val="left" w:pos="223"/>
              </w:tabs>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u w:val="single"/>
              </w:rPr>
              <w:t>10</w:t>
            </w:r>
            <w:r>
              <w:rPr>
                <w:rFonts w:ascii="宋体" w:hAnsi="宋体" w:cs="宋体"/>
                <w:color w:val="auto"/>
                <w:sz w:val="24"/>
                <w:highlight w:val="none"/>
              </w:rPr>
              <w:t>分</w:t>
            </w:r>
          </w:p>
        </w:tc>
        <w:tc>
          <w:tcPr>
            <w:tcW w:w="4994" w:type="dxa"/>
            <w:vAlign w:val="center"/>
          </w:tcPr>
          <w:p w14:paraId="427A7052">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(1)能够准确预判分析工期、质量、安全、环保、水保、文明施工目标实现的主要影响因素，拟采取预防保证措施针对性强、科学有效，重点突出的，按《广东省公路工程施工标准化指南》及《公路工程施工安全防护设施技术指南》执行，得</w:t>
            </w:r>
            <w:r>
              <w:rPr>
                <w:rFonts w:hint="eastAsia" w:ascii="宋体" w:hAnsi="宋体" w:cs="宋体"/>
                <w:color w:val="auto"/>
                <w:sz w:val="24"/>
                <w:highlight w:val="none"/>
                <w:u w:val="single"/>
              </w:rPr>
              <w:t xml:space="preserve"> 8.1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10.0 </w:t>
            </w:r>
            <w:r>
              <w:rPr>
                <w:rFonts w:ascii="宋体" w:hAnsi="宋体" w:cs="宋体"/>
                <w:color w:val="auto"/>
                <w:sz w:val="24"/>
                <w:highlight w:val="none"/>
              </w:rPr>
              <w:t>分(满分分值的80%</w:t>
            </w:r>
            <w:r>
              <w:rPr>
                <w:rFonts w:hint="eastAsia" w:ascii="宋体" w:hAnsi="宋体" w:cs="宋体"/>
                <w:color w:val="auto"/>
                <w:sz w:val="24"/>
                <w:highlight w:val="none"/>
                <w:lang w:eastAsia="zh-CN"/>
              </w:rPr>
              <w:t>～</w:t>
            </w:r>
            <w:r>
              <w:rPr>
                <w:rFonts w:ascii="宋体" w:hAnsi="宋体" w:cs="宋体"/>
                <w:color w:val="auto"/>
                <w:sz w:val="24"/>
                <w:highlight w:val="none"/>
              </w:rPr>
              <w:t>100%) ；</w:t>
            </w:r>
          </w:p>
          <w:p w14:paraId="3C93D66D">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(2)对工期、质量、安全、环保、水保等风险有一定认识，预防保证措施基本可行，重点较为突出的，得</w:t>
            </w:r>
            <w:r>
              <w:rPr>
                <w:rFonts w:hint="eastAsia" w:ascii="宋体" w:hAnsi="宋体" w:cs="宋体"/>
                <w:color w:val="auto"/>
                <w:sz w:val="24"/>
                <w:highlight w:val="none"/>
                <w:u w:val="single"/>
              </w:rPr>
              <w:t xml:space="preserve"> 6.1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8.0 </w:t>
            </w:r>
            <w:r>
              <w:rPr>
                <w:rFonts w:ascii="宋体" w:hAnsi="宋体" w:cs="宋体"/>
                <w:color w:val="auto"/>
                <w:sz w:val="24"/>
                <w:highlight w:val="none"/>
              </w:rPr>
              <w:t>分(满分分值的60%</w:t>
            </w:r>
            <w:r>
              <w:rPr>
                <w:rFonts w:hint="eastAsia" w:ascii="宋体" w:hAnsi="宋体" w:cs="宋体"/>
                <w:color w:val="auto"/>
                <w:sz w:val="24"/>
                <w:highlight w:val="none"/>
                <w:lang w:eastAsia="zh-CN"/>
              </w:rPr>
              <w:t>～</w:t>
            </w:r>
            <w:r>
              <w:rPr>
                <w:rFonts w:ascii="宋体" w:hAnsi="宋体" w:cs="宋体"/>
                <w:color w:val="auto"/>
                <w:sz w:val="24"/>
                <w:highlight w:val="none"/>
              </w:rPr>
              <w:t>80%) ；</w:t>
            </w:r>
          </w:p>
          <w:p w14:paraId="74330B68">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(3)一般但不被评定为不响应的, 得</w:t>
            </w:r>
            <w:r>
              <w:rPr>
                <w:rFonts w:hint="eastAsia" w:ascii="宋体" w:hAnsi="宋体" w:cs="宋体"/>
                <w:color w:val="auto"/>
                <w:sz w:val="24"/>
                <w:highlight w:val="none"/>
                <w:u w:val="single"/>
              </w:rPr>
              <w:t xml:space="preserve"> 6 </w:t>
            </w:r>
            <w:r>
              <w:rPr>
                <w:rFonts w:ascii="宋体" w:hAnsi="宋体" w:cs="宋体"/>
                <w:color w:val="auto"/>
                <w:sz w:val="24"/>
                <w:highlight w:val="none"/>
              </w:rPr>
              <w:t>分(满分分值的60%)。</w:t>
            </w:r>
          </w:p>
        </w:tc>
      </w:tr>
      <w:tr w14:paraId="3F9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152" w:hRule="atLeast"/>
          <w:jc w:val="center"/>
        </w:trPr>
        <w:tc>
          <w:tcPr>
            <w:tcW w:w="1236" w:type="dxa"/>
            <w:gridSpan w:val="3"/>
            <w:vMerge w:val="restart"/>
            <w:vAlign w:val="center"/>
          </w:tcPr>
          <w:p w14:paraId="337E3FD8">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2.2.2</w:t>
            </w:r>
          </w:p>
          <w:p w14:paraId="322CD64D">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(2)</w:t>
            </w:r>
          </w:p>
          <w:p w14:paraId="24021AC5">
            <w:pPr>
              <w:shd w:val="clear" w:fill="FFFFFF" w:themeFill="background1"/>
              <w:spacing w:line="400" w:lineRule="exact"/>
              <w:jc w:val="center"/>
              <w:rPr>
                <w:rFonts w:ascii="宋体" w:hAnsi="宋体" w:cs="宋体"/>
                <w:color w:val="auto"/>
                <w:sz w:val="24"/>
                <w:highlight w:val="none"/>
              </w:rPr>
            </w:pPr>
          </w:p>
        </w:tc>
        <w:tc>
          <w:tcPr>
            <w:tcW w:w="1089" w:type="dxa"/>
            <w:gridSpan w:val="3"/>
            <w:vMerge w:val="restart"/>
            <w:vAlign w:val="center"/>
          </w:tcPr>
          <w:p w14:paraId="79CFF9DF">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主要人员</w:t>
            </w:r>
          </w:p>
        </w:tc>
        <w:tc>
          <w:tcPr>
            <w:tcW w:w="800" w:type="dxa"/>
            <w:vMerge w:val="restart"/>
            <w:vAlign w:val="center"/>
          </w:tcPr>
          <w:p w14:paraId="71183D64">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25分</w:t>
            </w:r>
          </w:p>
        </w:tc>
        <w:tc>
          <w:tcPr>
            <w:tcW w:w="1175" w:type="dxa"/>
            <w:vAlign w:val="center"/>
          </w:tcPr>
          <w:p w14:paraId="606F5C34">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项目经</w:t>
            </w:r>
          </w:p>
          <w:p w14:paraId="351A822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理任职</w:t>
            </w:r>
          </w:p>
          <w:p w14:paraId="660A61E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资格与</w:t>
            </w:r>
          </w:p>
          <w:p w14:paraId="4863B9AE">
            <w:pPr>
              <w:widowControl/>
              <w:spacing w:line="400" w:lineRule="exact"/>
              <w:jc w:val="center"/>
              <w:rPr>
                <w:rFonts w:ascii="宋体" w:hAnsi="宋体" w:cs="宋体"/>
                <w:color w:val="0000FF"/>
                <w:kern w:val="0"/>
                <w:sz w:val="24"/>
                <w:highlight w:val="none"/>
              </w:rPr>
            </w:pPr>
            <w:r>
              <w:rPr>
                <w:rFonts w:hint="eastAsia" w:ascii="宋体" w:hAnsi="宋体" w:cs="宋体"/>
                <w:color w:val="auto"/>
                <w:kern w:val="0"/>
                <w:sz w:val="24"/>
                <w:highlight w:val="none"/>
              </w:rPr>
              <w:t>业绩</w:t>
            </w:r>
          </w:p>
        </w:tc>
        <w:tc>
          <w:tcPr>
            <w:tcW w:w="837" w:type="dxa"/>
            <w:vAlign w:val="center"/>
          </w:tcPr>
          <w:p w14:paraId="32246D03">
            <w:pPr>
              <w:widowControl/>
              <w:spacing w:line="400" w:lineRule="exact"/>
              <w:jc w:val="center"/>
              <w:rPr>
                <w:rFonts w:ascii="宋体" w:hAnsi="宋体" w:cs="宋体"/>
                <w:color w:val="0000FF"/>
                <w:kern w:val="0"/>
                <w:sz w:val="24"/>
                <w:highlight w:val="none"/>
              </w:rPr>
            </w:pPr>
            <w:r>
              <w:rPr>
                <w:rFonts w:hint="eastAsia" w:ascii="宋体" w:hAnsi="宋体" w:cs="宋体"/>
                <w:color w:val="auto"/>
                <w:kern w:val="0"/>
                <w:sz w:val="24"/>
                <w:highlight w:val="none"/>
                <w:u w:val="single"/>
              </w:rPr>
              <w:t>15</w:t>
            </w:r>
            <w:r>
              <w:rPr>
                <w:rFonts w:hint="eastAsia" w:ascii="宋体" w:hAnsi="宋体" w:cs="宋体"/>
                <w:color w:val="auto"/>
                <w:kern w:val="0"/>
                <w:sz w:val="24"/>
                <w:highlight w:val="none"/>
              </w:rPr>
              <w:t>分</w:t>
            </w:r>
          </w:p>
        </w:tc>
        <w:tc>
          <w:tcPr>
            <w:tcW w:w="4994" w:type="dxa"/>
            <w:vAlign w:val="center"/>
          </w:tcPr>
          <w:p w14:paraId="74E37D8A">
            <w:pPr>
              <w:widowControl/>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满足资格审查条件(项目经理和项目总工最低要求) 时，得</w:t>
            </w:r>
            <w:r>
              <w:rPr>
                <w:rFonts w:hint="eastAsia" w:ascii="宋体" w:hAnsi="宋体" w:cs="宋体"/>
                <w:color w:val="auto"/>
                <w:kern w:val="0"/>
                <w:sz w:val="24"/>
                <w:highlight w:val="none"/>
                <w:u w:val="single"/>
                <w:lang w:val="en-US" w:eastAsia="zh-CN"/>
              </w:rPr>
              <w:t>13</w:t>
            </w:r>
            <w:r>
              <w:rPr>
                <w:rFonts w:hint="eastAsia" w:ascii="宋体" w:hAnsi="宋体" w:cs="宋体"/>
                <w:color w:val="auto"/>
                <w:kern w:val="0"/>
                <w:sz w:val="24"/>
                <w:highlight w:val="none"/>
              </w:rPr>
              <w:t>分；</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bidi="ar"/>
              </w:rPr>
              <w:t>（2）项目经理及备选项目经理（如有）均具有高级工程师资格的，加</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w:t>
            </w:r>
          </w:p>
          <w:p w14:paraId="6577F794">
            <w:pPr>
              <w:widowControl/>
              <w:spacing w:line="400" w:lineRule="exact"/>
              <w:jc w:val="left"/>
              <w:rPr>
                <w:rFonts w:hint="eastAsia" w:ascii="宋体" w:hAnsi="宋体" w:eastAsia="宋体"/>
                <w:color w:val="0000FF"/>
                <w:sz w:val="24"/>
                <w:highlight w:val="none"/>
                <w:lang w:eastAsia="zh-CN"/>
              </w:rPr>
            </w:pPr>
            <w:r>
              <w:rPr>
                <w:rFonts w:hint="eastAsia" w:ascii="宋体" w:hAnsi="宋体" w:cs="宋体"/>
                <w:color w:val="auto"/>
                <w:kern w:val="0"/>
                <w:sz w:val="24"/>
                <w:highlight w:val="none"/>
                <w:lang w:bidi="ar"/>
              </w:rPr>
              <w:t>（3）每担任1个类似工程项目经理岗位工作经验的，加</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分，最多加</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w:t>
            </w:r>
          </w:p>
        </w:tc>
      </w:tr>
      <w:tr w14:paraId="436F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452" w:hRule="atLeast"/>
          <w:jc w:val="center"/>
        </w:trPr>
        <w:tc>
          <w:tcPr>
            <w:tcW w:w="1236" w:type="dxa"/>
            <w:gridSpan w:val="3"/>
            <w:vMerge w:val="continue"/>
            <w:vAlign w:val="center"/>
          </w:tcPr>
          <w:p w14:paraId="7FC3C267">
            <w:pPr>
              <w:shd w:val="clear" w:fill="FFFFFF" w:themeFill="background1"/>
              <w:spacing w:line="400" w:lineRule="exact"/>
              <w:jc w:val="center"/>
              <w:rPr>
                <w:rFonts w:ascii="宋体" w:hAnsi="宋体" w:cs="宋体"/>
                <w:color w:val="auto"/>
                <w:sz w:val="24"/>
                <w:highlight w:val="none"/>
              </w:rPr>
            </w:pPr>
          </w:p>
        </w:tc>
        <w:tc>
          <w:tcPr>
            <w:tcW w:w="1089" w:type="dxa"/>
            <w:gridSpan w:val="3"/>
            <w:vMerge w:val="continue"/>
            <w:vAlign w:val="center"/>
          </w:tcPr>
          <w:p w14:paraId="1E562BD2">
            <w:pPr>
              <w:widowControl/>
              <w:shd w:val="clear" w:fill="FFFFFF" w:themeFill="background1"/>
              <w:spacing w:line="400" w:lineRule="exact"/>
              <w:jc w:val="center"/>
              <w:rPr>
                <w:rFonts w:ascii="宋体" w:hAnsi="宋体" w:cs="宋体"/>
                <w:color w:val="auto"/>
                <w:kern w:val="0"/>
                <w:sz w:val="24"/>
                <w:highlight w:val="none"/>
              </w:rPr>
            </w:pPr>
          </w:p>
        </w:tc>
        <w:tc>
          <w:tcPr>
            <w:tcW w:w="800" w:type="dxa"/>
            <w:vMerge w:val="continue"/>
            <w:vAlign w:val="center"/>
          </w:tcPr>
          <w:p w14:paraId="64ADD564">
            <w:pPr>
              <w:widowControl/>
              <w:shd w:val="clear" w:fill="FFFFFF" w:themeFill="background1"/>
              <w:spacing w:line="400" w:lineRule="exact"/>
              <w:jc w:val="center"/>
              <w:rPr>
                <w:rFonts w:ascii="宋体" w:hAnsi="宋体" w:cs="宋体"/>
                <w:color w:val="auto"/>
                <w:kern w:val="0"/>
                <w:sz w:val="24"/>
                <w:highlight w:val="none"/>
              </w:rPr>
            </w:pPr>
          </w:p>
        </w:tc>
        <w:tc>
          <w:tcPr>
            <w:tcW w:w="1175" w:type="dxa"/>
            <w:vAlign w:val="center"/>
          </w:tcPr>
          <w:p w14:paraId="6234ECBD">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项目总</w:t>
            </w:r>
          </w:p>
          <w:p w14:paraId="434A2B35">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工任职</w:t>
            </w:r>
          </w:p>
          <w:p w14:paraId="357EE62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资格与</w:t>
            </w:r>
          </w:p>
          <w:p w14:paraId="1671C100">
            <w:pPr>
              <w:widowControl/>
              <w:spacing w:line="400" w:lineRule="exact"/>
              <w:jc w:val="center"/>
              <w:rPr>
                <w:rFonts w:ascii="宋体" w:hAnsi="宋体" w:cs="宋体"/>
                <w:color w:val="0000FF"/>
                <w:kern w:val="0"/>
                <w:sz w:val="24"/>
                <w:highlight w:val="none"/>
              </w:rPr>
            </w:pPr>
            <w:r>
              <w:rPr>
                <w:rFonts w:hint="eastAsia" w:ascii="宋体" w:hAnsi="宋体" w:cs="宋体"/>
                <w:color w:val="auto"/>
                <w:kern w:val="0"/>
                <w:sz w:val="24"/>
                <w:highlight w:val="none"/>
              </w:rPr>
              <w:t>业绩</w:t>
            </w:r>
          </w:p>
        </w:tc>
        <w:tc>
          <w:tcPr>
            <w:tcW w:w="837" w:type="dxa"/>
            <w:vAlign w:val="center"/>
          </w:tcPr>
          <w:p w14:paraId="2470BDEC">
            <w:pPr>
              <w:widowControl/>
              <w:spacing w:line="400" w:lineRule="exact"/>
              <w:jc w:val="center"/>
              <w:rPr>
                <w:rFonts w:ascii="宋体" w:hAnsi="宋体" w:cs="宋体"/>
                <w:color w:val="0000FF"/>
                <w:kern w:val="0"/>
                <w:sz w:val="24"/>
                <w:highlight w:val="none"/>
              </w:rPr>
            </w:pP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分</w:t>
            </w:r>
          </w:p>
        </w:tc>
        <w:tc>
          <w:tcPr>
            <w:tcW w:w="4994" w:type="dxa"/>
            <w:vAlign w:val="center"/>
          </w:tcPr>
          <w:p w14:paraId="5BFA4195">
            <w:pPr>
              <w:widowControl/>
              <w:spacing w:line="360" w:lineRule="exact"/>
              <w:jc w:val="left"/>
              <w:rPr>
                <w:rFonts w:ascii="宋体" w:hAnsi="宋体" w:cs="宋体"/>
                <w:color w:val="0000FF"/>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满足资格审查条件（项目经理和项目总工最低要求）时，得</w:t>
            </w:r>
            <w:r>
              <w:rPr>
                <w:rFonts w:hint="eastAsia" w:ascii="宋体" w:hAnsi="宋体" w:cs="宋体"/>
                <w:color w:val="auto"/>
                <w:kern w:val="0"/>
                <w:sz w:val="24"/>
                <w:highlight w:val="none"/>
                <w:u w:val="single"/>
                <w:lang w:val="en-US" w:eastAsia="zh-CN"/>
              </w:rPr>
              <w:t>9</w:t>
            </w:r>
            <w:r>
              <w:rPr>
                <w:rFonts w:hint="eastAsia" w:ascii="宋体" w:hAnsi="宋体" w:cs="宋体"/>
                <w:color w:val="auto"/>
                <w:kern w:val="0"/>
                <w:sz w:val="24"/>
                <w:highlight w:val="none"/>
              </w:rPr>
              <w:t>分；</w:t>
            </w:r>
            <w:r>
              <w:br w:type="textWrapping"/>
            </w:r>
            <w:r>
              <w:rPr>
                <w:rFonts w:hint="eastAsia" w:ascii="宋体" w:hAnsi="宋体" w:cs="宋体"/>
                <w:color w:val="auto"/>
                <w:kern w:val="0"/>
                <w:sz w:val="24"/>
                <w:highlight w:val="none"/>
                <w:lang w:bidi="ar"/>
              </w:rPr>
              <w:t>（2）每担任1个类似工程项目总工岗位工作经验的，加</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分，最多加</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w:t>
            </w:r>
          </w:p>
        </w:tc>
      </w:tr>
      <w:tr w14:paraId="47DE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140" w:hRule="atLeast"/>
          <w:jc w:val="center"/>
        </w:trPr>
        <w:tc>
          <w:tcPr>
            <w:tcW w:w="1236" w:type="dxa"/>
            <w:gridSpan w:val="3"/>
            <w:vMerge w:val="restart"/>
            <w:vAlign w:val="center"/>
          </w:tcPr>
          <w:p w14:paraId="2C6D84F2">
            <w:pPr>
              <w:shd w:val="clear" w:fill="FFFFFF" w:themeFill="background1"/>
              <w:spacing w:line="400" w:lineRule="exact"/>
              <w:ind w:left="92" w:leftChars="36" w:right="113" w:hanging="16" w:hangingChars="7"/>
              <w:jc w:val="center"/>
              <w:rPr>
                <w:rFonts w:ascii="宋体" w:hAnsi="宋体" w:cs="宋体"/>
                <w:color w:val="auto"/>
                <w:sz w:val="24"/>
                <w:highlight w:val="none"/>
              </w:rPr>
            </w:pPr>
            <w:r>
              <w:rPr>
                <w:rFonts w:hint="eastAsia" w:ascii="宋体" w:hAnsi="宋体" w:cs="宋体"/>
                <w:color w:val="auto"/>
                <w:sz w:val="24"/>
                <w:highlight w:val="none"/>
              </w:rPr>
              <w:t>2.2.2</w:t>
            </w:r>
          </w:p>
          <w:p w14:paraId="2A06231C">
            <w:pPr>
              <w:shd w:val="clear" w:fill="FFFFFF" w:themeFill="background1"/>
              <w:spacing w:line="400" w:lineRule="exact"/>
              <w:ind w:left="92" w:leftChars="36" w:right="113" w:hanging="16" w:hangingChars="7"/>
              <w:jc w:val="center"/>
              <w:rPr>
                <w:rFonts w:ascii="宋体" w:hAnsi="宋体" w:cs="宋体"/>
                <w:color w:val="auto"/>
                <w:sz w:val="24"/>
                <w:highlight w:val="none"/>
              </w:rPr>
            </w:pPr>
            <w:r>
              <w:rPr>
                <w:rFonts w:hint="eastAsia" w:ascii="宋体" w:hAnsi="宋体" w:cs="宋体"/>
                <w:color w:val="auto"/>
                <w:sz w:val="24"/>
                <w:highlight w:val="none"/>
              </w:rPr>
              <w:t>(3)</w:t>
            </w:r>
          </w:p>
        </w:tc>
        <w:tc>
          <w:tcPr>
            <w:tcW w:w="1089" w:type="dxa"/>
            <w:gridSpan w:val="3"/>
            <w:vMerge w:val="restart"/>
            <w:vAlign w:val="center"/>
          </w:tcPr>
          <w:p w14:paraId="3D1D9945">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其他因素</w:t>
            </w:r>
          </w:p>
        </w:tc>
        <w:tc>
          <w:tcPr>
            <w:tcW w:w="800" w:type="dxa"/>
            <w:vAlign w:val="center"/>
          </w:tcPr>
          <w:p w14:paraId="28511D00">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技</w:t>
            </w:r>
          </w:p>
          <w:p w14:paraId="6494B574">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术</w:t>
            </w:r>
          </w:p>
          <w:p w14:paraId="340DD8D2">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能</w:t>
            </w:r>
          </w:p>
          <w:p w14:paraId="178D1D2B">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力</w:t>
            </w:r>
          </w:p>
        </w:tc>
        <w:tc>
          <w:tcPr>
            <w:tcW w:w="1175" w:type="dxa"/>
            <w:vAlign w:val="center"/>
          </w:tcPr>
          <w:p w14:paraId="375D07C7">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20分</w:t>
            </w:r>
          </w:p>
        </w:tc>
        <w:tc>
          <w:tcPr>
            <w:tcW w:w="5831" w:type="dxa"/>
            <w:gridSpan w:val="2"/>
            <w:vAlign w:val="center"/>
          </w:tcPr>
          <w:p w14:paraId="19941642">
            <w:pPr>
              <w:widowControl/>
              <w:shd w:val="clear" w:fill="FFFFFF" w:themeFill="background1"/>
              <w:spacing w:line="360" w:lineRule="auto"/>
              <w:jc w:val="left"/>
              <w:rPr>
                <w:color w:val="auto"/>
                <w:sz w:val="24"/>
                <w:highlight w:val="none"/>
              </w:rPr>
            </w:pPr>
            <w:r>
              <w:rPr>
                <w:rFonts w:hint="eastAsia" w:ascii="宋体" w:hAnsi="宋体" w:cs="宋体"/>
                <w:snapToGrid w:val="0"/>
                <w:color w:val="auto"/>
                <w:kern w:val="0"/>
                <w:sz w:val="24"/>
                <w:highlight w:val="none"/>
                <w:lang w:bidi="ar"/>
              </w:rPr>
              <w:t>(1)投标人获得与项目施工有关的国家级工法、专利（发明专利或实用新型专利）、国家级科学技术进步奖、鲁班奖、詹天佑奖，主编或参编过国家标准，每项加</w:t>
            </w:r>
            <w:r>
              <w:rPr>
                <w:rFonts w:hint="eastAsia" w:ascii="宋体" w:hAnsi="宋体" w:cs="宋体"/>
                <w:snapToGrid w:val="0"/>
                <w:color w:val="auto"/>
                <w:kern w:val="0"/>
                <w:sz w:val="24"/>
                <w:highlight w:val="none"/>
                <w:u w:val="single"/>
                <w:lang w:bidi="ar"/>
              </w:rPr>
              <w:t>5</w:t>
            </w:r>
            <w:r>
              <w:rPr>
                <w:rFonts w:hint="eastAsia" w:ascii="宋体" w:hAnsi="宋体" w:cs="宋体"/>
                <w:snapToGrid w:val="0"/>
                <w:color w:val="auto"/>
                <w:kern w:val="0"/>
                <w:sz w:val="24"/>
                <w:highlight w:val="none"/>
                <w:lang w:bidi="ar"/>
              </w:rPr>
              <w:t xml:space="preserve">分； </w:t>
            </w:r>
          </w:p>
          <w:p w14:paraId="159C5FD2">
            <w:pPr>
              <w:widowControl/>
              <w:shd w:val="clear" w:fill="FFFFFF" w:themeFill="background1"/>
              <w:spacing w:line="360" w:lineRule="auto"/>
              <w:jc w:val="left"/>
              <w:rPr>
                <w:color w:val="auto"/>
                <w:sz w:val="24"/>
                <w:highlight w:val="none"/>
              </w:rPr>
            </w:pPr>
            <w:r>
              <w:rPr>
                <w:rFonts w:hint="eastAsia" w:ascii="宋体" w:hAnsi="宋体" w:cs="宋体"/>
                <w:snapToGrid w:val="0"/>
                <w:color w:val="auto"/>
                <w:kern w:val="0"/>
                <w:sz w:val="24"/>
                <w:highlight w:val="none"/>
                <w:lang w:bidi="ar"/>
              </w:rPr>
              <w:t>(2)投标人获得省级科学技术进步奖，主编或参编过的行业或地方（指省级）标准，每项加</w:t>
            </w:r>
            <w:r>
              <w:rPr>
                <w:rFonts w:hint="eastAsia" w:ascii="宋体" w:hAnsi="宋体" w:cs="宋体"/>
                <w:snapToGrid w:val="0"/>
                <w:color w:val="auto"/>
                <w:kern w:val="0"/>
                <w:sz w:val="24"/>
                <w:highlight w:val="none"/>
                <w:u w:val="single"/>
                <w:lang w:bidi="ar"/>
              </w:rPr>
              <w:t>5</w:t>
            </w:r>
            <w:r>
              <w:rPr>
                <w:rFonts w:hint="eastAsia" w:ascii="宋体" w:hAnsi="宋体" w:cs="宋体"/>
                <w:snapToGrid w:val="0"/>
                <w:color w:val="auto"/>
                <w:kern w:val="0"/>
                <w:sz w:val="24"/>
                <w:highlight w:val="none"/>
                <w:lang w:bidi="ar"/>
              </w:rPr>
              <w:t xml:space="preserve">分； </w:t>
            </w:r>
          </w:p>
          <w:p w14:paraId="1FF5DB06">
            <w:pPr>
              <w:widowControl/>
              <w:shd w:val="clear" w:fill="FFFFFF" w:themeFill="background1"/>
              <w:spacing w:line="360" w:lineRule="exact"/>
              <w:jc w:val="left"/>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注：技术能力加分最高</w:t>
            </w:r>
            <w:r>
              <w:rPr>
                <w:rFonts w:hint="eastAsia" w:ascii="宋体" w:hAnsi="宋体" w:cs="宋体"/>
                <w:snapToGrid w:val="0"/>
                <w:color w:val="auto"/>
                <w:kern w:val="0"/>
                <w:sz w:val="24"/>
                <w:highlight w:val="none"/>
                <w:u w:val="single"/>
                <w:lang w:bidi="ar"/>
              </w:rPr>
              <w:t xml:space="preserve"> 20 </w:t>
            </w:r>
            <w:r>
              <w:rPr>
                <w:rFonts w:hint="eastAsia" w:ascii="宋体" w:hAnsi="宋体" w:cs="宋体"/>
                <w:snapToGrid w:val="0"/>
                <w:color w:val="auto"/>
                <w:kern w:val="0"/>
                <w:sz w:val="24"/>
                <w:highlight w:val="none"/>
                <w:lang w:bidi="ar"/>
              </w:rPr>
              <w:t>分，同一事项按较高分只计一次。</w:t>
            </w:r>
          </w:p>
        </w:tc>
      </w:tr>
      <w:tr w14:paraId="4EAE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202" w:hRule="atLeast"/>
          <w:jc w:val="center"/>
        </w:trPr>
        <w:tc>
          <w:tcPr>
            <w:tcW w:w="1236" w:type="dxa"/>
            <w:gridSpan w:val="3"/>
            <w:vMerge w:val="continue"/>
            <w:vAlign w:val="center"/>
          </w:tcPr>
          <w:p w14:paraId="7A7C0524">
            <w:pPr>
              <w:shd w:val="clear" w:fill="FFFFFF" w:themeFill="background1"/>
              <w:spacing w:line="400" w:lineRule="exact"/>
              <w:ind w:left="92" w:leftChars="36" w:right="113" w:hanging="16" w:hangingChars="7"/>
              <w:jc w:val="center"/>
              <w:rPr>
                <w:rFonts w:ascii="宋体" w:hAnsi="宋体" w:cs="宋体"/>
                <w:color w:val="auto"/>
                <w:sz w:val="24"/>
                <w:highlight w:val="none"/>
              </w:rPr>
            </w:pPr>
          </w:p>
        </w:tc>
        <w:tc>
          <w:tcPr>
            <w:tcW w:w="1089" w:type="dxa"/>
            <w:gridSpan w:val="3"/>
            <w:vMerge w:val="continue"/>
            <w:vAlign w:val="center"/>
          </w:tcPr>
          <w:p w14:paraId="3AB3CDE8">
            <w:pPr>
              <w:widowControl/>
              <w:shd w:val="clear" w:fill="FFFFFF" w:themeFill="background1"/>
              <w:spacing w:line="400" w:lineRule="exact"/>
              <w:jc w:val="center"/>
              <w:rPr>
                <w:rFonts w:ascii="宋体" w:hAnsi="宋体" w:cs="宋体"/>
                <w:color w:val="auto"/>
                <w:kern w:val="0"/>
                <w:sz w:val="24"/>
                <w:highlight w:val="none"/>
              </w:rPr>
            </w:pPr>
          </w:p>
        </w:tc>
        <w:tc>
          <w:tcPr>
            <w:tcW w:w="800" w:type="dxa"/>
            <w:vAlign w:val="center"/>
          </w:tcPr>
          <w:p w14:paraId="03C815F9">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履</w:t>
            </w:r>
          </w:p>
          <w:p w14:paraId="781361FA">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约</w:t>
            </w:r>
          </w:p>
          <w:p w14:paraId="36CB9699">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信</w:t>
            </w:r>
          </w:p>
          <w:p w14:paraId="0A856648">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誉</w:t>
            </w:r>
          </w:p>
        </w:tc>
        <w:tc>
          <w:tcPr>
            <w:tcW w:w="1175" w:type="dxa"/>
            <w:vAlign w:val="center"/>
          </w:tcPr>
          <w:p w14:paraId="0346B6B3">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15分</w:t>
            </w:r>
          </w:p>
        </w:tc>
        <w:tc>
          <w:tcPr>
            <w:tcW w:w="5831" w:type="dxa"/>
            <w:gridSpan w:val="2"/>
            <w:vAlign w:val="center"/>
          </w:tcPr>
          <w:p w14:paraId="36AC05E5">
            <w:pPr>
              <w:widowControl/>
              <w:shd w:val="clear" w:fill="FFFFFF" w:themeFill="background1"/>
              <w:autoSpaceDE w:val="0"/>
              <w:autoSpaceDN w:val="0"/>
              <w:adjustRightInd w:val="0"/>
              <w:snapToGrid w:val="0"/>
              <w:spacing w:line="360" w:lineRule="auto"/>
              <w:textAlignment w:val="baseline"/>
              <w:rPr>
                <w:rFonts w:ascii="宋体" w:hAnsi="宋体" w:cs="宋体"/>
                <w:color w:val="auto"/>
                <w:sz w:val="24"/>
                <w:highlight w:val="none"/>
              </w:rPr>
            </w:pPr>
            <w:r>
              <w:rPr>
                <w:rFonts w:ascii="宋体" w:hAnsi="宋体" w:cs="宋体"/>
                <w:color w:val="auto"/>
                <w:sz w:val="24"/>
                <w:highlight w:val="none"/>
              </w:rPr>
              <w:t>1.信用等级分值(</w:t>
            </w:r>
            <w:r>
              <w:rPr>
                <w:rFonts w:ascii="宋体" w:hAnsi="宋体" w:cs="宋体"/>
                <w:color w:val="auto"/>
                <w:sz w:val="24"/>
                <w:highlight w:val="none"/>
                <w:u w:val="single"/>
              </w:rPr>
              <w:t>10</w:t>
            </w:r>
            <w:r>
              <w:rPr>
                <w:rFonts w:ascii="宋体" w:hAnsi="宋体" w:cs="宋体"/>
                <w:color w:val="auto"/>
                <w:sz w:val="24"/>
                <w:highlight w:val="none"/>
              </w:rPr>
              <w:t>分)</w:t>
            </w:r>
          </w:p>
          <w:p w14:paraId="63AC4576">
            <w:pPr>
              <w:widowControl/>
              <w:shd w:val="clear" w:fill="FFFFFF" w:themeFill="background1"/>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 xml:space="preserve">AA、A、B、C 级单位的信用等级分得分分别为 </w:t>
            </w:r>
            <w:r>
              <w:rPr>
                <w:rFonts w:ascii="宋体" w:hAnsi="宋体" w:cs="宋体"/>
                <w:color w:val="auto"/>
                <w:sz w:val="24"/>
                <w:highlight w:val="none"/>
                <w:u w:val="single"/>
              </w:rPr>
              <w:t>10、9.5、8.9、7.3</w:t>
            </w:r>
            <w:r>
              <w:rPr>
                <w:rFonts w:ascii="宋体" w:hAnsi="宋体" w:cs="宋体"/>
                <w:color w:val="auto"/>
                <w:sz w:val="24"/>
                <w:highlight w:val="none"/>
              </w:rPr>
              <w:t xml:space="preserve"> 分。</w:t>
            </w:r>
          </w:p>
          <w:p w14:paraId="1CD7B22E">
            <w:pPr>
              <w:widowControl/>
              <w:shd w:val="clear" w:fill="FFFFFF" w:themeFill="background1"/>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注：信用等级的确定原则遵循投标人须知前附表 10.2 款的规定。</w:t>
            </w:r>
          </w:p>
          <w:p w14:paraId="74BC6484">
            <w:pPr>
              <w:widowControl/>
              <w:shd w:val="clear" w:fill="FFFFFF" w:themeFill="background1"/>
              <w:autoSpaceDE w:val="0"/>
              <w:autoSpaceDN w:val="0"/>
              <w:adjustRightInd w:val="0"/>
              <w:snapToGrid w:val="0"/>
              <w:spacing w:line="360" w:lineRule="auto"/>
              <w:textAlignment w:val="baseline"/>
              <w:rPr>
                <w:rFonts w:ascii="宋体" w:hAnsi="宋体" w:cs="宋体"/>
                <w:color w:val="auto"/>
                <w:sz w:val="24"/>
                <w:highlight w:val="none"/>
              </w:rPr>
            </w:pPr>
            <w:r>
              <w:rPr>
                <w:rFonts w:ascii="宋体" w:hAnsi="宋体" w:cs="宋体"/>
                <w:color w:val="auto"/>
                <w:sz w:val="24"/>
                <w:highlight w:val="none"/>
              </w:rPr>
              <w:t>2.履约情况(</w:t>
            </w:r>
            <w:r>
              <w:rPr>
                <w:rFonts w:hint="eastAsia" w:ascii="宋体" w:hAnsi="宋体" w:cs="宋体"/>
                <w:color w:val="auto"/>
                <w:sz w:val="24"/>
                <w:highlight w:val="none"/>
                <w:u w:val="single"/>
              </w:rPr>
              <w:t>5</w:t>
            </w:r>
            <w:r>
              <w:rPr>
                <w:rFonts w:ascii="宋体" w:hAnsi="宋体" w:cs="宋体"/>
                <w:color w:val="auto"/>
                <w:sz w:val="24"/>
                <w:highlight w:val="none"/>
              </w:rPr>
              <w:t>分)</w:t>
            </w:r>
          </w:p>
          <w:p w14:paraId="04669DEB">
            <w:pPr>
              <w:widowControl/>
              <w:shd w:val="clear" w:fill="FFFFFF" w:themeFill="background1"/>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若没出现下述情形得满分；</w:t>
            </w:r>
          </w:p>
          <w:p w14:paraId="4BD173CE">
            <w:pPr>
              <w:widowControl/>
              <w:shd w:val="clear" w:fill="FFFFFF" w:themeFill="background1"/>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投标文件递交截止日前 1 年内，投标人因公路工程(含附属设施)质量、安全、履约或招标投标问题等原因被：</w:t>
            </w:r>
          </w:p>
          <w:p w14:paraId="6613CAD7">
            <w:pPr>
              <w:widowControl/>
              <w:shd w:val="clear" w:fill="FFFFFF" w:themeFill="background1"/>
              <w:autoSpaceDE w:val="0"/>
              <w:autoSpaceDN w:val="0"/>
              <w:adjustRightInd w:val="0"/>
              <w:snapToGrid w:val="0"/>
              <w:spacing w:line="360" w:lineRule="auto"/>
              <w:textAlignment w:val="baseline"/>
              <w:rPr>
                <w:rFonts w:ascii="宋体" w:hAnsi="宋体" w:cs="宋体"/>
                <w:color w:val="auto"/>
                <w:sz w:val="24"/>
                <w:highlight w:val="none"/>
              </w:rPr>
            </w:pPr>
            <w:r>
              <w:rPr>
                <w:rFonts w:ascii="宋体" w:hAnsi="宋体" w:cs="宋体"/>
                <w:color w:val="auto"/>
                <w:sz w:val="24"/>
                <w:highlight w:val="none"/>
              </w:rPr>
              <w:t>(1)交通运输部行政处罚的，扣 5 分/次。</w:t>
            </w:r>
          </w:p>
          <w:p w14:paraId="40C544A5">
            <w:pPr>
              <w:widowControl/>
              <w:shd w:val="clear" w:fill="FFFFFF" w:themeFill="background1"/>
              <w:tabs>
                <w:tab w:val="left" w:pos="247"/>
              </w:tabs>
              <w:autoSpaceDE w:val="0"/>
              <w:autoSpaceDN w:val="0"/>
              <w:adjustRightInd w:val="0"/>
              <w:snapToGrid w:val="0"/>
              <w:spacing w:line="360" w:lineRule="auto"/>
              <w:ind w:firstLine="19"/>
              <w:textAlignment w:val="baseline"/>
              <w:rPr>
                <w:rFonts w:ascii="宋体" w:hAnsi="宋体" w:cs="宋体"/>
                <w:color w:val="auto"/>
                <w:sz w:val="24"/>
                <w:highlight w:val="none"/>
              </w:rPr>
            </w:pPr>
            <w:r>
              <w:rPr>
                <w:rFonts w:ascii="宋体" w:hAnsi="宋体" w:cs="宋体"/>
                <w:color w:val="auto"/>
                <w:sz w:val="24"/>
                <w:highlight w:val="none"/>
              </w:rPr>
              <w:t>(2)广东省交通运输厅行政处罚的，扣 3 分/次。</w:t>
            </w:r>
          </w:p>
          <w:p w14:paraId="7D5971E0">
            <w:pPr>
              <w:widowControl/>
              <w:shd w:val="clear" w:fill="FFFFFF" w:themeFill="background1"/>
              <w:tabs>
                <w:tab w:val="left" w:pos="247"/>
              </w:tabs>
              <w:autoSpaceDE w:val="0"/>
              <w:autoSpaceDN w:val="0"/>
              <w:adjustRightInd w:val="0"/>
              <w:snapToGrid w:val="0"/>
              <w:spacing w:line="360" w:lineRule="auto"/>
              <w:ind w:firstLine="19"/>
              <w:textAlignment w:val="baseline"/>
              <w:rPr>
                <w:rFonts w:ascii="宋体" w:hAnsi="宋体" w:cs="宋体"/>
                <w:color w:val="auto"/>
                <w:sz w:val="24"/>
                <w:highlight w:val="none"/>
              </w:rPr>
            </w:pPr>
            <w:r>
              <w:rPr>
                <w:rFonts w:ascii="宋体" w:hAnsi="宋体" w:cs="宋体"/>
                <w:color w:val="auto"/>
                <w:sz w:val="24"/>
                <w:highlight w:val="none"/>
                <w:u w:val="single"/>
              </w:rPr>
              <w:t>(3)招标项目所在地地级以上市交通运输局行政处罚的，扣 1.5 分/次。</w:t>
            </w:r>
          </w:p>
          <w:p w14:paraId="51B5CC8B">
            <w:pPr>
              <w:widowControl/>
              <w:shd w:val="clear" w:fill="FFFFFF" w:themeFill="background1"/>
              <w:autoSpaceDE w:val="0"/>
              <w:autoSpaceDN w:val="0"/>
              <w:adjustRightInd w:val="0"/>
              <w:snapToGrid w:val="0"/>
              <w:spacing w:line="360" w:lineRule="auto"/>
              <w:textAlignment w:val="baseline"/>
              <w:rPr>
                <w:rFonts w:ascii="宋体" w:hAnsi="宋体" w:cs="宋体"/>
                <w:color w:val="auto"/>
                <w:sz w:val="24"/>
                <w:highlight w:val="none"/>
              </w:rPr>
            </w:pPr>
            <w:r>
              <w:rPr>
                <w:rFonts w:ascii="宋体" w:hAnsi="宋体" w:cs="宋体"/>
                <w:color w:val="auto"/>
                <w:sz w:val="24"/>
                <w:highlight w:val="none"/>
              </w:rPr>
              <w:t>(4) 广东省交通运输厅正式约谈的，扣 0.1 分/次。</w:t>
            </w:r>
          </w:p>
          <w:p w14:paraId="4D65F693">
            <w:pPr>
              <w:widowControl/>
              <w:shd w:val="clear" w:fill="FFFFFF" w:themeFill="background1"/>
              <w:spacing w:line="400" w:lineRule="exact"/>
              <w:jc w:val="left"/>
              <w:rPr>
                <w:rFonts w:ascii="宋体" w:hAnsi="宋体" w:cs="宋体"/>
                <w:color w:val="auto"/>
                <w:kern w:val="0"/>
                <w:sz w:val="24"/>
                <w:highlight w:val="none"/>
              </w:rPr>
            </w:pPr>
            <w:r>
              <w:rPr>
                <w:rFonts w:ascii="宋体" w:hAnsi="宋体" w:cs="宋体"/>
                <w:color w:val="auto"/>
                <w:sz w:val="24"/>
                <w:highlight w:val="none"/>
              </w:rPr>
              <w:t>同一事项同时被多个部门行政处罚或正式约谈只按最高的扣分计算 1</w:t>
            </w:r>
            <w:r>
              <w:rPr>
                <w:rFonts w:hint="eastAsia" w:ascii="宋体" w:hAnsi="宋体" w:cs="宋体"/>
                <w:color w:val="auto"/>
                <w:sz w:val="24"/>
                <w:highlight w:val="none"/>
              </w:rPr>
              <w:t xml:space="preserve"> </w:t>
            </w:r>
            <w:r>
              <w:rPr>
                <w:rFonts w:ascii="宋体" w:hAnsi="宋体" w:cs="宋体"/>
                <w:color w:val="auto"/>
                <w:sz w:val="24"/>
                <w:highlight w:val="none"/>
              </w:rPr>
              <w:t>次 。如果扣完本项分值，可以从总分中扣。</w:t>
            </w:r>
          </w:p>
        </w:tc>
      </w:tr>
      <w:tr w14:paraId="316B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10131" w:type="dxa"/>
            <w:gridSpan w:val="10"/>
          </w:tcPr>
          <w:p w14:paraId="046D8DFA">
            <w:pPr>
              <w:shd w:val="clear" w:fill="FFFFFF" w:themeFill="background1"/>
              <w:jc w:val="center"/>
              <w:rPr>
                <w:rFonts w:ascii="宋体" w:hAnsi="宋体" w:cs="宋体"/>
                <w:b/>
                <w:bCs/>
                <w:color w:val="auto"/>
                <w:sz w:val="24"/>
                <w:highlight w:val="none"/>
              </w:rPr>
            </w:pPr>
            <w:r>
              <w:rPr>
                <w:rFonts w:hint="eastAsia" w:ascii="宋体" w:hAnsi="宋体" w:cs="宋体"/>
                <w:b/>
                <w:bCs/>
                <w:color w:val="auto"/>
                <w:kern w:val="0"/>
                <w:sz w:val="24"/>
                <w:highlight w:val="none"/>
              </w:rPr>
              <w:t>需要补充的其他内容：</w:t>
            </w:r>
          </w:p>
        </w:tc>
      </w:tr>
      <w:tr w14:paraId="3BB4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tcPr>
          <w:p w14:paraId="4CB8376A">
            <w:pPr>
              <w:widowControl/>
              <w:shd w:val="clear" w:fill="FFFFFF" w:themeFill="background1"/>
              <w:jc w:val="center"/>
              <w:rPr>
                <w:rFonts w:ascii="宋体" w:hAnsi="宋体" w:cs="宋体"/>
                <w:b/>
                <w:bCs/>
                <w:color w:val="auto"/>
                <w:sz w:val="24"/>
                <w:highlight w:val="none"/>
              </w:rPr>
            </w:pPr>
            <w:r>
              <w:rPr>
                <w:rFonts w:hint="eastAsia" w:ascii="宋体" w:hAnsi="宋体" w:cs="宋体"/>
                <w:b/>
                <w:bCs/>
                <w:color w:val="auto"/>
                <w:kern w:val="0"/>
                <w:sz w:val="24"/>
                <w:highlight w:val="none"/>
              </w:rPr>
              <w:t>条款号</w:t>
            </w:r>
          </w:p>
        </w:tc>
        <w:tc>
          <w:tcPr>
            <w:tcW w:w="8020" w:type="dxa"/>
            <w:gridSpan w:val="6"/>
          </w:tcPr>
          <w:p w14:paraId="3463BE9B">
            <w:pPr>
              <w:widowControl/>
              <w:shd w:val="clear" w:fill="FFFFFF" w:themeFill="background1"/>
              <w:jc w:val="center"/>
              <w:rPr>
                <w:rFonts w:ascii="宋体" w:hAnsi="宋体" w:cs="宋体"/>
                <w:b/>
                <w:bCs/>
                <w:color w:val="auto"/>
                <w:sz w:val="24"/>
                <w:highlight w:val="none"/>
              </w:rPr>
            </w:pPr>
            <w:r>
              <w:rPr>
                <w:rFonts w:hint="eastAsia" w:ascii="宋体" w:hAnsi="宋体" w:cs="宋体"/>
                <w:b/>
                <w:bCs/>
                <w:color w:val="auto"/>
                <w:kern w:val="0"/>
                <w:sz w:val="24"/>
                <w:highlight w:val="none"/>
              </w:rPr>
              <w:t>补充或修改的内容</w:t>
            </w:r>
          </w:p>
        </w:tc>
      </w:tr>
      <w:tr w14:paraId="3371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4F9088D1">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020" w:type="dxa"/>
            <w:gridSpan w:val="6"/>
          </w:tcPr>
          <w:p w14:paraId="4C8B57BF">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将评标办法原文第1条“评标方法”改为“评标方法、组织及工作程序”，原文内容修改如下：</w:t>
            </w:r>
          </w:p>
          <w:p w14:paraId="783AD9CC">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1.评标方法、组织及工作程序</w:t>
            </w:r>
          </w:p>
          <w:p w14:paraId="48356014">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1.1 评标方法</w:t>
            </w:r>
          </w:p>
          <w:p w14:paraId="17775B9A">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    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 5 名（不少于 3 名但不足 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14:paraId="144658B3">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1.2 评标组织</w:t>
            </w:r>
          </w:p>
          <w:p w14:paraId="2CFFF617">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1.2.1 协助工作组</w:t>
            </w:r>
          </w:p>
          <w:p w14:paraId="64503833">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招标人可在评标工作开始前成立协助工作组，选派熟悉招标工作、政治素质高的人员组成，协助评标委员会工作。协助工作组人员的具体数量由招标人视评标工作量确定。</w:t>
            </w:r>
          </w:p>
          <w:p w14:paraId="33A1DA2D">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招标人可以协助评标委员会开展下列工作并提供相关信息：</w:t>
            </w:r>
          </w:p>
          <w:p w14:paraId="3FC6EA35">
            <w:pPr>
              <w:widowControl/>
              <w:numPr>
                <w:ilvl w:val="0"/>
                <w:numId w:val="13"/>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根据招标文件，编制评标使用的相应表格；</w:t>
            </w:r>
          </w:p>
          <w:p w14:paraId="279006BA">
            <w:pPr>
              <w:widowControl/>
              <w:numPr>
                <w:ilvl w:val="0"/>
                <w:numId w:val="13"/>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对投标报价进行算术性校核（如采用固化工程量清单，本步骤省略）；</w:t>
            </w:r>
          </w:p>
          <w:p w14:paraId="1DD8F527">
            <w:pPr>
              <w:widowControl/>
              <w:numPr>
                <w:ilvl w:val="0"/>
                <w:numId w:val="13"/>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以评标标准和方法为依据，列出投标文件相对于招标文件的所有偏差，并进行归类汇总；</w:t>
            </w:r>
          </w:p>
          <w:p w14:paraId="1FC8CFE7">
            <w:pPr>
              <w:widowControl/>
              <w:numPr>
                <w:ilvl w:val="0"/>
                <w:numId w:val="13"/>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查询</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对投标人的资质、业绩、主要人员资历和目前在岗情况、信用等级进行核实。招标人不得对投标文件作出任何评价，不得故意遗漏或者片面摘录，不得在评标委员会对所有偏差定性之前透露存有偏差的投标人名称。</w:t>
            </w:r>
          </w:p>
          <w:p w14:paraId="544A0BEA">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1.2.2 评标委员会</w:t>
            </w:r>
          </w:p>
          <w:p w14:paraId="434F89BA">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评标委员会由招标人按国家、广东省等的有关规定依法组建。评标委员会的主要工作内容包括：</w:t>
            </w:r>
          </w:p>
          <w:p w14:paraId="7530956F">
            <w:pPr>
              <w:widowControl/>
              <w:numPr>
                <w:ilvl w:val="0"/>
                <w:numId w:val="14"/>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评标委员会开始评标工作之前，首先听取招标人、协助工作组关于工程情况和辅助工作的说明，并认真研读招标文件，获取评标所需的重要信息和数据；</w:t>
            </w:r>
          </w:p>
          <w:p w14:paraId="0D8426DD">
            <w:pPr>
              <w:widowControl/>
              <w:numPr>
                <w:ilvl w:val="0"/>
                <w:numId w:val="14"/>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对协助工作组提供的评标工作用表和评标内容进行核查。</w:t>
            </w:r>
          </w:p>
          <w:p w14:paraId="29DCEDDD">
            <w:pPr>
              <w:widowControl/>
              <w:numPr>
                <w:ilvl w:val="0"/>
                <w:numId w:val="14"/>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按照以下 1.3 款程序进行各项评审工作。</w:t>
            </w:r>
          </w:p>
          <w:p w14:paraId="51BA8F5A">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1.3 评审工作程序</w:t>
            </w:r>
          </w:p>
          <w:p w14:paraId="1393FF23">
            <w:pPr>
              <w:widowControl/>
              <w:numPr>
                <w:ilvl w:val="0"/>
                <w:numId w:val="15"/>
              </w:numPr>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第一个信封（商务及技术文件）：</w:t>
            </w:r>
          </w:p>
          <w:p w14:paraId="36B93D1F">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l、初步评审：包括形式评审与响应性评审、资格评审（适用于未进行资格预审 ）；</w:t>
            </w:r>
          </w:p>
          <w:p w14:paraId="5C53DB5B">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2、详细评审（评审打分）：评标委员会首先对通过第一个信封初步评审的投标文件进行详细评审，对投标人的施工组织设计、主要人员、其他因素等分别评审打分，并按照综合得分由高到低排序，排名在招标文件规定数量前5名（不少于3名但不足5名的，按全部实际数量）的投标人，其投标文件第一个信封（商务及技术文件）通过详细评审。</w:t>
            </w:r>
          </w:p>
          <w:p w14:paraId="199AEE30">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（二）第二个信封（报价文件）：</w:t>
            </w:r>
          </w:p>
          <w:p w14:paraId="12BA4375">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1、初步评审：</w:t>
            </w:r>
          </w:p>
          <w:p w14:paraId="737C7BA0">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（1）只有对投标文件第一个信封通过详细评审的投标人的报价文件才能继续参加第二个信封报价文件的形式评审与响应性评审。</w:t>
            </w:r>
          </w:p>
          <w:p w14:paraId="77E98144">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（2）报价算术性修正（如采用固化工程量清单，本步骤省略）；</w:t>
            </w:r>
          </w:p>
          <w:p w14:paraId="372749DD">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2、详细评审：计算评标价。</w:t>
            </w:r>
          </w:p>
          <w:p w14:paraId="2F06147E">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（三）投标文件相关信息的核查。</w:t>
            </w:r>
          </w:p>
          <w:p w14:paraId="38E7B5B2">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（四）投标文件的澄清和说明(如有)。</w:t>
            </w:r>
          </w:p>
          <w:p w14:paraId="4DED1EB8">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（五）按评标办法规定按照第二个信封的评标价由低到高的顺序推荐中标候选人，编写评标报告。</w:t>
            </w:r>
          </w:p>
        </w:tc>
      </w:tr>
      <w:tr w14:paraId="6CAF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04010D93">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3.2.2</w:t>
            </w:r>
          </w:p>
        </w:tc>
        <w:tc>
          <w:tcPr>
            <w:tcW w:w="8020" w:type="dxa"/>
            <w:gridSpan w:val="6"/>
          </w:tcPr>
          <w:p w14:paraId="579D6B29">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将评标办法原文第 3.2.2 项修改如下：</w:t>
            </w:r>
          </w:p>
          <w:p w14:paraId="043DE180">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    投标人的商务和技术得分分值计算保留小数点后三位，小数点后第四位“四舍五入”。</w:t>
            </w:r>
          </w:p>
        </w:tc>
      </w:tr>
      <w:tr w14:paraId="383D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47075B3F">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3.2.3</w:t>
            </w:r>
          </w:p>
        </w:tc>
        <w:tc>
          <w:tcPr>
            <w:tcW w:w="8020" w:type="dxa"/>
            <w:gridSpan w:val="6"/>
          </w:tcPr>
          <w:p w14:paraId="39E98AA1">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将评标办法范本原文第 3.2.3项细化如下:</w:t>
            </w:r>
          </w:p>
          <w:p w14:paraId="5EC5D296">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投标人的商务和技术得分=A+B+C。</w:t>
            </w:r>
          </w:p>
          <w:p w14:paraId="7DF77705">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14:paraId="6C7B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02" w:hRule="atLeast"/>
          <w:jc w:val="center"/>
        </w:trPr>
        <w:tc>
          <w:tcPr>
            <w:tcW w:w="2111" w:type="dxa"/>
            <w:gridSpan w:val="4"/>
            <w:vAlign w:val="center"/>
          </w:tcPr>
          <w:p w14:paraId="4D5110F5">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3.4.2</w:t>
            </w:r>
          </w:p>
          <w:p w14:paraId="737C3658">
            <w:pPr>
              <w:widowControl/>
              <w:shd w:val="clear" w:fill="FFFFFF" w:themeFill="background1"/>
              <w:spacing w:line="400" w:lineRule="exact"/>
              <w:jc w:val="center"/>
              <w:rPr>
                <w:rFonts w:ascii="宋体" w:hAnsi="宋体" w:cs="宋体"/>
                <w:color w:val="auto"/>
                <w:sz w:val="24"/>
                <w:highlight w:val="none"/>
              </w:rPr>
            </w:pPr>
          </w:p>
        </w:tc>
        <w:tc>
          <w:tcPr>
            <w:tcW w:w="8020" w:type="dxa"/>
            <w:gridSpan w:val="6"/>
          </w:tcPr>
          <w:p w14:paraId="4903A20F">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将评标办法范本原文第 3.4.2 项第(2)、(3)、(4)目修改为：</w:t>
            </w:r>
          </w:p>
          <w:p w14:paraId="7AA8CEF0">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(2) 总价金额与依据单价计算出的结果不一致的，在保证投标总价不变的前提下予以合理调整单价；</w:t>
            </w:r>
          </w:p>
          <w:p w14:paraId="608002A0">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(3)当单价与数量相乘不等于合价时，应以标出的合价为准，同时对单价予以修正；</w:t>
            </w:r>
          </w:p>
          <w:p w14:paraId="5E2FCDAA">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(4) 当各子目的合价累计不等于总价时，应以总价不变的前提下，修正各子目合价。</w:t>
            </w:r>
          </w:p>
        </w:tc>
      </w:tr>
      <w:tr w14:paraId="2DB7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333B4AF9">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3.6</w:t>
            </w:r>
          </w:p>
        </w:tc>
        <w:tc>
          <w:tcPr>
            <w:tcW w:w="8020" w:type="dxa"/>
            <w:gridSpan w:val="6"/>
          </w:tcPr>
          <w:p w14:paraId="10C6D22D">
            <w:pPr>
              <w:widowControl/>
              <w:shd w:val="clear" w:fill="FFFFFF" w:themeFill="background1"/>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3.6.2项（2）目末增加以下条款：</w:t>
            </w:r>
          </w:p>
          <w:p w14:paraId="5C5FADB7">
            <w:pPr>
              <w:widowControl/>
              <w:shd w:val="clear" w:fill="FFFFFF" w:themeFill="background1"/>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g.当一家以上投标人评标价相同时，若各投标人工程量清单细目单价也相同，视为串标（一个标段仅一工作细目报价的除外）。</w:t>
            </w:r>
          </w:p>
          <w:p w14:paraId="156ED4DC">
            <w:pPr>
              <w:widowControl/>
              <w:shd w:val="clear" w:fill="FFFFFF" w:themeFill="background1"/>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h .广东省实施《中华人民共和国招标投标法》办法第十六条规定的情形。</w:t>
            </w:r>
          </w:p>
          <w:p w14:paraId="7D16859F">
            <w:pPr>
              <w:widowControl/>
              <w:shd w:val="clear" w:fill="FFFFFF" w:themeFill="background1"/>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增加3.6.3项：</w:t>
            </w:r>
          </w:p>
          <w:p w14:paraId="656956DB">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4D2A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43541977">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3.7.1</w:t>
            </w:r>
          </w:p>
          <w:p w14:paraId="52830C6E">
            <w:pPr>
              <w:widowControl/>
              <w:shd w:val="clear" w:fill="FFFFFF" w:themeFill="background1"/>
              <w:spacing w:line="400" w:lineRule="exact"/>
              <w:jc w:val="center"/>
              <w:rPr>
                <w:rFonts w:ascii="宋体" w:hAnsi="宋体" w:cs="宋体"/>
                <w:color w:val="auto"/>
                <w:kern w:val="0"/>
                <w:sz w:val="24"/>
                <w:highlight w:val="none"/>
              </w:rPr>
            </w:pPr>
          </w:p>
        </w:tc>
        <w:tc>
          <w:tcPr>
            <w:tcW w:w="8020" w:type="dxa"/>
            <w:gridSpan w:val="6"/>
          </w:tcPr>
          <w:p w14:paraId="1B2D4354">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将评标办法范本原文第 3.7.1 项修改为：</w:t>
            </w:r>
          </w:p>
          <w:p w14:paraId="76C034C2">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48C20971">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(1) 投标文件中的下列计算错误为细微偏差（采用固化工程量清单，则a－d 步骤省略）：</w:t>
            </w:r>
          </w:p>
          <w:p w14:paraId="570DAF06">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a、在算术性复核中发现的算术性差错：</w:t>
            </w:r>
          </w:p>
          <w:p w14:paraId="07EF3C08">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b、在招标人给定的工程量清单中漏报了某个工程细目的单价和合价；</w:t>
            </w:r>
          </w:p>
          <w:p w14:paraId="3FB5D7EB">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c、在招标人给定的工程量清单中多报了某个工程细目的单价和合价或所报单价增加或减少了报价范围；</w:t>
            </w:r>
          </w:p>
          <w:p w14:paraId="6B9FBE7A">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d、在招标人给定的工程量清单中修改了某些支付号的工程数量。</w:t>
            </w:r>
          </w:p>
          <w:p w14:paraId="3049936F">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（2）评标委员会对投标文件中的细微偏差按如下规定处理（采用固化工程量清单，则 a－d 步骤省略）：</w:t>
            </w:r>
          </w:p>
          <w:p w14:paraId="05CF7B77">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a、按本评标办法的规定对算术性错误予以修正；</w:t>
            </w:r>
          </w:p>
          <w:p w14:paraId="1E8DC147">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b、对于漏报的工程细目单价和合价或单价和合价减少的报价内容视为已含入其它工程细目的单价和合价之中；</w:t>
            </w:r>
          </w:p>
          <w:p w14:paraId="79DFDFA8">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c、在保证投标总价不变的前提下，对于多报的工程细目报价或工程细目报价中增加的部分报价从投标报价中予以扣除，并对其它细目作相应的平衡性调整；</w:t>
            </w:r>
          </w:p>
          <w:p w14:paraId="5E8E0B8C">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d、在保证投标总价不变的前提下，对与给定工程量清单数量不符的工程数量进行更正，并对其它细目作相应的平衡性调整。</w:t>
            </w:r>
          </w:p>
        </w:tc>
      </w:tr>
      <w:tr w14:paraId="237C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78" w:hRule="atLeast"/>
          <w:jc w:val="center"/>
        </w:trPr>
        <w:tc>
          <w:tcPr>
            <w:tcW w:w="2111" w:type="dxa"/>
            <w:gridSpan w:val="4"/>
            <w:vAlign w:val="center"/>
          </w:tcPr>
          <w:p w14:paraId="618FFCA2">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3.9</w:t>
            </w:r>
          </w:p>
          <w:p w14:paraId="27D83989">
            <w:pPr>
              <w:widowControl/>
              <w:shd w:val="clear" w:fill="FFFFFF" w:themeFill="background1"/>
              <w:spacing w:line="400" w:lineRule="exact"/>
              <w:jc w:val="center"/>
              <w:rPr>
                <w:rFonts w:ascii="宋体" w:hAnsi="宋体" w:cs="宋体"/>
                <w:color w:val="auto"/>
                <w:kern w:val="0"/>
                <w:sz w:val="24"/>
                <w:highlight w:val="none"/>
              </w:rPr>
            </w:pPr>
          </w:p>
        </w:tc>
        <w:tc>
          <w:tcPr>
            <w:tcW w:w="8020" w:type="dxa"/>
            <w:gridSpan w:val="6"/>
          </w:tcPr>
          <w:p w14:paraId="6E80C64D">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增加 3.9.3-3.9.7 项 ：</w:t>
            </w:r>
          </w:p>
          <w:p w14:paraId="19009F2B">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0DDE263F">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3.9.4 通过第一个信封商务及技术文件评审的投标人少于3个的，评标委员会应否决全部投标。</w:t>
            </w:r>
          </w:p>
          <w:p w14:paraId="02B1C8EB">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3.9.5 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5781CF01">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3.9.6 如果发生无法确定推荐中标候选人的其他意外情况，评标委员会可建议招标人重新招标。</w:t>
            </w:r>
          </w:p>
        </w:tc>
      </w:tr>
    </w:tbl>
    <w:p w14:paraId="641EEB55">
      <w:pPr>
        <w:shd w:val="clear" w:fill="FFFFFF" w:themeFill="background1"/>
        <w:rPr>
          <w:color w:val="auto"/>
          <w:highlight w:val="none"/>
        </w:rPr>
      </w:pPr>
    </w:p>
    <w:p w14:paraId="6CFB9140">
      <w:pPr>
        <w:pStyle w:val="5"/>
        <w:shd w:val="clear" w:fill="FFFFFF" w:themeFill="background1"/>
        <w:spacing w:before="156" w:beforeLines="50" w:line="400" w:lineRule="exact"/>
        <w:rPr>
          <w:rFonts w:ascii="宋体" w:hAnsi="宋体"/>
          <w:color w:val="auto"/>
          <w:sz w:val="24"/>
          <w:szCs w:val="24"/>
          <w:highlight w:val="none"/>
        </w:rPr>
      </w:pPr>
      <w:bookmarkStart w:id="247" w:name="_Toc522725722"/>
      <w:bookmarkStart w:id="248" w:name="_Toc234382653"/>
    </w:p>
    <w:bookmarkEnd w:id="247"/>
    <w:bookmarkEnd w:id="248"/>
    <w:p w14:paraId="6BD439A2">
      <w:pPr>
        <w:pStyle w:val="4"/>
        <w:shd w:val="clear" w:fill="FFFFFF" w:themeFill="background1"/>
        <w:rPr>
          <w:color w:val="auto"/>
          <w:highlight w:val="none"/>
        </w:rPr>
      </w:pPr>
      <w:bookmarkStart w:id="249" w:name="_Toc14321"/>
      <w:r>
        <w:rPr>
          <w:rFonts w:hint="eastAsia"/>
          <w:color w:val="auto"/>
          <w:highlight w:val="none"/>
        </w:rPr>
        <w:t>1. 评标方法</w:t>
      </w:r>
      <w:bookmarkEnd w:id="249"/>
    </w:p>
    <w:p w14:paraId="34C15AF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2ADC3F91">
      <w:pPr>
        <w:pStyle w:val="4"/>
        <w:shd w:val="clear" w:fill="FFFFFF" w:themeFill="background1"/>
        <w:rPr>
          <w:color w:val="auto"/>
          <w:highlight w:val="none"/>
        </w:rPr>
      </w:pPr>
      <w:bookmarkStart w:id="250" w:name="_Toc234382654"/>
      <w:bookmarkStart w:id="251" w:name="_Toc32673"/>
      <w:bookmarkStart w:id="252" w:name="_Toc6288"/>
      <w:bookmarkStart w:id="253" w:name="_Toc522725723"/>
      <w:r>
        <w:rPr>
          <w:rFonts w:hint="eastAsia"/>
          <w:color w:val="auto"/>
          <w:highlight w:val="none"/>
        </w:rPr>
        <w:t>2. 评审标准</w:t>
      </w:r>
      <w:bookmarkEnd w:id="250"/>
      <w:bookmarkEnd w:id="251"/>
      <w:bookmarkEnd w:id="252"/>
      <w:bookmarkEnd w:id="253"/>
    </w:p>
    <w:p w14:paraId="520396A6">
      <w:pPr>
        <w:pStyle w:val="71"/>
        <w:numPr>
          <w:ilvl w:val="0"/>
          <w:numId w:val="0"/>
        </w:numPr>
        <w:shd w:val="clear" w:fill="FFFFFF" w:themeFill="background1"/>
        <w:spacing w:line="360" w:lineRule="auto"/>
        <w:rPr>
          <w:rFonts w:ascii="宋体" w:hAnsi="宋体" w:cs="宋体"/>
          <w:color w:val="auto"/>
          <w:highlight w:val="none"/>
        </w:rPr>
      </w:pPr>
      <w:bookmarkStart w:id="254" w:name="_Toc234382655"/>
      <w:bookmarkStart w:id="255" w:name="_Toc522725724"/>
      <w:bookmarkStart w:id="256" w:name="_Toc8478"/>
      <w:bookmarkStart w:id="257" w:name="_Toc7659"/>
      <w:r>
        <w:rPr>
          <w:rFonts w:hint="eastAsia" w:ascii="宋体" w:hAnsi="宋体" w:cs="宋体"/>
          <w:color w:val="auto"/>
          <w:highlight w:val="none"/>
        </w:rPr>
        <w:t>2.1 初步评审标准</w:t>
      </w:r>
      <w:bookmarkEnd w:id="254"/>
      <w:bookmarkEnd w:id="255"/>
      <w:bookmarkEnd w:id="256"/>
      <w:bookmarkEnd w:id="257"/>
    </w:p>
    <w:p w14:paraId="7F3AD39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2.1.1形式评审标准：见评标办法前附表。</w:t>
      </w:r>
    </w:p>
    <w:p w14:paraId="53A29AB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2.1.2资格评审标准：见评标办法前附表。</w:t>
      </w:r>
    </w:p>
    <w:p w14:paraId="17A2AC0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资格评审标准：见资格预审文件第三章“资格审查办法”详细审查标准（适用于已进行资格预审的）。</w:t>
      </w:r>
    </w:p>
    <w:p w14:paraId="307998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2.1.3响应性评审标准：见评标办法前附表。</w:t>
      </w:r>
    </w:p>
    <w:p w14:paraId="1B8D9499">
      <w:pPr>
        <w:pStyle w:val="71"/>
        <w:numPr>
          <w:ilvl w:val="0"/>
          <w:numId w:val="0"/>
        </w:numPr>
        <w:shd w:val="clear" w:fill="FFFFFF" w:themeFill="background1"/>
        <w:spacing w:line="360" w:lineRule="auto"/>
        <w:rPr>
          <w:rFonts w:ascii="宋体" w:hAnsi="宋体" w:cs="宋体"/>
          <w:color w:val="auto"/>
          <w:highlight w:val="none"/>
        </w:rPr>
      </w:pPr>
      <w:bookmarkStart w:id="258" w:name="_Toc522725725"/>
      <w:bookmarkStart w:id="259" w:name="_Toc2995"/>
      <w:bookmarkStart w:id="260" w:name="_Toc234382656"/>
      <w:bookmarkStart w:id="261" w:name="_Toc31918"/>
      <w:r>
        <w:rPr>
          <w:rFonts w:hint="eastAsia" w:ascii="宋体" w:hAnsi="宋体" w:cs="宋体"/>
          <w:color w:val="auto"/>
          <w:highlight w:val="none"/>
        </w:rPr>
        <w:t>2.2 分值构成与评分标准</w:t>
      </w:r>
      <w:bookmarkEnd w:id="258"/>
      <w:bookmarkEnd w:id="259"/>
      <w:bookmarkEnd w:id="260"/>
      <w:bookmarkEnd w:id="261"/>
    </w:p>
    <w:p w14:paraId="4EE2E07D">
      <w:pPr>
        <w:shd w:val="clear" w:fill="FFFFFF" w:themeFill="background1"/>
        <w:spacing w:line="400" w:lineRule="exact"/>
        <w:ind w:firstLine="480" w:firstLineChars="200"/>
        <w:rPr>
          <w:rFonts w:ascii="宋体" w:hAnsi="宋体" w:cs="宋体"/>
          <w:color w:val="auto"/>
          <w:highlight w:val="none"/>
        </w:rPr>
      </w:pPr>
      <w:bookmarkStart w:id="262" w:name="_Toc522725726"/>
      <w:r>
        <w:rPr>
          <w:rFonts w:hint="eastAsia" w:ascii="宋体" w:hAnsi="宋体" w:cs="宋体"/>
          <w:color w:val="auto"/>
          <w:kern w:val="0"/>
          <w:sz w:val="24"/>
          <w:highlight w:val="none"/>
        </w:rPr>
        <w:t>2.2.1 第一个信封</w:t>
      </w:r>
      <w:r>
        <w:rPr>
          <w:rFonts w:hint="eastAsia" w:ascii="宋体" w:hAnsi="宋体" w:cs="宋体"/>
          <w:color w:val="auto"/>
          <w:sz w:val="24"/>
          <w:highlight w:val="none"/>
        </w:rPr>
        <w:t>评分</w:t>
      </w:r>
      <w:r>
        <w:rPr>
          <w:rFonts w:hint="eastAsia" w:ascii="宋体" w:hAnsi="宋体" w:cs="宋体"/>
          <w:color w:val="auto"/>
          <w:kern w:val="0"/>
          <w:sz w:val="24"/>
          <w:highlight w:val="none"/>
        </w:rPr>
        <w:t xml:space="preserve">分值构成 </w:t>
      </w:r>
    </w:p>
    <w:p w14:paraId="176624BA">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（1）施工组织设计：见评标办法前附表； </w:t>
      </w:r>
    </w:p>
    <w:p w14:paraId="74D9622A">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（2）主要人员：见</w:t>
      </w:r>
      <w:r>
        <w:rPr>
          <w:rFonts w:hint="eastAsia" w:ascii="宋体" w:hAnsi="宋体" w:cs="宋体"/>
          <w:color w:val="auto"/>
          <w:sz w:val="24"/>
          <w:highlight w:val="none"/>
        </w:rPr>
        <w:t>评标</w:t>
      </w:r>
      <w:r>
        <w:rPr>
          <w:rFonts w:hint="eastAsia" w:ascii="宋体" w:hAnsi="宋体" w:cs="宋体"/>
          <w:color w:val="auto"/>
          <w:kern w:val="0"/>
          <w:sz w:val="24"/>
          <w:highlight w:val="none"/>
        </w:rPr>
        <w:t xml:space="preserve">办法前附表； </w:t>
      </w:r>
    </w:p>
    <w:p w14:paraId="29B5E178">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（3）其他因素：见评标办法前附表。 </w:t>
      </w:r>
    </w:p>
    <w:p w14:paraId="01BB1997">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2.2.2 第一个信封</w:t>
      </w:r>
      <w:r>
        <w:rPr>
          <w:rFonts w:hint="eastAsia" w:ascii="宋体" w:hAnsi="宋体" w:cs="宋体"/>
          <w:color w:val="auto"/>
          <w:sz w:val="24"/>
          <w:highlight w:val="none"/>
        </w:rPr>
        <w:t>评分</w:t>
      </w:r>
      <w:r>
        <w:rPr>
          <w:rFonts w:hint="eastAsia" w:ascii="宋体" w:hAnsi="宋体" w:cs="宋体"/>
          <w:color w:val="auto"/>
          <w:kern w:val="0"/>
          <w:sz w:val="24"/>
          <w:highlight w:val="none"/>
        </w:rPr>
        <w:t xml:space="preserve">评分标准 </w:t>
      </w:r>
    </w:p>
    <w:p w14:paraId="17E0D104">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（1）施工组织设计评分标准：见评标办法前附表； </w:t>
      </w:r>
    </w:p>
    <w:p w14:paraId="67615E2A">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（2）主要人员评分</w:t>
      </w:r>
      <w:r>
        <w:rPr>
          <w:rFonts w:hint="eastAsia" w:ascii="宋体" w:hAnsi="宋体" w:cs="宋体"/>
          <w:color w:val="auto"/>
          <w:sz w:val="24"/>
          <w:highlight w:val="none"/>
        </w:rPr>
        <w:t>标准</w:t>
      </w:r>
      <w:r>
        <w:rPr>
          <w:rFonts w:hint="eastAsia" w:ascii="宋体" w:hAnsi="宋体" w:cs="宋体"/>
          <w:color w:val="auto"/>
          <w:kern w:val="0"/>
          <w:sz w:val="24"/>
          <w:highlight w:val="none"/>
        </w:rPr>
        <w:t xml:space="preserve">：见评标办法前附表； </w:t>
      </w:r>
    </w:p>
    <w:p w14:paraId="2F65A44F">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（3）其他因素评分标准：见评标办法前附表。 </w:t>
      </w:r>
    </w:p>
    <w:p w14:paraId="0663E55F">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2.2.3 第二个信封详细评审标准：见评标办法前附表。 </w:t>
      </w:r>
    </w:p>
    <w:p w14:paraId="6BCBF75D">
      <w:pPr>
        <w:pStyle w:val="4"/>
        <w:shd w:val="clear" w:fill="FFFFFF" w:themeFill="background1"/>
        <w:rPr>
          <w:color w:val="auto"/>
          <w:highlight w:val="none"/>
        </w:rPr>
      </w:pPr>
      <w:bookmarkStart w:id="263" w:name="_Toc9844"/>
      <w:bookmarkStart w:id="264" w:name="_Toc10149"/>
      <w:r>
        <w:rPr>
          <w:rFonts w:hint="eastAsia"/>
          <w:color w:val="auto"/>
          <w:highlight w:val="none"/>
        </w:rPr>
        <w:t>3. 评标程序</w:t>
      </w:r>
      <w:bookmarkEnd w:id="262"/>
      <w:bookmarkEnd w:id="263"/>
      <w:bookmarkEnd w:id="264"/>
    </w:p>
    <w:p w14:paraId="01B47D03">
      <w:pPr>
        <w:pStyle w:val="71"/>
        <w:numPr>
          <w:ilvl w:val="0"/>
          <w:numId w:val="0"/>
        </w:numPr>
        <w:shd w:val="clear" w:fill="FFFFFF" w:themeFill="background1"/>
        <w:spacing w:line="360" w:lineRule="auto"/>
        <w:rPr>
          <w:rFonts w:ascii="宋体" w:hAnsi="宋体" w:cs="宋体"/>
          <w:color w:val="auto"/>
          <w:highlight w:val="none"/>
        </w:rPr>
      </w:pPr>
      <w:bookmarkStart w:id="265" w:name="_Toc18283"/>
      <w:bookmarkStart w:id="266" w:name="_Toc522725727"/>
      <w:bookmarkStart w:id="267" w:name="_Toc15905"/>
      <w:r>
        <w:rPr>
          <w:rFonts w:hint="eastAsia" w:ascii="宋体" w:hAnsi="宋体" w:cs="宋体"/>
          <w:color w:val="auto"/>
          <w:highlight w:val="none"/>
        </w:rPr>
        <w:t>3.1第一个信封初步评审</w:t>
      </w:r>
      <w:bookmarkEnd w:id="265"/>
      <w:bookmarkEnd w:id="266"/>
      <w:bookmarkEnd w:id="267"/>
    </w:p>
    <w:p w14:paraId="3212CB5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14:paraId="47458C5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 </w:t>
      </w:r>
    </w:p>
    <w:p w14:paraId="773D4485">
      <w:pPr>
        <w:pStyle w:val="71"/>
        <w:numPr>
          <w:ilvl w:val="0"/>
          <w:numId w:val="0"/>
        </w:numPr>
        <w:shd w:val="clear" w:fill="FFFFFF" w:themeFill="background1"/>
        <w:spacing w:line="360" w:lineRule="auto"/>
        <w:rPr>
          <w:rFonts w:ascii="宋体" w:hAnsi="宋体" w:cs="宋体"/>
          <w:color w:val="auto"/>
          <w:highlight w:val="none"/>
        </w:rPr>
      </w:pPr>
      <w:bookmarkStart w:id="268" w:name="_Toc14649"/>
      <w:bookmarkStart w:id="269" w:name="_Toc522725728"/>
    </w:p>
    <w:p w14:paraId="27C51C67">
      <w:pPr>
        <w:pStyle w:val="71"/>
        <w:numPr>
          <w:ilvl w:val="0"/>
          <w:numId w:val="0"/>
        </w:numPr>
        <w:shd w:val="clear" w:fill="FFFFFF" w:themeFill="background1"/>
        <w:spacing w:line="360" w:lineRule="auto"/>
        <w:rPr>
          <w:rFonts w:ascii="宋体" w:hAnsi="宋体" w:cs="宋体"/>
          <w:color w:val="auto"/>
          <w:highlight w:val="none"/>
        </w:rPr>
      </w:pPr>
      <w:bookmarkStart w:id="270" w:name="_Toc17034"/>
      <w:r>
        <w:rPr>
          <w:rFonts w:hint="eastAsia" w:ascii="宋体" w:hAnsi="宋体" w:cs="宋体"/>
          <w:color w:val="auto"/>
          <w:highlight w:val="none"/>
        </w:rPr>
        <w:t>3.2第一个信封详细评审</w:t>
      </w:r>
      <w:bookmarkEnd w:id="268"/>
      <w:bookmarkEnd w:id="270"/>
    </w:p>
    <w:p w14:paraId="48F29AB5">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3.2.1 评标委员会按本章第 2.2 款规定的量化因素和分值进行打分，并计算出各投标人的商务和技术得分。 </w:t>
      </w:r>
    </w:p>
    <w:p w14:paraId="74112DE5">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（1）按本章第 2.2.2 项（1）目规定的评审因素和分值对施工组织设计部分计算出得分 A； </w:t>
      </w:r>
    </w:p>
    <w:p w14:paraId="455BD44E">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（2）按本章第 2.2.2 项（2）目规定的评审因素和分值对主要人员部分计算出得分B； </w:t>
      </w:r>
    </w:p>
    <w:p w14:paraId="50D854CC">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（3）按本章第 2.2.2 项（3）目规定的评审因素和分值对其他因素部分计算出得分C。 </w:t>
      </w:r>
    </w:p>
    <w:p w14:paraId="5749114A">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3.2.2 投标人的商务和技术得分分值计算保留小数点后三位，小数点后第三位“四舍五入”。 </w:t>
      </w:r>
    </w:p>
    <w:p w14:paraId="6F28CFA0">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3.2.3 投标人的商务和技术</w:t>
      </w:r>
      <w:r>
        <w:rPr>
          <w:rFonts w:hint="eastAsia" w:ascii="宋体" w:hAnsi="宋体" w:cs="宋体"/>
          <w:color w:val="auto"/>
          <w:sz w:val="24"/>
          <w:highlight w:val="none"/>
        </w:rPr>
        <w:t>得分</w:t>
      </w:r>
      <w:r>
        <w:rPr>
          <w:rFonts w:hint="eastAsia" w:ascii="宋体" w:hAnsi="宋体" w:cs="宋体"/>
          <w:color w:val="auto"/>
          <w:kern w:val="0"/>
          <w:sz w:val="24"/>
          <w:highlight w:val="none"/>
        </w:rPr>
        <w:t xml:space="preserve">=A+B+C。 </w:t>
      </w:r>
    </w:p>
    <w:p w14:paraId="3D265876">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3.2.4 评标委员会按照投标人的商务和技术得分由高到低排序，排名在评标办法前附表规定数量以内的投标人，其投标</w:t>
      </w:r>
      <w:r>
        <w:rPr>
          <w:rFonts w:hint="eastAsia" w:ascii="宋体" w:hAnsi="宋体" w:cs="宋体"/>
          <w:color w:val="auto"/>
          <w:sz w:val="24"/>
          <w:highlight w:val="none"/>
        </w:rPr>
        <w:t>文件</w:t>
      </w:r>
      <w:r>
        <w:rPr>
          <w:rFonts w:hint="eastAsia" w:ascii="宋体" w:hAnsi="宋体" w:cs="宋体"/>
          <w:color w:val="auto"/>
          <w:kern w:val="0"/>
          <w:sz w:val="24"/>
          <w:highlight w:val="none"/>
        </w:rPr>
        <w:t xml:space="preserve">第一个信封（商务及技术文件）通过详细评审。 </w:t>
      </w:r>
    </w:p>
    <w:p w14:paraId="60AFF099">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cs="宋体"/>
          <w:color w:val="auto"/>
          <w:sz w:val="24"/>
          <w:highlight w:val="none"/>
        </w:rPr>
        <w:t>商务</w:t>
      </w:r>
      <w:r>
        <w:rPr>
          <w:rFonts w:hint="eastAsia" w:ascii="宋体" w:hAnsi="宋体" w:cs="宋体"/>
          <w:color w:val="auto"/>
          <w:kern w:val="0"/>
          <w:sz w:val="24"/>
          <w:highlight w:val="none"/>
        </w:rPr>
        <w:t xml:space="preserve">和技术文件进行评分。 </w:t>
      </w:r>
    </w:p>
    <w:p w14:paraId="022993CF">
      <w:pPr>
        <w:pStyle w:val="71"/>
        <w:numPr>
          <w:ilvl w:val="0"/>
          <w:numId w:val="0"/>
        </w:numPr>
        <w:shd w:val="clear" w:fill="FFFFFF" w:themeFill="background1"/>
        <w:spacing w:line="360" w:lineRule="auto"/>
        <w:rPr>
          <w:rFonts w:ascii="宋体" w:hAnsi="宋体" w:cs="宋体"/>
          <w:color w:val="auto"/>
          <w:highlight w:val="none"/>
        </w:rPr>
      </w:pPr>
      <w:bookmarkStart w:id="271" w:name="_Toc11419"/>
      <w:bookmarkStart w:id="272" w:name="_Toc29616"/>
      <w:r>
        <w:rPr>
          <w:rFonts w:hint="eastAsia" w:ascii="宋体" w:hAnsi="宋体" w:cs="宋体"/>
          <w:color w:val="auto"/>
          <w:highlight w:val="none"/>
        </w:rPr>
        <w:t>3.3 第二个信封开标</w:t>
      </w:r>
      <w:bookmarkEnd w:id="269"/>
      <w:bookmarkEnd w:id="271"/>
      <w:bookmarkEnd w:id="272"/>
    </w:p>
    <w:p w14:paraId="0FDF3E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14:paraId="36274A74">
      <w:pPr>
        <w:pStyle w:val="71"/>
        <w:numPr>
          <w:ilvl w:val="0"/>
          <w:numId w:val="0"/>
        </w:numPr>
        <w:shd w:val="clear" w:fill="FFFFFF" w:themeFill="background1"/>
        <w:spacing w:line="360" w:lineRule="auto"/>
        <w:rPr>
          <w:rFonts w:ascii="宋体" w:hAnsi="宋体" w:cs="宋体"/>
          <w:color w:val="auto"/>
          <w:highlight w:val="none"/>
        </w:rPr>
      </w:pPr>
      <w:bookmarkStart w:id="273" w:name="_Toc522725729"/>
      <w:bookmarkStart w:id="274" w:name="_Toc785"/>
      <w:bookmarkStart w:id="275" w:name="_Toc898"/>
      <w:r>
        <w:rPr>
          <w:rFonts w:hint="eastAsia" w:ascii="宋体" w:hAnsi="宋体" w:cs="宋体"/>
          <w:color w:val="auto"/>
          <w:highlight w:val="none"/>
        </w:rPr>
        <w:t>3.4 第二个信封初步评审</w:t>
      </w:r>
      <w:bookmarkEnd w:id="273"/>
      <w:bookmarkEnd w:id="274"/>
      <w:bookmarkEnd w:id="275"/>
    </w:p>
    <w:p w14:paraId="554C845E">
      <w:pPr>
        <w:shd w:val="clear" w:fill="FFFFFF" w:themeFill="background1"/>
        <w:spacing w:line="400" w:lineRule="exact"/>
        <w:ind w:firstLine="480" w:firstLineChars="200"/>
        <w:rPr>
          <w:rFonts w:ascii="宋体" w:hAnsi="宋体" w:cs="宋体"/>
          <w:color w:val="auto"/>
          <w:kern w:val="0"/>
          <w:sz w:val="24"/>
          <w:highlight w:val="none"/>
        </w:rPr>
      </w:pPr>
      <w:bookmarkStart w:id="276" w:name="_Toc522725730"/>
      <w:r>
        <w:rPr>
          <w:rFonts w:hint="eastAsia" w:ascii="宋体" w:hAnsi="宋体" w:cs="宋体"/>
          <w:color w:val="auto"/>
          <w:kern w:val="0"/>
          <w:sz w:val="24"/>
          <w:highlight w:val="none"/>
        </w:rPr>
        <w:t>3.4.1 评标委员会依据本章第 2.1.1 项、第 2.1.3 项规定的评审标准对投标文件第二个信封（报价文件）进行初步评审。有一项不符合评审标准的，评标委员会应否决其投标。</w:t>
      </w:r>
    </w:p>
    <w:p w14:paraId="0E392FCD">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3.4.2 投标报价有算术错误的，评标委员会按以下原则对投标报价进行修正，修正的价格经投标人书面确认后具有</w:t>
      </w:r>
      <w:r>
        <w:rPr>
          <w:rFonts w:hint="eastAsia" w:ascii="宋体" w:hAnsi="宋体" w:cs="宋体"/>
          <w:color w:val="auto"/>
          <w:sz w:val="24"/>
          <w:highlight w:val="none"/>
        </w:rPr>
        <w:t>约束力</w:t>
      </w:r>
      <w:r>
        <w:rPr>
          <w:rFonts w:hint="eastAsia" w:ascii="宋体" w:hAnsi="宋体" w:cs="宋体"/>
          <w:color w:val="auto"/>
          <w:kern w:val="0"/>
          <w:sz w:val="24"/>
          <w:highlight w:val="none"/>
        </w:rPr>
        <w:t xml:space="preserve">。投标人不接受修正价格的，评标委员会应否决其投标。 </w:t>
      </w:r>
    </w:p>
    <w:p w14:paraId="0B68C82C">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（1）投标文件中的大写金额与小写金额不一致的，以大写金额为准； </w:t>
      </w:r>
    </w:p>
    <w:p w14:paraId="61C03DC2">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（2）总价金额与依据单价计算出的结果不一致的，以单价金额为准修正总价，但单价金额小数点有明显错误的除外； </w:t>
      </w:r>
    </w:p>
    <w:p w14:paraId="1703728E">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（3）当单价与数量相乘不等于合价时，以单价计算为准，如果单价有明显的小数点位置差错，应以标出的合价</w:t>
      </w:r>
      <w:r>
        <w:rPr>
          <w:rFonts w:hint="eastAsia" w:ascii="宋体" w:hAnsi="宋体" w:cs="宋体"/>
          <w:color w:val="auto"/>
          <w:sz w:val="24"/>
          <w:highlight w:val="none"/>
        </w:rPr>
        <w:t>为准</w:t>
      </w:r>
      <w:r>
        <w:rPr>
          <w:rFonts w:hint="eastAsia" w:ascii="宋体" w:hAnsi="宋体" w:cs="宋体"/>
          <w:color w:val="auto"/>
          <w:kern w:val="0"/>
          <w:sz w:val="24"/>
          <w:highlight w:val="none"/>
        </w:rPr>
        <w:t xml:space="preserve">，同时对单价予以修正； </w:t>
      </w:r>
    </w:p>
    <w:p w14:paraId="657CDB78">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（4）当各子目的合价累计不等于总价时，应以各子目合价累计数为准，修正总价。 </w:t>
      </w:r>
    </w:p>
    <w:p w14:paraId="310C6DEC">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3.4.3 工程量清单中的投标报价有其他错误的，评标委员会按以下原则对投标报价进行修正，修正的价格经投标人书面确认后具有约束力。投标人不接受修正价格的，评标委员会应否决其投标。 </w:t>
      </w:r>
    </w:p>
    <w:p w14:paraId="7953C6C7">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（1）在招标人</w:t>
      </w:r>
      <w:r>
        <w:rPr>
          <w:rFonts w:hint="eastAsia" w:ascii="宋体" w:hAnsi="宋体" w:cs="宋体"/>
          <w:color w:val="auto"/>
          <w:sz w:val="24"/>
          <w:highlight w:val="none"/>
        </w:rPr>
        <w:t>给定</w:t>
      </w:r>
      <w:r>
        <w:rPr>
          <w:rFonts w:hint="eastAsia" w:ascii="宋体" w:hAnsi="宋体" w:cs="宋体"/>
          <w:color w:val="auto"/>
          <w:kern w:val="0"/>
          <w:sz w:val="24"/>
          <w:highlight w:val="none"/>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cs="宋体"/>
          <w:color w:val="auto"/>
          <w:sz w:val="24"/>
          <w:highlight w:val="none"/>
        </w:rPr>
        <w:t>内容</w:t>
      </w:r>
      <w:r>
        <w:rPr>
          <w:rFonts w:hint="eastAsia" w:ascii="宋体" w:hAnsi="宋体" w:cs="宋体"/>
          <w:color w:val="auto"/>
          <w:kern w:val="0"/>
          <w:sz w:val="24"/>
          <w:highlight w:val="none"/>
        </w:rPr>
        <w:t xml:space="preserve">视为已含入其他工程子目的单价、合价和总额价之中。 </w:t>
      </w:r>
    </w:p>
    <w:p w14:paraId="72111BB9">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（2）在招标人</w:t>
      </w:r>
      <w:r>
        <w:rPr>
          <w:rFonts w:hint="eastAsia" w:ascii="宋体" w:hAnsi="宋体" w:cs="宋体"/>
          <w:color w:val="auto"/>
          <w:sz w:val="24"/>
          <w:highlight w:val="none"/>
        </w:rPr>
        <w:t>给定</w:t>
      </w:r>
      <w:r>
        <w:rPr>
          <w:rFonts w:hint="eastAsia" w:ascii="宋体" w:hAnsi="宋体" w:cs="宋体"/>
          <w:color w:val="auto"/>
          <w:kern w:val="0"/>
          <w:sz w:val="24"/>
          <w:highlight w:val="none"/>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14:paraId="6F70AFC5">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（3）当单价与数量的乘积与合价（金额）虽然一致，但投标人修改了该子目的工程数量，则其合价按招标人给定的工程数量乘以投标人所报单价予以修正。 </w:t>
      </w:r>
    </w:p>
    <w:p w14:paraId="0BB06C06">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3.4.4 修正后的最终投标</w:t>
      </w:r>
      <w:r>
        <w:rPr>
          <w:rFonts w:hint="eastAsia" w:ascii="宋体" w:hAnsi="宋体" w:cs="宋体"/>
          <w:color w:val="auto"/>
          <w:sz w:val="24"/>
          <w:highlight w:val="none"/>
        </w:rPr>
        <w:t>报价</w:t>
      </w:r>
      <w:r>
        <w:rPr>
          <w:rFonts w:hint="eastAsia" w:ascii="宋体" w:hAnsi="宋体" w:cs="宋体"/>
          <w:color w:val="auto"/>
          <w:kern w:val="0"/>
          <w:sz w:val="24"/>
          <w:highlight w:val="none"/>
        </w:rPr>
        <w:t xml:space="preserve">若超过最高投标限价（如有），评标委员会应否决其投标。 </w:t>
      </w:r>
    </w:p>
    <w:p w14:paraId="24F6400E">
      <w:pPr>
        <w:pStyle w:val="71"/>
        <w:numPr>
          <w:ilvl w:val="0"/>
          <w:numId w:val="0"/>
        </w:numPr>
        <w:shd w:val="clear" w:fill="FFFFFF" w:themeFill="background1"/>
        <w:spacing w:line="360" w:lineRule="auto"/>
        <w:rPr>
          <w:rFonts w:ascii="宋体" w:hAnsi="宋体" w:cs="宋体"/>
          <w:color w:val="auto"/>
          <w:highlight w:val="none"/>
        </w:rPr>
      </w:pPr>
      <w:bookmarkStart w:id="277" w:name="_Toc4770"/>
      <w:bookmarkStart w:id="278" w:name="_Toc2394"/>
      <w:r>
        <w:rPr>
          <w:rFonts w:hint="eastAsia" w:ascii="宋体" w:hAnsi="宋体" w:cs="宋体"/>
          <w:color w:val="auto"/>
          <w:highlight w:val="none"/>
        </w:rPr>
        <w:t>3.5 第二个信封详细评审</w:t>
      </w:r>
      <w:bookmarkEnd w:id="276"/>
      <w:bookmarkEnd w:id="277"/>
      <w:bookmarkEnd w:id="278"/>
    </w:p>
    <w:p w14:paraId="485E8A9E">
      <w:pPr>
        <w:shd w:val="clear" w:fill="FFFFFF" w:themeFill="background1"/>
        <w:spacing w:line="400" w:lineRule="exact"/>
        <w:ind w:firstLine="480" w:firstLineChars="200"/>
        <w:rPr>
          <w:rFonts w:ascii="宋体" w:hAnsi="宋体" w:cs="宋体"/>
          <w:color w:val="auto"/>
          <w:highlight w:val="none"/>
        </w:rPr>
      </w:pPr>
      <w:bookmarkStart w:id="279" w:name="_Toc522725731"/>
      <w:r>
        <w:rPr>
          <w:rFonts w:hint="eastAsia" w:ascii="宋体" w:hAnsi="宋体" w:cs="宋体"/>
          <w:color w:val="auto"/>
          <w:kern w:val="0"/>
          <w:sz w:val="24"/>
          <w:highlight w:val="none"/>
        </w:rPr>
        <w:t xml:space="preserve">3.5.1 评标委员会按本章第 2.2 款规定的量化因素和标准进行价格折算，计算出评标价，并编制价格比较一览表。 </w:t>
      </w:r>
    </w:p>
    <w:p w14:paraId="2ED67CA9">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14:paraId="5C090B11">
      <w:pPr>
        <w:pStyle w:val="71"/>
        <w:numPr>
          <w:ilvl w:val="0"/>
          <w:numId w:val="0"/>
        </w:numPr>
        <w:shd w:val="clear" w:fill="FFFFFF" w:themeFill="background1"/>
        <w:spacing w:line="360" w:lineRule="auto"/>
        <w:rPr>
          <w:rFonts w:ascii="宋体" w:hAnsi="宋体" w:cs="宋体"/>
          <w:color w:val="auto"/>
          <w:highlight w:val="none"/>
        </w:rPr>
      </w:pPr>
      <w:bookmarkStart w:id="280" w:name="_Toc30786"/>
      <w:bookmarkStart w:id="281" w:name="_Toc16154"/>
      <w:r>
        <w:rPr>
          <w:rFonts w:hint="eastAsia" w:ascii="宋体" w:hAnsi="宋体" w:cs="宋体"/>
          <w:color w:val="auto"/>
          <w:highlight w:val="none"/>
        </w:rPr>
        <w:t>3.6 投标文件相关信息的核查</w:t>
      </w:r>
      <w:bookmarkEnd w:id="279"/>
      <w:bookmarkEnd w:id="280"/>
      <w:bookmarkEnd w:id="281"/>
    </w:p>
    <w:p w14:paraId="6BF621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 在评标过程中，评标委员会应査询交通运输主管部门“全国公路建设市场监督管理系统”，对投标人的资质、业绩、主要人员资历和目前在岗情况、信用等级等信息进行核实。若投标文件载明的信息与交通运输主管部门“全国公路建设市场监督管理系统”公布的信息不符，使得投标人的资格条件不符合招标文件规定的，评标委员会应否决其投标。</w:t>
      </w:r>
    </w:p>
    <w:p w14:paraId="243476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5D1E80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（1）有下列情形之一的，属于投标人相互串通投标：</w:t>
      </w:r>
    </w:p>
    <w:p w14:paraId="53C27F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a.投标人之间协商投标报价等投标文件的实质性内容；</w:t>
      </w:r>
    </w:p>
    <w:p w14:paraId="2B711B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b.投标人之间约定中标人；</w:t>
      </w:r>
    </w:p>
    <w:p w14:paraId="160FFF6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c.投标人之间约定部分投标人放弃投标或中标；</w:t>
      </w:r>
    </w:p>
    <w:p w14:paraId="6C76CAE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d.属于同一集团、协会、商会等组织成员的投标人按照该组织要求协同投标；</w:t>
      </w:r>
    </w:p>
    <w:p w14:paraId="6D93F8B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e.投标人之间为谋取中标或排斥特定投标人而采取的其他联合行动。</w:t>
      </w:r>
    </w:p>
    <w:p w14:paraId="56301B6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（2）有下列情形之一的，视为投标人相互串通投标：</w:t>
      </w:r>
    </w:p>
    <w:p w14:paraId="65892FE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a.不同投标人的投标文件由同一单位或个人编制；</w:t>
      </w:r>
    </w:p>
    <w:p w14:paraId="185B672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b.不同投标人委托同一单位或个人办理投标事宜；</w:t>
      </w:r>
    </w:p>
    <w:p w14:paraId="71FBCA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c.不同投标人的投标文件载明的项目管理成员为同一人；</w:t>
      </w:r>
    </w:p>
    <w:p w14:paraId="6941725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d.不同投标人的投标文件异常一致或投标报价呈规律性差异；</w:t>
      </w:r>
    </w:p>
    <w:p w14:paraId="0A8B0B5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e.不同投标人的投标文件相互混装；</w:t>
      </w:r>
    </w:p>
    <w:p w14:paraId="5A49595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f.不同投标人的投标保证金从同一单位或个人的账户转出。</w:t>
      </w:r>
    </w:p>
    <w:p w14:paraId="4227E7B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（3）有下列情形之一的，属于招标人与投标人串通投标：</w:t>
      </w:r>
    </w:p>
    <w:p w14:paraId="344838F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a.招标人在开标前开启投标文件并将有关信息泄露给其他投标人；</w:t>
      </w:r>
    </w:p>
    <w:p w14:paraId="0080C1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b.招标人直接或间接向投标人泄露标底、评标委员会成员等信息；</w:t>
      </w:r>
    </w:p>
    <w:p w14:paraId="00E5FBB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c.招标人明示或暗示投标人压低或抬高投标报价；</w:t>
      </w:r>
    </w:p>
    <w:p w14:paraId="58236E1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d.招标人授意投标人撤換、修改投标文件；</w:t>
      </w:r>
    </w:p>
    <w:p w14:paraId="77CC90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e.招标人明示或暗示投标人为特定投标人中标提供方便；</w:t>
      </w:r>
    </w:p>
    <w:p w14:paraId="2ACDE25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f.招标人与投标人为谋求特定投标人中标而采取的其他串通行为。</w:t>
      </w:r>
    </w:p>
    <w:p w14:paraId="14BBF0A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（4）投标人有下列情形之一的，属于弄虚作假的行为： </w:t>
      </w:r>
    </w:p>
    <w:p w14:paraId="00869A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a.使用通过受让或租借等方式获取的资格、资质证书投标； </w:t>
      </w:r>
    </w:p>
    <w:p w14:paraId="004EB58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b.使用伪造、变造的许可证件；</w:t>
      </w:r>
    </w:p>
    <w:p w14:paraId="48DA6C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c.提供虚假的财务状况或业绩；</w:t>
      </w:r>
    </w:p>
    <w:p w14:paraId="77E4DE0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d.提供虚假的项目负责人或主要技术人员简历、劳动关系证明；</w:t>
      </w:r>
    </w:p>
    <w:p w14:paraId="2664C72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e.提供虚假的信用状况；</w:t>
      </w:r>
    </w:p>
    <w:p w14:paraId="320B84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f.具他弄虚作假的行为。</w:t>
      </w:r>
    </w:p>
    <w:p w14:paraId="14D62737">
      <w:pPr>
        <w:pStyle w:val="71"/>
        <w:numPr>
          <w:ilvl w:val="0"/>
          <w:numId w:val="0"/>
        </w:numPr>
        <w:shd w:val="clear" w:fill="FFFFFF" w:themeFill="background1"/>
        <w:spacing w:line="360" w:lineRule="auto"/>
        <w:rPr>
          <w:rFonts w:ascii="宋体" w:hAnsi="宋体" w:cs="宋体"/>
          <w:color w:val="auto"/>
          <w:highlight w:val="none"/>
        </w:rPr>
      </w:pPr>
      <w:bookmarkStart w:id="282" w:name="_Toc522725732"/>
      <w:bookmarkStart w:id="283" w:name="_Toc21295"/>
      <w:bookmarkStart w:id="284" w:name="_Toc25115"/>
      <w:r>
        <w:rPr>
          <w:rFonts w:hint="eastAsia" w:ascii="宋体" w:hAnsi="宋体" w:cs="宋体"/>
          <w:color w:val="auto"/>
          <w:highlight w:val="none"/>
        </w:rPr>
        <w:t>3.7 投标文件的澄清和说明</w:t>
      </w:r>
      <w:bookmarkEnd w:id="282"/>
      <w:bookmarkEnd w:id="283"/>
      <w:bookmarkEnd w:id="284"/>
    </w:p>
    <w:p w14:paraId="29D443B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1A350B3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 澄清和说明不得超出投标文件的范围或改变招标文件的实质性内容（算术性错误修正的除外）。投标人的书面澄清、说明属于投标文件的组成部分。</w:t>
      </w:r>
    </w:p>
    <w:p w14:paraId="5461C80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3.7.3 评标委员会不得暗示或诱导投标人作出澄清、说明，对投标人提交的澄清、说明有疑问的，可以要求投标人进一步澄清或说明，直至满足评标委员会的要求。</w:t>
      </w:r>
    </w:p>
    <w:p w14:paraId="2061282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3.7.4 凡超出招标文件规定的或给发包人带来未曾要求的利益的变化、偏差或其他因素在评标时不予考虑。</w:t>
      </w:r>
    </w:p>
    <w:p w14:paraId="362FDBEC">
      <w:pPr>
        <w:pStyle w:val="71"/>
        <w:numPr>
          <w:ilvl w:val="0"/>
          <w:numId w:val="0"/>
        </w:numPr>
        <w:shd w:val="clear" w:fill="FFFFFF" w:themeFill="background1"/>
        <w:spacing w:line="360" w:lineRule="auto"/>
        <w:rPr>
          <w:rFonts w:ascii="宋体" w:hAnsi="宋体" w:cs="宋体"/>
          <w:color w:val="auto"/>
          <w:highlight w:val="none"/>
        </w:rPr>
      </w:pPr>
      <w:bookmarkStart w:id="285" w:name="_Toc3411"/>
      <w:bookmarkStart w:id="286" w:name="_Toc5475"/>
      <w:bookmarkStart w:id="287" w:name="_Toc522725733"/>
      <w:r>
        <w:rPr>
          <w:rFonts w:hint="eastAsia" w:ascii="宋体" w:hAnsi="宋体" w:cs="宋体"/>
          <w:color w:val="auto"/>
          <w:highlight w:val="none"/>
        </w:rPr>
        <w:t>3.8 不得否决投标的情形</w:t>
      </w:r>
      <w:bookmarkEnd w:id="285"/>
      <w:bookmarkEnd w:id="286"/>
      <w:bookmarkEnd w:id="287"/>
    </w:p>
    <w:p w14:paraId="3B09641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投标文件存在第二章“投标人须知”第1.12.3项所列情形的，均视为细微偏差，评标委员会不得否决投标人的投标， 应按照第二章“投标人须知”第1.12.4项规定的原则处理。</w:t>
      </w:r>
    </w:p>
    <w:p w14:paraId="5E620849">
      <w:pPr>
        <w:pStyle w:val="71"/>
        <w:numPr>
          <w:ilvl w:val="0"/>
          <w:numId w:val="0"/>
        </w:numPr>
        <w:shd w:val="clear" w:fill="FFFFFF" w:themeFill="background1"/>
        <w:spacing w:line="360" w:lineRule="auto"/>
        <w:rPr>
          <w:rFonts w:ascii="宋体" w:hAnsi="宋体" w:cs="宋体"/>
          <w:color w:val="auto"/>
          <w:highlight w:val="none"/>
        </w:rPr>
      </w:pPr>
      <w:bookmarkStart w:id="288" w:name="_Toc14369"/>
      <w:bookmarkStart w:id="289" w:name="_Toc522725734"/>
      <w:bookmarkStart w:id="290" w:name="_Toc26258"/>
      <w:r>
        <w:rPr>
          <w:rFonts w:hint="eastAsia" w:ascii="宋体" w:hAnsi="宋体" w:cs="宋体"/>
          <w:color w:val="auto"/>
          <w:highlight w:val="none"/>
        </w:rPr>
        <w:t>3.9 评标结果</w:t>
      </w:r>
      <w:bookmarkEnd w:id="288"/>
      <w:bookmarkEnd w:id="289"/>
      <w:bookmarkEnd w:id="290"/>
    </w:p>
    <w:p w14:paraId="2160D39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3.9.1除第二章“投标人须知”前附表授权直接确定中标人外，评标委员会按照得分由高到低的顺序推荐中标候选人，并标明排序。</w:t>
      </w:r>
    </w:p>
    <w:p w14:paraId="4700220D">
      <w:pPr>
        <w:pStyle w:val="55"/>
        <w:shd w:val="clear" w:fill="FFFFFF" w:themeFill="background1"/>
        <w:rPr>
          <w:color w:val="auto"/>
          <w:highlight w:val="none"/>
        </w:rPr>
      </w:pPr>
      <w:r>
        <w:rPr>
          <w:rFonts w:hint="eastAsia" w:ascii="宋体" w:hAnsi="宋体" w:cs="宋体"/>
          <w:color w:val="auto"/>
          <w:sz w:val="24"/>
          <w:highlight w:val="none"/>
        </w:rPr>
        <w:t>3.9.2 评标委员会完成评标后，应向招标人提交书面评标报告。</w:t>
      </w:r>
    </w:p>
    <w:p w14:paraId="69FE4F38">
      <w:pPr>
        <w:shd w:val="clear" w:fill="FFFFFF" w:themeFill="background1"/>
        <w:rPr>
          <w:rFonts w:ascii="宋体" w:hAnsi="宋体"/>
          <w:color w:val="auto"/>
          <w:highlight w:val="none"/>
        </w:rPr>
      </w:pPr>
      <w:r>
        <w:rPr>
          <w:rFonts w:ascii="宋体" w:hAnsi="宋体"/>
          <w:color w:val="auto"/>
          <w:highlight w:val="none"/>
        </w:rPr>
        <w:br w:type="page"/>
      </w:r>
    </w:p>
    <w:p w14:paraId="5FB584CD">
      <w:pPr>
        <w:shd w:val="clear" w:fill="FFFFFF" w:themeFill="background1"/>
        <w:adjustRightInd w:val="0"/>
        <w:snapToGrid w:val="0"/>
        <w:spacing w:line="360" w:lineRule="auto"/>
        <w:rPr>
          <w:rFonts w:ascii="宋体" w:hAnsi="宋体"/>
          <w:color w:val="auto"/>
          <w:highlight w:val="none"/>
        </w:rPr>
      </w:pPr>
    </w:p>
    <w:p w14:paraId="69B78FFA">
      <w:pPr>
        <w:shd w:val="clear" w:fill="FFFFFF" w:themeFill="background1"/>
        <w:adjustRightInd w:val="0"/>
        <w:snapToGrid w:val="0"/>
        <w:spacing w:line="360" w:lineRule="auto"/>
        <w:ind w:firstLine="420" w:firstLineChars="200"/>
        <w:rPr>
          <w:rFonts w:ascii="宋体" w:hAnsi="宋体"/>
          <w:color w:val="auto"/>
          <w:highlight w:val="none"/>
        </w:rPr>
      </w:pPr>
    </w:p>
    <w:p w14:paraId="7BAFE983">
      <w:pPr>
        <w:shd w:val="clear" w:fill="FFFFFF" w:themeFill="background1"/>
        <w:adjustRightInd w:val="0"/>
        <w:snapToGrid w:val="0"/>
        <w:spacing w:line="360" w:lineRule="auto"/>
        <w:ind w:firstLine="420" w:firstLineChars="200"/>
        <w:rPr>
          <w:rFonts w:ascii="宋体" w:hAnsi="宋体"/>
          <w:color w:val="auto"/>
          <w:highlight w:val="none"/>
        </w:rPr>
      </w:pPr>
    </w:p>
    <w:p w14:paraId="45CCD981">
      <w:pPr>
        <w:pStyle w:val="3"/>
        <w:shd w:val="clear" w:fill="FFFFFF" w:themeFill="background1"/>
        <w:jc w:val="center"/>
        <w:rPr>
          <w:color w:val="auto"/>
          <w:highlight w:val="none"/>
        </w:rPr>
      </w:pPr>
      <w:bookmarkStart w:id="291" w:name="_Toc43475747"/>
    </w:p>
    <w:p w14:paraId="3F7EE791">
      <w:pPr>
        <w:pStyle w:val="3"/>
        <w:shd w:val="clear" w:fill="FFFFFF" w:themeFill="background1"/>
        <w:jc w:val="center"/>
        <w:rPr>
          <w:color w:val="auto"/>
          <w:highlight w:val="none"/>
        </w:rPr>
      </w:pPr>
    </w:p>
    <w:p w14:paraId="320E8894">
      <w:pPr>
        <w:pStyle w:val="3"/>
        <w:shd w:val="clear" w:fill="FFFFFF" w:themeFill="background1"/>
        <w:jc w:val="center"/>
        <w:rPr>
          <w:color w:val="auto"/>
          <w:highlight w:val="none"/>
        </w:rPr>
      </w:pPr>
    </w:p>
    <w:p w14:paraId="6CD5D9EE">
      <w:pPr>
        <w:pStyle w:val="3"/>
        <w:shd w:val="clear" w:fill="FFFFFF" w:themeFill="background1"/>
        <w:jc w:val="center"/>
        <w:rPr>
          <w:color w:val="auto"/>
          <w:highlight w:val="none"/>
        </w:rPr>
      </w:pPr>
    </w:p>
    <w:bookmarkEnd w:id="291"/>
    <w:p w14:paraId="06B8F6DD">
      <w:pPr>
        <w:pStyle w:val="3"/>
        <w:shd w:val="clear" w:fill="FFFFFF" w:themeFill="background1"/>
        <w:jc w:val="center"/>
        <w:rPr>
          <w:color w:val="auto"/>
          <w:highlight w:val="none"/>
        </w:rPr>
      </w:pPr>
      <w:r>
        <w:rPr>
          <w:rFonts w:hint="eastAsia"/>
          <w:color w:val="auto"/>
          <w:highlight w:val="none"/>
        </w:rPr>
        <w:t>第四章合同条款及格式</w:t>
      </w:r>
    </w:p>
    <w:p w14:paraId="4DF7D03E">
      <w:pPr>
        <w:shd w:val="clear" w:fill="FFFFFF" w:themeFill="background1"/>
        <w:jc w:val="center"/>
        <w:rPr>
          <w:rFonts w:ascii="宋体" w:hAnsi="宋体"/>
          <w:color w:val="auto"/>
          <w:sz w:val="72"/>
          <w:szCs w:val="72"/>
          <w:highlight w:val="none"/>
        </w:rPr>
      </w:pPr>
      <w:r>
        <w:rPr>
          <w:rFonts w:hint="eastAsia" w:ascii="宋体" w:hAnsi="宋体"/>
          <w:color w:val="auto"/>
          <w:sz w:val="72"/>
          <w:szCs w:val="72"/>
          <w:highlight w:val="none"/>
        </w:rPr>
        <w:br w:type="page"/>
      </w:r>
    </w:p>
    <w:p w14:paraId="54782E71">
      <w:pPr>
        <w:pStyle w:val="4"/>
        <w:shd w:val="clear" w:fill="FFFFFF" w:themeFill="background1"/>
        <w:spacing w:after="120" w:line="240" w:lineRule="auto"/>
        <w:jc w:val="center"/>
        <w:rPr>
          <w:rFonts w:ascii="宋体" w:hAnsi="宋体"/>
          <w:color w:val="auto"/>
          <w:highlight w:val="none"/>
        </w:rPr>
      </w:pPr>
      <w:bookmarkStart w:id="292" w:name="_Toc43475748"/>
      <w:bookmarkEnd w:id="292"/>
      <w:bookmarkStart w:id="293" w:name="_Toc26318"/>
      <w:bookmarkEnd w:id="293"/>
      <w:bookmarkStart w:id="294" w:name="_Toc505844394"/>
      <w:bookmarkEnd w:id="294"/>
      <w:r>
        <w:rPr>
          <w:rFonts w:hint="eastAsia" w:ascii="宋体" w:hAnsi="宋体"/>
          <w:color w:val="auto"/>
          <w:sz w:val="44"/>
          <w:szCs w:val="44"/>
          <w:highlight w:val="none"/>
        </w:rPr>
        <w:t>第一节通用合同条款</w:t>
      </w:r>
    </w:p>
    <w:p w14:paraId="5BD8B825">
      <w:pPr>
        <w:spacing w:line="400" w:lineRule="exact"/>
        <w:jc w:val="center"/>
        <w:rPr>
          <w:rFonts w:ascii="宋体" w:cs="宋体"/>
          <w:color w:val="auto"/>
          <w:highlight w:val="none"/>
        </w:rPr>
      </w:pPr>
      <w:r>
        <w:rPr>
          <w:rFonts w:hint="eastAsia" w:ascii="宋体" w:hAnsi="宋体" w:cs="宋体"/>
          <w:color w:val="auto"/>
          <w:highlight w:val="none"/>
        </w:rPr>
        <w:t>（通用合同条款的内容与《中华人民共和国交通运输部公路工程标准施工招标文件》（</w:t>
      </w:r>
      <w:r>
        <w:rPr>
          <w:rFonts w:hint="eastAsia" w:ascii="宋体" w:hAnsi="宋体" w:cs="宋体"/>
          <w:color w:val="auto"/>
          <w:highlight w:val="none"/>
          <w:lang w:val="en-US" w:eastAsia="zh-CN"/>
        </w:rPr>
        <w:t>2023</w:t>
      </w:r>
      <w:r>
        <w:rPr>
          <w:rFonts w:hint="eastAsia" w:ascii="宋体" w:hAnsi="宋体" w:cs="宋体"/>
          <w:color w:val="auto"/>
          <w:highlight w:val="none"/>
        </w:rPr>
        <w:t>年版）不一致时，以《中华人民共和国交通运输部公路工程标准施工招标文件》（</w:t>
      </w:r>
      <w:r>
        <w:rPr>
          <w:rFonts w:hint="eastAsia" w:ascii="宋体" w:hAnsi="宋体" w:cs="宋体"/>
          <w:color w:val="auto"/>
          <w:highlight w:val="none"/>
          <w:lang w:val="en-US" w:eastAsia="zh-CN"/>
        </w:rPr>
        <w:t>2023</w:t>
      </w:r>
      <w:r>
        <w:rPr>
          <w:rFonts w:hint="eastAsia" w:ascii="宋体" w:hAnsi="宋体" w:cs="宋体"/>
          <w:color w:val="auto"/>
          <w:highlight w:val="none"/>
        </w:rPr>
        <w:t>年版）为准）</w:t>
      </w:r>
    </w:p>
    <w:p w14:paraId="28B88FAD">
      <w:pPr>
        <w:shd w:val="clear" w:fill="FFFFFF" w:themeFill="background1"/>
        <w:spacing w:line="400" w:lineRule="exact"/>
        <w:jc w:val="center"/>
        <w:rPr>
          <w:rFonts w:ascii="宋体" w:hAnsi="宋体" w:cs="宋体"/>
          <w:color w:val="auto"/>
          <w:sz w:val="30"/>
          <w:szCs w:val="30"/>
          <w:highlight w:val="none"/>
        </w:rPr>
      </w:pPr>
    </w:p>
    <w:p w14:paraId="3845FD93">
      <w:pPr>
        <w:shd w:val="clear" w:fill="FFFFFF" w:themeFill="background1"/>
        <w:spacing w:before="240" w:line="40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通用合同条款</w:t>
      </w:r>
    </w:p>
    <w:p w14:paraId="7A3ACB72">
      <w:pPr>
        <w:pStyle w:val="78"/>
        <w:shd w:val="clear" w:fill="FFFFFF" w:themeFill="background1"/>
        <w:rPr>
          <w:rFonts w:ascii="宋体" w:hAnsi="宋体"/>
          <w:color w:val="auto"/>
          <w:sz w:val="24"/>
          <w:szCs w:val="24"/>
          <w:highlight w:val="none"/>
        </w:rPr>
      </w:pPr>
      <w:bookmarkStart w:id="295" w:name="_Toc386467021"/>
      <w:bookmarkEnd w:id="295"/>
      <w:bookmarkStart w:id="296" w:name="_Toc330406216"/>
      <w:bookmarkEnd w:id="296"/>
      <w:bookmarkStart w:id="297" w:name="_Toc43475749"/>
      <w:bookmarkEnd w:id="297"/>
      <w:bookmarkStart w:id="298" w:name="_Toc179632629"/>
      <w:bookmarkEnd w:id="298"/>
      <w:bookmarkStart w:id="299" w:name="_Toc152045611"/>
      <w:bookmarkEnd w:id="299"/>
      <w:bookmarkStart w:id="300" w:name="_Toc393546275"/>
      <w:bookmarkEnd w:id="300"/>
      <w:bookmarkStart w:id="301" w:name="_Toc152042389"/>
      <w:bookmarkEnd w:id="301"/>
      <w:bookmarkStart w:id="302" w:name="_Toc144974579"/>
      <w:bookmarkEnd w:id="302"/>
      <w:r>
        <w:rPr>
          <w:rFonts w:hint="eastAsia" w:ascii="宋体" w:hAnsi="宋体"/>
          <w:color w:val="auto"/>
          <w:sz w:val="24"/>
          <w:szCs w:val="24"/>
          <w:highlight w:val="none"/>
        </w:rPr>
        <w:t>1. 一般约定</w:t>
      </w:r>
    </w:p>
    <w:p w14:paraId="5AFE5A8B">
      <w:pPr>
        <w:pStyle w:val="67"/>
        <w:shd w:val="clear" w:fill="FFFFFF" w:themeFill="background1"/>
        <w:ind w:firstLine="118"/>
        <w:rPr>
          <w:rFonts w:ascii="宋体" w:eastAsia="宋体"/>
          <w:b/>
          <w:bCs/>
          <w:color w:val="auto"/>
          <w:szCs w:val="24"/>
          <w:highlight w:val="none"/>
        </w:rPr>
      </w:pPr>
      <w:bookmarkStart w:id="303" w:name="_Toc43475750"/>
      <w:bookmarkEnd w:id="303"/>
      <w:bookmarkStart w:id="304" w:name="_Toc393546276"/>
      <w:bookmarkEnd w:id="304"/>
      <w:bookmarkStart w:id="305" w:name="_Toc386467022"/>
      <w:bookmarkEnd w:id="305"/>
      <w:r>
        <w:rPr>
          <w:rFonts w:hint="eastAsia" w:ascii="宋体" w:eastAsia="宋体"/>
          <w:b/>
          <w:bCs/>
          <w:color w:val="auto"/>
          <w:szCs w:val="24"/>
          <w:highlight w:val="none"/>
        </w:rPr>
        <w:t>1.1 词语定义</w:t>
      </w:r>
    </w:p>
    <w:p w14:paraId="446D3DA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通用合同条款、专用合同条款中的下列词语应具有本款所赋予的含义。</w:t>
      </w:r>
    </w:p>
    <w:p w14:paraId="34EBFD90">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1.1.1 合同</w:t>
      </w:r>
    </w:p>
    <w:p w14:paraId="036724F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1.1.1.1 合同文件（或称合同）：指合同协议书、中标通知书、投标函及投标函附录、专用合同条款、通用合同条款、技术标准和要求、图纸、已标价工程量清单，以及其他合同文件。</w:t>
      </w:r>
    </w:p>
    <w:p w14:paraId="669983F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1.1.1.2 合同协议书：指第1.5款所指的合同协议书。</w:t>
      </w:r>
    </w:p>
    <w:p w14:paraId="4E46E91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1.1.1.3 中标通知书：指发包人通知承包人中标的函件。</w:t>
      </w:r>
    </w:p>
    <w:p w14:paraId="109C711B">
      <w:pPr>
        <w:shd w:val="clear" w:fill="FFFFFF" w:themeFill="background1"/>
        <w:spacing w:line="400" w:lineRule="exact"/>
        <w:ind w:firstLine="820" w:firstLineChars="342"/>
        <w:rPr>
          <w:rFonts w:ascii="宋体" w:hAnsi="宋体" w:cs="宋体"/>
          <w:dstrike/>
          <w:color w:val="auto"/>
          <w:sz w:val="24"/>
          <w:highlight w:val="none"/>
        </w:rPr>
      </w:pPr>
      <w:r>
        <w:rPr>
          <w:rFonts w:hint="eastAsia" w:ascii="宋体" w:hAnsi="宋体" w:cs="宋体"/>
          <w:color w:val="auto"/>
          <w:sz w:val="24"/>
          <w:highlight w:val="none"/>
        </w:rPr>
        <w:t>1.1.1.4 投标函：指构成合同文件组成部分的由承包人填写并签署的投标函。</w:t>
      </w:r>
    </w:p>
    <w:p w14:paraId="448233F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1.1.1.5 投标函附录：指附在投标函后构成合同文件的投标函附录。</w:t>
      </w:r>
    </w:p>
    <w:p w14:paraId="1254723A">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1.1.1.6 技术标准和要求：指构成合同文件组成部分的名为技术标准和要求的文件，包括合同双方当事人约定对其所作的修改或补充。</w:t>
      </w:r>
    </w:p>
    <w:p w14:paraId="4E4742A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1.1.1.7图纸：指包含在合同中的工程图纸，以及由发包人按合同约定提供的任何补充和修改的图纸，包括配套的说明。</w:t>
      </w:r>
    </w:p>
    <w:p w14:paraId="0F52BE0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1.1.1.8 已标价工程量清单：指构成合同文件组成部分的由承包人按照规定的格式和要求填写并标明价格的工程量清单。</w:t>
      </w:r>
    </w:p>
    <w:p w14:paraId="6E9AE93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1.1.1.9 其他合同文件：指经合同双方当事人确认构成合同文件的其他文件。</w:t>
      </w:r>
    </w:p>
    <w:p w14:paraId="31B61F19">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1.1.2 合同当事人和人员</w:t>
      </w:r>
    </w:p>
    <w:p w14:paraId="3F0ED0E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1.1.2.1 合同当事人：指发包人和（或）承包人。</w:t>
      </w:r>
    </w:p>
    <w:p w14:paraId="0CE1F84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1.1.2.2 发包人：指专用合同条款中指明并与承包人在合同协议书中签字的当事人。</w:t>
      </w:r>
    </w:p>
    <w:p w14:paraId="4A20E1F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1.1.2.3 承包人：指与发包人签订合同协议书的当事人。</w:t>
      </w:r>
    </w:p>
    <w:p w14:paraId="2C3D3BA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1.1.2.4 承包人项目经理：指承包人派驻施工场地的全权负责人。</w:t>
      </w:r>
    </w:p>
    <w:p w14:paraId="497953E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1.1.2.5 分包人：指从承包人处分包合同中某一部分工程，并与其签订分包合同的分包人。</w:t>
      </w:r>
    </w:p>
    <w:p w14:paraId="02CB078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1.1.2.6 监理人：指在专用合同条款中指明的，受发包人委托对合同履行实施管理的法人或其他组织。</w:t>
      </w:r>
    </w:p>
    <w:p w14:paraId="1FB8E9E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1.1.2.7 总监理工程师（总监）：指由监理人委派常驻施工场地对合同履行实施管理的全权负责人。</w:t>
      </w:r>
    </w:p>
    <w:p w14:paraId="5792C519">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1.1.3 工程和设备</w:t>
      </w:r>
    </w:p>
    <w:p w14:paraId="4BFAA41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 工程：指永久工程和（或）临时工程。</w:t>
      </w:r>
    </w:p>
    <w:p w14:paraId="6C4BB5B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1.1.3.2 永久工程：指按合同约定建造并移交给发包人的工程，包括工程设备。</w:t>
      </w:r>
    </w:p>
    <w:p w14:paraId="693BAD6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1.1.3.3 临时工程：指为完成合同约定的永久工程所修建的各类临时性工程，不包括施工设备。</w:t>
      </w:r>
    </w:p>
    <w:p w14:paraId="4A25091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1.1.3.4 单位工程：指专用合同条款中指明特定范围的永久工程。</w:t>
      </w:r>
    </w:p>
    <w:p w14:paraId="41C1FF6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1.1.3.5 工程设备：指构成或计划构成永久工程一部分的机电设备、金属结构设备、仪器装置及其他类似的设备和装置。</w:t>
      </w:r>
    </w:p>
    <w:p w14:paraId="2F7302C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1.1.3.6 施工设备：指为完成合同约定的各项工作所需的设备、器具和其他物品，不包括临时工程和材料。</w:t>
      </w:r>
    </w:p>
    <w:p w14:paraId="4149E48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1.1.3.7 临时设施：指为完成合同约定的各项工作所服务的临时性生产和生活设施。</w:t>
      </w:r>
    </w:p>
    <w:p w14:paraId="1DB3C89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1.1.3.8 承包人设备：指承包人自带的施工设备。</w:t>
      </w:r>
    </w:p>
    <w:p w14:paraId="3F5AB5E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1.1.3.9 施工场地（或称工地、现场）：指用于合同工程施工的场所，以及在合同中指定作为施工场地组成部分的其他场所，包括永久占地和临时占地。</w:t>
      </w:r>
    </w:p>
    <w:p w14:paraId="20DC1B6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1.1.3.10 永久占地：指专用合同条款中指明为实施合同工程需永久占用的土地。</w:t>
      </w:r>
    </w:p>
    <w:p w14:paraId="17AC1B7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1.1.3.11 临时占地：指专用合同条款中指明为实施合同工程需临时占用的土地。</w:t>
      </w:r>
    </w:p>
    <w:p w14:paraId="360C7BC8">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1.1.4 日期</w:t>
      </w:r>
    </w:p>
    <w:p w14:paraId="5F2954B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1.1.4.1 开工通知：指监理人按第11.1款通知承包人开工的函件。</w:t>
      </w:r>
    </w:p>
    <w:p w14:paraId="307684F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1.1.4.2 开工日期：指监理人按第11.1款发出的开工通知中写明的开工日期。</w:t>
      </w:r>
    </w:p>
    <w:p w14:paraId="058B8E4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1.1.4.3工期：指承包人在投标函中承诺的完成合同工程所需的期限，包括按第11.3款、第11.4款和第11.6款约定所作的变更。</w:t>
      </w:r>
    </w:p>
    <w:p w14:paraId="4567BA5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1.1.4.4 竣工日期：指第1.1.4.3目约定工期届满时的日期。实际竣工日期以工程接收证书中写明的日期为准。</w:t>
      </w:r>
    </w:p>
    <w:p w14:paraId="2F89CA6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1.1.4.5 缺陷责任期：指履行第19.2款约定的缺陷责任的期限，具体期限由专用合同条款约定，包括根据第19.3款约定所作的延长。</w:t>
      </w:r>
    </w:p>
    <w:p w14:paraId="24C2DA2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1.1.4.6 基准日期：指投标截止时间前28天的日期。</w:t>
      </w:r>
    </w:p>
    <w:p w14:paraId="587345E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1.1.4.7 天：除特别指明外，指日历天。合同中按天计算时间的，开始当天不计入，从次日开始计算。期限最后一天的截止时间为当天24:00。</w:t>
      </w:r>
    </w:p>
    <w:p w14:paraId="2EC7453B">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1.1.5 合同价格和费用</w:t>
      </w:r>
    </w:p>
    <w:p w14:paraId="6E7404E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1.1.5.1 签约合同价：指签定合同时合同协议书中写明的，包括了暂列金额、暂估价的合同总金额。</w:t>
      </w:r>
    </w:p>
    <w:p w14:paraId="7FFD44C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1.1.5.2 合同价格：指承包人按合同约定完成了包括缺陷责任期内的全部承包工作后，发包人应付给承包人的金额，包括在履行合同过程中按合同约定进行的变更和调整。</w:t>
      </w:r>
    </w:p>
    <w:p w14:paraId="00727A5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1.1.5.3 费用：指为履行合同所发生的或将要发生的所有合理开支，包括管理费和应分摊的其他费用，但不包括利润。</w:t>
      </w:r>
    </w:p>
    <w:p w14:paraId="306953C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0F87F81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1.1.5.5暂估价：指发包人在工程量清单中给定的用于支付必然发生但暂时不能确定价格的材料、设备以及专业工程的金额。</w:t>
      </w:r>
    </w:p>
    <w:p w14:paraId="0C12B5A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1.1.5.6 计日工：指对零星工作采取的一种计价方式，按合同中的计日工子目及其单价计价付款。</w:t>
      </w:r>
    </w:p>
    <w:p w14:paraId="302735D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1.1.5.7 质量保证金（或称保留金）：指按第17.4.1项约定用于保证在缺陷责任期内履行缺陷修复义务的金额。</w:t>
      </w:r>
    </w:p>
    <w:p w14:paraId="33084512">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1.1.6 其他</w:t>
      </w:r>
    </w:p>
    <w:p w14:paraId="2E32185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1.1.6.1 书面形式：指合同文件、信函、电报、传真等可以有形地表现所载内容的形式。</w:t>
      </w:r>
    </w:p>
    <w:p w14:paraId="2BAB2A6F">
      <w:pPr>
        <w:pStyle w:val="67"/>
        <w:shd w:val="clear" w:fill="FFFFFF" w:themeFill="background1"/>
        <w:ind w:firstLine="118"/>
        <w:rPr>
          <w:rFonts w:ascii="宋体" w:eastAsia="宋体"/>
          <w:b/>
          <w:bCs/>
          <w:color w:val="auto"/>
          <w:szCs w:val="24"/>
          <w:highlight w:val="none"/>
        </w:rPr>
      </w:pPr>
      <w:bookmarkStart w:id="306" w:name="_Toc152045613"/>
      <w:bookmarkEnd w:id="306"/>
      <w:bookmarkStart w:id="307" w:name="_Toc144974581"/>
      <w:bookmarkEnd w:id="307"/>
      <w:bookmarkStart w:id="308" w:name="_Toc393546277"/>
      <w:bookmarkEnd w:id="308"/>
      <w:bookmarkStart w:id="309" w:name="_Toc152042391"/>
      <w:bookmarkEnd w:id="309"/>
      <w:bookmarkStart w:id="310" w:name="_Toc43475751"/>
      <w:bookmarkEnd w:id="310"/>
      <w:bookmarkStart w:id="311" w:name="_Toc386467023"/>
      <w:bookmarkEnd w:id="311"/>
      <w:bookmarkStart w:id="312" w:name="_Toc330406218"/>
      <w:bookmarkEnd w:id="312"/>
      <w:bookmarkStart w:id="313" w:name="_Toc179632631"/>
      <w:bookmarkEnd w:id="313"/>
      <w:r>
        <w:rPr>
          <w:rFonts w:hint="eastAsia" w:ascii="宋体" w:eastAsia="宋体"/>
          <w:b/>
          <w:bCs/>
          <w:color w:val="auto"/>
          <w:szCs w:val="24"/>
          <w:highlight w:val="none"/>
        </w:rPr>
        <w:t>1.2 语言文字</w:t>
      </w:r>
    </w:p>
    <w:p w14:paraId="6538471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除专用术语外，合同使用的语言文字为中文。必要时专用术语应附有中文注释。</w:t>
      </w:r>
    </w:p>
    <w:p w14:paraId="1D0E318E">
      <w:pPr>
        <w:pStyle w:val="67"/>
        <w:shd w:val="clear" w:fill="FFFFFF" w:themeFill="background1"/>
        <w:ind w:firstLine="118"/>
        <w:rPr>
          <w:rFonts w:ascii="宋体" w:eastAsia="宋体"/>
          <w:b/>
          <w:bCs/>
          <w:color w:val="auto"/>
          <w:szCs w:val="24"/>
          <w:highlight w:val="none"/>
        </w:rPr>
      </w:pPr>
      <w:bookmarkStart w:id="314" w:name="_Toc393546278"/>
      <w:bookmarkEnd w:id="314"/>
      <w:bookmarkStart w:id="315" w:name="_Toc330406219"/>
      <w:bookmarkEnd w:id="315"/>
      <w:bookmarkStart w:id="316" w:name="_Toc179632632"/>
      <w:bookmarkEnd w:id="316"/>
      <w:bookmarkStart w:id="317" w:name="_Toc152042392"/>
      <w:bookmarkEnd w:id="317"/>
      <w:bookmarkStart w:id="318" w:name="_Toc386467024"/>
      <w:bookmarkEnd w:id="318"/>
      <w:bookmarkStart w:id="319" w:name="_Toc43475752"/>
      <w:bookmarkEnd w:id="319"/>
      <w:bookmarkStart w:id="320" w:name="_Toc152045614"/>
      <w:bookmarkEnd w:id="320"/>
      <w:bookmarkStart w:id="321" w:name="_Toc144974582"/>
      <w:bookmarkEnd w:id="321"/>
      <w:r>
        <w:rPr>
          <w:rFonts w:hint="eastAsia" w:ascii="宋体" w:eastAsia="宋体"/>
          <w:b/>
          <w:bCs/>
          <w:color w:val="auto"/>
          <w:szCs w:val="24"/>
          <w:highlight w:val="none"/>
        </w:rPr>
        <w:t>1.3 法律</w:t>
      </w:r>
    </w:p>
    <w:p w14:paraId="71E68F4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适用于合同的法律包括中华人民共和国法律、行政法规、部门规章，以及工程所在地的地方法规、自治条例、单行条例和地方政府规章。</w:t>
      </w:r>
    </w:p>
    <w:p w14:paraId="6DE66936">
      <w:pPr>
        <w:pStyle w:val="67"/>
        <w:shd w:val="clear" w:fill="FFFFFF" w:themeFill="background1"/>
        <w:ind w:firstLine="118"/>
        <w:rPr>
          <w:rFonts w:ascii="宋体" w:eastAsia="宋体"/>
          <w:b/>
          <w:bCs/>
          <w:color w:val="auto"/>
          <w:szCs w:val="24"/>
          <w:highlight w:val="none"/>
        </w:rPr>
      </w:pPr>
      <w:bookmarkStart w:id="322" w:name="_Toc386467025"/>
      <w:bookmarkEnd w:id="322"/>
      <w:bookmarkStart w:id="323" w:name="_Toc43475753"/>
      <w:bookmarkEnd w:id="323"/>
      <w:bookmarkStart w:id="324" w:name="_Toc393546279"/>
      <w:bookmarkEnd w:id="324"/>
      <w:r>
        <w:rPr>
          <w:rFonts w:hint="eastAsia" w:ascii="宋体" w:eastAsia="宋体"/>
          <w:b/>
          <w:bCs/>
          <w:color w:val="auto"/>
          <w:szCs w:val="24"/>
          <w:highlight w:val="none"/>
        </w:rPr>
        <w:t>1.4 合同文件的优先顺序</w:t>
      </w:r>
    </w:p>
    <w:p w14:paraId="2A39460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组成合同的各项文件应互相解释，互为说明。除专用合同条款另有约定外，解释合同文件的优先顺序如下：</w:t>
      </w:r>
    </w:p>
    <w:p w14:paraId="2F0853F9">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（1）合同协议书；</w:t>
      </w:r>
    </w:p>
    <w:p w14:paraId="37CDD804">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（2）中标通知书；</w:t>
      </w:r>
    </w:p>
    <w:p w14:paraId="512C1868">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（3）投标函及投标函附录；</w:t>
      </w:r>
    </w:p>
    <w:p w14:paraId="78972AE8">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（4）专用合同条款；</w:t>
      </w:r>
    </w:p>
    <w:p w14:paraId="61CDBCCF">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（5）通用合同条款；</w:t>
      </w:r>
    </w:p>
    <w:p w14:paraId="60FAE060">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（6）技术标准和要求；</w:t>
      </w:r>
    </w:p>
    <w:p w14:paraId="4B568EF7">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（7）图纸；</w:t>
      </w:r>
    </w:p>
    <w:p w14:paraId="06FD9790">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（8）已标价工程量清单；</w:t>
      </w:r>
    </w:p>
    <w:p w14:paraId="0E3D748C">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（9）其他合同文件。</w:t>
      </w:r>
    </w:p>
    <w:p w14:paraId="2617B0A5">
      <w:pPr>
        <w:pStyle w:val="67"/>
        <w:shd w:val="clear" w:fill="FFFFFF" w:themeFill="background1"/>
        <w:ind w:firstLine="118"/>
        <w:rPr>
          <w:rFonts w:ascii="宋体" w:eastAsia="宋体"/>
          <w:b/>
          <w:bCs/>
          <w:color w:val="auto"/>
          <w:szCs w:val="24"/>
          <w:highlight w:val="none"/>
        </w:rPr>
      </w:pPr>
      <w:bookmarkStart w:id="325" w:name="_Toc393546280"/>
      <w:bookmarkEnd w:id="325"/>
      <w:bookmarkStart w:id="326" w:name="_Toc386467026"/>
      <w:bookmarkEnd w:id="326"/>
      <w:bookmarkStart w:id="327" w:name="_Toc43475754"/>
      <w:bookmarkEnd w:id="327"/>
      <w:r>
        <w:rPr>
          <w:rFonts w:hint="eastAsia" w:ascii="宋体" w:eastAsia="宋体"/>
          <w:b/>
          <w:bCs/>
          <w:color w:val="auto"/>
          <w:szCs w:val="24"/>
          <w:highlight w:val="none"/>
        </w:rPr>
        <w:t>1.5 合同协议书</w:t>
      </w:r>
    </w:p>
    <w:p w14:paraId="7EE5578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37EE749D">
      <w:pPr>
        <w:pStyle w:val="67"/>
        <w:shd w:val="clear" w:fill="FFFFFF" w:themeFill="background1"/>
        <w:ind w:firstLine="118"/>
        <w:rPr>
          <w:rFonts w:ascii="宋体" w:eastAsia="宋体"/>
          <w:b/>
          <w:bCs/>
          <w:color w:val="auto"/>
          <w:szCs w:val="24"/>
          <w:highlight w:val="none"/>
        </w:rPr>
      </w:pPr>
      <w:bookmarkStart w:id="328" w:name="_Toc393546281"/>
      <w:bookmarkEnd w:id="328"/>
      <w:bookmarkStart w:id="329" w:name="_Toc386467027"/>
      <w:bookmarkEnd w:id="329"/>
      <w:bookmarkStart w:id="330" w:name="_Toc43475755"/>
      <w:bookmarkEnd w:id="330"/>
      <w:r>
        <w:rPr>
          <w:rFonts w:hint="eastAsia" w:ascii="宋体" w:eastAsia="宋体"/>
          <w:b/>
          <w:bCs/>
          <w:color w:val="auto"/>
          <w:szCs w:val="24"/>
          <w:highlight w:val="none"/>
        </w:rPr>
        <w:t>1.6 图纸和承包人文件</w:t>
      </w:r>
    </w:p>
    <w:p w14:paraId="6C0D1F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1.6.1图纸的提供</w:t>
      </w:r>
    </w:p>
    <w:p w14:paraId="4DA7DFE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除专用合同条款另有约定外，图纸应在合理的期限内按照合同约定的数量提供给承包人。由于发包人未按时提供图纸造成工期延误的，按第11.3款的约定办理。</w:t>
      </w:r>
    </w:p>
    <w:p w14:paraId="1FBA5E7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承包人提供的文件</w:t>
      </w:r>
    </w:p>
    <w:p w14:paraId="20709B18">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按专用合同条款约定由承包人提供的文件，包括部分工程的大样图、加工图等，承包人应按约定的数量和期限报送监理人。监理人应在专用合同条款约定的期限内批复。</w:t>
      </w:r>
    </w:p>
    <w:p w14:paraId="5E2198C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图纸的修改</w:t>
      </w:r>
    </w:p>
    <w:p w14:paraId="766A837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62552E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图纸的错误</w:t>
      </w:r>
    </w:p>
    <w:p w14:paraId="4979B4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承包人发现发包人提供的图纸存在明显错误或疏忽，应及时通知监理人。</w:t>
      </w:r>
    </w:p>
    <w:p w14:paraId="272C995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 图纸和承包人文件的保管</w:t>
      </w:r>
    </w:p>
    <w:p w14:paraId="4CB17F9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监理人和承包人均应在施工场地各保存一套完整的包含第1.6.1项、第1.6.2项、第1.6.3项约定内容的图纸和承包人文件。</w:t>
      </w:r>
    </w:p>
    <w:p w14:paraId="5ABEAE2E">
      <w:pPr>
        <w:pStyle w:val="67"/>
        <w:shd w:val="clear" w:fill="FFFFFF" w:themeFill="background1"/>
        <w:ind w:firstLine="118"/>
        <w:rPr>
          <w:rFonts w:ascii="宋体" w:eastAsia="宋体"/>
          <w:b/>
          <w:bCs/>
          <w:color w:val="auto"/>
          <w:szCs w:val="24"/>
          <w:highlight w:val="none"/>
        </w:rPr>
      </w:pPr>
      <w:bookmarkStart w:id="331" w:name="_Toc144974586"/>
      <w:bookmarkEnd w:id="331"/>
      <w:bookmarkStart w:id="332" w:name="_Toc330406223"/>
      <w:bookmarkEnd w:id="332"/>
      <w:bookmarkStart w:id="333" w:name="_Toc152042396"/>
      <w:bookmarkEnd w:id="333"/>
      <w:bookmarkStart w:id="334" w:name="_Toc152045618"/>
      <w:bookmarkEnd w:id="334"/>
      <w:bookmarkStart w:id="335" w:name="_Toc43475756"/>
      <w:bookmarkEnd w:id="335"/>
      <w:bookmarkStart w:id="336" w:name="_Toc179632636"/>
      <w:bookmarkEnd w:id="336"/>
      <w:bookmarkStart w:id="337" w:name="_Toc393546282"/>
      <w:bookmarkEnd w:id="337"/>
      <w:bookmarkStart w:id="338" w:name="_Toc386467028"/>
      <w:bookmarkEnd w:id="338"/>
      <w:r>
        <w:rPr>
          <w:rFonts w:hint="eastAsia" w:ascii="宋体" w:eastAsia="宋体"/>
          <w:b/>
          <w:bCs/>
          <w:color w:val="auto"/>
          <w:szCs w:val="24"/>
          <w:highlight w:val="none"/>
        </w:rPr>
        <w:t>1.7 联络</w:t>
      </w:r>
    </w:p>
    <w:p w14:paraId="0109C8A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与合同有关的通知、批准、证明、证书、指示、要求、请求、同意、意见、确定和决定等，均应采用书面形式。</w:t>
      </w:r>
    </w:p>
    <w:p w14:paraId="43BDCEE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第1.7.1项中的通知、批准、证明、证书、指示、要求、请求、同意、意见、确定和决定等来往函件，均应在合同约定的期限内送达指定地点和接收人，并办理签收手续。</w:t>
      </w:r>
    </w:p>
    <w:p w14:paraId="18C536D6">
      <w:pPr>
        <w:pStyle w:val="67"/>
        <w:shd w:val="clear" w:fill="FFFFFF" w:themeFill="background1"/>
        <w:ind w:firstLine="118"/>
        <w:rPr>
          <w:rFonts w:ascii="宋体" w:eastAsia="宋体"/>
          <w:b/>
          <w:bCs/>
          <w:color w:val="auto"/>
          <w:szCs w:val="24"/>
          <w:highlight w:val="none"/>
        </w:rPr>
      </w:pPr>
      <w:bookmarkStart w:id="339" w:name="_Toc179632637"/>
      <w:bookmarkEnd w:id="339"/>
      <w:bookmarkStart w:id="340" w:name="_Toc386467029"/>
      <w:bookmarkEnd w:id="340"/>
      <w:bookmarkStart w:id="341" w:name="_Toc330406224"/>
      <w:bookmarkEnd w:id="341"/>
      <w:bookmarkStart w:id="342" w:name="_Toc152045619"/>
      <w:bookmarkEnd w:id="342"/>
      <w:bookmarkStart w:id="343" w:name="_Toc144974587"/>
      <w:bookmarkEnd w:id="343"/>
      <w:bookmarkStart w:id="344" w:name="_Toc43475757"/>
      <w:bookmarkEnd w:id="344"/>
      <w:bookmarkStart w:id="345" w:name="_Toc393546283"/>
      <w:bookmarkEnd w:id="345"/>
      <w:bookmarkStart w:id="346" w:name="_Toc152042397"/>
      <w:bookmarkEnd w:id="346"/>
      <w:r>
        <w:rPr>
          <w:rFonts w:hint="eastAsia" w:ascii="宋体" w:eastAsia="宋体"/>
          <w:b/>
          <w:bCs/>
          <w:color w:val="auto"/>
          <w:szCs w:val="24"/>
          <w:highlight w:val="none"/>
        </w:rPr>
        <w:t>1.8 转让</w:t>
      </w:r>
    </w:p>
    <w:p w14:paraId="3B7B626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除合同另有约定外，未经对方当事人同意，一方当事人不得将合同权利全部或部分转让给第三人，也不得全部或部分转移合同义务。</w:t>
      </w:r>
    </w:p>
    <w:p w14:paraId="72C96640">
      <w:pPr>
        <w:pStyle w:val="67"/>
        <w:shd w:val="clear" w:fill="FFFFFF" w:themeFill="background1"/>
        <w:ind w:firstLine="118"/>
        <w:rPr>
          <w:rFonts w:ascii="宋体" w:eastAsia="宋体"/>
          <w:b/>
          <w:bCs/>
          <w:color w:val="auto"/>
          <w:szCs w:val="24"/>
          <w:highlight w:val="none"/>
        </w:rPr>
      </w:pPr>
      <w:bookmarkStart w:id="347" w:name="_Toc393546284"/>
      <w:bookmarkEnd w:id="347"/>
      <w:bookmarkStart w:id="348" w:name="_Toc43475758"/>
      <w:bookmarkEnd w:id="348"/>
      <w:bookmarkStart w:id="349" w:name="_Toc386467030"/>
      <w:bookmarkEnd w:id="349"/>
      <w:r>
        <w:rPr>
          <w:rFonts w:hint="eastAsia" w:ascii="宋体" w:eastAsia="宋体"/>
          <w:b/>
          <w:bCs/>
          <w:color w:val="auto"/>
          <w:szCs w:val="24"/>
          <w:highlight w:val="none"/>
        </w:rPr>
        <w:t>1.9 严禁贿赂</w:t>
      </w:r>
    </w:p>
    <w:p w14:paraId="54B9B52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合同双方当事人不得以贿赂或变相贿赂的方式，谋取不当利益或损害对方权益。因贿赂造成对方损失的，行为人应赔偿损失，并承担相应的法律责任。</w:t>
      </w:r>
    </w:p>
    <w:p w14:paraId="1AEFCDC4">
      <w:pPr>
        <w:pStyle w:val="67"/>
        <w:shd w:val="clear" w:fill="FFFFFF" w:themeFill="background1"/>
        <w:ind w:firstLine="118"/>
        <w:rPr>
          <w:rFonts w:ascii="宋体" w:eastAsia="宋体"/>
          <w:color w:val="auto"/>
          <w:szCs w:val="24"/>
          <w:highlight w:val="none"/>
        </w:rPr>
      </w:pPr>
      <w:bookmarkStart w:id="350" w:name="_Toc330406226"/>
      <w:bookmarkEnd w:id="350"/>
      <w:bookmarkStart w:id="351" w:name="_Toc393546285"/>
      <w:bookmarkEnd w:id="351"/>
      <w:bookmarkStart w:id="352" w:name="_Toc152045621"/>
      <w:bookmarkEnd w:id="352"/>
      <w:bookmarkStart w:id="353" w:name="_Toc152042399"/>
      <w:bookmarkEnd w:id="353"/>
      <w:bookmarkStart w:id="354" w:name="_Toc144974589"/>
      <w:bookmarkEnd w:id="354"/>
      <w:bookmarkStart w:id="355" w:name="_Toc179632639"/>
      <w:bookmarkEnd w:id="355"/>
      <w:bookmarkStart w:id="356" w:name="_Toc43475759"/>
      <w:bookmarkEnd w:id="356"/>
      <w:bookmarkStart w:id="357" w:name="_Toc386467031"/>
      <w:bookmarkEnd w:id="357"/>
      <w:r>
        <w:rPr>
          <w:rFonts w:hint="eastAsia" w:ascii="宋体" w:eastAsia="宋体"/>
          <w:b/>
          <w:bCs/>
          <w:color w:val="auto"/>
          <w:szCs w:val="24"/>
          <w:highlight w:val="none"/>
        </w:rPr>
        <w:t>1.10 化石、文物</w:t>
      </w:r>
    </w:p>
    <w:p w14:paraId="417D6AA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081D59E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1.10.2 承包人发现文物后不及时报告或隐瞒不报，致使文物丢失或损坏的，应赔偿损失，并承担相应的法律责任。</w:t>
      </w:r>
    </w:p>
    <w:p w14:paraId="0684B4CF">
      <w:pPr>
        <w:pStyle w:val="67"/>
        <w:shd w:val="clear" w:fill="FFFFFF" w:themeFill="background1"/>
        <w:ind w:firstLine="118"/>
        <w:rPr>
          <w:rFonts w:ascii="宋体" w:eastAsia="宋体"/>
          <w:b/>
          <w:bCs/>
          <w:color w:val="auto"/>
          <w:szCs w:val="24"/>
          <w:highlight w:val="none"/>
        </w:rPr>
      </w:pPr>
      <w:bookmarkStart w:id="358" w:name="_Toc144974590"/>
      <w:bookmarkEnd w:id="358"/>
      <w:bookmarkStart w:id="359" w:name="_Toc179632640"/>
      <w:bookmarkEnd w:id="359"/>
      <w:bookmarkStart w:id="360" w:name="_Toc330406227"/>
      <w:bookmarkEnd w:id="360"/>
      <w:bookmarkStart w:id="361" w:name="_Toc43475760"/>
      <w:bookmarkEnd w:id="361"/>
      <w:bookmarkStart w:id="362" w:name="_Toc152042400"/>
      <w:bookmarkEnd w:id="362"/>
      <w:bookmarkStart w:id="363" w:name="_Toc152045622"/>
      <w:bookmarkEnd w:id="363"/>
      <w:bookmarkStart w:id="364" w:name="_Toc386467032"/>
      <w:bookmarkEnd w:id="364"/>
      <w:bookmarkStart w:id="365" w:name="_Toc393546286"/>
      <w:bookmarkEnd w:id="365"/>
      <w:r>
        <w:rPr>
          <w:rFonts w:hint="eastAsia" w:ascii="宋体" w:eastAsia="宋体"/>
          <w:b/>
          <w:bCs/>
          <w:color w:val="auto"/>
          <w:szCs w:val="24"/>
          <w:highlight w:val="none"/>
        </w:rPr>
        <w:t>1.11 专利技术</w:t>
      </w:r>
    </w:p>
    <w:p w14:paraId="1102391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0101BF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1.11.2 承包人在投标文件中采用专利技术的，专利技术的使用费包含在投标报价内。</w:t>
      </w:r>
    </w:p>
    <w:p w14:paraId="34FAD7C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1.11.3 承包人的技术秘密和声明需要保密的资料和信息，发包人和监理人不得为合同以外的目的泄露给他人。</w:t>
      </w:r>
    </w:p>
    <w:p w14:paraId="59C2F41E">
      <w:pPr>
        <w:pStyle w:val="67"/>
        <w:shd w:val="clear" w:fill="FFFFFF" w:themeFill="background1"/>
        <w:ind w:firstLine="118"/>
        <w:rPr>
          <w:rFonts w:ascii="宋体" w:eastAsia="宋体"/>
          <w:b/>
          <w:bCs/>
          <w:color w:val="auto"/>
          <w:szCs w:val="24"/>
          <w:highlight w:val="none"/>
        </w:rPr>
      </w:pPr>
      <w:bookmarkStart w:id="366" w:name="_Toc393546287"/>
      <w:bookmarkEnd w:id="366"/>
      <w:bookmarkStart w:id="367" w:name="_Toc152045623"/>
      <w:bookmarkEnd w:id="367"/>
      <w:bookmarkStart w:id="368" w:name="_Toc43475761"/>
      <w:bookmarkEnd w:id="368"/>
      <w:bookmarkStart w:id="369" w:name="_Toc152042401"/>
      <w:bookmarkEnd w:id="369"/>
      <w:bookmarkStart w:id="370" w:name="_Toc179632641"/>
      <w:bookmarkEnd w:id="370"/>
      <w:bookmarkStart w:id="371" w:name="_Toc144974591"/>
      <w:bookmarkEnd w:id="371"/>
      <w:bookmarkStart w:id="372" w:name="_Toc386467033"/>
      <w:bookmarkEnd w:id="372"/>
      <w:bookmarkStart w:id="373" w:name="_Toc330406228"/>
      <w:bookmarkEnd w:id="373"/>
      <w:r>
        <w:rPr>
          <w:rFonts w:hint="eastAsia" w:ascii="宋体" w:eastAsia="宋体"/>
          <w:b/>
          <w:bCs/>
          <w:color w:val="auto"/>
          <w:szCs w:val="24"/>
          <w:highlight w:val="none"/>
        </w:rPr>
        <w:t>1.12 图纸和文件的保密</w:t>
      </w:r>
    </w:p>
    <w:p w14:paraId="7A26D3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 发包人提供的图纸和文件，未经发包人同意，承包人不得为合同以外的目的泄露给他人或公开发表与引用。</w:t>
      </w:r>
    </w:p>
    <w:p w14:paraId="309941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1.12.2 承包人提供的文件，未经承包人同意，发包人和监理人不得为合同以外的目的泄露给他人或公开发表与引用。</w:t>
      </w:r>
    </w:p>
    <w:p w14:paraId="774FB012">
      <w:pPr>
        <w:pStyle w:val="78"/>
        <w:shd w:val="clear" w:fill="FFFFFF" w:themeFill="background1"/>
        <w:rPr>
          <w:rFonts w:ascii="宋体" w:hAnsi="宋体"/>
          <w:color w:val="auto"/>
          <w:sz w:val="24"/>
          <w:szCs w:val="24"/>
          <w:highlight w:val="none"/>
        </w:rPr>
      </w:pPr>
      <w:bookmarkStart w:id="374" w:name="_Toc43475762"/>
      <w:bookmarkEnd w:id="374"/>
      <w:bookmarkStart w:id="375" w:name="_Toc386467034"/>
      <w:bookmarkEnd w:id="375"/>
      <w:bookmarkStart w:id="376" w:name="_Toc393546288"/>
      <w:bookmarkEnd w:id="376"/>
      <w:r>
        <w:rPr>
          <w:rFonts w:hint="eastAsia" w:ascii="宋体" w:hAnsi="宋体"/>
          <w:color w:val="auto"/>
          <w:sz w:val="24"/>
          <w:szCs w:val="24"/>
          <w:highlight w:val="none"/>
        </w:rPr>
        <w:t>2. 发包人义务</w:t>
      </w:r>
    </w:p>
    <w:p w14:paraId="1AD6D5FF">
      <w:pPr>
        <w:pStyle w:val="67"/>
        <w:shd w:val="clear" w:fill="FFFFFF" w:themeFill="background1"/>
        <w:ind w:firstLine="118"/>
        <w:rPr>
          <w:rFonts w:ascii="宋体" w:eastAsia="宋体"/>
          <w:color w:val="auto"/>
          <w:szCs w:val="24"/>
          <w:highlight w:val="none"/>
        </w:rPr>
      </w:pPr>
      <w:bookmarkStart w:id="377" w:name="_Toc144974593"/>
      <w:bookmarkEnd w:id="377"/>
      <w:bookmarkStart w:id="378" w:name="_Toc43475763"/>
      <w:bookmarkEnd w:id="378"/>
      <w:bookmarkStart w:id="379" w:name="_Toc179632643"/>
      <w:bookmarkEnd w:id="379"/>
      <w:bookmarkStart w:id="380" w:name="_Toc393546289"/>
      <w:bookmarkEnd w:id="380"/>
      <w:bookmarkStart w:id="381" w:name="_Toc386467035"/>
      <w:bookmarkEnd w:id="381"/>
      <w:bookmarkStart w:id="382" w:name="_Toc330406230"/>
      <w:bookmarkEnd w:id="382"/>
      <w:bookmarkStart w:id="383" w:name="_Toc152042403"/>
      <w:bookmarkEnd w:id="383"/>
      <w:bookmarkStart w:id="384" w:name="_Toc152045625"/>
      <w:bookmarkEnd w:id="384"/>
      <w:r>
        <w:rPr>
          <w:rFonts w:hint="eastAsia" w:ascii="宋体" w:eastAsia="宋体"/>
          <w:color w:val="auto"/>
          <w:szCs w:val="24"/>
          <w:highlight w:val="none"/>
        </w:rPr>
        <w:t>2.1 遵守法律</w:t>
      </w:r>
    </w:p>
    <w:p w14:paraId="619AD8E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发包人在履行合同过程中应遵守法律，并保证承包人免于承担因发包人违反法律而引起的任何责任。</w:t>
      </w:r>
    </w:p>
    <w:p w14:paraId="6E608BC8">
      <w:pPr>
        <w:pStyle w:val="67"/>
        <w:shd w:val="clear" w:fill="FFFFFF" w:themeFill="background1"/>
        <w:ind w:firstLine="118"/>
        <w:rPr>
          <w:rFonts w:ascii="宋体" w:eastAsia="宋体"/>
          <w:color w:val="auto"/>
          <w:szCs w:val="24"/>
          <w:highlight w:val="none"/>
        </w:rPr>
      </w:pPr>
      <w:bookmarkStart w:id="385" w:name="_Toc152042404"/>
      <w:bookmarkEnd w:id="385"/>
      <w:bookmarkStart w:id="386" w:name="_Toc43475764"/>
      <w:bookmarkEnd w:id="386"/>
      <w:bookmarkStart w:id="387" w:name="_Toc179632644"/>
      <w:bookmarkEnd w:id="387"/>
      <w:bookmarkStart w:id="388" w:name="_Toc144974594"/>
      <w:bookmarkEnd w:id="388"/>
      <w:bookmarkStart w:id="389" w:name="_Toc393546290"/>
      <w:bookmarkEnd w:id="389"/>
      <w:bookmarkStart w:id="390" w:name="_Toc330406231"/>
      <w:bookmarkEnd w:id="390"/>
      <w:bookmarkStart w:id="391" w:name="_Toc386467036"/>
      <w:bookmarkEnd w:id="391"/>
      <w:bookmarkStart w:id="392" w:name="_Toc152045626"/>
      <w:bookmarkEnd w:id="392"/>
      <w:r>
        <w:rPr>
          <w:rFonts w:hint="eastAsia" w:ascii="宋体" w:eastAsia="宋体"/>
          <w:color w:val="auto"/>
          <w:szCs w:val="24"/>
          <w:highlight w:val="none"/>
        </w:rPr>
        <w:t>2.2 发出开工通知</w:t>
      </w:r>
    </w:p>
    <w:p w14:paraId="74E2E2F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发包人应委托监理人按第11.1款的约定向承包人发出开工通知。</w:t>
      </w:r>
    </w:p>
    <w:p w14:paraId="4B8B6A6D">
      <w:pPr>
        <w:pStyle w:val="67"/>
        <w:shd w:val="clear" w:fill="FFFFFF" w:themeFill="background1"/>
        <w:ind w:firstLine="118"/>
        <w:rPr>
          <w:rFonts w:ascii="宋体" w:eastAsia="宋体"/>
          <w:color w:val="auto"/>
          <w:szCs w:val="24"/>
          <w:highlight w:val="none"/>
        </w:rPr>
      </w:pPr>
      <w:bookmarkStart w:id="393" w:name="_Toc43475765"/>
      <w:bookmarkEnd w:id="393"/>
      <w:bookmarkStart w:id="394" w:name="_Toc386467037"/>
      <w:bookmarkEnd w:id="394"/>
      <w:bookmarkStart w:id="395" w:name="_Toc393546291"/>
      <w:bookmarkEnd w:id="395"/>
      <w:r>
        <w:rPr>
          <w:rFonts w:hint="eastAsia" w:ascii="宋体" w:eastAsia="宋体"/>
          <w:color w:val="auto"/>
          <w:szCs w:val="24"/>
          <w:highlight w:val="none"/>
        </w:rPr>
        <w:t>2.3 提供施工场地</w:t>
      </w:r>
    </w:p>
    <w:p w14:paraId="365BD8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发包人应按专用合同条款约定向承包人提供施工场地，以及施工场地内地下管线和地下设施等有关资料，并保证资料的真实、准确、完整。</w:t>
      </w:r>
    </w:p>
    <w:p w14:paraId="635ADA2D">
      <w:pPr>
        <w:pStyle w:val="67"/>
        <w:shd w:val="clear" w:fill="FFFFFF" w:themeFill="background1"/>
        <w:ind w:firstLine="118"/>
        <w:rPr>
          <w:rFonts w:ascii="宋体" w:eastAsia="宋体"/>
          <w:color w:val="auto"/>
          <w:szCs w:val="24"/>
          <w:highlight w:val="none"/>
        </w:rPr>
      </w:pPr>
      <w:bookmarkStart w:id="396" w:name="_Toc179632646"/>
      <w:bookmarkEnd w:id="396"/>
      <w:bookmarkStart w:id="397" w:name="_Toc386467038"/>
      <w:bookmarkEnd w:id="397"/>
      <w:bookmarkStart w:id="398" w:name="_Toc144974596"/>
      <w:bookmarkEnd w:id="398"/>
      <w:bookmarkStart w:id="399" w:name="_Toc393546292"/>
      <w:bookmarkEnd w:id="399"/>
      <w:bookmarkStart w:id="400" w:name="_Toc43475766"/>
      <w:bookmarkEnd w:id="400"/>
      <w:bookmarkStart w:id="401" w:name="_Toc152042406"/>
      <w:bookmarkEnd w:id="401"/>
      <w:bookmarkStart w:id="402" w:name="_Toc330406233"/>
      <w:bookmarkEnd w:id="402"/>
      <w:bookmarkStart w:id="403" w:name="_Toc152045628"/>
      <w:bookmarkEnd w:id="403"/>
      <w:r>
        <w:rPr>
          <w:rFonts w:hint="eastAsia" w:ascii="宋体" w:eastAsia="宋体"/>
          <w:color w:val="auto"/>
          <w:szCs w:val="24"/>
          <w:highlight w:val="none"/>
        </w:rPr>
        <w:t>2.4 协助承包人办理证件和批件</w:t>
      </w:r>
    </w:p>
    <w:p w14:paraId="3C15DF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发包人应协助承包人办理法律规定的有关施工证件和批件。</w:t>
      </w:r>
    </w:p>
    <w:p w14:paraId="2D42F1BA">
      <w:pPr>
        <w:pStyle w:val="67"/>
        <w:shd w:val="clear" w:fill="FFFFFF" w:themeFill="background1"/>
        <w:ind w:firstLine="118"/>
        <w:rPr>
          <w:rFonts w:ascii="宋体" w:eastAsia="宋体"/>
          <w:color w:val="auto"/>
          <w:szCs w:val="24"/>
          <w:highlight w:val="none"/>
        </w:rPr>
      </w:pPr>
      <w:bookmarkStart w:id="404" w:name="_Toc43475767"/>
      <w:bookmarkEnd w:id="404"/>
      <w:bookmarkStart w:id="405" w:name="_Toc144974597"/>
      <w:bookmarkEnd w:id="405"/>
      <w:bookmarkStart w:id="406" w:name="_Toc152042407"/>
      <w:bookmarkEnd w:id="406"/>
      <w:bookmarkStart w:id="407" w:name="_Toc386467039"/>
      <w:bookmarkEnd w:id="407"/>
      <w:bookmarkStart w:id="408" w:name="_Toc179632647"/>
      <w:bookmarkEnd w:id="408"/>
      <w:bookmarkStart w:id="409" w:name="_Toc152045629"/>
      <w:bookmarkEnd w:id="409"/>
      <w:bookmarkStart w:id="410" w:name="_Toc330406234"/>
      <w:bookmarkEnd w:id="410"/>
      <w:bookmarkStart w:id="411" w:name="_Toc393546293"/>
      <w:bookmarkEnd w:id="411"/>
      <w:r>
        <w:rPr>
          <w:rFonts w:hint="eastAsia" w:ascii="宋体" w:eastAsia="宋体"/>
          <w:color w:val="auto"/>
          <w:szCs w:val="24"/>
          <w:highlight w:val="none"/>
        </w:rPr>
        <w:t>2.5 组织设计交底</w:t>
      </w:r>
    </w:p>
    <w:p w14:paraId="755222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发包人应根据合同进度计划，组织设计单位向承包人进行设计交底。</w:t>
      </w:r>
    </w:p>
    <w:p w14:paraId="5CD83C7E">
      <w:pPr>
        <w:pStyle w:val="67"/>
        <w:shd w:val="clear" w:fill="FFFFFF" w:themeFill="background1"/>
        <w:ind w:firstLine="118"/>
        <w:rPr>
          <w:rFonts w:ascii="宋体" w:eastAsia="宋体"/>
          <w:color w:val="auto"/>
          <w:szCs w:val="24"/>
          <w:highlight w:val="none"/>
        </w:rPr>
      </w:pPr>
      <w:bookmarkStart w:id="412" w:name="_Toc179632648"/>
      <w:bookmarkEnd w:id="412"/>
      <w:bookmarkStart w:id="413" w:name="_Toc330406235"/>
      <w:bookmarkEnd w:id="413"/>
      <w:bookmarkStart w:id="414" w:name="_Toc144974598"/>
      <w:bookmarkEnd w:id="414"/>
      <w:bookmarkStart w:id="415" w:name="_Toc43475768"/>
      <w:bookmarkEnd w:id="415"/>
      <w:bookmarkStart w:id="416" w:name="_Toc152042408"/>
      <w:bookmarkEnd w:id="416"/>
      <w:bookmarkStart w:id="417" w:name="_Toc386467040"/>
      <w:bookmarkEnd w:id="417"/>
      <w:bookmarkStart w:id="418" w:name="_Toc393546294"/>
      <w:bookmarkEnd w:id="418"/>
      <w:bookmarkStart w:id="419" w:name="_Toc152045630"/>
      <w:bookmarkEnd w:id="419"/>
      <w:r>
        <w:rPr>
          <w:rFonts w:hint="eastAsia" w:ascii="宋体" w:eastAsia="宋体"/>
          <w:color w:val="auto"/>
          <w:szCs w:val="24"/>
          <w:highlight w:val="none"/>
        </w:rPr>
        <w:t>2.6 支付合同价款</w:t>
      </w:r>
    </w:p>
    <w:p w14:paraId="15D0F7F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发包人应按合同约定向承包人及时支付合同价款。</w:t>
      </w:r>
    </w:p>
    <w:p w14:paraId="6F5043AE">
      <w:pPr>
        <w:pStyle w:val="67"/>
        <w:shd w:val="clear" w:fill="FFFFFF" w:themeFill="background1"/>
        <w:ind w:firstLine="118"/>
        <w:rPr>
          <w:rFonts w:ascii="宋体" w:eastAsia="宋体"/>
          <w:color w:val="auto"/>
          <w:szCs w:val="24"/>
          <w:highlight w:val="none"/>
        </w:rPr>
      </w:pPr>
      <w:bookmarkStart w:id="420" w:name="_Toc43475769"/>
      <w:bookmarkEnd w:id="420"/>
      <w:bookmarkStart w:id="421" w:name="_Toc152045631"/>
      <w:bookmarkEnd w:id="421"/>
      <w:bookmarkStart w:id="422" w:name="_Toc330406236"/>
      <w:bookmarkEnd w:id="422"/>
      <w:bookmarkStart w:id="423" w:name="_Toc179632649"/>
      <w:bookmarkEnd w:id="423"/>
      <w:bookmarkStart w:id="424" w:name="_Toc152042409"/>
      <w:bookmarkEnd w:id="424"/>
      <w:bookmarkStart w:id="425" w:name="_Toc144974599"/>
      <w:bookmarkEnd w:id="425"/>
      <w:bookmarkStart w:id="426" w:name="_Toc393546295"/>
      <w:bookmarkEnd w:id="426"/>
      <w:bookmarkStart w:id="427" w:name="_Toc386467041"/>
      <w:bookmarkEnd w:id="427"/>
      <w:r>
        <w:rPr>
          <w:rFonts w:hint="eastAsia" w:ascii="宋体" w:eastAsia="宋体"/>
          <w:color w:val="auto"/>
          <w:szCs w:val="24"/>
          <w:highlight w:val="none"/>
        </w:rPr>
        <w:t>2.7 组织竣工验收</w:t>
      </w:r>
    </w:p>
    <w:p w14:paraId="193B016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发包人应按合同约定及时组织竣工验收。</w:t>
      </w:r>
    </w:p>
    <w:p w14:paraId="02AECBEF">
      <w:pPr>
        <w:pStyle w:val="67"/>
        <w:shd w:val="clear" w:fill="FFFFFF" w:themeFill="background1"/>
        <w:ind w:firstLine="118"/>
        <w:rPr>
          <w:rFonts w:ascii="宋体" w:eastAsia="宋体"/>
          <w:color w:val="auto"/>
          <w:szCs w:val="24"/>
          <w:highlight w:val="none"/>
        </w:rPr>
      </w:pPr>
      <w:bookmarkStart w:id="428" w:name="_Toc152045632"/>
      <w:bookmarkEnd w:id="428"/>
      <w:bookmarkStart w:id="429" w:name="_Toc386467042"/>
      <w:bookmarkEnd w:id="429"/>
      <w:bookmarkStart w:id="430" w:name="_Toc152042410"/>
      <w:bookmarkEnd w:id="430"/>
      <w:bookmarkStart w:id="431" w:name="_Toc393546296"/>
      <w:bookmarkEnd w:id="431"/>
      <w:bookmarkStart w:id="432" w:name="_Toc330406237"/>
      <w:bookmarkEnd w:id="432"/>
      <w:bookmarkStart w:id="433" w:name="_Toc179632650"/>
      <w:bookmarkEnd w:id="433"/>
      <w:bookmarkStart w:id="434" w:name="_Toc144974600"/>
      <w:bookmarkEnd w:id="434"/>
      <w:bookmarkStart w:id="435" w:name="_Toc43475770"/>
      <w:bookmarkEnd w:id="435"/>
      <w:r>
        <w:rPr>
          <w:rFonts w:hint="eastAsia" w:ascii="宋体" w:eastAsia="宋体"/>
          <w:color w:val="auto"/>
          <w:szCs w:val="24"/>
          <w:highlight w:val="none"/>
        </w:rPr>
        <w:t>2.8 其他义务</w:t>
      </w:r>
    </w:p>
    <w:p w14:paraId="60814DE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发包人应履行合同约定的其他义务。</w:t>
      </w:r>
    </w:p>
    <w:p w14:paraId="76A444F6">
      <w:pPr>
        <w:pStyle w:val="78"/>
        <w:shd w:val="clear" w:fill="FFFFFF" w:themeFill="background1"/>
        <w:rPr>
          <w:rFonts w:ascii="宋体" w:hAnsi="宋体"/>
          <w:color w:val="auto"/>
          <w:sz w:val="24"/>
          <w:szCs w:val="24"/>
          <w:highlight w:val="none"/>
        </w:rPr>
      </w:pPr>
      <w:bookmarkStart w:id="436" w:name="_Toc386467043"/>
      <w:bookmarkEnd w:id="436"/>
      <w:bookmarkStart w:id="437" w:name="_Toc43475771"/>
      <w:bookmarkEnd w:id="437"/>
      <w:bookmarkStart w:id="438" w:name="_Toc393546297"/>
      <w:bookmarkEnd w:id="438"/>
      <w:r>
        <w:rPr>
          <w:rFonts w:hint="eastAsia" w:ascii="宋体" w:hAnsi="宋体"/>
          <w:color w:val="auto"/>
          <w:sz w:val="24"/>
          <w:szCs w:val="24"/>
          <w:highlight w:val="none"/>
        </w:rPr>
        <w:t>3. 监理人</w:t>
      </w:r>
    </w:p>
    <w:p w14:paraId="6E7F4911">
      <w:pPr>
        <w:pStyle w:val="67"/>
        <w:shd w:val="clear" w:fill="FFFFFF" w:themeFill="background1"/>
        <w:ind w:firstLine="118"/>
        <w:rPr>
          <w:rFonts w:ascii="宋体" w:eastAsia="宋体"/>
          <w:b/>
          <w:bCs/>
          <w:color w:val="auto"/>
          <w:szCs w:val="24"/>
          <w:highlight w:val="none"/>
        </w:rPr>
      </w:pPr>
      <w:bookmarkStart w:id="439" w:name="_Toc43475772"/>
      <w:bookmarkEnd w:id="439"/>
      <w:bookmarkStart w:id="440" w:name="_Toc386467044"/>
      <w:bookmarkEnd w:id="440"/>
      <w:bookmarkStart w:id="441" w:name="_Toc393546298"/>
      <w:bookmarkEnd w:id="441"/>
      <w:r>
        <w:rPr>
          <w:rFonts w:hint="eastAsia" w:ascii="宋体" w:eastAsia="宋体"/>
          <w:b/>
          <w:bCs/>
          <w:color w:val="auto"/>
          <w:szCs w:val="24"/>
          <w:highlight w:val="none"/>
        </w:rPr>
        <w:t>3.1 监理人的职责和权力</w:t>
      </w:r>
    </w:p>
    <w:p w14:paraId="39B46BD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 监理人受发包人委托，享有合同约定的权力。监理人在行使某项权力前需要经发包人事先批准而通用合同条款没有指明的，应在专用合同条款中指明。</w:t>
      </w:r>
    </w:p>
    <w:p w14:paraId="6B2E238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3.1.2 监理人发出的任何指示应视为已得到发包人的批准，但监理人无权免除或变更合同约定的发包人和承包人的权利、义务和责任。</w:t>
      </w:r>
    </w:p>
    <w:p w14:paraId="3AB97D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3.1.3 合同约定应由承包人承担的义务和责任，不因监理人对承包人提交文件的审查或批准，对工程、材料和设备的检查和检验，以及为实施监理作出的指示等职务行为而减轻或解除。</w:t>
      </w:r>
    </w:p>
    <w:p w14:paraId="376169C4">
      <w:pPr>
        <w:pStyle w:val="67"/>
        <w:shd w:val="clear" w:fill="FFFFFF" w:themeFill="background1"/>
        <w:ind w:firstLine="118"/>
        <w:rPr>
          <w:rFonts w:ascii="宋体" w:eastAsia="宋体"/>
          <w:b/>
          <w:bCs/>
          <w:color w:val="auto"/>
          <w:szCs w:val="24"/>
          <w:highlight w:val="none"/>
        </w:rPr>
      </w:pPr>
      <w:bookmarkStart w:id="442" w:name="_Toc386467045"/>
      <w:bookmarkEnd w:id="442"/>
      <w:bookmarkStart w:id="443" w:name="_Toc43475773"/>
      <w:bookmarkEnd w:id="443"/>
      <w:bookmarkStart w:id="444" w:name="_Toc393546299"/>
      <w:bookmarkEnd w:id="444"/>
      <w:bookmarkStart w:id="445" w:name="_Toc179632653"/>
      <w:bookmarkEnd w:id="445"/>
      <w:bookmarkStart w:id="446" w:name="_Toc144974603"/>
      <w:bookmarkEnd w:id="446"/>
      <w:bookmarkStart w:id="447" w:name="_Toc152045635"/>
      <w:bookmarkEnd w:id="447"/>
      <w:bookmarkStart w:id="448" w:name="_Toc152042413"/>
      <w:bookmarkEnd w:id="448"/>
      <w:bookmarkStart w:id="449" w:name="_Toc330406240"/>
      <w:bookmarkEnd w:id="449"/>
      <w:r>
        <w:rPr>
          <w:rFonts w:hint="eastAsia" w:ascii="宋体" w:eastAsia="宋体"/>
          <w:b/>
          <w:bCs/>
          <w:color w:val="auto"/>
          <w:szCs w:val="24"/>
          <w:highlight w:val="none"/>
        </w:rPr>
        <w:t>3.2 总监理工程师</w:t>
      </w:r>
    </w:p>
    <w:p w14:paraId="03943F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37BDFF0C">
      <w:pPr>
        <w:pStyle w:val="67"/>
        <w:shd w:val="clear" w:fill="FFFFFF" w:themeFill="background1"/>
        <w:ind w:firstLine="118"/>
        <w:rPr>
          <w:rFonts w:ascii="宋体" w:eastAsia="宋体"/>
          <w:b/>
          <w:bCs/>
          <w:color w:val="auto"/>
          <w:szCs w:val="24"/>
          <w:highlight w:val="none"/>
        </w:rPr>
      </w:pPr>
      <w:bookmarkStart w:id="450" w:name="_Toc144974604"/>
      <w:bookmarkEnd w:id="450"/>
      <w:bookmarkStart w:id="451" w:name="_Toc386467046"/>
      <w:bookmarkEnd w:id="451"/>
      <w:bookmarkStart w:id="452" w:name="_Toc179632654"/>
      <w:bookmarkEnd w:id="452"/>
      <w:bookmarkStart w:id="453" w:name="_Toc152042414"/>
      <w:bookmarkEnd w:id="453"/>
      <w:bookmarkStart w:id="454" w:name="_Toc152045636"/>
      <w:bookmarkEnd w:id="454"/>
      <w:bookmarkStart w:id="455" w:name="_Toc43475774"/>
      <w:bookmarkEnd w:id="455"/>
      <w:bookmarkStart w:id="456" w:name="_Toc330406241"/>
      <w:bookmarkEnd w:id="456"/>
      <w:bookmarkStart w:id="457" w:name="_Toc393546300"/>
      <w:bookmarkEnd w:id="457"/>
      <w:r>
        <w:rPr>
          <w:rFonts w:hint="eastAsia" w:ascii="宋体" w:eastAsia="宋体"/>
          <w:b/>
          <w:bCs/>
          <w:color w:val="auto"/>
          <w:szCs w:val="24"/>
          <w:highlight w:val="none"/>
        </w:rPr>
        <w:t>3.3 监理人员</w:t>
      </w:r>
    </w:p>
    <w:p w14:paraId="08A47F3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DF1B00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464707F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3.3.3 承包人对总监理工程师授权的监理人员发出的指示有疑问的，可向总监理工程师提出书面异议，总监理工程师应在48小时内对该指示予以确认、更改或撤销。</w:t>
      </w:r>
    </w:p>
    <w:p w14:paraId="47763F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3.3.4 除专用合同条款另有约定外，总监理工程师不应将第3.5款约定应由总监理工程师作出确定的权力授权或委托给其他监理人员。</w:t>
      </w:r>
    </w:p>
    <w:p w14:paraId="15D3961E">
      <w:pPr>
        <w:pStyle w:val="67"/>
        <w:shd w:val="clear" w:fill="FFFFFF" w:themeFill="background1"/>
        <w:ind w:firstLine="118"/>
        <w:rPr>
          <w:rFonts w:ascii="宋体" w:eastAsia="宋体"/>
          <w:b/>
          <w:bCs/>
          <w:color w:val="auto"/>
          <w:szCs w:val="24"/>
          <w:highlight w:val="none"/>
        </w:rPr>
      </w:pPr>
      <w:bookmarkStart w:id="458" w:name="_Toc179632655"/>
      <w:bookmarkEnd w:id="458"/>
      <w:bookmarkStart w:id="459" w:name="_Toc393546301"/>
      <w:bookmarkEnd w:id="459"/>
      <w:bookmarkStart w:id="460" w:name="_Toc330406242"/>
      <w:bookmarkEnd w:id="460"/>
      <w:bookmarkStart w:id="461" w:name="_Toc144974605"/>
      <w:bookmarkEnd w:id="461"/>
      <w:bookmarkStart w:id="462" w:name="_Toc386467047"/>
      <w:bookmarkEnd w:id="462"/>
      <w:bookmarkStart w:id="463" w:name="_Toc152045637"/>
      <w:bookmarkEnd w:id="463"/>
      <w:bookmarkStart w:id="464" w:name="_Toc152042415"/>
      <w:bookmarkEnd w:id="464"/>
      <w:bookmarkStart w:id="465" w:name="_Toc43475775"/>
      <w:bookmarkEnd w:id="465"/>
      <w:r>
        <w:rPr>
          <w:rFonts w:hint="eastAsia" w:ascii="宋体" w:eastAsia="宋体"/>
          <w:b/>
          <w:bCs/>
          <w:color w:val="auto"/>
          <w:szCs w:val="24"/>
          <w:highlight w:val="none"/>
        </w:rPr>
        <w:t>3.4 监理人的指示</w:t>
      </w:r>
    </w:p>
    <w:p w14:paraId="404229C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 监理人应按第3.1款的约定向承包人发出指示，监理人的指示应盖有监理人授权的施工场地机构章，并由总监理工程师或总监理工程师按第3.3.1项约定授权的监理人员签字。</w:t>
      </w:r>
    </w:p>
    <w:p w14:paraId="1891B1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3.4.2 承包人收到监理人按第3.4.1项作出的指示后应遵照执行。指示构成变更的，应按第15条处理。</w:t>
      </w:r>
    </w:p>
    <w:p w14:paraId="078D64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61FA36C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3.4.4 除合同另有约定外，承包人只从总监理工程师或按第3.3.1项被授权的监理人员处取得指示。</w:t>
      </w:r>
    </w:p>
    <w:p w14:paraId="3D299C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3.4.5 由于监理人未能按合同约定发出指示、指示延误或指示错误而导致承包人费用增加和（或）工期延误的，由发包人承担赔偿责任。 </w:t>
      </w:r>
    </w:p>
    <w:p w14:paraId="2E853A3E">
      <w:pPr>
        <w:pStyle w:val="67"/>
        <w:shd w:val="clear" w:fill="FFFFFF" w:themeFill="background1"/>
        <w:ind w:firstLine="118"/>
        <w:rPr>
          <w:rFonts w:ascii="宋体" w:eastAsia="宋体"/>
          <w:b/>
          <w:bCs/>
          <w:color w:val="auto"/>
          <w:szCs w:val="24"/>
          <w:highlight w:val="none"/>
        </w:rPr>
      </w:pPr>
      <w:bookmarkStart w:id="466" w:name="_Toc393546302"/>
      <w:bookmarkEnd w:id="466"/>
      <w:bookmarkStart w:id="467" w:name="_Toc43475776"/>
      <w:bookmarkEnd w:id="467"/>
      <w:bookmarkStart w:id="468" w:name="_Toc386467048"/>
      <w:bookmarkEnd w:id="468"/>
      <w:r>
        <w:rPr>
          <w:rFonts w:hint="eastAsia" w:ascii="宋体" w:eastAsia="宋体"/>
          <w:b/>
          <w:bCs/>
          <w:color w:val="auto"/>
          <w:szCs w:val="24"/>
          <w:highlight w:val="none"/>
        </w:rPr>
        <w:t>3.5 商定或确定</w:t>
      </w:r>
    </w:p>
    <w:p w14:paraId="7CBC43E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3.5.1合同约定总监理工程师应按照本款对任何事项进行商定或确定时，总监理工程师应与合同当事人协商，尽量达成一致。不能达成一致的，总监理工程师应认真研究后审慎确定。</w:t>
      </w:r>
    </w:p>
    <w:p w14:paraId="65A3630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45185241">
      <w:pPr>
        <w:pStyle w:val="78"/>
        <w:shd w:val="clear" w:fill="FFFFFF" w:themeFill="background1"/>
        <w:rPr>
          <w:rFonts w:ascii="宋体" w:hAnsi="宋体"/>
          <w:color w:val="auto"/>
          <w:sz w:val="24"/>
          <w:szCs w:val="24"/>
          <w:highlight w:val="none"/>
        </w:rPr>
      </w:pPr>
      <w:bookmarkStart w:id="469" w:name="_Toc393546303"/>
      <w:bookmarkEnd w:id="469"/>
      <w:bookmarkStart w:id="470" w:name="_Toc43475777"/>
      <w:bookmarkEnd w:id="470"/>
      <w:bookmarkStart w:id="471" w:name="_Toc386467049"/>
      <w:bookmarkEnd w:id="471"/>
      <w:r>
        <w:rPr>
          <w:rFonts w:hint="eastAsia" w:ascii="宋体" w:hAnsi="宋体"/>
          <w:color w:val="auto"/>
          <w:sz w:val="24"/>
          <w:szCs w:val="24"/>
          <w:highlight w:val="none"/>
        </w:rPr>
        <w:t>4. 承包人</w:t>
      </w:r>
    </w:p>
    <w:p w14:paraId="35C9AA17">
      <w:pPr>
        <w:pStyle w:val="67"/>
        <w:shd w:val="clear" w:fill="FFFFFF" w:themeFill="background1"/>
        <w:ind w:firstLine="118"/>
        <w:rPr>
          <w:rFonts w:ascii="宋体" w:eastAsia="宋体"/>
          <w:color w:val="auto"/>
          <w:szCs w:val="24"/>
          <w:highlight w:val="none"/>
        </w:rPr>
      </w:pPr>
      <w:bookmarkStart w:id="472" w:name="_Toc43475778"/>
      <w:bookmarkEnd w:id="472"/>
      <w:bookmarkStart w:id="473" w:name="_Toc386467050"/>
      <w:bookmarkEnd w:id="473"/>
      <w:bookmarkStart w:id="474" w:name="_Toc393546304"/>
      <w:bookmarkEnd w:id="474"/>
      <w:r>
        <w:rPr>
          <w:rFonts w:hint="eastAsia" w:ascii="宋体" w:eastAsia="宋体"/>
          <w:color w:val="auto"/>
          <w:szCs w:val="24"/>
          <w:highlight w:val="none"/>
        </w:rPr>
        <w:t>4.1 承包人的一般义务</w:t>
      </w:r>
    </w:p>
    <w:p w14:paraId="6A1ACDE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 遵守法律</w:t>
      </w:r>
    </w:p>
    <w:p w14:paraId="155AF4A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承包人在履行合同过程中应遵守法律，并保证发包人免于承担因承包人违反法律而引起的任何责任。</w:t>
      </w:r>
    </w:p>
    <w:p w14:paraId="073924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4.1.2 依法纳税</w:t>
      </w:r>
    </w:p>
    <w:p w14:paraId="647159E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承包人应按有关法律规定纳税，应缴纳的税金包括在合同价格内。</w:t>
      </w:r>
    </w:p>
    <w:p w14:paraId="0AF84B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4.1.3 完成各项承包工作</w:t>
      </w:r>
    </w:p>
    <w:p w14:paraId="0838B3C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731B4C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4.1.4 对施工作业和施工方法的完备性负责</w:t>
      </w:r>
    </w:p>
    <w:p w14:paraId="38D8E86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承包人应按合同约定的工作内容和施工进度要求，编制施工组织设计和施工措施计划，并对所有施工作业和施工方法的完备性和安全可靠性负责。</w:t>
      </w:r>
    </w:p>
    <w:p w14:paraId="28FDFF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4.1.5 保证工程施工和人员的安全</w:t>
      </w:r>
    </w:p>
    <w:p w14:paraId="2734786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承包人应按第9.2款约定采取施工安全措施，确保工程及其人员、材料、设备和设施的安全，防止因工程施工造成的人身伤害和财产损失。</w:t>
      </w:r>
    </w:p>
    <w:p w14:paraId="0E80BE6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14:paraId="7CD3CC7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承包人应按照第9.4款约定负责施工场地及其周边环境与生态的保护工作。</w:t>
      </w:r>
    </w:p>
    <w:p w14:paraId="478E5A3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4.1.7 避免施工对公众与他人的利益造成损害</w:t>
      </w:r>
    </w:p>
    <w:p w14:paraId="4C564A0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881DCC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14:paraId="0AA9636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15CA2D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4.1.9 工程的维护和照管</w:t>
      </w:r>
    </w:p>
    <w:p w14:paraId="0EC11FA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4DEF9C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43E0F6C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承包人应履行合同约定的其他义务。</w:t>
      </w:r>
    </w:p>
    <w:p w14:paraId="029FD63C">
      <w:pPr>
        <w:pStyle w:val="67"/>
        <w:shd w:val="clear" w:fill="FFFFFF" w:themeFill="background1"/>
        <w:ind w:firstLine="118"/>
        <w:rPr>
          <w:rFonts w:ascii="宋体" w:eastAsia="宋体"/>
          <w:color w:val="auto"/>
          <w:szCs w:val="24"/>
          <w:highlight w:val="none"/>
        </w:rPr>
      </w:pPr>
      <w:bookmarkStart w:id="475" w:name="_Toc393546305"/>
      <w:bookmarkEnd w:id="475"/>
      <w:bookmarkStart w:id="476" w:name="_Toc43475779"/>
      <w:bookmarkEnd w:id="476"/>
      <w:bookmarkStart w:id="477" w:name="_Toc386467051"/>
      <w:bookmarkEnd w:id="477"/>
      <w:r>
        <w:rPr>
          <w:rFonts w:hint="eastAsia" w:ascii="宋体" w:eastAsia="宋体"/>
          <w:color w:val="auto"/>
          <w:szCs w:val="24"/>
          <w:highlight w:val="none"/>
        </w:rPr>
        <w:t>4.2 履约担保</w:t>
      </w:r>
    </w:p>
    <w:p w14:paraId="417F30F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承包人应保证其履约担保在发包人颁发工程接收证书前一直有效。发包人应在工程接收证书颁发后28天内把履约担保退还给承包人。</w:t>
      </w:r>
    </w:p>
    <w:p w14:paraId="5755A1DC">
      <w:pPr>
        <w:pStyle w:val="67"/>
        <w:shd w:val="clear" w:fill="FFFFFF" w:themeFill="background1"/>
        <w:ind w:firstLine="118"/>
        <w:rPr>
          <w:rFonts w:ascii="宋体" w:eastAsia="宋体"/>
          <w:color w:val="auto"/>
          <w:szCs w:val="24"/>
          <w:highlight w:val="none"/>
        </w:rPr>
      </w:pPr>
      <w:bookmarkStart w:id="478" w:name="_Toc393546306"/>
      <w:bookmarkEnd w:id="478"/>
      <w:bookmarkStart w:id="479" w:name="_Toc386467052"/>
      <w:bookmarkEnd w:id="479"/>
      <w:bookmarkStart w:id="480" w:name="_Toc43475780"/>
      <w:bookmarkEnd w:id="480"/>
      <w:r>
        <w:rPr>
          <w:rFonts w:hint="eastAsia" w:ascii="宋体" w:eastAsia="宋体"/>
          <w:color w:val="auto"/>
          <w:szCs w:val="24"/>
          <w:highlight w:val="none"/>
        </w:rPr>
        <w:t>4.3 分包</w:t>
      </w:r>
    </w:p>
    <w:p w14:paraId="37B42BC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4.3.1 承包人不得将其承包的全部工程转包给第三人，或将其承包的全部工程肢解后以分包的名义转包给第三人。</w:t>
      </w:r>
    </w:p>
    <w:p w14:paraId="7710FDE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承包人不得将工程主体、关键性工作分包给第三人。除专用合同条款另有约定外，未经发包人同意，承包人不得将工程的其他部分或工作分包给第三人。</w:t>
      </w:r>
    </w:p>
    <w:p w14:paraId="464AE79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4.3.3 分包人的资格能力应与其分包工程的标准和规模相适应。</w:t>
      </w:r>
    </w:p>
    <w:p w14:paraId="5D5264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4.3.4 按投标函附录约定分包工程的，承包人应向发包人和监理人提交分包合同副本。</w:t>
      </w:r>
    </w:p>
    <w:p w14:paraId="2C53AB0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4.3.5 承包人应与分包人就分包工程向发包人承担连带责任。</w:t>
      </w:r>
    </w:p>
    <w:p w14:paraId="774975E6">
      <w:pPr>
        <w:pStyle w:val="67"/>
        <w:shd w:val="clear" w:fill="FFFFFF" w:themeFill="background1"/>
        <w:ind w:firstLine="118"/>
        <w:rPr>
          <w:rFonts w:ascii="宋体" w:eastAsia="宋体"/>
          <w:color w:val="auto"/>
          <w:szCs w:val="24"/>
          <w:highlight w:val="none"/>
        </w:rPr>
      </w:pPr>
      <w:bookmarkStart w:id="481" w:name="_Toc386467053"/>
      <w:bookmarkEnd w:id="481"/>
      <w:bookmarkStart w:id="482" w:name="_Toc393546307"/>
      <w:bookmarkEnd w:id="482"/>
      <w:bookmarkStart w:id="483" w:name="_Toc43475781"/>
      <w:bookmarkEnd w:id="483"/>
      <w:r>
        <w:rPr>
          <w:rFonts w:hint="eastAsia" w:ascii="宋体" w:eastAsia="宋体"/>
          <w:color w:val="auto"/>
          <w:szCs w:val="24"/>
          <w:highlight w:val="none"/>
        </w:rPr>
        <w:t>4.4 联合体</w:t>
      </w:r>
    </w:p>
    <w:p w14:paraId="5B127A3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4.4.1 联合体各方应共同与发包人签订合同协议书。联合体各方应为履行合同承担连带责任。</w:t>
      </w:r>
    </w:p>
    <w:p w14:paraId="340DD08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4.4.2 联合体协议经发包人确认后作为合同附件。在履行合同过程中，未经发包人同意，不得修改联合体协议。</w:t>
      </w:r>
    </w:p>
    <w:p w14:paraId="59234CB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4.4.3 联合体牵头人负责与发包人和监理人联系，并接受指示，负责组织联合体各成员全面履行合同。</w:t>
      </w:r>
    </w:p>
    <w:p w14:paraId="7B5D69F4">
      <w:pPr>
        <w:pStyle w:val="67"/>
        <w:shd w:val="clear" w:fill="FFFFFF" w:themeFill="background1"/>
        <w:ind w:firstLine="118"/>
        <w:rPr>
          <w:rFonts w:ascii="宋体" w:eastAsia="宋体"/>
          <w:color w:val="auto"/>
          <w:szCs w:val="24"/>
          <w:highlight w:val="none"/>
        </w:rPr>
      </w:pPr>
      <w:bookmarkStart w:id="484" w:name="_Toc393546308"/>
      <w:bookmarkEnd w:id="484"/>
      <w:bookmarkStart w:id="485" w:name="_Toc386467054"/>
      <w:bookmarkEnd w:id="485"/>
      <w:bookmarkStart w:id="486" w:name="_Toc43475782"/>
      <w:bookmarkEnd w:id="486"/>
      <w:r>
        <w:rPr>
          <w:rFonts w:hint="eastAsia" w:ascii="宋体" w:eastAsia="宋体"/>
          <w:color w:val="auto"/>
          <w:szCs w:val="24"/>
          <w:highlight w:val="none"/>
        </w:rPr>
        <w:t>4.5 承包人项目经理</w:t>
      </w:r>
    </w:p>
    <w:p w14:paraId="0231583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3833C2E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1A8C24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4.5.3承包人为履行合同发出的一切函件均应盖有承包人授权的施工场地管理机构章，并由承包人项目经理或其授权代表签字。</w:t>
      </w:r>
    </w:p>
    <w:p w14:paraId="276A48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4.5.4 承包人项目经理可以授权其下属人员履行其某项职责，但事先应将这些人员的姓名和授权范围通知监理人。</w:t>
      </w:r>
    </w:p>
    <w:p w14:paraId="3BB321C6">
      <w:pPr>
        <w:pStyle w:val="67"/>
        <w:shd w:val="clear" w:fill="FFFFFF" w:themeFill="background1"/>
        <w:ind w:firstLine="118"/>
        <w:rPr>
          <w:rFonts w:ascii="宋体" w:eastAsia="宋体"/>
          <w:color w:val="auto"/>
          <w:szCs w:val="24"/>
          <w:highlight w:val="none"/>
        </w:rPr>
      </w:pPr>
      <w:bookmarkStart w:id="487" w:name="_Toc43475783"/>
      <w:bookmarkEnd w:id="487"/>
      <w:bookmarkStart w:id="488" w:name="_Toc179632663"/>
      <w:bookmarkEnd w:id="488"/>
      <w:bookmarkStart w:id="489" w:name="_Toc393546309"/>
      <w:bookmarkEnd w:id="489"/>
      <w:bookmarkStart w:id="490" w:name="_Toc386467055"/>
      <w:bookmarkEnd w:id="490"/>
      <w:bookmarkStart w:id="491" w:name="_Toc152045645"/>
      <w:bookmarkEnd w:id="491"/>
      <w:bookmarkStart w:id="492" w:name="_Toc144974613"/>
      <w:bookmarkEnd w:id="492"/>
      <w:bookmarkStart w:id="493" w:name="_Toc152042423"/>
      <w:bookmarkEnd w:id="493"/>
      <w:bookmarkStart w:id="494" w:name="_Toc330406250"/>
      <w:bookmarkEnd w:id="494"/>
      <w:r>
        <w:rPr>
          <w:rFonts w:hint="eastAsia" w:ascii="宋体" w:eastAsia="宋体"/>
          <w:color w:val="auto"/>
          <w:szCs w:val="24"/>
          <w:highlight w:val="none"/>
        </w:rPr>
        <w:t>4.6 承包人人员的管理</w:t>
      </w:r>
    </w:p>
    <w:p w14:paraId="6342BE1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7C9BF5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4.6.2 为完成合同约定的各项工作，承包人应向施工场地派遣或雇佣足够数量的下列人员：</w:t>
      </w:r>
    </w:p>
    <w:p w14:paraId="0E36DB3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（1）具有相应资格的专业技工和合格的普工；</w:t>
      </w:r>
    </w:p>
    <w:p w14:paraId="13282E3A">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（2）具有相应施工经验的技术人员；</w:t>
      </w:r>
    </w:p>
    <w:p w14:paraId="56C890A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（3）具有相应岗位资格的各级管理人员。</w:t>
      </w:r>
    </w:p>
    <w:p w14:paraId="1D1D0E9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4.6.3 承包人安排在施工场地的主要管理人员和技术骨干应相对稳定。承包人更换主要管理人员和技术骨干时，应取得监理人的同意。</w:t>
      </w:r>
    </w:p>
    <w:p w14:paraId="7CA122E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4.6.4 特殊岗位的工作人员均应持有相应的资格证明，监理人有权随时检查。监理人认为有必要时，可进行现场考核。</w:t>
      </w:r>
    </w:p>
    <w:p w14:paraId="61E24214">
      <w:pPr>
        <w:pStyle w:val="67"/>
        <w:shd w:val="clear" w:fill="FFFFFF" w:themeFill="background1"/>
        <w:ind w:firstLine="118"/>
        <w:rPr>
          <w:rFonts w:ascii="宋体" w:eastAsia="宋体"/>
          <w:color w:val="auto"/>
          <w:szCs w:val="24"/>
          <w:highlight w:val="none"/>
        </w:rPr>
      </w:pPr>
      <w:bookmarkStart w:id="495" w:name="_Toc386467056"/>
      <w:bookmarkEnd w:id="495"/>
      <w:bookmarkStart w:id="496" w:name="_Toc152045646"/>
      <w:bookmarkEnd w:id="496"/>
      <w:bookmarkStart w:id="497" w:name="_Toc144974614"/>
      <w:bookmarkEnd w:id="497"/>
      <w:bookmarkStart w:id="498" w:name="_Toc179632664"/>
      <w:bookmarkEnd w:id="498"/>
      <w:bookmarkStart w:id="499" w:name="_Toc330406251"/>
      <w:bookmarkEnd w:id="499"/>
      <w:bookmarkStart w:id="500" w:name="_Toc152042424"/>
      <w:bookmarkEnd w:id="500"/>
      <w:bookmarkStart w:id="501" w:name="_Toc43475784"/>
      <w:bookmarkEnd w:id="501"/>
      <w:bookmarkStart w:id="502" w:name="_Toc393546310"/>
      <w:bookmarkEnd w:id="502"/>
      <w:r>
        <w:rPr>
          <w:rFonts w:hint="eastAsia" w:ascii="宋体" w:eastAsia="宋体"/>
          <w:color w:val="auto"/>
          <w:szCs w:val="24"/>
          <w:highlight w:val="none"/>
        </w:rPr>
        <w:t>4.7 撤换承包人项目经理和其他人员</w:t>
      </w:r>
    </w:p>
    <w:p w14:paraId="5D287B2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w:t>
      </w:r>
    </w:p>
    <w:p w14:paraId="6137EC06">
      <w:pPr>
        <w:pStyle w:val="67"/>
        <w:shd w:val="clear" w:fill="FFFFFF" w:themeFill="background1"/>
        <w:ind w:firstLine="118"/>
        <w:rPr>
          <w:rFonts w:ascii="宋体" w:eastAsia="宋体"/>
          <w:color w:val="auto"/>
          <w:szCs w:val="24"/>
          <w:highlight w:val="none"/>
        </w:rPr>
      </w:pPr>
      <w:bookmarkStart w:id="503" w:name="_Toc330406252"/>
      <w:bookmarkEnd w:id="503"/>
      <w:bookmarkStart w:id="504" w:name="_Toc179632665"/>
      <w:bookmarkEnd w:id="504"/>
      <w:bookmarkStart w:id="505" w:name="_Toc152045647"/>
      <w:bookmarkEnd w:id="505"/>
      <w:bookmarkStart w:id="506" w:name="_Toc386467057"/>
      <w:bookmarkEnd w:id="506"/>
      <w:bookmarkStart w:id="507" w:name="_Toc152042425"/>
      <w:bookmarkEnd w:id="507"/>
      <w:bookmarkStart w:id="508" w:name="_Toc393546311"/>
      <w:bookmarkEnd w:id="508"/>
      <w:bookmarkStart w:id="509" w:name="_Toc144974615"/>
      <w:bookmarkEnd w:id="509"/>
      <w:bookmarkStart w:id="510" w:name="_Toc43475785"/>
      <w:bookmarkEnd w:id="510"/>
      <w:r>
        <w:rPr>
          <w:rFonts w:hint="eastAsia" w:ascii="宋体" w:eastAsia="宋体"/>
          <w:color w:val="auto"/>
          <w:szCs w:val="24"/>
          <w:highlight w:val="none"/>
        </w:rPr>
        <w:t>4.8 保障承包人人员的合法权益</w:t>
      </w:r>
    </w:p>
    <w:p w14:paraId="3F8CE63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4.8.1 承包人应与其雇佣的人员签订劳动合同，并按时发放工资。</w:t>
      </w:r>
    </w:p>
    <w:p w14:paraId="61B61C5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078228B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4.8.3 承包人应为其雇佣人员提供必要的食宿条件，以及符合环境保护和卫生要求的生活环境，在远离城镇的施工场地，还应配备必要的伤病防治和急救的医务人员与医疗设施。</w:t>
      </w:r>
    </w:p>
    <w:p w14:paraId="1F4CD7F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C1A0E3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4.8.5 承包人应按有关法律规定和合同约定，为其雇佣人员办理保险。</w:t>
      </w:r>
    </w:p>
    <w:p w14:paraId="23EFBC3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4.8.6 承包人应负责处理其雇佣人员因工伤亡事故的善后事宜。</w:t>
      </w:r>
    </w:p>
    <w:p w14:paraId="21060C26">
      <w:pPr>
        <w:pStyle w:val="67"/>
        <w:shd w:val="clear" w:fill="FFFFFF" w:themeFill="background1"/>
        <w:ind w:firstLine="118"/>
        <w:rPr>
          <w:rFonts w:ascii="宋体" w:eastAsia="宋体"/>
          <w:color w:val="auto"/>
          <w:szCs w:val="24"/>
          <w:highlight w:val="none"/>
        </w:rPr>
      </w:pPr>
      <w:bookmarkStart w:id="511" w:name="_Toc43475786"/>
      <w:bookmarkEnd w:id="511"/>
      <w:bookmarkStart w:id="512" w:name="_Toc386467058"/>
      <w:bookmarkEnd w:id="512"/>
      <w:bookmarkStart w:id="513" w:name="_Toc179632666"/>
      <w:bookmarkEnd w:id="513"/>
      <w:bookmarkStart w:id="514" w:name="_Toc152042426"/>
      <w:bookmarkEnd w:id="514"/>
      <w:bookmarkStart w:id="515" w:name="_Toc330406253"/>
      <w:bookmarkEnd w:id="515"/>
      <w:bookmarkStart w:id="516" w:name="_Toc152045648"/>
      <w:bookmarkEnd w:id="516"/>
      <w:bookmarkStart w:id="517" w:name="_Toc393546312"/>
      <w:bookmarkEnd w:id="517"/>
      <w:bookmarkStart w:id="518" w:name="_Toc144974616"/>
      <w:bookmarkEnd w:id="518"/>
      <w:r>
        <w:rPr>
          <w:rFonts w:hint="eastAsia" w:ascii="宋体" w:eastAsia="宋体"/>
          <w:color w:val="auto"/>
          <w:szCs w:val="24"/>
          <w:highlight w:val="none"/>
        </w:rPr>
        <w:t>4.9 工程价款应专款专用</w:t>
      </w:r>
    </w:p>
    <w:p w14:paraId="697B155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w:t>
      </w:r>
    </w:p>
    <w:p w14:paraId="003B4FF0">
      <w:pPr>
        <w:pStyle w:val="67"/>
        <w:shd w:val="clear" w:fill="FFFFFF" w:themeFill="background1"/>
        <w:ind w:firstLine="118"/>
        <w:rPr>
          <w:rFonts w:ascii="宋体" w:eastAsia="宋体"/>
          <w:color w:val="auto"/>
          <w:szCs w:val="24"/>
          <w:highlight w:val="none"/>
        </w:rPr>
      </w:pPr>
      <w:bookmarkStart w:id="519" w:name="_Toc386467059"/>
      <w:bookmarkEnd w:id="519"/>
      <w:bookmarkStart w:id="520" w:name="_Toc393546313"/>
      <w:bookmarkEnd w:id="520"/>
      <w:bookmarkStart w:id="521" w:name="_Toc43475787"/>
      <w:bookmarkEnd w:id="521"/>
      <w:r>
        <w:rPr>
          <w:rFonts w:hint="eastAsia" w:ascii="宋体" w:eastAsia="宋体"/>
          <w:color w:val="auto"/>
          <w:szCs w:val="24"/>
          <w:highlight w:val="none"/>
        </w:rPr>
        <w:t>4.10 承包人现场查勘</w:t>
      </w:r>
    </w:p>
    <w:p w14:paraId="51A8130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4.10.1 发包人应将其持有的现场地质勘探资料、水文气象资料提供给承包人，并对其准确性负责。但承包人应对其阅读上述有关资料后所作出的解释和推断负责。</w:t>
      </w:r>
    </w:p>
    <w:p w14:paraId="1B13BD9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B465C37">
      <w:pPr>
        <w:pStyle w:val="67"/>
        <w:shd w:val="clear" w:fill="FFFFFF" w:themeFill="background1"/>
        <w:ind w:firstLine="118"/>
        <w:rPr>
          <w:rFonts w:ascii="宋体" w:eastAsia="宋体"/>
          <w:color w:val="auto"/>
          <w:szCs w:val="24"/>
          <w:highlight w:val="none"/>
        </w:rPr>
      </w:pPr>
      <w:bookmarkStart w:id="522" w:name="_Toc386467060"/>
      <w:bookmarkEnd w:id="522"/>
      <w:bookmarkStart w:id="523" w:name="_Toc43475788"/>
      <w:bookmarkEnd w:id="523"/>
      <w:bookmarkStart w:id="524" w:name="_Toc393546314"/>
      <w:bookmarkEnd w:id="524"/>
      <w:r>
        <w:rPr>
          <w:rFonts w:hint="eastAsia" w:ascii="宋体" w:eastAsia="宋体"/>
          <w:color w:val="auto"/>
          <w:szCs w:val="24"/>
          <w:highlight w:val="none"/>
        </w:rPr>
        <w:t>4.11 不利物质条件</w:t>
      </w:r>
    </w:p>
    <w:p w14:paraId="6803FB0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4.11.1 不利物质条件，除专用合同条款另有约定外，是指承包人在施工场地遇到的不可预见的自然物质条件、非自然的物质障碍和污染物，包括地下和水文条件，但不包括气候条件。</w:t>
      </w:r>
    </w:p>
    <w:p w14:paraId="6BFB74A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97C329C">
      <w:pPr>
        <w:pStyle w:val="78"/>
        <w:shd w:val="clear" w:fill="FFFFFF" w:themeFill="background1"/>
        <w:rPr>
          <w:rFonts w:ascii="宋体" w:hAnsi="宋体"/>
          <w:color w:val="auto"/>
          <w:sz w:val="24"/>
          <w:szCs w:val="24"/>
          <w:highlight w:val="none"/>
        </w:rPr>
      </w:pPr>
      <w:bookmarkStart w:id="525" w:name="_Toc386467061"/>
      <w:bookmarkEnd w:id="525"/>
      <w:bookmarkStart w:id="526" w:name="_Toc43475789"/>
      <w:bookmarkEnd w:id="526"/>
      <w:bookmarkStart w:id="527" w:name="_Toc393546315"/>
      <w:bookmarkEnd w:id="527"/>
      <w:r>
        <w:rPr>
          <w:rFonts w:hint="eastAsia" w:ascii="宋体" w:hAnsi="宋体"/>
          <w:color w:val="auto"/>
          <w:sz w:val="24"/>
          <w:szCs w:val="24"/>
          <w:highlight w:val="none"/>
        </w:rPr>
        <w:t>5. 材料和工程设备</w:t>
      </w:r>
    </w:p>
    <w:p w14:paraId="00836081">
      <w:pPr>
        <w:pStyle w:val="67"/>
        <w:shd w:val="clear" w:fill="FFFFFF" w:themeFill="background1"/>
        <w:ind w:firstLine="118"/>
        <w:rPr>
          <w:rFonts w:ascii="宋体" w:eastAsia="宋体"/>
          <w:color w:val="auto"/>
          <w:szCs w:val="24"/>
          <w:highlight w:val="none"/>
        </w:rPr>
      </w:pPr>
      <w:bookmarkStart w:id="528" w:name="_Toc179632670"/>
      <w:bookmarkEnd w:id="528"/>
      <w:bookmarkStart w:id="529" w:name="_Toc152042430"/>
      <w:bookmarkEnd w:id="529"/>
      <w:bookmarkStart w:id="530" w:name="_Toc330406257"/>
      <w:bookmarkEnd w:id="530"/>
      <w:bookmarkStart w:id="531" w:name="_Toc43475790"/>
      <w:bookmarkEnd w:id="531"/>
      <w:bookmarkStart w:id="532" w:name="_Toc152045652"/>
      <w:bookmarkEnd w:id="532"/>
      <w:bookmarkStart w:id="533" w:name="_Toc144974620"/>
      <w:bookmarkEnd w:id="533"/>
      <w:bookmarkStart w:id="534" w:name="_Toc386467062"/>
      <w:bookmarkEnd w:id="534"/>
      <w:bookmarkStart w:id="535" w:name="_Toc393546316"/>
      <w:bookmarkEnd w:id="535"/>
      <w:r>
        <w:rPr>
          <w:rFonts w:hint="eastAsia" w:ascii="宋体" w:eastAsia="宋体"/>
          <w:color w:val="auto"/>
          <w:szCs w:val="24"/>
          <w:highlight w:val="none"/>
        </w:rPr>
        <w:t>5.1 承包人提供的材料和工程设备</w:t>
      </w:r>
    </w:p>
    <w:p w14:paraId="684FF47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 除专用合同条款另有约定外，承包人提供的材料和工程设备均由承包人负责采购、运输和保管。承包人应对其采购的材料和工程设备负责。</w:t>
      </w:r>
    </w:p>
    <w:p w14:paraId="6C41826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798C0BD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8D88888">
      <w:pPr>
        <w:pStyle w:val="67"/>
        <w:shd w:val="clear" w:fill="FFFFFF" w:themeFill="background1"/>
        <w:ind w:firstLine="118"/>
        <w:rPr>
          <w:rFonts w:ascii="宋体" w:eastAsia="宋体"/>
          <w:color w:val="auto"/>
          <w:szCs w:val="24"/>
          <w:highlight w:val="none"/>
        </w:rPr>
      </w:pPr>
      <w:bookmarkStart w:id="536" w:name="_Toc43475791"/>
      <w:bookmarkEnd w:id="536"/>
      <w:bookmarkStart w:id="537" w:name="_Toc393546317"/>
      <w:bookmarkEnd w:id="537"/>
      <w:bookmarkStart w:id="538" w:name="_Toc386467063"/>
      <w:bookmarkEnd w:id="538"/>
      <w:r>
        <w:rPr>
          <w:rFonts w:hint="eastAsia" w:ascii="宋体" w:eastAsia="宋体"/>
          <w:color w:val="auto"/>
          <w:szCs w:val="24"/>
          <w:highlight w:val="none"/>
        </w:rPr>
        <w:t>5.2 发包人提供的材料和工程设备</w:t>
      </w:r>
    </w:p>
    <w:p w14:paraId="1E6E46E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5.2.1 发包人提供的材料和工程设备，应在专用合同条款中写明材料和工程设备的名称、规格、数量、价格、交货方式、交货地点和计划交货日期等。</w:t>
      </w:r>
    </w:p>
    <w:p w14:paraId="3AB9B5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5.2.2 承包人应根据合同进度计划的安排，向监理人报送要求发包人交货的日期计划。发包人应按照监理人与合同双方当事人商定的交货日期，向承包人提交材料和工程设备。</w:t>
      </w:r>
    </w:p>
    <w:p w14:paraId="2DD4F7D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4920DC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5.2.4 发包人要求向承包人提前交货的，承包人不得拒绝，但发包人应承担承包人由此增加的费用。 </w:t>
      </w:r>
    </w:p>
    <w:p w14:paraId="3371FF0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5.2.5 承包人要求更改交货日期或地点的，应事先报请监理人批准。由于承包人要求更改交货时间或地点所增加的费用和（或）工期延误由承包人承担。 </w:t>
      </w:r>
    </w:p>
    <w:p w14:paraId="2860D2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FAFE1ED">
      <w:pPr>
        <w:pStyle w:val="67"/>
        <w:shd w:val="clear" w:fill="FFFFFF" w:themeFill="background1"/>
        <w:ind w:firstLine="118"/>
        <w:rPr>
          <w:rFonts w:ascii="宋体" w:eastAsia="宋体"/>
          <w:color w:val="auto"/>
          <w:szCs w:val="24"/>
          <w:highlight w:val="none"/>
        </w:rPr>
      </w:pPr>
      <w:bookmarkStart w:id="539" w:name="_Toc393546318"/>
      <w:bookmarkEnd w:id="539"/>
      <w:bookmarkStart w:id="540" w:name="_Toc144974622"/>
      <w:bookmarkEnd w:id="540"/>
      <w:bookmarkStart w:id="541" w:name="_Toc152042432"/>
      <w:bookmarkEnd w:id="541"/>
      <w:bookmarkStart w:id="542" w:name="_Toc386467064"/>
      <w:bookmarkEnd w:id="542"/>
      <w:bookmarkStart w:id="543" w:name="_Toc179632672"/>
      <w:bookmarkEnd w:id="543"/>
      <w:bookmarkStart w:id="544" w:name="_Toc152045654"/>
      <w:bookmarkEnd w:id="544"/>
      <w:bookmarkStart w:id="545" w:name="_Toc330406259"/>
      <w:bookmarkEnd w:id="545"/>
      <w:bookmarkStart w:id="546" w:name="_Toc43475792"/>
      <w:bookmarkEnd w:id="546"/>
      <w:r>
        <w:rPr>
          <w:rFonts w:hint="eastAsia" w:ascii="宋体" w:eastAsia="宋体"/>
          <w:color w:val="auto"/>
          <w:szCs w:val="24"/>
          <w:highlight w:val="none"/>
        </w:rPr>
        <w:t>5.3 材料和工程设备专用于合同工程</w:t>
      </w:r>
    </w:p>
    <w:p w14:paraId="1131BEC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5.3.1运入施工场地的材料、工程设备，包括备品备件、安装专用工器具与随机资料，必须专用于合同工程，未经监理人同意，承包人不得运出施工场地或挪作他用。</w:t>
      </w:r>
    </w:p>
    <w:p w14:paraId="769A745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076951E0">
      <w:pPr>
        <w:pStyle w:val="67"/>
        <w:shd w:val="clear" w:fill="FFFFFF" w:themeFill="background1"/>
        <w:ind w:firstLine="118"/>
        <w:rPr>
          <w:rFonts w:ascii="宋体" w:eastAsia="宋体"/>
          <w:color w:val="auto"/>
          <w:szCs w:val="24"/>
          <w:highlight w:val="none"/>
        </w:rPr>
      </w:pPr>
      <w:bookmarkStart w:id="547" w:name="_Toc330406260"/>
      <w:bookmarkEnd w:id="547"/>
      <w:bookmarkStart w:id="548" w:name="_Toc144974623"/>
      <w:bookmarkEnd w:id="548"/>
      <w:bookmarkStart w:id="549" w:name="_Toc152045655"/>
      <w:bookmarkEnd w:id="549"/>
      <w:bookmarkStart w:id="550" w:name="_Toc179632673"/>
      <w:bookmarkEnd w:id="550"/>
      <w:bookmarkStart w:id="551" w:name="_Toc386467065"/>
      <w:bookmarkEnd w:id="551"/>
      <w:bookmarkStart w:id="552" w:name="_Toc43475793"/>
      <w:bookmarkEnd w:id="552"/>
      <w:bookmarkStart w:id="553" w:name="_Toc393546319"/>
      <w:bookmarkEnd w:id="553"/>
      <w:bookmarkStart w:id="554" w:name="_Toc152042433"/>
      <w:bookmarkEnd w:id="554"/>
      <w:r>
        <w:rPr>
          <w:rFonts w:hint="eastAsia" w:ascii="宋体" w:eastAsia="宋体"/>
          <w:color w:val="auto"/>
          <w:szCs w:val="24"/>
          <w:highlight w:val="none"/>
        </w:rPr>
        <w:t>5.4 禁止使用不合格的材料和工程设备</w:t>
      </w:r>
    </w:p>
    <w:p w14:paraId="037A2B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5.4.1 监理人有权拒绝承包人提供的不合格材料或工程设备，并要求承包人立即进行更换。监理人应在更换后再次进行检查和检验，由此增加的费用和（或）工期延误由承包人承担。</w:t>
      </w:r>
    </w:p>
    <w:p w14:paraId="42A1E0D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5.4.2 监理人发现承包人使用了不合格的材料和工程设备，应即时发出指示要求承包人立即改正，并禁止在工程中继续使用不合格的材料和工程设备。</w:t>
      </w:r>
    </w:p>
    <w:p w14:paraId="5AF5BFE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5.4.3 发包人提供的材料或工程设备不符合合同要求的，承包人有权拒绝，并可要求发包人更换，由此增加的费用和（或）工期延误由发包人承担。</w:t>
      </w:r>
    </w:p>
    <w:p w14:paraId="31DE8F5B">
      <w:pPr>
        <w:pStyle w:val="78"/>
        <w:shd w:val="clear" w:fill="FFFFFF" w:themeFill="background1"/>
        <w:rPr>
          <w:rFonts w:ascii="宋体" w:hAnsi="宋体"/>
          <w:color w:val="auto"/>
          <w:sz w:val="24"/>
          <w:szCs w:val="24"/>
          <w:highlight w:val="none"/>
        </w:rPr>
      </w:pPr>
      <w:bookmarkStart w:id="555" w:name="_Toc393546320"/>
      <w:bookmarkEnd w:id="555"/>
      <w:bookmarkStart w:id="556" w:name="_Toc386467066"/>
      <w:bookmarkEnd w:id="556"/>
      <w:bookmarkStart w:id="557" w:name="_Toc43475794"/>
      <w:bookmarkEnd w:id="557"/>
      <w:r>
        <w:rPr>
          <w:rFonts w:hint="eastAsia" w:ascii="宋体" w:hAnsi="宋体"/>
          <w:color w:val="auto"/>
          <w:sz w:val="24"/>
          <w:szCs w:val="24"/>
          <w:highlight w:val="none"/>
        </w:rPr>
        <w:t>6. 施工设备和临时设施</w:t>
      </w:r>
    </w:p>
    <w:p w14:paraId="453341E1">
      <w:pPr>
        <w:pStyle w:val="67"/>
        <w:shd w:val="clear" w:fill="FFFFFF" w:themeFill="background1"/>
        <w:ind w:firstLine="118"/>
        <w:rPr>
          <w:rFonts w:ascii="宋体" w:eastAsia="宋体"/>
          <w:color w:val="auto"/>
          <w:szCs w:val="24"/>
          <w:highlight w:val="none"/>
        </w:rPr>
      </w:pPr>
      <w:bookmarkStart w:id="558" w:name="_Toc393546321"/>
      <w:bookmarkEnd w:id="558"/>
      <w:bookmarkStart w:id="559" w:name="_Toc43475795"/>
      <w:bookmarkEnd w:id="559"/>
      <w:bookmarkStart w:id="560" w:name="_Toc386467067"/>
      <w:bookmarkEnd w:id="560"/>
      <w:r>
        <w:rPr>
          <w:rFonts w:hint="eastAsia" w:ascii="宋体" w:eastAsia="宋体"/>
          <w:color w:val="auto"/>
          <w:szCs w:val="24"/>
          <w:highlight w:val="none"/>
        </w:rPr>
        <w:t>6.1 承包人提供的施工设备和临时设施</w:t>
      </w:r>
    </w:p>
    <w:p w14:paraId="60C8684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5E8997A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6.1.2除专用合同条款另有约定外，承包人应自行承担修建临时设施的费用，需要临时占地的，应由发包人办理申请手续并承担相应费用。</w:t>
      </w:r>
    </w:p>
    <w:p w14:paraId="5EA7535B">
      <w:pPr>
        <w:pStyle w:val="67"/>
        <w:shd w:val="clear" w:fill="FFFFFF" w:themeFill="background1"/>
        <w:ind w:firstLine="118"/>
        <w:rPr>
          <w:rFonts w:ascii="宋体" w:eastAsia="宋体"/>
          <w:color w:val="auto"/>
          <w:szCs w:val="24"/>
          <w:highlight w:val="none"/>
        </w:rPr>
      </w:pPr>
      <w:bookmarkStart w:id="561" w:name="_Toc179632676"/>
      <w:bookmarkEnd w:id="561"/>
      <w:bookmarkStart w:id="562" w:name="_Toc386467068"/>
      <w:bookmarkEnd w:id="562"/>
      <w:bookmarkStart w:id="563" w:name="_Toc330406263"/>
      <w:bookmarkEnd w:id="563"/>
      <w:bookmarkStart w:id="564" w:name="_Toc393546322"/>
      <w:bookmarkEnd w:id="564"/>
      <w:bookmarkStart w:id="565" w:name="_Toc144974626"/>
      <w:bookmarkEnd w:id="565"/>
      <w:bookmarkStart w:id="566" w:name="_Toc152042436"/>
      <w:bookmarkEnd w:id="566"/>
      <w:bookmarkStart w:id="567" w:name="_Toc43475796"/>
      <w:bookmarkEnd w:id="567"/>
      <w:bookmarkStart w:id="568" w:name="_Toc152045658"/>
      <w:bookmarkEnd w:id="568"/>
      <w:r>
        <w:rPr>
          <w:rFonts w:hint="eastAsia" w:ascii="宋体" w:eastAsia="宋体"/>
          <w:color w:val="auto"/>
          <w:szCs w:val="24"/>
          <w:highlight w:val="none"/>
        </w:rPr>
        <w:t>6.2 发包人提供的施工设备和临时设施</w:t>
      </w:r>
    </w:p>
    <w:p w14:paraId="03A7F08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发包人提供的施工设备或临时设施在专用合同条款中约定。</w:t>
      </w:r>
    </w:p>
    <w:p w14:paraId="6EDC4D27">
      <w:pPr>
        <w:pStyle w:val="67"/>
        <w:shd w:val="clear" w:fill="FFFFFF" w:themeFill="background1"/>
        <w:ind w:firstLine="118"/>
        <w:rPr>
          <w:rFonts w:ascii="宋体" w:eastAsia="宋体"/>
          <w:color w:val="auto"/>
          <w:szCs w:val="24"/>
          <w:highlight w:val="none"/>
        </w:rPr>
      </w:pPr>
      <w:bookmarkStart w:id="569" w:name="_Toc43475797"/>
      <w:bookmarkEnd w:id="569"/>
      <w:bookmarkStart w:id="570" w:name="_Toc393546323"/>
      <w:bookmarkEnd w:id="570"/>
      <w:bookmarkStart w:id="571" w:name="_Toc386467069"/>
      <w:bookmarkEnd w:id="571"/>
      <w:r>
        <w:rPr>
          <w:rFonts w:hint="eastAsia" w:ascii="宋体" w:eastAsia="宋体"/>
          <w:color w:val="auto"/>
          <w:szCs w:val="24"/>
          <w:highlight w:val="none"/>
        </w:rPr>
        <w:t>6.3 要求承包人增加或更换施工设备</w:t>
      </w:r>
    </w:p>
    <w:p w14:paraId="45A9782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2485C2DC">
      <w:pPr>
        <w:pStyle w:val="67"/>
        <w:shd w:val="clear" w:fill="FFFFFF" w:themeFill="background1"/>
        <w:ind w:firstLine="118"/>
        <w:rPr>
          <w:rFonts w:ascii="宋体" w:eastAsia="宋体"/>
          <w:color w:val="auto"/>
          <w:szCs w:val="24"/>
          <w:highlight w:val="none"/>
        </w:rPr>
      </w:pPr>
      <w:bookmarkStart w:id="572" w:name="_Toc152045660"/>
      <w:bookmarkEnd w:id="572"/>
      <w:bookmarkStart w:id="573" w:name="_Toc393546324"/>
      <w:bookmarkEnd w:id="573"/>
      <w:bookmarkStart w:id="574" w:name="_Toc144974628"/>
      <w:bookmarkEnd w:id="574"/>
      <w:bookmarkStart w:id="575" w:name="_Toc386467070"/>
      <w:bookmarkEnd w:id="575"/>
      <w:bookmarkStart w:id="576" w:name="_Toc43475798"/>
      <w:bookmarkEnd w:id="576"/>
      <w:bookmarkStart w:id="577" w:name="_Toc179632678"/>
      <w:bookmarkEnd w:id="577"/>
      <w:bookmarkStart w:id="578" w:name="_Toc152042438"/>
      <w:bookmarkEnd w:id="578"/>
      <w:bookmarkStart w:id="579" w:name="_Toc330406265"/>
      <w:bookmarkEnd w:id="579"/>
      <w:r>
        <w:rPr>
          <w:rFonts w:hint="eastAsia" w:ascii="宋体" w:eastAsia="宋体"/>
          <w:color w:val="auto"/>
          <w:szCs w:val="24"/>
          <w:highlight w:val="none"/>
        </w:rPr>
        <w:t>6.4 施工设备和临时设施专用于合同工程</w:t>
      </w:r>
    </w:p>
    <w:p w14:paraId="47E2ABF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68AC5DA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6.4.2 经监理人同意，承包人可根据合同进度计划撤走闲置的施工设备。</w:t>
      </w:r>
    </w:p>
    <w:p w14:paraId="0C2D9C6D">
      <w:pPr>
        <w:pStyle w:val="78"/>
        <w:shd w:val="clear" w:fill="FFFFFF" w:themeFill="background1"/>
        <w:rPr>
          <w:rFonts w:ascii="宋体" w:hAnsi="宋体"/>
          <w:color w:val="auto"/>
          <w:sz w:val="24"/>
          <w:szCs w:val="24"/>
          <w:highlight w:val="none"/>
        </w:rPr>
      </w:pPr>
      <w:bookmarkStart w:id="580" w:name="_Toc386467071"/>
      <w:bookmarkEnd w:id="580"/>
      <w:bookmarkStart w:id="581" w:name="_Toc43475799"/>
      <w:bookmarkEnd w:id="581"/>
      <w:bookmarkStart w:id="582" w:name="_Toc393546325"/>
      <w:bookmarkEnd w:id="582"/>
      <w:r>
        <w:rPr>
          <w:rFonts w:hint="eastAsia" w:ascii="宋体" w:hAnsi="宋体"/>
          <w:color w:val="auto"/>
          <w:sz w:val="24"/>
          <w:szCs w:val="24"/>
          <w:highlight w:val="none"/>
        </w:rPr>
        <w:t>7. 交通运输</w:t>
      </w:r>
    </w:p>
    <w:p w14:paraId="42DE9746">
      <w:pPr>
        <w:pStyle w:val="67"/>
        <w:shd w:val="clear" w:fill="FFFFFF" w:themeFill="background1"/>
        <w:ind w:firstLine="118"/>
        <w:rPr>
          <w:rFonts w:ascii="宋体" w:eastAsia="宋体"/>
          <w:color w:val="auto"/>
          <w:szCs w:val="24"/>
          <w:highlight w:val="none"/>
        </w:rPr>
      </w:pPr>
      <w:bookmarkStart w:id="583" w:name="_Toc43475800"/>
      <w:bookmarkEnd w:id="583"/>
      <w:bookmarkStart w:id="584" w:name="_Toc393546326"/>
      <w:bookmarkEnd w:id="584"/>
      <w:bookmarkStart w:id="585" w:name="_Toc386467072"/>
      <w:bookmarkEnd w:id="585"/>
      <w:r>
        <w:rPr>
          <w:rFonts w:hint="eastAsia" w:ascii="宋体" w:eastAsia="宋体"/>
          <w:color w:val="auto"/>
          <w:szCs w:val="24"/>
          <w:highlight w:val="none"/>
        </w:rPr>
        <w:t>7.1 道路通行权和场外设施</w:t>
      </w:r>
    </w:p>
    <w:p w14:paraId="5CC8CAA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314A2400">
      <w:pPr>
        <w:pStyle w:val="67"/>
        <w:shd w:val="clear" w:fill="FFFFFF" w:themeFill="background1"/>
        <w:ind w:firstLine="118"/>
        <w:rPr>
          <w:rFonts w:ascii="宋体" w:eastAsia="宋体"/>
          <w:color w:val="auto"/>
          <w:szCs w:val="24"/>
          <w:highlight w:val="none"/>
        </w:rPr>
      </w:pPr>
      <w:bookmarkStart w:id="586" w:name="_Toc330406268"/>
      <w:bookmarkEnd w:id="586"/>
      <w:bookmarkStart w:id="587" w:name="_Toc386467073"/>
      <w:bookmarkEnd w:id="587"/>
      <w:bookmarkStart w:id="588" w:name="_Toc393546327"/>
      <w:bookmarkEnd w:id="588"/>
      <w:bookmarkStart w:id="589" w:name="_Toc152042441"/>
      <w:bookmarkEnd w:id="589"/>
      <w:bookmarkStart w:id="590" w:name="_Toc152045663"/>
      <w:bookmarkEnd w:id="590"/>
      <w:bookmarkStart w:id="591" w:name="_Toc43475801"/>
      <w:bookmarkEnd w:id="591"/>
      <w:bookmarkStart w:id="592" w:name="_Toc179632681"/>
      <w:bookmarkEnd w:id="592"/>
      <w:bookmarkStart w:id="593" w:name="_Toc144974631"/>
      <w:bookmarkEnd w:id="593"/>
      <w:r>
        <w:rPr>
          <w:rFonts w:hint="eastAsia" w:ascii="宋体" w:eastAsia="宋体"/>
          <w:color w:val="auto"/>
          <w:szCs w:val="24"/>
          <w:highlight w:val="none"/>
        </w:rPr>
        <w:t>7.2 场内施工道路</w:t>
      </w:r>
    </w:p>
    <w:p w14:paraId="1AEA8C0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7.2.1 除专用合同条款另有约定外，承包人应负责修建、维修、养护和管理施工所需的临时道路和交通设施，包括维修、养护和管理发包人提供的道路和交通设施，并承担相应费用。</w:t>
      </w:r>
    </w:p>
    <w:p w14:paraId="21EA06B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7.2.2 除专用合同条款另有约定外，承包人修建的临时道路和交通设施应免费提供发包人和监理人使用。</w:t>
      </w:r>
    </w:p>
    <w:p w14:paraId="7D1536BC">
      <w:pPr>
        <w:pStyle w:val="67"/>
        <w:shd w:val="clear" w:fill="FFFFFF" w:themeFill="background1"/>
        <w:ind w:firstLine="118"/>
        <w:rPr>
          <w:rFonts w:ascii="宋体" w:eastAsia="宋体"/>
          <w:color w:val="auto"/>
          <w:szCs w:val="24"/>
          <w:highlight w:val="none"/>
        </w:rPr>
      </w:pPr>
      <w:bookmarkStart w:id="594" w:name="_Toc152045664"/>
      <w:bookmarkEnd w:id="594"/>
      <w:bookmarkStart w:id="595" w:name="_Toc43475802"/>
      <w:bookmarkEnd w:id="595"/>
      <w:bookmarkStart w:id="596" w:name="_Toc152042442"/>
      <w:bookmarkEnd w:id="596"/>
      <w:bookmarkStart w:id="597" w:name="_Toc144974632"/>
      <w:bookmarkEnd w:id="597"/>
      <w:bookmarkStart w:id="598" w:name="_Toc393546328"/>
      <w:bookmarkEnd w:id="598"/>
      <w:bookmarkStart w:id="599" w:name="_Toc330406269"/>
      <w:bookmarkEnd w:id="599"/>
      <w:bookmarkStart w:id="600" w:name="_Toc386467074"/>
      <w:bookmarkEnd w:id="600"/>
      <w:bookmarkStart w:id="601" w:name="_Toc179632682"/>
      <w:bookmarkEnd w:id="601"/>
      <w:r>
        <w:rPr>
          <w:rFonts w:hint="eastAsia" w:ascii="宋体" w:eastAsia="宋体"/>
          <w:color w:val="auto"/>
          <w:szCs w:val="24"/>
          <w:highlight w:val="none"/>
        </w:rPr>
        <w:t>7.3 场外交通</w:t>
      </w:r>
    </w:p>
    <w:p w14:paraId="60C7B2F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7.3.1 承包人车辆外出行驶所需的场外公共道路的通行费、养路费和税款等由承包人承担。</w:t>
      </w:r>
    </w:p>
    <w:p w14:paraId="6CD87F6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7.3.2 承包人应遵守有关交通法规，严格按照道路和桥梁的限制荷重安全行驶，并服从交通管理部门的检查和监督。</w:t>
      </w:r>
    </w:p>
    <w:p w14:paraId="76FA3CA0">
      <w:pPr>
        <w:pStyle w:val="67"/>
        <w:shd w:val="clear" w:fill="FFFFFF" w:themeFill="background1"/>
        <w:ind w:firstLine="118"/>
        <w:rPr>
          <w:rFonts w:ascii="宋体" w:eastAsia="宋体"/>
          <w:color w:val="auto"/>
          <w:szCs w:val="24"/>
          <w:highlight w:val="none"/>
        </w:rPr>
      </w:pPr>
      <w:bookmarkStart w:id="602" w:name="_Toc330406270"/>
      <w:bookmarkEnd w:id="602"/>
      <w:bookmarkStart w:id="603" w:name="_Toc179632683"/>
      <w:bookmarkEnd w:id="603"/>
      <w:bookmarkStart w:id="604" w:name="_Toc144974633"/>
      <w:bookmarkEnd w:id="604"/>
      <w:bookmarkStart w:id="605" w:name="_Toc152045665"/>
      <w:bookmarkEnd w:id="605"/>
      <w:bookmarkStart w:id="606" w:name="_Toc393546329"/>
      <w:bookmarkEnd w:id="606"/>
      <w:bookmarkStart w:id="607" w:name="_Toc152042443"/>
      <w:bookmarkEnd w:id="607"/>
      <w:bookmarkStart w:id="608" w:name="_Toc386467075"/>
      <w:bookmarkEnd w:id="608"/>
      <w:bookmarkStart w:id="609" w:name="_Toc43475803"/>
      <w:bookmarkEnd w:id="609"/>
      <w:r>
        <w:rPr>
          <w:rFonts w:hint="eastAsia" w:ascii="宋体" w:eastAsia="宋体"/>
          <w:color w:val="auto"/>
          <w:szCs w:val="24"/>
          <w:highlight w:val="none"/>
        </w:rPr>
        <w:t>7.4 超大件和超重件的运输</w:t>
      </w:r>
    </w:p>
    <w:p w14:paraId="19DE989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BB15D72">
      <w:pPr>
        <w:pStyle w:val="67"/>
        <w:shd w:val="clear" w:fill="FFFFFF" w:themeFill="background1"/>
        <w:ind w:firstLine="118"/>
        <w:rPr>
          <w:rFonts w:ascii="宋体" w:eastAsia="宋体"/>
          <w:color w:val="auto"/>
          <w:szCs w:val="24"/>
          <w:highlight w:val="none"/>
        </w:rPr>
      </w:pPr>
      <w:bookmarkStart w:id="610" w:name="_Toc330406271"/>
      <w:bookmarkEnd w:id="610"/>
      <w:bookmarkStart w:id="611" w:name="_Toc43475804"/>
      <w:bookmarkEnd w:id="611"/>
      <w:bookmarkStart w:id="612" w:name="_Toc386467076"/>
      <w:bookmarkEnd w:id="612"/>
      <w:bookmarkStart w:id="613" w:name="_Toc144974634"/>
      <w:bookmarkEnd w:id="613"/>
      <w:bookmarkStart w:id="614" w:name="_Toc152045666"/>
      <w:bookmarkEnd w:id="614"/>
      <w:bookmarkStart w:id="615" w:name="_Toc393546330"/>
      <w:bookmarkEnd w:id="615"/>
      <w:bookmarkStart w:id="616" w:name="_Toc152042444"/>
      <w:bookmarkEnd w:id="616"/>
      <w:bookmarkStart w:id="617" w:name="_Toc179632684"/>
      <w:bookmarkEnd w:id="617"/>
      <w:r>
        <w:rPr>
          <w:rFonts w:hint="eastAsia" w:ascii="宋体" w:eastAsia="宋体"/>
          <w:color w:val="auto"/>
          <w:szCs w:val="24"/>
          <w:highlight w:val="none"/>
        </w:rPr>
        <w:t>7.5 道路和桥梁的损坏责任</w:t>
      </w:r>
    </w:p>
    <w:p w14:paraId="13084AC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因承包人运输造成施工场地内外公共道路和桥梁损坏的，由承包人承担修复损坏的全部费用和可能引起的赔偿。</w:t>
      </w:r>
    </w:p>
    <w:p w14:paraId="6B07B868">
      <w:pPr>
        <w:pStyle w:val="67"/>
        <w:shd w:val="clear" w:fill="FFFFFF" w:themeFill="background1"/>
        <w:ind w:firstLine="118"/>
        <w:rPr>
          <w:rFonts w:ascii="宋体" w:eastAsia="宋体"/>
          <w:color w:val="auto"/>
          <w:szCs w:val="24"/>
          <w:highlight w:val="none"/>
        </w:rPr>
      </w:pPr>
      <w:bookmarkStart w:id="618" w:name="_Toc179632685"/>
      <w:bookmarkEnd w:id="618"/>
      <w:bookmarkStart w:id="619" w:name="_Toc393546331"/>
      <w:bookmarkEnd w:id="619"/>
      <w:bookmarkStart w:id="620" w:name="_Toc152045667"/>
      <w:bookmarkEnd w:id="620"/>
      <w:bookmarkStart w:id="621" w:name="_Toc43475805"/>
      <w:bookmarkEnd w:id="621"/>
      <w:bookmarkStart w:id="622" w:name="_Toc152042445"/>
      <w:bookmarkEnd w:id="622"/>
      <w:bookmarkStart w:id="623" w:name="_Toc144974635"/>
      <w:bookmarkEnd w:id="623"/>
      <w:bookmarkStart w:id="624" w:name="_Toc386467077"/>
      <w:bookmarkEnd w:id="624"/>
      <w:bookmarkStart w:id="625" w:name="_Toc330406272"/>
      <w:bookmarkEnd w:id="625"/>
      <w:r>
        <w:rPr>
          <w:rFonts w:hint="eastAsia" w:ascii="宋体" w:eastAsia="宋体"/>
          <w:color w:val="auto"/>
          <w:szCs w:val="24"/>
          <w:highlight w:val="none"/>
        </w:rPr>
        <w:t>7.6 水路和航空运输</w:t>
      </w:r>
    </w:p>
    <w:p w14:paraId="6116300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2EC7065E">
      <w:pPr>
        <w:pStyle w:val="78"/>
        <w:shd w:val="clear" w:fill="FFFFFF" w:themeFill="background1"/>
        <w:rPr>
          <w:rFonts w:ascii="宋体" w:hAnsi="宋体"/>
          <w:color w:val="auto"/>
          <w:sz w:val="24"/>
          <w:szCs w:val="24"/>
          <w:highlight w:val="none"/>
        </w:rPr>
      </w:pPr>
      <w:bookmarkStart w:id="626" w:name="_Toc393546332"/>
      <w:bookmarkEnd w:id="626"/>
      <w:bookmarkStart w:id="627" w:name="_Toc43475806"/>
      <w:bookmarkEnd w:id="627"/>
      <w:bookmarkStart w:id="628" w:name="_Toc386467078"/>
      <w:bookmarkEnd w:id="628"/>
      <w:r>
        <w:rPr>
          <w:rFonts w:hint="eastAsia" w:ascii="宋体" w:hAnsi="宋体"/>
          <w:color w:val="auto"/>
          <w:sz w:val="24"/>
          <w:szCs w:val="24"/>
          <w:highlight w:val="none"/>
        </w:rPr>
        <w:t>8. 测量放线</w:t>
      </w:r>
    </w:p>
    <w:p w14:paraId="0DF44707">
      <w:pPr>
        <w:pStyle w:val="67"/>
        <w:shd w:val="clear" w:fill="FFFFFF" w:themeFill="background1"/>
        <w:ind w:firstLine="118"/>
        <w:rPr>
          <w:rFonts w:ascii="宋体" w:eastAsia="宋体"/>
          <w:color w:val="auto"/>
          <w:szCs w:val="24"/>
          <w:highlight w:val="none"/>
        </w:rPr>
      </w:pPr>
      <w:bookmarkStart w:id="629" w:name="_Toc386467079"/>
      <w:bookmarkEnd w:id="629"/>
      <w:bookmarkStart w:id="630" w:name="_Toc43475807"/>
      <w:bookmarkEnd w:id="630"/>
      <w:bookmarkStart w:id="631" w:name="_Toc152042447"/>
      <w:bookmarkEnd w:id="631"/>
      <w:bookmarkStart w:id="632" w:name="_Toc393546333"/>
      <w:bookmarkEnd w:id="632"/>
      <w:bookmarkStart w:id="633" w:name="_Toc144974637"/>
      <w:bookmarkEnd w:id="633"/>
      <w:bookmarkStart w:id="634" w:name="_Toc330406274"/>
      <w:bookmarkEnd w:id="634"/>
      <w:bookmarkStart w:id="635" w:name="_Toc179632687"/>
      <w:bookmarkEnd w:id="635"/>
      <w:bookmarkStart w:id="636" w:name="_Toc152045669"/>
      <w:bookmarkEnd w:id="636"/>
      <w:r>
        <w:rPr>
          <w:rFonts w:hint="eastAsia" w:ascii="宋体" w:eastAsia="宋体"/>
          <w:color w:val="auto"/>
          <w:szCs w:val="24"/>
          <w:highlight w:val="none"/>
        </w:rPr>
        <w:t>8.1 施工控制网</w:t>
      </w:r>
    </w:p>
    <w:p w14:paraId="5B9397C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285B985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8.1.2承包人应负责管理施工控制网点。施工控制网点丢失或损坏的，承包人应及时修复。承包人应承担施工控制网点的管理与修复费用，并在工程竣工后将施工控制网点移交发包人。</w:t>
      </w:r>
    </w:p>
    <w:p w14:paraId="0D27F140">
      <w:pPr>
        <w:pStyle w:val="67"/>
        <w:shd w:val="clear" w:fill="FFFFFF" w:themeFill="background1"/>
        <w:ind w:firstLine="118"/>
        <w:rPr>
          <w:rFonts w:ascii="宋体" w:eastAsia="宋体"/>
          <w:color w:val="auto"/>
          <w:szCs w:val="24"/>
          <w:highlight w:val="none"/>
        </w:rPr>
      </w:pPr>
      <w:bookmarkStart w:id="637" w:name="_Toc393546334"/>
      <w:bookmarkEnd w:id="637"/>
      <w:bookmarkStart w:id="638" w:name="_Toc330406275"/>
      <w:bookmarkEnd w:id="638"/>
      <w:bookmarkStart w:id="639" w:name="_Toc144974638"/>
      <w:bookmarkEnd w:id="639"/>
      <w:bookmarkStart w:id="640" w:name="_Toc43475808"/>
      <w:bookmarkEnd w:id="640"/>
      <w:bookmarkStart w:id="641" w:name="_Toc386467080"/>
      <w:bookmarkEnd w:id="641"/>
      <w:bookmarkStart w:id="642" w:name="_Toc152042448"/>
      <w:bookmarkEnd w:id="642"/>
      <w:bookmarkStart w:id="643" w:name="_Toc179632688"/>
      <w:bookmarkEnd w:id="643"/>
      <w:bookmarkStart w:id="644" w:name="_Toc152045670"/>
      <w:bookmarkEnd w:id="644"/>
      <w:r>
        <w:rPr>
          <w:rFonts w:hint="eastAsia" w:ascii="宋体" w:eastAsia="宋体"/>
          <w:color w:val="auto"/>
          <w:szCs w:val="24"/>
          <w:highlight w:val="none"/>
        </w:rPr>
        <w:t>8.2 施工测量</w:t>
      </w:r>
    </w:p>
    <w:p w14:paraId="3C4E57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8.2.1承包人应负责施工过程中的全部施工测量放线工作，并配置合格的人员、仪器、设备和其他物品。</w:t>
      </w:r>
    </w:p>
    <w:p w14:paraId="67D7DB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8.2.2监理人可以指示承包人进行抽样复测，当复测中发现错误或出现超过合同约定的误差时，承包人应按监理人指示进行修正或补测，并承担相应的复测费用。</w:t>
      </w:r>
    </w:p>
    <w:p w14:paraId="174F137C">
      <w:pPr>
        <w:pStyle w:val="67"/>
        <w:shd w:val="clear" w:fill="FFFFFF" w:themeFill="background1"/>
        <w:ind w:firstLine="118"/>
        <w:rPr>
          <w:rFonts w:ascii="宋体" w:eastAsia="宋体"/>
          <w:color w:val="auto"/>
          <w:szCs w:val="24"/>
          <w:highlight w:val="none"/>
        </w:rPr>
      </w:pPr>
      <w:bookmarkStart w:id="645" w:name="_Toc386467081"/>
      <w:bookmarkEnd w:id="645"/>
      <w:bookmarkStart w:id="646" w:name="_Toc43475809"/>
      <w:bookmarkEnd w:id="646"/>
      <w:bookmarkStart w:id="647" w:name="_Toc152042449"/>
      <w:bookmarkEnd w:id="647"/>
      <w:bookmarkStart w:id="648" w:name="_Toc393546335"/>
      <w:bookmarkEnd w:id="648"/>
      <w:bookmarkStart w:id="649" w:name="_Toc152045671"/>
      <w:bookmarkEnd w:id="649"/>
      <w:bookmarkStart w:id="650" w:name="_Toc330406276"/>
      <w:bookmarkEnd w:id="650"/>
      <w:bookmarkStart w:id="651" w:name="_Toc144974639"/>
      <w:bookmarkEnd w:id="651"/>
      <w:bookmarkStart w:id="652" w:name="_Toc179632689"/>
      <w:bookmarkEnd w:id="652"/>
      <w:r>
        <w:rPr>
          <w:rFonts w:hint="eastAsia" w:ascii="宋体" w:eastAsia="宋体"/>
          <w:color w:val="auto"/>
          <w:szCs w:val="24"/>
          <w:highlight w:val="none"/>
        </w:rPr>
        <w:t>8.3 基准资料错误的责任</w:t>
      </w:r>
    </w:p>
    <w:p w14:paraId="22D308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3A65ABF1">
      <w:pPr>
        <w:pStyle w:val="67"/>
        <w:shd w:val="clear" w:fill="FFFFFF" w:themeFill="background1"/>
        <w:ind w:firstLine="118"/>
        <w:rPr>
          <w:rFonts w:ascii="宋体" w:eastAsia="宋体"/>
          <w:color w:val="auto"/>
          <w:szCs w:val="24"/>
          <w:highlight w:val="none"/>
        </w:rPr>
      </w:pPr>
      <w:bookmarkStart w:id="653" w:name="_Toc43475810"/>
      <w:bookmarkEnd w:id="653"/>
      <w:bookmarkStart w:id="654" w:name="_Toc386467082"/>
      <w:bookmarkEnd w:id="654"/>
      <w:bookmarkStart w:id="655" w:name="_Toc393546336"/>
      <w:bookmarkEnd w:id="655"/>
      <w:r>
        <w:rPr>
          <w:rFonts w:hint="eastAsia" w:ascii="宋体" w:eastAsia="宋体"/>
          <w:color w:val="auto"/>
          <w:szCs w:val="24"/>
          <w:highlight w:val="none"/>
        </w:rPr>
        <w:t>8.4 监理人使用施工控制网</w:t>
      </w:r>
    </w:p>
    <w:p w14:paraId="7DE4BCF4">
      <w:pPr>
        <w:shd w:val="clear" w:fill="FFFFFF" w:themeFill="background1"/>
        <w:spacing w:line="400" w:lineRule="exact"/>
        <w:ind w:firstLine="480" w:firstLineChars="200"/>
        <w:rPr>
          <w:rFonts w:ascii="宋体" w:hAnsi="宋体" w:cs="宋体"/>
          <w:dstrike/>
          <w:color w:val="auto"/>
          <w:sz w:val="24"/>
          <w:highlight w:val="none"/>
        </w:rPr>
      </w:pPr>
      <w:r>
        <w:rPr>
          <w:rFonts w:hint="eastAsia" w:ascii="宋体" w:hAnsi="宋体" w:cs="宋体"/>
          <w:color w:val="auto"/>
          <w:sz w:val="24"/>
          <w:highlight w:val="none"/>
        </w:rPr>
        <w:t>监理人需要使用施工控制网的，承包人应提供必要的协助，发包人不再为此支付费用。</w:t>
      </w:r>
    </w:p>
    <w:p w14:paraId="24087E86">
      <w:pPr>
        <w:pStyle w:val="78"/>
        <w:shd w:val="clear" w:fill="FFFFFF" w:themeFill="background1"/>
        <w:rPr>
          <w:rFonts w:ascii="宋体" w:hAnsi="宋体"/>
          <w:color w:val="auto"/>
          <w:sz w:val="24"/>
          <w:szCs w:val="24"/>
          <w:highlight w:val="none"/>
        </w:rPr>
      </w:pPr>
      <w:bookmarkStart w:id="656" w:name="_Toc43475811"/>
      <w:bookmarkEnd w:id="656"/>
      <w:bookmarkStart w:id="657" w:name="_Toc393546337"/>
      <w:bookmarkEnd w:id="657"/>
      <w:bookmarkStart w:id="658" w:name="_Toc386467083"/>
      <w:bookmarkEnd w:id="658"/>
      <w:r>
        <w:rPr>
          <w:rFonts w:hint="eastAsia" w:ascii="宋体" w:hAnsi="宋体"/>
          <w:color w:val="auto"/>
          <w:sz w:val="24"/>
          <w:szCs w:val="24"/>
          <w:highlight w:val="none"/>
        </w:rPr>
        <w:t>9. 施工安全、治安保卫和环境保护</w:t>
      </w:r>
    </w:p>
    <w:p w14:paraId="0F78CE66">
      <w:pPr>
        <w:pStyle w:val="67"/>
        <w:shd w:val="clear" w:fill="FFFFFF" w:themeFill="background1"/>
        <w:ind w:firstLine="118"/>
        <w:rPr>
          <w:rFonts w:ascii="宋体" w:eastAsia="宋体"/>
          <w:color w:val="auto"/>
          <w:szCs w:val="24"/>
          <w:highlight w:val="none"/>
        </w:rPr>
      </w:pPr>
      <w:bookmarkStart w:id="659" w:name="_Toc43475812"/>
      <w:bookmarkEnd w:id="659"/>
      <w:bookmarkStart w:id="660" w:name="_Toc152045674"/>
      <w:bookmarkEnd w:id="660"/>
      <w:bookmarkStart w:id="661" w:name="_Toc179632692"/>
      <w:bookmarkEnd w:id="661"/>
      <w:bookmarkStart w:id="662" w:name="_Toc152042452"/>
      <w:bookmarkEnd w:id="662"/>
      <w:bookmarkStart w:id="663" w:name="_Toc144974642"/>
      <w:bookmarkEnd w:id="663"/>
      <w:bookmarkStart w:id="664" w:name="_Toc386467084"/>
      <w:bookmarkEnd w:id="664"/>
      <w:bookmarkStart w:id="665" w:name="_Toc330406279"/>
      <w:bookmarkEnd w:id="665"/>
      <w:bookmarkStart w:id="666" w:name="_Toc393546338"/>
      <w:bookmarkEnd w:id="666"/>
      <w:r>
        <w:rPr>
          <w:rFonts w:hint="eastAsia" w:ascii="宋体" w:eastAsia="宋体"/>
          <w:color w:val="auto"/>
          <w:szCs w:val="24"/>
          <w:highlight w:val="none"/>
        </w:rPr>
        <w:t>9.1 发包人的施工安全责任</w:t>
      </w:r>
    </w:p>
    <w:p w14:paraId="7663EF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9.1.1 发包人应按合同约定履行安全职责，授权监理人按合同约定的安全工作内容监督、检查承包人安全工作的实施，组织承包人和有关单位进行安全检查。</w:t>
      </w:r>
    </w:p>
    <w:p w14:paraId="2EA98F6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9.1.2 发包人应对其现场机构雇佣的全部人员的工伤事故承担责任，但由于承包人原因造成发包人人员工伤的，应由承包人承担责任。</w:t>
      </w:r>
    </w:p>
    <w:p w14:paraId="05235C7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9.1.3 发包人应负责赔偿以下各种情况造成的第三者人身伤亡和财产损失：</w:t>
      </w:r>
    </w:p>
    <w:p w14:paraId="4D288C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工程或工程的任何部分对土地的占用所造成的第三者财产损失；</w:t>
      </w:r>
    </w:p>
    <w:p w14:paraId="7CE7492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由于发包人原因在施工场地及其毗邻地带造成的第三者人身伤亡和财产损失。</w:t>
      </w:r>
    </w:p>
    <w:p w14:paraId="0F03AC85">
      <w:pPr>
        <w:pStyle w:val="67"/>
        <w:shd w:val="clear" w:fill="FFFFFF" w:themeFill="background1"/>
        <w:ind w:firstLine="118"/>
        <w:rPr>
          <w:rFonts w:ascii="宋体" w:eastAsia="宋体"/>
          <w:color w:val="auto"/>
          <w:szCs w:val="24"/>
          <w:highlight w:val="none"/>
        </w:rPr>
      </w:pPr>
      <w:bookmarkStart w:id="667" w:name="_Toc43475813"/>
      <w:bookmarkEnd w:id="667"/>
      <w:bookmarkStart w:id="668" w:name="_Toc386467085"/>
      <w:bookmarkEnd w:id="668"/>
      <w:bookmarkStart w:id="669" w:name="_Toc393546339"/>
      <w:bookmarkEnd w:id="669"/>
      <w:r>
        <w:rPr>
          <w:rFonts w:hint="eastAsia" w:ascii="宋体" w:eastAsia="宋体"/>
          <w:color w:val="auto"/>
          <w:szCs w:val="24"/>
          <w:highlight w:val="none"/>
        </w:rPr>
        <w:t>9.2 承包人的施工安全责任</w:t>
      </w:r>
    </w:p>
    <w:p w14:paraId="67E4E3F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 承包人应按合同约定履行安全职责,执行监理人有关安全工作的指示,并在专用合同条款约定的期限内，按合同约定的安全工作内容，编制施工安全措施计划报送监理人审批。</w:t>
      </w:r>
    </w:p>
    <w:p w14:paraId="6C06FFB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 承包人应加强施工作业安全管理，特别应加强易燃、易爆材料、火工器材、有毒与腐蚀性材料和其他危险品的管理，以及对爆破作业和地下工程施工等危险作业的管理。</w:t>
      </w:r>
    </w:p>
    <w:p w14:paraId="693D017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 承包人应严格按照国家安全标准制定施工安全操作规程，配备必要的安全生产和劳动保护设施，加强对承包人人员的安全教育，并发放安全工作手册和劳动保护用具。</w:t>
      </w:r>
    </w:p>
    <w:p w14:paraId="4A0B703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 承包人应按监理人的指示制定应对灾害的紧急预案，报送监理人审批。承包人还应按预案做好安全检查，配置必要的救助物资和器材，切实保护好有关人员的人身和财产安全。</w:t>
      </w:r>
    </w:p>
    <w:p w14:paraId="4F6E26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B6FA1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 承包人应对其履行合同所雇佣的全部人员，包括分包人人员的工伤事故承担责任，但由于发包人原因造成承包人人员工伤事故的，应由发包人承担责任。</w:t>
      </w:r>
    </w:p>
    <w:p w14:paraId="652AA5F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 由于承包人原因在施工场地内及其毗邻地带造成的第三者人员伤亡和财产损失，由承包人负责赔偿。</w:t>
      </w:r>
    </w:p>
    <w:p w14:paraId="54DA4798">
      <w:pPr>
        <w:pStyle w:val="67"/>
        <w:shd w:val="clear" w:fill="FFFFFF" w:themeFill="background1"/>
        <w:ind w:firstLine="118"/>
        <w:rPr>
          <w:rFonts w:ascii="宋体" w:eastAsia="宋体"/>
          <w:color w:val="auto"/>
          <w:szCs w:val="24"/>
          <w:highlight w:val="none"/>
        </w:rPr>
      </w:pPr>
      <w:bookmarkStart w:id="670" w:name="_Toc144974644"/>
      <w:bookmarkEnd w:id="670"/>
      <w:bookmarkStart w:id="671" w:name="_Toc43475814"/>
      <w:bookmarkEnd w:id="671"/>
      <w:bookmarkStart w:id="672" w:name="_Toc330406281"/>
      <w:bookmarkEnd w:id="672"/>
      <w:bookmarkStart w:id="673" w:name="_Toc179632694"/>
      <w:bookmarkEnd w:id="673"/>
      <w:bookmarkStart w:id="674" w:name="_Toc152045676"/>
      <w:bookmarkEnd w:id="674"/>
      <w:bookmarkStart w:id="675" w:name="_Toc152042454"/>
      <w:bookmarkEnd w:id="675"/>
      <w:bookmarkStart w:id="676" w:name="_Toc393546340"/>
      <w:bookmarkEnd w:id="676"/>
      <w:bookmarkStart w:id="677" w:name="_Toc386467086"/>
      <w:bookmarkEnd w:id="677"/>
      <w:r>
        <w:rPr>
          <w:rFonts w:hint="eastAsia" w:ascii="宋体" w:eastAsia="宋体"/>
          <w:color w:val="auto"/>
          <w:szCs w:val="24"/>
          <w:highlight w:val="none"/>
        </w:rPr>
        <w:t>9.3 治安保卫</w:t>
      </w:r>
    </w:p>
    <w:p w14:paraId="016611F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 除合同另有约定外，发包人应与当地公安部门协商，在现场建立治安管理机构或联防组织，统一管理施工场地的治安保卫事项，履行合同工程的治安保卫职责。</w:t>
      </w:r>
    </w:p>
    <w:p w14:paraId="474DED6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 发包人和承包人除应协助现场治安管理机构或联防组织维护施工场地的社会治安外，还应做好包括生活区在内的各自管辖区的治安保卫工作。</w:t>
      </w:r>
    </w:p>
    <w:p w14:paraId="3444487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D470017">
      <w:pPr>
        <w:pStyle w:val="67"/>
        <w:shd w:val="clear" w:fill="FFFFFF" w:themeFill="background1"/>
        <w:ind w:firstLine="118"/>
        <w:rPr>
          <w:rFonts w:ascii="宋体" w:eastAsia="宋体"/>
          <w:color w:val="auto"/>
          <w:szCs w:val="24"/>
          <w:highlight w:val="none"/>
        </w:rPr>
      </w:pPr>
      <w:bookmarkStart w:id="678" w:name="_Toc43475815"/>
      <w:bookmarkEnd w:id="678"/>
      <w:bookmarkStart w:id="679" w:name="_Toc386467087"/>
      <w:bookmarkEnd w:id="679"/>
      <w:bookmarkStart w:id="680" w:name="_Toc393546341"/>
      <w:bookmarkEnd w:id="680"/>
      <w:r>
        <w:rPr>
          <w:rFonts w:hint="eastAsia" w:ascii="宋体" w:eastAsia="宋体"/>
          <w:color w:val="auto"/>
          <w:szCs w:val="24"/>
          <w:highlight w:val="none"/>
        </w:rPr>
        <w:t>9.4 环境保护</w:t>
      </w:r>
    </w:p>
    <w:p w14:paraId="396DF7E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 承包人在施工过程中，应遵守有关环境保护的法律，履行合同约定的环境保护义务，并对违反法律和合同约定义务所造成的环境破坏、人身伤害和财产损失负责。</w:t>
      </w:r>
    </w:p>
    <w:p w14:paraId="2237566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9.4.2 承包人应按合同约定的环保工作内容，编制施工环保措施计划，报送监理人审批。</w:t>
      </w:r>
    </w:p>
    <w:p w14:paraId="368280A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F35C37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9.4.4 承包人应按合同约定采取有效措施，对施工开挖的边坡及时进行支护,维护排水设施，并进行水土保护，避免因施工造成的地质灾害。</w:t>
      </w:r>
    </w:p>
    <w:p w14:paraId="7881903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9.4.5 承包人应按国家饮用水管理标准定期对饮用水源进行监测，防止施工活动污染饮用水源。</w:t>
      </w:r>
    </w:p>
    <w:p w14:paraId="2FE630B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9.4.6 承包人应按合同约定，加强对噪声、粉尘、废气、废水和废油的控制，努力降低噪声，控制粉尘和废气浓度，做好废水和废油的治理和排放。</w:t>
      </w:r>
    </w:p>
    <w:p w14:paraId="23FE0847">
      <w:pPr>
        <w:pStyle w:val="67"/>
        <w:shd w:val="clear" w:fill="FFFFFF" w:themeFill="background1"/>
        <w:ind w:firstLine="118"/>
        <w:rPr>
          <w:rFonts w:ascii="宋体" w:eastAsia="宋体"/>
          <w:color w:val="auto"/>
          <w:szCs w:val="24"/>
          <w:highlight w:val="none"/>
        </w:rPr>
      </w:pPr>
      <w:bookmarkStart w:id="681" w:name="_Toc179632696"/>
      <w:bookmarkEnd w:id="681"/>
      <w:bookmarkStart w:id="682" w:name="_Toc144974646"/>
      <w:bookmarkEnd w:id="682"/>
      <w:bookmarkStart w:id="683" w:name="_Toc393546342"/>
      <w:bookmarkEnd w:id="683"/>
      <w:bookmarkStart w:id="684" w:name="_Toc386467088"/>
      <w:bookmarkEnd w:id="684"/>
      <w:bookmarkStart w:id="685" w:name="_Toc43475816"/>
      <w:bookmarkEnd w:id="685"/>
      <w:bookmarkStart w:id="686" w:name="_Toc152042456"/>
      <w:bookmarkEnd w:id="686"/>
      <w:bookmarkStart w:id="687" w:name="_Toc152045678"/>
      <w:bookmarkEnd w:id="687"/>
      <w:bookmarkStart w:id="688" w:name="_Toc330406283"/>
      <w:bookmarkEnd w:id="688"/>
      <w:r>
        <w:rPr>
          <w:rFonts w:hint="eastAsia" w:ascii="宋体" w:eastAsia="宋体"/>
          <w:color w:val="auto"/>
          <w:szCs w:val="24"/>
          <w:highlight w:val="none"/>
        </w:rPr>
        <w:t>9.5 事故处理</w:t>
      </w:r>
    </w:p>
    <w:p w14:paraId="6184594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4FBC739">
      <w:pPr>
        <w:pStyle w:val="78"/>
        <w:shd w:val="clear" w:fill="FFFFFF" w:themeFill="background1"/>
        <w:rPr>
          <w:rFonts w:ascii="宋体" w:hAnsi="宋体"/>
          <w:color w:val="auto"/>
          <w:sz w:val="24"/>
          <w:szCs w:val="24"/>
          <w:highlight w:val="none"/>
        </w:rPr>
      </w:pPr>
      <w:bookmarkStart w:id="689" w:name="_Toc393546343"/>
      <w:bookmarkEnd w:id="689"/>
      <w:bookmarkStart w:id="690" w:name="_Toc43475817"/>
      <w:bookmarkEnd w:id="690"/>
      <w:bookmarkStart w:id="691" w:name="_Toc386467089"/>
      <w:bookmarkEnd w:id="691"/>
      <w:r>
        <w:rPr>
          <w:rFonts w:hint="eastAsia" w:ascii="宋体" w:hAnsi="宋体"/>
          <w:color w:val="auto"/>
          <w:sz w:val="24"/>
          <w:szCs w:val="24"/>
          <w:highlight w:val="none"/>
        </w:rPr>
        <w:t>10. 进度计划</w:t>
      </w:r>
    </w:p>
    <w:p w14:paraId="1EE1BD4A">
      <w:pPr>
        <w:pStyle w:val="67"/>
        <w:shd w:val="clear" w:fill="FFFFFF" w:themeFill="background1"/>
        <w:ind w:firstLine="118"/>
        <w:rPr>
          <w:rFonts w:ascii="宋体" w:eastAsia="宋体"/>
          <w:color w:val="auto"/>
          <w:szCs w:val="24"/>
          <w:highlight w:val="none"/>
        </w:rPr>
      </w:pPr>
      <w:bookmarkStart w:id="692" w:name="_Toc386467090"/>
      <w:bookmarkEnd w:id="692"/>
      <w:bookmarkStart w:id="693" w:name="_Toc393546344"/>
      <w:bookmarkEnd w:id="693"/>
      <w:bookmarkStart w:id="694" w:name="_Toc43475818"/>
      <w:bookmarkEnd w:id="694"/>
      <w:r>
        <w:rPr>
          <w:rFonts w:hint="eastAsia" w:ascii="宋体" w:eastAsia="宋体"/>
          <w:color w:val="auto"/>
          <w:szCs w:val="24"/>
          <w:highlight w:val="none"/>
        </w:rPr>
        <w:t>10.1 合同进度计划</w:t>
      </w:r>
    </w:p>
    <w:p w14:paraId="10E4BBA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A25653A">
      <w:pPr>
        <w:pStyle w:val="67"/>
        <w:shd w:val="clear" w:fill="FFFFFF" w:themeFill="background1"/>
        <w:ind w:firstLine="118"/>
        <w:rPr>
          <w:rFonts w:ascii="宋体" w:eastAsia="宋体"/>
          <w:color w:val="auto"/>
          <w:szCs w:val="24"/>
          <w:highlight w:val="none"/>
        </w:rPr>
      </w:pPr>
      <w:bookmarkStart w:id="695" w:name="_Toc386467091"/>
      <w:bookmarkEnd w:id="695"/>
      <w:bookmarkStart w:id="696" w:name="_Toc393546345"/>
      <w:bookmarkEnd w:id="696"/>
      <w:bookmarkStart w:id="697" w:name="_Toc43475819"/>
      <w:bookmarkEnd w:id="697"/>
      <w:r>
        <w:rPr>
          <w:rFonts w:hint="eastAsia" w:ascii="宋体" w:eastAsia="宋体"/>
          <w:color w:val="auto"/>
          <w:szCs w:val="24"/>
          <w:highlight w:val="none"/>
        </w:rPr>
        <w:t>10.2 合同进度计划的修订</w:t>
      </w:r>
    </w:p>
    <w:p w14:paraId="597043F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12C06DE8">
      <w:pPr>
        <w:pStyle w:val="78"/>
        <w:shd w:val="clear" w:fill="FFFFFF" w:themeFill="background1"/>
        <w:rPr>
          <w:rFonts w:ascii="宋体" w:hAnsi="宋体"/>
          <w:color w:val="auto"/>
          <w:sz w:val="24"/>
          <w:szCs w:val="24"/>
          <w:highlight w:val="none"/>
        </w:rPr>
      </w:pPr>
      <w:bookmarkStart w:id="698" w:name="_Toc393546346"/>
      <w:bookmarkEnd w:id="698"/>
      <w:bookmarkStart w:id="699" w:name="_Toc43475820"/>
      <w:bookmarkEnd w:id="699"/>
      <w:bookmarkStart w:id="700" w:name="_Toc386467092"/>
      <w:bookmarkEnd w:id="700"/>
      <w:r>
        <w:rPr>
          <w:rFonts w:hint="eastAsia" w:ascii="宋体" w:hAnsi="宋体"/>
          <w:color w:val="auto"/>
          <w:sz w:val="24"/>
          <w:szCs w:val="24"/>
          <w:highlight w:val="none"/>
        </w:rPr>
        <w:t>11. 开工和竣工</w:t>
      </w:r>
    </w:p>
    <w:p w14:paraId="6675714C">
      <w:pPr>
        <w:pStyle w:val="67"/>
        <w:shd w:val="clear" w:fill="FFFFFF" w:themeFill="background1"/>
        <w:ind w:firstLine="118"/>
        <w:rPr>
          <w:rFonts w:ascii="宋体" w:eastAsia="宋体"/>
          <w:color w:val="auto"/>
          <w:szCs w:val="24"/>
          <w:highlight w:val="none"/>
        </w:rPr>
      </w:pPr>
      <w:bookmarkStart w:id="701" w:name="_Toc393546347"/>
      <w:bookmarkEnd w:id="701"/>
      <w:bookmarkStart w:id="702" w:name="_Toc43475821"/>
      <w:bookmarkEnd w:id="702"/>
      <w:bookmarkStart w:id="703" w:name="_Toc386467093"/>
      <w:bookmarkEnd w:id="703"/>
      <w:r>
        <w:rPr>
          <w:rFonts w:hint="eastAsia" w:ascii="宋体" w:eastAsia="宋体"/>
          <w:color w:val="auto"/>
          <w:szCs w:val="24"/>
          <w:highlight w:val="none"/>
        </w:rPr>
        <w:t>11.1 开工</w:t>
      </w:r>
    </w:p>
    <w:p w14:paraId="48E6350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F9D6D63">
      <w:pPr>
        <w:shd w:val="clear" w:fill="FFFFFF" w:themeFill="background1"/>
        <w:spacing w:line="40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20F75B0">
      <w:pPr>
        <w:pStyle w:val="67"/>
        <w:shd w:val="clear" w:fill="FFFFFF" w:themeFill="background1"/>
        <w:ind w:firstLine="118"/>
        <w:rPr>
          <w:rFonts w:ascii="宋体" w:eastAsia="宋体"/>
          <w:color w:val="auto"/>
          <w:szCs w:val="24"/>
          <w:highlight w:val="none"/>
        </w:rPr>
      </w:pPr>
      <w:bookmarkStart w:id="704" w:name="_Toc330406289"/>
      <w:bookmarkEnd w:id="704"/>
      <w:bookmarkStart w:id="705" w:name="_Toc152042462"/>
      <w:bookmarkEnd w:id="705"/>
      <w:bookmarkStart w:id="706" w:name="_Toc386467094"/>
      <w:bookmarkEnd w:id="706"/>
      <w:bookmarkStart w:id="707" w:name="_Toc179632702"/>
      <w:bookmarkEnd w:id="707"/>
      <w:bookmarkStart w:id="708" w:name="_Toc43475822"/>
      <w:bookmarkEnd w:id="708"/>
      <w:bookmarkStart w:id="709" w:name="_Toc152045684"/>
      <w:bookmarkEnd w:id="709"/>
      <w:bookmarkStart w:id="710" w:name="_Toc144974652"/>
      <w:bookmarkEnd w:id="710"/>
      <w:bookmarkStart w:id="711" w:name="_Toc393546348"/>
      <w:bookmarkEnd w:id="711"/>
      <w:r>
        <w:rPr>
          <w:rFonts w:hint="eastAsia" w:ascii="宋体" w:eastAsia="宋体"/>
          <w:color w:val="auto"/>
          <w:szCs w:val="24"/>
          <w:highlight w:val="none"/>
        </w:rPr>
        <w:t>11.2 竣工</w:t>
      </w:r>
    </w:p>
    <w:p w14:paraId="238482F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承包人应在第1.1.4.3目约定的期限内完成合同工程。实际竣工日期在接收证书中写明。</w:t>
      </w:r>
    </w:p>
    <w:p w14:paraId="6A41C4B4">
      <w:pPr>
        <w:pStyle w:val="67"/>
        <w:shd w:val="clear" w:fill="FFFFFF" w:themeFill="background1"/>
        <w:ind w:firstLine="118"/>
        <w:rPr>
          <w:rFonts w:ascii="宋体" w:eastAsia="宋体"/>
          <w:color w:val="auto"/>
          <w:szCs w:val="24"/>
          <w:highlight w:val="none"/>
        </w:rPr>
      </w:pPr>
      <w:bookmarkStart w:id="712" w:name="_Toc386467095"/>
      <w:bookmarkEnd w:id="712"/>
      <w:bookmarkStart w:id="713" w:name="_Toc43475823"/>
      <w:bookmarkEnd w:id="713"/>
      <w:bookmarkStart w:id="714" w:name="_Toc393546349"/>
      <w:bookmarkEnd w:id="714"/>
      <w:r>
        <w:rPr>
          <w:rFonts w:hint="eastAsia" w:ascii="宋体" w:eastAsia="宋体"/>
          <w:color w:val="auto"/>
          <w:szCs w:val="24"/>
          <w:highlight w:val="none"/>
        </w:rPr>
        <w:t>11.3 发包人的工期延误</w:t>
      </w:r>
    </w:p>
    <w:p w14:paraId="163003F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在履行合同过程中，由于发包人的下列原因造成工期延误的，承包人有权要求发包人延长工期和（或）增加费用，并支付合理利润。需要修订合同进度计划的，按照第10.2款的约定办理。</w:t>
      </w:r>
    </w:p>
    <w:p w14:paraId="7DAC1281">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（1）增加合同工作内容；</w:t>
      </w:r>
    </w:p>
    <w:p w14:paraId="6160CE5A">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（2）改变合同中任何一项工作的质量要求或其他特性；</w:t>
      </w:r>
    </w:p>
    <w:p w14:paraId="6CF4782F">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（3）发包人迟延提供材料、工程设备或变更交货地点的；</w:t>
      </w:r>
    </w:p>
    <w:p w14:paraId="21502642">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（4）因发包人原因导致的暂停施工；</w:t>
      </w:r>
    </w:p>
    <w:p w14:paraId="51A3D954">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（5）提供图纸延误；</w:t>
      </w:r>
    </w:p>
    <w:p w14:paraId="6F1A236A">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（6）未按合同约定及时支付预付款、进度款；</w:t>
      </w:r>
    </w:p>
    <w:p w14:paraId="7E1F326C">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（7）发包人造成工期延误的其他原因。</w:t>
      </w:r>
    </w:p>
    <w:p w14:paraId="6B03FD42">
      <w:pPr>
        <w:pStyle w:val="67"/>
        <w:shd w:val="clear" w:fill="FFFFFF" w:themeFill="background1"/>
        <w:ind w:firstLine="118"/>
        <w:rPr>
          <w:rFonts w:ascii="宋体" w:eastAsia="宋体"/>
          <w:color w:val="auto"/>
          <w:szCs w:val="24"/>
          <w:highlight w:val="none"/>
        </w:rPr>
      </w:pPr>
      <w:bookmarkStart w:id="715" w:name="_Toc393546350"/>
      <w:bookmarkEnd w:id="715"/>
      <w:bookmarkStart w:id="716" w:name="_Toc386467096"/>
      <w:bookmarkEnd w:id="716"/>
      <w:bookmarkStart w:id="717" w:name="_Toc43475824"/>
      <w:bookmarkEnd w:id="717"/>
      <w:r>
        <w:rPr>
          <w:rFonts w:hint="eastAsia" w:ascii="宋体" w:eastAsia="宋体"/>
          <w:color w:val="auto"/>
          <w:szCs w:val="24"/>
          <w:highlight w:val="none"/>
        </w:rPr>
        <w:t>11.4 异常恶劣的气候条件</w:t>
      </w:r>
    </w:p>
    <w:p w14:paraId="65E984D6">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由于出现专用合同条款规定的异常恶劣气候的条件导致工期延误的，承包人有权要求发包人延长工期。</w:t>
      </w:r>
    </w:p>
    <w:p w14:paraId="4344AF26">
      <w:pPr>
        <w:pStyle w:val="67"/>
        <w:shd w:val="clear" w:fill="FFFFFF" w:themeFill="background1"/>
        <w:ind w:firstLine="118"/>
        <w:rPr>
          <w:rFonts w:ascii="宋体" w:eastAsia="宋体"/>
          <w:color w:val="auto"/>
          <w:szCs w:val="24"/>
          <w:highlight w:val="none"/>
        </w:rPr>
      </w:pPr>
      <w:bookmarkStart w:id="718" w:name="_Toc43475825"/>
      <w:bookmarkEnd w:id="718"/>
      <w:bookmarkStart w:id="719" w:name="_Toc393546351"/>
      <w:bookmarkEnd w:id="719"/>
      <w:bookmarkStart w:id="720" w:name="_Toc386467097"/>
      <w:bookmarkEnd w:id="720"/>
      <w:r>
        <w:rPr>
          <w:rFonts w:hint="eastAsia" w:ascii="宋体" w:eastAsia="宋体"/>
          <w:color w:val="auto"/>
          <w:szCs w:val="24"/>
          <w:highlight w:val="none"/>
        </w:rPr>
        <w:t>11.5 承包人的工期延误</w:t>
      </w:r>
    </w:p>
    <w:p w14:paraId="358BD21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0A37985A">
      <w:pPr>
        <w:pStyle w:val="67"/>
        <w:shd w:val="clear" w:fill="FFFFFF" w:themeFill="background1"/>
        <w:ind w:firstLine="118"/>
        <w:rPr>
          <w:rFonts w:ascii="宋体" w:eastAsia="宋体"/>
          <w:color w:val="auto"/>
          <w:szCs w:val="24"/>
          <w:highlight w:val="none"/>
        </w:rPr>
      </w:pPr>
      <w:bookmarkStart w:id="721" w:name="_Toc386467098"/>
      <w:bookmarkEnd w:id="721"/>
      <w:bookmarkStart w:id="722" w:name="_Toc393546352"/>
      <w:bookmarkEnd w:id="722"/>
      <w:bookmarkStart w:id="723" w:name="_Toc43475826"/>
      <w:bookmarkEnd w:id="723"/>
      <w:r>
        <w:rPr>
          <w:rFonts w:hint="eastAsia" w:ascii="宋体" w:eastAsia="宋体"/>
          <w:color w:val="auto"/>
          <w:szCs w:val="24"/>
          <w:highlight w:val="none"/>
        </w:rPr>
        <w:t>11.6 工期提前</w:t>
      </w:r>
    </w:p>
    <w:p w14:paraId="425BD52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76D31ECE">
      <w:pPr>
        <w:pStyle w:val="78"/>
        <w:shd w:val="clear" w:fill="FFFFFF" w:themeFill="background1"/>
        <w:rPr>
          <w:rFonts w:ascii="宋体" w:hAnsi="宋体"/>
          <w:color w:val="auto"/>
          <w:sz w:val="24"/>
          <w:szCs w:val="24"/>
          <w:highlight w:val="none"/>
        </w:rPr>
      </w:pPr>
      <w:bookmarkStart w:id="724" w:name="_Toc386467099"/>
      <w:bookmarkEnd w:id="724"/>
      <w:bookmarkStart w:id="725" w:name="_Toc43475827"/>
      <w:bookmarkEnd w:id="725"/>
      <w:bookmarkStart w:id="726" w:name="_Toc393546353"/>
      <w:bookmarkEnd w:id="726"/>
      <w:r>
        <w:rPr>
          <w:rFonts w:hint="eastAsia" w:ascii="宋体" w:hAnsi="宋体"/>
          <w:color w:val="auto"/>
          <w:sz w:val="24"/>
          <w:szCs w:val="24"/>
          <w:highlight w:val="none"/>
        </w:rPr>
        <w:t>12. 暂停施工</w:t>
      </w:r>
    </w:p>
    <w:p w14:paraId="10FDFC7A">
      <w:pPr>
        <w:pStyle w:val="67"/>
        <w:shd w:val="clear" w:fill="FFFFFF" w:themeFill="background1"/>
        <w:ind w:firstLine="118"/>
        <w:rPr>
          <w:rFonts w:ascii="宋体" w:eastAsia="宋体"/>
          <w:color w:val="auto"/>
          <w:szCs w:val="24"/>
          <w:highlight w:val="none"/>
        </w:rPr>
      </w:pPr>
      <w:bookmarkStart w:id="727" w:name="_Toc393546354"/>
      <w:bookmarkEnd w:id="727"/>
      <w:bookmarkStart w:id="728" w:name="_Toc386467100"/>
      <w:bookmarkEnd w:id="728"/>
      <w:bookmarkStart w:id="729" w:name="_Toc43475828"/>
      <w:bookmarkEnd w:id="729"/>
      <w:r>
        <w:rPr>
          <w:rFonts w:hint="eastAsia" w:ascii="宋体" w:eastAsia="宋体"/>
          <w:color w:val="auto"/>
          <w:szCs w:val="24"/>
          <w:highlight w:val="none"/>
        </w:rPr>
        <w:t>12.1 承包人暂停施工的责任</w:t>
      </w:r>
    </w:p>
    <w:p w14:paraId="134576E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因下列暂停施工增加的费用和（或）工期延误由承包人承担：</w:t>
      </w:r>
    </w:p>
    <w:p w14:paraId="3E09567A">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（1）承包人违约引起的暂停施工；</w:t>
      </w:r>
    </w:p>
    <w:p w14:paraId="2BD90E5D">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（2）由于承包人原因为工程合理施工和安全保障所必需的暂停施工；</w:t>
      </w:r>
    </w:p>
    <w:p w14:paraId="185613B9">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（3）承包人擅自暂停施工；</w:t>
      </w:r>
    </w:p>
    <w:p w14:paraId="1325B221">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（4）承包人其他原因引起的暂停施工；</w:t>
      </w:r>
    </w:p>
    <w:p w14:paraId="6453BF05">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（5）专用合同条款约定由承包人承担的其他暂停施工。</w:t>
      </w:r>
    </w:p>
    <w:p w14:paraId="42C5390A">
      <w:pPr>
        <w:pStyle w:val="67"/>
        <w:shd w:val="clear" w:fill="FFFFFF" w:themeFill="background1"/>
        <w:ind w:firstLine="118"/>
        <w:rPr>
          <w:rFonts w:ascii="宋体" w:eastAsia="宋体"/>
          <w:color w:val="auto"/>
          <w:szCs w:val="24"/>
          <w:highlight w:val="none"/>
        </w:rPr>
      </w:pPr>
      <w:bookmarkStart w:id="730" w:name="_Toc393546355"/>
      <w:bookmarkEnd w:id="730"/>
      <w:bookmarkStart w:id="731" w:name="_Toc152045691"/>
      <w:bookmarkEnd w:id="731"/>
      <w:bookmarkStart w:id="732" w:name="_Toc330406296"/>
      <w:bookmarkEnd w:id="732"/>
      <w:bookmarkStart w:id="733" w:name="_Toc152042469"/>
      <w:bookmarkEnd w:id="733"/>
      <w:bookmarkStart w:id="734" w:name="_Toc179632709"/>
      <w:bookmarkEnd w:id="734"/>
      <w:bookmarkStart w:id="735" w:name="_Toc386467101"/>
      <w:bookmarkEnd w:id="735"/>
      <w:bookmarkStart w:id="736" w:name="_Toc43475829"/>
      <w:bookmarkEnd w:id="736"/>
      <w:bookmarkStart w:id="737" w:name="_Toc144974660"/>
      <w:bookmarkEnd w:id="737"/>
      <w:r>
        <w:rPr>
          <w:rFonts w:hint="eastAsia" w:ascii="宋体" w:eastAsia="宋体"/>
          <w:color w:val="auto"/>
          <w:szCs w:val="24"/>
          <w:highlight w:val="none"/>
        </w:rPr>
        <w:t>12.2 发包人暂停施工的责任</w:t>
      </w:r>
    </w:p>
    <w:p w14:paraId="038E7B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由于发包人原因引起的暂停施工造成工期延误的，承包人有权要求发包人延长工期和（或）增加费用，并支付合理利润。</w:t>
      </w:r>
    </w:p>
    <w:p w14:paraId="61E81BC6">
      <w:pPr>
        <w:pStyle w:val="67"/>
        <w:shd w:val="clear" w:fill="FFFFFF" w:themeFill="background1"/>
        <w:ind w:firstLine="118"/>
        <w:rPr>
          <w:rFonts w:ascii="宋体" w:eastAsia="宋体"/>
          <w:color w:val="auto"/>
          <w:szCs w:val="24"/>
          <w:highlight w:val="none"/>
        </w:rPr>
      </w:pPr>
      <w:bookmarkStart w:id="738" w:name="_Toc179632710"/>
      <w:bookmarkEnd w:id="738"/>
      <w:bookmarkStart w:id="739" w:name="_Toc393546356"/>
      <w:bookmarkEnd w:id="739"/>
      <w:bookmarkStart w:id="740" w:name="_Toc152045692"/>
      <w:bookmarkEnd w:id="740"/>
      <w:bookmarkStart w:id="741" w:name="_Toc144974661"/>
      <w:bookmarkEnd w:id="741"/>
      <w:bookmarkStart w:id="742" w:name="_Toc386467102"/>
      <w:bookmarkEnd w:id="742"/>
      <w:bookmarkStart w:id="743" w:name="_Toc43475830"/>
      <w:bookmarkEnd w:id="743"/>
      <w:bookmarkStart w:id="744" w:name="_Toc152042470"/>
      <w:bookmarkEnd w:id="744"/>
      <w:bookmarkStart w:id="745" w:name="_Toc330406297"/>
      <w:bookmarkEnd w:id="745"/>
      <w:r>
        <w:rPr>
          <w:rFonts w:hint="eastAsia" w:ascii="宋体" w:eastAsia="宋体"/>
          <w:color w:val="auto"/>
          <w:szCs w:val="24"/>
          <w:highlight w:val="none"/>
        </w:rPr>
        <w:t>12.3 监理人暂停施工指示</w:t>
      </w:r>
    </w:p>
    <w:p w14:paraId="79ED55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1AA6EB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65B3E6D5">
      <w:pPr>
        <w:pStyle w:val="67"/>
        <w:shd w:val="clear" w:fill="FFFFFF" w:themeFill="background1"/>
        <w:ind w:firstLine="118"/>
        <w:rPr>
          <w:rFonts w:ascii="宋体" w:eastAsia="宋体"/>
          <w:color w:val="auto"/>
          <w:szCs w:val="24"/>
          <w:highlight w:val="none"/>
        </w:rPr>
      </w:pPr>
      <w:bookmarkStart w:id="746" w:name="_Toc386467103"/>
      <w:bookmarkEnd w:id="746"/>
      <w:bookmarkStart w:id="747" w:name="_Toc152042471"/>
      <w:bookmarkEnd w:id="747"/>
      <w:bookmarkStart w:id="748" w:name="_Toc179632711"/>
      <w:bookmarkEnd w:id="748"/>
      <w:bookmarkStart w:id="749" w:name="_Toc152045693"/>
      <w:bookmarkEnd w:id="749"/>
      <w:bookmarkStart w:id="750" w:name="_Toc43475831"/>
      <w:bookmarkEnd w:id="750"/>
      <w:bookmarkStart w:id="751" w:name="_Toc330406298"/>
      <w:bookmarkEnd w:id="751"/>
      <w:bookmarkStart w:id="752" w:name="_Toc393546357"/>
      <w:bookmarkEnd w:id="752"/>
      <w:bookmarkStart w:id="753" w:name="_Toc144974662"/>
      <w:bookmarkEnd w:id="753"/>
      <w:r>
        <w:rPr>
          <w:rFonts w:hint="eastAsia" w:ascii="宋体" w:eastAsia="宋体"/>
          <w:color w:val="auto"/>
          <w:szCs w:val="24"/>
          <w:highlight w:val="none"/>
        </w:rPr>
        <w:t>12.4 暂停施工后的复工</w:t>
      </w:r>
    </w:p>
    <w:p w14:paraId="3E02438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E074FF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12.4.2 承包人无故拖延和拒绝复工的，由此增加的费用和工期延误由承包人承担；因发包人原因无法按时复工的，承包人有权要求发包人延长工期和（或）增加费用，并支付合理利润。</w:t>
      </w:r>
    </w:p>
    <w:p w14:paraId="307790E9">
      <w:pPr>
        <w:pStyle w:val="67"/>
        <w:shd w:val="clear" w:fill="FFFFFF" w:themeFill="background1"/>
        <w:ind w:firstLine="118"/>
        <w:rPr>
          <w:rFonts w:ascii="宋体" w:eastAsia="宋体"/>
          <w:color w:val="auto"/>
          <w:szCs w:val="24"/>
          <w:highlight w:val="none"/>
        </w:rPr>
      </w:pPr>
      <w:bookmarkStart w:id="754" w:name="_Toc43475832"/>
      <w:bookmarkEnd w:id="754"/>
      <w:bookmarkStart w:id="755" w:name="_Toc393546358"/>
      <w:bookmarkEnd w:id="755"/>
      <w:bookmarkStart w:id="756" w:name="_Toc179632712"/>
      <w:bookmarkEnd w:id="756"/>
      <w:bookmarkStart w:id="757" w:name="_Toc330406299"/>
      <w:bookmarkEnd w:id="757"/>
      <w:bookmarkStart w:id="758" w:name="_Toc144974663"/>
      <w:bookmarkEnd w:id="758"/>
      <w:bookmarkStart w:id="759" w:name="_Toc152042472"/>
      <w:bookmarkEnd w:id="759"/>
      <w:bookmarkStart w:id="760" w:name="_Toc386467104"/>
      <w:bookmarkEnd w:id="760"/>
      <w:bookmarkStart w:id="761" w:name="_Toc152045694"/>
      <w:bookmarkEnd w:id="761"/>
      <w:r>
        <w:rPr>
          <w:rFonts w:hint="eastAsia" w:ascii="宋体" w:eastAsia="宋体"/>
          <w:color w:val="auto"/>
          <w:szCs w:val="24"/>
          <w:highlight w:val="none"/>
        </w:rPr>
        <w:t>12.5 暂停施工持续56天以上</w:t>
      </w:r>
    </w:p>
    <w:p w14:paraId="3E214E58">
      <w:pPr>
        <w:shd w:val="clear" w:fill="FFFFFF" w:themeFill="background1"/>
        <w:spacing w:line="4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6052212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12.5.2 由于承包人责任引起的暂停施工，如承包人在收到监理人暂停施工指示后56天内不认真采取有效的复工措施，造成工期延误，可视为承包人违约，应按第22.1款的规定办理。</w:t>
      </w:r>
    </w:p>
    <w:p w14:paraId="561D1EA5">
      <w:pPr>
        <w:pStyle w:val="78"/>
        <w:shd w:val="clear" w:fill="FFFFFF" w:themeFill="background1"/>
        <w:rPr>
          <w:rFonts w:ascii="宋体" w:hAnsi="宋体"/>
          <w:color w:val="auto"/>
          <w:sz w:val="24"/>
          <w:szCs w:val="24"/>
          <w:highlight w:val="none"/>
        </w:rPr>
      </w:pPr>
      <w:bookmarkStart w:id="762" w:name="_Toc393546359"/>
      <w:bookmarkEnd w:id="762"/>
      <w:bookmarkStart w:id="763" w:name="_Toc43475833"/>
      <w:bookmarkEnd w:id="763"/>
      <w:bookmarkStart w:id="764" w:name="_Toc386467105"/>
      <w:bookmarkEnd w:id="764"/>
      <w:r>
        <w:rPr>
          <w:rFonts w:hint="eastAsia" w:ascii="宋体" w:hAnsi="宋体"/>
          <w:color w:val="auto"/>
          <w:sz w:val="24"/>
          <w:szCs w:val="24"/>
          <w:highlight w:val="none"/>
        </w:rPr>
        <w:t>13. 工程质量</w:t>
      </w:r>
    </w:p>
    <w:p w14:paraId="5665BEF9">
      <w:pPr>
        <w:pStyle w:val="67"/>
        <w:shd w:val="clear" w:fill="FFFFFF" w:themeFill="background1"/>
        <w:ind w:firstLine="118"/>
        <w:rPr>
          <w:rFonts w:ascii="宋体" w:eastAsia="宋体"/>
          <w:color w:val="auto"/>
          <w:szCs w:val="24"/>
          <w:highlight w:val="none"/>
        </w:rPr>
      </w:pPr>
      <w:bookmarkStart w:id="765" w:name="_Toc43475834"/>
      <w:bookmarkEnd w:id="765"/>
      <w:bookmarkStart w:id="766" w:name="_Toc386467106"/>
      <w:bookmarkEnd w:id="766"/>
      <w:bookmarkStart w:id="767" w:name="_Toc393546360"/>
      <w:bookmarkEnd w:id="767"/>
      <w:r>
        <w:rPr>
          <w:rFonts w:hint="eastAsia" w:ascii="宋体" w:eastAsia="宋体"/>
          <w:color w:val="auto"/>
          <w:szCs w:val="24"/>
          <w:highlight w:val="none"/>
        </w:rPr>
        <w:t>13.1 工程质量要求</w:t>
      </w:r>
    </w:p>
    <w:p w14:paraId="384F0A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13.1.1 工程质量验收按合同约定验收标准执行。</w:t>
      </w:r>
    </w:p>
    <w:p w14:paraId="1F9C421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13.1.2 因承包人原因造成工程质量达不到合同约定验收标准的，监理人有权要求承包人返工直至符合合同要求为止，由此造成的费用增加和（或）工期延误由承包人承担。</w:t>
      </w:r>
    </w:p>
    <w:p w14:paraId="43890D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13.1.3 因发包人原因造成工程质量达不到合同约定验收标准的，发包人应承担由于承包人返工造成的费用增加和（或）工期延误，并支付承包人合理利润。</w:t>
      </w:r>
    </w:p>
    <w:p w14:paraId="6076CBA1">
      <w:pPr>
        <w:pStyle w:val="67"/>
        <w:shd w:val="clear" w:fill="FFFFFF" w:themeFill="background1"/>
        <w:ind w:firstLine="118"/>
        <w:rPr>
          <w:rFonts w:ascii="宋体" w:eastAsia="宋体"/>
          <w:color w:val="auto"/>
          <w:szCs w:val="24"/>
          <w:highlight w:val="none"/>
        </w:rPr>
      </w:pPr>
      <w:bookmarkStart w:id="768" w:name="_Toc386467107"/>
      <w:bookmarkEnd w:id="768"/>
      <w:bookmarkStart w:id="769" w:name="_Toc393546361"/>
      <w:bookmarkEnd w:id="769"/>
      <w:bookmarkStart w:id="770" w:name="_Toc43475835"/>
      <w:bookmarkEnd w:id="770"/>
      <w:r>
        <w:rPr>
          <w:rFonts w:hint="eastAsia" w:ascii="宋体" w:eastAsia="宋体"/>
          <w:color w:val="auto"/>
          <w:szCs w:val="24"/>
          <w:highlight w:val="none"/>
        </w:rPr>
        <w:t>13.2 承包人的质量管理</w:t>
      </w:r>
    </w:p>
    <w:p w14:paraId="5825739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B0AC40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13.2.2 承包人应加强对施工人员的质量教育和技术培训，定期考核施工人员的劳动技能，严格执行规范和操作规程。</w:t>
      </w:r>
    </w:p>
    <w:p w14:paraId="60503327">
      <w:pPr>
        <w:pStyle w:val="67"/>
        <w:shd w:val="clear" w:fill="FFFFFF" w:themeFill="background1"/>
        <w:ind w:firstLine="118"/>
        <w:rPr>
          <w:rFonts w:ascii="宋体" w:eastAsia="宋体"/>
          <w:color w:val="auto"/>
          <w:szCs w:val="24"/>
          <w:highlight w:val="none"/>
        </w:rPr>
      </w:pPr>
      <w:bookmarkStart w:id="771" w:name="_Toc393546362"/>
      <w:bookmarkEnd w:id="771"/>
      <w:bookmarkStart w:id="772" w:name="_Toc152042476"/>
      <w:bookmarkEnd w:id="772"/>
      <w:bookmarkStart w:id="773" w:name="_Toc330406303"/>
      <w:bookmarkEnd w:id="773"/>
      <w:bookmarkStart w:id="774" w:name="_Toc43475836"/>
      <w:bookmarkEnd w:id="774"/>
      <w:bookmarkStart w:id="775" w:name="_Toc179632716"/>
      <w:bookmarkEnd w:id="775"/>
      <w:bookmarkStart w:id="776" w:name="_Toc144974667"/>
      <w:bookmarkEnd w:id="776"/>
      <w:bookmarkStart w:id="777" w:name="_Toc152045698"/>
      <w:bookmarkEnd w:id="777"/>
      <w:bookmarkStart w:id="778" w:name="_Toc386467108"/>
      <w:bookmarkEnd w:id="778"/>
      <w:r>
        <w:rPr>
          <w:rFonts w:hint="eastAsia" w:ascii="宋体" w:eastAsia="宋体"/>
          <w:color w:val="auto"/>
          <w:szCs w:val="24"/>
          <w:highlight w:val="none"/>
        </w:rPr>
        <w:t>13.3 承包人的质量检查</w:t>
      </w:r>
    </w:p>
    <w:p w14:paraId="77D480F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承包人应按合同约定对材料、工程设备以及工程的所有部位及其施工工艺进行全过程的质量检查和检验，并作详细记录，编制工程质量报表，报送监理人审查。</w:t>
      </w:r>
    </w:p>
    <w:p w14:paraId="6195AA83">
      <w:pPr>
        <w:pStyle w:val="67"/>
        <w:shd w:val="clear" w:fill="FFFFFF" w:themeFill="background1"/>
        <w:ind w:firstLine="118"/>
        <w:rPr>
          <w:rFonts w:ascii="宋体" w:eastAsia="宋体"/>
          <w:color w:val="auto"/>
          <w:szCs w:val="24"/>
          <w:highlight w:val="none"/>
        </w:rPr>
      </w:pPr>
      <w:bookmarkStart w:id="779" w:name="_Toc393546363"/>
      <w:bookmarkEnd w:id="779"/>
      <w:bookmarkStart w:id="780" w:name="_Toc386467109"/>
      <w:bookmarkEnd w:id="780"/>
      <w:bookmarkStart w:id="781" w:name="_Toc43475837"/>
      <w:bookmarkEnd w:id="781"/>
      <w:r>
        <w:rPr>
          <w:rFonts w:hint="eastAsia" w:ascii="宋体" w:eastAsia="宋体"/>
          <w:color w:val="auto"/>
          <w:szCs w:val="24"/>
          <w:highlight w:val="none"/>
        </w:rPr>
        <w:t>13.4 监理人的质量检查</w:t>
      </w:r>
    </w:p>
    <w:p w14:paraId="77DF9D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BD3B5DA">
      <w:pPr>
        <w:pStyle w:val="67"/>
        <w:shd w:val="clear" w:fill="FFFFFF" w:themeFill="background1"/>
        <w:ind w:firstLine="118"/>
        <w:rPr>
          <w:rFonts w:ascii="宋体" w:eastAsia="宋体"/>
          <w:color w:val="auto"/>
          <w:szCs w:val="24"/>
          <w:highlight w:val="none"/>
        </w:rPr>
      </w:pPr>
      <w:bookmarkStart w:id="782" w:name="_Toc43475838"/>
      <w:bookmarkEnd w:id="782"/>
      <w:bookmarkStart w:id="783" w:name="_Toc386467110"/>
      <w:bookmarkEnd w:id="783"/>
      <w:bookmarkStart w:id="784" w:name="_Toc393546364"/>
      <w:bookmarkEnd w:id="784"/>
      <w:r>
        <w:rPr>
          <w:rFonts w:hint="eastAsia" w:ascii="宋体" w:eastAsia="宋体"/>
          <w:color w:val="auto"/>
          <w:szCs w:val="24"/>
          <w:highlight w:val="none"/>
        </w:rPr>
        <w:t>13.5 工程隐蔽部位覆盖前的检查</w:t>
      </w:r>
    </w:p>
    <w:p w14:paraId="0D63670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13.5.1 通知监理人检查</w:t>
      </w:r>
    </w:p>
    <w:p w14:paraId="5D45BDF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1ADA64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13.5.2 监理人未到场检查</w:t>
      </w:r>
    </w:p>
    <w:p w14:paraId="5D6CF8E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6B30095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13.5.3 监理人重新检查</w:t>
      </w:r>
    </w:p>
    <w:p w14:paraId="274509A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5A5306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13.5.4 承包人私自覆盖</w:t>
      </w:r>
    </w:p>
    <w:p w14:paraId="6377F15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承包人未通知监理人到场检查，私自将工程隐蔽部位覆盖的，监理人有权指示承包人钻孔探测或揭开检查，由此增加的费用和（或）工期延误由承包人承担。</w:t>
      </w:r>
    </w:p>
    <w:p w14:paraId="735CCE61">
      <w:pPr>
        <w:pStyle w:val="67"/>
        <w:shd w:val="clear" w:fill="FFFFFF" w:themeFill="background1"/>
        <w:ind w:firstLine="118"/>
        <w:rPr>
          <w:rFonts w:ascii="宋体" w:eastAsia="宋体"/>
          <w:color w:val="auto"/>
          <w:szCs w:val="24"/>
          <w:highlight w:val="none"/>
        </w:rPr>
      </w:pPr>
      <w:bookmarkStart w:id="785" w:name="_Toc393546365"/>
      <w:bookmarkEnd w:id="785"/>
      <w:bookmarkStart w:id="786" w:name="_Toc386467111"/>
      <w:bookmarkEnd w:id="786"/>
      <w:bookmarkStart w:id="787" w:name="_Toc43475839"/>
      <w:bookmarkEnd w:id="787"/>
      <w:r>
        <w:rPr>
          <w:rFonts w:hint="eastAsia" w:ascii="宋体" w:eastAsia="宋体"/>
          <w:color w:val="auto"/>
          <w:szCs w:val="24"/>
          <w:highlight w:val="none"/>
        </w:rPr>
        <w:t>13.6 清除不合格工程</w:t>
      </w:r>
    </w:p>
    <w:p w14:paraId="2C81058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A52828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13.6.2 由于发包人提供的材料或工程设备不合格造成的工程不合格，需要承包人采取措施补救的，发包人应承担由此增加的费用和（或）工期延误，并支付承包人合理利润。</w:t>
      </w:r>
    </w:p>
    <w:p w14:paraId="2A3CB483">
      <w:pPr>
        <w:pStyle w:val="78"/>
        <w:shd w:val="clear" w:fill="FFFFFF" w:themeFill="background1"/>
        <w:rPr>
          <w:rFonts w:ascii="宋体" w:hAnsi="宋体"/>
          <w:color w:val="auto"/>
          <w:sz w:val="24"/>
          <w:szCs w:val="24"/>
          <w:highlight w:val="none"/>
        </w:rPr>
      </w:pPr>
      <w:bookmarkStart w:id="788" w:name="_Toc386467112"/>
      <w:bookmarkEnd w:id="788"/>
      <w:bookmarkStart w:id="789" w:name="_Toc43475840"/>
      <w:bookmarkEnd w:id="789"/>
      <w:bookmarkStart w:id="790" w:name="_Toc393546366"/>
      <w:bookmarkEnd w:id="790"/>
      <w:r>
        <w:rPr>
          <w:rFonts w:hint="eastAsia" w:ascii="宋体" w:hAnsi="宋体"/>
          <w:color w:val="auto"/>
          <w:sz w:val="24"/>
          <w:szCs w:val="24"/>
          <w:highlight w:val="none"/>
        </w:rPr>
        <w:t>14. 试验和检验</w:t>
      </w:r>
    </w:p>
    <w:p w14:paraId="0EEFD942">
      <w:pPr>
        <w:pStyle w:val="67"/>
        <w:shd w:val="clear" w:fill="FFFFFF" w:themeFill="background1"/>
        <w:ind w:firstLine="118"/>
        <w:rPr>
          <w:rFonts w:ascii="宋体" w:eastAsia="宋体"/>
          <w:color w:val="auto"/>
          <w:szCs w:val="24"/>
          <w:highlight w:val="none"/>
        </w:rPr>
      </w:pPr>
      <w:bookmarkStart w:id="791" w:name="_Toc144974672"/>
      <w:bookmarkEnd w:id="791"/>
      <w:bookmarkStart w:id="792" w:name="_Toc386467113"/>
      <w:bookmarkEnd w:id="792"/>
      <w:bookmarkStart w:id="793" w:name="_Toc43475841"/>
      <w:bookmarkEnd w:id="793"/>
      <w:bookmarkStart w:id="794" w:name="_Toc330406308"/>
      <w:bookmarkEnd w:id="794"/>
      <w:bookmarkStart w:id="795" w:name="_Toc179632721"/>
      <w:bookmarkEnd w:id="795"/>
      <w:bookmarkStart w:id="796" w:name="_Toc152042481"/>
      <w:bookmarkEnd w:id="796"/>
      <w:bookmarkStart w:id="797" w:name="_Toc393546367"/>
      <w:bookmarkEnd w:id="797"/>
      <w:bookmarkStart w:id="798" w:name="_Toc152045703"/>
      <w:bookmarkEnd w:id="798"/>
      <w:r>
        <w:rPr>
          <w:rFonts w:hint="eastAsia" w:ascii="宋体" w:eastAsia="宋体"/>
          <w:color w:val="auto"/>
          <w:szCs w:val="24"/>
          <w:highlight w:val="none"/>
        </w:rPr>
        <w:t>14.1 材料、工程设备和工程的试验和检验</w:t>
      </w:r>
    </w:p>
    <w:p w14:paraId="1BD828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DD30D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14.1.2 监理人未按合同约定派员参加试验和检验的，除监理人另有指示外，承包人可自行试验和检验，并应立即将试验和检验结果报送监理人，监理人应签字确认。</w:t>
      </w:r>
    </w:p>
    <w:p w14:paraId="779382E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316288C4">
      <w:pPr>
        <w:pStyle w:val="67"/>
        <w:shd w:val="clear" w:fill="FFFFFF" w:themeFill="background1"/>
        <w:ind w:firstLine="118"/>
        <w:rPr>
          <w:rFonts w:ascii="宋体" w:eastAsia="宋体"/>
          <w:color w:val="auto"/>
          <w:szCs w:val="24"/>
          <w:highlight w:val="none"/>
        </w:rPr>
      </w:pPr>
      <w:bookmarkStart w:id="799" w:name="_Toc43475842"/>
      <w:bookmarkEnd w:id="799"/>
      <w:bookmarkStart w:id="800" w:name="_Toc393546368"/>
      <w:bookmarkEnd w:id="800"/>
      <w:bookmarkStart w:id="801" w:name="_Toc152045704"/>
      <w:bookmarkEnd w:id="801"/>
      <w:bookmarkStart w:id="802" w:name="_Toc386467114"/>
      <w:bookmarkEnd w:id="802"/>
      <w:bookmarkStart w:id="803" w:name="_Toc152042482"/>
      <w:bookmarkEnd w:id="803"/>
      <w:bookmarkStart w:id="804" w:name="_Toc179632722"/>
      <w:bookmarkEnd w:id="804"/>
      <w:bookmarkStart w:id="805" w:name="_Toc330406309"/>
      <w:bookmarkEnd w:id="805"/>
      <w:bookmarkStart w:id="806" w:name="_Toc144974673"/>
      <w:bookmarkEnd w:id="806"/>
      <w:r>
        <w:rPr>
          <w:rFonts w:hint="eastAsia" w:ascii="宋体" w:eastAsia="宋体"/>
          <w:color w:val="auto"/>
          <w:szCs w:val="24"/>
          <w:highlight w:val="none"/>
        </w:rPr>
        <w:t>14.2 现场材料试验</w:t>
      </w:r>
    </w:p>
    <w:p w14:paraId="2626E2E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14.2.1 承包人根据合同约定或监理人指示进行的现场材料试验，应由承包人提供试验场所、试验人员、试验设备器材以及其他必要的试验条件。</w:t>
      </w:r>
    </w:p>
    <w:p w14:paraId="6BA2519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14.2.2 监理人在必要时可以使用承包人的试验场所、试验设备器材以及其他试验条件，进行以工程质量检查为目的的复核性材料试验，承包人应予以协助。</w:t>
      </w:r>
    </w:p>
    <w:p w14:paraId="25EC7733">
      <w:pPr>
        <w:pStyle w:val="67"/>
        <w:shd w:val="clear" w:fill="FFFFFF" w:themeFill="background1"/>
        <w:ind w:firstLine="118"/>
        <w:rPr>
          <w:rFonts w:ascii="宋体" w:eastAsia="宋体"/>
          <w:color w:val="auto"/>
          <w:szCs w:val="24"/>
          <w:highlight w:val="none"/>
        </w:rPr>
      </w:pPr>
      <w:bookmarkStart w:id="807" w:name="_Toc393546369"/>
      <w:bookmarkEnd w:id="807"/>
      <w:bookmarkStart w:id="808" w:name="_Toc43475843"/>
      <w:bookmarkEnd w:id="808"/>
      <w:bookmarkStart w:id="809" w:name="_Toc386467115"/>
      <w:bookmarkEnd w:id="809"/>
      <w:r>
        <w:rPr>
          <w:rFonts w:hint="eastAsia" w:ascii="宋体" w:eastAsia="宋体"/>
          <w:color w:val="auto"/>
          <w:szCs w:val="24"/>
          <w:highlight w:val="none"/>
        </w:rPr>
        <w:t>14.3 现场工艺试验</w:t>
      </w:r>
    </w:p>
    <w:p w14:paraId="3B40969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9B8D026">
      <w:pPr>
        <w:pStyle w:val="78"/>
        <w:shd w:val="clear" w:fill="FFFFFF" w:themeFill="background1"/>
        <w:rPr>
          <w:rFonts w:ascii="宋体" w:hAnsi="宋体"/>
          <w:color w:val="auto"/>
          <w:sz w:val="24"/>
          <w:szCs w:val="24"/>
          <w:highlight w:val="none"/>
        </w:rPr>
      </w:pPr>
      <w:bookmarkStart w:id="810" w:name="_Toc43475844"/>
      <w:bookmarkEnd w:id="810"/>
      <w:bookmarkStart w:id="811" w:name="_Toc393546370"/>
      <w:bookmarkEnd w:id="811"/>
      <w:bookmarkStart w:id="812" w:name="_Toc386467116"/>
      <w:bookmarkEnd w:id="812"/>
      <w:r>
        <w:rPr>
          <w:rFonts w:hint="eastAsia" w:ascii="宋体" w:hAnsi="宋体"/>
          <w:color w:val="auto"/>
          <w:sz w:val="24"/>
          <w:szCs w:val="24"/>
          <w:highlight w:val="none"/>
        </w:rPr>
        <w:t>15. 变更</w:t>
      </w:r>
    </w:p>
    <w:p w14:paraId="4EAE1DD5">
      <w:pPr>
        <w:pStyle w:val="67"/>
        <w:shd w:val="clear" w:fill="FFFFFF" w:themeFill="background1"/>
        <w:ind w:firstLine="118"/>
        <w:rPr>
          <w:rFonts w:ascii="宋体" w:eastAsia="宋体"/>
          <w:color w:val="auto"/>
          <w:szCs w:val="24"/>
          <w:highlight w:val="none"/>
        </w:rPr>
      </w:pPr>
      <w:bookmarkStart w:id="813" w:name="_Toc386467117"/>
      <w:bookmarkEnd w:id="813"/>
      <w:bookmarkStart w:id="814" w:name="_Toc43475845"/>
      <w:bookmarkEnd w:id="814"/>
      <w:bookmarkStart w:id="815" w:name="_Toc393546371"/>
      <w:bookmarkEnd w:id="815"/>
      <w:r>
        <w:rPr>
          <w:rFonts w:hint="eastAsia" w:ascii="宋体" w:eastAsia="宋体"/>
          <w:color w:val="auto"/>
          <w:szCs w:val="24"/>
          <w:highlight w:val="none"/>
        </w:rPr>
        <w:t>15.1 变更的范围和内容</w:t>
      </w:r>
    </w:p>
    <w:p w14:paraId="4805893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除专用合同条款另有约定外，在履行合同中发生以下情形之一，应按照本条规定进行变更。</w:t>
      </w:r>
    </w:p>
    <w:p w14:paraId="38C4A033">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（1）取消合同中任何一项工作，但被取消的工作不能转由发包人或其他人实施；</w:t>
      </w:r>
    </w:p>
    <w:p w14:paraId="4F8AF743">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（2）改变合同中任何一项工作的质量或其他特性；</w:t>
      </w:r>
    </w:p>
    <w:p w14:paraId="6AA954EC">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（3）改变合同工程的基线、标高、位置或尺寸；</w:t>
      </w:r>
    </w:p>
    <w:p w14:paraId="1B70715A">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（4）改变合同中任何一项工作的施工时间或改变已批准的施工工艺或顺序；</w:t>
      </w:r>
    </w:p>
    <w:p w14:paraId="26F24A1B">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（5）为完成工程需要追加的额外工作。</w:t>
      </w:r>
    </w:p>
    <w:p w14:paraId="0196FE9D">
      <w:pPr>
        <w:pStyle w:val="67"/>
        <w:shd w:val="clear" w:fill="FFFFFF" w:themeFill="background1"/>
        <w:ind w:firstLine="118"/>
        <w:rPr>
          <w:rFonts w:ascii="宋体" w:eastAsia="宋体"/>
          <w:color w:val="auto"/>
          <w:szCs w:val="24"/>
          <w:highlight w:val="none"/>
        </w:rPr>
      </w:pPr>
      <w:bookmarkStart w:id="816" w:name="_Toc179632726"/>
      <w:bookmarkEnd w:id="816"/>
      <w:bookmarkStart w:id="817" w:name="_Toc393546372"/>
      <w:bookmarkEnd w:id="817"/>
      <w:bookmarkStart w:id="818" w:name="_Toc386467118"/>
      <w:bookmarkEnd w:id="818"/>
      <w:bookmarkStart w:id="819" w:name="_Toc152042486"/>
      <w:bookmarkEnd w:id="819"/>
      <w:bookmarkStart w:id="820" w:name="_Toc152045708"/>
      <w:bookmarkEnd w:id="820"/>
      <w:bookmarkStart w:id="821" w:name="_Toc330406313"/>
      <w:bookmarkEnd w:id="821"/>
      <w:bookmarkStart w:id="822" w:name="_Toc43475846"/>
      <w:bookmarkEnd w:id="822"/>
      <w:bookmarkStart w:id="823" w:name="_Toc144974677"/>
      <w:bookmarkEnd w:id="823"/>
      <w:r>
        <w:rPr>
          <w:rFonts w:hint="eastAsia" w:ascii="宋体" w:eastAsia="宋体"/>
          <w:color w:val="auto"/>
          <w:szCs w:val="24"/>
          <w:highlight w:val="none"/>
        </w:rPr>
        <w:t>15.2 变更权</w:t>
      </w:r>
    </w:p>
    <w:p w14:paraId="32462D5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在履行合同过程中，经发包人同意，监理人可按第15.3款约定的变更程序向承包人作出变更指示，承包人应遵照执行。没有监理人的变更指示，承包人不得擅自变更。</w:t>
      </w:r>
    </w:p>
    <w:p w14:paraId="1E1FA801">
      <w:pPr>
        <w:pStyle w:val="67"/>
        <w:shd w:val="clear" w:fill="FFFFFF" w:themeFill="background1"/>
        <w:ind w:firstLine="118"/>
        <w:rPr>
          <w:rFonts w:ascii="宋体" w:eastAsia="宋体"/>
          <w:color w:val="auto"/>
          <w:szCs w:val="24"/>
          <w:highlight w:val="none"/>
        </w:rPr>
      </w:pPr>
      <w:bookmarkStart w:id="824" w:name="_Toc393546373"/>
      <w:bookmarkEnd w:id="824"/>
      <w:bookmarkStart w:id="825" w:name="_Toc43475847"/>
      <w:bookmarkEnd w:id="825"/>
      <w:bookmarkStart w:id="826" w:name="_Toc386467119"/>
      <w:bookmarkEnd w:id="826"/>
      <w:r>
        <w:rPr>
          <w:rFonts w:hint="eastAsia" w:ascii="宋体" w:eastAsia="宋体"/>
          <w:color w:val="auto"/>
          <w:szCs w:val="24"/>
          <w:highlight w:val="none"/>
        </w:rPr>
        <w:t>15.3 变更程序</w:t>
      </w:r>
    </w:p>
    <w:p w14:paraId="4D70A62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 变更的提出</w:t>
      </w:r>
    </w:p>
    <w:p w14:paraId="0D0E3C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7D28EAB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（2）在合同履行过程中，发生第15.1款约定情形的，监理人应按照第15.3.3项约定向承包人发出变更指示。</w:t>
      </w:r>
    </w:p>
    <w:p w14:paraId="037341F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094A399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67B84CD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 变更估价</w:t>
      </w:r>
    </w:p>
    <w:p w14:paraId="1B5EC4D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0A4765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（2）变更工作影响工期的，承包人应提出调整工期的具体细节。监理人认为有必要时，可要求承包人提交要求提前或延长工期的施工进度计划及相应施工措施等详细资料。</w:t>
      </w:r>
    </w:p>
    <w:p w14:paraId="5FA27E1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（3）除专用合同条款对期限另有约定外，监理人收到承包人变更报价书后的14天内，根据第15.4款约定的估价原则，按照第3.5款商定或确定变更价格。</w:t>
      </w:r>
    </w:p>
    <w:p w14:paraId="6CC77B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 变更指示</w:t>
      </w:r>
    </w:p>
    <w:p w14:paraId="547A4BF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（1）变更指示只能由监理人发出。</w:t>
      </w:r>
    </w:p>
    <w:p w14:paraId="0E23250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（2）变更指示应说明变更的目的、范围、变更内容以及变更的工程量及其进度和技术要求，并附有关图纸和文件。承包人收到变更指示后，应按变更指示进行变更工作。</w:t>
      </w:r>
    </w:p>
    <w:p w14:paraId="1D3334F0">
      <w:pPr>
        <w:pStyle w:val="67"/>
        <w:shd w:val="clear" w:fill="FFFFFF" w:themeFill="background1"/>
        <w:ind w:firstLine="118"/>
        <w:rPr>
          <w:rFonts w:ascii="宋体" w:eastAsia="宋体"/>
          <w:color w:val="auto"/>
          <w:szCs w:val="24"/>
          <w:highlight w:val="none"/>
        </w:rPr>
      </w:pPr>
      <w:bookmarkStart w:id="827" w:name="_Toc43475848"/>
      <w:bookmarkEnd w:id="827"/>
      <w:bookmarkStart w:id="828" w:name="_Toc386467120"/>
      <w:bookmarkEnd w:id="828"/>
      <w:bookmarkStart w:id="829" w:name="_Toc393546374"/>
      <w:bookmarkEnd w:id="829"/>
      <w:r>
        <w:rPr>
          <w:rFonts w:hint="eastAsia" w:ascii="宋体" w:eastAsia="宋体"/>
          <w:color w:val="auto"/>
          <w:szCs w:val="24"/>
          <w:highlight w:val="none"/>
        </w:rPr>
        <w:t>15.4 变更的估价原则</w:t>
      </w:r>
    </w:p>
    <w:p w14:paraId="5228F29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除专用合同条款另有约定外，因变更引起的价格调整按照本款约定处理。</w:t>
      </w:r>
    </w:p>
    <w:p w14:paraId="0A4795B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15.4.1 已标价工程量清单中有适用于变更工作的子目的，采用该子目的单价。</w:t>
      </w:r>
    </w:p>
    <w:p w14:paraId="330E140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15.4.2 已标价工程量清单中无适用于变更工作的子目，但有类似子目的，可在合理范围内参照类似子目的单价，由监理人按第3.5款商定或确定变更工作的单价。</w:t>
      </w:r>
    </w:p>
    <w:p w14:paraId="6DAFFE9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15.4.3 已标价工程量清单中无适用或类似子目的单价，可按照成本加利润的原则，由监理人按第3.5款商定或确定变更工作的单价。</w:t>
      </w:r>
    </w:p>
    <w:p w14:paraId="065BA0BF">
      <w:pPr>
        <w:pStyle w:val="67"/>
        <w:shd w:val="clear" w:fill="FFFFFF" w:themeFill="background1"/>
        <w:ind w:firstLine="118"/>
        <w:rPr>
          <w:rFonts w:ascii="宋体" w:eastAsia="宋体"/>
          <w:color w:val="auto"/>
          <w:szCs w:val="24"/>
          <w:highlight w:val="none"/>
        </w:rPr>
      </w:pPr>
      <w:bookmarkStart w:id="830" w:name="_Toc393546375"/>
      <w:bookmarkEnd w:id="830"/>
      <w:bookmarkStart w:id="831" w:name="_Toc386467121"/>
      <w:bookmarkEnd w:id="831"/>
      <w:bookmarkStart w:id="832" w:name="_Toc43475849"/>
      <w:bookmarkEnd w:id="832"/>
      <w:r>
        <w:rPr>
          <w:rFonts w:hint="eastAsia" w:ascii="宋体" w:eastAsia="宋体"/>
          <w:color w:val="auto"/>
          <w:szCs w:val="24"/>
          <w:highlight w:val="none"/>
        </w:rPr>
        <w:t>15.5 承包人的合理化建议</w:t>
      </w:r>
    </w:p>
    <w:p w14:paraId="1C578A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22BB06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15.5.2 承包人提出的合理化建议降低了合同价格、缩短了工期或者提高了工程经济效益的，发包人可按国家有关规定在专用合同条款中约定给予奖励。</w:t>
      </w:r>
    </w:p>
    <w:p w14:paraId="7B6DA9B7">
      <w:pPr>
        <w:pStyle w:val="67"/>
        <w:shd w:val="clear" w:fill="FFFFFF" w:themeFill="background1"/>
        <w:ind w:firstLine="118"/>
        <w:rPr>
          <w:rFonts w:ascii="宋体" w:eastAsia="宋体"/>
          <w:color w:val="auto"/>
          <w:szCs w:val="24"/>
          <w:highlight w:val="none"/>
        </w:rPr>
      </w:pPr>
      <w:bookmarkStart w:id="833" w:name="_Toc386467122"/>
      <w:bookmarkEnd w:id="833"/>
      <w:bookmarkStart w:id="834" w:name="_Toc393546376"/>
      <w:bookmarkEnd w:id="834"/>
      <w:bookmarkStart w:id="835" w:name="_Toc43475850"/>
      <w:bookmarkEnd w:id="835"/>
      <w:r>
        <w:rPr>
          <w:rFonts w:hint="eastAsia" w:ascii="宋体" w:eastAsia="宋体"/>
          <w:color w:val="auto"/>
          <w:szCs w:val="24"/>
          <w:highlight w:val="none"/>
        </w:rPr>
        <w:t>15.6 暂列金额</w:t>
      </w:r>
    </w:p>
    <w:p w14:paraId="611B71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暂列金额只能按照监理人的指示使用，并对合同价格进行相应调整。</w:t>
      </w:r>
    </w:p>
    <w:p w14:paraId="1329BAFB">
      <w:pPr>
        <w:pStyle w:val="67"/>
        <w:shd w:val="clear" w:fill="FFFFFF" w:themeFill="background1"/>
        <w:ind w:firstLine="118"/>
        <w:rPr>
          <w:rFonts w:ascii="宋体" w:eastAsia="宋体"/>
          <w:color w:val="auto"/>
          <w:szCs w:val="24"/>
          <w:highlight w:val="none"/>
        </w:rPr>
      </w:pPr>
      <w:bookmarkStart w:id="836" w:name="_Toc393546377"/>
      <w:bookmarkEnd w:id="836"/>
      <w:bookmarkStart w:id="837" w:name="_Toc152045713"/>
      <w:bookmarkEnd w:id="837"/>
      <w:bookmarkStart w:id="838" w:name="_Toc43475851"/>
      <w:bookmarkEnd w:id="838"/>
      <w:bookmarkStart w:id="839" w:name="_Toc152042491"/>
      <w:bookmarkEnd w:id="839"/>
      <w:bookmarkStart w:id="840" w:name="_Toc330406318"/>
      <w:bookmarkEnd w:id="840"/>
      <w:bookmarkStart w:id="841" w:name="_Toc144974682"/>
      <w:bookmarkEnd w:id="841"/>
      <w:bookmarkStart w:id="842" w:name="_Toc179632731"/>
      <w:bookmarkEnd w:id="842"/>
      <w:bookmarkStart w:id="843" w:name="_Toc386467123"/>
      <w:bookmarkEnd w:id="843"/>
      <w:r>
        <w:rPr>
          <w:rFonts w:hint="eastAsia" w:ascii="宋体" w:eastAsia="宋体"/>
          <w:color w:val="auto"/>
          <w:szCs w:val="24"/>
          <w:highlight w:val="none"/>
        </w:rPr>
        <w:t>15.7 计日工</w:t>
      </w:r>
    </w:p>
    <w:p w14:paraId="265B5B67">
      <w:pPr>
        <w:shd w:val="clear" w:fill="FFFFFF" w:themeFill="background1"/>
        <w:spacing w:line="40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15.7.1 发包人认为有必要时，由监理人通知承包人以计日工方式实施变更的零星工作。其价款按列入已标价工程量清单中的计日工计价子目及其单价进行计算。</w:t>
      </w:r>
    </w:p>
    <w:p w14:paraId="4F9A44F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15.7.2 采用计日工计价的任何一项变更工作，应从暂列金额中支付，承包人应在该项变更的实施过程中，每天提交以下报表和有关凭证报送监理人审批：</w:t>
      </w:r>
    </w:p>
    <w:p w14:paraId="184B894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（1）工作名称、内容和数量；</w:t>
      </w:r>
    </w:p>
    <w:p w14:paraId="01DA24B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（2）投入该工作所有人员的姓名、工种、级别和耗用工时；</w:t>
      </w:r>
    </w:p>
    <w:p w14:paraId="6D47A04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（3）投入该工作的材料类别和数量；</w:t>
      </w:r>
    </w:p>
    <w:p w14:paraId="02CD9A93">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（4）投入该工作的施工设备型号、台数和耗用台时；</w:t>
      </w:r>
    </w:p>
    <w:p w14:paraId="624188A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（5）监理人要求提交的其他资料和凭证。</w:t>
      </w:r>
    </w:p>
    <w:p w14:paraId="21725CA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15.7.3 计日工由承包人汇总后，按第17.3.2项的约定列入进度付款申请单，由监理人复核并经发包人同意后列入进度付款。</w:t>
      </w:r>
    </w:p>
    <w:p w14:paraId="50B1FFDB">
      <w:pPr>
        <w:pStyle w:val="67"/>
        <w:shd w:val="clear" w:fill="FFFFFF" w:themeFill="background1"/>
        <w:ind w:firstLine="118"/>
        <w:rPr>
          <w:rFonts w:ascii="宋体" w:eastAsia="宋体"/>
          <w:color w:val="auto"/>
          <w:szCs w:val="24"/>
          <w:highlight w:val="none"/>
        </w:rPr>
      </w:pPr>
      <w:bookmarkStart w:id="844" w:name="_Toc144974683"/>
      <w:bookmarkEnd w:id="844"/>
      <w:bookmarkStart w:id="845" w:name="_Toc152045714"/>
      <w:bookmarkEnd w:id="845"/>
      <w:bookmarkStart w:id="846" w:name="_Toc330406319"/>
      <w:bookmarkEnd w:id="846"/>
      <w:bookmarkStart w:id="847" w:name="_Toc179632732"/>
      <w:bookmarkEnd w:id="847"/>
      <w:bookmarkStart w:id="848" w:name="_Toc43475852"/>
      <w:bookmarkEnd w:id="848"/>
      <w:bookmarkStart w:id="849" w:name="_Toc386467124"/>
      <w:bookmarkEnd w:id="849"/>
      <w:bookmarkStart w:id="850" w:name="_Toc152042492"/>
      <w:bookmarkEnd w:id="850"/>
      <w:bookmarkStart w:id="851" w:name="_Toc393546378"/>
      <w:bookmarkEnd w:id="851"/>
      <w:r>
        <w:rPr>
          <w:rFonts w:hint="eastAsia" w:ascii="宋体" w:eastAsia="宋体"/>
          <w:color w:val="auto"/>
          <w:szCs w:val="24"/>
          <w:highlight w:val="none"/>
        </w:rPr>
        <w:t>15.8 暂估价</w:t>
      </w:r>
    </w:p>
    <w:p w14:paraId="4920F7F0">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2E87642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62371A7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ECACFF9">
      <w:pPr>
        <w:pStyle w:val="78"/>
        <w:shd w:val="clear" w:fill="FFFFFF" w:themeFill="background1"/>
        <w:rPr>
          <w:rFonts w:ascii="宋体" w:hAnsi="宋体"/>
          <w:color w:val="auto"/>
          <w:sz w:val="24"/>
          <w:szCs w:val="24"/>
          <w:highlight w:val="none"/>
        </w:rPr>
      </w:pPr>
      <w:bookmarkStart w:id="852" w:name="_Toc43475853"/>
      <w:bookmarkEnd w:id="852"/>
      <w:bookmarkStart w:id="853" w:name="_Toc393546379"/>
      <w:bookmarkEnd w:id="853"/>
      <w:bookmarkStart w:id="854" w:name="_Toc386467125"/>
      <w:bookmarkEnd w:id="854"/>
      <w:r>
        <w:rPr>
          <w:rFonts w:hint="eastAsia" w:ascii="宋体" w:hAnsi="宋体"/>
          <w:color w:val="auto"/>
          <w:sz w:val="24"/>
          <w:szCs w:val="24"/>
          <w:highlight w:val="none"/>
        </w:rPr>
        <w:t>16. 价格调整</w:t>
      </w:r>
    </w:p>
    <w:p w14:paraId="3292782E">
      <w:pPr>
        <w:pStyle w:val="67"/>
        <w:shd w:val="clear" w:fill="FFFFFF" w:themeFill="background1"/>
        <w:ind w:firstLine="118"/>
        <w:rPr>
          <w:rFonts w:ascii="宋体" w:eastAsia="宋体"/>
          <w:color w:val="auto"/>
          <w:szCs w:val="24"/>
          <w:highlight w:val="none"/>
        </w:rPr>
      </w:pPr>
      <w:bookmarkStart w:id="855" w:name="_Toc43475854"/>
      <w:bookmarkEnd w:id="855"/>
      <w:bookmarkStart w:id="856" w:name="_Toc386467126"/>
      <w:bookmarkEnd w:id="856"/>
      <w:bookmarkStart w:id="857" w:name="_Toc393546380"/>
      <w:bookmarkEnd w:id="857"/>
      <w:r>
        <w:rPr>
          <w:rFonts w:hint="eastAsia" w:ascii="宋体" w:eastAsia="宋体"/>
          <w:color w:val="auto"/>
          <w:szCs w:val="24"/>
          <w:highlight w:val="none"/>
        </w:rPr>
        <w:t>16.1 物价波动引起的价格调整</w:t>
      </w:r>
    </w:p>
    <w:p w14:paraId="0D243DE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除专用合同条款另有约定外，因物价波动引起的价格调整按照本款约定处理。</w:t>
      </w:r>
    </w:p>
    <w:p w14:paraId="14FECD2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 采用价格指数调整价格差额</w:t>
      </w:r>
    </w:p>
    <w:p w14:paraId="5D7796F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16.1.1.1 价格调整公式</w:t>
      </w:r>
    </w:p>
    <w:p w14:paraId="7C9F655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因人工、材料和设备等价格波动影响合同价格时，根据投标函附录中的价格指数和权重表约定的数据，按以下公式计算差额并调整合同价格。</w:t>
      </w:r>
    </w:p>
    <w:p w14:paraId="019447B0">
      <w:pPr>
        <w:shd w:val="clear" w:fill="FFFFFF" w:themeFill="background1"/>
        <w:autoSpaceDE w:val="0"/>
        <w:autoSpaceDN w:val="0"/>
        <w:adjustRightInd w:val="0"/>
        <w:spacing w:line="1200" w:lineRule="exact"/>
        <w:ind w:right="248" w:firstLine="955" w:firstLineChars="398"/>
        <w:rPr>
          <w:rFonts w:ascii="宋体" w:hAnsi="宋体" w:cs="宋体"/>
          <w:color w:val="auto"/>
          <w:sz w:val="24"/>
          <w:highlight w:val="none"/>
        </w:rPr>
      </w:pPr>
      <w:r>
        <w:rPr>
          <w:rFonts w:hint="eastAsia" w:ascii="宋体" w:hAnsi="宋体" w:cs="宋体"/>
          <w:color w:val="auto"/>
          <w:position w:val="-34"/>
          <w:sz w:val="24"/>
          <w:highlight w:val="none"/>
        </w:rPr>
        <w:drawing>
          <wp:inline distT="0" distB="0" distL="0" distR="0">
            <wp:extent cx="3891280" cy="520700"/>
            <wp:effectExtent l="0" t="0" r="13970" b="13335"/>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21" cstate="print"/>
                    <a:stretch>
                      <a:fillRect/>
                    </a:stretch>
                  </pic:blipFill>
                  <pic:spPr>
                    <a:xfrm>
                      <a:off x="0" y="0"/>
                      <a:ext cx="3891280" cy="520700"/>
                    </a:xfrm>
                    <a:prstGeom prst="rect">
                      <a:avLst/>
                    </a:prstGeom>
                  </pic:spPr>
                </pic:pic>
              </a:graphicData>
            </a:graphic>
          </wp:inline>
        </w:drawing>
      </w:r>
    </w:p>
    <w:p w14:paraId="3A20E3FD">
      <w:pPr>
        <w:shd w:val="clear" w:fill="FFFFFF" w:themeFill="background1"/>
        <w:tabs>
          <w:tab w:val="left" w:pos="1260"/>
        </w:tabs>
        <w:spacing w:line="400" w:lineRule="exact"/>
        <w:ind w:firstLine="480" w:firstLineChars="200"/>
        <w:rPr>
          <w:rFonts w:ascii="宋体" w:hAnsi="宋体" w:cs="宋体"/>
          <w:color w:val="auto"/>
          <w:sz w:val="24"/>
          <w:highlight w:val="none"/>
        </w:rPr>
      </w:pPr>
    </w:p>
    <w:p w14:paraId="3C92A94A">
      <w:pPr>
        <w:shd w:val="clear" w:fill="FFFFFF" w:themeFill="background1"/>
        <w:tabs>
          <w:tab w:val="left" w:pos="126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式中： △P -- 需调整的价格差额；</w:t>
      </w:r>
    </w:p>
    <w:p w14:paraId="6080FD5F">
      <w:pPr>
        <w:shd w:val="clear" w:fill="FFFFFF" w:themeFill="background1"/>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P</w:t>
      </w:r>
      <w:r>
        <w:rPr>
          <w:rFonts w:hint="eastAsia" w:ascii="宋体" w:hAnsi="宋体" w:cs="宋体"/>
          <w:color w:val="auto"/>
          <w:sz w:val="24"/>
          <w:highlight w:val="none"/>
          <w:vertAlign w:val="subscript"/>
        </w:rPr>
        <w:t>0</w:t>
      </w:r>
      <w:r>
        <w:rPr>
          <w:rFonts w:hint="eastAsia" w:ascii="宋体" w:hAnsi="宋体" w:cs="宋体"/>
          <w:color w:val="auto"/>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D2DA092">
      <w:pPr>
        <w:shd w:val="clear" w:fill="FFFFFF" w:themeFill="background1"/>
        <w:tabs>
          <w:tab w:val="left" w:pos="1260"/>
        </w:tabs>
        <w:spacing w:line="400" w:lineRule="exact"/>
        <w:rPr>
          <w:rFonts w:ascii="宋体" w:hAnsi="宋体" w:cs="宋体"/>
          <w:color w:val="auto"/>
          <w:sz w:val="24"/>
          <w:highlight w:val="none"/>
        </w:rPr>
      </w:pPr>
      <w:bookmarkStart w:id="858" w:name="_Toc144974686"/>
      <w:bookmarkEnd w:id="858"/>
      <w:bookmarkStart w:id="859" w:name="_Toc152042495"/>
      <w:bookmarkEnd w:id="859"/>
      <w:r>
        <w:rPr>
          <w:rFonts w:hint="eastAsia" w:ascii="宋体" w:hAnsi="宋体" w:cs="宋体"/>
          <w:color w:val="auto"/>
          <w:sz w:val="24"/>
          <w:highlight w:val="none"/>
        </w:rPr>
        <w:tab/>
      </w:r>
      <w:r>
        <w:rPr>
          <w:rFonts w:hint="eastAsia" w:ascii="宋体" w:hAnsi="宋体" w:cs="宋体"/>
          <w:color w:val="auto"/>
          <w:sz w:val="24"/>
          <w:highlight w:val="none"/>
        </w:rPr>
        <w:t>A -- 定值权重(即不调部分的权重)；</w:t>
      </w:r>
    </w:p>
    <w:p w14:paraId="3F460766">
      <w:pPr>
        <w:shd w:val="clear" w:fill="FFFFFF" w:themeFill="background1"/>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B</w:t>
      </w:r>
      <w:r>
        <w:rPr>
          <w:rFonts w:hint="eastAsia" w:ascii="宋体" w:hAnsi="宋体" w:cs="宋体"/>
          <w:color w:val="auto"/>
          <w:sz w:val="24"/>
          <w:highlight w:val="none"/>
          <w:vertAlign w:val="subscript"/>
        </w:rPr>
        <w:t>1</w:t>
      </w:r>
      <w:r>
        <w:rPr>
          <w:rFonts w:hint="eastAsia" w:ascii="宋体" w:hAnsi="宋体" w:cs="宋体"/>
          <w:color w:val="auto"/>
          <w:sz w:val="24"/>
          <w:highlight w:val="none"/>
        </w:rPr>
        <w:t>； B</w:t>
      </w:r>
      <w:r>
        <w:rPr>
          <w:rFonts w:hint="eastAsia" w:ascii="宋体" w:hAnsi="宋体" w:cs="宋体"/>
          <w:color w:val="auto"/>
          <w:sz w:val="24"/>
          <w:highlight w:val="none"/>
          <w:vertAlign w:val="subscript"/>
        </w:rPr>
        <w:t>2</w:t>
      </w:r>
      <w:r>
        <w:rPr>
          <w:rFonts w:hint="eastAsia" w:ascii="宋体" w:hAnsi="宋体" w:cs="宋体"/>
          <w:color w:val="auto"/>
          <w:sz w:val="24"/>
          <w:highlight w:val="none"/>
        </w:rPr>
        <w:t xml:space="preserve"> ；B</w:t>
      </w:r>
      <w:r>
        <w:rPr>
          <w:rFonts w:hint="eastAsia" w:ascii="宋体" w:hAnsi="宋体" w:cs="宋体"/>
          <w:color w:val="auto"/>
          <w:sz w:val="24"/>
          <w:highlight w:val="none"/>
          <w:vertAlign w:val="subscript"/>
        </w:rPr>
        <w:t>3</w:t>
      </w:r>
      <w:r>
        <w:rPr>
          <w:rFonts w:hint="eastAsia" w:ascii="宋体" w:hAnsi="宋体" w:cs="宋体"/>
          <w:color w:val="auto"/>
          <w:sz w:val="24"/>
          <w:highlight w:val="none"/>
        </w:rPr>
        <w:t>·····B</w:t>
      </w:r>
      <w:r>
        <w:rPr>
          <w:rFonts w:hint="eastAsia" w:ascii="宋体" w:hAnsi="宋体" w:cs="宋体"/>
          <w:color w:val="auto"/>
          <w:sz w:val="24"/>
          <w:highlight w:val="none"/>
          <w:vertAlign w:val="subscript"/>
        </w:rPr>
        <w:t>n</w:t>
      </w:r>
      <w:r>
        <w:rPr>
          <w:rFonts w:hint="eastAsia" w:ascii="宋体" w:hAnsi="宋体" w:cs="宋体"/>
          <w:color w:val="auto"/>
          <w:sz w:val="24"/>
          <w:highlight w:val="none"/>
        </w:rPr>
        <w:t xml:space="preserve"> -- 各可调因子的变值权重(即可调部分的权重)为各可调因子在投标函投标总报价中所占的比例；</w:t>
      </w:r>
    </w:p>
    <w:p w14:paraId="0329C183">
      <w:pPr>
        <w:shd w:val="clear" w:fill="FFFFFF" w:themeFill="background1"/>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F</w:t>
      </w:r>
      <w:r>
        <w:rPr>
          <w:rFonts w:hint="eastAsia" w:ascii="宋体" w:hAnsi="宋体" w:cs="宋体"/>
          <w:color w:val="auto"/>
          <w:sz w:val="24"/>
          <w:highlight w:val="none"/>
          <w:vertAlign w:val="subscript"/>
        </w:rPr>
        <w:t>t1</w:t>
      </w:r>
      <w:r>
        <w:rPr>
          <w:rFonts w:hint="eastAsia" w:ascii="宋体" w:hAnsi="宋体" w:cs="宋体"/>
          <w:color w:val="auto"/>
          <w:sz w:val="24"/>
          <w:highlight w:val="none"/>
        </w:rPr>
        <w:t xml:space="preserve"> ；F</w:t>
      </w:r>
      <w:r>
        <w:rPr>
          <w:rFonts w:hint="eastAsia" w:ascii="宋体" w:hAnsi="宋体" w:cs="宋体"/>
          <w:color w:val="auto"/>
          <w:sz w:val="24"/>
          <w:highlight w:val="none"/>
          <w:vertAlign w:val="subscript"/>
        </w:rPr>
        <w:t>t2</w:t>
      </w:r>
      <w:r>
        <w:rPr>
          <w:rFonts w:hint="eastAsia" w:ascii="宋体" w:hAnsi="宋体" w:cs="宋体"/>
          <w:color w:val="auto"/>
          <w:sz w:val="24"/>
          <w:highlight w:val="none"/>
        </w:rPr>
        <w:t xml:space="preserve"> ；F</w:t>
      </w:r>
      <w:r>
        <w:rPr>
          <w:rFonts w:hint="eastAsia" w:ascii="宋体" w:hAnsi="宋体" w:cs="宋体"/>
          <w:color w:val="auto"/>
          <w:sz w:val="24"/>
          <w:highlight w:val="none"/>
          <w:vertAlign w:val="subscript"/>
        </w:rPr>
        <w:t>t3</w:t>
      </w:r>
      <w:r>
        <w:rPr>
          <w:rFonts w:hint="eastAsia" w:ascii="宋体" w:hAnsi="宋体" w:cs="宋体"/>
          <w:color w:val="auto"/>
          <w:sz w:val="24"/>
          <w:highlight w:val="none"/>
        </w:rPr>
        <w:t>·····F</w:t>
      </w:r>
      <w:r>
        <w:rPr>
          <w:rFonts w:hint="eastAsia" w:ascii="宋体" w:hAnsi="宋体" w:cs="宋体"/>
          <w:color w:val="auto"/>
          <w:sz w:val="24"/>
          <w:highlight w:val="none"/>
          <w:vertAlign w:val="subscript"/>
        </w:rPr>
        <w:t>tn</w:t>
      </w:r>
      <w:r>
        <w:rPr>
          <w:rFonts w:hint="eastAsia" w:ascii="宋体" w:hAnsi="宋体" w:cs="宋体"/>
          <w:color w:val="auto"/>
          <w:sz w:val="24"/>
          <w:highlight w:val="none"/>
        </w:rPr>
        <w:t xml:space="preserve"> -- 各可调因子的现行价格指数，指第17.3.3项、第17.5.2项和第17.6.2项约定的付款证书相关周期最后一天的前42天的各可调因子的价格指数；</w:t>
      </w:r>
    </w:p>
    <w:p w14:paraId="4799C03E">
      <w:pPr>
        <w:shd w:val="clear" w:fill="FFFFFF" w:themeFill="background1"/>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F</w:t>
      </w:r>
      <w:r>
        <w:rPr>
          <w:rFonts w:hint="eastAsia" w:ascii="宋体" w:hAnsi="宋体" w:cs="宋体"/>
          <w:color w:val="auto"/>
          <w:sz w:val="24"/>
          <w:highlight w:val="none"/>
          <w:vertAlign w:val="subscript"/>
        </w:rPr>
        <w:t>o1</w:t>
      </w:r>
      <w:r>
        <w:rPr>
          <w:rFonts w:hint="eastAsia" w:ascii="宋体" w:hAnsi="宋体" w:cs="宋体"/>
          <w:color w:val="auto"/>
          <w:sz w:val="24"/>
          <w:highlight w:val="none"/>
        </w:rPr>
        <w:t>； F</w:t>
      </w:r>
      <w:r>
        <w:rPr>
          <w:rFonts w:hint="eastAsia" w:ascii="宋体" w:hAnsi="宋体" w:cs="宋体"/>
          <w:color w:val="auto"/>
          <w:sz w:val="24"/>
          <w:highlight w:val="none"/>
          <w:vertAlign w:val="subscript"/>
        </w:rPr>
        <w:t>o2</w:t>
      </w:r>
      <w:r>
        <w:rPr>
          <w:rFonts w:hint="eastAsia" w:ascii="宋体" w:hAnsi="宋体" w:cs="宋体"/>
          <w:color w:val="auto"/>
          <w:sz w:val="24"/>
          <w:highlight w:val="none"/>
        </w:rPr>
        <w:t>； F</w:t>
      </w:r>
      <w:r>
        <w:rPr>
          <w:rFonts w:hint="eastAsia" w:ascii="宋体" w:hAnsi="宋体" w:cs="宋体"/>
          <w:color w:val="auto"/>
          <w:sz w:val="24"/>
          <w:highlight w:val="none"/>
          <w:vertAlign w:val="subscript"/>
        </w:rPr>
        <w:t>o3</w:t>
      </w:r>
      <w:r>
        <w:rPr>
          <w:rFonts w:hint="eastAsia" w:ascii="宋体" w:hAnsi="宋体" w:cs="宋体"/>
          <w:color w:val="auto"/>
          <w:sz w:val="24"/>
          <w:highlight w:val="none"/>
        </w:rPr>
        <w:t>·····F</w:t>
      </w:r>
      <w:r>
        <w:rPr>
          <w:rFonts w:hint="eastAsia" w:ascii="宋体" w:hAnsi="宋体" w:cs="宋体"/>
          <w:color w:val="auto"/>
          <w:sz w:val="24"/>
          <w:highlight w:val="none"/>
          <w:vertAlign w:val="subscript"/>
        </w:rPr>
        <w:t>on</w:t>
      </w:r>
      <w:r>
        <w:rPr>
          <w:rFonts w:hint="eastAsia" w:ascii="宋体" w:hAnsi="宋体" w:cs="宋体"/>
          <w:color w:val="auto"/>
          <w:sz w:val="24"/>
          <w:highlight w:val="none"/>
        </w:rPr>
        <w:t xml:space="preserve"> -- 各可调因子的基本价格指数，指基准日期的各可调因子的价格指数。</w:t>
      </w:r>
    </w:p>
    <w:p w14:paraId="6F20720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C8B61D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16.1.1.2 暂时确定调整差额</w:t>
      </w:r>
    </w:p>
    <w:p w14:paraId="0C2A1B5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在计算调整差额时得不到现行价格指数的，可暂用上一次价格指数计算，并在以后的付款中再按实际价格指数进行调整。</w:t>
      </w:r>
    </w:p>
    <w:p w14:paraId="4FCF01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16.1.1.3 权重的调整</w:t>
      </w:r>
    </w:p>
    <w:p w14:paraId="3DECA82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按第15.1款约定的变更导致原定合同中的权重不合理时，由监理人与承包人和发包人协商后进行调整。</w:t>
      </w:r>
    </w:p>
    <w:p w14:paraId="03A9F0A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16.1.1.4 承包人工期延误后的价格调整</w:t>
      </w:r>
    </w:p>
    <w:p w14:paraId="5DF479E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03FBA6A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16.1.2 采用造价信息调整价格差额</w:t>
      </w:r>
    </w:p>
    <w:p w14:paraId="5FDAB25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DF35615">
      <w:pPr>
        <w:pStyle w:val="67"/>
        <w:shd w:val="clear" w:fill="FFFFFF" w:themeFill="background1"/>
        <w:ind w:firstLine="118"/>
        <w:rPr>
          <w:rFonts w:ascii="宋体" w:eastAsia="宋体"/>
          <w:color w:val="auto"/>
          <w:szCs w:val="24"/>
          <w:highlight w:val="none"/>
        </w:rPr>
      </w:pPr>
      <w:bookmarkStart w:id="860" w:name="_Toc179632735"/>
      <w:bookmarkEnd w:id="860"/>
      <w:bookmarkStart w:id="861" w:name="_Toc144974688"/>
      <w:bookmarkEnd w:id="861"/>
      <w:bookmarkStart w:id="862" w:name="_Toc330406322"/>
      <w:bookmarkEnd w:id="862"/>
      <w:bookmarkStart w:id="863" w:name="_Toc152042496"/>
      <w:bookmarkEnd w:id="863"/>
      <w:bookmarkStart w:id="864" w:name="_Toc393546381"/>
      <w:bookmarkEnd w:id="864"/>
      <w:bookmarkStart w:id="865" w:name="_Toc386467127"/>
      <w:bookmarkEnd w:id="865"/>
      <w:bookmarkStart w:id="866" w:name="_Toc43475855"/>
      <w:bookmarkEnd w:id="866"/>
      <w:bookmarkStart w:id="867" w:name="_Toc152045717"/>
      <w:bookmarkEnd w:id="867"/>
      <w:r>
        <w:rPr>
          <w:rFonts w:hint="eastAsia" w:ascii="宋体" w:eastAsia="宋体"/>
          <w:color w:val="auto"/>
          <w:szCs w:val="24"/>
          <w:highlight w:val="none"/>
        </w:rPr>
        <w:t>16.2 法律变化引起的价格调整</w:t>
      </w:r>
    </w:p>
    <w:p w14:paraId="4AA2AB6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17E9B780">
      <w:pPr>
        <w:pStyle w:val="78"/>
        <w:shd w:val="clear" w:fill="FFFFFF" w:themeFill="background1"/>
        <w:rPr>
          <w:rFonts w:ascii="宋体" w:hAnsi="宋体"/>
          <w:color w:val="auto"/>
          <w:sz w:val="24"/>
          <w:szCs w:val="24"/>
          <w:highlight w:val="none"/>
        </w:rPr>
      </w:pPr>
      <w:bookmarkStart w:id="868" w:name="_Toc393546382"/>
      <w:bookmarkEnd w:id="868"/>
      <w:bookmarkStart w:id="869" w:name="_Toc43475856"/>
      <w:bookmarkEnd w:id="869"/>
      <w:bookmarkStart w:id="870" w:name="_Toc386467128"/>
      <w:bookmarkEnd w:id="870"/>
      <w:r>
        <w:rPr>
          <w:rFonts w:hint="eastAsia" w:ascii="宋体" w:hAnsi="宋体"/>
          <w:color w:val="auto"/>
          <w:sz w:val="24"/>
          <w:szCs w:val="24"/>
          <w:highlight w:val="none"/>
        </w:rPr>
        <w:t>17. 计量与支付</w:t>
      </w:r>
    </w:p>
    <w:p w14:paraId="025B59C8">
      <w:pPr>
        <w:pStyle w:val="67"/>
        <w:shd w:val="clear" w:fill="FFFFFF" w:themeFill="background1"/>
        <w:ind w:firstLine="118"/>
        <w:rPr>
          <w:rFonts w:ascii="宋体" w:eastAsia="宋体"/>
          <w:color w:val="auto"/>
          <w:szCs w:val="24"/>
          <w:highlight w:val="none"/>
        </w:rPr>
      </w:pPr>
      <w:bookmarkStart w:id="871" w:name="_Toc43475857"/>
      <w:bookmarkEnd w:id="871"/>
      <w:bookmarkStart w:id="872" w:name="_Toc393546383"/>
      <w:bookmarkEnd w:id="872"/>
      <w:bookmarkStart w:id="873" w:name="_Toc386467129"/>
      <w:bookmarkEnd w:id="873"/>
      <w:r>
        <w:rPr>
          <w:rFonts w:hint="eastAsia" w:ascii="宋体" w:eastAsia="宋体"/>
          <w:color w:val="auto"/>
          <w:szCs w:val="24"/>
          <w:highlight w:val="none"/>
        </w:rPr>
        <w:t>17.1 计量</w:t>
      </w:r>
    </w:p>
    <w:p w14:paraId="7FCFC04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17.1.1 计量单位</w:t>
      </w:r>
    </w:p>
    <w:p w14:paraId="55B8ED6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计量采用国家法定的计量单位。</w:t>
      </w:r>
    </w:p>
    <w:p w14:paraId="694D359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17.1.2 计量方法</w:t>
      </w:r>
    </w:p>
    <w:p w14:paraId="3DB583E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工程量清单中的工程量计算规则应按有关国家标准、行业标准的规定，并在合同中约定执行。</w:t>
      </w:r>
    </w:p>
    <w:p w14:paraId="5CD992D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17.1.3 计量周期</w:t>
      </w:r>
    </w:p>
    <w:p w14:paraId="2E5A50E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除专用合同条款另有约定外，单价子目已完成工程量按月计量，总价子目的计量周期按批准的支付分解报告确定。</w:t>
      </w:r>
    </w:p>
    <w:p w14:paraId="672D3DA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17.1.4 单价子目的计量</w:t>
      </w:r>
    </w:p>
    <w:p w14:paraId="7A85A78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（1）已标价工程量清单中的单价子目工程量为估算工程量。结算工程量是承包人实际完成的，并按合同约定的计量方法进行计量的工程量。</w:t>
      </w:r>
    </w:p>
    <w:p w14:paraId="76CB819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（2）承包人对已完成的工程进行计量，向监理人提交进度付款申请单、已完成工程量报表和有关计量资料。</w:t>
      </w:r>
    </w:p>
    <w:p w14:paraId="617473A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06FAAC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（4）监理人认为有必要时，可通知承包人共同进行联合测量、计量，承包人应遵照执行。</w:t>
      </w:r>
    </w:p>
    <w:p w14:paraId="0B83712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DE0332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6EDDB3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17.1.5 总价子目的计量</w:t>
      </w:r>
    </w:p>
    <w:p w14:paraId="7F32CB85">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除专用合同条款另有约定外，总价子目的分解和计量按照下述约定进行。</w:t>
      </w:r>
    </w:p>
    <w:p w14:paraId="3B1A3834">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（1）总价子目的计量和支付应以总价为基础，不因第16.1款中的因素而进行调整。承包人实际完成的工程量，是进行工程目标管理和控制进度支付的依据。</w:t>
      </w:r>
    </w:p>
    <w:p w14:paraId="15F4EB7E">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012B228">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（3）监理人对承包人提交的上述资料进行复核，以确定分阶段实际完成的工程量和工程形象目标。对其有异议的，可要求承包人按第8.2款约定进行共同复核和抽样复测。</w:t>
      </w:r>
    </w:p>
    <w:p w14:paraId="235C6F7B">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（4）除按照第15条约定的变更外，总价子目的工程量是承包人用于结算的最终工程量。 </w:t>
      </w:r>
    </w:p>
    <w:p w14:paraId="77CE2FC5">
      <w:pPr>
        <w:pStyle w:val="67"/>
        <w:shd w:val="clear" w:fill="FFFFFF" w:themeFill="background1"/>
        <w:ind w:firstLine="118"/>
        <w:rPr>
          <w:rFonts w:ascii="宋体" w:eastAsia="宋体"/>
          <w:color w:val="auto"/>
          <w:szCs w:val="24"/>
          <w:highlight w:val="none"/>
        </w:rPr>
      </w:pPr>
      <w:bookmarkStart w:id="874" w:name="_Toc386467130"/>
      <w:bookmarkEnd w:id="874"/>
      <w:bookmarkStart w:id="875" w:name="_Toc43475858"/>
      <w:bookmarkEnd w:id="875"/>
      <w:bookmarkStart w:id="876" w:name="_Toc393546384"/>
      <w:bookmarkEnd w:id="876"/>
      <w:r>
        <w:rPr>
          <w:rFonts w:hint="eastAsia" w:ascii="宋体" w:eastAsia="宋体"/>
          <w:color w:val="auto"/>
          <w:szCs w:val="24"/>
          <w:highlight w:val="none"/>
        </w:rPr>
        <w:t>17.2 预付款</w:t>
      </w:r>
    </w:p>
    <w:p w14:paraId="7D253D5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17.2.1 预付款</w:t>
      </w:r>
    </w:p>
    <w:p w14:paraId="1AE5C79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142D82F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17.2.2 预付款保函</w:t>
      </w:r>
    </w:p>
    <w:p w14:paraId="0D7D608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1C2D6A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14:paraId="3A4BCE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3CAE5DBA">
      <w:pPr>
        <w:pStyle w:val="67"/>
        <w:shd w:val="clear" w:fill="FFFFFF" w:themeFill="background1"/>
        <w:ind w:firstLine="118"/>
        <w:rPr>
          <w:rFonts w:ascii="宋体" w:eastAsia="宋体"/>
          <w:color w:val="auto"/>
          <w:szCs w:val="24"/>
          <w:highlight w:val="none"/>
        </w:rPr>
      </w:pPr>
      <w:bookmarkStart w:id="877" w:name="_Toc43475859"/>
      <w:bookmarkEnd w:id="877"/>
      <w:bookmarkStart w:id="878" w:name="_Toc393546385"/>
      <w:bookmarkEnd w:id="878"/>
      <w:bookmarkStart w:id="879" w:name="_Toc386467131"/>
      <w:bookmarkEnd w:id="879"/>
      <w:r>
        <w:rPr>
          <w:rFonts w:hint="eastAsia" w:ascii="宋体" w:eastAsia="宋体"/>
          <w:color w:val="auto"/>
          <w:szCs w:val="24"/>
          <w:highlight w:val="none"/>
        </w:rPr>
        <w:t>17.3 工程进度付款</w:t>
      </w:r>
    </w:p>
    <w:p w14:paraId="78BDC48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17.3.1 付款周期</w:t>
      </w:r>
    </w:p>
    <w:p w14:paraId="3E78C5C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付款周期同计量周期。</w:t>
      </w:r>
    </w:p>
    <w:p w14:paraId="1BFA521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17.3.2 进度付款申请单</w:t>
      </w:r>
    </w:p>
    <w:p w14:paraId="436568EB">
      <w:pPr>
        <w:shd w:val="clear" w:fill="FFFFFF" w:themeFill="background1"/>
        <w:spacing w:line="400" w:lineRule="exact"/>
        <w:ind w:firstLine="480" w:firstLineChars="200"/>
        <w:rPr>
          <w:rFonts w:ascii="宋体" w:hAnsi="宋体" w:cs="宋体"/>
          <w:dstrike/>
          <w:color w:val="auto"/>
          <w:sz w:val="24"/>
          <w:highlight w:val="none"/>
        </w:rPr>
      </w:pPr>
      <w:r>
        <w:rPr>
          <w:rFonts w:hint="eastAsia" w:ascii="宋体" w:hAnsi="宋体" w:cs="宋体"/>
          <w:color w:val="auto"/>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AB6012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（1）截至本次付款周期末已实施工程的价款；</w:t>
      </w:r>
    </w:p>
    <w:p w14:paraId="24945AD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（2）根据第15条应增加和扣减的变更金额；</w:t>
      </w:r>
    </w:p>
    <w:p w14:paraId="58B104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（3）根据第23条应增加和扣减的索赔金额；</w:t>
      </w:r>
    </w:p>
    <w:p w14:paraId="011617C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（4）根据第17.2款约定应支付的预付款和扣减的返还预付款；</w:t>
      </w:r>
    </w:p>
    <w:p w14:paraId="0E58079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（5）根据第17.4.1项约定应扣减的质量保证金；</w:t>
      </w:r>
    </w:p>
    <w:p w14:paraId="5505305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（6）根据合同应增加和扣减的其他金额。</w:t>
      </w:r>
    </w:p>
    <w:p w14:paraId="41B1F3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17.3.3 进度付款证书和支付时间</w:t>
      </w:r>
    </w:p>
    <w:p w14:paraId="3E89833C">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1F6435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（2）发包人应在监理人收到进度付款申请单后的28天内，将进度应付款支付给承包人。发包人不按期支付的，按专用合同条款的约定支付逾期付款违约金。</w:t>
      </w:r>
    </w:p>
    <w:p w14:paraId="5CF9183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（3）监理人出具进度付款证书，不应视为监理人已同意、批准或接受了承包人完成的该部分工作。</w:t>
      </w:r>
    </w:p>
    <w:p w14:paraId="77BE3FC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（4）进度付款涉及政府投资资金的，按照国库集中支付等国家相关规定和专用合同条款的约定办理。</w:t>
      </w:r>
    </w:p>
    <w:p w14:paraId="78FCD76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17.3.4 工程进度付款的修正</w:t>
      </w:r>
    </w:p>
    <w:p w14:paraId="107F31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E9A50CA">
      <w:pPr>
        <w:pStyle w:val="67"/>
        <w:shd w:val="clear" w:fill="FFFFFF" w:themeFill="background1"/>
        <w:ind w:firstLine="118"/>
        <w:rPr>
          <w:rFonts w:ascii="宋体" w:eastAsia="宋体"/>
          <w:color w:val="auto"/>
          <w:szCs w:val="24"/>
          <w:highlight w:val="none"/>
        </w:rPr>
      </w:pPr>
      <w:bookmarkStart w:id="880" w:name="_Toc386467132"/>
      <w:bookmarkEnd w:id="880"/>
      <w:bookmarkStart w:id="881" w:name="_Toc43475860"/>
      <w:bookmarkEnd w:id="881"/>
      <w:bookmarkStart w:id="882" w:name="_Toc393546386"/>
      <w:bookmarkEnd w:id="882"/>
      <w:r>
        <w:rPr>
          <w:rFonts w:hint="eastAsia" w:ascii="宋体" w:eastAsia="宋体"/>
          <w:color w:val="auto"/>
          <w:szCs w:val="24"/>
          <w:highlight w:val="none"/>
        </w:rPr>
        <w:t>17.4 质量保证金</w:t>
      </w:r>
    </w:p>
    <w:p w14:paraId="1884B34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4C68A2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352A9A7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28891780">
      <w:pPr>
        <w:pStyle w:val="67"/>
        <w:shd w:val="clear" w:fill="FFFFFF" w:themeFill="background1"/>
        <w:ind w:firstLine="118"/>
        <w:rPr>
          <w:rFonts w:ascii="宋体" w:eastAsia="宋体"/>
          <w:color w:val="auto"/>
          <w:szCs w:val="24"/>
          <w:highlight w:val="none"/>
        </w:rPr>
      </w:pPr>
      <w:bookmarkStart w:id="883" w:name="_Toc43475861"/>
      <w:bookmarkEnd w:id="883"/>
      <w:bookmarkStart w:id="884" w:name="_Toc386467133"/>
      <w:bookmarkEnd w:id="884"/>
      <w:bookmarkStart w:id="885" w:name="_Toc393546387"/>
      <w:bookmarkEnd w:id="885"/>
      <w:r>
        <w:rPr>
          <w:rFonts w:hint="eastAsia" w:ascii="宋体" w:eastAsia="宋体"/>
          <w:color w:val="auto"/>
          <w:szCs w:val="24"/>
          <w:highlight w:val="none"/>
        </w:rPr>
        <w:t>17.5 竣工结算</w:t>
      </w:r>
    </w:p>
    <w:p w14:paraId="648FB02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竣工付款申请单</w:t>
      </w:r>
    </w:p>
    <w:p w14:paraId="67F5AC6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534A8FD3">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（2）监理人对竣工付款申请单有异议的，有权要求承包人进行修正和提供补充资料。经监理人和承包人协商后，由承包人向监理人提交修正后的竣工付款申请单。</w:t>
      </w:r>
    </w:p>
    <w:p w14:paraId="08CD884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14:paraId="1E80CDC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28F45003">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（2）发包人应在监理人出具竣工付款证书后的14天内，将应支付款支付给承包人。发包人不按期支付的，按第17.3.3（2）目的约定，将逾期付款违约金支付给承包人。</w:t>
      </w:r>
    </w:p>
    <w:p w14:paraId="13D373D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（3）承包人对发包人签认的竣工付款证书有异议的，发包人可出具竣工付款申请单中承包人已同意部分的临时付款证书。存在争议的部分，按第24条的约定办理。</w:t>
      </w:r>
    </w:p>
    <w:p w14:paraId="1B4815F8">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（4）竣工付款涉及政府投资资金的，按第17.3.3（4）目的约定办理。</w:t>
      </w:r>
    </w:p>
    <w:p w14:paraId="3826BBE8">
      <w:pPr>
        <w:pStyle w:val="67"/>
        <w:shd w:val="clear" w:fill="FFFFFF" w:themeFill="background1"/>
        <w:ind w:firstLine="118"/>
        <w:rPr>
          <w:rFonts w:ascii="宋体" w:eastAsia="宋体"/>
          <w:color w:val="auto"/>
          <w:szCs w:val="24"/>
          <w:highlight w:val="none"/>
        </w:rPr>
      </w:pPr>
      <w:bookmarkStart w:id="886" w:name="_Toc43475862"/>
      <w:bookmarkEnd w:id="886"/>
      <w:bookmarkStart w:id="887" w:name="_Toc393546388"/>
      <w:bookmarkEnd w:id="887"/>
      <w:bookmarkStart w:id="888" w:name="_Toc386467134"/>
      <w:bookmarkEnd w:id="888"/>
      <w:r>
        <w:rPr>
          <w:rFonts w:hint="eastAsia" w:ascii="宋体" w:eastAsia="宋体"/>
          <w:color w:val="auto"/>
          <w:szCs w:val="24"/>
          <w:highlight w:val="none"/>
        </w:rPr>
        <w:t>17.6 最终结清</w:t>
      </w:r>
    </w:p>
    <w:p w14:paraId="2B7BC78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216E68E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（1）缺陷责任期终止证书签发后，承包人可按专用合同条款约定的份数和期限向监理人提交最终结清申请单，并提供相关证明材料。</w:t>
      </w:r>
    </w:p>
    <w:p w14:paraId="25A8C39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（2）发包人对最终结清申请单内容有异议的，有权要求承包人进行修正和提供补充资料，由承包人向监理人提交修正后的最终结清申请单。</w:t>
      </w:r>
    </w:p>
    <w:p w14:paraId="2B9688E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w:t>
      </w:r>
    </w:p>
    <w:p w14:paraId="7FA88803">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1C2640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（2）发包人应在监理人出具最终结清证书后的14天内，将应支付款支付给承包人。发包人不按期支付的，按第17.3.3（2）目的约定，将逾期付款违约金支付给承包人。</w:t>
      </w:r>
    </w:p>
    <w:p w14:paraId="3BBC7DF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（3）承包人对发包人签认的最终结清证书有异议的，按第24条的约定办理。</w:t>
      </w:r>
    </w:p>
    <w:p w14:paraId="086B008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（4）最终结清付款涉及政府投资资金的，按第17.3.3（4）目的约定办理。</w:t>
      </w:r>
    </w:p>
    <w:p w14:paraId="36A3F01F">
      <w:pPr>
        <w:pStyle w:val="78"/>
        <w:shd w:val="clear" w:fill="FFFFFF" w:themeFill="background1"/>
        <w:rPr>
          <w:rFonts w:ascii="宋体" w:hAnsi="宋体"/>
          <w:color w:val="auto"/>
          <w:sz w:val="24"/>
          <w:szCs w:val="24"/>
          <w:highlight w:val="none"/>
        </w:rPr>
      </w:pPr>
      <w:bookmarkStart w:id="889" w:name="_Toc386467135"/>
      <w:bookmarkEnd w:id="889"/>
      <w:bookmarkStart w:id="890" w:name="_Toc43475863"/>
      <w:bookmarkEnd w:id="890"/>
      <w:bookmarkStart w:id="891" w:name="_Toc393546389"/>
      <w:bookmarkEnd w:id="891"/>
      <w:r>
        <w:rPr>
          <w:rFonts w:hint="eastAsia" w:ascii="宋体" w:hAnsi="宋体"/>
          <w:color w:val="auto"/>
          <w:sz w:val="24"/>
          <w:szCs w:val="24"/>
          <w:highlight w:val="none"/>
        </w:rPr>
        <w:t>18. 竣工验收</w:t>
      </w:r>
    </w:p>
    <w:p w14:paraId="6691C97E">
      <w:pPr>
        <w:pStyle w:val="67"/>
        <w:shd w:val="clear" w:fill="FFFFFF" w:themeFill="background1"/>
        <w:ind w:firstLine="118"/>
        <w:rPr>
          <w:rFonts w:ascii="宋体" w:eastAsia="宋体"/>
          <w:color w:val="auto"/>
          <w:szCs w:val="24"/>
          <w:highlight w:val="none"/>
        </w:rPr>
      </w:pPr>
      <w:bookmarkStart w:id="892" w:name="_Toc386467136"/>
      <w:bookmarkEnd w:id="892"/>
      <w:bookmarkStart w:id="893" w:name="_Toc144974697"/>
      <w:bookmarkEnd w:id="893"/>
      <w:bookmarkStart w:id="894" w:name="_Toc179632744"/>
      <w:bookmarkEnd w:id="894"/>
      <w:bookmarkStart w:id="895" w:name="_Toc43475864"/>
      <w:bookmarkEnd w:id="895"/>
      <w:bookmarkStart w:id="896" w:name="_Toc152045726"/>
      <w:bookmarkEnd w:id="896"/>
      <w:bookmarkStart w:id="897" w:name="_Toc393546390"/>
      <w:bookmarkEnd w:id="897"/>
      <w:bookmarkStart w:id="898" w:name="_Toc152042505"/>
      <w:bookmarkEnd w:id="898"/>
      <w:bookmarkStart w:id="899" w:name="_Toc330406331"/>
      <w:bookmarkEnd w:id="899"/>
      <w:r>
        <w:rPr>
          <w:rFonts w:hint="eastAsia" w:ascii="宋体" w:eastAsia="宋体"/>
          <w:color w:val="auto"/>
          <w:szCs w:val="24"/>
          <w:highlight w:val="none"/>
        </w:rPr>
        <w:t>18.1 竣工验收的含义</w:t>
      </w:r>
    </w:p>
    <w:p w14:paraId="160377E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18.1.1 竣工验收指承包人完成了全部合同工作后，发包人按合同要求进行的验收。</w:t>
      </w:r>
    </w:p>
    <w:p w14:paraId="345BA98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18.1.2 国家验收是政府有关部门根据法律、规范、规程和政策要求，针对发包人全面组织实施的整个工程正式交付投运前的验收。</w:t>
      </w:r>
    </w:p>
    <w:p w14:paraId="162AC24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213DB61E">
      <w:pPr>
        <w:pStyle w:val="67"/>
        <w:shd w:val="clear" w:fill="FFFFFF" w:themeFill="background1"/>
        <w:ind w:firstLine="118"/>
        <w:rPr>
          <w:rFonts w:ascii="宋体" w:eastAsia="宋体"/>
          <w:color w:val="auto"/>
          <w:szCs w:val="24"/>
          <w:highlight w:val="none"/>
        </w:rPr>
      </w:pPr>
      <w:bookmarkStart w:id="900" w:name="_Toc393546391"/>
      <w:bookmarkEnd w:id="900"/>
      <w:bookmarkStart w:id="901" w:name="_Toc43475865"/>
      <w:bookmarkEnd w:id="901"/>
      <w:bookmarkStart w:id="902" w:name="_Toc386467137"/>
      <w:bookmarkEnd w:id="902"/>
      <w:r>
        <w:rPr>
          <w:rFonts w:hint="eastAsia" w:ascii="宋体" w:eastAsia="宋体"/>
          <w:color w:val="auto"/>
          <w:szCs w:val="24"/>
          <w:highlight w:val="none"/>
        </w:rPr>
        <w:t>18.2 竣工验收申请报告</w:t>
      </w:r>
    </w:p>
    <w:p w14:paraId="3D3E2A4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当工程具备以下条件时，承包人即可向监理人报送竣工验收申请报告：</w:t>
      </w:r>
    </w:p>
    <w:p w14:paraId="08683D98">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0EC1CFFF">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 xml:space="preserve">（2）已按合同约定的内容和份数备齐了符合要求的竣工资料； </w:t>
      </w:r>
    </w:p>
    <w:p w14:paraId="3CD44BA3">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（3）已按监理人的要求编制了在缺陷责任期内完成的尾工（甩项）工程和缺陷修补工作清单以及相应施工计划；</w:t>
      </w:r>
    </w:p>
    <w:p w14:paraId="138360DF">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（4）监理人要求在竣工验收前应完成的其他工作；</w:t>
      </w:r>
    </w:p>
    <w:p w14:paraId="43E48804">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（5）监理人要求提交的竣工验收资料清单。</w:t>
      </w:r>
    </w:p>
    <w:p w14:paraId="694084E6">
      <w:pPr>
        <w:pStyle w:val="67"/>
        <w:shd w:val="clear" w:fill="FFFFFF" w:themeFill="background1"/>
        <w:ind w:firstLine="118"/>
        <w:rPr>
          <w:rFonts w:ascii="宋体" w:eastAsia="宋体"/>
          <w:color w:val="auto"/>
          <w:szCs w:val="24"/>
          <w:highlight w:val="none"/>
        </w:rPr>
      </w:pPr>
      <w:bookmarkStart w:id="903" w:name="_Toc386467138"/>
      <w:bookmarkEnd w:id="903"/>
      <w:bookmarkStart w:id="904" w:name="_Toc43475866"/>
      <w:bookmarkEnd w:id="904"/>
      <w:bookmarkStart w:id="905" w:name="_Toc393546392"/>
      <w:bookmarkEnd w:id="905"/>
      <w:r>
        <w:rPr>
          <w:rFonts w:hint="eastAsia" w:ascii="宋体" w:eastAsia="宋体"/>
          <w:color w:val="auto"/>
          <w:szCs w:val="24"/>
          <w:highlight w:val="none"/>
        </w:rPr>
        <w:t>18.3 验收</w:t>
      </w:r>
    </w:p>
    <w:p w14:paraId="7A05107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监理人收到承包人按第18.2款约定提交的竣工验收申请报告后，应审查申请报告的各项内容，并按以下不同情况进行处理。</w:t>
      </w:r>
    </w:p>
    <w:p w14:paraId="3D29887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A8B70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18.3.2 监理人审查后认为已具备竣工验收条件的，应在收到竣工验收申请报告后的28天内提请发包人进行工程验收。</w:t>
      </w:r>
    </w:p>
    <w:p w14:paraId="51E6C0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474D373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8046A8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18.3.5 除专用合同条款另有约定外，经验收合格工程的实际竣工日期，以提交竣工验收申请报告的日期为准，并在工程接收证书中写明。</w:t>
      </w:r>
    </w:p>
    <w:p w14:paraId="47F29A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18.3.6 发包人在收到承包人竣工验收申请报告56天后未进行验收的，视为验收合格，实际竣工日期以提交竣工验收申请报告的日期为准，但发包人由于不可抗力不能进行验收的除外。</w:t>
      </w:r>
    </w:p>
    <w:p w14:paraId="4E8E8BA6">
      <w:pPr>
        <w:pStyle w:val="67"/>
        <w:shd w:val="clear" w:fill="FFFFFF" w:themeFill="background1"/>
        <w:ind w:firstLine="118"/>
        <w:rPr>
          <w:rFonts w:ascii="宋体" w:eastAsia="宋体"/>
          <w:color w:val="auto"/>
          <w:szCs w:val="24"/>
          <w:highlight w:val="none"/>
        </w:rPr>
      </w:pPr>
      <w:bookmarkStart w:id="906" w:name="_Toc179632747"/>
      <w:bookmarkEnd w:id="906"/>
      <w:bookmarkStart w:id="907" w:name="_Toc330406334"/>
      <w:bookmarkEnd w:id="907"/>
      <w:bookmarkStart w:id="908" w:name="_Toc152045729"/>
      <w:bookmarkEnd w:id="908"/>
      <w:bookmarkStart w:id="909" w:name="_Toc393546393"/>
      <w:bookmarkEnd w:id="909"/>
      <w:bookmarkStart w:id="910" w:name="_Toc43475867"/>
      <w:bookmarkEnd w:id="910"/>
      <w:bookmarkStart w:id="911" w:name="_Toc386467139"/>
      <w:bookmarkEnd w:id="911"/>
      <w:bookmarkStart w:id="912" w:name="_Toc144974700"/>
      <w:bookmarkEnd w:id="912"/>
      <w:bookmarkStart w:id="913" w:name="_Toc152042508"/>
      <w:bookmarkEnd w:id="913"/>
      <w:r>
        <w:rPr>
          <w:rFonts w:hint="eastAsia" w:ascii="宋体" w:eastAsia="宋体"/>
          <w:color w:val="auto"/>
          <w:szCs w:val="24"/>
          <w:highlight w:val="none"/>
        </w:rPr>
        <w:t>18.4 单位工程验收</w:t>
      </w:r>
    </w:p>
    <w:p w14:paraId="0B296F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024F051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18.4.2 发包人在全部工程竣工前，使用已接收的单位工程导致承包人费用增加的，发包人应承担由此增加的费用和（或）工期延误，并支付承包人合理利润。</w:t>
      </w:r>
    </w:p>
    <w:p w14:paraId="1F129DF3">
      <w:pPr>
        <w:pStyle w:val="67"/>
        <w:shd w:val="clear" w:fill="FFFFFF" w:themeFill="background1"/>
        <w:ind w:firstLine="118"/>
        <w:rPr>
          <w:rFonts w:ascii="宋体" w:eastAsia="宋体"/>
          <w:color w:val="auto"/>
          <w:szCs w:val="24"/>
          <w:highlight w:val="none"/>
        </w:rPr>
      </w:pPr>
      <w:bookmarkStart w:id="914" w:name="_Toc152045730"/>
      <w:bookmarkEnd w:id="914"/>
      <w:bookmarkStart w:id="915" w:name="_Toc43475868"/>
      <w:bookmarkEnd w:id="915"/>
      <w:bookmarkStart w:id="916" w:name="_Toc393546394"/>
      <w:bookmarkEnd w:id="916"/>
      <w:bookmarkStart w:id="917" w:name="_Toc152042509"/>
      <w:bookmarkEnd w:id="917"/>
      <w:bookmarkStart w:id="918" w:name="_Toc144974701"/>
      <w:bookmarkEnd w:id="918"/>
      <w:bookmarkStart w:id="919" w:name="_Toc386467140"/>
      <w:bookmarkEnd w:id="919"/>
      <w:bookmarkStart w:id="920" w:name="_Toc179632748"/>
      <w:bookmarkEnd w:id="920"/>
      <w:bookmarkStart w:id="921" w:name="_Toc330406335"/>
      <w:bookmarkEnd w:id="921"/>
      <w:r>
        <w:rPr>
          <w:rFonts w:hint="eastAsia" w:ascii="宋体" w:eastAsia="宋体"/>
          <w:color w:val="auto"/>
          <w:szCs w:val="24"/>
          <w:highlight w:val="none"/>
        </w:rPr>
        <w:t>18.5 施工期运行</w:t>
      </w:r>
    </w:p>
    <w:p w14:paraId="20256F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2D80E00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18.5.2 在施工期运行中发现工程或工程设备损坏或存在缺陷的，由承包人按第19.2款约定进行修复。</w:t>
      </w:r>
    </w:p>
    <w:p w14:paraId="732A6A35">
      <w:pPr>
        <w:pStyle w:val="67"/>
        <w:shd w:val="clear" w:fill="FFFFFF" w:themeFill="background1"/>
        <w:ind w:firstLine="118"/>
        <w:rPr>
          <w:rFonts w:ascii="宋体" w:eastAsia="宋体"/>
          <w:color w:val="auto"/>
          <w:szCs w:val="24"/>
          <w:highlight w:val="none"/>
        </w:rPr>
      </w:pPr>
      <w:bookmarkStart w:id="922" w:name="_Toc386467141"/>
      <w:bookmarkEnd w:id="922"/>
      <w:bookmarkStart w:id="923" w:name="_Toc330406336"/>
      <w:bookmarkEnd w:id="923"/>
      <w:bookmarkStart w:id="924" w:name="_Toc179632749"/>
      <w:bookmarkEnd w:id="924"/>
      <w:bookmarkStart w:id="925" w:name="_Toc144974702"/>
      <w:bookmarkEnd w:id="925"/>
      <w:bookmarkStart w:id="926" w:name="_Toc393546395"/>
      <w:bookmarkEnd w:id="926"/>
      <w:bookmarkStart w:id="927" w:name="_Toc152042510"/>
      <w:bookmarkEnd w:id="927"/>
      <w:bookmarkStart w:id="928" w:name="_Toc152045731"/>
      <w:bookmarkEnd w:id="928"/>
      <w:bookmarkStart w:id="929" w:name="_Toc43475869"/>
      <w:bookmarkEnd w:id="929"/>
      <w:r>
        <w:rPr>
          <w:rFonts w:hint="eastAsia" w:ascii="宋体" w:eastAsia="宋体"/>
          <w:color w:val="auto"/>
          <w:szCs w:val="24"/>
          <w:highlight w:val="none"/>
        </w:rPr>
        <w:t>18.6 试运行</w:t>
      </w:r>
    </w:p>
    <w:p w14:paraId="7ACB0D7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18.6.1 除专用合同条款另有约定外，承包人应按专用合同条款约定进行工程及工程设备试运行，负责提供试运行所需的人员、器材和必要的条件，并承担全部试运行费用。</w:t>
      </w:r>
    </w:p>
    <w:p w14:paraId="1C44E6F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6DC18DE">
      <w:pPr>
        <w:pStyle w:val="67"/>
        <w:shd w:val="clear" w:fill="FFFFFF" w:themeFill="background1"/>
        <w:ind w:firstLine="118"/>
        <w:rPr>
          <w:rFonts w:ascii="宋体" w:eastAsia="宋体"/>
          <w:color w:val="auto"/>
          <w:szCs w:val="24"/>
          <w:highlight w:val="none"/>
        </w:rPr>
      </w:pPr>
      <w:bookmarkStart w:id="930" w:name="_Toc144974703"/>
      <w:bookmarkEnd w:id="930"/>
      <w:bookmarkStart w:id="931" w:name="_Toc393546396"/>
      <w:bookmarkEnd w:id="931"/>
      <w:bookmarkStart w:id="932" w:name="_Toc43475870"/>
      <w:bookmarkEnd w:id="932"/>
      <w:bookmarkStart w:id="933" w:name="_Toc179632750"/>
      <w:bookmarkEnd w:id="933"/>
      <w:bookmarkStart w:id="934" w:name="_Toc330406337"/>
      <w:bookmarkEnd w:id="934"/>
      <w:bookmarkStart w:id="935" w:name="_Toc152045732"/>
      <w:bookmarkEnd w:id="935"/>
      <w:bookmarkStart w:id="936" w:name="_Toc386467142"/>
      <w:bookmarkEnd w:id="936"/>
      <w:bookmarkStart w:id="937" w:name="_Toc152042511"/>
      <w:bookmarkEnd w:id="937"/>
      <w:r>
        <w:rPr>
          <w:rFonts w:hint="eastAsia" w:ascii="宋体" w:eastAsia="宋体"/>
          <w:color w:val="auto"/>
          <w:szCs w:val="24"/>
          <w:highlight w:val="none"/>
        </w:rPr>
        <w:t>18.7 竣工清场</w:t>
      </w:r>
    </w:p>
    <w:p w14:paraId="15AACA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18.7.1 除合同另有约定外，工程接收证书颁发后，承包人应按以下要求对施工场地进行清理，直至监理人检验合格为止。竣工清场费用由承包人承担。</w:t>
      </w:r>
    </w:p>
    <w:p w14:paraId="6069C38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（1）施工场地内残留的垃圾已全部清除出场；</w:t>
      </w:r>
    </w:p>
    <w:p w14:paraId="724902C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（2）临时工程已拆除，场地已按合同要求进行清理、平整或复原；</w:t>
      </w:r>
    </w:p>
    <w:p w14:paraId="2F3F939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（3）按合同约定应撤离的承包人设备和剩余的材料，包括废弃的施工设备和材料，已按计划撤离施工场地；</w:t>
      </w:r>
    </w:p>
    <w:p w14:paraId="4ABE652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（4）工程建筑物周边及其附近道路、河道的施工堆积物，已按监理人指示全部清理；</w:t>
      </w:r>
    </w:p>
    <w:p w14:paraId="5DEABA6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（5）监理人指示的其他场地清理工作已全部完成。</w:t>
      </w:r>
    </w:p>
    <w:p w14:paraId="1E6C6DA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18.7.2 承包人未按监理人的要求恢复临时占地，或者场地清理未达到合同约定的，发包人有权委托其他人恢复或清理，所发生的金额从拟支付给承包人的款项中扣除。</w:t>
      </w:r>
    </w:p>
    <w:p w14:paraId="18B1EC79">
      <w:pPr>
        <w:pStyle w:val="67"/>
        <w:shd w:val="clear" w:fill="FFFFFF" w:themeFill="background1"/>
        <w:ind w:firstLine="118"/>
        <w:rPr>
          <w:rFonts w:ascii="宋体" w:eastAsia="宋体"/>
          <w:color w:val="auto"/>
          <w:szCs w:val="24"/>
          <w:highlight w:val="none"/>
        </w:rPr>
      </w:pPr>
      <w:bookmarkStart w:id="938" w:name="_Toc393546397"/>
      <w:bookmarkEnd w:id="938"/>
      <w:bookmarkStart w:id="939" w:name="_Toc43475871"/>
      <w:bookmarkEnd w:id="939"/>
      <w:bookmarkStart w:id="940" w:name="_Toc386467143"/>
      <w:bookmarkEnd w:id="940"/>
      <w:r>
        <w:rPr>
          <w:rFonts w:hint="eastAsia" w:ascii="宋体" w:eastAsia="宋体"/>
          <w:color w:val="auto"/>
          <w:szCs w:val="24"/>
          <w:highlight w:val="none"/>
        </w:rPr>
        <w:t>18.8 施工队伍的撤离</w:t>
      </w:r>
    </w:p>
    <w:p w14:paraId="4F76EE1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7DA9D28">
      <w:pPr>
        <w:pStyle w:val="78"/>
        <w:shd w:val="clear" w:fill="FFFFFF" w:themeFill="background1"/>
        <w:rPr>
          <w:rFonts w:ascii="宋体" w:hAnsi="宋体"/>
          <w:color w:val="auto"/>
          <w:sz w:val="24"/>
          <w:szCs w:val="24"/>
          <w:highlight w:val="none"/>
        </w:rPr>
      </w:pPr>
      <w:bookmarkStart w:id="941" w:name="_Toc393546398"/>
      <w:bookmarkEnd w:id="941"/>
      <w:bookmarkStart w:id="942" w:name="_Toc43475872"/>
      <w:bookmarkEnd w:id="942"/>
      <w:bookmarkStart w:id="943" w:name="_Toc386467144"/>
      <w:bookmarkEnd w:id="943"/>
      <w:r>
        <w:rPr>
          <w:rFonts w:hint="eastAsia" w:ascii="宋体" w:hAnsi="宋体"/>
          <w:color w:val="auto"/>
          <w:sz w:val="24"/>
          <w:szCs w:val="24"/>
          <w:highlight w:val="none"/>
        </w:rPr>
        <w:t>19. 缺陷责任与保修责任</w:t>
      </w:r>
    </w:p>
    <w:p w14:paraId="64F6348D">
      <w:pPr>
        <w:pStyle w:val="67"/>
        <w:shd w:val="clear" w:fill="FFFFFF" w:themeFill="background1"/>
        <w:ind w:firstLine="118"/>
        <w:rPr>
          <w:rFonts w:ascii="宋体" w:eastAsia="宋体"/>
          <w:color w:val="auto"/>
          <w:szCs w:val="24"/>
          <w:highlight w:val="none"/>
        </w:rPr>
      </w:pPr>
      <w:bookmarkStart w:id="944" w:name="_Toc152045735"/>
      <w:bookmarkEnd w:id="944"/>
      <w:bookmarkStart w:id="945" w:name="_Toc43475873"/>
      <w:bookmarkEnd w:id="945"/>
      <w:bookmarkStart w:id="946" w:name="_Toc179632753"/>
      <w:bookmarkEnd w:id="946"/>
      <w:bookmarkStart w:id="947" w:name="_Toc152042514"/>
      <w:bookmarkEnd w:id="947"/>
      <w:bookmarkStart w:id="948" w:name="_Toc144974706"/>
      <w:bookmarkEnd w:id="948"/>
      <w:bookmarkStart w:id="949" w:name="_Toc386467145"/>
      <w:bookmarkEnd w:id="949"/>
      <w:bookmarkStart w:id="950" w:name="_Toc330406340"/>
      <w:bookmarkEnd w:id="950"/>
      <w:bookmarkStart w:id="951" w:name="_Toc393546399"/>
      <w:bookmarkEnd w:id="951"/>
      <w:r>
        <w:rPr>
          <w:rFonts w:hint="eastAsia" w:ascii="宋体" w:eastAsia="宋体"/>
          <w:color w:val="auto"/>
          <w:szCs w:val="24"/>
          <w:highlight w:val="none"/>
        </w:rPr>
        <w:t>19.1 缺陷责任期的起算时间</w:t>
      </w:r>
    </w:p>
    <w:p w14:paraId="3B1526E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缺陷责任期自实际竣工日期起计算。在全部工程竣工验收前，已经发包人提前验收的单位工程，其缺陷责任期的起算日期相应提前。</w:t>
      </w:r>
    </w:p>
    <w:p w14:paraId="171D234A">
      <w:pPr>
        <w:pStyle w:val="67"/>
        <w:shd w:val="clear" w:fill="FFFFFF" w:themeFill="background1"/>
        <w:ind w:firstLine="118"/>
        <w:rPr>
          <w:rFonts w:ascii="宋体" w:eastAsia="宋体"/>
          <w:color w:val="auto"/>
          <w:szCs w:val="24"/>
          <w:highlight w:val="none"/>
        </w:rPr>
      </w:pPr>
      <w:bookmarkStart w:id="952" w:name="_Toc386467146"/>
      <w:bookmarkEnd w:id="952"/>
      <w:bookmarkStart w:id="953" w:name="_Toc393546400"/>
      <w:bookmarkEnd w:id="953"/>
      <w:bookmarkStart w:id="954" w:name="_Toc43475874"/>
      <w:bookmarkEnd w:id="954"/>
      <w:r>
        <w:rPr>
          <w:rFonts w:hint="eastAsia" w:ascii="宋体" w:eastAsia="宋体"/>
          <w:color w:val="auto"/>
          <w:szCs w:val="24"/>
          <w:highlight w:val="none"/>
        </w:rPr>
        <w:t>19.2 缺陷责任</w:t>
      </w:r>
    </w:p>
    <w:p w14:paraId="61C633E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 承包人应在缺陷责任期内对已交付使用的工程承担缺陷责任。</w:t>
      </w:r>
    </w:p>
    <w:p w14:paraId="590C1DA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4D10428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3339CC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19.2.4 承包人不能在合理时间内修复缺陷的，发包人可自行修复或委托其他人修复，所需费用和利润的承担，按第19.2.3项约定办理。</w:t>
      </w:r>
    </w:p>
    <w:p w14:paraId="5AD66231">
      <w:pPr>
        <w:pStyle w:val="67"/>
        <w:shd w:val="clear" w:fill="FFFFFF" w:themeFill="background1"/>
        <w:ind w:firstLine="118"/>
        <w:rPr>
          <w:rFonts w:ascii="宋体" w:eastAsia="宋体"/>
          <w:color w:val="auto"/>
          <w:szCs w:val="24"/>
          <w:highlight w:val="none"/>
        </w:rPr>
      </w:pPr>
      <w:bookmarkStart w:id="955" w:name="_Toc144974708"/>
      <w:bookmarkEnd w:id="955"/>
      <w:bookmarkStart w:id="956" w:name="_Toc386467147"/>
      <w:bookmarkEnd w:id="956"/>
      <w:bookmarkStart w:id="957" w:name="_Toc43475875"/>
      <w:bookmarkEnd w:id="957"/>
      <w:bookmarkStart w:id="958" w:name="_Toc179632755"/>
      <w:bookmarkEnd w:id="958"/>
      <w:bookmarkStart w:id="959" w:name="_Toc393546401"/>
      <w:bookmarkEnd w:id="959"/>
      <w:bookmarkStart w:id="960" w:name="_Toc152045737"/>
      <w:bookmarkEnd w:id="960"/>
      <w:bookmarkStart w:id="961" w:name="_Toc152042516"/>
      <w:bookmarkEnd w:id="961"/>
      <w:bookmarkStart w:id="962" w:name="_Toc330406342"/>
      <w:bookmarkEnd w:id="962"/>
      <w:r>
        <w:rPr>
          <w:rFonts w:hint="eastAsia" w:ascii="宋体" w:eastAsia="宋体"/>
          <w:color w:val="auto"/>
          <w:szCs w:val="24"/>
          <w:highlight w:val="none"/>
        </w:rPr>
        <w:t>19.3 缺陷责任期的延长</w:t>
      </w:r>
    </w:p>
    <w:p w14:paraId="0BBCDA6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3EDDBACF">
      <w:pPr>
        <w:pStyle w:val="67"/>
        <w:shd w:val="clear" w:fill="FFFFFF" w:themeFill="background1"/>
        <w:ind w:firstLine="118"/>
        <w:rPr>
          <w:rFonts w:ascii="宋体" w:eastAsia="宋体"/>
          <w:color w:val="auto"/>
          <w:szCs w:val="24"/>
          <w:highlight w:val="none"/>
        </w:rPr>
      </w:pPr>
      <w:bookmarkStart w:id="963" w:name="_Toc330406343"/>
      <w:bookmarkEnd w:id="963"/>
      <w:bookmarkStart w:id="964" w:name="_Toc179632756"/>
      <w:bookmarkEnd w:id="964"/>
      <w:bookmarkStart w:id="965" w:name="_Toc152042517"/>
      <w:bookmarkEnd w:id="965"/>
      <w:bookmarkStart w:id="966" w:name="_Toc152045738"/>
      <w:bookmarkEnd w:id="966"/>
      <w:bookmarkStart w:id="967" w:name="_Toc43475876"/>
      <w:bookmarkEnd w:id="967"/>
      <w:bookmarkStart w:id="968" w:name="_Toc386467148"/>
      <w:bookmarkEnd w:id="968"/>
      <w:bookmarkStart w:id="969" w:name="_Toc393546402"/>
      <w:bookmarkEnd w:id="969"/>
      <w:bookmarkStart w:id="970" w:name="_Toc144974709"/>
      <w:bookmarkEnd w:id="970"/>
      <w:r>
        <w:rPr>
          <w:rFonts w:hint="eastAsia" w:ascii="宋体" w:eastAsia="宋体"/>
          <w:color w:val="auto"/>
          <w:szCs w:val="24"/>
          <w:highlight w:val="none"/>
        </w:rPr>
        <w:t>19.4 进一步试验和试运行</w:t>
      </w:r>
    </w:p>
    <w:p w14:paraId="35F207B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任何一项缺陷或损坏修复后，经检查证明其影响了工程或工程设备的使用性能，承包人应重新进行合同约定的试验和试运行，试验和试运行的全部费用应由责任方承担。</w:t>
      </w:r>
    </w:p>
    <w:p w14:paraId="4C2DD047">
      <w:pPr>
        <w:pStyle w:val="67"/>
        <w:shd w:val="clear" w:fill="FFFFFF" w:themeFill="background1"/>
        <w:ind w:firstLine="118"/>
        <w:rPr>
          <w:rFonts w:ascii="宋体" w:eastAsia="宋体"/>
          <w:color w:val="auto"/>
          <w:szCs w:val="24"/>
          <w:highlight w:val="none"/>
        </w:rPr>
      </w:pPr>
      <w:bookmarkStart w:id="971" w:name="_Toc43475877"/>
      <w:bookmarkEnd w:id="971"/>
      <w:bookmarkStart w:id="972" w:name="_Toc386467149"/>
      <w:bookmarkEnd w:id="972"/>
      <w:bookmarkStart w:id="973" w:name="_Toc393546403"/>
      <w:bookmarkEnd w:id="973"/>
      <w:r>
        <w:rPr>
          <w:rFonts w:hint="eastAsia" w:ascii="宋体" w:eastAsia="宋体"/>
          <w:color w:val="auto"/>
          <w:szCs w:val="24"/>
          <w:highlight w:val="none"/>
        </w:rPr>
        <w:t>19.5 承包人的进入权</w:t>
      </w:r>
    </w:p>
    <w:p w14:paraId="51FE15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缺陷责任期内承包人为缺陷修复工作需要，有权进入工程现场，但应遵守发包人的保安和保密规定。</w:t>
      </w:r>
    </w:p>
    <w:p w14:paraId="44733CC4">
      <w:pPr>
        <w:pStyle w:val="67"/>
        <w:shd w:val="clear" w:fill="FFFFFF" w:themeFill="background1"/>
        <w:ind w:firstLine="118"/>
        <w:rPr>
          <w:rFonts w:ascii="宋体" w:eastAsia="宋体"/>
          <w:color w:val="auto"/>
          <w:szCs w:val="24"/>
          <w:highlight w:val="none"/>
        </w:rPr>
      </w:pPr>
      <w:bookmarkStart w:id="974" w:name="_Toc152045740"/>
      <w:bookmarkEnd w:id="974"/>
      <w:bookmarkStart w:id="975" w:name="_Toc386467150"/>
      <w:bookmarkEnd w:id="975"/>
      <w:bookmarkStart w:id="976" w:name="_Toc152042519"/>
      <w:bookmarkEnd w:id="976"/>
      <w:bookmarkStart w:id="977" w:name="_Toc330406345"/>
      <w:bookmarkEnd w:id="977"/>
      <w:bookmarkStart w:id="978" w:name="_Toc393546404"/>
      <w:bookmarkEnd w:id="978"/>
      <w:bookmarkStart w:id="979" w:name="_Toc144974711"/>
      <w:bookmarkEnd w:id="979"/>
      <w:bookmarkStart w:id="980" w:name="_Toc43475878"/>
      <w:bookmarkEnd w:id="980"/>
      <w:bookmarkStart w:id="981" w:name="_Toc179632758"/>
      <w:bookmarkEnd w:id="981"/>
      <w:r>
        <w:rPr>
          <w:rFonts w:hint="eastAsia" w:ascii="宋体" w:eastAsia="宋体"/>
          <w:color w:val="auto"/>
          <w:szCs w:val="24"/>
          <w:highlight w:val="none"/>
        </w:rPr>
        <w:t>19.6 缺陷责任期终止证书</w:t>
      </w:r>
    </w:p>
    <w:p w14:paraId="13514D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在第1.1.4.5目约定的缺陷责任期，包括根据第19.3款延长的期限终止后14天内，由监理人向承包人出具经发包人签认的缺陷责任期终止证书，并退还剩余的质量保证金。</w:t>
      </w:r>
    </w:p>
    <w:p w14:paraId="7C67D4D4">
      <w:pPr>
        <w:pStyle w:val="67"/>
        <w:shd w:val="clear" w:fill="FFFFFF" w:themeFill="background1"/>
        <w:ind w:firstLine="118"/>
        <w:rPr>
          <w:rFonts w:ascii="宋体" w:eastAsia="宋体"/>
          <w:color w:val="auto"/>
          <w:szCs w:val="24"/>
          <w:highlight w:val="none"/>
        </w:rPr>
      </w:pPr>
      <w:bookmarkStart w:id="982" w:name="_Toc393546405"/>
      <w:bookmarkEnd w:id="982"/>
      <w:bookmarkStart w:id="983" w:name="_Toc386467151"/>
      <w:bookmarkEnd w:id="983"/>
      <w:bookmarkStart w:id="984" w:name="_Toc43475879"/>
      <w:bookmarkEnd w:id="984"/>
      <w:r>
        <w:rPr>
          <w:rFonts w:hint="eastAsia" w:ascii="宋体" w:eastAsia="宋体"/>
          <w:color w:val="auto"/>
          <w:szCs w:val="24"/>
          <w:highlight w:val="none"/>
        </w:rPr>
        <w:t>19.7 保修责任</w:t>
      </w:r>
    </w:p>
    <w:p w14:paraId="733E79C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13F86A69">
      <w:pPr>
        <w:pStyle w:val="78"/>
        <w:shd w:val="clear" w:fill="FFFFFF" w:themeFill="background1"/>
        <w:rPr>
          <w:rFonts w:ascii="宋体" w:hAnsi="宋体"/>
          <w:color w:val="auto"/>
          <w:sz w:val="24"/>
          <w:szCs w:val="24"/>
          <w:highlight w:val="none"/>
        </w:rPr>
      </w:pPr>
      <w:bookmarkStart w:id="985" w:name="_Toc393546406"/>
      <w:bookmarkEnd w:id="985"/>
      <w:bookmarkStart w:id="986" w:name="_Toc386467152"/>
      <w:bookmarkEnd w:id="986"/>
      <w:bookmarkStart w:id="987" w:name="_Toc43475880"/>
      <w:bookmarkEnd w:id="987"/>
      <w:r>
        <w:rPr>
          <w:rFonts w:hint="eastAsia" w:ascii="宋体" w:hAnsi="宋体"/>
          <w:color w:val="auto"/>
          <w:sz w:val="24"/>
          <w:szCs w:val="24"/>
          <w:highlight w:val="none"/>
        </w:rPr>
        <w:t>20. 保险</w:t>
      </w:r>
    </w:p>
    <w:p w14:paraId="0BEB374B">
      <w:pPr>
        <w:pStyle w:val="67"/>
        <w:shd w:val="clear" w:fill="FFFFFF" w:themeFill="background1"/>
        <w:ind w:firstLine="118"/>
        <w:rPr>
          <w:rFonts w:ascii="宋体" w:eastAsia="宋体"/>
          <w:color w:val="auto"/>
          <w:szCs w:val="24"/>
          <w:highlight w:val="none"/>
        </w:rPr>
      </w:pPr>
      <w:bookmarkStart w:id="988" w:name="_Toc393546407"/>
      <w:bookmarkEnd w:id="988"/>
      <w:bookmarkStart w:id="989" w:name="_Toc43475881"/>
      <w:bookmarkEnd w:id="989"/>
      <w:bookmarkStart w:id="990" w:name="_Toc386467153"/>
      <w:bookmarkEnd w:id="990"/>
      <w:r>
        <w:rPr>
          <w:rFonts w:hint="eastAsia" w:ascii="宋体" w:eastAsia="宋体"/>
          <w:color w:val="auto"/>
          <w:szCs w:val="24"/>
          <w:highlight w:val="none"/>
        </w:rPr>
        <w:t>20.1 工程保险</w:t>
      </w:r>
    </w:p>
    <w:p w14:paraId="64BA2DCB">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65645C57">
      <w:pPr>
        <w:pStyle w:val="67"/>
        <w:shd w:val="clear" w:fill="FFFFFF" w:themeFill="background1"/>
        <w:ind w:firstLine="118"/>
        <w:rPr>
          <w:rFonts w:ascii="宋体" w:eastAsia="宋体"/>
          <w:color w:val="auto"/>
          <w:szCs w:val="24"/>
          <w:highlight w:val="none"/>
        </w:rPr>
      </w:pPr>
      <w:bookmarkStart w:id="991" w:name="_Toc43475882"/>
      <w:bookmarkEnd w:id="991"/>
      <w:bookmarkStart w:id="992" w:name="_Toc152045744"/>
      <w:bookmarkEnd w:id="992"/>
      <w:bookmarkStart w:id="993" w:name="_Toc152042523"/>
      <w:bookmarkEnd w:id="993"/>
      <w:bookmarkStart w:id="994" w:name="_Toc386467154"/>
      <w:bookmarkEnd w:id="994"/>
      <w:bookmarkStart w:id="995" w:name="_Toc144974715"/>
      <w:bookmarkEnd w:id="995"/>
      <w:bookmarkStart w:id="996" w:name="_Toc179632762"/>
      <w:bookmarkEnd w:id="996"/>
      <w:bookmarkStart w:id="997" w:name="_Toc393546408"/>
      <w:bookmarkEnd w:id="997"/>
      <w:bookmarkStart w:id="998" w:name="_Toc330406349"/>
      <w:bookmarkEnd w:id="998"/>
      <w:r>
        <w:rPr>
          <w:rFonts w:hint="eastAsia" w:ascii="宋体" w:eastAsia="宋体"/>
          <w:color w:val="auto"/>
          <w:szCs w:val="24"/>
          <w:highlight w:val="none"/>
        </w:rPr>
        <w:t>20.2 人员工伤事故的保险</w:t>
      </w:r>
    </w:p>
    <w:p w14:paraId="518EFE4D">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承包人员工伤事故的保险</w:t>
      </w:r>
    </w:p>
    <w:p w14:paraId="1CF1F9E2">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承包人应依照有关法律规定参加工伤保险，为其履行合同所雇佣的全部人员，缴纳工伤保险费，并要求其分包人也进行此项保险。</w:t>
      </w:r>
    </w:p>
    <w:p w14:paraId="2401AFE3">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20.2.2 发包人员工伤事故的保险</w:t>
      </w:r>
    </w:p>
    <w:p w14:paraId="195C77A4">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发包人应依照有关法律规定参加工伤保险，为其现场机构雇佣的全部人员，缴纳工伤保险费，并要求其监理人也进行此项保险。</w:t>
      </w:r>
    </w:p>
    <w:p w14:paraId="01D9761F">
      <w:pPr>
        <w:pStyle w:val="67"/>
        <w:shd w:val="clear" w:fill="FFFFFF" w:themeFill="background1"/>
        <w:ind w:firstLine="118"/>
        <w:rPr>
          <w:rFonts w:ascii="宋体" w:eastAsia="宋体"/>
          <w:color w:val="auto"/>
          <w:szCs w:val="24"/>
          <w:highlight w:val="none"/>
        </w:rPr>
      </w:pPr>
      <w:bookmarkStart w:id="999" w:name="_Toc386467155"/>
      <w:bookmarkEnd w:id="999"/>
      <w:bookmarkStart w:id="1000" w:name="_Toc152045745"/>
      <w:bookmarkEnd w:id="1000"/>
      <w:bookmarkStart w:id="1001" w:name="_Toc43475883"/>
      <w:bookmarkEnd w:id="1001"/>
      <w:bookmarkStart w:id="1002" w:name="_Toc393546409"/>
      <w:bookmarkEnd w:id="1002"/>
      <w:bookmarkStart w:id="1003" w:name="_Toc330406350"/>
      <w:bookmarkEnd w:id="1003"/>
      <w:bookmarkStart w:id="1004" w:name="_Toc152042524"/>
      <w:bookmarkEnd w:id="1004"/>
      <w:bookmarkStart w:id="1005" w:name="_Toc144974716"/>
      <w:bookmarkEnd w:id="1005"/>
      <w:bookmarkStart w:id="1006" w:name="_Toc179632763"/>
      <w:bookmarkEnd w:id="1006"/>
      <w:r>
        <w:rPr>
          <w:rFonts w:hint="eastAsia" w:ascii="宋体" w:eastAsia="宋体"/>
          <w:color w:val="auto"/>
          <w:szCs w:val="24"/>
          <w:highlight w:val="none"/>
        </w:rPr>
        <w:t>20.3 人身意外伤害险</w:t>
      </w:r>
    </w:p>
    <w:p w14:paraId="06FA12C3">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20.3.1 发包人应在整个施工期间为其现场机构雇用的全部人员，投保人身意外伤害险，缴纳保险费，并要求其监理人也进行此项保险。</w:t>
      </w:r>
    </w:p>
    <w:p w14:paraId="6B9999FB">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20.3.2 承包人应在整个施工期间为其现场机构雇用的全部人员，投保人身意外伤害险，缴纳保险费，并要求其分包人也进行此项保险。</w:t>
      </w:r>
    </w:p>
    <w:p w14:paraId="3471508F">
      <w:pPr>
        <w:pStyle w:val="67"/>
        <w:shd w:val="clear" w:fill="FFFFFF" w:themeFill="background1"/>
        <w:ind w:firstLine="118"/>
        <w:rPr>
          <w:rFonts w:ascii="宋体" w:eastAsia="宋体"/>
          <w:color w:val="auto"/>
          <w:szCs w:val="24"/>
          <w:highlight w:val="none"/>
        </w:rPr>
      </w:pPr>
      <w:bookmarkStart w:id="1007" w:name="_Toc393546410"/>
      <w:bookmarkEnd w:id="1007"/>
      <w:bookmarkStart w:id="1008" w:name="_Toc43475884"/>
      <w:bookmarkEnd w:id="1008"/>
      <w:bookmarkStart w:id="1009" w:name="_Toc386467156"/>
      <w:bookmarkEnd w:id="1009"/>
      <w:r>
        <w:rPr>
          <w:rFonts w:hint="eastAsia" w:ascii="宋体" w:eastAsia="宋体"/>
          <w:color w:val="auto"/>
          <w:szCs w:val="24"/>
          <w:highlight w:val="none"/>
        </w:rPr>
        <w:t>20.4 第三者责任险</w:t>
      </w:r>
    </w:p>
    <w:p w14:paraId="2F95106E">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B9B786E">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20.4.2 在缺陷责任期终止证书颁发前，承包人应以承包人和发包人的共同名义，投保第20.4.1项约定的第三者责任险，其保险费率、保险金额等有关内容在专用合同条款中约定。</w:t>
      </w:r>
    </w:p>
    <w:p w14:paraId="44C20D60">
      <w:pPr>
        <w:pStyle w:val="67"/>
        <w:shd w:val="clear" w:fill="FFFFFF" w:themeFill="background1"/>
        <w:ind w:firstLine="118"/>
        <w:rPr>
          <w:rFonts w:ascii="宋体" w:eastAsia="宋体"/>
          <w:color w:val="auto"/>
          <w:szCs w:val="24"/>
          <w:highlight w:val="none"/>
        </w:rPr>
      </w:pPr>
      <w:bookmarkStart w:id="1010" w:name="_Toc386467157"/>
      <w:bookmarkEnd w:id="1010"/>
      <w:bookmarkStart w:id="1011" w:name="_Toc393546411"/>
      <w:bookmarkEnd w:id="1011"/>
      <w:bookmarkStart w:id="1012" w:name="_Toc43475885"/>
      <w:bookmarkEnd w:id="1012"/>
      <w:r>
        <w:rPr>
          <w:rFonts w:hint="eastAsia" w:ascii="宋体" w:eastAsia="宋体"/>
          <w:color w:val="auto"/>
          <w:szCs w:val="24"/>
          <w:highlight w:val="none"/>
        </w:rPr>
        <w:t>20.5 其他保险</w:t>
      </w:r>
    </w:p>
    <w:p w14:paraId="77199DD6">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除专用合同条款另有约定外，承包人应为其施工设备、进场的材料和工程设备等办理保险。</w:t>
      </w:r>
    </w:p>
    <w:p w14:paraId="794C9B34">
      <w:pPr>
        <w:pStyle w:val="67"/>
        <w:shd w:val="clear" w:fill="FFFFFF" w:themeFill="background1"/>
        <w:ind w:firstLine="118"/>
        <w:rPr>
          <w:rFonts w:ascii="宋体" w:eastAsia="宋体"/>
          <w:color w:val="auto"/>
          <w:szCs w:val="24"/>
          <w:highlight w:val="none"/>
        </w:rPr>
      </w:pPr>
      <w:bookmarkStart w:id="1013" w:name="_Toc43475886"/>
      <w:bookmarkEnd w:id="1013"/>
      <w:bookmarkStart w:id="1014" w:name="_Toc386467158"/>
      <w:bookmarkEnd w:id="1014"/>
      <w:bookmarkStart w:id="1015" w:name="_Toc393546412"/>
      <w:bookmarkEnd w:id="1015"/>
      <w:r>
        <w:rPr>
          <w:rFonts w:hint="eastAsia" w:ascii="宋体" w:eastAsia="宋体"/>
          <w:color w:val="auto"/>
          <w:szCs w:val="24"/>
          <w:highlight w:val="none"/>
        </w:rPr>
        <w:t>20.6 对各项保险的一般要求</w:t>
      </w:r>
    </w:p>
    <w:p w14:paraId="748D12A4">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20.6.1 保险凭证</w:t>
      </w:r>
    </w:p>
    <w:p w14:paraId="6882B83E">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承包人应在专用合同条款约定的期限内向发包人提交各项保险生效的证据和保险单副本，保险单必须与专用合同条款约定的条件保持一致。</w:t>
      </w:r>
    </w:p>
    <w:p w14:paraId="07A726A8">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20.6.2 保险合同条款的变动</w:t>
      </w:r>
    </w:p>
    <w:p w14:paraId="0A4DC4A1">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承包人需要变动保险合同条款时，应事先征得发包人同意，并通知监理人。保险人作出变动的，承包人应在收到保险人通知后立即通知发包人和监理人。</w:t>
      </w:r>
    </w:p>
    <w:p w14:paraId="2305D9A4">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20.6.3 持续保险</w:t>
      </w:r>
    </w:p>
    <w:p w14:paraId="30EA07EE">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承包人应与保险人保持联系，使保险人能够随时了解工程实施中的变动，并确保按保险合同条款要求持续保险。</w:t>
      </w:r>
    </w:p>
    <w:p w14:paraId="48A13F0D">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20.6.4 保险金不足的补偿</w:t>
      </w:r>
    </w:p>
    <w:p w14:paraId="42DC6717">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保险金不足以补偿损失的，应由承包人和（或）发包人按合同约定负责补偿。</w:t>
      </w:r>
    </w:p>
    <w:p w14:paraId="3BF9EC22">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20.6.5 未按约定投保的补救</w:t>
      </w:r>
    </w:p>
    <w:p w14:paraId="3A78C992">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（1）由于负有投保义务的一方当事人未按合同约定办理保险，或未能使保险持续有效的，另一方当事人可代为办理，所需费用由对方当事人承担。</w:t>
      </w:r>
    </w:p>
    <w:p w14:paraId="31100DFB">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（2）由于负有投保义务的一方当事人未按合同约定办理某项保险，导致受益人未能得到保险人的赔偿，原应从该项保险得到的保险金应由负有投保义务的一方当事人支付。</w:t>
      </w:r>
    </w:p>
    <w:p w14:paraId="47ACE4DF">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20.6.6 报告义务</w:t>
      </w:r>
    </w:p>
    <w:p w14:paraId="61F4512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当保险事故发生时，投保人应按照保险单规定的条件和期限及时向保险人报告。</w:t>
      </w:r>
    </w:p>
    <w:p w14:paraId="7247EAE6">
      <w:pPr>
        <w:pStyle w:val="78"/>
        <w:shd w:val="clear" w:fill="FFFFFF" w:themeFill="background1"/>
        <w:rPr>
          <w:rFonts w:ascii="宋体" w:hAnsi="宋体"/>
          <w:color w:val="auto"/>
          <w:sz w:val="24"/>
          <w:szCs w:val="24"/>
          <w:highlight w:val="none"/>
        </w:rPr>
      </w:pPr>
      <w:bookmarkStart w:id="1016" w:name="_Toc386467159"/>
      <w:bookmarkEnd w:id="1016"/>
      <w:bookmarkStart w:id="1017" w:name="_Toc393546413"/>
      <w:bookmarkEnd w:id="1017"/>
      <w:bookmarkStart w:id="1018" w:name="_Toc43475887"/>
      <w:bookmarkEnd w:id="1018"/>
      <w:r>
        <w:rPr>
          <w:rFonts w:hint="eastAsia" w:ascii="宋体" w:hAnsi="宋体"/>
          <w:color w:val="auto"/>
          <w:sz w:val="24"/>
          <w:szCs w:val="24"/>
          <w:highlight w:val="none"/>
        </w:rPr>
        <w:t>21. 不可抗力</w:t>
      </w:r>
    </w:p>
    <w:p w14:paraId="2E00F23C">
      <w:pPr>
        <w:pStyle w:val="67"/>
        <w:shd w:val="clear" w:fill="FFFFFF" w:themeFill="background1"/>
        <w:ind w:firstLine="118"/>
        <w:rPr>
          <w:rFonts w:ascii="宋体" w:eastAsia="宋体"/>
          <w:color w:val="auto"/>
          <w:szCs w:val="24"/>
          <w:highlight w:val="none"/>
        </w:rPr>
      </w:pPr>
      <w:bookmarkStart w:id="1019" w:name="_Toc393546414"/>
      <w:bookmarkEnd w:id="1019"/>
      <w:bookmarkStart w:id="1020" w:name="_Toc386467160"/>
      <w:bookmarkEnd w:id="1020"/>
      <w:bookmarkStart w:id="1021" w:name="_Toc43475888"/>
      <w:bookmarkEnd w:id="1021"/>
      <w:r>
        <w:rPr>
          <w:rFonts w:hint="eastAsia" w:ascii="宋体" w:eastAsia="宋体"/>
          <w:color w:val="auto"/>
          <w:szCs w:val="24"/>
          <w:highlight w:val="none"/>
        </w:rPr>
        <w:t>21.1 不可抗力的确认</w:t>
      </w:r>
    </w:p>
    <w:p w14:paraId="4345D94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011EFD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54D2D3D5">
      <w:pPr>
        <w:pStyle w:val="67"/>
        <w:shd w:val="clear" w:fill="FFFFFF" w:themeFill="background1"/>
        <w:ind w:firstLine="118"/>
        <w:rPr>
          <w:rFonts w:ascii="宋体" w:eastAsia="宋体"/>
          <w:color w:val="auto"/>
          <w:szCs w:val="24"/>
          <w:highlight w:val="none"/>
        </w:rPr>
      </w:pPr>
      <w:bookmarkStart w:id="1022" w:name="_Toc152042530"/>
      <w:bookmarkEnd w:id="1022"/>
      <w:bookmarkStart w:id="1023" w:name="_Toc330406356"/>
      <w:bookmarkEnd w:id="1023"/>
      <w:bookmarkStart w:id="1024" w:name="_Toc144974722"/>
      <w:bookmarkEnd w:id="1024"/>
      <w:bookmarkStart w:id="1025" w:name="_Toc386467161"/>
      <w:bookmarkEnd w:id="1025"/>
      <w:bookmarkStart w:id="1026" w:name="_Toc152045751"/>
      <w:bookmarkEnd w:id="1026"/>
      <w:bookmarkStart w:id="1027" w:name="_Toc393546415"/>
      <w:bookmarkEnd w:id="1027"/>
      <w:bookmarkStart w:id="1028" w:name="_Toc179632769"/>
      <w:bookmarkEnd w:id="1028"/>
      <w:bookmarkStart w:id="1029" w:name="_Toc43475889"/>
      <w:bookmarkEnd w:id="1029"/>
      <w:r>
        <w:rPr>
          <w:rFonts w:hint="eastAsia" w:ascii="宋体" w:eastAsia="宋体"/>
          <w:color w:val="auto"/>
          <w:szCs w:val="24"/>
          <w:highlight w:val="none"/>
        </w:rPr>
        <w:t>21.2 不可抗力的通知</w:t>
      </w:r>
    </w:p>
    <w:p w14:paraId="041F171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 合同一方当事人遇到不可抗力事件，使其履行合同义务受到阻碍时，应立即通知合同另一方当事人和监理人，书面说明不可抗力和受阻碍的详细情况，并提供必要的证明。</w:t>
      </w:r>
    </w:p>
    <w:p w14:paraId="6919641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17A0DB6A">
      <w:pPr>
        <w:pStyle w:val="67"/>
        <w:shd w:val="clear" w:fill="FFFFFF" w:themeFill="background1"/>
        <w:ind w:firstLine="118"/>
        <w:rPr>
          <w:rFonts w:ascii="宋体" w:eastAsia="宋体"/>
          <w:color w:val="auto"/>
          <w:szCs w:val="24"/>
          <w:highlight w:val="none"/>
        </w:rPr>
      </w:pPr>
      <w:bookmarkStart w:id="1030" w:name="_Toc393546416"/>
      <w:bookmarkEnd w:id="1030"/>
      <w:bookmarkStart w:id="1031" w:name="_Toc43475890"/>
      <w:bookmarkEnd w:id="1031"/>
      <w:bookmarkStart w:id="1032" w:name="_Toc386467162"/>
      <w:bookmarkEnd w:id="1032"/>
      <w:r>
        <w:rPr>
          <w:rFonts w:hint="eastAsia" w:ascii="宋体" w:eastAsia="宋体"/>
          <w:color w:val="auto"/>
          <w:szCs w:val="24"/>
          <w:highlight w:val="none"/>
        </w:rPr>
        <w:t>21.3 不可抗力后果及其处理</w:t>
      </w:r>
    </w:p>
    <w:p w14:paraId="1C74BA1B">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14:paraId="14913B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除专用合同条款另有约定外，不可抗力导致的人员伤亡、财产损失、费用增加和（或）工期延误等后果，由合同双方按以下原则承担：</w:t>
      </w:r>
    </w:p>
    <w:p w14:paraId="0A5A9EA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（1）永久工程，包括已运至施工场地的材料和工程设备的损害，以及因工程损害造成的第三者人员伤亡和财产损失由发包人承担；</w:t>
      </w:r>
    </w:p>
    <w:p w14:paraId="7FCE633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（2）承包人设备的损坏由承包人承担；</w:t>
      </w:r>
    </w:p>
    <w:p w14:paraId="50F8B93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（3）发包人和承包人各自承担其人员伤亡和其他财产损失及其相关费用；</w:t>
      </w:r>
    </w:p>
    <w:p w14:paraId="03F88E8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（4）承包人的停工损失由承包人承担，但停工期间应监理人要求照管工程和清理、修复工程的金额由发包人承担；</w:t>
      </w:r>
    </w:p>
    <w:p w14:paraId="61AFCE3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（5）不能按期竣工的，应合理延长工期，承包人不需支付逾期竣工违约金。发包人要求赶工的，承包人应采取赶工措施，赶工费用由发包人承担。</w:t>
      </w:r>
    </w:p>
    <w:p w14:paraId="617D9EF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 延迟履行期间发生的不可抗力</w:t>
      </w:r>
    </w:p>
    <w:p w14:paraId="2BEA2C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合同一方当事人延迟履行，在延迟履行期间发生不可抗力的，不免除其责任。</w:t>
      </w:r>
    </w:p>
    <w:p w14:paraId="681B837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 避免和减少不可抗力损失</w:t>
      </w:r>
    </w:p>
    <w:p w14:paraId="7E7548E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不可抗力发生后，发包人和承包人均应采取措施尽量避免和减少损失的扩大，任何一方没有采取有效措施导致损失扩大的，应对扩大的损失承担责任。</w:t>
      </w:r>
    </w:p>
    <w:p w14:paraId="6AC062F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因不可抗力解除合同</w:t>
      </w:r>
    </w:p>
    <w:p w14:paraId="0042FCA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B80CED4">
      <w:pPr>
        <w:pStyle w:val="78"/>
        <w:shd w:val="clear" w:fill="FFFFFF" w:themeFill="background1"/>
        <w:rPr>
          <w:rFonts w:ascii="宋体" w:hAnsi="宋体"/>
          <w:color w:val="auto"/>
          <w:sz w:val="24"/>
          <w:szCs w:val="24"/>
          <w:highlight w:val="none"/>
        </w:rPr>
      </w:pPr>
      <w:bookmarkStart w:id="1033" w:name="_Toc386467163"/>
      <w:bookmarkEnd w:id="1033"/>
      <w:bookmarkStart w:id="1034" w:name="_Toc43475891"/>
      <w:bookmarkEnd w:id="1034"/>
      <w:bookmarkStart w:id="1035" w:name="_Toc393546417"/>
      <w:bookmarkEnd w:id="1035"/>
      <w:r>
        <w:rPr>
          <w:rFonts w:hint="eastAsia" w:ascii="宋体" w:hAnsi="宋体"/>
          <w:color w:val="auto"/>
          <w:sz w:val="24"/>
          <w:szCs w:val="24"/>
          <w:highlight w:val="none"/>
        </w:rPr>
        <w:t>22. 违约</w:t>
      </w:r>
    </w:p>
    <w:p w14:paraId="21BBFA54">
      <w:pPr>
        <w:pStyle w:val="67"/>
        <w:shd w:val="clear" w:fill="FFFFFF" w:themeFill="background1"/>
        <w:ind w:firstLine="118"/>
        <w:rPr>
          <w:rFonts w:ascii="宋体" w:eastAsia="宋体"/>
          <w:color w:val="auto"/>
          <w:szCs w:val="24"/>
          <w:highlight w:val="none"/>
        </w:rPr>
      </w:pPr>
      <w:bookmarkStart w:id="1036" w:name="_Toc43475892"/>
      <w:bookmarkEnd w:id="1036"/>
      <w:bookmarkStart w:id="1037" w:name="_Toc386467164"/>
      <w:bookmarkEnd w:id="1037"/>
      <w:bookmarkStart w:id="1038" w:name="_Toc393546418"/>
      <w:bookmarkEnd w:id="1038"/>
      <w:r>
        <w:rPr>
          <w:rFonts w:hint="eastAsia" w:ascii="宋体" w:eastAsia="宋体"/>
          <w:color w:val="auto"/>
          <w:szCs w:val="24"/>
          <w:highlight w:val="none"/>
        </w:rPr>
        <w:t>22.1 承包人违约</w:t>
      </w:r>
    </w:p>
    <w:p w14:paraId="68BBD29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14:paraId="51DA83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在履行合同过程中发生的下列情况属承包人违约：</w:t>
      </w:r>
    </w:p>
    <w:p w14:paraId="4F6D3AE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（1）承包人违反第1.8款或第4.3款的约定，私自将合同的全部或部分权利转让给其他人，或私自将合同的全部或部分义务转移给其他人；</w:t>
      </w:r>
    </w:p>
    <w:p w14:paraId="2D7E121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（2）承包人违反第5.3款或第6.4款的约定，未经监理人批准，私自将已按合同约定进入施工场地的施工设备、临时设施或材料撤离施工场地；</w:t>
      </w:r>
    </w:p>
    <w:p w14:paraId="6215970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（3）承包人违反第5.4款的约定使用了不合格材料或工程设备，工程质量达不到标准要求，又拒绝清除不合格工程；</w:t>
      </w:r>
    </w:p>
    <w:p w14:paraId="71863B5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（4）承包人未能按合同进度计划及时完成合同约定的工作，已造成或预期造成工期延误；</w:t>
      </w:r>
    </w:p>
    <w:p w14:paraId="1CC7838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（5）承包人在缺陷责任期内，未能对工程接收证书所列的缺陷清单的内容或缺陷责任期内发生的缺陷进行修复，而又拒绝按监理人指示再进行修补；</w:t>
      </w:r>
    </w:p>
    <w:p w14:paraId="14686D3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（6）承包人无法继续履行或明确表示不履行或实质上已停止履行合同；</w:t>
      </w:r>
    </w:p>
    <w:p w14:paraId="0ADC0E2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（7）承包人不按合同约定履行义务的其他情况。</w:t>
      </w:r>
    </w:p>
    <w:p w14:paraId="0A15460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14:paraId="082D122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（1）承包人发生第22.1.1（6）目约定的违约情况时，发包人可通知承包人立即解除合同，并按有关法律处理。</w:t>
      </w:r>
    </w:p>
    <w:p w14:paraId="6C55EF9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（2）承包人发生除第22.1.1（6）目约定以外的其他违约情况时，监理人可向承包人发出整改通知，要求其在指定的期限内改正。承包人应承担其违约所引起的费用增加和（或）工期延误。</w:t>
      </w:r>
    </w:p>
    <w:p w14:paraId="525F95F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（3）经检查证明承包人已采取了有效措施纠正违约行为，具备复工条件的，可由监理人签发复工通知复工。</w:t>
      </w:r>
    </w:p>
    <w:p w14:paraId="3DD62F7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22.1.3 承包人违约解除合同</w:t>
      </w:r>
    </w:p>
    <w:p w14:paraId="764ABC8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C7B9E0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22.1.4 合同解除后的估价、付款和结清</w:t>
      </w:r>
    </w:p>
    <w:p w14:paraId="3193166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（1）合同解除后，监理人按第3.5款商定或确定承包人实际完成工作的价值，以及承包人已提供的材料、施工设备、工程设备和临时工程等的价值。 </w:t>
      </w:r>
    </w:p>
    <w:p w14:paraId="23DBBA1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（2）合同解除后，发包人应暂停对承包人的一切付款，查清各项付款和已扣款金额，包括承包人应支付的违约金。 </w:t>
      </w:r>
    </w:p>
    <w:p w14:paraId="395D152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（3）合同解除后，发包人应按第23.4款的约定向承包人索赔由于解除合同给发包人造成的损失。</w:t>
      </w:r>
    </w:p>
    <w:p w14:paraId="6DD0D90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（4）合同双方确认上述往来款项后，出具最终结清付款证书，结清全部合同款项。</w:t>
      </w:r>
    </w:p>
    <w:p w14:paraId="7D4DF8B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（5）发包人和承包人未能就解除合同后的结清达成一致而形成争议的，按第24条的约定办理。</w:t>
      </w:r>
    </w:p>
    <w:p w14:paraId="60EEDB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22.1.5 协议利益的转让</w:t>
      </w:r>
    </w:p>
    <w:p w14:paraId="1AC2879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1EEA1A9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22.1.6 紧急情况下无能力或不愿进行抢救</w:t>
      </w:r>
    </w:p>
    <w:p w14:paraId="3B6E9F4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F55B5F">
      <w:pPr>
        <w:pStyle w:val="67"/>
        <w:shd w:val="clear" w:fill="FFFFFF" w:themeFill="background1"/>
        <w:ind w:firstLine="118"/>
        <w:rPr>
          <w:rFonts w:ascii="宋体" w:eastAsia="宋体"/>
          <w:color w:val="auto"/>
          <w:szCs w:val="24"/>
          <w:highlight w:val="none"/>
        </w:rPr>
      </w:pPr>
      <w:bookmarkStart w:id="1039" w:name="_Toc43475893"/>
      <w:bookmarkEnd w:id="1039"/>
      <w:bookmarkStart w:id="1040" w:name="_Toc386467165"/>
      <w:bookmarkEnd w:id="1040"/>
      <w:bookmarkStart w:id="1041" w:name="_Toc393546419"/>
      <w:bookmarkEnd w:id="1041"/>
      <w:r>
        <w:rPr>
          <w:rFonts w:hint="eastAsia" w:ascii="宋体" w:eastAsia="宋体"/>
          <w:color w:val="auto"/>
          <w:szCs w:val="24"/>
          <w:highlight w:val="none"/>
        </w:rPr>
        <w:t>22.2 发包人违约</w:t>
      </w:r>
    </w:p>
    <w:p w14:paraId="3CB0338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22.2.1 发包人违约的情形</w:t>
      </w:r>
    </w:p>
    <w:p w14:paraId="799050E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在履行合同过程中发生的下列情形，属发包人违约：</w:t>
      </w:r>
    </w:p>
    <w:p w14:paraId="4F03059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（1）发包人未能按合同约定支付预付款或合同价款，或拖延、拒绝批准付款申请和支付凭证，导致付款延误的；</w:t>
      </w:r>
    </w:p>
    <w:p w14:paraId="4C5A960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（2）发包人原因造成停工的；</w:t>
      </w:r>
    </w:p>
    <w:p w14:paraId="2597C15A">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（3）监理人无正当理由没有在约定期限内发出复工指示，导致承包人无法复工的；</w:t>
      </w:r>
    </w:p>
    <w:p w14:paraId="4C6913C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（4）发包人无法继续履行或明确表示不履行或实质上已停止履行合同的；</w:t>
      </w:r>
    </w:p>
    <w:p w14:paraId="334A730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（5）发包人不履行合同约定其他义务的。</w:t>
      </w:r>
    </w:p>
    <w:p w14:paraId="36A0F29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22.2.2 承包人有权暂停施工</w:t>
      </w:r>
    </w:p>
    <w:p w14:paraId="20C0BD2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1202C6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22.2.3 发包人违约解除合同 </w:t>
      </w:r>
    </w:p>
    <w:p w14:paraId="0D579C4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（1）发生第22.2.1（4）目的违约情况时，承包人可书面通知发包人解除合同。   </w:t>
      </w:r>
    </w:p>
    <w:p w14:paraId="782AEA1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44B73D9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解除合同后的付款</w:t>
      </w:r>
    </w:p>
    <w:p w14:paraId="41A908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因发包人违约解除合同的，发包人应在解除合同后28天内向承包人支付下列金额，承包人应在此期限内及时向发包人提交要求支付下列金额的有关资料和凭证：</w:t>
      </w:r>
    </w:p>
    <w:p w14:paraId="43F8FB6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（1）合同解除日以前所完成工作的价款；</w:t>
      </w:r>
    </w:p>
    <w:p w14:paraId="254D037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（2）承包人为该工程施工订购并已付款的材料、工程设备和其他物品的金额。发包人付还后，该材料、工程设备和其他物品归发包人所有；</w:t>
      </w:r>
    </w:p>
    <w:p w14:paraId="7E88FAC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（3）承包人为完成工程所发生的，而发包人未支付的金额；</w:t>
      </w:r>
    </w:p>
    <w:p w14:paraId="2CD0B71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（4）承包人撤离施工场地以及遣散承包人人员的金额；</w:t>
      </w:r>
    </w:p>
    <w:p w14:paraId="2CB95F3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（5）由于解除合同应赔偿的承包人损失；</w:t>
      </w:r>
    </w:p>
    <w:p w14:paraId="6600069A">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（6）按合同约定在合同解除日前应支付给承包人的其他金额。</w:t>
      </w:r>
    </w:p>
    <w:p w14:paraId="2986DA3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发包人应按本项约定支付上述金额并退还质量保证金和履约担保，但有权要求承包人支付应偿还给发包人的各项金额。</w:t>
      </w:r>
    </w:p>
    <w:p w14:paraId="488C73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22.2.5 解除合同后的承包人撤离</w:t>
      </w:r>
    </w:p>
    <w:p w14:paraId="3BE0A3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B4AFBC4">
      <w:pPr>
        <w:pStyle w:val="67"/>
        <w:shd w:val="clear" w:fill="FFFFFF" w:themeFill="background1"/>
        <w:ind w:firstLine="118"/>
        <w:rPr>
          <w:rFonts w:ascii="宋体" w:eastAsia="宋体"/>
          <w:color w:val="auto"/>
          <w:szCs w:val="24"/>
          <w:highlight w:val="none"/>
        </w:rPr>
      </w:pPr>
      <w:bookmarkStart w:id="1042" w:name="_Toc179632774"/>
      <w:bookmarkEnd w:id="1042"/>
      <w:bookmarkStart w:id="1043" w:name="_Toc386467166"/>
      <w:bookmarkEnd w:id="1043"/>
      <w:bookmarkStart w:id="1044" w:name="_Toc152045756"/>
      <w:bookmarkEnd w:id="1044"/>
      <w:bookmarkStart w:id="1045" w:name="_Toc43475894"/>
      <w:bookmarkEnd w:id="1045"/>
      <w:bookmarkStart w:id="1046" w:name="_Toc330406361"/>
      <w:bookmarkEnd w:id="1046"/>
      <w:bookmarkStart w:id="1047" w:name="_Toc152042535"/>
      <w:bookmarkEnd w:id="1047"/>
      <w:bookmarkStart w:id="1048" w:name="_Toc393546420"/>
      <w:bookmarkEnd w:id="1048"/>
      <w:r>
        <w:rPr>
          <w:rFonts w:hint="eastAsia" w:ascii="宋体" w:eastAsia="宋体"/>
          <w:color w:val="auto"/>
          <w:szCs w:val="24"/>
          <w:highlight w:val="none"/>
        </w:rPr>
        <w:t>22.3 第三人造成的违约</w:t>
      </w:r>
    </w:p>
    <w:p w14:paraId="5F7A27E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02626E01">
      <w:pPr>
        <w:pStyle w:val="78"/>
        <w:shd w:val="clear" w:fill="FFFFFF" w:themeFill="background1"/>
        <w:rPr>
          <w:rFonts w:ascii="宋体" w:hAnsi="宋体"/>
          <w:color w:val="auto"/>
          <w:sz w:val="24"/>
          <w:szCs w:val="24"/>
          <w:highlight w:val="none"/>
        </w:rPr>
      </w:pPr>
      <w:bookmarkStart w:id="1049" w:name="_Toc386467167"/>
      <w:bookmarkEnd w:id="1049"/>
      <w:bookmarkStart w:id="1050" w:name="_Toc393546421"/>
      <w:bookmarkEnd w:id="1050"/>
      <w:bookmarkStart w:id="1051" w:name="_Toc43475895"/>
      <w:bookmarkEnd w:id="1051"/>
      <w:r>
        <w:rPr>
          <w:rFonts w:hint="eastAsia" w:ascii="宋体" w:hAnsi="宋体"/>
          <w:color w:val="auto"/>
          <w:sz w:val="24"/>
          <w:szCs w:val="24"/>
          <w:highlight w:val="none"/>
        </w:rPr>
        <w:t>23. 索赔</w:t>
      </w:r>
    </w:p>
    <w:p w14:paraId="631E95F5">
      <w:pPr>
        <w:pStyle w:val="67"/>
        <w:shd w:val="clear" w:fill="FFFFFF" w:themeFill="background1"/>
        <w:ind w:firstLine="118"/>
        <w:rPr>
          <w:rFonts w:ascii="宋体" w:eastAsia="宋体"/>
          <w:color w:val="auto"/>
          <w:szCs w:val="24"/>
          <w:highlight w:val="none"/>
        </w:rPr>
      </w:pPr>
      <w:bookmarkStart w:id="1052" w:name="_Toc386467168"/>
      <w:bookmarkEnd w:id="1052"/>
      <w:bookmarkStart w:id="1053" w:name="_Toc393546422"/>
      <w:bookmarkEnd w:id="1053"/>
      <w:bookmarkStart w:id="1054" w:name="_Toc43475896"/>
      <w:bookmarkEnd w:id="1054"/>
      <w:r>
        <w:rPr>
          <w:rFonts w:hint="eastAsia" w:ascii="宋体" w:eastAsia="宋体"/>
          <w:color w:val="auto"/>
          <w:szCs w:val="24"/>
          <w:highlight w:val="none"/>
        </w:rPr>
        <w:t>23.1 承包人索赔的提出</w:t>
      </w:r>
    </w:p>
    <w:p w14:paraId="695C47B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根据合同约定，承包人认为有权得到追加付款和（或）延长工期的，应按以下程序向发包人提出索赔：</w:t>
      </w:r>
    </w:p>
    <w:p w14:paraId="5AAB4A7E">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1A4E308">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74B9A7E2">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（3）索赔事件具有连续影响的，承包人应按合理时间间隔继续递交延续索赔通知，说明连续影响的实际情况和记录，列出累计的追加付款金额和（或）工期延长天数；</w:t>
      </w:r>
    </w:p>
    <w:p w14:paraId="2D2338D9">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（4）在索赔事件影响结束后的28天内，承包人应向监理人递交最终索赔通知书，说明最终要求索赔的追加付款金额和延长的工期，并附必要的记录和证明材料。</w:t>
      </w:r>
    </w:p>
    <w:p w14:paraId="2ECA46B9">
      <w:pPr>
        <w:pStyle w:val="67"/>
        <w:shd w:val="clear" w:fill="FFFFFF" w:themeFill="background1"/>
        <w:ind w:firstLine="118"/>
        <w:rPr>
          <w:rFonts w:ascii="宋体" w:eastAsia="宋体"/>
          <w:color w:val="auto"/>
          <w:szCs w:val="24"/>
          <w:highlight w:val="none"/>
        </w:rPr>
      </w:pPr>
      <w:bookmarkStart w:id="1055" w:name="_Toc393546423"/>
      <w:bookmarkEnd w:id="1055"/>
      <w:bookmarkStart w:id="1056" w:name="_Toc43475897"/>
      <w:bookmarkEnd w:id="1056"/>
      <w:bookmarkStart w:id="1057" w:name="_Toc386467169"/>
      <w:bookmarkEnd w:id="1057"/>
      <w:r>
        <w:rPr>
          <w:rFonts w:hint="eastAsia" w:ascii="宋体" w:eastAsia="宋体"/>
          <w:color w:val="auto"/>
          <w:szCs w:val="24"/>
          <w:highlight w:val="none"/>
        </w:rPr>
        <w:t>23.2 承包人索赔处理程序</w:t>
      </w:r>
    </w:p>
    <w:p w14:paraId="53C7C7CD">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（1）监理人收到承包人提交的索赔通知书后，应及时审查索赔通知书的内容、查验承包人的记录和证明材料，必要时监理人可要求承包人提交全部原始记录副本。</w:t>
      </w:r>
    </w:p>
    <w:p w14:paraId="39FAFC8F">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（2）监理人应按第3.5款商定或确定追加的付款和（或）延长的工期，并在收到上述索赔通知书或有关索赔的进一步证明材料后的42天内，将索赔处理结果答复承包人。</w:t>
      </w:r>
    </w:p>
    <w:p w14:paraId="12FCA51D">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（3）承包人接受索赔处理结果的，发包人应在作出索赔处理结果答复后28天内完成赔付。承包人不接受索赔处理结果的，按第24条的约定办理。</w:t>
      </w:r>
    </w:p>
    <w:p w14:paraId="1D390912">
      <w:pPr>
        <w:pStyle w:val="67"/>
        <w:shd w:val="clear" w:fill="FFFFFF" w:themeFill="background1"/>
        <w:ind w:firstLine="118"/>
        <w:rPr>
          <w:rFonts w:ascii="宋体" w:eastAsia="宋体"/>
          <w:color w:val="auto"/>
          <w:szCs w:val="24"/>
          <w:highlight w:val="none"/>
        </w:rPr>
      </w:pPr>
      <w:bookmarkStart w:id="1058" w:name="_Toc330406365"/>
      <w:bookmarkEnd w:id="1058"/>
      <w:bookmarkStart w:id="1059" w:name="_Toc152042539"/>
      <w:bookmarkEnd w:id="1059"/>
      <w:bookmarkStart w:id="1060" w:name="_Toc43475898"/>
      <w:bookmarkEnd w:id="1060"/>
      <w:bookmarkStart w:id="1061" w:name="_Toc152045760"/>
      <w:bookmarkEnd w:id="1061"/>
      <w:bookmarkStart w:id="1062" w:name="_Toc393546424"/>
      <w:bookmarkEnd w:id="1062"/>
      <w:bookmarkStart w:id="1063" w:name="_Toc144974730"/>
      <w:bookmarkEnd w:id="1063"/>
      <w:bookmarkStart w:id="1064" w:name="_Toc179632778"/>
      <w:bookmarkEnd w:id="1064"/>
      <w:bookmarkStart w:id="1065" w:name="_Toc386467170"/>
      <w:bookmarkEnd w:id="1065"/>
      <w:r>
        <w:rPr>
          <w:rFonts w:hint="eastAsia" w:ascii="宋体" w:eastAsia="宋体"/>
          <w:color w:val="auto"/>
          <w:szCs w:val="24"/>
          <w:highlight w:val="none"/>
        </w:rPr>
        <w:t>23.3 承包人提出索赔的期限</w:t>
      </w:r>
    </w:p>
    <w:p w14:paraId="22DE498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23.3.1 承包人按第17.5款的约定接受了竣工付款证书后，应被认为已无权再提出在合同工程接收证书颁发前所发生的任何索赔。</w:t>
      </w:r>
    </w:p>
    <w:p w14:paraId="2E050829">
      <w:pPr>
        <w:shd w:val="clear" w:fill="FFFFFF" w:themeFill="background1"/>
        <w:spacing w:line="38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 xml:space="preserve">23.3.2 承包人按第17.6款的约定提交的最终结清申请单中，只限于提出工程接收证书颁发后发生的索赔。提出索赔的期限自接受最终结清证书时终止。 </w:t>
      </w:r>
    </w:p>
    <w:p w14:paraId="61A9033A">
      <w:pPr>
        <w:pStyle w:val="67"/>
        <w:shd w:val="clear" w:fill="FFFFFF" w:themeFill="background1"/>
        <w:spacing w:line="380" w:lineRule="exact"/>
        <w:ind w:firstLine="118"/>
        <w:rPr>
          <w:rFonts w:ascii="宋体" w:eastAsia="宋体"/>
          <w:color w:val="auto"/>
          <w:szCs w:val="24"/>
          <w:highlight w:val="none"/>
        </w:rPr>
      </w:pPr>
      <w:bookmarkStart w:id="1066" w:name="_Toc179632779"/>
      <w:bookmarkEnd w:id="1066"/>
      <w:bookmarkStart w:id="1067" w:name="_Toc152045761"/>
      <w:bookmarkEnd w:id="1067"/>
      <w:bookmarkStart w:id="1068" w:name="_Toc330406366"/>
      <w:bookmarkEnd w:id="1068"/>
      <w:bookmarkStart w:id="1069" w:name="_Toc386467171"/>
      <w:bookmarkEnd w:id="1069"/>
      <w:bookmarkStart w:id="1070" w:name="_Toc43475899"/>
      <w:bookmarkEnd w:id="1070"/>
      <w:bookmarkStart w:id="1071" w:name="_Toc393546425"/>
      <w:bookmarkEnd w:id="1071"/>
      <w:bookmarkStart w:id="1072" w:name="_Toc152042540"/>
      <w:bookmarkEnd w:id="1072"/>
      <w:bookmarkStart w:id="1073" w:name="_Toc144974731"/>
      <w:bookmarkEnd w:id="1073"/>
      <w:r>
        <w:rPr>
          <w:rFonts w:hint="eastAsia" w:ascii="宋体" w:eastAsia="宋体"/>
          <w:color w:val="auto"/>
          <w:szCs w:val="24"/>
          <w:highlight w:val="none"/>
        </w:rPr>
        <w:t>23.4 发包人的索赔</w:t>
      </w:r>
    </w:p>
    <w:p w14:paraId="2F0BE73D">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31132749">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2C6E02D1">
      <w:pPr>
        <w:pStyle w:val="78"/>
        <w:shd w:val="clear" w:fill="FFFFFF" w:themeFill="background1"/>
        <w:spacing w:line="380" w:lineRule="exact"/>
        <w:rPr>
          <w:rFonts w:ascii="宋体" w:hAnsi="宋体"/>
          <w:color w:val="auto"/>
          <w:sz w:val="24"/>
          <w:szCs w:val="24"/>
          <w:highlight w:val="none"/>
        </w:rPr>
      </w:pPr>
      <w:bookmarkStart w:id="1074" w:name="_Toc393546426"/>
      <w:bookmarkEnd w:id="1074"/>
      <w:bookmarkStart w:id="1075" w:name="_Toc386467172"/>
      <w:bookmarkEnd w:id="1075"/>
      <w:bookmarkStart w:id="1076" w:name="_Toc43475900"/>
      <w:bookmarkEnd w:id="1076"/>
      <w:r>
        <w:rPr>
          <w:rFonts w:hint="eastAsia" w:ascii="宋体" w:hAnsi="宋体"/>
          <w:color w:val="auto"/>
          <w:sz w:val="24"/>
          <w:szCs w:val="24"/>
          <w:highlight w:val="none"/>
        </w:rPr>
        <w:t>24. 争议的解决</w:t>
      </w:r>
    </w:p>
    <w:p w14:paraId="623861DC">
      <w:pPr>
        <w:pStyle w:val="67"/>
        <w:shd w:val="clear" w:fill="FFFFFF" w:themeFill="background1"/>
        <w:spacing w:line="380" w:lineRule="exact"/>
        <w:ind w:firstLine="118"/>
        <w:rPr>
          <w:rFonts w:ascii="宋体" w:eastAsia="宋体"/>
          <w:color w:val="auto"/>
          <w:szCs w:val="24"/>
          <w:highlight w:val="none"/>
        </w:rPr>
      </w:pPr>
      <w:bookmarkStart w:id="1077" w:name="_Toc393546427"/>
      <w:bookmarkEnd w:id="1077"/>
      <w:bookmarkStart w:id="1078" w:name="_Toc179632781"/>
      <w:bookmarkEnd w:id="1078"/>
      <w:bookmarkStart w:id="1079" w:name="_Toc386467175"/>
      <w:bookmarkEnd w:id="1079"/>
      <w:bookmarkStart w:id="1080" w:name="_Toc393546429"/>
      <w:bookmarkEnd w:id="1080"/>
      <w:bookmarkStart w:id="1081" w:name="_Toc152045763"/>
      <w:bookmarkEnd w:id="1081"/>
      <w:bookmarkStart w:id="1082" w:name="_Toc330406368"/>
      <w:bookmarkEnd w:id="1082"/>
      <w:bookmarkStart w:id="1083" w:name="_Toc144974733"/>
      <w:bookmarkEnd w:id="1083"/>
      <w:bookmarkStart w:id="1084" w:name="_Toc43475901"/>
      <w:bookmarkEnd w:id="1084"/>
      <w:bookmarkStart w:id="1085" w:name="_Toc43475903"/>
      <w:bookmarkEnd w:id="1085"/>
      <w:bookmarkStart w:id="1086" w:name="_Toc386467173"/>
      <w:bookmarkEnd w:id="1086"/>
      <w:bookmarkStart w:id="1087" w:name="_Toc152042542"/>
      <w:bookmarkEnd w:id="1087"/>
      <w:r>
        <w:rPr>
          <w:rFonts w:hint="eastAsia" w:ascii="宋体" w:eastAsia="宋体"/>
          <w:color w:val="auto"/>
          <w:szCs w:val="24"/>
          <w:highlight w:val="none"/>
        </w:rPr>
        <w:t>24.324.1 争议的解决方式</w:t>
      </w:r>
    </w:p>
    <w:p w14:paraId="60B7ADAF">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01E5FFB">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（1）向约定的仲裁委员会申请仲裁；</w:t>
      </w:r>
    </w:p>
    <w:p w14:paraId="72700CD5">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（2）向有管辖权的人民法院提起诉讼。</w:t>
      </w:r>
    </w:p>
    <w:p w14:paraId="2EE010EA">
      <w:pPr>
        <w:pStyle w:val="67"/>
        <w:shd w:val="clear" w:fill="FFFFFF" w:themeFill="background1"/>
        <w:spacing w:line="380" w:lineRule="exact"/>
        <w:ind w:firstLine="118"/>
        <w:rPr>
          <w:rFonts w:ascii="宋体" w:eastAsia="宋体"/>
          <w:color w:val="auto"/>
          <w:szCs w:val="24"/>
          <w:highlight w:val="none"/>
        </w:rPr>
      </w:pPr>
      <w:bookmarkStart w:id="1088" w:name="_Toc43475902"/>
      <w:bookmarkEnd w:id="1088"/>
      <w:bookmarkStart w:id="1089" w:name="_Toc386467174"/>
      <w:bookmarkEnd w:id="1089"/>
      <w:bookmarkStart w:id="1090" w:name="_Toc179632782"/>
      <w:bookmarkEnd w:id="1090"/>
      <w:bookmarkStart w:id="1091" w:name="_Toc152045764"/>
      <w:bookmarkEnd w:id="1091"/>
      <w:bookmarkStart w:id="1092" w:name="_Toc152042543"/>
      <w:bookmarkEnd w:id="1092"/>
      <w:bookmarkStart w:id="1093" w:name="_Toc144974734"/>
      <w:bookmarkEnd w:id="1093"/>
      <w:bookmarkStart w:id="1094" w:name="_Toc393546428"/>
      <w:bookmarkEnd w:id="1094"/>
      <w:bookmarkStart w:id="1095" w:name="_Toc330406369"/>
      <w:bookmarkEnd w:id="1095"/>
      <w:r>
        <w:rPr>
          <w:rFonts w:hint="eastAsia" w:ascii="宋体" w:eastAsia="宋体"/>
          <w:color w:val="auto"/>
          <w:szCs w:val="24"/>
          <w:highlight w:val="none"/>
        </w:rPr>
        <w:t>24.2 友好解决</w:t>
      </w:r>
    </w:p>
    <w:p w14:paraId="0EB361DB">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在提请争议评审、仲裁或者诉讼前，以及在争议评审、仲裁或诉讼过程中，发包人和承包人均可共同努力友好协商解决争议。</w:t>
      </w:r>
    </w:p>
    <w:p w14:paraId="1F4382C7">
      <w:pPr>
        <w:pStyle w:val="67"/>
        <w:shd w:val="clear" w:fill="FFFFFF" w:themeFill="background1"/>
        <w:spacing w:line="380" w:lineRule="exact"/>
        <w:ind w:firstLine="118"/>
        <w:rPr>
          <w:rFonts w:ascii="宋体" w:eastAsia="宋体"/>
          <w:color w:val="auto"/>
          <w:szCs w:val="24"/>
          <w:highlight w:val="none"/>
        </w:rPr>
      </w:pPr>
      <w:r>
        <w:rPr>
          <w:rFonts w:hint="eastAsia" w:ascii="宋体" w:eastAsia="宋体"/>
          <w:color w:val="auto"/>
          <w:szCs w:val="24"/>
          <w:highlight w:val="none"/>
        </w:rPr>
        <w:t>24.3 争议评审</w:t>
      </w:r>
    </w:p>
    <w:p w14:paraId="46AA5636">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24.3.1 采用争议评审的，发包人和承包人应在开工日后的28天内或在争议发生后，协商成立争议评审组。争议评审组由有合同管理和工程实践经验的专家组成。</w:t>
      </w:r>
    </w:p>
    <w:p w14:paraId="41F0C8F0">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6B8DC8FC">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24.3.3 被申请人在收到申请人评审申请报告副本后的28天内，向争议评审组提交一份答辩报告，并附证明材料。被申请人应将答辩报告的副本同时提交给申请人和监理人。</w:t>
      </w:r>
    </w:p>
    <w:p w14:paraId="0F48D4DB">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70E9F372">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6F22E2A8">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24.3.6 发包人和承包人接受评审意见的，由监理人根据评审意见拟定执行协议，经争议双方签字后作为合同的补充文件，并遵照执行。</w:t>
      </w:r>
    </w:p>
    <w:p w14:paraId="724F5B5D">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74C8EEA4">
      <w:pPr>
        <w:shd w:val="clear" w:fill="FFFFFF" w:themeFill="background1"/>
        <w:spacing w:line="400" w:lineRule="exact"/>
        <w:ind w:firstLine="480" w:firstLineChars="200"/>
        <w:rPr>
          <w:rFonts w:ascii="宋体" w:hAnsi="宋体" w:cs="宋体"/>
          <w:color w:val="auto"/>
          <w:sz w:val="24"/>
          <w:highlight w:val="none"/>
        </w:rPr>
      </w:pPr>
    </w:p>
    <w:p w14:paraId="1C1DE965">
      <w:pPr>
        <w:pStyle w:val="4"/>
        <w:shd w:val="clear" w:fill="FFFFFF" w:themeFill="background1"/>
        <w:jc w:val="center"/>
        <w:rPr>
          <w:rFonts w:ascii="宋体" w:hAnsi="宋体" w:eastAsia="宋体" w:cs="宋体"/>
          <w:color w:val="auto"/>
          <w:highlight w:val="none"/>
        </w:rPr>
      </w:pPr>
      <w:bookmarkStart w:id="1096" w:name="_Toc184635122"/>
      <w:bookmarkStart w:id="1097" w:name="_Toc247527798"/>
      <w:bookmarkStart w:id="1098" w:name="_Toc426012248"/>
      <w:bookmarkStart w:id="1099" w:name="_Toc247514197"/>
      <w:bookmarkStart w:id="1100" w:name="_Toc11537"/>
    </w:p>
    <w:p w14:paraId="595957C5">
      <w:pPr>
        <w:pStyle w:val="4"/>
        <w:shd w:val="clear" w:fill="FFFFFF" w:themeFill="background1"/>
        <w:jc w:val="center"/>
        <w:rPr>
          <w:rFonts w:ascii="宋体" w:hAnsi="宋体" w:eastAsia="宋体" w:cs="宋体"/>
          <w:color w:val="auto"/>
          <w:highlight w:val="none"/>
        </w:rPr>
      </w:pPr>
    </w:p>
    <w:p w14:paraId="7B29C221">
      <w:pPr>
        <w:pStyle w:val="4"/>
        <w:shd w:val="clear" w:fill="FFFFFF" w:themeFill="background1"/>
        <w:jc w:val="center"/>
        <w:rPr>
          <w:rFonts w:ascii="宋体" w:hAnsi="宋体" w:eastAsia="宋体" w:cs="宋体"/>
          <w:color w:val="auto"/>
          <w:highlight w:val="none"/>
        </w:rPr>
      </w:pPr>
    </w:p>
    <w:p w14:paraId="40E4197C">
      <w:pPr>
        <w:pStyle w:val="4"/>
        <w:shd w:val="clear" w:fill="FFFFFF" w:themeFill="background1"/>
        <w:jc w:val="center"/>
        <w:rPr>
          <w:rFonts w:ascii="宋体" w:hAnsi="宋体" w:eastAsia="宋体" w:cs="宋体"/>
          <w:color w:val="auto"/>
          <w:highlight w:val="none"/>
        </w:rPr>
      </w:pPr>
    </w:p>
    <w:bookmarkEnd w:id="1096"/>
    <w:bookmarkEnd w:id="1097"/>
    <w:bookmarkEnd w:id="1098"/>
    <w:bookmarkEnd w:id="1099"/>
    <w:bookmarkEnd w:id="1100"/>
    <w:p w14:paraId="519BBC59">
      <w:pPr>
        <w:pStyle w:val="4"/>
        <w:shd w:val="clear" w:fill="FFFFFF" w:themeFill="background1"/>
        <w:jc w:val="center"/>
        <w:rPr>
          <w:rFonts w:ascii="宋体" w:hAnsi="宋体" w:eastAsia="宋体" w:cs="宋体"/>
          <w:color w:val="auto"/>
          <w:highlight w:val="none"/>
        </w:rPr>
      </w:pPr>
      <w:bookmarkStart w:id="1101" w:name="_Toc43475904"/>
      <w:bookmarkEnd w:id="1101"/>
      <w:r>
        <w:rPr>
          <w:rFonts w:hint="eastAsia" w:ascii="宋体" w:hAnsi="宋体" w:eastAsia="宋体" w:cs="宋体"/>
          <w:color w:val="auto"/>
          <w:highlight w:val="none"/>
        </w:rPr>
        <w:t>第二节 专用合同条款</w:t>
      </w:r>
    </w:p>
    <w:p w14:paraId="6A55F4DB">
      <w:pPr>
        <w:shd w:val="clear" w:fill="FFFFFF" w:themeFill="background1"/>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包括：</w:t>
      </w:r>
    </w:p>
    <w:p w14:paraId="2674091E">
      <w:pPr>
        <w:shd w:val="clear" w:fill="FFFFFF" w:themeFill="background1"/>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A  公路工程专用合同条款详见«公路工程标准施工招标文件»</w:t>
      </w:r>
    </w:p>
    <w:p w14:paraId="5B5A2D32">
      <w:pPr>
        <w:shd w:val="clear" w:fill="FFFFFF" w:themeFill="background1"/>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（2018 版）的第四章第二节</w:t>
      </w:r>
    </w:p>
    <w:p w14:paraId="3C289471">
      <w:pPr>
        <w:pStyle w:val="55"/>
        <w:shd w:val="clear" w:fill="FFFFFF" w:themeFill="background1"/>
        <w:rPr>
          <w:color w:val="auto"/>
          <w:highlight w:val="none"/>
        </w:rPr>
      </w:pPr>
      <w:r>
        <w:rPr>
          <w:rFonts w:hint="eastAsia" w:ascii="宋体" w:hAnsi="宋体" w:cs="宋体"/>
          <w:color w:val="auto"/>
          <w:highlight w:val="none"/>
        </w:rPr>
        <w:t xml:space="preserve">B  项目专用合同条款     </w:t>
      </w:r>
    </w:p>
    <w:p w14:paraId="2F3511BB">
      <w:pPr>
        <w:pStyle w:val="4"/>
        <w:shd w:val="clear" w:fill="FFFFFF" w:themeFill="background1"/>
        <w:spacing w:after="120" w:line="240" w:lineRule="auto"/>
        <w:rPr>
          <w:rFonts w:ascii="宋体" w:hAnsi="宋体"/>
          <w:color w:val="auto"/>
          <w:sz w:val="44"/>
          <w:szCs w:val="44"/>
          <w:highlight w:val="none"/>
        </w:rPr>
      </w:pPr>
      <w:r>
        <w:rPr>
          <w:rFonts w:hint="eastAsia" w:ascii="宋体" w:hAnsi="宋体"/>
          <w:color w:val="auto"/>
          <w:sz w:val="44"/>
          <w:szCs w:val="44"/>
          <w:highlight w:val="none"/>
        </w:rPr>
        <w:br w:type="page"/>
      </w:r>
    </w:p>
    <w:p w14:paraId="742936AE">
      <w:pPr>
        <w:shd w:val="clear" w:fill="FFFFFF" w:themeFill="background1"/>
        <w:ind w:left="420"/>
        <w:jc w:val="center"/>
        <w:rPr>
          <w:rFonts w:ascii="宋体" w:hAnsi="宋体" w:cs="宋体"/>
          <w:color w:val="auto"/>
          <w:sz w:val="36"/>
          <w:szCs w:val="36"/>
          <w:highlight w:val="none"/>
        </w:rPr>
      </w:pPr>
      <w:r>
        <w:rPr>
          <w:rFonts w:hint="eastAsia" w:ascii="宋体" w:hAnsi="宋体" w:cs="宋体"/>
          <w:color w:val="auto"/>
          <w:sz w:val="36"/>
          <w:szCs w:val="36"/>
          <w:highlight w:val="none"/>
        </w:rPr>
        <w:t>A.公路工程专用合同条款</w:t>
      </w:r>
    </w:p>
    <w:p w14:paraId="7DE85B88">
      <w:pPr>
        <w:shd w:val="clear" w:fill="FFFFFF" w:themeFill="background1"/>
        <w:rPr>
          <w:rFonts w:ascii="宋体" w:hAnsi="宋体" w:cs="宋体"/>
          <w:color w:val="auto"/>
          <w:highlight w:val="none"/>
        </w:rPr>
      </w:pPr>
    </w:p>
    <w:p w14:paraId="79F48FEB">
      <w:pPr>
        <w:shd w:val="clear" w:fill="FFFFFF" w:themeFill="background1"/>
        <w:ind w:firstLine="482" w:firstLineChars="200"/>
        <w:rPr>
          <w:rFonts w:ascii="宋体" w:hAnsi="宋体" w:cs="宋体"/>
          <w:b/>
          <w:color w:val="auto"/>
          <w:sz w:val="24"/>
          <w:highlight w:val="none"/>
        </w:rPr>
      </w:pPr>
      <w:r>
        <w:rPr>
          <w:rFonts w:hint="eastAsia" w:ascii="宋体" w:hAnsi="宋体" w:cs="宋体"/>
          <w:b/>
          <w:color w:val="auto"/>
          <w:sz w:val="24"/>
          <w:highlight w:val="none"/>
        </w:rPr>
        <w:t>(注：以下内容为“公路工程专用合同条款”，如有与“《中华人民共和国交通运输部公路工程标准施工招标文件》（2018 版）的第四章第二节”不一致之处，以“《中华人民共和国交通运输部公路工程标准施工招标文件》（2018 版）的第四章第二节”为准。)</w:t>
      </w:r>
    </w:p>
    <w:p w14:paraId="5AAE0593">
      <w:pPr>
        <w:shd w:val="clear" w:fill="FFFFFF" w:themeFill="background1"/>
        <w:rPr>
          <w:rFonts w:ascii="宋体" w:hAnsi="宋体" w:cs="宋体"/>
          <w:color w:val="auto"/>
          <w:highlight w:val="none"/>
        </w:rPr>
      </w:pPr>
    </w:p>
    <w:p w14:paraId="584D22FE">
      <w:pPr>
        <w:pStyle w:val="3"/>
        <w:shd w:val="clear" w:fill="FFFFFF" w:themeFill="background1"/>
        <w:spacing w:before="156" w:beforeLines="50" w:line="400" w:lineRule="exact"/>
        <w:rPr>
          <w:rFonts w:ascii="宋体" w:hAnsi="宋体" w:cs="宋体"/>
          <w:color w:val="auto"/>
          <w:sz w:val="28"/>
          <w:szCs w:val="28"/>
          <w:highlight w:val="none"/>
        </w:rPr>
      </w:pPr>
      <w:bookmarkStart w:id="1102" w:name="_Toc386467177"/>
      <w:bookmarkEnd w:id="1102"/>
      <w:bookmarkStart w:id="1103" w:name="_Toc451261281"/>
      <w:bookmarkEnd w:id="1103"/>
      <w:bookmarkStart w:id="1104" w:name="_Toc453057091"/>
      <w:bookmarkEnd w:id="1104"/>
      <w:bookmarkStart w:id="1105" w:name="_Toc43475905"/>
      <w:bookmarkEnd w:id="1105"/>
      <w:bookmarkStart w:id="1106" w:name="_Toc330406372"/>
      <w:bookmarkEnd w:id="1106"/>
      <w:bookmarkStart w:id="1107" w:name="_Toc393546431"/>
      <w:bookmarkEnd w:id="1107"/>
      <w:r>
        <w:rPr>
          <w:rFonts w:hint="eastAsia" w:ascii="宋体" w:hAnsi="宋体" w:cs="宋体"/>
          <w:color w:val="auto"/>
          <w:sz w:val="28"/>
          <w:szCs w:val="28"/>
          <w:highlight w:val="none"/>
        </w:rPr>
        <w:t>1.一般约定</w:t>
      </w:r>
    </w:p>
    <w:p w14:paraId="737D061C">
      <w:pPr>
        <w:pStyle w:val="3"/>
        <w:shd w:val="clear" w:fill="FFFFFF" w:themeFill="background1"/>
        <w:spacing w:before="156" w:beforeLines="50" w:line="400" w:lineRule="exact"/>
        <w:rPr>
          <w:rFonts w:ascii="宋体" w:hAnsi="宋体" w:cs="宋体"/>
          <w:color w:val="auto"/>
          <w:sz w:val="24"/>
          <w:szCs w:val="24"/>
          <w:highlight w:val="none"/>
        </w:rPr>
      </w:pPr>
      <w:bookmarkStart w:id="1108" w:name="_Toc393546432"/>
      <w:bookmarkEnd w:id="1108"/>
      <w:bookmarkStart w:id="1109" w:name="_Toc451261282"/>
      <w:bookmarkEnd w:id="1109"/>
      <w:bookmarkStart w:id="1110" w:name="_Toc386467178"/>
      <w:bookmarkEnd w:id="1110"/>
      <w:bookmarkStart w:id="1111" w:name="_Toc43475906"/>
      <w:bookmarkEnd w:id="1111"/>
      <w:bookmarkStart w:id="1112" w:name="_Toc330406373"/>
      <w:bookmarkEnd w:id="1112"/>
      <w:bookmarkStart w:id="1113" w:name="_Toc453057092"/>
      <w:bookmarkEnd w:id="1113"/>
      <w:r>
        <w:rPr>
          <w:rFonts w:hint="eastAsia" w:ascii="宋体" w:hAnsi="宋体" w:cs="宋体"/>
          <w:color w:val="auto"/>
          <w:sz w:val="24"/>
          <w:szCs w:val="24"/>
          <w:highlight w:val="none"/>
        </w:rPr>
        <w:t>1.1词语定义</w:t>
      </w:r>
    </w:p>
    <w:p w14:paraId="738086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1.1.1合同</w:t>
      </w:r>
    </w:p>
    <w:p w14:paraId="18A21D7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第1.1.1.6目细化为：</w:t>
      </w:r>
    </w:p>
    <w:p w14:paraId="1103382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技术规范：指本合同所约定的技术标准和要求，是合同文件的组成部分。通用合同条款中“技术标准和要求”一词具有相同含义。</w:t>
      </w:r>
    </w:p>
    <w:p w14:paraId="570E99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第1.1.1.8目细化为：</w:t>
      </w:r>
    </w:p>
    <w:p w14:paraId="1384B6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己标价工程量清单：指构成合同文件组成部分的己标明价格、经算术性错误 修正及其他错误修正（如有）且承包人己确认的最终的工程量清单，包括工程量清单说明、投标报价说明、计日工说明、其他说明及工程量清单各项表格（工程量清 单表</w:t>
      </w:r>
      <w:r>
        <w:rPr>
          <w:rFonts w:hint="eastAsia" w:ascii="宋体" w:hAnsi="宋体" w:cs="宋体"/>
          <w:color w:val="auto"/>
          <w:sz w:val="24"/>
          <w:highlight w:val="none"/>
        </w:rPr>
        <w:t>5.1</w:t>
      </w:r>
      <w:r>
        <w:rPr>
          <w:rFonts w:hint="eastAsia" w:ascii="宋体" w:hAnsi="宋体" w:cs="宋体"/>
          <w:color w:val="auto"/>
          <w:sz w:val="24"/>
          <w:highlight w:val="none"/>
          <w:lang w:val="zh-CN"/>
        </w:rPr>
        <w:t>〜表</w:t>
      </w:r>
      <w:r>
        <w:rPr>
          <w:rFonts w:hint="eastAsia" w:ascii="宋体" w:hAnsi="宋体" w:cs="宋体"/>
          <w:color w:val="auto"/>
          <w:sz w:val="24"/>
          <w:highlight w:val="none"/>
        </w:rPr>
        <w:t>5.5）。</w:t>
      </w:r>
    </w:p>
    <w:p w14:paraId="6D483D1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本项补充第1.1.1.10目：</w:t>
      </w:r>
    </w:p>
    <w:p w14:paraId="0972072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1.1.1.10补遗书：指发出招标文件之后由招标人向已取得招标文件的投标人发出的、编号的对招标文件所作的澄清、修改书。</w:t>
      </w:r>
    </w:p>
    <w:p w14:paraId="139C242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1.1.2合同当事人和人员</w:t>
      </w:r>
    </w:p>
    <w:p w14:paraId="6DB81B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本项补充第1.1.2.8目：</w:t>
      </w:r>
    </w:p>
    <w:p w14:paraId="3558454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1.1.2.8 承包人项目总工：指由承包人书面委派常驻现场负责管理本合同工程的总工程师或技术总负责人。</w:t>
      </w:r>
    </w:p>
    <w:p w14:paraId="16252C3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14:paraId="082C9B3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第1.1.3.4目细化为：</w:t>
      </w:r>
    </w:p>
    <w:p w14:paraId="257B23F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单位工程：指在建设项目中，根据签订的合同，具有独立施工条件的工程。</w:t>
      </w:r>
    </w:p>
    <w:p w14:paraId="47DCE3D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1.1.3.10目细化为：</w:t>
      </w:r>
    </w:p>
    <w:p w14:paraId="35D0CC1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永久占地：指为实施本合同工程而需要的一切永久占用的土地，包括公路两侧路权范围内的用地。</w:t>
      </w:r>
    </w:p>
    <w:p w14:paraId="40D62FE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第1.1.3.11目细化为：</w:t>
      </w:r>
    </w:p>
    <w:p w14:paraId="6DA11D1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临时占地：指为实施本合同工程而需要的一切临时占用的土地，包括施工所用的临时支线、便道、便桥和现场的临时出入通道，以及生产（办公）、生活等临时设施用地等。</w:t>
      </w:r>
    </w:p>
    <w:p w14:paraId="4BA51FD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本项补充第1.1.3.12目、第1.1.3.13目：</w:t>
      </w:r>
    </w:p>
    <w:p w14:paraId="6359349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1.1.3.12 分部工程：指在单位工程中，按结构部位、路段长度及施工特点或施工任务划分的若干个工程。</w:t>
      </w:r>
    </w:p>
    <w:p w14:paraId="7003A45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1.1.3.13 分项工程：指在分部工程中，按不同的施工方法、材料、工序及路段长度等划分的若干个过程。</w:t>
      </w:r>
    </w:p>
    <w:p w14:paraId="70AD3D5C">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 其他</w:t>
      </w:r>
    </w:p>
    <w:p w14:paraId="42BA761E">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本项补充第1.1.6.2目～1.1.6.9目：</w:t>
      </w:r>
    </w:p>
    <w:p w14:paraId="5DF13E6B">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1.1.6.2 竣工验收：指《公路工程竣（交）工验收办法》中的竣工验收。通用合同条款中“国家验收”一词具有相同含义。</w:t>
      </w:r>
    </w:p>
    <w:p w14:paraId="7D1D7731">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1.1.6.3 交工：指《公路工程竣（交）工验收办法》中的交工通用合同条款中“竣工”一词具有相同含义。</w:t>
      </w:r>
    </w:p>
    <w:p w14:paraId="2BCA4478">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1.1.6.4 交工验收：指《公路工程竣（交）工验收办法》中的交工验收。通用合同条款中“竣工验收”一词具有相同含义。</w:t>
      </w:r>
    </w:p>
    <w:p w14:paraId="3D79BFC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1.1.6.5 交工验收证书：指《公路工程竣（交）工验收办法》中的交工验收证书。通用合同条款中“工程接收证书”一词具有相同含义。</w:t>
      </w:r>
    </w:p>
    <w:p w14:paraId="0E7B4F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1.1.6.6 转包：指承包人违反法律和不履行合同规定的责任和义务，将中标工程全部委托或以专业分包的名义将中标工程肢解后全部委托给其他施工企业施工的行为。</w:t>
      </w:r>
    </w:p>
    <w:p w14:paraId="77DEDCA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1E477D0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1.1.6.8 劳务分包：指承包人与具有劳务分包资质的劳务企业签订劳务分包，由劳务企业提供劳务人员及机具，由承包人统一组织施工，统一控制工程质量、施工进度、材料采购、生产安全的施工行为。</w:t>
      </w:r>
    </w:p>
    <w:p w14:paraId="4D17B40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1.1.6.9 雇佣民工：指承包人与具有相应劳动能力的自然人签订劳动合同，由承包人统一组织管理，从事分项工程施工或配套工程施工的行为。</w:t>
      </w:r>
    </w:p>
    <w:p w14:paraId="6DF0BA1D">
      <w:pPr>
        <w:pStyle w:val="3"/>
        <w:shd w:val="clear" w:fill="FFFFFF" w:themeFill="background1"/>
        <w:spacing w:before="156" w:beforeLines="50" w:line="400" w:lineRule="exact"/>
        <w:rPr>
          <w:rFonts w:ascii="宋体" w:hAnsi="宋体" w:cs="宋体"/>
          <w:color w:val="auto"/>
          <w:sz w:val="24"/>
          <w:szCs w:val="24"/>
          <w:highlight w:val="none"/>
        </w:rPr>
      </w:pPr>
      <w:bookmarkStart w:id="1114" w:name="_Toc330406374"/>
      <w:bookmarkEnd w:id="1114"/>
      <w:bookmarkStart w:id="1115" w:name="_Toc453057093"/>
      <w:bookmarkEnd w:id="1115"/>
      <w:bookmarkStart w:id="1116" w:name="_Toc451261283"/>
      <w:bookmarkEnd w:id="1116"/>
      <w:bookmarkStart w:id="1117" w:name="_Toc386467179"/>
      <w:bookmarkEnd w:id="1117"/>
      <w:bookmarkStart w:id="1118" w:name="_Toc393546433"/>
      <w:bookmarkEnd w:id="1118"/>
      <w:bookmarkStart w:id="1119" w:name="_Toc43475907"/>
      <w:bookmarkEnd w:id="1119"/>
      <w:r>
        <w:rPr>
          <w:rFonts w:hint="eastAsia" w:ascii="宋体" w:hAnsi="宋体" w:cs="宋体"/>
          <w:color w:val="auto"/>
          <w:sz w:val="24"/>
          <w:szCs w:val="24"/>
          <w:highlight w:val="none"/>
        </w:rPr>
        <w:t>1.4合同文件的优先顺序</w:t>
      </w:r>
    </w:p>
    <w:p w14:paraId="18C1C2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7868196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组成合同的各项文件应互相解释，互为说明。除项目专用合同条款另有约定外，解释合同文件的优先顺序如下：</w:t>
      </w:r>
    </w:p>
    <w:p w14:paraId="6D683A9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（1）合同协议书及各种合同附件（含评标期间和合同谈判过程中的澄清文件和补充资料）；</w:t>
      </w:r>
    </w:p>
    <w:p w14:paraId="5E47599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14:paraId="7898E81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3EF4BFD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（4）项目专用合同条款；</w:t>
      </w:r>
    </w:p>
    <w:p w14:paraId="4ED9EB3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（5）公路工程专用合同条款；</w:t>
      </w:r>
    </w:p>
    <w:p w14:paraId="24F6797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14:paraId="5452F9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工程量清单计量规则</w:t>
      </w:r>
      <w:r>
        <w:rPr>
          <w:rFonts w:hint="eastAsia" w:ascii="宋体" w:hAnsi="宋体" w:cs="宋体"/>
          <w:color w:val="auto"/>
          <w:sz w:val="24"/>
          <w:highlight w:val="none"/>
        </w:rPr>
        <w:t>；</w:t>
      </w:r>
    </w:p>
    <w:p w14:paraId="0D86F3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（8）技术规范；</w:t>
      </w:r>
    </w:p>
    <w:p w14:paraId="100670A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（9）图纸；</w:t>
      </w:r>
    </w:p>
    <w:p w14:paraId="4AB589A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（10）已标价工程量清单；</w:t>
      </w:r>
    </w:p>
    <w:p w14:paraId="5E6423E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（11）承包人有关人员、设备投入的承诺及投标文件中的施工组织设计；</w:t>
      </w:r>
    </w:p>
    <w:p w14:paraId="2047EC2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（12）其他合同文件。</w:t>
      </w:r>
    </w:p>
    <w:p w14:paraId="30EE49C3">
      <w:pPr>
        <w:pStyle w:val="3"/>
        <w:shd w:val="clear" w:fill="FFFFFF" w:themeFill="background1"/>
        <w:spacing w:before="156" w:beforeLines="50" w:line="400" w:lineRule="exact"/>
        <w:rPr>
          <w:rFonts w:ascii="宋体" w:hAnsi="宋体" w:cs="宋体"/>
          <w:color w:val="auto"/>
          <w:sz w:val="24"/>
          <w:szCs w:val="24"/>
          <w:highlight w:val="none"/>
        </w:rPr>
      </w:pPr>
      <w:bookmarkStart w:id="1120" w:name="_Toc393546434"/>
      <w:bookmarkEnd w:id="1120"/>
      <w:bookmarkStart w:id="1121" w:name="_Toc453057094"/>
      <w:bookmarkEnd w:id="1121"/>
      <w:bookmarkStart w:id="1122" w:name="_Toc451261284"/>
      <w:bookmarkEnd w:id="1122"/>
      <w:bookmarkStart w:id="1123" w:name="_Toc330406375"/>
      <w:bookmarkEnd w:id="1123"/>
      <w:bookmarkStart w:id="1124" w:name="_Toc386467180"/>
      <w:bookmarkEnd w:id="1124"/>
      <w:bookmarkStart w:id="1125" w:name="_Toc43475908"/>
      <w:bookmarkEnd w:id="1125"/>
      <w:r>
        <w:rPr>
          <w:rFonts w:hint="eastAsia" w:ascii="宋体" w:hAnsi="宋体" w:cs="宋体"/>
          <w:color w:val="auto"/>
          <w:sz w:val="24"/>
          <w:szCs w:val="24"/>
          <w:highlight w:val="none"/>
        </w:rPr>
        <w:t>1.5合同协议书</w:t>
      </w:r>
    </w:p>
    <w:p w14:paraId="420B062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29591D2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制备本合同文件的费用由发包人承担。在合同协议书签订并生效之前，投标函和中标通知书将对双方具有约束力。</w:t>
      </w:r>
    </w:p>
    <w:p w14:paraId="341A07C1">
      <w:pPr>
        <w:pStyle w:val="3"/>
        <w:shd w:val="clear" w:fill="FFFFFF" w:themeFill="background1"/>
        <w:spacing w:before="156" w:beforeLines="50" w:line="400" w:lineRule="exact"/>
        <w:rPr>
          <w:rFonts w:ascii="宋体" w:hAnsi="宋体" w:cs="宋体"/>
          <w:color w:val="auto"/>
          <w:sz w:val="24"/>
          <w:szCs w:val="24"/>
          <w:highlight w:val="none"/>
        </w:rPr>
      </w:pPr>
      <w:bookmarkStart w:id="1126" w:name="_Toc393546435"/>
      <w:bookmarkEnd w:id="1126"/>
      <w:bookmarkStart w:id="1127" w:name="_Toc453057095"/>
      <w:bookmarkEnd w:id="1127"/>
      <w:bookmarkStart w:id="1128" w:name="_Toc330406376"/>
      <w:bookmarkEnd w:id="1128"/>
      <w:bookmarkStart w:id="1129" w:name="_Toc451261285"/>
      <w:bookmarkEnd w:id="1129"/>
      <w:bookmarkStart w:id="1130" w:name="_Toc43475909"/>
      <w:bookmarkEnd w:id="1130"/>
      <w:bookmarkStart w:id="1131" w:name="_Toc386467181"/>
      <w:bookmarkEnd w:id="1131"/>
      <w:r>
        <w:rPr>
          <w:rFonts w:hint="eastAsia" w:ascii="宋体" w:hAnsi="宋体" w:cs="宋体"/>
          <w:color w:val="auto"/>
          <w:sz w:val="24"/>
          <w:szCs w:val="24"/>
          <w:highlight w:val="none"/>
        </w:rPr>
        <w:t>1.6图纸和承包人文件</w:t>
      </w:r>
    </w:p>
    <w:p w14:paraId="07D0A6E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3347C09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6C0169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4BE826E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1.6.2承包人提供的文件</w:t>
      </w:r>
    </w:p>
    <w:p w14:paraId="180788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3E8ADC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729830D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（1）为使第1.6.1项所述的施工图纸适合于经现场测量后的纵、横断面；</w:t>
      </w:r>
    </w:p>
    <w:p w14:paraId="1F90FD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（2）为使第1.6.1项所述的施工图纸适合于现场具体地形；</w:t>
      </w:r>
    </w:p>
    <w:p w14:paraId="2CF43C9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（3）为使第1.6.1项所述的施工图纸适合于因尺寸与位置变化而引起局部变更；</w:t>
      </w:r>
    </w:p>
    <w:p w14:paraId="40D010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（4）由于合同要求与施工需要。</w:t>
      </w:r>
    </w:p>
    <w:p w14:paraId="6DD6F46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6F2F60C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1.6.4图纸的错误</w:t>
      </w:r>
    </w:p>
    <w:p w14:paraId="716B85B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149356C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2BE2EE86">
      <w:pPr>
        <w:pStyle w:val="3"/>
        <w:shd w:val="clear" w:fill="FFFFFF" w:themeFill="background1"/>
        <w:spacing w:before="156" w:beforeLines="50" w:line="400" w:lineRule="exact"/>
        <w:rPr>
          <w:rFonts w:ascii="宋体" w:hAnsi="宋体" w:cs="宋体"/>
          <w:color w:val="auto"/>
          <w:sz w:val="24"/>
          <w:szCs w:val="24"/>
          <w:highlight w:val="none"/>
        </w:rPr>
      </w:pPr>
      <w:bookmarkStart w:id="1132" w:name="_Toc393546436"/>
      <w:bookmarkEnd w:id="1132"/>
      <w:bookmarkStart w:id="1133" w:name="_Toc386467182"/>
      <w:bookmarkEnd w:id="1133"/>
      <w:bookmarkStart w:id="1134" w:name="_Toc453057096"/>
      <w:bookmarkEnd w:id="1134"/>
      <w:bookmarkStart w:id="1135" w:name="_Toc330406377"/>
      <w:bookmarkEnd w:id="1135"/>
      <w:bookmarkStart w:id="1136" w:name="_Toc451261286"/>
      <w:bookmarkEnd w:id="1136"/>
      <w:bookmarkStart w:id="1137" w:name="_Toc43475910"/>
      <w:bookmarkEnd w:id="1137"/>
      <w:r>
        <w:rPr>
          <w:rFonts w:hint="eastAsia" w:ascii="宋体" w:hAnsi="宋体" w:cs="宋体"/>
          <w:color w:val="auto"/>
          <w:sz w:val="24"/>
          <w:szCs w:val="24"/>
          <w:highlight w:val="none"/>
        </w:rPr>
        <w:t>1.9严禁贿赂</w:t>
      </w:r>
    </w:p>
    <w:p w14:paraId="5272DBA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44235B8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69981E3B">
      <w:pPr>
        <w:pStyle w:val="3"/>
        <w:shd w:val="clear" w:fill="FFFFFF" w:themeFill="background1"/>
        <w:spacing w:before="156" w:beforeLines="50" w:line="400" w:lineRule="exact"/>
        <w:rPr>
          <w:rFonts w:ascii="宋体" w:hAnsi="宋体" w:cs="宋体"/>
          <w:color w:val="auto"/>
          <w:sz w:val="28"/>
          <w:szCs w:val="28"/>
          <w:highlight w:val="none"/>
        </w:rPr>
      </w:pPr>
      <w:bookmarkStart w:id="1138" w:name="_Toc330406378"/>
      <w:bookmarkEnd w:id="1138"/>
      <w:bookmarkStart w:id="1139" w:name="_Toc393546437"/>
      <w:bookmarkEnd w:id="1139"/>
      <w:bookmarkStart w:id="1140" w:name="_Toc453057097"/>
      <w:bookmarkEnd w:id="1140"/>
      <w:bookmarkStart w:id="1141" w:name="_Toc43475911"/>
      <w:bookmarkEnd w:id="1141"/>
      <w:bookmarkStart w:id="1142" w:name="_Toc451261287"/>
      <w:bookmarkEnd w:id="1142"/>
      <w:bookmarkStart w:id="1143" w:name="_Toc386467183"/>
      <w:bookmarkEnd w:id="1143"/>
      <w:r>
        <w:rPr>
          <w:rFonts w:hint="eastAsia" w:ascii="宋体" w:hAnsi="宋体" w:cs="宋体"/>
          <w:color w:val="auto"/>
          <w:sz w:val="28"/>
          <w:szCs w:val="28"/>
          <w:highlight w:val="none"/>
        </w:rPr>
        <w:t>2.发包人义务</w:t>
      </w:r>
    </w:p>
    <w:p w14:paraId="36D16F6A">
      <w:pPr>
        <w:pStyle w:val="3"/>
        <w:shd w:val="clear" w:fill="FFFFFF" w:themeFill="background1"/>
        <w:spacing w:before="156" w:beforeLines="50" w:line="400" w:lineRule="exact"/>
        <w:rPr>
          <w:rFonts w:ascii="宋体" w:hAnsi="宋体" w:cs="宋体"/>
          <w:color w:val="auto"/>
          <w:sz w:val="24"/>
          <w:szCs w:val="24"/>
          <w:highlight w:val="none"/>
        </w:rPr>
      </w:pPr>
      <w:bookmarkStart w:id="1144" w:name="_Toc393546438"/>
      <w:bookmarkEnd w:id="1144"/>
      <w:bookmarkStart w:id="1145" w:name="_Toc451261288"/>
      <w:bookmarkEnd w:id="1145"/>
      <w:bookmarkStart w:id="1146" w:name="_Toc453057098"/>
      <w:bookmarkEnd w:id="1146"/>
      <w:bookmarkStart w:id="1147" w:name="_Toc386467184"/>
      <w:bookmarkEnd w:id="1147"/>
      <w:bookmarkStart w:id="1148" w:name="_Toc330406379"/>
      <w:bookmarkEnd w:id="1148"/>
      <w:bookmarkStart w:id="1149" w:name="_Toc43475912"/>
      <w:bookmarkEnd w:id="1149"/>
      <w:r>
        <w:rPr>
          <w:rFonts w:hint="eastAsia" w:ascii="宋体" w:hAnsi="宋体" w:cs="宋体"/>
          <w:color w:val="auto"/>
          <w:sz w:val="24"/>
          <w:szCs w:val="24"/>
          <w:highlight w:val="none"/>
        </w:rPr>
        <w:t>2.3提供施工场地</w:t>
      </w:r>
    </w:p>
    <w:p w14:paraId="1F98323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58F8E50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3CFDDB0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33C9603A">
      <w:pPr>
        <w:pStyle w:val="3"/>
        <w:shd w:val="clear" w:fill="FFFFFF" w:themeFill="background1"/>
        <w:spacing w:before="156" w:beforeLines="50" w:line="400" w:lineRule="exact"/>
        <w:rPr>
          <w:rFonts w:ascii="宋体" w:hAnsi="宋体" w:cs="宋体"/>
          <w:color w:val="auto"/>
          <w:sz w:val="28"/>
          <w:szCs w:val="28"/>
          <w:highlight w:val="none"/>
        </w:rPr>
      </w:pPr>
      <w:bookmarkStart w:id="1150" w:name="_Toc330406380"/>
      <w:bookmarkEnd w:id="1150"/>
      <w:bookmarkStart w:id="1151" w:name="_Toc393546439"/>
      <w:bookmarkEnd w:id="1151"/>
      <w:bookmarkStart w:id="1152" w:name="_Toc453057099"/>
      <w:bookmarkEnd w:id="1152"/>
      <w:bookmarkStart w:id="1153" w:name="_Toc43475913"/>
      <w:bookmarkEnd w:id="1153"/>
      <w:bookmarkStart w:id="1154" w:name="_Toc451261289"/>
      <w:bookmarkEnd w:id="1154"/>
      <w:bookmarkStart w:id="1155" w:name="_Toc386467185"/>
      <w:bookmarkEnd w:id="1155"/>
      <w:r>
        <w:rPr>
          <w:rFonts w:hint="eastAsia" w:ascii="宋体" w:hAnsi="宋体" w:cs="宋体"/>
          <w:color w:val="auto"/>
          <w:sz w:val="28"/>
          <w:szCs w:val="28"/>
          <w:highlight w:val="none"/>
        </w:rPr>
        <w:t>3.监理人</w:t>
      </w:r>
    </w:p>
    <w:p w14:paraId="08231D3F">
      <w:pPr>
        <w:pStyle w:val="3"/>
        <w:shd w:val="clear" w:fill="FFFFFF" w:themeFill="background1"/>
        <w:spacing w:before="156" w:beforeLines="50" w:line="400" w:lineRule="exact"/>
        <w:rPr>
          <w:rFonts w:ascii="宋体" w:hAnsi="宋体" w:cs="宋体"/>
          <w:color w:val="auto"/>
          <w:sz w:val="24"/>
          <w:szCs w:val="24"/>
          <w:highlight w:val="none"/>
        </w:rPr>
      </w:pPr>
      <w:bookmarkStart w:id="1156" w:name="_Toc393546440"/>
      <w:bookmarkEnd w:id="1156"/>
      <w:bookmarkStart w:id="1157" w:name="_Toc453057100"/>
      <w:bookmarkEnd w:id="1157"/>
      <w:bookmarkStart w:id="1158" w:name="_Toc451261290"/>
      <w:bookmarkEnd w:id="1158"/>
      <w:bookmarkStart w:id="1159" w:name="_Toc43475914"/>
      <w:bookmarkEnd w:id="1159"/>
      <w:bookmarkStart w:id="1160" w:name="_Toc386467186"/>
      <w:bookmarkEnd w:id="1160"/>
      <w:bookmarkStart w:id="1161" w:name="_Toc330406381"/>
      <w:bookmarkEnd w:id="1161"/>
      <w:r>
        <w:rPr>
          <w:rFonts w:hint="eastAsia" w:ascii="宋体" w:hAnsi="宋体" w:cs="宋体"/>
          <w:color w:val="auto"/>
          <w:sz w:val="24"/>
          <w:szCs w:val="24"/>
          <w:highlight w:val="none"/>
        </w:rPr>
        <w:t>3.1监理人的职责和权力</w:t>
      </w:r>
    </w:p>
    <w:p w14:paraId="592C53B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第3.1.1项补充：</w:t>
      </w:r>
    </w:p>
    <w:p w14:paraId="7FA20AC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监理人在行使下列权力前需要经发包人事先批准：</w:t>
      </w:r>
    </w:p>
    <w:p w14:paraId="4BFEC2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（1）根据第4.3款，同意分包</w:t>
      </w:r>
      <w:r>
        <w:rPr>
          <w:rFonts w:hint="eastAsia" w:ascii="宋体" w:hAnsi="宋体" w:cs="宋体"/>
          <w:color w:val="auto"/>
          <w:highlight w:val="none"/>
        </w:rPr>
        <w:t>本工程的某些非关键性工作或者适合专业化队伍施工的专项工程</w:t>
      </w:r>
      <w:r>
        <w:rPr>
          <w:rFonts w:hint="eastAsia" w:ascii="宋体" w:hAnsi="宋体" w:cs="宋体"/>
          <w:color w:val="auto"/>
          <w:sz w:val="24"/>
          <w:highlight w:val="none"/>
        </w:rPr>
        <w:t>；</w:t>
      </w:r>
    </w:p>
    <w:p w14:paraId="0985EC3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（2）确定第4.11款下产生的费用增加额；</w:t>
      </w:r>
    </w:p>
    <w:p w14:paraId="5B40A45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（3）根据第11.1款、第12.3款、第12.4款发布开工通知、暂停施工指示或复工通知；</w:t>
      </w:r>
    </w:p>
    <w:p w14:paraId="0678F26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（4）决定第11.3款、第11.4款下的工期延长；</w:t>
      </w:r>
    </w:p>
    <w:p w14:paraId="2CB446D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（5）审查批准技术方案设计的变更；</w:t>
      </w:r>
    </w:p>
    <w:p w14:paraId="12E39B4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（6）根据第15.3款发出的变更指令，其单项工程变更或累计变更涉及的金额超过了项目专用合同条款数据表中规定的金额；</w:t>
      </w:r>
    </w:p>
    <w:p w14:paraId="592DC3A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（7）确定第15.4款下变更工作的单价；</w:t>
      </w:r>
    </w:p>
    <w:p w14:paraId="1B25E26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（8）按照第15.6款决定有关暂列金额的使用；</w:t>
      </w:r>
    </w:p>
    <w:p w14:paraId="15359E7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（9）确定第15.8款项下的暂估价金额；</w:t>
      </w:r>
    </w:p>
    <w:p w14:paraId="271A7C2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（10）确定第23.1款项下的索赔额。</w:t>
      </w:r>
    </w:p>
    <w:p w14:paraId="2E0CF85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309C4705">
      <w:pPr>
        <w:pStyle w:val="3"/>
        <w:shd w:val="clear" w:fill="FFFFFF" w:themeFill="background1"/>
        <w:spacing w:before="156" w:beforeLines="50" w:line="400" w:lineRule="exact"/>
        <w:rPr>
          <w:rFonts w:ascii="宋体" w:hAnsi="宋体" w:cs="宋体"/>
          <w:color w:val="auto"/>
          <w:sz w:val="24"/>
          <w:szCs w:val="24"/>
          <w:highlight w:val="none"/>
        </w:rPr>
      </w:pPr>
      <w:bookmarkStart w:id="1162" w:name="_Toc393546441"/>
      <w:bookmarkEnd w:id="1162"/>
      <w:bookmarkStart w:id="1163" w:name="_Toc451261291"/>
      <w:bookmarkEnd w:id="1163"/>
      <w:bookmarkStart w:id="1164" w:name="_Toc453057101"/>
      <w:bookmarkEnd w:id="1164"/>
      <w:bookmarkStart w:id="1165" w:name="_Toc43475915"/>
      <w:bookmarkEnd w:id="1165"/>
      <w:bookmarkStart w:id="1166" w:name="_Toc330406382"/>
      <w:bookmarkEnd w:id="1166"/>
      <w:bookmarkStart w:id="1167" w:name="_Toc386467187"/>
      <w:bookmarkEnd w:id="1167"/>
      <w:r>
        <w:rPr>
          <w:rFonts w:hint="eastAsia" w:ascii="宋体" w:hAnsi="宋体" w:cs="宋体"/>
          <w:color w:val="auto"/>
          <w:sz w:val="24"/>
          <w:szCs w:val="24"/>
          <w:highlight w:val="none"/>
        </w:rPr>
        <w:t>3.5商定或确定</w:t>
      </w:r>
    </w:p>
    <w:p w14:paraId="1F055DA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第3.5.1 项补充：</w:t>
      </w:r>
    </w:p>
    <w:p w14:paraId="4672DA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如果这项商定或确定导致费用增加和（或）工期延长，或者涉及确定变更工程的价格，则总监理工程师在发出通知前，应征得发包人的同意。</w:t>
      </w:r>
    </w:p>
    <w:p w14:paraId="706EDFE6">
      <w:pPr>
        <w:pStyle w:val="3"/>
        <w:shd w:val="clear" w:fill="FFFFFF" w:themeFill="background1"/>
        <w:spacing w:before="156" w:beforeLines="50" w:line="400" w:lineRule="exact"/>
        <w:rPr>
          <w:rFonts w:ascii="宋体" w:hAnsi="宋体" w:cs="宋体"/>
          <w:color w:val="auto"/>
          <w:sz w:val="28"/>
          <w:szCs w:val="28"/>
          <w:highlight w:val="none"/>
        </w:rPr>
      </w:pPr>
      <w:bookmarkStart w:id="1168" w:name="_Toc451261292"/>
      <w:bookmarkEnd w:id="1168"/>
      <w:bookmarkStart w:id="1169" w:name="_Toc330406383"/>
      <w:bookmarkEnd w:id="1169"/>
      <w:bookmarkStart w:id="1170" w:name="_Toc393546442"/>
      <w:bookmarkEnd w:id="1170"/>
      <w:bookmarkStart w:id="1171" w:name="_Toc453057102"/>
      <w:bookmarkEnd w:id="1171"/>
      <w:bookmarkStart w:id="1172" w:name="_Toc43475916"/>
      <w:bookmarkEnd w:id="1172"/>
      <w:bookmarkStart w:id="1173" w:name="_Toc386467188"/>
      <w:bookmarkEnd w:id="1173"/>
      <w:r>
        <w:rPr>
          <w:rFonts w:hint="eastAsia" w:ascii="宋体" w:hAnsi="宋体" w:cs="宋体"/>
          <w:color w:val="auto"/>
          <w:sz w:val="28"/>
          <w:szCs w:val="28"/>
          <w:highlight w:val="none"/>
        </w:rPr>
        <w:t>4.承包人</w:t>
      </w:r>
    </w:p>
    <w:p w14:paraId="095B06D3">
      <w:pPr>
        <w:pStyle w:val="3"/>
        <w:shd w:val="clear" w:fill="FFFFFF" w:themeFill="background1"/>
        <w:spacing w:before="156" w:beforeLines="50" w:line="400" w:lineRule="exact"/>
        <w:rPr>
          <w:rFonts w:ascii="宋体" w:hAnsi="宋体" w:cs="宋体"/>
          <w:color w:val="auto"/>
          <w:sz w:val="24"/>
          <w:szCs w:val="24"/>
          <w:highlight w:val="none"/>
        </w:rPr>
      </w:pPr>
      <w:bookmarkStart w:id="1174" w:name="_Toc453057103"/>
      <w:bookmarkEnd w:id="1174"/>
      <w:bookmarkStart w:id="1175" w:name="_Toc386467189"/>
      <w:bookmarkEnd w:id="1175"/>
      <w:bookmarkStart w:id="1176" w:name="_Toc43475917"/>
      <w:bookmarkEnd w:id="1176"/>
      <w:bookmarkStart w:id="1177" w:name="_Toc393546443"/>
      <w:bookmarkEnd w:id="1177"/>
      <w:bookmarkStart w:id="1178" w:name="_Toc330406384"/>
      <w:bookmarkEnd w:id="1178"/>
      <w:bookmarkStart w:id="1179" w:name="_Toc451261293"/>
      <w:bookmarkEnd w:id="1179"/>
      <w:r>
        <w:rPr>
          <w:rFonts w:hint="eastAsia" w:ascii="宋体" w:hAnsi="宋体" w:cs="宋体"/>
          <w:color w:val="auto"/>
          <w:sz w:val="24"/>
          <w:szCs w:val="24"/>
          <w:highlight w:val="none"/>
        </w:rPr>
        <w:t>4.1承包工的一般义务</w:t>
      </w:r>
    </w:p>
    <w:p w14:paraId="6B871DF0">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4.1.9工程的维护和照管</w:t>
      </w:r>
    </w:p>
    <w:p w14:paraId="4E9502E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73BED3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0AA177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6CBDE282">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4.1.10其他义务</w:t>
      </w:r>
    </w:p>
    <w:p w14:paraId="7D04BD4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1BECAED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（1）临时占地由承包人向当地政府土地管理部门申请，并办理租用手续，承包人按有关规定直接支付其费用，发包人对此将予以协调。</w:t>
      </w:r>
    </w:p>
    <w:p w14:paraId="37847A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4F8CA6A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1A8B683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7DC8F5C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w:t>
      </w:r>
    </w:p>
    <w:p w14:paraId="1A85356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360B960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工资支付表应如实记录支付单位、支付时间、支付对象、支付数额、支付对象的身份证号和签字等信息。民工花名册和工资支付表应报监理人备查。</w:t>
      </w:r>
    </w:p>
    <w:p w14:paraId="121611C9">
      <w:pPr>
        <w:numPr>
          <w:ilvl w:val="0"/>
          <w:numId w:val="16"/>
        </w:num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14:paraId="55F20A4E">
      <w:pPr>
        <w:numPr>
          <w:ilvl w:val="0"/>
          <w:numId w:val="16"/>
        </w:num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承包人应严格执行招标文件技术规范对施工标准化提出的具体要求，结合 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培训，改善职工生产生活条件，与此相关的费用承包人应列入工程量清单100章中。</w:t>
      </w:r>
    </w:p>
    <w:p w14:paraId="516024D5">
      <w:pPr>
        <w:numPr>
          <w:ilvl w:val="0"/>
          <w:numId w:val="16"/>
        </w:num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承包人应履行项目专用合同条款约定的其他义务。</w:t>
      </w:r>
    </w:p>
    <w:p w14:paraId="4B5F92BE">
      <w:pPr>
        <w:pStyle w:val="3"/>
        <w:shd w:val="clear" w:fill="FFFFFF" w:themeFill="background1"/>
        <w:spacing w:before="156" w:beforeLines="50" w:line="400" w:lineRule="exact"/>
        <w:rPr>
          <w:rFonts w:ascii="宋体" w:hAnsi="宋体" w:cs="宋体"/>
          <w:color w:val="auto"/>
          <w:sz w:val="24"/>
          <w:szCs w:val="24"/>
          <w:highlight w:val="none"/>
        </w:rPr>
      </w:pPr>
      <w:bookmarkStart w:id="1180" w:name="_Toc43475918"/>
      <w:bookmarkEnd w:id="1180"/>
      <w:r>
        <w:rPr>
          <w:rFonts w:hint="eastAsia" w:ascii="宋体" w:hAnsi="宋体" w:cs="宋体"/>
          <w:color w:val="auto"/>
          <w:sz w:val="24"/>
          <w:szCs w:val="24"/>
          <w:highlight w:val="none"/>
        </w:rPr>
        <w:t>4.2</w:t>
      </w:r>
      <w:r>
        <w:rPr>
          <w:rFonts w:hint="eastAsia" w:ascii="宋体" w:hAnsi="宋体" w:cs="宋体"/>
          <w:color w:val="auto"/>
          <w:sz w:val="24"/>
          <w:szCs w:val="24"/>
          <w:highlight w:val="none"/>
          <w:lang w:val="zh-CN"/>
        </w:rPr>
        <w:t>履约保证金</w:t>
      </w:r>
    </w:p>
    <w:p w14:paraId="4764C8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本款细化为：</w:t>
      </w:r>
    </w:p>
    <w:p w14:paraId="2DA3BB5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承包人应保证其履约保证金在发包人签发交工验收证书且承包人按照合同约定 缴纳质量保证金前一直有效。发包人应在收到承包人缴纳的质量保证金后28天内把 履约保证金退还给承包人。</w:t>
      </w:r>
    </w:p>
    <w:p w14:paraId="15A685C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承包人拒绝按照本合同约定缴纳质量保证金的，发包人有权从竣工付款证书中 扣留相应金额作为质量保证金，或者直接将履约保证金金额用于保证承包人在缺陷 责任期内履行缺陷修复义务。</w:t>
      </w:r>
    </w:p>
    <w:p w14:paraId="3D7937A2">
      <w:pPr>
        <w:pStyle w:val="3"/>
        <w:shd w:val="clear" w:fill="FFFFFF" w:themeFill="background1"/>
        <w:spacing w:before="156" w:beforeLines="50" w:line="400" w:lineRule="exact"/>
        <w:rPr>
          <w:rFonts w:ascii="宋体" w:hAnsi="宋体" w:cs="宋体"/>
          <w:color w:val="auto"/>
          <w:sz w:val="24"/>
          <w:szCs w:val="24"/>
          <w:highlight w:val="none"/>
        </w:rPr>
      </w:pPr>
      <w:bookmarkStart w:id="1181" w:name="_Toc453057104"/>
      <w:bookmarkEnd w:id="1181"/>
      <w:bookmarkStart w:id="1182" w:name="_Toc43475919"/>
      <w:bookmarkEnd w:id="1182"/>
      <w:bookmarkStart w:id="1183" w:name="_Toc386467190"/>
      <w:bookmarkEnd w:id="1183"/>
      <w:bookmarkStart w:id="1184" w:name="_Toc330406385"/>
      <w:bookmarkEnd w:id="1184"/>
      <w:bookmarkStart w:id="1185" w:name="_Toc451261294"/>
      <w:bookmarkEnd w:id="1185"/>
      <w:bookmarkStart w:id="1186" w:name="_Toc393546444"/>
      <w:bookmarkEnd w:id="1186"/>
      <w:r>
        <w:rPr>
          <w:rFonts w:hint="eastAsia" w:ascii="宋体" w:hAnsi="宋体" w:cs="宋体"/>
          <w:color w:val="auto"/>
          <w:sz w:val="24"/>
          <w:szCs w:val="24"/>
          <w:highlight w:val="none"/>
        </w:rPr>
        <w:t>4.3 分包</w:t>
      </w:r>
    </w:p>
    <w:p w14:paraId="1F45C2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第4.3.2项～第4.3.4项细化为：</w:t>
      </w:r>
    </w:p>
    <w:p w14:paraId="1162E0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承包人不得将4关键性工作分包给第三人。经发包人同意，承包人可将工程的其他部分或工作分包给第三人。分包包括专业分包和劳务分包。</w:t>
      </w:r>
    </w:p>
    <w:p w14:paraId="32CED03A">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4.3.3专业分包</w:t>
      </w:r>
    </w:p>
    <w:p w14:paraId="6D34BE7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在工程施工过程中，承包人进行专业分包必须遵守以下规定：</w:t>
      </w:r>
    </w:p>
    <w:p w14:paraId="1FD5785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允许专业分包的工程范围仅限于非关键性工程或者适合专业化队伍施工的 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030DB115">
      <w:pPr>
        <w:shd w:val="clear" w:fill="FFFFFF" w:themeFill="background1"/>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专业分包人的资格能力(含安全生产能力)应与其分包工程的标准和规模 相适应，且应当具备如下条件：</w:t>
      </w:r>
    </w:p>
    <w:p w14:paraId="02D06E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w:t>
      </w:r>
      <w:r>
        <w:rPr>
          <w:rFonts w:hint="eastAsia" w:ascii="宋体" w:hAnsi="宋体" w:cs="宋体"/>
          <w:color w:val="auto"/>
          <w:sz w:val="24"/>
          <w:highlight w:val="none"/>
          <w:lang w:val="zh-CN"/>
        </w:rPr>
        <w:t>具有经工商登记的法人资格；</w:t>
      </w:r>
    </w:p>
    <w:p w14:paraId="5428AAA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w:t>
      </w:r>
      <w:r>
        <w:rPr>
          <w:rFonts w:hint="eastAsia" w:ascii="宋体" w:hAnsi="宋体" w:cs="宋体"/>
          <w:color w:val="auto"/>
          <w:sz w:val="24"/>
          <w:highlight w:val="none"/>
          <w:lang w:val="zh-CN"/>
        </w:rPr>
        <w:t>具有从事类似工程经验的管理与技术人员；</w:t>
      </w:r>
    </w:p>
    <w:p w14:paraId="493C244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hint="eastAsia" w:ascii="宋体" w:hAnsi="宋体" w:cs="宋体"/>
          <w:color w:val="auto"/>
          <w:sz w:val="24"/>
          <w:highlight w:val="none"/>
          <w:lang w:val="zh-CN"/>
        </w:rPr>
        <w:t>具有(自有或租赁)分包工程所需的施工设备。</w:t>
      </w:r>
    </w:p>
    <w:p w14:paraId="78A1AB0A">
      <w:pPr>
        <w:shd w:val="clear" w:fill="FFFFFF" w:themeFill="background1"/>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承包人应向监理人提交专业分包人的资格能力证明材料，经监理人审查并报发 包人批准后，可以将相应专业工程分包给该专业分包人。</w:t>
      </w:r>
    </w:p>
    <w:p w14:paraId="283AA03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（3）专业分工程不得再次分包。</w:t>
      </w:r>
    </w:p>
    <w:p w14:paraId="229146C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承包人和专业分包人应当按照交通运输主管部门制定的统一格式依法签订 专业分包合同，并履行合同约定的义务。专业分包合同必须遵循承包合同的各项原 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394B1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专业分包人应当设立项目管理机构，对所分包工程的施工活动实施管理。 项目管理机构应当具有与分包工程的规模、技术复杂程度相适应的技术、经济管理人员，其中项目负责人和技术、财务、计量、质量、安全等主要管理人员必须是专业分包人本单位人员。</w:t>
      </w:r>
    </w:p>
    <w:p w14:paraId="6B3E975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承包人应当建立健全相关分包管理制度和台账，对专业分包工程的质量、 安全、进度和专业分包人的行为等实施全过程管理，按照本办法规定和合同约定对专业分包工程的实施向发包人负责，并承担赔偿责任。专业分包合同不免除承包合同中规定的承包人的责任或者义务。</w:t>
      </w:r>
    </w:p>
    <w:p w14:paraId="5F21B96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49829BA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5F212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违反上述规定之一者属违规分包。</w:t>
      </w:r>
    </w:p>
    <w:p w14:paraId="7659082B">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4.3.4劳务分包</w:t>
      </w:r>
    </w:p>
    <w:p w14:paraId="5EC34AA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在工程施工过程中，承包人进行劳务分包必须遵守以下规定：</w:t>
      </w:r>
    </w:p>
    <w:p w14:paraId="1239917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（1）劳务分包人应具有劳务分包资质。</w:t>
      </w:r>
    </w:p>
    <w:p w14:paraId="0302028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4AD3B76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1FD57E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（4）承包人应当对劳务分包人员进行安全培训和管理，劳务分包人不得将其分包的劳务作业再次分包。</w:t>
      </w:r>
    </w:p>
    <w:p w14:paraId="208E41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违反上述规定之一者属违规分包。</w:t>
      </w:r>
    </w:p>
    <w:p w14:paraId="15B733E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本款补充第4.3.6项：</w:t>
      </w:r>
    </w:p>
    <w:p w14:paraId="0F1504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4.3.6、发包人对承包人与分包人之间的法律与经济纠纷不承担任何责任和义务。</w:t>
      </w:r>
    </w:p>
    <w:p w14:paraId="6DF8AE8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4.3.7、本项目的各项分包工作均应遵守《公路工程施工分包管理办法》的有关规定。</w:t>
      </w:r>
    </w:p>
    <w:p w14:paraId="283ACE27">
      <w:pPr>
        <w:pStyle w:val="3"/>
        <w:shd w:val="clear" w:fill="FFFFFF" w:themeFill="background1"/>
        <w:spacing w:before="156" w:beforeLines="50" w:line="400" w:lineRule="exact"/>
        <w:rPr>
          <w:rFonts w:ascii="宋体" w:hAnsi="宋体" w:cs="宋体"/>
          <w:color w:val="auto"/>
          <w:sz w:val="24"/>
          <w:szCs w:val="24"/>
          <w:highlight w:val="none"/>
        </w:rPr>
      </w:pPr>
      <w:bookmarkStart w:id="1187" w:name="_Toc330406386"/>
      <w:bookmarkEnd w:id="1187"/>
      <w:bookmarkStart w:id="1188" w:name="_Toc453057105"/>
      <w:bookmarkEnd w:id="1188"/>
      <w:bookmarkStart w:id="1189" w:name="_Toc43475920"/>
      <w:bookmarkEnd w:id="1189"/>
      <w:bookmarkStart w:id="1190" w:name="_Toc393546445"/>
      <w:bookmarkEnd w:id="1190"/>
      <w:bookmarkStart w:id="1191" w:name="_Toc451261295"/>
      <w:bookmarkEnd w:id="1191"/>
      <w:bookmarkStart w:id="1192" w:name="_Toc386467191"/>
      <w:bookmarkEnd w:id="1192"/>
      <w:r>
        <w:rPr>
          <w:rFonts w:hint="eastAsia" w:ascii="宋体" w:hAnsi="宋体" w:cs="宋体"/>
          <w:color w:val="auto"/>
          <w:sz w:val="24"/>
          <w:szCs w:val="24"/>
          <w:highlight w:val="none"/>
        </w:rPr>
        <w:t>4.4联合体</w:t>
      </w:r>
    </w:p>
    <w:p w14:paraId="63E5A44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本款增加第4.4.4项：</w:t>
      </w:r>
    </w:p>
    <w:p w14:paraId="4C31793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4.4.4未经发包人事先同意，联合体的组成与结构不得变动。</w:t>
      </w:r>
    </w:p>
    <w:p w14:paraId="3A7EB436">
      <w:pPr>
        <w:pStyle w:val="3"/>
        <w:shd w:val="clear" w:fill="FFFFFF" w:themeFill="background1"/>
        <w:spacing w:before="156" w:beforeLines="50" w:line="400" w:lineRule="exact"/>
        <w:rPr>
          <w:rFonts w:ascii="宋体" w:hAnsi="宋体" w:cs="宋体"/>
          <w:color w:val="auto"/>
          <w:sz w:val="24"/>
          <w:szCs w:val="24"/>
          <w:highlight w:val="none"/>
        </w:rPr>
      </w:pPr>
      <w:bookmarkStart w:id="1193" w:name="_Toc330406387"/>
      <w:bookmarkEnd w:id="1193"/>
      <w:bookmarkStart w:id="1194" w:name="_Toc453057106"/>
      <w:bookmarkEnd w:id="1194"/>
      <w:bookmarkStart w:id="1195" w:name="_Toc43475921"/>
      <w:bookmarkEnd w:id="1195"/>
      <w:bookmarkStart w:id="1196" w:name="_Toc393546446"/>
      <w:bookmarkEnd w:id="1196"/>
      <w:bookmarkStart w:id="1197" w:name="_Toc386467192"/>
      <w:bookmarkEnd w:id="1197"/>
      <w:bookmarkStart w:id="1198" w:name="_Toc451261296"/>
      <w:bookmarkEnd w:id="1198"/>
      <w:r>
        <w:rPr>
          <w:rFonts w:hint="eastAsia" w:ascii="宋体" w:hAnsi="宋体" w:cs="宋体"/>
          <w:color w:val="auto"/>
          <w:sz w:val="24"/>
          <w:szCs w:val="24"/>
          <w:highlight w:val="none"/>
        </w:rPr>
        <w:t>4.6承包人人员的管理</w:t>
      </w:r>
    </w:p>
    <w:p w14:paraId="762B653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第4.6.3项细化为：</w:t>
      </w:r>
    </w:p>
    <w:p w14:paraId="7489970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6707C27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本款补充第4.6.5项：</w:t>
      </w:r>
    </w:p>
    <w:p w14:paraId="5051AC0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54C11E0C">
      <w:pPr>
        <w:pStyle w:val="3"/>
        <w:shd w:val="clear" w:fill="FFFFFF" w:themeFill="background1"/>
        <w:spacing w:before="156" w:beforeLines="50" w:line="400" w:lineRule="exact"/>
        <w:rPr>
          <w:rFonts w:ascii="宋体" w:hAnsi="宋体" w:cs="宋体"/>
          <w:color w:val="auto"/>
          <w:sz w:val="24"/>
          <w:szCs w:val="24"/>
          <w:highlight w:val="none"/>
        </w:rPr>
      </w:pPr>
      <w:bookmarkStart w:id="1199" w:name="_Toc330406388"/>
      <w:bookmarkEnd w:id="1199"/>
      <w:bookmarkStart w:id="1200" w:name="_Toc451261297"/>
      <w:bookmarkEnd w:id="1200"/>
      <w:bookmarkStart w:id="1201" w:name="_Toc386467193"/>
      <w:bookmarkEnd w:id="1201"/>
      <w:bookmarkStart w:id="1202" w:name="_Toc453057107"/>
      <w:bookmarkEnd w:id="1202"/>
      <w:bookmarkStart w:id="1203" w:name="_Toc43475922"/>
      <w:bookmarkEnd w:id="1203"/>
      <w:bookmarkStart w:id="1204" w:name="_Toc393546447"/>
      <w:bookmarkEnd w:id="1204"/>
      <w:r>
        <w:rPr>
          <w:rFonts w:hint="eastAsia" w:ascii="宋体" w:hAnsi="宋体" w:cs="宋体"/>
          <w:color w:val="auto"/>
          <w:sz w:val="24"/>
          <w:szCs w:val="24"/>
          <w:highlight w:val="none"/>
        </w:rPr>
        <w:t>4.7撤换承包人项目经理和其他人员</w:t>
      </w:r>
    </w:p>
    <w:p w14:paraId="68B6069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7B057D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120087D3">
      <w:pPr>
        <w:pStyle w:val="3"/>
        <w:shd w:val="clear" w:fill="FFFFFF" w:themeFill="background1"/>
        <w:spacing w:before="156" w:beforeLines="50" w:line="400" w:lineRule="exact"/>
        <w:rPr>
          <w:rFonts w:ascii="宋体" w:hAnsi="宋体" w:cs="宋体"/>
          <w:color w:val="auto"/>
          <w:sz w:val="24"/>
          <w:szCs w:val="24"/>
          <w:highlight w:val="none"/>
        </w:rPr>
      </w:pPr>
      <w:bookmarkStart w:id="1205" w:name="_Toc451261298"/>
      <w:bookmarkEnd w:id="1205"/>
      <w:bookmarkStart w:id="1206" w:name="_Toc393546448"/>
      <w:bookmarkEnd w:id="1206"/>
      <w:bookmarkStart w:id="1207" w:name="_Toc330406389"/>
      <w:bookmarkEnd w:id="1207"/>
      <w:bookmarkStart w:id="1208" w:name="_Toc386467194"/>
      <w:bookmarkEnd w:id="1208"/>
      <w:bookmarkStart w:id="1209" w:name="_Toc453057108"/>
      <w:bookmarkEnd w:id="1209"/>
      <w:bookmarkStart w:id="1210" w:name="_Toc43475923"/>
      <w:bookmarkEnd w:id="1210"/>
      <w:r>
        <w:rPr>
          <w:rFonts w:hint="eastAsia" w:ascii="宋体" w:hAnsi="宋体" w:cs="宋体"/>
          <w:color w:val="auto"/>
          <w:sz w:val="24"/>
          <w:szCs w:val="24"/>
          <w:highlight w:val="none"/>
        </w:rPr>
        <w:t>4.9工程价款应专款专用</w:t>
      </w:r>
    </w:p>
    <w:p w14:paraId="5612D59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798EF32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7E70A871">
      <w:pPr>
        <w:pStyle w:val="3"/>
        <w:shd w:val="clear" w:fill="FFFFFF" w:themeFill="background1"/>
        <w:spacing w:before="156" w:beforeLines="50" w:line="400" w:lineRule="exact"/>
        <w:rPr>
          <w:rFonts w:ascii="宋体" w:hAnsi="宋体" w:cs="宋体"/>
          <w:color w:val="auto"/>
          <w:sz w:val="24"/>
          <w:szCs w:val="24"/>
          <w:highlight w:val="none"/>
        </w:rPr>
      </w:pPr>
      <w:bookmarkStart w:id="1211" w:name="_Toc43475924"/>
      <w:bookmarkEnd w:id="1211"/>
      <w:bookmarkStart w:id="1212" w:name="_Toc386467195"/>
      <w:bookmarkEnd w:id="1212"/>
      <w:bookmarkStart w:id="1213" w:name="_Toc453057109"/>
      <w:bookmarkEnd w:id="1213"/>
      <w:bookmarkStart w:id="1214" w:name="_Toc393546449"/>
      <w:bookmarkEnd w:id="1214"/>
      <w:bookmarkStart w:id="1215" w:name="_Toc451261299"/>
      <w:bookmarkEnd w:id="1215"/>
      <w:bookmarkStart w:id="1216" w:name="_Toc330406390"/>
      <w:bookmarkEnd w:id="1216"/>
      <w:r>
        <w:rPr>
          <w:rFonts w:hint="eastAsia" w:ascii="宋体" w:hAnsi="宋体" w:cs="宋体"/>
          <w:color w:val="auto"/>
          <w:sz w:val="24"/>
          <w:szCs w:val="24"/>
          <w:highlight w:val="none"/>
        </w:rPr>
        <w:t>4.10承包人现场查勘</w:t>
      </w:r>
    </w:p>
    <w:p w14:paraId="7A1A1A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第4.10.1项细化为：</w:t>
      </w:r>
    </w:p>
    <w:p w14:paraId="480A24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553A0A20">
      <w:pPr>
        <w:pStyle w:val="3"/>
        <w:shd w:val="clear" w:fill="FFFFFF" w:themeFill="background1"/>
        <w:spacing w:before="156" w:beforeLines="50" w:line="400" w:lineRule="exact"/>
        <w:rPr>
          <w:rFonts w:ascii="宋体" w:hAnsi="宋体" w:cs="宋体"/>
          <w:color w:val="auto"/>
          <w:sz w:val="24"/>
          <w:szCs w:val="24"/>
          <w:highlight w:val="none"/>
        </w:rPr>
      </w:pPr>
      <w:bookmarkStart w:id="1217" w:name="_Toc451261300"/>
      <w:bookmarkEnd w:id="1217"/>
      <w:bookmarkStart w:id="1218" w:name="_Toc386467196"/>
      <w:bookmarkEnd w:id="1218"/>
      <w:bookmarkStart w:id="1219" w:name="_Toc453057110"/>
      <w:bookmarkEnd w:id="1219"/>
      <w:bookmarkStart w:id="1220" w:name="_Toc393546450"/>
      <w:bookmarkEnd w:id="1220"/>
      <w:bookmarkStart w:id="1221" w:name="_Toc43475925"/>
      <w:bookmarkEnd w:id="1221"/>
      <w:bookmarkStart w:id="1222" w:name="_Toc330406391"/>
      <w:bookmarkEnd w:id="1222"/>
      <w:r>
        <w:rPr>
          <w:rFonts w:hint="eastAsia" w:ascii="宋体" w:hAnsi="宋体" w:cs="宋体"/>
          <w:color w:val="auto"/>
          <w:sz w:val="24"/>
          <w:szCs w:val="24"/>
          <w:highlight w:val="none"/>
        </w:rPr>
        <w:t>4.11不利物质条件</w:t>
      </w:r>
    </w:p>
    <w:p w14:paraId="1B3E503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第4.11.2项细化为：</w:t>
      </w:r>
    </w:p>
    <w:p w14:paraId="3C4CF1B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77D6A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本款补充第4.11.3项：</w:t>
      </w:r>
    </w:p>
    <w:p w14:paraId="11F3D46E">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4.11.3 可预见的不利物质条件</w:t>
      </w:r>
    </w:p>
    <w:p w14:paraId="0E1C1AD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0231CDD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547749E3">
      <w:pPr>
        <w:shd w:val="clear" w:fill="FFFFFF" w:themeFill="background1"/>
        <w:spacing w:line="400" w:lineRule="exact"/>
        <w:ind w:firstLine="480" w:firstLineChars="200"/>
        <w:rPr>
          <w:rFonts w:ascii="宋体" w:hAnsi="宋体" w:cs="宋体"/>
          <w:color w:val="auto"/>
          <w:sz w:val="24"/>
          <w:highlight w:val="none"/>
        </w:rPr>
      </w:pPr>
    </w:p>
    <w:p w14:paraId="10BEDCE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补充第4.12、</w:t>
      </w:r>
      <w:r>
        <w:rPr>
          <w:rFonts w:hint="eastAsia" w:ascii="宋体" w:hAnsi="宋体" w:cs="宋体"/>
          <w:color w:val="auto"/>
          <w:sz w:val="24"/>
          <w:highlight w:val="none"/>
        </w:rPr>
        <w:t>4.13</w:t>
      </w:r>
      <w:r>
        <w:rPr>
          <w:rFonts w:hint="eastAsia" w:ascii="宋体" w:hAnsi="宋体" w:cs="宋体"/>
          <w:color w:val="auto"/>
          <w:sz w:val="24"/>
          <w:highlight w:val="none"/>
          <w:lang w:val="zh-CN"/>
        </w:rPr>
        <w:t>款：</w:t>
      </w:r>
    </w:p>
    <w:p w14:paraId="73153C99">
      <w:pPr>
        <w:pStyle w:val="3"/>
        <w:shd w:val="clear" w:fill="FFFFFF" w:themeFill="background1"/>
        <w:spacing w:before="156" w:beforeLines="50" w:line="400" w:lineRule="exact"/>
        <w:rPr>
          <w:rFonts w:ascii="宋体" w:hAnsi="宋体" w:cs="宋体"/>
          <w:color w:val="auto"/>
          <w:sz w:val="24"/>
          <w:szCs w:val="24"/>
          <w:highlight w:val="none"/>
        </w:rPr>
      </w:pPr>
      <w:bookmarkStart w:id="1223" w:name="_Toc453057111"/>
      <w:bookmarkEnd w:id="1223"/>
      <w:bookmarkStart w:id="1224" w:name="_Toc451261301"/>
      <w:bookmarkEnd w:id="1224"/>
      <w:bookmarkStart w:id="1225" w:name="_Toc43475926"/>
      <w:bookmarkEnd w:id="1225"/>
      <w:bookmarkStart w:id="1226" w:name="_Toc393546451"/>
      <w:bookmarkEnd w:id="1226"/>
      <w:bookmarkStart w:id="1227" w:name="_Toc386467197"/>
      <w:bookmarkEnd w:id="1227"/>
      <w:bookmarkStart w:id="1228" w:name="_Toc330406392"/>
      <w:bookmarkEnd w:id="1228"/>
      <w:r>
        <w:rPr>
          <w:rFonts w:hint="eastAsia" w:ascii="宋体" w:hAnsi="宋体" w:cs="宋体"/>
          <w:color w:val="auto"/>
          <w:sz w:val="24"/>
          <w:szCs w:val="24"/>
          <w:highlight w:val="none"/>
        </w:rPr>
        <w:t>4.12投标文件的完备性</w:t>
      </w:r>
    </w:p>
    <w:p w14:paraId="571B7AA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5C1BA7F3">
      <w:pPr>
        <w:pStyle w:val="3"/>
        <w:shd w:val="clear" w:fill="FFFFFF" w:themeFill="background1"/>
        <w:spacing w:before="156" w:beforeLines="50" w:line="400" w:lineRule="exact"/>
        <w:rPr>
          <w:rFonts w:ascii="宋体" w:hAnsi="宋体" w:cs="宋体"/>
          <w:color w:val="auto"/>
          <w:sz w:val="24"/>
          <w:szCs w:val="24"/>
          <w:highlight w:val="none"/>
        </w:rPr>
      </w:pPr>
      <w:bookmarkStart w:id="1229" w:name="_Toc43475927"/>
      <w:bookmarkEnd w:id="1229"/>
      <w:bookmarkStart w:id="1230" w:name="bookmark15"/>
      <w:bookmarkEnd w:id="1230"/>
      <w:r>
        <w:rPr>
          <w:rFonts w:hint="eastAsia" w:ascii="宋体" w:hAnsi="宋体" w:cs="宋体"/>
          <w:color w:val="auto"/>
          <w:sz w:val="24"/>
          <w:szCs w:val="24"/>
          <w:highlight w:val="none"/>
        </w:rPr>
        <w:t>4.13</w:t>
      </w:r>
      <w:r>
        <w:rPr>
          <w:rFonts w:hint="eastAsia" w:ascii="宋体" w:hAnsi="宋体" w:cs="宋体"/>
          <w:color w:val="auto"/>
          <w:sz w:val="24"/>
          <w:szCs w:val="24"/>
          <w:highlight w:val="none"/>
          <w:lang w:val="zh-CN"/>
        </w:rPr>
        <w:t>开展党建工作要求</w:t>
      </w:r>
    </w:p>
    <w:p w14:paraId="3B3AEE6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对于政府投资的国家高速公路项目，或承包人为国有控股或参股企业的，承包 人应按规定在项目现场设立基层党组织。不满足上述情形的，应创造条件使党员能够参加党组织生活并接受相应管理。</w:t>
      </w:r>
    </w:p>
    <w:p w14:paraId="47BD00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14:paraId="3D5034C4">
      <w:pPr>
        <w:pStyle w:val="3"/>
        <w:shd w:val="clear" w:fill="FFFFFF" w:themeFill="background1"/>
        <w:spacing w:before="156" w:beforeLines="50" w:line="400" w:lineRule="exact"/>
        <w:rPr>
          <w:rFonts w:ascii="宋体" w:hAnsi="宋体" w:cs="宋体"/>
          <w:color w:val="auto"/>
          <w:sz w:val="28"/>
          <w:szCs w:val="28"/>
          <w:highlight w:val="none"/>
        </w:rPr>
      </w:pPr>
      <w:bookmarkStart w:id="1231" w:name="_Toc386467198"/>
      <w:bookmarkEnd w:id="1231"/>
      <w:bookmarkStart w:id="1232" w:name="_Toc451261302"/>
      <w:bookmarkEnd w:id="1232"/>
      <w:bookmarkStart w:id="1233" w:name="_Toc330406393"/>
      <w:bookmarkEnd w:id="1233"/>
      <w:bookmarkStart w:id="1234" w:name="_Toc453057112"/>
      <w:bookmarkEnd w:id="1234"/>
      <w:bookmarkStart w:id="1235" w:name="_Toc43475928"/>
      <w:bookmarkEnd w:id="1235"/>
      <w:bookmarkStart w:id="1236" w:name="_Toc393546452"/>
      <w:bookmarkEnd w:id="1236"/>
      <w:r>
        <w:rPr>
          <w:rFonts w:hint="eastAsia" w:ascii="宋体" w:hAnsi="宋体" w:cs="宋体"/>
          <w:color w:val="auto"/>
          <w:sz w:val="28"/>
          <w:szCs w:val="28"/>
          <w:highlight w:val="none"/>
        </w:rPr>
        <w:t>5.材料和工程设备</w:t>
      </w:r>
    </w:p>
    <w:p w14:paraId="49878A5F">
      <w:pPr>
        <w:pStyle w:val="3"/>
        <w:shd w:val="clear" w:fill="FFFFFF" w:themeFill="background1"/>
        <w:spacing w:before="156" w:beforeLines="50" w:line="400" w:lineRule="exact"/>
        <w:rPr>
          <w:rFonts w:ascii="宋体" w:hAnsi="宋体" w:cs="宋体"/>
          <w:color w:val="auto"/>
          <w:sz w:val="24"/>
          <w:szCs w:val="24"/>
          <w:highlight w:val="none"/>
        </w:rPr>
      </w:pPr>
      <w:bookmarkStart w:id="1237" w:name="_Toc386467199"/>
      <w:bookmarkEnd w:id="1237"/>
      <w:bookmarkStart w:id="1238" w:name="_Toc451261303"/>
      <w:bookmarkEnd w:id="1238"/>
      <w:bookmarkStart w:id="1239" w:name="_Toc330406394"/>
      <w:bookmarkEnd w:id="1239"/>
      <w:bookmarkStart w:id="1240" w:name="_Toc453057113"/>
      <w:bookmarkEnd w:id="1240"/>
      <w:bookmarkStart w:id="1241" w:name="_Toc43475929"/>
      <w:bookmarkEnd w:id="1241"/>
      <w:bookmarkStart w:id="1242" w:name="_Toc393546453"/>
      <w:bookmarkEnd w:id="1242"/>
      <w:r>
        <w:rPr>
          <w:rFonts w:hint="eastAsia" w:ascii="宋体" w:hAnsi="宋体" w:cs="宋体"/>
          <w:color w:val="auto"/>
          <w:sz w:val="24"/>
          <w:szCs w:val="24"/>
          <w:highlight w:val="none"/>
        </w:rPr>
        <w:t>5.2发包人提供的材料和工程设备</w:t>
      </w:r>
    </w:p>
    <w:p w14:paraId="6EB98A5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第5.2.3项补充：</w:t>
      </w:r>
    </w:p>
    <w:p w14:paraId="3B019E9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1E191AE6">
      <w:pPr>
        <w:pStyle w:val="3"/>
        <w:shd w:val="clear" w:fill="FFFFFF" w:themeFill="background1"/>
        <w:spacing w:before="156" w:beforeLines="50" w:line="400" w:lineRule="exact"/>
        <w:rPr>
          <w:rFonts w:ascii="宋体" w:hAnsi="宋体" w:cs="宋体"/>
          <w:color w:val="auto"/>
          <w:sz w:val="28"/>
          <w:szCs w:val="28"/>
          <w:highlight w:val="none"/>
        </w:rPr>
      </w:pPr>
      <w:bookmarkStart w:id="1243" w:name="_Toc330406395"/>
      <w:bookmarkEnd w:id="1243"/>
      <w:bookmarkStart w:id="1244" w:name="_Toc386467200"/>
      <w:bookmarkEnd w:id="1244"/>
      <w:bookmarkStart w:id="1245" w:name="_Toc451261304"/>
      <w:bookmarkEnd w:id="1245"/>
      <w:bookmarkStart w:id="1246" w:name="_Toc453057114"/>
      <w:bookmarkEnd w:id="1246"/>
      <w:bookmarkStart w:id="1247" w:name="_Toc393546454"/>
      <w:bookmarkEnd w:id="1247"/>
      <w:bookmarkStart w:id="1248" w:name="_Toc43475930"/>
      <w:bookmarkEnd w:id="1248"/>
      <w:r>
        <w:rPr>
          <w:rFonts w:hint="eastAsia" w:ascii="宋体" w:hAnsi="宋体" w:cs="宋体"/>
          <w:color w:val="auto"/>
          <w:sz w:val="28"/>
          <w:szCs w:val="28"/>
          <w:highlight w:val="none"/>
        </w:rPr>
        <w:t>6.施工设备和临时设施</w:t>
      </w:r>
    </w:p>
    <w:p w14:paraId="5780BBE7">
      <w:pPr>
        <w:pStyle w:val="3"/>
        <w:shd w:val="clear" w:fill="FFFFFF" w:themeFill="background1"/>
        <w:spacing w:before="156" w:beforeLines="50" w:line="400" w:lineRule="exact"/>
        <w:rPr>
          <w:rFonts w:ascii="宋体" w:hAnsi="宋体" w:cs="宋体"/>
          <w:color w:val="auto"/>
          <w:sz w:val="24"/>
          <w:szCs w:val="24"/>
          <w:highlight w:val="none"/>
        </w:rPr>
      </w:pPr>
      <w:bookmarkStart w:id="1249" w:name="_Toc330406396"/>
      <w:bookmarkEnd w:id="1249"/>
      <w:bookmarkStart w:id="1250" w:name="_Toc43475931"/>
      <w:bookmarkEnd w:id="1250"/>
      <w:bookmarkStart w:id="1251" w:name="_Toc393546455"/>
      <w:bookmarkEnd w:id="1251"/>
      <w:bookmarkStart w:id="1252" w:name="_Toc453057115"/>
      <w:bookmarkEnd w:id="1252"/>
      <w:bookmarkStart w:id="1253" w:name="_Toc451261305"/>
      <w:bookmarkEnd w:id="1253"/>
      <w:bookmarkStart w:id="1254" w:name="_Toc386467201"/>
      <w:bookmarkEnd w:id="1254"/>
      <w:r>
        <w:rPr>
          <w:rFonts w:hint="eastAsia" w:ascii="宋体" w:hAnsi="宋体" w:cs="宋体"/>
          <w:color w:val="auto"/>
          <w:sz w:val="24"/>
          <w:szCs w:val="24"/>
          <w:highlight w:val="none"/>
        </w:rPr>
        <w:t>6.2承包人提供的施工设备和临时设施</w:t>
      </w:r>
    </w:p>
    <w:p w14:paraId="36504F1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第6.1.2项约定为：</w:t>
      </w:r>
    </w:p>
    <w:p w14:paraId="2CD5C9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承包人应自行承担修建临时设施的费用，需要临时占地的，应由承包人按第4.1.10项（1）目的规定办理。</w:t>
      </w:r>
    </w:p>
    <w:p w14:paraId="652840EE">
      <w:pPr>
        <w:pStyle w:val="3"/>
        <w:shd w:val="clear" w:fill="FFFFFF" w:themeFill="background1"/>
        <w:spacing w:before="156" w:beforeLines="50" w:line="400" w:lineRule="exact"/>
        <w:rPr>
          <w:rFonts w:ascii="宋体" w:hAnsi="宋体" w:cs="宋体"/>
          <w:color w:val="auto"/>
          <w:sz w:val="24"/>
          <w:szCs w:val="24"/>
          <w:highlight w:val="none"/>
        </w:rPr>
      </w:pPr>
      <w:bookmarkStart w:id="1255" w:name="_Toc393546456"/>
      <w:bookmarkEnd w:id="1255"/>
      <w:bookmarkStart w:id="1256" w:name="_Toc330406397"/>
      <w:bookmarkEnd w:id="1256"/>
      <w:bookmarkStart w:id="1257" w:name="_Toc386467202"/>
      <w:bookmarkEnd w:id="1257"/>
      <w:bookmarkStart w:id="1258" w:name="_Toc453057116"/>
      <w:bookmarkEnd w:id="1258"/>
      <w:bookmarkStart w:id="1259" w:name="_Toc43475932"/>
      <w:bookmarkEnd w:id="1259"/>
      <w:bookmarkStart w:id="1260" w:name="_Toc451261306"/>
      <w:bookmarkEnd w:id="1260"/>
      <w:r>
        <w:rPr>
          <w:rFonts w:hint="eastAsia" w:ascii="宋体" w:hAnsi="宋体" w:cs="宋体"/>
          <w:color w:val="auto"/>
          <w:sz w:val="24"/>
          <w:szCs w:val="24"/>
          <w:highlight w:val="none"/>
        </w:rPr>
        <w:t>6.3要求承包人增加或更换施工设备</w:t>
      </w:r>
    </w:p>
    <w:p w14:paraId="1A99F9C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10081BF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A2D096D">
      <w:pPr>
        <w:pStyle w:val="3"/>
        <w:shd w:val="clear" w:fill="FFFFFF" w:themeFill="background1"/>
        <w:spacing w:before="156" w:beforeLines="50" w:line="400" w:lineRule="exact"/>
        <w:rPr>
          <w:rFonts w:ascii="宋体" w:hAnsi="宋体" w:cs="宋体"/>
          <w:color w:val="auto"/>
          <w:sz w:val="28"/>
          <w:szCs w:val="28"/>
          <w:highlight w:val="none"/>
        </w:rPr>
      </w:pPr>
      <w:bookmarkStart w:id="1261" w:name="_Toc451261307"/>
      <w:bookmarkEnd w:id="1261"/>
      <w:bookmarkStart w:id="1262" w:name="_Toc43475933"/>
      <w:bookmarkEnd w:id="1262"/>
      <w:bookmarkStart w:id="1263" w:name="_Toc330406398"/>
      <w:bookmarkEnd w:id="1263"/>
      <w:bookmarkStart w:id="1264" w:name="_Toc453057117"/>
      <w:bookmarkEnd w:id="1264"/>
      <w:bookmarkStart w:id="1265" w:name="_Toc386467203"/>
      <w:bookmarkEnd w:id="1265"/>
      <w:bookmarkStart w:id="1266" w:name="_Toc393546457"/>
      <w:bookmarkEnd w:id="1266"/>
      <w:r>
        <w:rPr>
          <w:rFonts w:hint="eastAsia" w:ascii="宋体" w:hAnsi="宋体" w:cs="宋体"/>
          <w:color w:val="auto"/>
          <w:sz w:val="28"/>
          <w:szCs w:val="28"/>
          <w:highlight w:val="none"/>
        </w:rPr>
        <w:t>7.交通运输</w:t>
      </w:r>
    </w:p>
    <w:p w14:paraId="4A7D2B61">
      <w:pPr>
        <w:pStyle w:val="3"/>
        <w:shd w:val="clear" w:fill="FFFFFF" w:themeFill="background1"/>
        <w:spacing w:before="156" w:beforeLines="50" w:line="400" w:lineRule="exact"/>
        <w:rPr>
          <w:rFonts w:ascii="宋体" w:hAnsi="宋体" w:cs="宋体"/>
          <w:color w:val="auto"/>
          <w:sz w:val="24"/>
          <w:szCs w:val="24"/>
          <w:highlight w:val="none"/>
        </w:rPr>
      </w:pPr>
      <w:bookmarkStart w:id="1267" w:name="_Toc386467204"/>
      <w:bookmarkEnd w:id="1267"/>
      <w:bookmarkStart w:id="1268" w:name="_Toc453057118"/>
      <w:bookmarkEnd w:id="1268"/>
      <w:bookmarkStart w:id="1269" w:name="_Toc43475934"/>
      <w:bookmarkEnd w:id="1269"/>
      <w:bookmarkStart w:id="1270" w:name="_Toc393546458"/>
      <w:bookmarkEnd w:id="1270"/>
      <w:bookmarkStart w:id="1271" w:name="_Toc451261308"/>
      <w:bookmarkEnd w:id="1271"/>
      <w:bookmarkStart w:id="1272" w:name="_Toc330406399"/>
      <w:bookmarkEnd w:id="1272"/>
      <w:r>
        <w:rPr>
          <w:rFonts w:hint="eastAsia" w:ascii="宋体" w:hAnsi="宋体" w:cs="宋体"/>
          <w:color w:val="auto"/>
          <w:sz w:val="24"/>
          <w:szCs w:val="24"/>
          <w:highlight w:val="none"/>
        </w:rPr>
        <w:t>7.1道路通行权和场外设施</w:t>
      </w:r>
    </w:p>
    <w:p w14:paraId="514FE57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19C4480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2AD91C95">
      <w:pPr>
        <w:pStyle w:val="3"/>
        <w:shd w:val="clear" w:fill="FFFFFF" w:themeFill="background1"/>
        <w:spacing w:before="156" w:beforeLines="50" w:line="400" w:lineRule="exact"/>
        <w:rPr>
          <w:rFonts w:ascii="宋体" w:hAnsi="宋体" w:cs="宋体"/>
          <w:color w:val="auto"/>
          <w:sz w:val="28"/>
          <w:szCs w:val="28"/>
          <w:highlight w:val="none"/>
        </w:rPr>
      </w:pPr>
      <w:bookmarkStart w:id="1273" w:name="_Toc393546459"/>
      <w:bookmarkEnd w:id="1273"/>
      <w:bookmarkStart w:id="1274" w:name="_Toc451261309"/>
      <w:bookmarkEnd w:id="1274"/>
      <w:bookmarkStart w:id="1275" w:name="_Toc43475935"/>
      <w:bookmarkEnd w:id="1275"/>
      <w:bookmarkStart w:id="1276" w:name="_Toc386467205"/>
      <w:bookmarkEnd w:id="1276"/>
      <w:bookmarkStart w:id="1277" w:name="_Toc330406400"/>
      <w:bookmarkEnd w:id="1277"/>
      <w:bookmarkStart w:id="1278" w:name="_Toc453057119"/>
      <w:bookmarkEnd w:id="1278"/>
      <w:r>
        <w:rPr>
          <w:rFonts w:hint="eastAsia" w:ascii="宋体" w:hAnsi="宋体" w:cs="宋体"/>
          <w:color w:val="auto"/>
          <w:sz w:val="28"/>
          <w:szCs w:val="28"/>
          <w:highlight w:val="none"/>
        </w:rPr>
        <w:t>8.测量放线</w:t>
      </w:r>
    </w:p>
    <w:p w14:paraId="43996C35">
      <w:pPr>
        <w:pStyle w:val="3"/>
        <w:shd w:val="clear" w:fill="FFFFFF" w:themeFill="background1"/>
        <w:spacing w:before="156" w:beforeLines="50" w:line="400" w:lineRule="exact"/>
        <w:rPr>
          <w:rFonts w:ascii="宋体" w:hAnsi="宋体" w:cs="宋体"/>
          <w:color w:val="auto"/>
          <w:sz w:val="24"/>
          <w:szCs w:val="24"/>
          <w:highlight w:val="none"/>
        </w:rPr>
      </w:pPr>
      <w:bookmarkStart w:id="1279" w:name="_Toc451261310"/>
      <w:bookmarkEnd w:id="1279"/>
      <w:bookmarkStart w:id="1280" w:name="_Toc43475936"/>
      <w:bookmarkEnd w:id="1280"/>
      <w:bookmarkStart w:id="1281" w:name="_Toc386467206"/>
      <w:bookmarkEnd w:id="1281"/>
      <w:bookmarkStart w:id="1282" w:name="_Toc393546460"/>
      <w:bookmarkEnd w:id="1282"/>
      <w:bookmarkStart w:id="1283" w:name="_Toc453057120"/>
      <w:bookmarkEnd w:id="1283"/>
      <w:bookmarkStart w:id="1284" w:name="_Toc330406401"/>
      <w:bookmarkEnd w:id="1284"/>
      <w:r>
        <w:rPr>
          <w:rFonts w:hint="eastAsia" w:ascii="宋体" w:hAnsi="宋体" w:cs="宋体"/>
          <w:color w:val="auto"/>
          <w:sz w:val="24"/>
          <w:szCs w:val="24"/>
          <w:highlight w:val="none"/>
        </w:rPr>
        <w:t>8.4监理人使用施工控制网</w:t>
      </w:r>
    </w:p>
    <w:p w14:paraId="1C2A19F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0A9358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经监理人批准，其他相关承包人也可免费使用施工控制网。</w:t>
      </w:r>
    </w:p>
    <w:p w14:paraId="4F26F417">
      <w:pPr>
        <w:pStyle w:val="3"/>
        <w:shd w:val="clear" w:fill="FFFFFF" w:themeFill="background1"/>
        <w:spacing w:before="156" w:beforeLines="50" w:line="400" w:lineRule="exact"/>
        <w:rPr>
          <w:rFonts w:ascii="宋体" w:hAnsi="宋体" w:cs="宋体"/>
          <w:color w:val="auto"/>
          <w:sz w:val="28"/>
          <w:szCs w:val="28"/>
          <w:highlight w:val="none"/>
        </w:rPr>
      </w:pPr>
      <w:bookmarkStart w:id="1285" w:name="_Toc386467207"/>
      <w:bookmarkEnd w:id="1285"/>
      <w:bookmarkStart w:id="1286" w:name="_Toc330406402"/>
      <w:bookmarkEnd w:id="1286"/>
      <w:bookmarkStart w:id="1287" w:name="_Toc393546461"/>
      <w:bookmarkEnd w:id="1287"/>
      <w:bookmarkStart w:id="1288" w:name="_Toc43475937"/>
      <w:bookmarkEnd w:id="1288"/>
      <w:bookmarkStart w:id="1289" w:name="_Toc451261311"/>
      <w:bookmarkEnd w:id="1289"/>
      <w:bookmarkStart w:id="1290" w:name="_Toc453057121"/>
      <w:bookmarkEnd w:id="1290"/>
      <w:r>
        <w:rPr>
          <w:rFonts w:hint="eastAsia" w:ascii="宋体" w:hAnsi="宋体" w:cs="宋体"/>
          <w:color w:val="auto"/>
          <w:sz w:val="28"/>
          <w:szCs w:val="28"/>
          <w:highlight w:val="none"/>
        </w:rPr>
        <w:t>9.施工安全、治安保卫和环境保护</w:t>
      </w:r>
    </w:p>
    <w:p w14:paraId="47A2FB02">
      <w:pPr>
        <w:pStyle w:val="3"/>
        <w:shd w:val="clear" w:fill="FFFFFF" w:themeFill="background1"/>
        <w:spacing w:before="156" w:beforeLines="50" w:line="400" w:lineRule="exact"/>
        <w:rPr>
          <w:rFonts w:ascii="宋体" w:hAnsi="宋体" w:cs="宋体"/>
          <w:color w:val="auto"/>
          <w:sz w:val="24"/>
          <w:szCs w:val="24"/>
          <w:highlight w:val="none"/>
        </w:rPr>
      </w:pPr>
      <w:bookmarkStart w:id="1291" w:name="_Toc386467208"/>
      <w:bookmarkEnd w:id="1291"/>
      <w:bookmarkStart w:id="1292" w:name="_Toc330406403"/>
      <w:bookmarkEnd w:id="1292"/>
      <w:bookmarkStart w:id="1293" w:name="_Toc393546462"/>
      <w:bookmarkEnd w:id="1293"/>
      <w:bookmarkStart w:id="1294" w:name="_Toc43475938"/>
      <w:bookmarkEnd w:id="1294"/>
      <w:bookmarkStart w:id="1295" w:name="_Toc451261312"/>
      <w:bookmarkEnd w:id="1295"/>
      <w:bookmarkStart w:id="1296" w:name="_Toc453057122"/>
      <w:bookmarkEnd w:id="1296"/>
      <w:r>
        <w:rPr>
          <w:rFonts w:hint="eastAsia" w:ascii="宋体" w:hAnsi="宋体" w:cs="宋体"/>
          <w:color w:val="auto"/>
          <w:sz w:val="24"/>
          <w:szCs w:val="24"/>
          <w:highlight w:val="none"/>
        </w:rPr>
        <w:t>9.2承包人的施工安全责任</w:t>
      </w:r>
    </w:p>
    <w:p w14:paraId="3985AA4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第9.2.1项细化为：</w:t>
      </w:r>
    </w:p>
    <w:p w14:paraId="6E2119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7386415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0217D1D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本项目需要编制专项施工方案的工程包括但不限于以下内容：</w:t>
      </w:r>
    </w:p>
    <w:p w14:paraId="385C669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（1）不良地质条件下有潜在危险性的土方、石方开挖；</w:t>
      </w:r>
    </w:p>
    <w:p w14:paraId="6D3AC8F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（2）滑坡和高边坡处理；</w:t>
      </w:r>
    </w:p>
    <w:p w14:paraId="7AFC746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（3）桩基础、挡墙基础、深水基础及围堰工程；</w:t>
      </w:r>
    </w:p>
    <w:p w14:paraId="0777F98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（4）桥梁工程中的梁、拱、柱等构件施工等；</w:t>
      </w:r>
    </w:p>
    <w:p w14:paraId="078AAE4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（5）隧道工程中的不良地质隧道、高瓦斯隧道等；</w:t>
      </w:r>
    </w:p>
    <w:p w14:paraId="6FDDE3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（6）水上工程中的打桩船作业、施工船作业、外海孤岛作业、边通航边施工作业等；</w:t>
      </w:r>
    </w:p>
    <w:p w14:paraId="5AA67E4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（7）水下工程中的水下焊接、混凝土浇筑、爆破工程等；</w:t>
      </w:r>
    </w:p>
    <w:p w14:paraId="6A16B94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（8）爆破工程；</w:t>
      </w:r>
    </w:p>
    <w:p w14:paraId="316FBD8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（9）大型临时工程中的大型支架、模板、便桥的架设与拆除；桥梁、码头的加固与拆除；</w:t>
      </w:r>
    </w:p>
    <w:p w14:paraId="185D7C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（10）其他危险性较大的工程。</w:t>
      </w:r>
    </w:p>
    <w:p w14:paraId="7D7BD0D7">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监理人和发包人在检查中发现有安全问题或有违反安全管理规章制度的情况时，可视其为承包人违约，应按第22.1款的规定处理。</w:t>
      </w:r>
    </w:p>
    <w:p w14:paraId="1B801B3B">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第9.2.5项细化为：</w:t>
      </w:r>
    </w:p>
    <w:p w14:paraId="408E253E">
      <w:pPr>
        <w:pStyle w:val="1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114F38D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本款补充第9.2.8项～9.2.11项：</w:t>
      </w:r>
    </w:p>
    <w:p w14:paraId="63943EB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9.2.8承包人应充分关注和保障所有在现场工作的人员的安全，采取以下有效措施，使现场和本合同工程的实施保持有条不紊，以免使让述人员的安全受到威胁。</w:t>
      </w:r>
    </w:p>
    <w:p w14:paraId="67BD819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（1）按《公路水运工程安全生产临督管理办法》规定的最低数量和资质条件配备专职安全生产管理人员；</w:t>
      </w:r>
    </w:p>
    <w:p w14:paraId="2EE3E43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058B986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（3）所有施工机具设备和高空作业设备均应定期检查，并有安全员的签字记录。</w:t>
      </w:r>
    </w:p>
    <w:p w14:paraId="29BC91E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（4）根据本合同各单位工程的特点，严格执行《公路水运工程安全生产监督管理办法》、《公路工程施工安全技术规程》与《公路筑养路机械操作规程》的具体规定。</w:t>
      </w:r>
    </w:p>
    <w:p w14:paraId="714E6F6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9.2.9为保护本合同工程免遭损坏，或为了现场附近和过往群众的安全与方便，在确有必要的时候和地方，或当监理人或有关主管部门要求时，承包人应自费提供照明、警卫、护栅、警告标志等安全防护设施。</w:t>
      </w:r>
    </w:p>
    <w:p w14:paraId="661D79F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9.2.10在通航水域施工时，承包人应与当地主管部门取得联系，设置必要的导航标志，及时发布航行通告，确保施工水域安全。</w:t>
      </w:r>
    </w:p>
    <w:p w14:paraId="3BA08F0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876FFB2">
      <w:pPr>
        <w:pStyle w:val="3"/>
        <w:shd w:val="clear" w:fill="FFFFFF" w:themeFill="background1"/>
        <w:spacing w:before="156" w:beforeLines="50" w:line="400" w:lineRule="exact"/>
        <w:rPr>
          <w:rFonts w:ascii="宋体" w:hAnsi="宋体" w:cs="宋体"/>
          <w:color w:val="auto"/>
          <w:sz w:val="24"/>
          <w:szCs w:val="24"/>
          <w:highlight w:val="none"/>
        </w:rPr>
      </w:pPr>
      <w:bookmarkStart w:id="1297" w:name="_Toc453057123"/>
      <w:bookmarkEnd w:id="1297"/>
      <w:bookmarkStart w:id="1298" w:name="_Toc330406404"/>
      <w:bookmarkEnd w:id="1298"/>
      <w:bookmarkStart w:id="1299" w:name="_Toc386467209"/>
      <w:bookmarkEnd w:id="1299"/>
      <w:bookmarkStart w:id="1300" w:name="_Toc43475939"/>
      <w:bookmarkEnd w:id="1300"/>
      <w:bookmarkStart w:id="1301" w:name="_Toc393546463"/>
      <w:bookmarkEnd w:id="1301"/>
      <w:bookmarkStart w:id="1302" w:name="_Toc451261313"/>
      <w:bookmarkEnd w:id="1302"/>
      <w:r>
        <w:rPr>
          <w:rFonts w:hint="eastAsia" w:ascii="宋体" w:hAnsi="宋体" w:cs="宋体"/>
          <w:color w:val="auto"/>
          <w:sz w:val="24"/>
          <w:szCs w:val="24"/>
          <w:highlight w:val="none"/>
        </w:rPr>
        <w:t>9.4环境保护</w:t>
      </w:r>
    </w:p>
    <w:p w14:paraId="27A374C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本款补充第9.4.7～第9.4.11项：</w:t>
      </w:r>
    </w:p>
    <w:p w14:paraId="276A55C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9.4.7 承包人应切实执行技术规范中有关环境保护方面的条款和规定。</w:t>
      </w:r>
    </w:p>
    <w:p w14:paraId="74F9B1F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3DF711F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（2）对于公路施工中粉尘污染的主要污染源——灰土拌和、施工车辆和筑路机械运行及运输产生的扬尘，应采取有效措施减轻施工现场的大气污染，保护人民健康，如：</w:t>
      </w:r>
    </w:p>
    <w:p w14:paraId="568B03A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a.拌和设备应有较好的密封，或有防尘设备。</w:t>
      </w:r>
    </w:p>
    <w:p w14:paraId="03D15C6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b.施工通道、沥青混凝土拌和站及灰土拌和站应经常进行洒水降尘。</w:t>
      </w:r>
    </w:p>
    <w:p w14:paraId="382BFD8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c.路面施工应注意保持水分，以免扬尘。</w:t>
      </w:r>
    </w:p>
    <w:p w14:paraId="229A63A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d.隧道出渣和桥梁钻孔灌注桩施工时排出的泥浆要进行妥善处理，严禁向河流或农田排放。</w:t>
      </w:r>
    </w:p>
    <w:p w14:paraId="68401A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（3）采取可靠措施保证原有交通的正常通行，维持沿线村镇的居民饮水、农田灌溉、生产生活用电及通讯等管线的正常使用。</w:t>
      </w:r>
    </w:p>
    <w:p w14:paraId="54E2913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6344BC3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9.4.9在施工期间，承包人应随时保持现场整洁，施工设备和材料、工程设备应整齐妥善存放和储存，废料与垃圾及不再需要的临时设施应及时从现场清除、拆除并运走。</w:t>
      </w:r>
    </w:p>
    <w:p w14:paraId="5590A9C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E00532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5A607C8A">
      <w:pPr>
        <w:pStyle w:val="3"/>
        <w:shd w:val="clear" w:fill="FFFFFF" w:themeFill="background1"/>
        <w:spacing w:before="156" w:beforeLines="50" w:line="400" w:lineRule="exact"/>
        <w:rPr>
          <w:rFonts w:ascii="宋体" w:hAnsi="宋体" w:cs="宋体"/>
          <w:color w:val="auto"/>
          <w:sz w:val="28"/>
          <w:szCs w:val="28"/>
          <w:highlight w:val="none"/>
        </w:rPr>
      </w:pPr>
      <w:bookmarkStart w:id="1303" w:name="_Toc43475940"/>
      <w:bookmarkEnd w:id="1303"/>
      <w:bookmarkStart w:id="1304" w:name="_Toc453057124"/>
      <w:bookmarkEnd w:id="1304"/>
      <w:bookmarkStart w:id="1305" w:name="_Toc451261314"/>
      <w:bookmarkEnd w:id="1305"/>
      <w:bookmarkStart w:id="1306" w:name="_Toc393546464"/>
      <w:bookmarkEnd w:id="1306"/>
      <w:bookmarkStart w:id="1307" w:name="_Toc330406405"/>
      <w:bookmarkEnd w:id="1307"/>
      <w:bookmarkStart w:id="1308" w:name="_Toc386467210"/>
      <w:bookmarkEnd w:id="1308"/>
      <w:r>
        <w:rPr>
          <w:rFonts w:hint="eastAsia" w:ascii="宋体" w:hAnsi="宋体" w:cs="宋体"/>
          <w:color w:val="auto"/>
          <w:sz w:val="28"/>
          <w:szCs w:val="28"/>
          <w:highlight w:val="none"/>
        </w:rPr>
        <w:t>10.进度计划</w:t>
      </w:r>
    </w:p>
    <w:p w14:paraId="1C750983">
      <w:pPr>
        <w:pStyle w:val="3"/>
        <w:shd w:val="clear" w:fill="FFFFFF" w:themeFill="background1"/>
        <w:spacing w:before="156" w:beforeLines="50" w:line="400" w:lineRule="exact"/>
        <w:rPr>
          <w:rFonts w:ascii="宋体" w:hAnsi="宋体" w:cs="宋体"/>
          <w:color w:val="auto"/>
          <w:sz w:val="24"/>
          <w:szCs w:val="24"/>
          <w:highlight w:val="none"/>
        </w:rPr>
      </w:pPr>
      <w:bookmarkStart w:id="1309" w:name="_Toc453057125"/>
      <w:bookmarkEnd w:id="1309"/>
      <w:bookmarkStart w:id="1310" w:name="_Toc386467211"/>
      <w:bookmarkEnd w:id="1310"/>
      <w:bookmarkStart w:id="1311" w:name="_Toc451261315"/>
      <w:bookmarkEnd w:id="1311"/>
      <w:bookmarkStart w:id="1312" w:name="_Toc43475941"/>
      <w:bookmarkEnd w:id="1312"/>
      <w:bookmarkStart w:id="1313" w:name="_Toc330406406"/>
      <w:bookmarkEnd w:id="1313"/>
      <w:bookmarkStart w:id="1314" w:name="_Toc393546465"/>
      <w:bookmarkEnd w:id="1314"/>
      <w:r>
        <w:rPr>
          <w:rFonts w:hint="eastAsia" w:ascii="宋体" w:hAnsi="宋体" w:cs="宋体"/>
          <w:color w:val="auto"/>
          <w:sz w:val="24"/>
          <w:szCs w:val="24"/>
          <w:highlight w:val="none"/>
        </w:rPr>
        <w:t>10.1合同进度计划</w:t>
      </w:r>
    </w:p>
    <w:p w14:paraId="718B560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16BAE95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承包人编制施工方案说明的内容见项目专用合同条款。</w:t>
      </w:r>
    </w:p>
    <w:p w14:paraId="220406E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承包人向监理人报送施工进度计划和施工方案说明的期限：签订合同协议书后28天之内。</w:t>
      </w:r>
    </w:p>
    <w:p w14:paraId="7767160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监理人应在14天内对承包人施工进度计划和施工方案说明予以批复或提出修改意见。</w:t>
      </w:r>
    </w:p>
    <w:p w14:paraId="2AD533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合同进度计划应按照关键线路网络图和主要工作横道图两种形式分别编绘，并应包括每月预计完成的工作量和形象进度。</w:t>
      </w:r>
    </w:p>
    <w:p w14:paraId="3D51CAB3">
      <w:pPr>
        <w:pStyle w:val="3"/>
        <w:shd w:val="clear" w:fill="FFFFFF" w:themeFill="background1"/>
        <w:spacing w:before="156" w:beforeLines="50" w:line="400" w:lineRule="exact"/>
        <w:rPr>
          <w:rFonts w:ascii="宋体" w:hAnsi="宋体" w:cs="宋体"/>
          <w:color w:val="auto"/>
          <w:sz w:val="24"/>
          <w:szCs w:val="24"/>
          <w:highlight w:val="none"/>
        </w:rPr>
      </w:pPr>
      <w:bookmarkStart w:id="1315" w:name="_Toc330406407"/>
      <w:bookmarkEnd w:id="1315"/>
      <w:bookmarkStart w:id="1316" w:name="_Toc43475942"/>
      <w:bookmarkEnd w:id="1316"/>
      <w:bookmarkStart w:id="1317" w:name="_Toc451261316"/>
      <w:bookmarkEnd w:id="1317"/>
      <w:bookmarkStart w:id="1318" w:name="_Toc453057126"/>
      <w:bookmarkEnd w:id="1318"/>
      <w:bookmarkStart w:id="1319" w:name="_Toc386467212"/>
      <w:bookmarkEnd w:id="1319"/>
      <w:bookmarkStart w:id="1320" w:name="_Toc393546466"/>
      <w:bookmarkEnd w:id="1320"/>
      <w:r>
        <w:rPr>
          <w:rFonts w:hint="eastAsia" w:ascii="宋体" w:hAnsi="宋体" w:cs="宋体"/>
          <w:color w:val="auto"/>
          <w:sz w:val="24"/>
          <w:szCs w:val="24"/>
          <w:highlight w:val="none"/>
        </w:rPr>
        <w:t>10.2合同进度计划的修订</w:t>
      </w:r>
    </w:p>
    <w:p w14:paraId="10FEC3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5231A43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承包人提交合同进度计划修订申请报告，并附有关措施和相关资料的期限：实际进度发生滞后的当月25日前。</w:t>
      </w:r>
    </w:p>
    <w:p w14:paraId="57863CB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监理人批复修订合同进度计划的期限：收到修订合同进度计划后14天内。</w:t>
      </w:r>
    </w:p>
    <w:p w14:paraId="069F607F">
      <w:pPr>
        <w:shd w:val="clear" w:fill="FFFFFF" w:themeFill="background1"/>
        <w:spacing w:line="400" w:lineRule="exact"/>
        <w:ind w:firstLine="480" w:firstLineChars="200"/>
        <w:rPr>
          <w:rFonts w:ascii="宋体" w:hAnsi="宋体" w:cs="宋体"/>
          <w:color w:val="auto"/>
          <w:sz w:val="24"/>
          <w:highlight w:val="none"/>
        </w:rPr>
      </w:pPr>
    </w:p>
    <w:p w14:paraId="3C0488DA">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补充第10.3、10.4款：</w:t>
      </w:r>
    </w:p>
    <w:p w14:paraId="3A9D3C5C">
      <w:pPr>
        <w:pStyle w:val="3"/>
        <w:shd w:val="clear" w:fill="FFFFFF" w:themeFill="background1"/>
        <w:spacing w:before="156" w:beforeLines="50" w:line="400" w:lineRule="exact"/>
        <w:rPr>
          <w:rFonts w:ascii="宋体" w:hAnsi="宋体" w:cs="宋体"/>
          <w:color w:val="auto"/>
          <w:sz w:val="24"/>
          <w:szCs w:val="24"/>
          <w:highlight w:val="none"/>
        </w:rPr>
      </w:pPr>
      <w:bookmarkStart w:id="1321" w:name="_Toc393546467"/>
      <w:bookmarkEnd w:id="1321"/>
      <w:bookmarkStart w:id="1322" w:name="_Toc451261317"/>
      <w:bookmarkEnd w:id="1322"/>
      <w:bookmarkStart w:id="1323" w:name="_Toc453057127"/>
      <w:bookmarkEnd w:id="1323"/>
      <w:bookmarkStart w:id="1324" w:name="_Toc386467213"/>
      <w:bookmarkEnd w:id="1324"/>
      <w:bookmarkStart w:id="1325" w:name="_Toc43475943"/>
      <w:bookmarkEnd w:id="1325"/>
      <w:bookmarkStart w:id="1326" w:name="_Toc330406408"/>
      <w:bookmarkEnd w:id="1326"/>
      <w:r>
        <w:rPr>
          <w:rFonts w:hint="eastAsia" w:ascii="宋体" w:hAnsi="宋体" w:cs="宋体"/>
          <w:color w:val="auto"/>
          <w:sz w:val="24"/>
          <w:szCs w:val="24"/>
          <w:highlight w:val="none"/>
        </w:rPr>
        <w:t>10.3年度施工计划</w:t>
      </w:r>
    </w:p>
    <w:p w14:paraId="6DF78C3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1C4FDF6E">
      <w:pPr>
        <w:pStyle w:val="3"/>
        <w:shd w:val="clear" w:fill="FFFFFF" w:themeFill="background1"/>
        <w:spacing w:before="156" w:beforeLines="50" w:line="400" w:lineRule="exact"/>
        <w:rPr>
          <w:rFonts w:ascii="宋体" w:hAnsi="宋体" w:cs="宋体"/>
          <w:color w:val="auto"/>
          <w:sz w:val="24"/>
          <w:highlight w:val="none"/>
        </w:rPr>
      </w:pPr>
      <w:bookmarkStart w:id="1327" w:name="_Toc453057128"/>
      <w:bookmarkEnd w:id="1327"/>
      <w:bookmarkStart w:id="1328" w:name="_Toc330406409"/>
      <w:bookmarkEnd w:id="1328"/>
      <w:bookmarkStart w:id="1329" w:name="_Toc386467214"/>
      <w:bookmarkEnd w:id="1329"/>
      <w:bookmarkStart w:id="1330" w:name="_Toc393546468"/>
      <w:bookmarkEnd w:id="1330"/>
      <w:bookmarkStart w:id="1331" w:name="_Toc43475944"/>
      <w:bookmarkEnd w:id="1331"/>
      <w:bookmarkStart w:id="1332" w:name="_Toc451261318"/>
      <w:bookmarkEnd w:id="1332"/>
      <w:r>
        <w:rPr>
          <w:rFonts w:hint="eastAsia" w:ascii="宋体" w:hAnsi="宋体" w:cs="宋体"/>
          <w:color w:val="auto"/>
          <w:sz w:val="24"/>
          <w:szCs w:val="24"/>
          <w:highlight w:val="none"/>
        </w:rPr>
        <w:t>10.4合同用款计划</w:t>
      </w:r>
    </w:p>
    <w:p w14:paraId="6D7EDB4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D8A4E1C">
      <w:pPr>
        <w:pStyle w:val="3"/>
        <w:shd w:val="clear" w:fill="FFFFFF" w:themeFill="background1"/>
        <w:spacing w:before="156" w:beforeLines="50" w:line="400" w:lineRule="exact"/>
        <w:rPr>
          <w:rFonts w:ascii="宋体" w:hAnsi="宋体" w:cs="宋体"/>
          <w:color w:val="auto"/>
          <w:sz w:val="28"/>
          <w:szCs w:val="28"/>
          <w:highlight w:val="none"/>
        </w:rPr>
      </w:pPr>
      <w:bookmarkStart w:id="1333" w:name="_Toc451261319"/>
      <w:bookmarkEnd w:id="1333"/>
      <w:bookmarkStart w:id="1334" w:name="_Toc393546469"/>
      <w:bookmarkEnd w:id="1334"/>
      <w:bookmarkStart w:id="1335" w:name="_Toc330406410"/>
      <w:bookmarkEnd w:id="1335"/>
      <w:bookmarkStart w:id="1336" w:name="_Toc43475945"/>
      <w:bookmarkEnd w:id="1336"/>
      <w:bookmarkStart w:id="1337" w:name="_Toc386467215"/>
      <w:bookmarkEnd w:id="1337"/>
      <w:bookmarkStart w:id="1338" w:name="_Toc453057129"/>
      <w:bookmarkEnd w:id="1338"/>
      <w:r>
        <w:rPr>
          <w:rFonts w:hint="eastAsia" w:ascii="宋体" w:hAnsi="宋体" w:cs="宋体"/>
          <w:color w:val="auto"/>
          <w:sz w:val="28"/>
          <w:szCs w:val="28"/>
          <w:highlight w:val="none"/>
        </w:rPr>
        <w:t>11.开工和交工</w:t>
      </w:r>
    </w:p>
    <w:p w14:paraId="1B05E331">
      <w:pPr>
        <w:pStyle w:val="3"/>
        <w:shd w:val="clear" w:fill="FFFFFF" w:themeFill="background1"/>
        <w:spacing w:before="156" w:beforeLines="50" w:line="400" w:lineRule="exact"/>
        <w:rPr>
          <w:rFonts w:ascii="宋体" w:hAnsi="宋体" w:cs="宋体"/>
          <w:color w:val="auto"/>
          <w:sz w:val="24"/>
          <w:szCs w:val="24"/>
          <w:highlight w:val="none"/>
        </w:rPr>
      </w:pPr>
      <w:bookmarkStart w:id="1339" w:name="_Toc451261320"/>
      <w:bookmarkEnd w:id="1339"/>
      <w:bookmarkStart w:id="1340" w:name="_Toc330406411"/>
      <w:bookmarkEnd w:id="1340"/>
      <w:bookmarkStart w:id="1341" w:name="_Toc43475946"/>
      <w:bookmarkEnd w:id="1341"/>
      <w:bookmarkStart w:id="1342" w:name="_Toc453057130"/>
      <w:bookmarkEnd w:id="1342"/>
      <w:bookmarkStart w:id="1343" w:name="_Toc386467216"/>
      <w:bookmarkEnd w:id="1343"/>
      <w:bookmarkStart w:id="1344" w:name="_Toc393546470"/>
      <w:bookmarkEnd w:id="1344"/>
      <w:r>
        <w:rPr>
          <w:rFonts w:hint="eastAsia" w:ascii="宋体" w:hAnsi="宋体" w:cs="宋体"/>
          <w:color w:val="auto"/>
          <w:sz w:val="24"/>
          <w:szCs w:val="24"/>
          <w:highlight w:val="none"/>
        </w:rPr>
        <w:t>11.1开工</w:t>
      </w:r>
    </w:p>
    <w:p w14:paraId="34FA5C4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第11.1.2项补充：</w:t>
      </w:r>
    </w:p>
    <w:p w14:paraId="591EAC6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59EF9426">
      <w:pPr>
        <w:pStyle w:val="3"/>
        <w:shd w:val="clear" w:fill="FFFFFF" w:themeFill="background1"/>
        <w:spacing w:before="156" w:beforeLines="50" w:line="400" w:lineRule="exact"/>
        <w:rPr>
          <w:rFonts w:ascii="宋体" w:hAnsi="宋体" w:cs="宋体"/>
          <w:color w:val="auto"/>
          <w:sz w:val="24"/>
          <w:szCs w:val="24"/>
          <w:highlight w:val="none"/>
        </w:rPr>
      </w:pPr>
      <w:bookmarkStart w:id="1345" w:name="_Toc393546471"/>
      <w:bookmarkEnd w:id="1345"/>
      <w:bookmarkStart w:id="1346" w:name="_Toc451261321"/>
      <w:bookmarkEnd w:id="1346"/>
      <w:bookmarkStart w:id="1347" w:name="_Toc453057131"/>
      <w:bookmarkEnd w:id="1347"/>
      <w:bookmarkStart w:id="1348" w:name="_Toc330406412"/>
      <w:bookmarkEnd w:id="1348"/>
      <w:bookmarkStart w:id="1349" w:name="_Toc386467217"/>
      <w:bookmarkEnd w:id="1349"/>
      <w:bookmarkStart w:id="1350" w:name="_Toc43475947"/>
      <w:bookmarkEnd w:id="1350"/>
      <w:r>
        <w:rPr>
          <w:rFonts w:hint="eastAsia" w:ascii="宋体" w:hAnsi="宋体" w:cs="宋体"/>
          <w:color w:val="auto"/>
          <w:sz w:val="24"/>
          <w:szCs w:val="24"/>
          <w:highlight w:val="none"/>
        </w:rPr>
        <w:t>11.3发包人的工期延误</w:t>
      </w:r>
    </w:p>
    <w:p w14:paraId="7D9F9B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12AE99D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即使由于上述原因造成工期延误，如果受影响的工程并非处在工程施工进度网络计划的关键线路上，则承包人无权要求延长总工期。</w:t>
      </w:r>
    </w:p>
    <w:p w14:paraId="36BEB74F">
      <w:pPr>
        <w:pStyle w:val="3"/>
        <w:shd w:val="clear" w:fill="FFFFFF" w:themeFill="background1"/>
        <w:spacing w:before="156" w:beforeLines="50" w:line="400" w:lineRule="exact"/>
        <w:rPr>
          <w:rFonts w:ascii="宋体" w:hAnsi="宋体" w:cs="宋体"/>
          <w:color w:val="auto"/>
          <w:sz w:val="24"/>
          <w:szCs w:val="24"/>
          <w:highlight w:val="none"/>
        </w:rPr>
      </w:pPr>
      <w:bookmarkStart w:id="1351" w:name="_Toc330406413"/>
      <w:bookmarkEnd w:id="1351"/>
      <w:bookmarkStart w:id="1352" w:name="_Toc453057132"/>
      <w:bookmarkEnd w:id="1352"/>
      <w:bookmarkStart w:id="1353" w:name="_Toc451261322"/>
      <w:bookmarkEnd w:id="1353"/>
      <w:bookmarkStart w:id="1354" w:name="_Toc393546472"/>
      <w:bookmarkEnd w:id="1354"/>
      <w:bookmarkStart w:id="1355" w:name="_Toc43475948"/>
      <w:bookmarkEnd w:id="1355"/>
      <w:bookmarkStart w:id="1356" w:name="_Toc386467218"/>
      <w:bookmarkEnd w:id="1356"/>
      <w:r>
        <w:rPr>
          <w:rFonts w:hint="eastAsia" w:ascii="宋体" w:hAnsi="宋体" w:cs="宋体"/>
          <w:color w:val="auto"/>
          <w:sz w:val="24"/>
          <w:szCs w:val="24"/>
          <w:highlight w:val="none"/>
        </w:rPr>
        <w:t>11.4异常恶劣的气候条件</w:t>
      </w:r>
    </w:p>
    <w:p w14:paraId="365ED3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0BBF39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异常气候条件是指项目所在地30年一遇的罕见气候现象（包括温度、降水、降雪、风等）。异常恶劣的气候条件在项目专用合同条款中作具体规定。</w:t>
      </w:r>
    </w:p>
    <w:p w14:paraId="2173D6FE">
      <w:pPr>
        <w:pStyle w:val="3"/>
        <w:shd w:val="clear" w:fill="FFFFFF" w:themeFill="background1"/>
        <w:spacing w:before="156" w:beforeLines="50" w:line="400" w:lineRule="exact"/>
        <w:rPr>
          <w:rFonts w:ascii="宋体" w:hAnsi="宋体" w:cs="宋体"/>
          <w:color w:val="auto"/>
          <w:sz w:val="24"/>
          <w:szCs w:val="24"/>
          <w:highlight w:val="none"/>
        </w:rPr>
      </w:pPr>
      <w:bookmarkStart w:id="1357" w:name="_Toc451261323"/>
      <w:bookmarkEnd w:id="1357"/>
      <w:bookmarkStart w:id="1358" w:name="_Toc43475949"/>
      <w:bookmarkEnd w:id="1358"/>
      <w:bookmarkStart w:id="1359" w:name="_Toc453057133"/>
      <w:bookmarkEnd w:id="1359"/>
      <w:bookmarkStart w:id="1360" w:name="_Toc386467219"/>
      <w:bookmarkEnd w:id="1360"/>
      <w:bookmarkStart w:id="1361" w:name="_Toc330406414"/>
      <w:bookmarkEnd w:id="1361"/>
      <w:bookmarkStart w:id="1362" w:name="_Toc393546473"/>
      <w:bookmarkEnd w:id="1362"/>
      <w:r>
        <w:rPr>
          <w:rFonts w:hint="eastAsia" w:ascii="宋体" w:hAnsi="宋体" w:cs="宋体"/>
          <w:color w:val="auto"/>
          <w:sz w:val="24"/>
          <w:szCs w:val="24"/>
          <w:highlight w:val="none"/>
        </w:rPr>
        <w:t>11.5承包人的工期延误</w:t>
      </w:r>
    </w:p>
    <w:p w14:paraId="515703B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BB5BDA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316D986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70B158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469EAA2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（4）承包人支付逾期竣工建约金，不免除承包人完成工程及修补缺陷的义务。</w:t>
      </w:r>
    </w:p>
    <w:p w14:paraId="0AD3F1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26B353D3">
      <w:pPr>
        <w:pStyle w:val="3"/>
        <w:shd w:val="clear" w:fill="FFFFFF" w:themeFill="background1"/>
        <w:spacing w:before="156" w:beforeLines="50" w:line="400" w:lineRule="exact"/>
        <w:rPr>
          <w:rFonts w:ascii="宋体" w:hAnsi="宋体" w:cs="宋体"/>
          <w:color w:val="auto"/>
          <w:sz w:val="24"/>
          <w:szCs w:val="24"/>
          <w:highlight w:val="none"/>
        </w:rPr>
      </w:pPr>
      <w:bookmarkStart w:id="1363" w:name="_Toc43475950"/>
      <w:bookmarkEnd w:id="1363"/>
      <w:bookmarkStart w:id="1364" w:name="_Toc386467220"/>
      <w:bookmarkEnd w:id="1364"/>
      <w:bookmarkStart w:id="1365" w:name="_Toc453057134"/>
      <w:bookmarkEnd w:id="1365"/>
      <w:bookmarkStart w:id="1366" w:name="_Toc330406415"/>
      <w:bookmarkEnd w:id="1366"/>
      <w:bookmarkStart w:id="1367" w:name="_Toc451261324"/>
      <w:bookmarkEnd w:id="1367"/>
      <w:bookmarkStart w:id="1368" w:name="_Toc393546474"/>
      <w:bookmarkEnd w:id="1368"/>
      <w:r>
        <w:rPr>
          <w:rFonts w:hint="eastAsia" w:ascii="宋体" w:hAnsi="宋体" w:cs="宋体"/>
          <w:color w:val="auto"/>
          <w:sz w:val="24"/>
          <w:szCs w:val="24"/>
          <w:highlight w:val="none"/>
        </w:rPr>
        <w:t>11.6工期提前</w:t>
      </w:r>
    </w:p>
    <w:p w14:paraId="4B92DA6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1760D3A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38591A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152385A0">
      <w:pPr>
        <w:shd w:val="clear" w:fill="FFFFFF" w:themeFill="background1"/>
        <w:spacing w:line="400" w:lineRule="exact"/>
        <w:ind w:firstLine="480" w:firstLineChars="200"/>
        <w:rPr>
          <w:rFonts w:ascii="宋体" w:hAnsi="宋体" w:cs="宋体"/>
          <w:color w:val="auto"/>
          <w:sz w:val="24"/>
          <w:highlight w:val="none"/>
        </w:rPr>
      </w:pPr>
    </w:p>
    <w:p w14:paraId="07B7590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本条补充11.7款：</w:t>
      </w:r>
    </w:p>
    <w:p w14:paraId="5CA7266E">
      <w:pPr>
        <w:pStyle w:val="3"/>
        <w:shd w:val="clear" w:fill="FFFFFF" w:themeFill="background1"/>
        <w:spacing w:before="156" w:beforeLines="50" w:line="400" w:lineRule="exact"/>
        <w:rPr>
          <w:rFonts w:ascii="宋体" w:hAnsi="宋体" w:cs="宋体"/>
          <w:color w:val="auto"/>
          <w:sz w:val="24"/>
          <w:szCs w:val="24"/>
          <w:highlight w:val="none"/>
        </w:rPr>
      </w:pPr>
      <w:bookmarkStart w:id="1369" w:name="_Toc453057135"/>
      <w:bookmarkEnd w:id="1369"/>
      <w:bookmarkStart w:id="1370" w:name="_Toc386467221"/>
      <w:bookmarkEnd w:id="1370"/>
      <w:bookmarkStart w:id="1371" w:name="_Toc393546475"/>
      <w:bookmarkEnd w:id="1371"/>
      <w:bookmarkStart w:id="1372" w:name="_Toc43475951"/>
      <w:bookmarkEnd w:id="1372"/>
      <w:bookmarkStart w:id="1373" w:name="_Toc451261325"/>
      <w:bookmarkEnd w:id="1373"/>
      <w:bookmarkStart w:id="1374" w:name="_Toc330406416"/>
      <w:bookmarkEnd w:id="1374"/>
      <w:r>
        <w:rPr>
          <w:rFonts w:hint="eastAsia" w:ascii="宋体" w:hAnsi="宋体" w:cs="宋体"/>
          <w:color w:val="auto"/>
          <w:sz w:val="24"/>
          <w:szCs w:val="24"/>
          <w:highlight w:val="none"/>
        </w:rPr>
        <w:t>11.7工作时间的限制</w:t>
      </w:r>
    </w:p>
    <w:p w14:paraId="24AE2FB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承包人在夜间或国家规定的节假日进行永久工程的施工，应向监理人报告，以便监理人履行监理人履行监理职责和义务。</w:t>
      </w:r>
    </w:p>
    <w:p w14:paraId="18F43B4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但是，为了抢救生命或保护财产，或为了工程的安全、质量而不可避免地短暂作业，则不必事先向监理人报告。但承包人应在事后立即向监理人报告。</w:t>
      </w:r>
    </w:p>
    <w:p w14:paraId="2B718BE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本款规定不适用于习惯上或施工本身要求实行连续生产的作业。</w:t>
      </w:r>
    </w:p>
    <w:p w14:paraId="084DEC59">
      <w:pPr>
        <w:pStyle w:val="3"/>
        <w:shd w:val="clear" w:fill="FFFFFF" w:themeFill="background1"/>
        <w:spacing w:before="156" w:beforeLines="50" w:line="400" w:lineRule="exact"/>
        <w:rPr>
          <w:rFonts w:ascii="宋体" w:hAnsi="宋体" w:cs="宋体"/>
          <w:color w:val="auto"/>
          <w:sz w:val="28"/>
          <w:szCs w:val="28"/>
          <w:highlight w:val="none"/>
        </w:rPr>
      </w:pPr>
      <w:bookmarkStart w:id="1375" w:name="_Toc451261326"/>
      <w:bookmarkEnd w:id="1375"/>
      <w:bookmarkStart w:id="1376" w:name="_Toc393546476"/>
      <w:bookmarkEnd w:id="1376"/>
      <w:bookmarkStart w:id="1377" w:name="_Toc43475952"/>
      <w:bookmarkEnd w:id="1377"/>
      <w:bookmarkStart w:id="1378" w:name="_Toc386467222"/>
      <w:bookmarkEnd w:id="1378"/>
      <w:bookmarkStart w:id="1379" w:name="_Toc453057136"/>
      <w:bookmarkEnd w:id="1379"/>
      <w:bookmarkStart w:id="1380" w:name="_Toc330406417"/>
      <w:bookmarkEnd w:id="1380"/>
      <w:r>
        <w:rPr>
          <w:rFonts w:hint="eastAsia" w:ascii="宋体" w:hAnsi="宋体" w:cs="宋体"/>
          <w:color w:val="auto"/>
          <w:sz w:val="28"/>
          <w:szCs w:val="28"/>
          <w:highlight w:val="none"/>
        </w:rPr>
        <w:t>12.暂停施工</w:t>
      </w:r>
    </w:p>
    <w:p w14:paraId="62A4C0A7">
      <w:pPr>
        <w:pStyle w:val="3"/>
        <w:shd w:val="clear" w:fill="FFFFFF" w:themeFill="background1"/>
        <w:spacing w:before="156" w:beforeLines="50" w:line="400" w:lineRule="exact"/>
        <w:rPr>
          <w:rFonts w:ascii="宋体" w:hAnsi="宋体" w:cs="宋体"/>
          <w:color w:val="auto"/>
          <w:sz w:val="24"/>
          <w:szCs w:val="24"/>
          <w:highlight w:val="none"/>
        </w:rPr>
      </w:pPr>
      <w:bookmarkStart w:id="1381" w:name="_Toc453057137"/>
      <w:bookmarkEnd w:id="1381"/>
      <w:bookmarkStart w:id="1382" w:name="_Toc330406418"/>
      <w:bookmarkEnd w:id="1382"/>
      <w:bookmarkStart w:id="1383" w:name="_Toc386467223"/>
      <w:bookmarkEnd w:id="1383"/>
      <w:bookmarkStart w:id="1384" w:name="_Toc393546477"/>
      <w:bookmarkEnd w:id="1384"/>
      <w:bookmarkStart w:id="1385" w:name="_Toc451261327"/>
      <w:bookmarkEnd w:id="1385"/>
      <w:bookmarkStart w:id="1386" w:name="_Toc43475953"/>
      <w:bookmarkEnd w:id="1386"/>
      <w:r>
        <w:rPr>
          <w:rFonts w:hint="eastAsia" w:ascii="宋体" w:hAnsi="宋体" w:cs="宋体"/>
          <w:color w:val="auto"/>
          <w:sz w:val="24"/>
          <w:szCs w:val="24"/>
          <w:highlight w:val="none"/>
        </w:rPr>
        <w:t>12.1承包人暂停施工的责任</w:t>
      </w:r>
    </w:p>
    <w:p w14:paraId="3B977C4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本款第（5）项细化为：</w:t>
      </w:r>
    </w:p>
    <w:p w14:paraId="6DA591E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（5）现场气候条件导致的必要停工（第11.4款规定的异常恶劣的气候条件除外）；</w:t>
      </w:r>
    </w:p>
    <w:p w14:paraId="1B705BE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（6）项目专用合同条款约定的由承包人承担的其他暂停施工。</w:t>
      </w:r>
    </w:p>
    <w:p w14:paraId="24FA7164">
      <w:pPr>
        <w:pStyle w:val="3"/>
        <w:shd w:val="clear" w:fill="FFFFFF" w:themeFill="background1"/>
        <w:spacing w:before="156" w:beforeLines="50" w:after="120" w:line="400" w:lineRule="exact"/>
        <w:rPr>
          <w:rFonts w:ascii="宋体" w:hAnsi="宋体" w:cs="宋体"/>
          <w:color w:val="auto"/>
          <w:sz w:val="28"/>
          <w:szCs w:val="28"/>
          <w:highlight w:val="none"/>
        </w:rPr>
      </w:pPr>
      <w:bookmarkStart w:id="1387" w:name="_Toc453057138"/>
      <w:bookmarkEnd w:id="1387"/>
      <w:bookmarkStart w:id="1388" w:name="_Toc330406419"/>
      <w:bookmarkEnd w:id="1388"/>
      <w:bookmarkStart w:id="1389" w:name="_Toc451261328"/>
      <w:bookmarkEnd w:id="1389"/>
      <w:bookmarkStart w:id="1390" w:name="_Toc393546478"/>
      <w:bookmarkEnd w:id="1390"/>
      <w:bookmarkStart w:id="1391" w:name="_Toc43475954"/>
      <w:bookmarkEnd w:id="1391"/>
      <w:bookmarkStart w:id="1392" w:name="_Toc386467224"/>
      <w:bookmarkEnd w:id="1392"/>
      <w:r>
        <w:rPr>
          <w:rFonts w:hint="eastAsia" w:ascii="宋体" w:hAnsi="宋体" w:cs="宋体"/>
          <w:color w:val="auto"/>
          <w:sz w:val="28"/>
          <w:szCs w:val="28"/>
          <w:highlight w:val="none"/>
        </w:rPr>
        <w:t>13.工程质量</w:t>
      </w:r>
    </w:p>
    <w:p w14:paraId="6F82137A">
      <w:pPr>
        <w:pStyle w:val="3"/>
        <w:shd w:val="clear" w:fill="FFFFFF" w:themeFill="background1"/>
        <w:spacing w:before="156" w:beforeLines="50" w:line="400" w:lineRule="exact"/>
        <w:rPr>
          <w:rFonts w:ascii="宋体" w:hAnsi="宋体" w:cs="宋体"/>
          <w:color w:val="auto"/>
          <w:sz w:val="24"/>
          <w:szCs w:val="24"/>
          <w:highlight w:val="none"/>
        </w:rPr>
      </w:pPr>
      <w:bookmarkStart w:id="1393" w:name="_Toc386467225"/>
      <w:bookmarkEnd w:id="1393"/>
      <w:bookmarkStart w:id="1394" w:name="_Toc330406420"/>
      <w:bookmarkEnd w:id="1394"/>
      <w:bookmarkStart w:id="1395" w:name="_Toc393546479"/>
      <w:bookmarkEnd w:id="1395"/>
      <w:bookmarkStart w:id="1396" w:name="_Toc453057139"/>
      <w:bookmarkEnd w:id="1396"/>
      <w:bookmarkStart w:id="1397" w:name="_Toc451261329"/>
      <w:bookmarkEnd w:id="1397"/>
      <w:bookmarkStart w:id="1398" w:name="_Toc43475955"/>
      <w:bookmarkEnd w:id="1398"/>
      <w:r>
        <w:rPr>
          <w:rFonts w:hint="eastAsia" w:ascii="宋体" w:hAnsi="宋体" w:cs="宋体"/>
          <w:color w:val="auto"/>
          <w:sz w:val="24"/>
          <w:szCs w:val="24"/>
          <w:highlight w:val="none"/>
        </w:rPr>
        <w:t>13.1工程质量要求</w:t>
      </w:r>
    </w:p>
    <w:p w14:paraId="733DC12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第13.1.1项约定为：</w:t>
      </w:r>
    </w:p>
    <w:p w14:paraId="6041993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工程质量验收按技术规范及《公路工程质量检验评定标准》执行。</w:t>
      </w:r>
    </w:p>
    <w:p w14:paraId="4C63C9F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本款补充第13.1.4和13.1.5项：</w:t>
      </w:r>
    </w:p>
    <w:p w14:paraId="27A85BD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13.1.4发包人和承包人应严格遵守《关于严格落实公路工程质量责任制的若干意见》的相关规定，认真执行工程质量责任登记制度并按要求填写工程质量责任登记表。</w:t>
      </w:r>
    </w:p>
    <w:p w14:paraId="3A28DDD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13.1.5本项目严格执行质量责任追究制度。质量事故处理实行“四不放过”原则：事故原因调查不清不放过；事故责任者没有受到教育不放过；没有防范措施不放过；相关责任人没受到处理不放过。</w:t>
      </w:r>
    </w:p>
    <w:p w14:paraId="17871B7D">
      <w:pPr>
        <w:pStyle w:val="3"/>
        <w:shd w:val="clear" w:fill="FFFFFF" w:themeFill="background1"/>
        <w:spacing w:before="156" w:beforeLines="50" w:line="400" w:lineRule="exact"/>
        <w:rPr>
          <w:rFonts w:ascii="宋体" w:hAnsi="宋体" w:cs="宋体"/>
          <w:color w:val="auto"/>
          <w:sz w:val="24"/>
          <w:szCs w:val="24"/>
          <w:highlight w:val="none"/>
        </w:rPr>
      </w:pPr>
      <w:bookmarkStart w:id="1399" w:name="_Toc451261330"/>
      <w:bookmarkEnd w:id="1399"/>
      <w:bookmarkStart w:id="1400" w:name="_Toc393546480"/>
      <w:bookmarkEnd w:id="1400"/>
      <w:bookmarkStart w:id="1401" w:name="_Toc453057140"/>
      <w:bookmarkEnd w:id="1401"/>
      <w:bookmarkStart w:id="1402" w:name="_Toc43475956"/>
      <w:bookmarkEnd w:id="1402"/>
      <w:bookmarkStart w:id="1403" w:name="_Toc330406421"/>
      <w:bookmarkEnd w:id="1403"/>
      <w:bookmarkStart w:id="1404" w:name="_Toc386467226"/>
      <w:bookmarkEnd w:id="1404"/>
      <w:r>
        <w:rPr>
          <w:rFonts w:hint="eastAsia" w:ascii="宋体" w:hAnsi="宋体" w:cs="宋体"/>
          <w:color w:val="auto"/>
          <w:sz w:val="24"/>
          <w:szCs w:val="24"/>
          <w:highlight w:val="none"/>
        </w:rPr>
        <w:t>13.2承包人的质量管理</w:t>
      </w:r>
    </w:p>
    <w:p w14:paraId="1B0A3BF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第13.2.1项补充：</w:t>
      </w:r>
    </w:p>
    <w:p w14:paraId="1FF5BC5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承包人提交工程质量保证措施文件的期限：签订合同协议书后28天之内。</w:t>
      </w:r>
    </w:p>
    <w:p w14:paraId="3BC6ED9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本款补充第</w:t>
      </w:r>
      <w:r>
        <w:rPr>
          <w:rFonts w:hint="eastAsia" w:ascii="宋体" w:hAnsi="宋体" w:cs="宋体"/>
          <w:color w:val="auto"/>
          <w:sz w:val="24"/>
          <w:highlight w:val="none"/>
        </w:rPr>
        <w:t>13.2.3</w:t>
      </w:r>
      <w:r>
        <w:rPr>
          <w:rFonts w:hint="eastAsia" w:ascii="宋体" w:hAnsi="宋体" w:cs="宋体"/>
          <w:color w:val="auto"/>
          <w:sz w:val="24"/>
          <w:highlight w:val="none"/>
          <w:lang w:val="zh-CN"/>
        </w:rPr>
        <w:t>项〜第</w:t>
      </w:r>
      <w:r>
        <w:rPr>
          <w:rFonts w:hint="eastAsia" w:ascii="宋体" w:hAnsi="宋体" w:cs="宋体"/>
          <w:color w:val="auto"/>
          <w:sz w:val="24"/>
          <w:highlight w:val="none"/>
        </w:rPr>
        <w:t>13.2.10</w:t>
      </w:r>
      <w:r>
        <w:rPr>
          <w:rFonts w:hint="eastAsia" w:ascii="宋体" w:hAnsi="宋体" w:cs="宋体"/>
          <w:color w:val="auto"/>
          <w:sz w:val="24"/>
          <w:highlight w:val="none"/>
          <w:lang w:val="zh-CN"/>
        </w:rPr>
        <w:t>项：</w:t>
      </w:r>
    </w:p>
    <w:p w14:paraId="232B3C6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13.2.3</w:t>
      </w:r>
      <w:r>
        <w:rPr>
          <w:rFonts w:hint="eastAsia" w:ascii="宋体" w:hAnsi="宋体" w:cs="宋体"/>
          <w:color w:val="auto"/>
          <w:sz w:val="24"/>
          <w:highlight w:val="none"/>
          <w:lang w:val="zh-CN"/>
        </w:rPr>
        <w:t>公路工程施行质量责任终身制。承包人应当书面明确相应的项目负责人 和质量负责人。承包人的相关人员按照国家法律法规和有关规定在工程合理使用年 限内承担相应的质量责任。</w:t>
      </w:r>
    </w:p>
    <w:p w14:paraId="492938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13.2.4</w:t>
      </w:r>
      <w:r>
        <w:rPr>
          <w:rFonts w:hint="eastAsia" w:ascii="宋体" w:hAnsi="宋体" w:cs="宋体"/>
          <w:color w:val="auto"/>
          <w:sz w:val="24"/>
          <w:highlight w:val="none"/>
          <w:lang w:val="zh-CN"/>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59BA3AF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13.2.5</w:t>
      </w:r>
      <w:r>
        <w:rPr>
          <w:rFonts w:hint="eastAsia" w:ascii="宋体" w:hAnsi="宋体" w:cs="宋体"/>
          <w:color w:val="auto"/>
          <w:sz w:val="24"/>
          <w:highlight w:val="none"/>
          <w:lang w:val="zh-CN"/>
        </w:rPr>
        <w:t>承包人对工程施工质量负责，应当按合同约定设立现场质量管理机构、 配备工程技术人员和质量管理人员，落实工程施工质量责任制。</w:t>
      </w:r>
    </w:p>
    <w:p w14:paraId="1149801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13.2.6</w:t>
      </w:r>
      <w:r>
        <w:rPr>
          <w:rFonts w:hint="eastAsia" w:ascii="宋体" w:hAnsi="宋体" w:cs="宋体"/>
          <w:color w:val="auto"/>
          <w:sz w:val="24"/>
          <w:highlight w:val="none"/>
          <w:lang w:val="zh-CN"/>
        </w:rPr>
        <w:t>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工序交接检、专职质检员检验的质量控制程序；对分项工程、分部工程和单位工程进行质量自评。检验或者自评不合格的，不得进入下道工序或者投入使用。</w:t>
      </w:r>
    </w:p>
    <w:p w14:paraId="30B094E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13.2.7</w:t>
      </w:r>
      <w:r>
        <w:rPr>
          <w:rFonts w:hint="eastAsia" w:ascii="宋体" w:hAnsi="宋体" w:cs="宋体"/>
          <w:color w:val="auto"/>
          <w:sz w:val="24"/>
          <w:highlight w:val="none"/>
          <w:lang w:val="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131D5D0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13.2.8</w:t>
      </w:r>
      <w:r>
        <w:rPr>
          <w:rFonts w:hint="eastAsia" w:ascii="宋体" w:hAnsi="宋体" w:cs="宋体"/>
          <w:color w:val="auto"/>
          <w:sz w:val="24"/>
          <w:highlight w:val="none"/>
          <w:lang w:val="zh-CN"/>
        </w:rPr>
        <w:t>承包人应当按照合同约定设立工地临时试验室，配齐检测和试验仪器、 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3B1F7BF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13.2.9</w:t>
      </w:r>
      <w:r>
        <w:rPr>
          <w:rFonts w:hint="eastAsia" w:ascii="宋体" w:hAnsi="宋体" w:cs="宋体"/>
          <w:color w:val="auto"/>
          <w:sz w:val="24"/>
          <w:highlight w:val="none"/>
          <w:lang w:val="zh-CN"/>
        </w:rPr>
        <w:t>承包人应当依法规范分包行为，并对承担的工程质量负总责，分包单位 对分包合同范围内的工程质量负责。</w:t>
      </w:r>
    </w:p>
    <w:p w14:paraId="366AA3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13.2.10</w:t>
      </w:r>
      <w:r>
        <w:rPr>
          <w:rFonts w:hint="eastAsia" w:ascii="宋体" w:hAnsi="宋体" w:cs="宋体"/>
          <w:color w:val="auto"/>
          <w:sz w:val="24"/>
          <w:highlight w:val="none"/>
          <w:lang w:val="zh-CN"/>
        </w:rPr>
        <w:t>承包人驻工程现场机构应在现场驻地和重要的分部、分项工程施工现场 设置明显的工程质量责任登记表公示牌</w:t>
      </w:r>
    </w:p>
    <w:p w14:paraId="35D51C18">
      <w:pPr>
        <w:pStyle w:val="3"/>
        <w:shd w:val="clear" w:fill="FFFFFF" w:themeFill="background1"/>
        <w:spacing w:before="156" w:beforeLines="50" w:line="400" w:lineRule="exact"/>
        <w:rPr>
          <w:rFonts w:ascii="宋体" w:hAnsi="宋体" w:cs="宋体"/>
          <w:color w:val="auto"/>
          <w:sz w:val="24"/>
          <w:szCs w:val="24"/>
          <w:highlight w:val="none"/>
        </w:rPr>
      </w:pPr>
      <w:bookmarkStart w:id="1405" w:name="_Toc386467227"/>
      <w:bookmarkEnd w:id="1405"/>
      <w:bookmarkStart w:id="1406" w:name="_Toc453057141"/>
      <w:bookmarkEnd w:id="1406"/>
      <w:bookmarkStart w:id="1407" w:name="_Toc393546481"/>
      <w:bookmarkEnd w:id="1407"/>
      <w:bookmarkStart w:id="1408" w:name="_Toc43475957"/>
      <w:bookmarkEnd w:id="1408"/>
      <w:bookmarkStart w:id="1409" w:name="_Toc451261331"/>
      <w:bookmarkEnd w:id="1409"/>
      <w:bookmarkStart w:id="1410" w:name="_Toc330406422"/>
      <w:bookmarkEnd w:id="1410"/>
      <w:r>
        <w:rPr>
          <w:rFonts w:hint="eastAsia" w:ascii="宋体" w:hAnsi="宋体" w:cs="宋体"/>
          <w:color w:val="auto"/>
          <w:sz w:val="24"/>
          <w:szCs w:val="24"/>
          <w:highlight w:val="none"/>
        </w:rPr>
        <w:t>13.4监理人的质量检查</w:t>
      </w:r>
    </w:p>
    <w:p w14:paraId="59F1B44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3A694D2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521F2B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监理人可以将材料或工程设备的检查委托给一家独立的有质量检验认证资格的检验单位。该独立检验单位的检验结果应视为监理人完成的。监理人应将这种委托的通知书不少于7天交给承包人。</w:t>
      </w:r>
    </w:p>
    <w:p w14:paraId="6F48C9F0">
      <w:pPr>
        <w:pStyle w:val="3"/>
        <w:shd w:val="clear" w:fill="FFFFFF" w:themeFill="background1"/>
        <w:spacing w:before="156" w:beforeLines="50" w:line="400" w:lineRule="exact"/>
        <w:rPr>
          <w:rFonts w:ascii="宋体" w:hAnsi="宋体" w:cs="宋体"/>
          <w:color w:val="auto"/>
          <w:sz w:val="24"/>
          <w:szCs w:val="24"/>
          <w:highlight w:val="none"/>
        </w:rPr>
      </w:pPr>
      <w:bookmarkStart w:id="1411" w:name="_Toc453057142"/>
      <w:bookmarkEnd w:id="1411"/>
      <w:bookmarkStart w:id="1412" w:name="_Toc451261332"/>
      <w:bookmarkEnd w:id="1412"/>
      <w:bookmarkStart w:id="1413" w:name="_Toc393546482"/>
      <w:bookmarkEnd w:id="1413"/>
      <w:bookmarkStart w:id="1414" w:name="_Toc386467228"/>
      <w:bookmarkEnd w:id="1414"/>
      <w:bookmarkStart w:id="1415" w:name="_Toc330406423"/>
      <w:bookmarkEnd w:id="1415"/>
      <w:bookmarkStart w:id="1416" w:name="_Toc43475958"/>
      <w:bookmarkEnd w:id="1416"/>
      <w:r>
        <w:rPr>
          <w:rFonts w:hint="eastAsia" w:ascii="宋体" w:hAnsi="宋体" w:cs="宋体"/>
          <w:color w:val="auto"/>
          <w:sz w:val="24"/>
          <w:szCs w:val="24"/>
          <w:highlight w:val="none"/>
        </w:rPr>
        <w:t>13.5工程隐蔽部位覆盖前的检查</w:t>
      </w:r>
    </w:p>
    <w:p w14:paraId="748F370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第13.5.1项补充：</w:t>
      </w:r>
    </w:p>
    <w:p w14:paraId="558CDF4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68FD40DC">
      <w:pPr>
        <w:pStyle w:val="3"/>
        <w:shd w:val="clear" w:fill="FFFFFF" w:themeFill="background1"/>
        <w:spacing w:before="156" w:beforeLines="50" w:line="400" w:lineRule="exact"/>
        <w:rPr>
          <w:rFonts w:ascii="宋体" w:hAnsi="宋体" w:cs="宋体"/>
          <w:color w:val="auto"/>
          <w:sz w:val="24"/>
          <w:szCs w:val="24"/>
          <w:highlight w:val="none"/>
        </w:rPr>
      </w:pPr>
      <w:bookmarkStart w:id="1417" w:name="_Toc393546483"/>
      <w:bookmarkEnd w:id="1417"/>
      <w:bookmarkStart w:id="1418" w:name="_Toc386467229"/>
      <w:bookmarkEnd w:id="1418"/>
      <w:bookmarkStart w:id="1419" w:name="_Toc43475959"/>
      <w:bookmarkEnd w:id="1419"/>
      <w:bookmarkStart w:id="1420" w:name="_Toc330406424"/>
      <w:bookmarkEnd w:id="1420"/>
      <w:bookmarkStart w:id="1421" w:name="_Toc451261333"/>
      <w:bookmarkEnd w:id="1421"/>
      <w:bookmarkStart w:id="1422" w:name="_Toc453057143"/>
      <w:bookmarkEnd w:id="1422"/>
      <w:r>
        <w:rPr>
          <w:rFonts w:hint="eastAsia" w:ascii="宋体" w:hAnsi="宋体" w:cs="宋体"/>
          <w:color w:val="auto"/>
          <w:sz w:val="24"/>
          <w:szCs w:val="24"/>
          <w:highlight w:val="none"/>
        </w:rPr>
        <w:t>13.6清除不合格工程</w:t>
      </w:r>
    </w:p>
    <w:p w14:paraId="115443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第13.6.1项细化为：</w:t>
      </w:r>
    </w:p>
    <w:p w14:paraId="11F5F16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4531112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（2）如果承包人未在规定时间内执行监理人的指示，发包人有权雇用他人执行，由此增加的费用和（或）工期延误由承包人承担。</w:t>
      </w:r>
    </w:p>
    <w:p w14:paraId="2FBA4B89">
      <w:pPr>
        <w:pStyle w:val="3"/>
        <w:shd w:val="clear" w:fill="FFFFFF" w:themeFill="background1"/>
        <w:spacing w:before="156" w:beforeLines="50" w:after="120" w:line="400" w:lineRule="exact"/>
        <w:rPr>
          <w:rFonts w:ascii="宋体" w:hAnsi="宋体" w:cs="宋体"/>
          <w:color w:val="auto"/>
          <w:sz w:val="28"/>
          <w:szCs w:val="28"/>
          <w:highlight w:val="none"/>
        </w:rPr>
      </w:pPr>
      <w:bookmarkStart w:id="1423" w:name="_Toc451261334"/>
      <w:bookmarkEnd w:id="1423"/>
      <w:bookmarkStart w:id="1424" w:name="_Toc43475960"/>
      <w:bookmarkEnd w:id="1424"/>
      <w:bookmarkStart w:id="1425" w:name="_Toc453057144"/>
      <w:bookmarkEnd w:id="1425"/>
      <w:bookmarkStart w:id="1426" w:name="_Toc393546484"/>
      <w:bookmarkEnd w:id="1426"/>
      <w:bookmarkStart w:id="1427" w:name="_Toc330406425"/>
      <w:bookmarkEnd w:id="1427"/>
      <w:bookmarkStart w:id="1428" w:name="_Toc386467230"/>
      <w:bookmarkEnd w:id="1428"/>
      <w:r>
        <w:rPr>
          <w:rFonts w:hint="eastAsia" w:ascii="宋体" w:hAnsi="宋体" w:cs="宋体"/>
          <w:color w:val="auto"/>
          <w:sz w:val="28"/>
          <w:szCs w:val="28"/>
          <w:highlight w:val="none"/>
        </w:rPr>
        <w:t>14.试验和检验</w:t>
      </w:r>
    </w:p>
    <w:p w14:paraId="321D2E8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补充第14.4款：</w:t>
      </w:r>
    </w:p>
    <w:p w14:paraId="128BFF1B">
      <w:pPr>
        <w:pStyle w:val="3"/>
        <w:shd w:val="clear" w:fill="FFFFFF" w:themeFill="background1"/>
        <w:spacing w:before="156" w:beforeLines="50" w:line="400" w:lineRule="exact"/>
        <w:rPr>
          <w:rFonts w:ascii="宋体" w:hAnsi="宋体" w:cs="宋体"/>
          <w:color w:val="auto"/>
          <w:sz w:val="24"/>
          <w:szCs w:val="24"/>
          <w:highlight w:val="none"/>
        </w:rPr>
      </w:pPr>
      <w:bookmarkStart w:id="1429" w:name="_Toc330406426"/>
      <w:bookmarkEnd w:id="1429"/>
      <w:bookmarkStart w:id="1430" w:name="_Toc453057145"/>
      <w:bookmarkEnd w:id="1430"/>
      <w:bookmarkStart w:id="1431" w:name="_Toc451261335"/>
      <w:bookmarkEnd w:id="1431"/>
      <w:bookmarkStart w:id="1432" w:name="_Toc393546485"/>
      <w:bookmarkEnd w:id="1432"/>
      <w:bookmarkStart w:id="1433" w:name="_Toc386467231"/>
      <w:bookmarkEnd w:id="1433"/>
      <w:bookmarkStart w:id="1434" w:name="_Toc43475961"/>
      <w:bookmarkEnd w:id="1434"/>
      <w:r>
        <w:rPr>
          <w:rFonts w:hint="eastAsia" w:ascii="宋体" w:hAnsi="宋体" w:cs="宋体"/>
          <w:color w:val="auto"/>
          <w:sz w:val="24"/>
          <w:szCs w:val="24"/>
          <w:highlight w:val="none"/>
        </w:rPr>
        <w:t>14.4试验和检验费用</w:t>
      </w:r>
    </w:p>
    <w:p w14:paraId="68E0700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（1）承包人应负责提供合同和技术规范规定的试验和检验所需的全部样品，并承担其费用。</w:t>
      </w:r>
    </w:p>
    <w:p w14:paraId="79D01D5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（2）在合同中明确规定的试验和检验，包括无须在工程量清单中单独列项和已在工程量清单中单独列项的试验和检验，其试验和检验的费用由承包人承担。</w:t>
      </w:r>
    </w:p>
    <w:p w14:paraId="5AB54A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0700B888">
      <w:pPr>
        <w:pStyle w:val="3"/>
        <w:shd w:val="clear" w:fill="FFFFFF" w:themeFill="background1"/>
        <w:spacing w:before="156" w:beforeLines="50" w:after="120" w:line="400" w:lineRule="exact"/>
        <w:rPr>
          <w:rFonts w:ascii="宋体" w:hAnsi="宋体" w:cs="宋体"/>
          <w:color w:val="auto"/>
          <w:sz w:val="28"/>
          <w:szCs w:val="28"/>
          <w:highlight w:val="none"/>
        </w:rPr>
      </w:pPr>
      <w:bookmarkStart w:id="1435" w:name="_Toc451261336"/>
      <w:bookmarkEnd w:id="1435"/>
      <w:bookmarkStart w:id="1436" w:name="_Toc386467232"/>
      <w:bookmarkEnd w:id="1436"/>
      <w:bookmarkStart w:id="1437" w:name="_Toc43475962"/>
      <w:bookmarkEnd w:id="1437"/>
      <w:bookmarkStart w:id="1438" w:name="_Toc330406427"/>
      <w:bookmarkEnd w:id="1438"/>
      <w:bookmarkStart w:id="1439" w:name="_Toc453057146"/>
      <w:bookmarkEnd w:id="1439"/>
      <w:bookmarkStart w:id="1440" w:name="_Toc393546486"/>
      <w:bookmarkEnd w:id="1440"/>
      <w:r>
        <w:rPr>
          <w:rFonts w:hint="eastAsia" w:ascii="宋体" w:hAnsi="宋体" w:cs="宋体"/>
          <w:color w:val="auto"/>
          <w:sz w:val="28"/>
          <w:szCs w:val="28"/>
          <w:highlight w:val="none"/>
        </w:rPr>
        <w:t>15.变更</w:t>
      </w:r>
    </w:p>
    <w:p w14:paraId="334DADEE">
      <w:pPr>
        <w:pStyle w:val="3"/>
        <w:shd w:val="clear" w:fill="FFFFFF" w:themeFill="background1"/>
        <w:spacing w:before="156" w:beforeLines="50" w:line="400" w:lineRule="exact"/>
        <w:rPr>
          <w:rFonts w:ascii="宋体" w:hAnsi="宋体" w:cs="宋体"/>
          <w:color w:val="auto"/>
          <w:sz w:val="24"/>
          <w:szCs w:val="24"/>
          <w:highlight w:val="none"/>
        </w:rPr>
      </w:pPr>
      <w:bookmarkStart w:id="1441" w:name="_Toc330406428"/>
      <w:bookmarkEnd w:id="1441"/>
      <w:bookmarkStart w:id="1442" w:name="_Toc453057147"/>
      <w:bookmarkEnd w:id="1442"/>
      <w:bookmarkStart w:id="1443" w:name="_Toc43475963"/>
      <w:bookmarkEnd w:id="1443"/>
      <w:bookmarkStart w:id="1444" w:name="_Toc451261337"/>
      <w:bookmarkEnd w:id="1444"/>
      <w:bookmarkStart w:id="1445" w:name="_Toc393546487"/>
      <w:bookmarkEnd w:id="1445"/>
      <w:bookmarkStart w:id="1446" w:name="_Toc386467233"/>
      <w:bookmarkEnd w:id="1446"/>
      <w:r>
        <w:rPr>
          <w:rFonts w:hint="eastAsia" w:ascii="宋体" w:hAnsi="宋体" w:cs="宋体"/>
          <w:color w:val="auto"/>
          <w:sz w:val="24"/>
          <w:szCs w:val="24"/>
          <w:highlight w:val="none"/>
        </w:rPr>
        <w:t>15.1变更的范围和内容</w:t>
      </w:r>
    </w:p>
    <w:p w14:paraId="2E2E1EF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本款第（1）项细化为：</w:t>
      </w:r>
    </w:p>
    <w:p w14:paraId="504CFF6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（1）取消合同中任何一项工作，但被取消的工作不能转由发包人或其他人实施，由于承包人违约造成的情况除外；</w:t>
      </w:r>
    </w:p>
    <w:p w14:paraId="38ED115C">
      <w:pPr>
        <w:pStyle w:val="3"/>
        <w:shd w:val="clear" w:fill="FFFFFF" w:themeFill="background1"/>
        <w:spacing w:before="156" w:beforeLines="50" w:line="400" w:lineRule="exact"/>
        <w:rPr>
          <w:rFonts w:ascii="宋体" w:hAnsi="宋体" w:cs="宋体"/>
          <w:color w:val="auto"/>
          <w:sz w:val="24"/>
          <w:szCs w:val="24"/>
          <w:highlight w:val="none"/>
        </w:rPr>
      </w:pPr>
      <w:bookmarkStart w:id="1447" w:name="_Toc386467234"/>
      <w:bookmarkEnd w:id="1447"/>
      <w:bookmarkStart w:id="1448" w:name="_Toc393546488"/>
      <w:bookmarkEnd w:id="1448"/>
      <w:bookmarkStart w:id="1449" w:name="_Toc451261338"/>
      <w:bookmarkEnd w:id="1449"/>
      <w:bookmarkStart w:id="1450" w:name="_Toc453057148"/>
      <w:bookmarkEnd w:id="1450"/>
      <w:bookmarkStart w:id="1451" w:name="_Toc330406429"/>
      <w:bookmarkEnd w:id="1451"/>
      <w:bookmarkStart w:id="1452" w:name="_Toc43475964"/>
      <w:bookmarkEnd w:id="1452"/>
      <w:r>
        <w:rPr>
          <w:rFonts w:hint="eastAsia" w:ascii="宋体" w:hAnsi="宋体" w:cs="宋体"/>
          <w:color w:val="auto"/>
          <w:sz w:val="24"/>
          <w:szCs w:val="24"/>
          <w:highlight w:val="none"/>
        </w:rPr>
        <w:t>15.3变更程序</w:t>
      </w:r>
    </w:p>
    <w:p w14:paraId="7E038CA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本款补充第15.3.4项：</w:t>
      </w:r>
    </w:p>
    <w:p w14:paraId="0E2A120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15.3.4设计变更程序应执行《公路工程设计变更管理办法》的相关规定。</w:t>
      </w:r>
    </w:p>
    <w:p w14:paraId="1DBEAC8D">
      <w:pPr>
        <w:pStyle w:val="3"/>
        <w:shd w:val="clear" w:fill="FFFFFF" w:themeFill="background1"/>
        <w:spacing w:before="156" w:beforeLines="50" w:line="400" w:lineRule="exact"/>
        <w:rPr>
          <w:rFonts w:ascii="宋体" w:hAnsi="宋体" w:cs="宋体"/>
          <w:color w:val="auto"/>
          <w:sz w:val="24"/>
          <w:szCs w:val="24"/>
          <w:highlight w:val="none"/>
        </w:rPr>
      </w:pPr>
      <w:bookmarkStart w:id="1453" w:name="_Toc386467235"/>
      <w:bookmarkEnd w:id="1453"/>
      <w:bookmarkStart w:id="1454" w:name="_Toc393546489"/>
      <w:bookmarkEnd w:id="1454"/>
      <w:bookmarkStart w:id="1455" w:name="_Toc330406430"/>
      <w:bookmarkEnd w:id="1455"/>
      <w:bookmarkStart w:id="1456" w:name="_Toc453057149"/>
      <w:bookmarkEnd w:id="1456"/>
      <w:bookmarkStart w:id="1457" w:name="_Toc451261339"/>
      <w:bookmarkEnd w:id="1457"/>
      <w:bookmarkStart w:id="1458" w:name="_Toc43475965"/>
      <w:bookmarkEnd w:id="1458"/>
      <w:r>
        <w:rPr>
          <w:rFonts w:hint="eastAsia" w:ascii="宋体" w:hAnsi="宋体" w:cs="宋体"/>
          <w:color w:val="auto"/>
          <w:sz w:val="24"/>
          <w:szCs w:val="24"/>
          <w:highlight w:val="none"/>
        </w:rPr>
        <w:t>15.4变更的估价原则</w:t>
      </w:r>
    </w:p>
    <w:p w14:paraId="0CDD294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6A9697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除项目专用合同条款另有约定外，因变更引起的价格调整按照本款约定处理。</w:t>
      </w:r>
    </w:p>
    <w:p w14:paraId="233863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15.4.1如果取消某项工作，则该项工作的总额价不予以支付；</w:t>
      </w:r>
    </w:p>
    <w:p w14:paraId="3D9A152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15.4.2已标价工程量清单中有适用于变更工作的子目的，采用该子目的单价。</w:t>
      </w:r>
    </w:p>
    <w:p w14:paraId="15D530E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15.4.3已标价工程量清单中无适用于变更工作的子目，但有类似子目的，可在合理范围内参照类似子目的单价，由监理人按第3.5款商定或确定变更工作的单价。</w:t>
      </w:r>
    </w:p>
    <w:p w14:paraId="66275F3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15.4.4已标价工程量清单中无适用或类似子目的单价，可在综合考虑承包人在投标时所提供的单价分析表的基础上，由监理人按第3.5款商定或确定变更工作的单价。</w:t>
      </w:r>
    </w:p>
    <w:p w14:paraId="5C893C3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15.4.5如果本工程的变更指示是因承包人过错、承包人违反合同或承包人责任造成的，则这种违约引起的任何额外费用应由承包人承担。</w:t>
      </w:r>
    </w:p>
    <w:p w14:paraId="1EF2718A">
      <w:pPr>
        <w:pStyle w:val="3"/>
        <w:shd w:val="clear" w:fill="FFFFFF" w:themeFill="background1"/>
        <w:spacing w:before="156" w:beforeLines="50" w:line="400" w:lineRule="exact"/>
        <w:rPr>
          <w:rFonts w:ascii="宋体" w:hAnsi="宋体" w:cs="宋体"/>
          <w:color w:val="auto"/>
          <w:sz w:val="24"/>
          <w:szCs w:val="24"/>
          <w:highlight w:val="none"/>
        </w:rPr>
      </w:pPr>
      <w:bookmarkStart w:id="1459" w:name="_Toc453057150"/>
      <w:bookmarkEnd w:id="1459"/>
      <w:bookmarkStart w:id="1460" w:name="_Toc330406431"/>
      <w:bookmarkEnd w:id="1460"/>
      <w:bookmarkStart w:id="1461" w:name="_Toc451261340"/>
      <w:bookmarkEnd w:id="1461"/>
      <w:bookmarkStart w:id="1462" w:name="_Toc386467236"/>
      <w:bookmarkEnd w:id="1462"/>
      <w:bookmarkStart w:id="1463" w:name="_Toc393546490"/>
      <w:bookmarkEnd w:id="1463"/>
      <w:bookmarkStart w:id="1464" w:name="_Toc43475966"/>
      <w:bookmarkEnd w:id="1464"/>
      <w:r>
        <w:rPr>
          <w:rFonts w:hint="eastAsia" w:ascii="宋体" w:hAnsi="宋体" w:cs="宋体"/>
          <w:color w:val="auto"/>
          <w:sz w:val="24"/>
          <w:szCs w:val="24"/>
          <w:highlight w:val="none"/>
        </w:rPr>
        <w:t>15.5承包人的合理化建议</w:t>
      </w:r>
    </w:p>
    <w:p w14:paraId="67DBF12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第15.5.2项约定为：</w:t>
      </w:r>
    </w:p>
    <w:p w14:paraId="0CE769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承包人提出的合理化建议缩短了工期，发包人按第11.6款的规定给予奖励。</w:t>
      </w:r>
    </w:p>
    <w:p w14:paraId="43181A5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承包人提出的合理化建议降低了合同价格或者提高了工程经济效益的，发包人按项目专用合同条款数据表中规定的金额给予奖励。</w:t>
      </w:r>
    </w:p>
    <w:p w14:paraId="5949CC60">
      <w:pPr>
        <w:pStyle w:val="3"/>
        <w:shd w:val="clear" w:fill="FFFFFF" w:themeFill="background1"/>
        <w:spacing w:before="156" w:beforeLines="50" w:line="400" w:lineRule="exact"/>
        <w:rPr>
          <w:rFonts w:ascii="宋体" w:hAnsi="宋体" w:cs="宋体"/>
          <w:color w:val="auto"/>
          <w:sz w:val="24"/>
          <w:szCs w:val="24"/>
          <w:highlight w:val="none"/>
        </w:rPr>
      </w:pPr>
      <w:bookmarkStart w:id="1465" w:name="_Toc43475967"/>
      <w:bookmarkEnd w:id="1465"/>
      <w:bookmarkStart w:id="1466" w:name="_Toc386467237"/>
      <w:bookmarkEnd w:id="1466"/>
      <w:bookmarkStart w:id="1467" w:name="_Toc451261341"/>
      <w:bookmarkEnd w:id="1467"/>
      <w:bookmarkStart w:id="1468" w:name="_Toc453057151"/>
      <w:bookmarkEnd w:id="1468"/>
      <w:bookmarkStart w:id="1469" w:name="_Toc330406432"/>
      <w:bookmarkEnd w:id="1469"/>
      <w:bookmarkStart w:id="1470" w:name="_Toc393546491"/>
      <w:bookmarkEnd w:id="1470"/>
      <w:r>
        <w:rPr>
          <w:rFonts w:hint="eastAsia" w:ascii="宋体" w:hAnsi="宋体" w:cs="宋体"/>
          <w:color w:val="auto"/>
          <w:sz w:val="24"/>
          <w:szCs w:val="24"/>
          <w:highlight w:val="none"/>
        </w:rPr>
        <w:t>15.6暂列金额</w:t>
      </w:r>
    </w:p>
    <w:p w14:paraId="6AB2AD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1BEBD18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15.6.l暂列金额应由监理人报发包人批准后指令全部或部分地使用，或者根本不予动用。</w:t>
      </w:r>
    </w:p>
    <w:p w14:paraId="409A6B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6364611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15.6.3当监理人提出要求时，承包人应提供有关暂列金额支出的所有报价单、发票、凭证和账单或收据，除非该工作是根据已标价工程量清单列明的单价或总额价进行的估价。</w:t>
      </w:r>
    </w:p>
    <w:p w14:paraId="0D540E78">
      <w:pPr>
        <w:pStyle w:val="3"/>
        <w:shd w:val="clear" w:fill="FFFFFF" w:themeFill="background1"/>
        <w:spacing w:before="156" w:beforeLines="50" w:after="120" w:line="400" w:lineRule="exact"/>
        <w:rPr>
          <w:rFonts w:ascii="宋体" w:hAnsi="宋体" w:cs="宋体"/>
          <w:color w:val="auto"/>
          <w:sz w:val="28"/>
          <w:szCs w:val="28"/>
          <w:highlight w:val="none"/>
        </w:rPr>
      </w:pPr>
      <w:bookmarkStart w:id="1471" w:name="_Toc393546492"/>
      <w:bookmarkEnd w:id="1471"/>
      <w:bookmarkStart w:id="1472" w:name="_Toc43475968"/>
      <w:bookmarkEnd w:id="1472"/>
      <w:bookmarkStart w:id="1473" w:name="_Toc453057152"/>
      <w:bookmarkEnd w:id="1473"/>
      <w:bookmarkStart w:id="1474" w:name="_Toc451261342"/>
      <w:bookmarkEnd w:id="1474"/>
      <w:bookmarkStart w:id="1475" w:name="_Toc386467238"/>
      <w:bookmarkEnd w:id="1475"/>
      <w:bookmarkStart w:id="1476" w:name="_Toc330406433"/>
      <w:bookmarkEnd w:id="1476"/>
      <w:r>
        <w:rPr>
          <w:rFonts w:hint="eastAsia" w:ascii="宋体" w:hAnsi="宋体" w:cs="宋体"/>
          <w:color w:val="auto"/>
          <w:sz w:val="28"/>
          <w:szCs w:val="28"/>
          <w:highlight w:val="none"/>
        </w:rPr>
        <w:t>16.价格调整</w:t>
      </w:r>
    </w:p>
    <w:p w14:paraId="02A8E462">
      <w:pPr>
        <w:pStyle w:val="3"/>
        <w:shd w:val="clear" w:fill="FFFFFF" w:themeFill="background1"/>
        <w:spacing w:before="156" w:beforeLines="50" w:line="400" w:lineRule="exact"/>
        <w:rPr>
          <w:rFonts w:ascii="宋体" w:hAnsi="宋体" w:cs="宋体"/>
          <w:color w:val="auto"/>
          <w:sz w:val="24"/>
          <w:szCs w:val="24"/>
          <w:highlight w:val="none"/>
        </w:rPr>
      </w:pPr>
      <w:bookmarkStart w:id="1477" w:name="_Toc43475969"/>
      <w:bookmarkEnd w:id="1477"/>
      <w:bookmarkStart w:id="1478" w:name="_Toc386467239"/>
      <w:bookmarkEnd w:id="1478"/>
      <w:bookmarkStart w:id="1479" w:name="_Toc393546493"/>
      <w:bookmarkEnd w:id="1479"/>
      <w:bookmarkStart w:id="1480" w:name="_Toc451261343"/>
      <w:bookmarkEnd w:id="1480"/>
      <w:bookmarkStart w:id="1481" w:name="_Toc453057153"/>
      <w:bookmarkEnd w:id="1481"/>
      <w:bookmarkStart w:id="1482" w:name="_Toc330406434"/>
      <w:bookmarkEnd w:id="1482"/>
      <w:r>
        <w:rPr>
          <w:rFonts w:hint="eastAsia" w:ascii="宋体" w:hAnsi="宋体" w:cs="宋体"/>
          <w:color w:val="auto"/>
          <w:sz w:val="24"/>
          <w:szCs w:val="24"/>
          <w:highlight w:val="none"/>
        </w:rPr>
        <w:t>16.1物价波动引起的价格调整</w:t>
      </w:r>
    </w:p>
    <w:p w14:paraId="38F443E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468C0D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（1）除项目专用合同条款另有约定外，因物价波动引起的价格调整应按项目专用合同条款数据表的规定，按照第16.1.1项或第16.1.2项约定的原则处理；或者</w:t>
      </w:r>
    </w:p>
    <w:p w14:paraId="49362B5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（2）在合同执行期间（包括工期拖延期间），由于人工、材料和设备价格的上涨而引起工程施工成本增加的风险由承包人自行承担，合同价格不会因此而调整。</w:t>
      </w:r>
    </w:p>
    <w:p w14:paraId="79494A0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16.1.1采用价格指数调整价格差额</w:t>
      </w:r>
    </w:p>
    <w:p w14:paraId="38709DB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16.1.1价格调整公式</w:t>
      </w:r>
    </w:p>
    <w:p w14:paraId="6DA343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价格调整公式后增加备注如下：</w:t>
      </w:r>
    </w:p>
    <w:p w14:paraId="1957DFF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式中，</w:t>
      </w:r>
      <w:r>
        <w:rPr>
          <w:rFonts w:hint="eastAsia" w:ascii="宋体" w:hAnsi="宋体" w:cs="宋体"/>
          <w:i/>
          <w:color w:val="auto"/>
          <w:sz w:val="24"/>
          <w:highlight w:val="none"/>
        </w:rPr>
        <w:t>A</w:t>
      </w:r>
      <w:r>
        <w:rPr>
          <w:rFonts w:hint="eastAsia" w:ascii="宋体" w:hAnsi="宋体" w:cs="宋体"/>
          <w:color w:val="auto"/>
          <w:sz w:val="24"/>
          <w:highlight w:val="none"/>
        </w:rPr>
        <w:t xml:space="preserve"> ＝ 1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1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2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3 </w:t>
      </w:r>
      <w:r>
        <w:rPr>
          <w:rFonts w:hint="eastAsia" w:ascii="宋体" w:hAnsi="宋体" w:cs="宋体"/>
          <w:color w:val="auto"/>
          <w:sz w:val="24"/>
          <w:highlight w:val="none"/>
        </w:rPr>
        <w:t xml:space="preserve">＋ ...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n </w:t>
      </w:r>
      <w:r>
        <w:rPr>
          <w:rFonts w:hint="eastAsia" w:ascii="宋体" w:hAnsi="宋体" w:cs="宋体"/>
          <w:color w:val="auto"/>
          <w:sz w:val="24"/>
          <w:highlight w:val="none"/>
        </w:rPr>
        <w:t>）</w:t>
      </w:r>
    </w:p>
    <w:p w14:paraId="11F80B2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本目最后一段文字细化为：</w:t>
      </w:r>
    </w:p>
    <w:p w14:paraId="01D1DD5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在采用价格调整公式进行调价时，还应遵守以下规定：</w:t>
      </w:r>
    </w:p>
    <w:p w14:paraId="7500F93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2873969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0B65484E">
      <w:pPr>
        <w:pStyle w:val="3"/>
        <w:shd w:val="clear" w:fill="FFFFFF" w:themeFill="background1"/>
        <w:spacing w:before="156" w:beforeLines="50" w:after="120" w:line="400" w:lineRule="exact"/>
        <w:rPr>
          <w:rFonts w:ascii="宋体" w:hAnsi="宋体" w:cs="宋体"/>
          <w:color w:val="auto"/>
          <w:sz w:val="28"/>
          <w:szCs w:val="28"/>
          <w:highlight w:val="none"/>
        </w:rPr>
      </w:pPr>
      <w:bookmarkStart w:id="1483" w:name="_Toc43475970"/>
      <w:bookmarkEnd w:id="1483"/>
      <w:bookmarkStart w:id="1484" w:name="_Toc453057154"/>
      <w:bookmarkEnd w:id="1484"/>
      <w:bookmarkStart w:id="1485" w:name="_Toc386467240"/>
      <w:bookmarkEnd w:id="1485"/>
      <w:bookmarkStart w:id="1486" w:name="_Toc451261344"/>
      <w:bookmarkEnd w:id="1486"/>
      <w:bookmarkStart w:id="1487" w:name="_Toc393546494"/>
      <w:bookmarkEnd w:id="1487"/>
      <w:bookmarkStart w:id="1488" w:name="_Toc330406435"/>
      <w:bookmarkEnd w:id="1488"/>
      <w:r>
        <w:rPr>
          <w:rFonts w:hint="eastAsia" w:ascii="宋体" w:hAnsi="宋体" w:cs="宋体"/>
          <w:color w:val="auto"/>
          <w:sz w:val="28"/>
          <w:szCs w:val="28"/>
          <w:highlight w:val="none"/>
        </w:rPr>
        <w:t>17.计量与支付</w:t>
      </w:r>
    </w:p>
    <w:p w14:paraId="7BF65D75">
      <w:pPr>
        <w:pStyle w:val="3"/>
        <w:shd w:val="clear" w:fill="FFFFFF" w:themeFill="background1"/>
        <w:spacing w:before="156" w:beforeLines="50" w:line="400" w:lineRule="exact"/>
        <w:rPr>
          <w:rFonts w:ascii="宋体" w:hAnsi="宋体" w:cs="宋体"/>
          <w:color w:val="auto"/>
          <w:sz w:val="24"/>
          <w:szCs w:val="24"/>
          <w:highlight w:val="none"/>
        </w:rPr>
      </w:pPr>
      <w:bookmarkStart w:id="1489" w:name="_Toc453057155"/>
      <w:bookmarkEnd w:id="1489"/>
      <w:bookmarkStart w:id="1490" w:name="_Toc330406436"/>
      <w:bookmarkEnd w:id="1490"/>
      <w:bookmarkStart w:id="1491" w:name="_Toc43475971"/>
      <w:bookmarkEnd w:id="1491"/>
      <w:bookmarkStart w:id="1492" w:name="_Toc386467241"/>
      <w:bookmarkEnd w:id="1492"/>
      <w:bookmarkStart w:id="1493" w:name="_Toc451261345"/>
      <w:bookmarkEnd w:id="1493"/>
      <w:bookmarkStart w:id="1494" w:name="_Toc393546495"/>
      <w:bookmarkEnd w:id="1494"/>
      <w:r>
        <w:rPr>
          <w:rFonts w:hint="eastAsia" w:ascii="宋体" w:hAnsi="宋体" w:cs="宋体"/>
          <w:color w:val="auto"/>
          <w:sz w:val="24"/>
          <w:szCs w:val="24"/>
          <w:highlight w:val="none"/>
        </w:rPr>
        <w:t>17.1计量</w:t>
      </w:r>
    </w:p>
    <w:p w14:paraId="0A54D04A">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17.1.2计量方法</w:t>
      </w:r>
    </w:p>
    <w:p w14:paraId="11D145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5A4A5C6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工程的计量应以净值为准，除非项目专用合同条款另有约定。工程量清单中各个子目的具体计量方法按本合同文件技术标准中的规定执行。</w:t>
      </w:r>
    </w:p>
    <w:p w14:paraId="4EDA69A2">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17.1.4单价子目的计量</w:t>
      </w:r>
    </w:p>
    <w:p w14:paraId="4861FDB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7C00948A">
      <w:pPr>
        <w:numPr>
          <w:ilvl w:val="0"/>
          <w:numId w:val="16"/>
        </w:num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承包人未在已标价工程量清单中填入单价或总额价的工程子目，将被认为其已包含在本合同的其他子目的单价和总额价中，发包人将不另行支付。</w:t>
      </w:r>
    </w:p>
    <w:p w14:paraId="164EB769">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17.1.5总价子目的计量</w:t>
      </w:r>
    </w:p>
    <w:p w14:paraId="6A3BF60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7CAB8D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本项目工程量清单中要求承包人以“总额”方式报价的子目，各子目的支付原则和支付进度按项目专用合同条款的规定执行。</w:t>
      </w:r>
    </w:p>
    <w:p w14:paraId="76F8D1DF">
      <w:pPr>
        <w:shd w:val="clear" w:fill="FFFFFF" w:themeFill="background1"/>
        <w:spacing w:line="400" w:lineRule="exact"/>
        <w:ind w:left="420" w:leftChars="200"/>
        <w:rPr>
          <w:rFonts w:ascii="宋体" w:hAnsi="宋体" w:cs="宋体"/>
          <w:color w:val="auto"/>
          <w:sz w:val="24"/>
          <w:highlight w:val="none"/>
        </w:rPr>
      </w:pPr>
    </w:p>
    <w:p w14:paraId="577F5A39">
      <w:pPr>
        <w:pStyle w:val="3"/>
        <w:shd w:val="clear" w:fill="FFFFFF" w:themeFill="background1"/>
        <w:spacing w:before="156" w:beforeLines="50" w:line="400" w:lineRule="exact"/>
        <w:rPr>
          <w:rFonts w:ascii="宋体" w:hAnsi="宋体" w:cs="宋体"/>
          <w:color w:val="auto"/>
          <w:sz w:val="24"/>
          <w:szCs w:val="24"/>
          <w:highlight w:val="none"/>
        </w:rPr>
      </w:pPr>
      <w:bookmarkStart w:id="1495" w:name="_Toc393546496"/>
      <w:bookmarkEnd w:id="1495"/>
      <w:bookmarkStart w:id="1496" w:name="_Toc453057156"/>
      <w:bookmarkEnd w:id="1496"/>
      <w:bookmarkStart w:id="1497" w:name="_Toc386467242"/>
      <w:bookmarkEnd w:id="1497"/>
      <w:bookmarkStart w:id="1498" w:name="_Toc451261346"/>
      <w:bookmarkEnd w:id="1498"/>
      <w:bookmarkStart w:id="1499" w:name="_Toc43475972"/>
      <w:bookmarkEnd w:id="1499"/>
      <w:bookmarkStart w:id="1500" w:name="_Toc330406437"/>
      <w:bookmarkEnd w:id="1500"/>
      <w:r>
        <w:rPr>
          <w:rFonts w:hint="eastAsia" w:ascii="宋体" w:hAnsi="宋体" w:cs="宋体"/>
          <w:color w:val="auto"/>
          <w:sz w:val="24"/>
          <w:szCs w:val="24"/>
          <w:highlight w:val="none"/>
        </w:rPr>
        <w:t>17.2预付款</w:t>
      </w:r>
    </w:p>
    <w:p w14:paraId="436A9AAC">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17.2.1预付款</w:t>
      </w:r>
    </w:p>
    <w:p w14:paraId="23672EF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65149FC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预付款包括开工预付款和材料、设备预付款。具体额度和预付办法如下：</w:t>
      </w:r>
    </w:p>
    <w:p w14:paraId="7C61820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（1）开工预付款的金额在项目专用条款数据表中约定。在承包人签订了合同协议书且承包人承诺的主要设备进场后，监理人应在当期进度付款证书中向承包人支付开工预付款。</w:t>
      </w:r>
    </w:p>
    <w:p w14:paraId="14C05A1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7317DD5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6CBDE4E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a.材料、设备符合规范要求并经监理人认可；</w:t>
      </w:r>
    </w:p>
    <w:p w14:paraId="55DF2AC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b.承包人已出具材料、设备费用凭证或支付单据；</w:t>
      </w:r>
    </w:p>
    <w:p w14:paraId="6738FF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c.材料、设备已在现场交货，且存储良好，监理人认为材料、设备的存储方法符合要求。</w:t>
      </w:r>
    </w:p>
    <w:p w14:paraId="56932B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则监理人应将此项金额作为材料、设备预付款计入下一次的进度付款证书中。在预计交工前3个月，将不再支付材料、设备预付款。</w:t>
      </w:r>
    </w:p>
    <w:p w14:paraId="0A637F78">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17.2.2预付款保函</w:t>
      </w:r>
    </w:p>
    <w:p w14:paraId="552218B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4EE6D98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承包人无须向发包人提交预付款保函。发包人向承包人支付的预付款，应按照本合同第17.2.1项规定使用，承包人提交的履约保证金对预付款的正常使用承担保证责任。</w:t>
      </w:r>
    </w:p>
    <w:p w14:paraId="0C39ED77">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17.2.3预付款的扣回与还清</w:t>
      </w:r>
    </w:p>
    <w:p w14:paraId="222437E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1AF47F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l）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1F1B871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（2）当材料、设备已用于或安装在永久工程之中时，材料、设备预付款应从进度付款证书中扣回，扣回期不超过3个月。已经支付材料、设备预付款的材料、设备的所有权应属于发包人。</w:t>
      </w:r>
    </w:p>
    <w:p w14:paraId="234E23A9">
      <w:pPr>
        <w:pStyle w:val="3"/>
        <w:shd w:val="clear" w:fill="FFFFFF" w:themeFill="background1"/>
        <w:spacing w:before="156" w:beforeLines="50" w:line="400" w:lineRule="exact"/>
        <w:rPr>
          <w:rFonts w:ascii="宋体" w:hAnsi="宋体" w:cs="宋体"/>
          <w:color w:val="auto"/>
          <w:sz w:val="24"/>
          <w:szCs w:val="24"/>
          <w:highlight w:val="none"/>
        </w:rPr>
      </w:pPr>
      <w:bookmarkStart w:id="1501" w:name="_Toc453057157"/>
      <w:bookmarkEnd w:id="1501"/>
      <w:bookmarkStart w:id="1502" w:name="_Toc393546497"/>
      <w:bookmarkEnd w:id="1502"/>
      <w:bookmarkStart w:id="1503" w:name="_Toc451261347"/>
      <w:bookmarkEnd w:id="1503"/>
      <w:bookmarkStart w:id="1504" w:name="_Toc386467243"/>
      <w:bookmarkEnd w:id="1504"/>
      <w:bookmarkStart w:id="1505" w:name="_Toc43475973"/>
      <w:bookmarkEnd w:id="1505"/>
      <w:bookmarkStart w:id="1506" w:name="_Toc330406438"/>
      <w:bookmarkEnd w:id="1506"/>
      <w:r>
        <w:rPr>
          <w:rFonts w:hint="eastAsia" w:ascii="宋体" w:hAnsi="宋体" w:cs="宋体"/>
          <w:color w:val="auto"/>
          <w:sz w:val="24"/>
          <w:szCs w:val="24"/>
          <w:highlight w:val="none"/>
        </w:rPr>
        <w:t>17.3工程进度付款</w:t>
      </w:r>
    </w:p>
    <w:p w14:paraId="3B3B0FB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17.3.3进度付款证书和支付时间</w:t>
      </w:r>
    </w:p>
    <w:p w14:paraId="4E612D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本项（1）目补充：</w:t>
      </w:r>
    </w:p>
    <w:p w14:paraId="657146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7752F4A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1FD3C3D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发包人应在监理人收到进度付款申请单且承包人提交了合格的增值税专用发票 后的28天内，将进度应付款支付给承包人。</w:t>
      </w:r>
    </w:p>
    <w:p w14:paraId="1AA7A932">
      <w:pPr>
        <w:shd w:val="clear" w:fill="FFFFFF" w:themeFill="background1"/>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发包人不按期支付的，按项目专用合同条款数据表中约定的利率向承包人支付 逾期付款违约金。违约金计算基数为发包人的全部未付款额，时间从应付而未付该 款额之日算起（不计复利）。</w:t>
      </w:r>
    </w:p>
    <w:p w14:paraId="551F73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本款补充第</w:t>
      </w:r>
      <w:r>
        <w:rPr>
          <w:rFonts w:hint="eastAsia" w:ascii="宋体" w:hAnsi="宋体" w:cs="宋体"/>
          <w:color w:val="auto"/>
          <w:sz w:val="24"/>
          <w:highlight w:val="none"/>
        </w:rPr>
        <w:t>17.3.5</w:t>
      </w:r>
      <w:r>
        <w:rPr>
          <w:rFonts w:hint="eastAsia" w:ascii="宋体" w:hAnsi="宋体" w:cs="宋体"/>
          <w:color w:val="auto"/>
          <w:sz w:val="24"/>
          <w:highlight w:val="none"/>
          <w:lang w:val="zh-CN"/>
        </w:rPr>
        <w:t>项：</w:t>
      </w:r>
    </w:p>
    <w:p w14:paraId="34915D1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17.3.5</w:t>
      </w:r>
      <w:r>
        <w:rPr>
          <w:rFonts w:hint="eastAsia" w:ascii="宋体" w:hAnsi="宋体" w:cs="宋体"/>
          <w:color w:val="auto"/>
          <w:sz w:val="24"/>
          <w:highlight w:val="none"/>
          <w:lang w:val="zh-CN"/>
        </w:rPr>
        <w:t>农民工工资保证金</w:t>
      </w:r>
    </w:p>
    <w:p w14:paraId="775FB21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为确保施工过程中农民工工资实时、足额发放到位，承包人应按照项目专 用合同条款约定的时间和金额缴存农民工工资保证金。</w:t>
      </w:r>
    </w:p>
    <w:p w14:paraId="1132208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农民工工资保证金可采用银行保函或现金、支票形式。采用银行保函时，出具保函的银行须具有相应担保能力，且按照发包人批准的格式出具，所需费用由承包人承担。</w:t>
      </w:r>
    </w:p>
    <w:p w14:paraId="3A6740D4">
      <w:pPr>
        <w:shd w:val="clear" w:fill="FFFFFF" w:themeFill="background1"/>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农民工工资保证金的扣留条件、返还时间按照项目专用合同条款的约定执 行。</w:t>
      </w:r>
    </w:p>
    <w:p w14:paraId="55EDF811">
      <w:pPr>
        <w:pStyle w:val="3"/>
        <w:shd w:val="clear" w:fill="FFFFFF" w:themeFill="background1"/>
        <w:spacing w:before="156" w:beforeLines="50" w:line="400" w:lineRule="exact"/>
        <w:rPr>
          <w:rFonts w:ascii="宋体" w:hAnsi="宋体" w:cs="宋体"/>
          <w:color w:val="auto"/>
          <w:sz w:val="24"/>
          <w:szCs w:val="24"/>
          <w:highlight w:val="none"/>
        </w:rPr>
      </w:pPr>
      <w:bookmarkStart w:id="1507" w:name="_Toc330406439"/>
      <w:bookmarkEnd w:id="1507"/>
      <w:bookmarkStart w:id="1508" w:name="_Toc453057158"/>
      <w:bookmarkEnd w:id="1508"/>
      <w:bookmarkStart w:id="1509" w:name="_Toc451261348"/>
      <w:bookmarkEnd w:id="1509"/>
      <w:bookmarkStart w:id="1510" w:name="_Toc386467244"/>
      <w:bookmarkEnd w:id="1510"/>
      <w:bookmarkStart w:id="1511" w:name="_Toc393546498"/>
      <w:bookmarkEnd w:id="1511"/>
      <w:bookmarkStart w:id="1512" w:name="_Toc43475974"/>
      <w:bookmarkEnd w:id="1512"/>
      <w:r>
        <w:rPr>
          <w:rFonts w:hint="eastAsia" w:ascii="宋体" w:hAnsi="宋体" w:cs="宋体"/>
          <w:color w:val="auto"/>
          <w:sz w:val="24"/>
          <w:szCs w:val="24"/>
          <w:highlight w:val="none"/>
        </w:rPr>
        <w:t>17.4质量保证金</w:t>
      </w:r>
    </w:p>
    <w:p w14:paraId="5B0696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第17.4.1、</w:t>
      </w:r>
      <w:r>
        <w:rPr>
          <w:rFonts w:hint="eastAsia" w:ascii="宋体" w:hAnsi="宋体" w:cs="宋体"/>
          <w:color w:val="auto"/>
          <w:sz w:val="24"/>
          <w:highlight w:val="none"/>
        </w:rPr>
        <w:t>17.4.2</w:t>
      </w:r>
      <w:r>
        <w:rPr>
          <w:rFonts w:hint="eastAsia" w:ascii="宋体" w:hAnsi="宋体" w:cs="宋体"/>
          <w:color w:val="auto"/>
          <w:sz w:val="24"/>
          <w:highlight w:val="none"/>
          <w:lang w:val="zh-CN"/>
        </w:rPr>
        <w:t>项细化为：</w:t>
      </w:r>
    </w:p>
    <w:p w14:paraId="5327A4B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17.4.1</w:t>
      </w:r>
      <w:r>
        <w:rPr>
          <w:rFonts w:hint="eastAsia" w:ascii="宋体" w:hAnsi="宋体" w:cs="宋体"/>
          <w:color w:val="auto"/>
          <w:sz w:val="24"/>
          <w:highlight w:val="none"/>
          <w:lang w:val="zh-CN"/>
        </w:rPr>
        <w:t>交工验收证书签发后14天内，承包人应向发包人缴纳质量保证金。质量 保证金可采用银行保函或现金、支票形式，金额应符合项目专用合同条款数据表的规定。采用银行保函时，出具保函的银行须具有相应担保能力，且按照发包人批准的格式出具，所需费用由承包人承担。</w:t>
      </w:r>
    </w:p>
    <w:p w14:paraId="76F0F97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质量保证金采用现金、支票形式提交的，发包人应在项目专用合同条款数据表中明确是否计付利息以及利息的计算方式。</w:t>
      </w:r>
    </w:p>
    <w:p w14:paraId="1771355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w:t>
      </w:r>
      <w:r>
        <w:rPr>
          <w:rFonts w:hint="eastAsia" w:ascii="宋体" w:hAnsi="宋体" w:cs="宋体"/>
          <w:color w:val="auto"/>
          <w:sz w:val="24"/>
          <w:highlight w:val="none"/>
          <w:lang w:val="zh-CN"/>
        </w:rPr>
        <w:t>在第</w:t>
      </w:r>
      <w:r>
        <w:rPr>
          <w:rFonts w:hint="eastAsia" w:ascii="宋体" w:hAnsi="宋体" w:cs="宋体"/>
          <w:color w:val="auto"/>
          <w:sz w:val="24"/>
          <w:highlight w:val="none"/>
        </w:rPr>
        <w:t>1.1.4.5</w:t>
      </w:r>
      <w:r>
        <w:rPr>
          <w:rFonts w:hint="eastAsia" w:ascii="宋体" w:hAnsi="宋体" w:cs="宋体"/>
          <w:color w:val="auto"/>
          <w:sz w:val="24"/>
          <w:highlight w:val="none"/>
          <w:lang w:val="zh-CN"/>
        </w:rPr>
        <w:t>目约定的缺陷责任期满，且质量监督机构己按规定对工程质 量检测鉴定合格，承包人向发包人申请到期应返还承包人剩余的质量保证金金额， 发包人应在14天内会同承包人按照合同约定的内容核实承包人是否完成缺陷责任。 如无异议，发包人应当在核实后将剩余保证金返还承包人。</w:t>
      </w:r>
    </w:p>
    <w:p w14:paraId="257F51B5">
      <w:pPr>
        <w:pStyle w:val="3"/>
        <w:shd w:val="clear" w:fill="FFFFFF" w:themeFill="background1"/>
        <w:spacing w:before="156" w:beforeLines="50" w:line="400" w:lineRule="exact"/>
        <w:rPr>
          <w:rFonts w:ascii="宋体" w:hAnsi="宋体" w:cs="宋体"/>
          <w:color w:val="auto"/>
          <w:sz w:val="24"/>
          <w:szCs w:val="24"/>
          <w:highlight w:val="none"/>
        </w:rPr>
      </w:pPr>
      <w:bookmarkStart w:id="1513" w:name="_Toc451261349"/>
      <w:bookmarkEnd w:id="1513"/>
      <w:bookmarkStart w:id="1514" w:name="_Toc393546499"/>
      <w:bookmarkEnd w:id="1514"/>
      <w:bookmarkStart w:id="1515" w:name="_Toc43475975"/>
      <w:bookmarkEnd w:id="1515"/>
      <w:bookmarkStart w:id="1516" w:name="_Toc453057159"/>
      <w:bookmarkEnd w:id="1516"/>
      <w:bookmarkStart w:id="1517" w:name="_Toc386467245"/>
      <w:bookmarkEnd w:id="1517"/>
      <w:bookmarkStart w:id="1518" w:name="_Toc330406440"/>
      <w:bookmarkEnd w:id="1518"/>
      <w:r>
        <w:rPr>
          <w:rFonts w:hint="eastAsia" w:ascii="宋体" w:hAnsi="宋体" w:cs="宋体"/>
          <w:color w:val="auto"/>
          <w:sz w:val="24"/>
          <w:szCs w:val="24"/>
          <w:highlight w:val="none"/>
        </w:rPr>
        <w:t>17.5交工结算</w:t>
      </w:r>
    </w:p>
    <w:p w14:paraId="6D09C422">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17.5.l交工付款申请单</w:t>
      </w:r>
    </w:p>
    <w:p w14:paraId="16F2957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本项（l）目约定为：</w:t>
      </w:r>
    </w:p>
    <w:p w14:paraId="56D6E73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承包人向监理人提交交工付款申请单（包括相关证明材料）的份数在项目专用合同条款数据表中约定；期限：交工验收证书签发后42天内。</w:t>
      </w:r>
    </w:p>
    <w:p w14:paraId="2451AF3E">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17.5.2</w:t>
      </w:r>
      <w:r>
        <w:rPr>
          <w:rFonts w:hint="eastAsia" w:ascii="宋体" w:hAnsi="宋体" w:cs="宋体"/>
          <w:b/>
          <w:bCs/>
          <w:color w:val="auto"/>
          <w:sz w:val="24"/>
          <w:highlight w:val="none"/>
          <w:lang w:val="zh-CN"/>
        </w:rPr>
        <w:t>交工付款证书及支付时间</w:t>
      </w:r>
    </w:p>
    <w:p w14:paraId="39222EA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037267A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发包人应在监理人出具交工付款证书且承包人提交了合格的增值税专用发票后 的14天内，将应支付款支付给承包人。发包人不按期支付的，按第</w:t>
      </w:r>
      <w:r>
        <w:rPr>
          <w:rFonts w:hint="eastAsia" w:ascii="宋体" w:hAnsi="宋体" w:cs="宋体"/>
          <w:color w:val="auto"/>
          <w:sz w:val="24"/>
          <w:highlight w:val="none"/>
        </w:rPr>
        <w:t>17.3.3 （2）</w:t>
      </w:r>
      <w:r>
        <w:rPr>
          <w:rFonts w:hint="eastAsia" w:ascii="宋体" w:hAnsi="宋体" w:cs="宋体"/>
          <w:color w:val="auto"/>
          <w:sz w:val="24"/>
          <w:highlight w:val="none"/>
          <w:lang w:val="zh-CN"/>
        </w:rPr>
        <w:t>目 的约定，将逾期付款违约金支付给承包人。</w:t>
      </w:r>
    </w:p>
    <w:p w14:paraId="684136BD">
      <w:pPr>
        <w:pStyle w:val="3"/>
        <w:shd w:val="clear" w:fill="FFFFFF" w:themeFill="background1"/>
        <w:spacing w:before="156" w:beforeLines="50" w:line="400" w:lineRule="exact"/>
        <w:rPr>
          <w:rFonts w:ascii="宋体" w:hAnsi="宋体" w:cs="宋体"/>
          <w:color w:val="auto"/>
          <w:sz w:val="24"/>
          <w:szCs w:val="24"/>
          <w:highlight w:val="none"/>
        </w:rPr>
      </w:pPr>
      <w:bookmarkStart w:id="1519" w:name="_Toc393546500"/>
      <w:bookmarkEnd w:id="1519"/>
      <w:bookmarkStart w:id="1520" w:name="_Toc43475976"/>
      <w:bookmarkEnd w:id="1520"/>
      <w:bookmarkStart w:id="1521" w:name="_Toc386467246"/>
      <w:bookmarkEnd w:id="1521"/>
      <w:bookmarkStart w:id="1522" w:name="_Toc451261350"/>
      <w:bookmarkEnd w:id="1522"/>
      <w:bookmarkStart w:id="1523" w:name="_Toc330406441"/>
      <w:bookmarkEnd w:id="1523"/>
      <w:bookmarkStart w:id="1524" w:name="_Toc453057160"/>
      <w:bookmarkEnd w:id="1524"/>
      <w:r>
        <w:rPr>
          <w:rFonts w:hint="eastAsia" w:ascii="宋体" w:hAnsi="宋体" w:cs="宋体"/>
          <w:color w:val="auto"/>
          <w:sz w:val="24"/>
          <w:szCs w:val="24"/>
          <w:highlight w:val="none"/>
        </w:rPr>
        <w:t>17.6最终结清</w:t>
      </w:r>
    </w:p>
    <w:p w14:paraId="07C45F17">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17.6.1最终结清申请单</w:t>
      </w:r>
    </w:p>
    <w:p w14:paraId="3013747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14:paraId="67198C8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承包人向监理人提交最终结清申请单（包括相关证明材料）的份数在项目专用合同条款数据表中约定；期限：缺陷责任期终止证书签发后28天内。</w:t>
      </w:r>
    </w:p>
    <w:p w14:paraId="6935938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14:paraId="488656E2">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17.6.2</w:t>
      </w:r>
      <w:r>
        <w:rPr>
          <w:rFonts w:hint="eastAsia" w:ascii="宋体" w:hAnsi="宋体" w:cs="宋体"/>
          <w:b/>
          <w:bCs/>
          <w:color w:val="auto"/>
          <w:sz w:val="24"/>
          <w:highlight w:val="none"/>
          <w:lang w:val="zh-CN"/>
        </w:rPr>
        <w:t>最终结清证书和支付时间</w:t>
      </w:r>
    </w:p>
    <w:p w14:paraId="675CBB1A">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08515D1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发包人应在监理人出具最终结清证书且承包人提交了合格的增值税专用发 票后的14天内，将应支付款支付给承包人。发包人不按期支付的，按第</w:t>
      </w:r>
      <w:r>
        <w:rPr>
          <w:rFonts w:hint="eastAsia" w:ascii="宋体" w:hAnsi="宋体" w:cs="宋体"/>
          <w:color w:val="auto"/>
          <w:sz w:val="24"/>
          <w:highlight w:val="none"/>
        </w:rPr>
        <w:t xml:space="preserve">17.3.3 （2） </w:t>
      </w:r>
      <w:r>
        <w:rPr>
          <w:rFonts w:hint="eastAsia" w:ascii="宋体" w:hAnsi="宋体" w:cs="宋体"/>
          <w:color w:val="auto"/>
          <w:sz w:val="24"/>
          <w:highlight w:val="none"/>
          <w:lang w:val="zh-CN"/>
        </w:rPr>
        <w:t>目的约定，将逾期付款违约金支付给承包人。</w:t>
      </w:r>
    </w:p>
    <w:p w14:paraId="2237444A">
      <w:pPr>
        <w:shd w:val="clear" w:fill="FFFFFF" w:themeFill="background1"/>
        <w:tabs>
          <w:tab w:val="left" w:pos="3193"/>
        </w:tabs>
        <w:spacing w:line="400" w:lineRule="exact"/>
        <w:ind w:firstLine="480" w:firstLineChars="200"/>
        <w:rPr>
          <w:rFonts w:ascii="宋体" w:hAnsi="宋体" w:cs="宋体"/>
          <w:color w:val="auto"/>
          <w:sz w:val="24"/>
          <w:highlight w:val="none"/>
        </w:rPr>
      </w:pPr>
    </w:p>
    <w:p w14:paraId="499995C4">
      <w:pPr>
        <w:pStyle w:val="3"/>
        <w:shd w:val="clear" w:fill="FFFFFF" w:themeFill="background1"/>
        <w:spacing w:before="156" w:beforeLines="50" w:after="120" w:line="400" w:lineRule="exact"/>
        <w:rPr>
          <w:rFonts w:ascii="宋体" w:hAnsi="宋体" w:cs="宋体"/>
          <w:color w:val="auto"/>
          <w:sz w:val="28"/>
          <w:szCs w:val="28"/>
          <w:highlight w:val="none"/>
        </w:rPr>
      </w:pPr>
      <w:bookmarkStart w:id="1525" w:name="_Toc43475977"/>
      <w:bookmarkEnd w:id="1525"/>
      <w:bookmarkStart w:id="1526" w:name="_Toc453057161"/>
      <w:bookmarkEnd w:id="1526"/>
      <w:bookmarkStart w:id="1527" w:name="_Toc393546501"/>
      <w:bookmarkEnd w:id="1527"/>
      <w:bookmarkStart w:id="1528" w:name="_Toc386467247"/>
      <w:bookmarkEnd w:id="1528"/>
      <w:bookmarkStart w:id="1529" w:name="_Toc330406442"/>
      <w:bookmarkEnd w:id="1529"/>
      <w:bookmarkStart w:id="1530" w:name="_Toc451261351"/>
      <w:bookmarkEnd w:id="1530"/>
      <w:r>
        <w:rPr>
          <w:rFonts w:hint="eastAsia" w:ascii="宋体" w:hAnsi="宋体" w:cs="宋体"/>
          <w:color w:val="auto"/>
          <w:sz w:val="28"/>
          <w:szCs w:val="28"/>
          <w:highlight w:val="none"/>
        </w:rPr>
        <w:t>18.交工验收</w:t>
      </w:r>
    </w:p>
    <w:p w14:paraId="4C97A97F">
      <w:pPr>
        <w:pStyle w:val="3"/>
        <w:shd w:val="clear" w:fill="FFFFFF" w:themeFill="background1"/>
        <w:spacing w:before="156" w:beforeLines="50" w:line="400" w:lineRule="exact"/>
        <w:rPr>
          <w:rFonts w:ascii="宋体" w:hAnsi="宋体" w:cs="宋体"/>
          <w:color w:val="auto"/>
          <w:sz w:val="24"/>
          <w:szCs w:val="24"/>
          <w:highlight w:val="none"/>
        </w:rPr>
      </w:pPr>
      <w:bookmarkStart w:id="1531" w:name="_Toc43475978"/>
      <w:bookmarkEnd w:id="1531"/>
      <w:bookmarkStart w:id="1532" w:name="_Toc386467248"/>
      <w:bookmarkEnd w:id="1532"/>
      <w:bookmarkStart w:id="1533" w:name="_Toc330406443"/>
      <w:bookmarkEnd w:id="1533"/>
      <w:bookmarkStart w:id="1534" w:name="_Toc451261352"/>
      <w:bookmarkEnd w:id="1534"/>
      <w:bookmarkStart w:id="1535" w:name="_Toc393546502"/>
      <w:bookmarkEnd w:id="1535"/>
      <w:bookmarkStart w:id="1536" w:name="_Toc453057162"/>
      <w:bookmarkEnd w:id="1536"/>
      <w:r>
        <w:rPr>
          <w:rFonts w:hint="eastAsia" w:ascii="宋体" w:hAnsi="宋体" w:cs="宋体"/>
          <w:color w:val="auto"/>
          <w:sz w:val="24"/>
          <w:szCs w:val="24"/>
          <w:highlight w:val="none"/>
        </w:rPr>
        <w:t>18.2交工验收申请报告</w:t>
      </w:r>
    </w:p>
    <w:p w14:paraId="627C0C42">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本款第（2）项约定为：</w:t>
      </w:r>
    </w:p>
    <w:p w14:paraId="4BCF304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竣工资料的内容：承包人应按照《公路工程竣（交）工验收办法》和相关规定编制竣工资料。</w:t>
      </w:r>
    </w:p>
    <w:p w14:paraId="352B5DA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竣工资料的份数在项目专用合同条款数据表中约定。</w:t>
      </w:r>
    </w:p>
    <w:p w14:paraId="34327F7B">
      <w:pPr>
        <w:pStyle w:val="3"/>
        <w:shd w:val="clear" w:fill="FFFFFF" w:themeFill="background1"/>
        <w:spacing w:before="156" w:beforeLines="50" w:line="400" w:lineRule="exact"/>
        <w:rPr>
          <w:rFonts w:ascii="宋体" w:hAnsi="宋体" w:cs="宋体"/>
          <w:color w:val="auto"/>
          <w:sz w:val="24"/>
          <w:szCs w:val="24"/>
          <w:highlight w:val="none"/>
        </w:rPr>
      </w:pPr>
      <w:bookmarkStart w:id="1537" w:name="_Toc453057163"/>
      <w:bookmarkEnd w:id="1537"/>
      <w:bookmarkStart w:id="1538" w:name="_Toc330406444"/>
      <w:bookmarkEnd w:id="1538"/>
      <w:bookmarkStart w:id="1539" w:name="_Toc386467249"/>
      <w:bookmarkEnd w:id="1539"/>
      <w:bookmarkStart w:id="1540" w:name="_Toc43475979"/>
      <w:bookmarkEnd w:id="1540"/>
      <w:bookmarkStart w:id="1541" w:name="_Toc451261353"/>
      <w:bookmarkEnd w:id="1541"/>
      <w:bookmarkStart w:id="1542" w:name="_Toc393546503"/>
      <w:bookmarkEnd w:id="1542"/>
      <w:r>
        <w:rPr>
          <w:rFonts w:hint="eastAsia" w:ascii="宋体" w:hAnsi="宋体" w:cs="宋体"/>
          <w:color w:val="auto"/>
          <w:sz w:val="24"/>
          <w:szCs w:val="24"/>
          <w:highlight w:val="none"/>
        </w:rPr>
        <w:t>18.3 验收</w:t>
      </w:r>
    </w:p>
    <w:p w14:paraId="09BF225A">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第18.3.2项补充：</w:t>
      </w:r>
    </w:p>
    <w:p w14:paraId="06A4B70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18A1AFD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第18.3.5项约定为：</w:t>
      </w:r>
    </w:p>
    <w:p w14:paraId="69A2867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经验收合格工程的实际交工日期，以最终提交交工验收申请报告的日期为准，并在交工验收证书中写明。</w:t>
      </w:r>
    </w:p>
    <w:p w14:paraId="7DE9D1ED">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本款补充第18.3.7项：</w:t>
      </w:r>
    </w:p>
    <w:p w14:paraId="7AB4ECE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组织办理交工验收和签发交工验收证书的费用由发包人承担。但按照第18.3.4项规定达不到合格标准的交工验收费用由承包人承担。</w:t>
      </w:r>
    </w:p>
    <w:p w14:paraId="02E2EB5F">
      <w:pPr>
        <w:shd w:val="clear" w:fill="FFFFFF" w:themeFill="background1"/>
        <w:tabs>
          <w:tab w:val="left" w:pos="3193"/>
        </w:tabs>
        <w:spacing w:line="400" w:lineRule="exact"/>
        <w:ind w:firstLine="480" w:firstLineChars="200"/>
        <w:rPr>
          <w:rFonts w:ascii="宋体" w:hAnsi="宋体" w:cs="宋体"/>
          <w:color w:val="auto"/>
          <w:sz w:val="24"/>
          <w:highlight w:val="none"/>
        </w:rPr>
      </w:pPr>
    </w:p>
    <w:p w14:paraId="2E300C4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本条补充第18.9款：</w:t>
      </w:r>
    </w:p>
    <w:p w14:paraId="1886A5E8">
      <w:pPr>
        <w:pStyle w:val="3"/>
        <w:shd w:val="clear" w:fill="FFFFFF" w:themeFill="background1"/>
        <w:spacing w:before="156" w:beforeLines="50" w:line="400" w:lineRule="exact"/>
        <w:rPr>
          <w:rFonts w:ascii="宋体" w:hAnsi="宋体" w:cs="宋体"/>
          <w:color w:val="auto"/>
          <w:sz w:val="24"/>
          <w:szCs w:val="24"/>
          <w:highlight w:val="none"/>
        </w:rPr>
      </w:pPr>
      <w:bookmarkStart w:id="1543" w:name="_Toc330406445"/>
      <w:bookmarkEnd w:id="1543"/>
      <w:bookmarkStart w:id="1544" w:name="_Toc43475980"/>
      <w:bookmarkEnd w:id="1544"/>
      <w:bookmarkStart w:id="1545" w:name="_Toc451261354"/>
      <w:bookmarkEnd w:id="1545"/>
      <w:bookmarkStart w:id="1546" w:name="_Toc386467250"/>
      <w:bookmarkEnd w:id="1546"/>
      <w:bookmarkStart w:id="1547" w:name="_Toc393546504"/>
      <w:bookmarkEnd w:id="1547"/>
      <w:bookmarkStart w:id="1548" w:name="_Toc453057164"/>
      <w:bookmarkEnd w:id="1548"/>
      <w:r>
        <w:rPr>
          <w:rFonts w:hint="eastAsia" w:ascii="宋体" w:hAnsi="宋体" w:cs="宋体"/>
          <w:color w:val="auto"/>
          <w:sz w:val="24"/>
          <w:szCs w:val="24"/>
          <w:highlight w:val="none"/>
        </w:rPr>
        <w:t>18.9竣工文件</w:t>
      </w:r>
    </w:p>
    <w:p w14:paraId="0D33D46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承包人应按照《公路工程竣（交）工验收办法》中的相关规定，在缺陷责任期内为竣工验收补充竣工资料，并在签发缺陷责任期终止证书之前提交。</w:t>
      </w:r>
    </w:p>
    <w:p w14:paraId="56EDE2A4">
      <w:pPr>
        <w:pStyle w:val="3"/>
        <w:shd w:val="clear" w:fill="FFFFFF" w:themeFill="background1"/>
        <w:spacing w:before="156" w:beforeLines="50" w:after="120" w:line="400" w:lineRule="exact"/>
        <w:rPr>
          <w:rFonts w:ascii="宋体" w:hAnsi="宋体" w:cs="宋体"/>
          <w:color w:val="auto"/>
          <w:sz w:val="28"/>
          <w:szCs w:val="28"/>
          <w:highlight w:val="none"/>
        </w:rPr>
      </w:pPr>
      <w:bookmarkStart w:id="1549" w:name="_Toc451261355"/>
      <w:bookmarkEnd w:id="1549"/>
      <w:bookmarkStart w:id="1550" w:name="_Toc453057165"/>
      <w:bookmarkEnd w:id="1550"/>
      <w:bookmarkStart w:id="1551" w:name="_Toc330406446"/>
      <w:bookmarkEnd w:id="1551"/>
      <w:bookmarkStart w:id="1552" w:name="_Toc393546505"/>
      <w:bookmarkEnd w:id="1552"/>
      <w:bookmarkStart w:id="1553" w:name="_Toc43475981"/>
      <w:bookmarkEnd w:id="1553"/>
      <w:bookmarkStart w:id="1554" w:name="_Toc386467251"/>
      <w:bookmarkEnd w:id="1554"/>
      <w:r>
        <w:rPr>
          <w:rFonts w:hint="eastAsia" w:ascii="宋体" w:hAnsi="宋体" w:cs="宋体"/>
          <w:color w:val="auto"/>
          <w:sz w:val="28"/>
          <w:szCs w:val="28"/>
          <w:highlight w:val="none"/>
        </w:rPr>
        <w:t>19.缺陷责任与保修责任</w:t>
      </w:r>
    </w:p>
    <w:p w14:paraId="3A391577">
      <w:pPr>
        <w:pStyle w:val="3"/>
        <w:shd w:val="clear" w:fill="FFFFFF" w:themeFill="background1"/>
        <w:spacing w:before="156" w:beforeLines="50" w:line="400" w:lineRule="exact"/>
        <w:rPr>
          <w:rFonts w:ascii="宋体" w:hAnsi="宋体" w:cs="宋体"/>
          <w:color w:val="auto"/>
          <w:sz w:val="24"/>
          <w:szCs w:val="24"/>
          <w:highlight w:val="none"/>
        </w:rPr>
      </w:pPr>
      <w:bookmarkStart w:id="1555" w:name="_Toc393546506"/>
      <w:bookmarkEnd w:id="1555"/>
      <w:bookmarkStart w:id="1556" w:name="_Toc453057166"/>
      <w:bookmarkEnd w:id="1556"/>
      <w:bookmarkStart w:id="1557" w:name="_Toc43475982"/>
      <w:bookmarkEnd w:id="1557"/>
      <w:bookmarkStart w:id="1558" w:name="_Toc386467252"/>
      <w:bookmarkEnd w:id="1558"/>
      <w:bookmarkStart w:id="1559" w:name="_Toc330406447"/>
      <w:bookmarkEnd w:id="1559"/>
      <w:bookmarkStart w:id="1560" w:name="_Toc451261356"/>
      <w:bookmarkEnd w:id="1560"/>
      <w:r>
        <w:rPr>
          <w:rFonts w:hint="eastAsia" w:ascii="宋体" w:hAnsi="宋体" w:cs="宋体"/>
          <w:color w:val="auto"/>
          <w:sz w:val="24"/>
          <w:szCs w:val="24"/>
          <w:highlight w:val="none"/>
        </w:rPr>
        <w:t>19.2缺陷责任</w:t>
      </w:r>
    </w:p>
    <w:p w14:paraId="285371D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第19.2.2项补充：</w:t>
      </w:r>
    </w:p>
    <w:p w14:paraId="15BCA4D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在缺陷责任期内，承包人应尽快完成在交工验收证书中写明的未完成工作，并完成对本工程缺陷的修复或监理人指令的修补工作。</w:t>
      </w:r>
    </w:p>
    <w:p w14:paraId="2D750304">
      <w:pPr>
        <w:pStyle w:val="3"/>
        <w:shd w:val="clear" w:fill="FFFFFF" w:themeFill="background1"/>
        <w:spacing w:before="156" w:beforeLines="50" w:line="400" w:lineRule="exact"/>
        <w:rPr>
          <w:rFonts w:ascii="宋体" w:hAnsi="宋体" w:cs="宋体"/>
          <w:color w:val="auto"/>
          <w:sz w:val="24"/>
          <w:szCs w:val="24"/>
          <w:highlight w:val="none"/>
        </w:rPr>
      </w:pPr>
      <w:bookmarkStart w:id="1561" w:name="_Toc330406448"/>
      <w:bookmarkEnd w:id="1561"/>
      <w:bookmarkStart w:id="1562" w:name="_Toc393546507"/>
      <w:bookmarkEnd w:id="1562"/>
      <w:bookmarkStart w:id="1563" w:name="_Toc386467253"/>
      <w:bookmarkEnd w:id="1563"/>
      <w:bookmarkStart w:id="1564" w:name="_Toc453057167"/>
      <w:bookmarkEnd w:id="1564"/>
      <w:bookmarkStart w:id="1565" w:name="_Toc451261357"/>
      <w:bookmarkEnd w:id="1565"/>
      <w:bookmarkStart w:id="1566" w:name="_Toc43475983"/>
      <w:bookmarkEnd w:id="1566"/>
      <w:r>
        <w:rPr>
          <w:rFonts w:hint="eastAsia" w:ascii="宋体" w:hAnsi="宋体" w:cs="宋体"/>
          <w:color w:val="auto"/>
          <w:sz w:val="24"/>
          <w:szCs w:val="24"/>
          <w:highlight w:val="none"/>
        </w:rPr>
        <w:t>19.5承包人的进入权</w:t>
      </w:r>
    </w:p>
    <w:p w14:paraId="14B9187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5F853B1E">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承包人在缺陷修复施工过程中，应服从管养单位的有关安全管理规定，由于承包人自身原因造成的人员伤亡、设备和材料的损毁及罚款等责任由承包人自负。</w:t>
      </w:r>
    </w:p>
    <w:p w14:paraId="15E0E83E">
      <w:pPr>
        <w:pStyle w:val="3"/>
        <w:shd w:val="clear" w:fill="FFFFFF" w:themeFill="background1"/>
        <w:spacing w:before="156" w:beforeLines="50" w:line="400" w:lineRule="exact"/>
        <w:rPr>
          <w:rFonts w:ascii="宋体" w:hAnsi="宋体" w:cs="宋体"/>
          <w:color w:val="auto"/>
          <w:sz w:val="24"/>
          <w:szCs w:val="24"/>
          <w:highlight w:val="none"/>
        </w:rPr>
      </w:pPr>
      <w:bookmarkStart w:id="1567" w:name="_Toc453057168"/>
      <w:bookmarkEnd w:id="1567"/>
      <w:bookmarkStart w:id="1568" w:name="_Toc386467254"/>
      <w:bookmarkEnd w:id="1568"/>
      <w:bookmarkStart w:id="1569" w:name="_Toc330406449"/>
      <w:bookmarkEnd w:id="1569"/>
      <w:bookmarkStart w:id="1570" w:name="_Toc451261358"/>
      <w:bookmarkEnd w:id="1570"/>
      <w:bookmarkStart w:id="1571" w:name="_Toc43475984"/>
      <w:bookmarkEnd w:id="1571"/>
      <w:bookmarkStart w:id="1572" w:name="_Toc393546508"/>
      <w:bookmarkEnd w:id="1572"/>
      <w:r>
        <w:rPr>
          <w:rFonts w:hint="eastAsia" w:ascii="宋体" w:hAnsi="宋体" w:cs="宋体"/>
          <w:color w:val="auto"/>
          <w:sz w:val="24"/>
          <w:szCs w:val="24"/>
          <w:highlight w:val="none"/>
        </w:rPr>
        <w:t>19.7保修责任</w:t>
      </w:r>
    </w:p>
    <w:p w14:paraId="185A207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5A8B251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77EC7E1A">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（2）在全部工程交工验收前，已经发包人提前验收的单位工程，其保修期的起算日期相应提前。</w:t>
      </w:r>
    </w:p>
    <w:p w14:paraId="082C4C9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（3）工程保修期终止后28天内，监理人签发保修期终止证书。</w:t>
      </w:r>
    </w:p>
    <w:p w14:paraId="43A5BCC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（4）若承包人不履行保修义务和责任，则承包人应承担由于违约造成的法律后果，并由发包人将其违约行为上报省级交通主管部门，作为不良记录纳入</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w:t>
      </w:r>
    </w:p>
    <w:p w14:paraId="5A0A5895">
      <w:pPr>
        <w:pStyle w:val="3"/>
        <w:shd w:val="clear" w:fill="FFFFFF" w:themeFill="background1"/>
        <w:spacing w:before="156" w:beforeLines="50" w:after="120" w:line="400" w:lineRule="exact"/>
        <w:rPr>
          <w:rFonts w:ascii="宋体" w:hAnsi="宋体" w:cs="宋体"/>
          <w:color w:val="auto"/>
          <w:sz w:val="28"/>
          <w:szCs w:val="28"/>
          <w:highlight w:val="none"/>
        </w:rPr>
      </w:pPr>
      <w:bookmarkStart w:id="1573" w:name="_Toc330406450"/>
      <w:bookmarkEnd w:id="1573"/>
      <w:bookmarkStart w:id="1574" w:name="_Toc453057169"/>
      <w:bookmarkEnd w:id="1574"/>
      <w:bookmarkStart w:id="1575" w:name="_Toc386467255"/>
      <w:bookmarkEnd w:id="1575"/>
      <w:bookmarkStart w:id="1576" w:name="_Toc393546509"/>
      <w:bookmarkEnd w:id="1576"/>
      <w:bookmarkStart w:id="1577" w:name="_Toc43475985"/>
      <w:bookmarkEnd w:id="1577"/>
      <w:bookmarkStart w:id="1578" w:name="_Toc451261359"/>
      <w:bookmarkEnd w:id="1578"/>
      <w:r>
        <w:rPr>
          <w:rFonts w:hint="eastAsia" w:ascii="宋体" w:hAnsi="宋体" w:cs="宋体"/>
          <w:color w:val="auto"/>
          <w:sz w:val="28"/>
          <w:szCs w:val="28"/>
          <w:highlight w:val="none"/>
        </w:rPr>
        <w:t>20.保险</w:t>
      </w:r>
    </w:p>
    <w:p w14:paraId="5654CE6E">
      <w:pPr>
        <w:pStyle w:val="3"/>
        <w:shd w:val="clear" w:fill="FFFFFF" w:themeFill="background1"/>
        <w:spacing w:before="156" w:beforeLines="50" w:line="400" w:lineRule="exact"/>
        <w:rPr>
          <w:rFonts w:ascii="宋体" w:hAnsi="宋体" w:cs="宋体"/>
          <w:color w:val="auto"/>
          <w:sz w:val="24"/>
          <w:szCs w:val="24"/>
          <w:highlight w:val="none"/>
        </w:rPr>
      </w:pPr>
      <w:bookmarkStart w:id="1579" w:name="_Toc43475986"/>
      <w:bookmarkEnd w:id="1579"/>
      <w:bookmarkStart w:id="1580" w:name="_Toc453057170"/>
      <w:bookmarkEnd w:id="1580"/>
      <w:bookmarkStart w:id="1581" w:name="_Toc451261360"/>
      <w:bookmarkEnd w:id="1581"/>
      <w:bookmarkStart w:id="1582" w:name="_Toc330406451"/>
      <w:bookmarkEnd w:id="1582"/>
      <w:bookmarkStart w:id="1583" w:name="_Toc393546510"/>
      <w:bookmarkEnd w:id="1583"/>
      <w:bookmarkStart w:id="1584" w:name="_Toc386467256"/>
      <w:bookmarkEnd w:id="1584"/>
      <w:r>
        <w:rPr>
          <w:rFonts w:hint="eastAsia" w:ascii="宋体" w:hAnsi="宋体" w:cs="宋体"/>
          <w:color w:val="auto"/>
          <w:sz w:val="24"/>
          <w:szCs w:val="24"/>
          <w:highlight w:val="none"/>
        </w:rPr>
        <w:t>20.1工程保险</w:t>
      </w:r>
    </w:p>
    <w:p w14:paraId="1F743A7D">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69174A2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建筑工程—切险的投保内容：为本合同工程的永久工程、临时工程和设备及已运至施工工地用于永久工程的材料和设备所投的保险。</w:t>
      </w:r>
    </w:p>
    <w:p w14:paraId="08D3E7C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保险金额：工程量清单第100章（不含建筑工程一切险及第三者责任险的保险费）至700章的合计金额。</w:t>
      </w:r>
    </w:p>
    <w:p w14:paraId="16AE7E6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14:paraId="0B9147D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14:paraId="511565A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承包人应以发包人和承包人的共同名义投保建筑工程一切险。建筑工程一切险的保险费由承包人报价时列入工程量清单100章内。发包人在接到保险单后，将按照保险单的费用直接向承包人支付。</w:t>
      </w:r>
    </w:p>
    <w:p w14:paraId="0B112CEC">
      <w:pPr>
        <w:pStyle w:val="3"/>
        <w:shd w:val="clear" w:fill="FFFFFF" w:themeFill="background1"/>
        <w:spacing w:before="156" w:beforeLines="50" w:line="400" w:lineRule="exact"/>
        <w:rPr>
          <w:rFonts w:ascii="宋体" w:hAnsi="宋体" w:cs="宋体"/>
          <w:color w:val="auto"/>
          <w:sz w:val="24"/>
          <w:szCs w:val="24"/>
          <w:highlight w:val="none"/>
        </w:rPr>
      </w:pPr>
      <w:bookmarkStart w:id="1585" w:name="_Toc451261361"/>
      <w:bookmarkEnd w:id="1585"/>
      <w:bookmarkStart w:id="1586" w:name="_Toc330406452"/>
      <w:bookmarkEnd w:id="1586"/>
      <w:bookmarkStart w:id="1587" w:name="_Toc453057171"/>
      <w:bookmarkEnd w:id="1587"/>
      <w:bookmarkStart w:id="1588" w:name="_Toc43475987"/>
      <w:bookmarkEnd w:id="1588"/>
      <w:bookmarkStart w:id="1589" w:name="_Toc386467257"/>
      <w:bookmarkEnd w:id="1589"/>
      <w:bookmarkStart w:id="1590" w:name="_Toc393546511"/>
      <w:bookmarkEnd w:id="1590"/>
      <w:r>
        <w:rPr>
          <w:rFonts w:hint="eastAsia" w:ascii="宋体" w:hAnsi="宋体" w:cs="宋体"/>
          <w:color w:val="auto"/>
          <w:sz w:val="24"/>
          <w:szCs w:val="24"/>
          <w:highlight w:val="none"/>
        </w:rPr>
        <w:t>20.4第三者责任险</w:t>
      </w:r>
    </w:p>
    <w:p w14:paraId="3A92F8A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第20.4.2项补充：</w:t>
      </w:r>
    </w:p>
    <w:p w14:paraId="623FFE8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第三者责任险的保险费由承包人报价时列入工程量清单100章内。发包人在接到保险单后，将按照保险单的费用直接向承包人支付。</w:t>
      </w:r>
    </w:p>
    <w:p w14:paraId="03BD1BA1">
      <w:pPr>
        <w:pStyle w:val="3"/>
        <w:shd w:val="clear" w:fill="FFFFFF" w:themeFill="background1"/>
        <w:spacing w:before="156" w:beforeLines="50" w:line="400" w:lineRule="exact"/>
        <w:rPr>
          <w:rFonts w:ascii="宋体" w:hAnsi="宋体" w:cs="宋体"/>
          <w:color w:val="auto"/>
          <w:sz w:val="24"/>
          <w:szCs w:val="24"/>
          <w:highlight w:val="none"/>
        </w:rPr>
      </w:pPr>
      <w:bookmarkStart w:id="1591" w:name="_Toc330406453"/>
      <w:bookmarkEnd w:id="1591"/>
      <w:bookmarkStart w:id="1592" w:name="_Toc453057172"/>
      <w:bookmarkEnd w:id="1592"/>
      <w:bookmarkStart w:id="1593" w:name="_Toc393546512"/>
      <w:bookmarkEnd w:id="1593"/>
      <w:bookmarkStart w:id="1594" w:name="_Toc43475988"/>
      <w:bookmarkEnd w:id="1594"/>
      <w:bookmarkStart w:id="1595" w:name="_Toc386467258"/>
      <w:bookmarkEnd w:id="1595"/>
      <w:bookmarkStart w:id="1596" w:name="_Toc451261362"/>
      <w:bookmarkEnd w:id="1596"/>
      <w:r>
        <w:rPr>
          <w:rFonts w:hint="eastAsia" w:ascii="宋体" w:hAnsi="宋体" w:cs="宋体"/>
          <w:color w:val="auto"/>
          <w:sz w:val="24"/>
          <w:szCs w:val="24"/>
          <w:highlight w:val="none"/>
        </w:rPr>
        <w:t>20.5其他保险</w:t>
      </w:r>
    </w:p>
    <w:p w14:paraId="403F9BD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78C51E8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承包人应为其施工设备等办理保险，其投保金额应足以现场重量。办理本款保险的一切费用均由承包人承担，并包括在工程量清单的单价及总额价中，发包人不单独支付。</w:t>
      </w:r>
    </w:p>
    <w:p w14:paraId="6CC3DAFB">
      <w:pPr>
        <w:pStyle w:val="3"/>
        <w:shd w:val="clear" w:fill="FFFFFF" w:themeFill="background1"/>
        <w:spacing w:before="156" w:beforeLines="50" w:line="400" w:lineRule="exact"/>
        <w:rPr>
          <w:rFonts w:ascii="宋体" w:hAnsi="宋体" w:cs="宋体"/>
          <w:color w:val="auto"/>
          <w:sz w:val="24"/>
          <w:szCs w:val="24"/>
          <w:highlight w:val="none"/>
        </w:rPr>
      </w:pPr>
      <w:bookmarkStart w:id="1597" w:name="_Toc393546513"/>
      <w:bookmarkEnd w:id="1597"/>
      <w:bookmarkStart w:id="1598" w:name="_Toc43475989"/>
      <w:bookmarkEnd w:id="1598"/>
      <w:bookmarkStart w:id="1599" w:name="_Toc330406454"/>
      <w:bookmarkEnd w:id="1599"/>
      <w:bookmarkStart w:id="1600" w:name="_Toc386467259"/>
      <w:bookmarkEnd w:id="1600"/>
      <w:bookmarkStart w:id="1601" w:name="_Toc451261363"/>
      <w:bookmarkEnd w:id="1601"/>
      <w:bookmarkStart w:id="1602" w:name="_Toc453057173"/>
      <w:bookmarkEnd w:id="1602"/>
      <w:r>
        <w:rPr>
          <w:rFonts w:hint="eastAsia" w:ascii="宋体" w:hAnsi="宋体" w:cs="宋体"/>
          <w:color w:val="auto"/>
          <w:sz w:val="24"/>
          <w:szCs w:val="24"/>
          <w:highlight w:val="none"/>
        </w:rPr>
        <w:t>20.6对各项保险的一般要求</w:t>
      </w:r>
    </w:p>
    <w:p w14:paraId="075FF02E">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20.6.1保险凭证</w:t>
      </w:r>
    </w:p>
    <w:p w14:paraId="4D38BBD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2C42557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承包人向发包人提交各项保险生效的证据和保险单副本的期限：开工后56天内。</w:t>
      </w:r>
    </w:p>
    <w:p w14:paraId="5FA659BF">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20.6.3 持续保险</w:t>
      </w:r>
    </w:p>
    <w:p w14:paraId="6223434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028A60B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在整个合同期内，承包人应按合同条款保证足够的保险额。</w:t>
      </w:r>
    </w:p>
    <w:p w14:paraId="4EC9CD9B">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20.6.4保险金不足的补偿</w:t>
      </w:r>
    </w:p>
    <w:p w14:paraId="5F8844E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0C0A68A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保险金不足以补偿损失的（包括免赔额和超过赔偿限额的部分），应由承包人和（或）发包人按合同约定负责补偿。</w:t>
      </w:r>
    </w:p>
    <w:p w14:paraId="19BCC525">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20.6.5未按约定投保的补救</w:t>
      </w:r>
    </w:p>
    <w:p w14:paraId="73CE69D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105D82F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822B9B3">
      <w:pPr>
        <w:pStyle w:val="3"/>
        <w:shd w:val="clear" w:fill="FFFFFF" w:themeFill="background1"/>
        <w:spacing w:before="156" w:beforeLines="50" w:after="120" w:line="400" w:lineRule="exact"/>
        <w:rPr>
          <w:rFonts w:ascii="宋体" w:hAnsi="宋体" w:cs="宋体"/>
          <w:color w:val="auto"/>
          <w:sz w:val="28"/>
          <w:szCs w:val="28"/>
          <w:highlight w:val="none"/>
        </w:rPr>
      </w:pPr>
      <w:bookmarkStart w:id="1603" w:name="_Toc393546514"/>
      <w:bookmarkEnd w:id="1603"/>
      <w:bookmarkStart w:id="1604" w:name="_Toc330406455"/>
      <w:bookmarkEnd w:id="1604"/>
      <w:bookmarkStart w:id="1605" w:name="_Toc43475990"/>
      <w:bookmarkEnd w:id="1605"/>
      <w:bookmarkStart w:id="1606" w:name="_Toc453057174"/>
      <w:bookmarkEnd w:id="1606"/>
      <w:bookmarkStart w:id="1607" w:name="_Toc386467260"/>
      <w:bookmarkEnd w:id="1607"/>
      <w:bookmarkStart w:id="1608" w:name="_Toc451261364"/>
      <w:bookmarkEnd w:id="1608"/>
      <w:r>
        <w:rPr>
          <w:rFonts w:hint="eastAsia" w:ascii="宋体" w:hAnsi="宋体" w:cs="宋体"/>
          <w:color w:val="auto"/>
          <w:sz w:val="28"/>
          <w:szCs w:val="28"/>
          <w:highlight w:val="none"/>
        </w:rPr>
        <w:t>21.不可抗力</w:t>
      </w:r>
    </w:p>
    <w:p w14:paraId="4984A8D0">
      <w:pPr>
        <w:pStyle w:val="3"/>
        <w:shd w:val="clear" w:fill="FFFFFF" w:themeFill="background1"/>
        <w:spacing w:before="156" w:beforeLines="50" w:line="400" w:lineRule="exact"/>
        <w:rPr>
          <w:rFonts w:ascii="宋体" w:hAnsi="宋体" w:cs="宋体"/>
          <w:color w:val="auto"/>
          <w:sz w:val="24"/>
          <w:szCs w:val="24"/>
          <w:highlight w:val="none"/>
        </w:rPr>
      </w:pPr>
      <w:bookmarkStart w:id="1609" w:name="_Toc453057175"/>
      <w:bookmarkEnd w:id="1609"/>
      <w:bookmarkStart w:id="1610" w:name="_Toc393546515"/>
      <w:bookmarkEnd w:id="1610"/>
      <w:bookmarkStart w:id="1611" w:name="_Toc386467261"/>
      <w:bookmarkEnd w:id="1611"/>
      <w:bookmarkStart w:id="1612" w:name="_Toc43475991"/>
      <w:bookmarkEnd w:id="1612"/>
      <w:bookmarkStart w:id="1613" w:name="_Toc330406456"/>
      <w:bookmarkEnd w:id="1613"/>
      <w:bookmarkStart w:id="1614" w:name="_Toc451261365"/>
      <w:bookmarkEnd w:id="1614"/>
      <w:r>
        <w:rPr>
          <w:rFonts w:hint="eastAsia" w:ascii="宋体" w:hAnsi="宋体" w:cs="宋体"/>
          <w:color w:val="auto"/>
          <w:sz w:val="24"/>
          <w:szCs w:val="24"/>
          <w:highlight w:val="none"/>
        </w:rPr>
        <w:t>21.1不可抗力的确认</w:t>
      </w:r>
    </w:p>
    <w:p w14:paraId="23E61A0A">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21.1.1项细化为：</w:t>
      </w:r>
    </w:p>
    <w:p w14:paraId="726F74FA">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不可抗力是指承包人和发包人在订立合同时不可预见，在工程施工过程中不可避免发生并不能克服的自然灾害和社会性突发事件。包括但不限于：</w:t>
      </w:r>
    </w:p>
    <w:p w14:paraId="4E472AD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（1）地震、海啸、火山爆发、泥石流、暴雨（雪）、台风、龙卷风、水灾等自然灾害；</w:t>
      </w:r>
    </w:p>
    <w:p w14:paraId="0729920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（2）战争、骚乱、暴动，但纯属承包人或其分包人派遣与雇用的人员由于本合同工程施工原因引起者除外；</w:t>
      </w:r>
    </w:p>
    <w:p w14:paraId="01F0152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（3）核反应、辐射或放射性污染；</w:t>
      </w:r>
    </w:p>
    <w:p w14:paraId="1FFE1D6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（4）空中飞行物体附落或非发包人或承包人责任造成的爆炸、火灾；</w:t>
      </w:r>
    </w:p>
    <w:p w14:paraId="1C29841D">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（5）瘟疫；</w:t>
      </w:r>
    </w:p>
    <w:p w14:paraId="17DAA06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（6）项目专用合同条款约定的其他情形。</w:t>
      </w:r>
    </w:p>
    <w:p w14:paraId="56595BAB">
      <w:pPr>
        <w:pStyle w:val="3"/>
        <w:shd w:val="clear" w:fill="FFFFFF" w:themeFill="background1"/>
        <w:spacing w:before="156" w:beforeLines="50" w:line="400" w:lineRule="exact"/>
        <w:rPr>
          <w:rFonts w:ascii="宋体" w:hAnsi="宋体" w:cs="宋体"/>
          <w:color w:val="auto"/>
          <w:sz w:val="24"/>
          <w:szCs w:val="24"/>
          <w:highlight w:val="none"/>
        </w:rPr>
      </w:pPr>
      <w:bookmarkStart w:id="1615" w:name="_Toc386467262"/>
      <w:bookmarkEnd w:id="1615"/>
      <w:bookmarkStart w:id="1616" w:name="_Toc330406457"/>
      <w:bookmarkEnd w:id="1616"/>
      <w:bookmarkStart w:id="1617" w:name="_Toc453057176"/>
      <w:bookmarkEnd w:id="1617"/>
      <w:bookmarkStart w:id="1618" w:name="_Toc451261366"/>
      <w:bookmarkEnd w:id="1618"/>
      <w:bookmarkStart w:id="1619" w:name="_Toc43475992"/>
      <w:bookmarkEnd w:id="1619"/>
      <w:bookmarkStart w:id="1620" w:name="_Toc393546516"/>
      <w:bookmarkEnd w:id="1620"/>
      <w:r>
        <w:rPr>
          <w:rFonts w:hint="eastAsia" w:ascii="宋体" w:hAnsi="宋体" w:cs="宋体"/>
          <w:color w:val="auto"/>
          <w:sz w:val="24"/>
          <w:szCs w:val="24"/>
          <w:highlight w:val="none"/>
        </w:rPr>
        <w:t>21.3不可抗力后果及其处理</w:t>
      </w:r>
    </w:p>
    <w:p w14:paraId="02E5F96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21.3.4因不可抗力解除合同</w:t>
      </w:r>
    </w:p>
    <w:p w14:paraId="120AE03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6946CA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22BE033D">
      <w:pPr>
        <w:pStyle w:val="3"/>
        <w:shd w:val="clear" w:fill="FFFFFF" w:themeFill="background1"/>
        <w:spacing w:before="156" w:beforeLines="50" w:after="120" w:line="400" w:lineRule="exact"/>
        <w:rPr>
          <w:rFonts w:ascii="宋体" w:hAnsi="宋体" w:cs="宋体"/>
          <w:color w:val="auto"/>
          <w:sz w:val="28"/>
          <w:szCs w:val="28"/>
          <w:highlight w:val="none"/>
        </w:rPr>
      </w:pPr>
      <w:bookmarkStart w:id="1621" w:name="_Toc386467263"/>
      <w:bookmarkEnd w:id="1621"/>
      <w:bookmarkStart w:id="1622" w:name="_Toc330406458"/>
      <w:bookmarkEnd w:id="1622"/>
      <w:bookmarkStart w:id="1623" w:name="_Toc393546517"/>
      <w:bookmarkEnd w:id="1623"/>
      <w:bookmarkStart w:id="1624" w:name="_Toc451261367"/>
      <w:bookmarkEnd w:id="1624"/>
      <w:bookmarkStart w:id="1625" w:name="_Toc453057177"/>
      <w:bookmarkEnd w:id="1625"/>
      <w:bookmarkStart w:id="1626" w:name="_Toc43475993"/>
      <w:bookmarkEnd w:id="1626"/>
      <w:r>
        <w:rPr>
          <w:rFonts w:hint="eastAsia" w:ascii="宋体" w:hAnsi="宋体" w:cs="宋体"/>
          <w:color w:val="auto"/>
          <w:sz w:val="28"/>
          <w:szCs w:val="28"/>
          <w:highlight w:val="none"/>
        </w:rPr>
        <w:t>22.违约</w:t>
      </w:r>
    </w:p>
    <w:p w14:paraId="0867441E">
      <w:pPr>
        <w:pStyle w:val="3"/>
        <w:shd w:val="clear" w:fill="FFFFFF" w:themeFill="background1"/>
        <w:spacing w:before="156" w:beforeLines="50" w:line="400" w:lineRule="exact"/>
        <w:rPr>
          <w:rFonts w:ascii="宋体" w:hAnsi="宋体" w:cs="宋体"/>
          <w:color w:val="auto"/>
          <w:sz w:val="24"/>
          <w:szCs w:val="24"/>
          <w:highlight w:val="none"/>
        </w:rPr>
      </w:pPr>
      <w:bookmarkStart w:id="1627" w:name="_Toc393546518"/>
      <w:bookmarkEnd w:id="1627"/>
      <w:bookmarkStart w:id="1628" w:name="_Toc330406459"/>
      <w:bookmarkEnd w:id="1628"/>
      <w:bookmarkStart w:id="1629" w:name="_Toc43475994"/>
      <w:bookmarkEnd w:id="1629"/>
      <w:bookmarkStart w:id="1630" w:name="_Toc453057178"/>
      <w:bookmarkEnd w:id="1630"/>
      <w:bookmarkStart w:id="1631" w:name="_Toc451261368"/>
      <w:bookmarkEnd w:id="1631"/>
      <w:bookmarkStart w:id="1632" w:name="_Toc386467264"/>
      <w:bookmarkEnd w:id="1632"/>
      <w:r>
        <w:rPr>
          <w:rFonts w:hint="eastAsia" w:ascii="宋体" w:hAnsi="宋体" w:cs="宋体"/>
          <w:color w:val="auto"/>
          <w:sz w:val="24"/>
          <w:szCs w:val="24"/>
          <w:highlight w:val="none"/>
        </w:rPr>
        <w:t>22.1承包人违约</w:t>
      </w:r>
    </w:p>
    <w:p w14:paraId="15EA3319">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22.1.1承包人违约的情形</w:t>
      </w:r>
    </w:p>
    <w:p w14:paraId="17A207FA">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225251D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（2）承包人违反第5.3款或第6.4款的约定，未经监理人批准，私自将已按合同约定进入施工场地的施工设备、临时设施、材料或工程设备撤离施工场地；</w:t>
      </w:r>
    </w:p>
    <w:p w14:paraId="5EDF646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本项（7）目细化为：</w:t>
      </w:r>
    </w:p>
    <w:p w14:paraId="3F67C36E">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（7）承包人未能按期开工；</w:t>
      </w:r>
    </w:p>
    <w:p w14:paraId="6505B90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（8）承包人违反第4.6款或6.3款的规定，未按承诺或未按监理人的要求及时配备称职的主要管理人员、技术骨干或关键施工设备；</w:t>
      </w:r>
    </w:p>
    <w:p w14:paraId="6F544AE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（9）经监理人和发包人检查，发现承包人有安全问题或有违反安全管理规章制度的情况；</w:t>
      </w:r>
    </w:p>
    <w:p w14:paraId="2F1FFCB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（10）承包人不按合同约定履行义务的其他情况。</w:t>
      </w:r>
    </w:p>
    <w:p w14:paraId="02B1AD8A">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22.1.2对承包人违约的处理</w:t>
      </w:r>
    </w:p>
    <w:p w14:paraId="6381440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2E3AD2A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（4）承包人发生第22.1.1项约定的违约情况时，无论发包人是否解除合同，发包人均有权向承包人课以项目专用合同条款中规定的违约金，并由发包人将其违约行为上报省级交通主管部门，作为不良记录纳入</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w:t>
      </w:r>
    </w:p>
    <w:p w14:paraId="7DDE7B68">
      <w:pPr>
        <w:pStyle w:val="3"/>
        <w:shd w:val="clear" w:fill="FFFFFF" w:themeFill="background1"/>
        <w:spacing w:before="156" w:beforeLines="50" w:line="400" w:lineRule="exact"/>
        <w:rPr>
          <w:rFonts w:ascii="宋体" w:hAnsi="宋体" w:cs="宋体"/>
          <w:color w:val="auto"/>
          <w:sz w:val="24"/>
          <w:szCs w:val="24"/>
          <w:highlight w:val="none"/>
        </w:rPr>
      </w:pPr>
      <w:bookmarkStart w:id="1633" w:name="_Toc453057179"/>
      <w:bookmarkEnd w:id="1633"/>
      <w:bookmarkStart w:id="1634" w:name="_Toc386467265"/>
      <w:bookmarkEnd w:id="1634"/>
      <w:bookmarkStart w:id="1635" w:name="_Toc330406460"/>
      <w:bookmarkEnd w:id="1635"/>
      <w:bookmarkStart w:id="1636" w:name="_Toc451261369"/>
      <w:bookmarkEnd w:id="1636"/>
      <w:bookmarkStart w:id="1637" w:name="_Toc393546519"/>
      <w:bookmarkEnd w:id="1637"/>
      <w:bookmarkStart w:id="1638" w:name="_Toc43475995"/>
      <w:bookmarkEnd w:id="1638"/>
      <w:r>
        <w:rPr>
          <w:rFonts w:hint="eastAsia" w:ascii="宋体" w:hAnsi="宋体" w:cs="宋体"/>
          <w:color w:val="auto"/>
          <w:sz w:val="24"/>
          <w:szCs w:val="24"/>
          <w:highlight w:val="none"/>
        </w:rPr>
        <w:t>22.2发包人违约</w:t>
      </w:r>
    </w:p>
    <w:p w14:paraId="1DC0EBFB">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22.2.1</w:t>
      </w:r>
      <w:r>
        <w:rPr>
          <w:rFonts w:hint="eastAsia" w:ascii="宋体" w:hAnsi="宋体" w:cs="宋体"/>
          <w:b/>
          <w:bCs/>
          <w:color w:val="auto"/>
          <w:sz w:val="24"/>
          <w:highlight w:val="none"/>
          <w:lang w:val="zh-CN"/>
        </w:rPr>
        <w:t>发包人违约的情形</w:t>
      </w:r>
    </w:p>
    <w:p w14:paraId="533F904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(5)</w:t>
      </w:r>
      <w:r>
        <w:rPr>
          <w:rFonts w:hint="eastAsia" w:ascii="宋体" w:hAnsi="宋体" w:cs="宋体"/>
          <w:color w:val="auto"/>
          <w:sz w:val="24"/>
          <w:highlight w:val="none"/>
          <w:lang w:val="zh-CN"/>
        </w:rPr>
        <w:t>目细化为：</w:t>
      </w:r>
    </w:p>
    <w:p w14:paraId="2869FD6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发包人无正当理由不按时返还履约保证金、质量保证金或农民工工资保证金的；</w:t>
      </w:r>
    </w:p>
    <w:p w14:paraId="6676733E">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发包人不履行合同约定其他义务的。</w:t>
      </w:r>
    </w:p>
    <w:p w14:paraId="236AD49E">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22.2.2</w:t>
      </w:r>
      <w:r>
        <w:rPr>
          <w:rFonts w:hint="eastAsia" w:ascii="宋体" w:hAnsi="宋体" w:cs="宋体"/>
          <w:b/>
          <w:bCs/>
          <w:color w:val="auto"/>
          <w:sz w:val="24"/>
          <w:highlight w:val="none"/>
          <w:lang w:val="zh-CN"/>
        </w:rPr>
        <w:t>承包人有权暂停施工</w:t>
      </w:r>
    </w:p>
    <w:p w14:paraId="7070122B">
      <w:pPr>
        <w:shd w:val="clear" w:fill="FFFFFF" w:themeFill="background1"/>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本项细化为：</w:t>
      </w:r>
    </w:p>
    <w:p w14:paraId="5DFDFFE6">
      <w:pPr>
        <w:shd w:val="clear" w:fill="FFFFFF" w:themeFill="background1"/>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发包人发生除第</w:t>
      </w:r>
      <w:r>
        <w:rPr>
          <w:rFonts w:hint="eastAsia" w:ascii="宋体" w:hAnsi="宋体" w:cs="宋体"/>
          <w:color w:val="auto"/>
          <w:sz w:val="24"/>
          <w:highlight w:val="none"/>
        </w:rPr>
        <w:t xml:space="preserve">22.2.1 </w:t>
      </w:r>
      <w:r>
        <w:rPr>
          <w:rFonts w:hint="eastAsia" w:ascii="宋体" w:hAnsi="宋体" w:cs="宋体"/>
          <w:color w:val="auto"/>
          <w:sz w:val="24"/>
          <w:highlight w:val="none"/>
          <w:lang w:val="zh-CN"/>
        </w:rPr>
        <w:t>(4)、</w:t>
      </w:r>
      <w:r>
        <w:rPr>
          <w:rFonts w:hint="eastAsia" w:ascii="宋体" w:hAnsi="宋体" w:cs="宋体"/>
          <w:color w:val="auto"/>
          <w:sz w:val="24"/>
          <w:highlight w:val="none"/>
        </w:rPr>
        <w:t>(5)</w:t>
      </w:r>
      <w:r>
        <w:rPr>
          <w:rFonts w:hint="eastAsia" w:ascii="宋体" w:hAnsi="宋体" w:cs="宋体"/>
          <w:color w:val="auto"/>
          <w:sz w:val="24"/>
          <w:highlight w:val="none"/>
          <w:lang w:val="zh-CN"/>
        </w:rPr>
        <w:t>目以外的违约情况时，承包人可向发包人发</w:t>
      </w:r>
    </w:p>
    <w:p w14:paraId="2620D293">
      <w:pPr>
        <w:shd w:val="clear" w:fill="FFFFFF" w:themeFill="background1"/>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出通知，要求发包人采取有效措施纠正违约行为。发包人收到承包人通知后的28天 内仍不履行合同义务，承包人有权暂停施工，并通知监理人，发包人应承担由此增 加的费用和（或）工期延误，并支付承包人合理利润。</w:t>
      </w:r>
    </w:p>
    <w:p w14:paraId="3086E366">
      <w:pPr>
        <w:shd w:val="clear" w:fill="FFFFFF" w:themeFill="background1"/>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发包人发生第</w:t>
      </w:r>
      <w:r>
        <w:rPr>
          <w:rFonts w:hint="eastAsia" w:ascii="宋体" w:hAnsi="宋体" w:cs="宋体"/>
          <w:color w:val="auto"/>
          <w:sz w:val="24"/>
          <w:highlight w:val="none"/>
        </w:rPr>
        <w:t>22.2.1 （5）</w:t>
      </w:r>
      <w:r>
        <w:rPr>
          <w:rFonts w:hint="eastAsia" w:ascii="宋体" w:hAnsi="宋体" w:cs="宋体"/>
          <w:color w:val="auto"/>
          <w:sz w:val="24"/>
          <w:highlight w:val="none"/>
          <w:lang w:val="zh-CN"/>
        </w:rPr>
        <w:t>目的违约情况时，承包人可向发包人发出通知，要求 发包人采取有效措施纠正违约行为。发包人收到承包人通知后的28天内仍不返还履 约保证金、质量保证金或农民工工资保证金的，发包人应按项目专用合同条款的约 定向承包人支付逾期返还保证金的违约金。</w:t>
      </w:r>
    </w:p>
    <w:p w14:paraId="5D499E10">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22.2.4 解除合同后的付款</w:t>
      </w:r>
    </w:p>
    <w:p w14:paraId="6B7F10E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052CCFC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p>
    <w:p w14:paraId="32FB9AF6">
      <w:pPr>
        <w:pStyle w:val="3"/>
        <w:shd w:val="clear" w:fill="FFFFFF" w:themeFill="background1"/>
        <w:spacing w:before="120" w:line="400" w:lineRule="exact"/>
        <w:rPr>
          <w:rFonts w:ascii="宋体" w:hAnsi="宋体" w:cs="宋体"/>
          <w:color w:val="auto"/>
          <w:sz w:val="28"/>
          <w:szCs w:val="28"/>
          <w:highlight w:val="none"/>
        </w:rPr>
      </w:pPr>
      <w:bookmarkStart w:id="1639" w:name="_Toc393546520"/>
      <w:bookmarkEnd w:id="1639"/>
      <w:bookmarkStart w:id="1640" w:name="_Toc330406461"/>
      <w:bookmarkEnd w:id="1640"/>
      <w:bookmarkStart w:id="1641" w:name="_Toc43475996"/>
      <w:bookmarkEnd w:id="1641"/>
      <w:bookmarkStart w:id="1642" w:name="_Toc451261370"/>
      <w:bookmarkEnd w:id="1642"/>
      <w:bookmarkStart w:id="1643" w:name="_Toc386467266"/>
      <w:bookmarkEnd w:id="1643"/>
      <w:bookmarkStart w:id="1644" w:name="_Toc453057180"/>
      <w:bookmarkEnd w:id="1644"/>
      <w:r>
        <w:rPr>
          <w:rFonts w:hint="eastAsia" w:ascii="宋体" w:hAnsi="宋体" w:cs="宋体"/>
          <w:color w:val="auto"/>
          <w:sz w:val="28"/>
          <w:szCs w:val="28"/>
          <w:highlight w:val="none"/>
        </w:rPr>
        <w:t>23.索赔</w:t>
      </w:r>
    </w:p>
    <w:p w14:paraId="255006B4">
      <w:pPr>
        <w:pStyle w:val="3"/>
        <w:shd w:val="clear" w:fill="FFFFFF" w:themeFill="background1"/>
        <w:spacing w:before="156" w:beforeLines="50" w:line="400" w:lineRule="exact"/>
        <w:rPr>
          <w:rFonts w:ascii="宋体" w:hAnsi="宋体" w:cs="宋体"/>
          <w:color w:val="auto"/>
          <w:sz w:val="24"/>
          <w:szCs w:val="24"/>
          <w:highlight w:val="none"/>
        </w:rPr>
      </w:pPr>
      <w:bookmarkStart w:id="1645" w:name="_Toc386467267"/>
      <w:bookmarkEnd w:id="1645"/>
      <w:bookmarkStart w:id="1646" w:name="_Toc451261371"/>
      <w:bookmarkEnd w:id="1646"/>
      <w:bookmarkStart w:id="1647" w:name="_Toc393546521"/>
      <w:bookmarkEnd w:id="1647"/>
      <w:bookmarkStart w:id="1648" w:name="_Toc453057181"/>
      <w:bookmarkEnd w:id="1648"/>
      <w:bookmarkStart w:id="1649" w:name="_Toc330406462"/>
      <w:bookmarkEnd w:id="1649"/>
      <w:bookmarkStart w:id="1650" w:name="_Toc43475997"/>
      <w:bookmarkEnd w:id="1650"/>
      <w:r>
        <w:rPr>
          <w:rFonts w:hint="eastAsia" w:ascii="宋体" w:hAnsi="宋体" w:cs="宋体"/>
          <w:color w:val="auto"/>
          <w:sz w:val="24"/>
          <w:szCs w:val="24"/>
          <w:highlight w:val="none"/>
        </w:rPr>
        <w:t>23.1承包人索赔的提出</w:t>
      </w:r>
    </w:p>
    <w:p w14:paraId="31FE8A8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本款第（4）项细化为：</w:t>
      </w:r>
    </w:p>
    <w:p w14:paraId="02446B7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（4）在索赔事件影响结束后的28天内，承包人应向监理人递交最终索赔通知书，说明最终要求索赔的追加付款金额和（或）延长的工期，并附必要的记录和证明材料。</w:t>
      </w:r>
    </w:p>
    <w:p w14:paraId="1A01C065">
      <w:pPr>
        <w:pStyle w:val="3"/>
        <w:shd w:val="clear" w:fill="FFFFFF" w:themeFill="background1"/>
        <w:spacing w:before="156" w:beforeLines="50" w:line="400" w:lineRule="exact"/>
        <w:rPr>
          <w:rFonts w:ascii="宋体" w:hAnsi="宋体" w:cs="宋体"/>
          <w:color w:val="auto"/>
          <w:sz w:val="24"/>
          <w:szCs w:val="24"/>
          <w:highlight w:val="none"/>
        </w:rPr>
      </w:pPr>
      <w:bookmarkStart w:id="1651" w:name="_Toc330406463"/>
      <w:bookmarkEnd w:id="1651"/>
      <w:bookmarkStart w:id="1652" w:name="_Toc393546522"/>
      <w:bookmarkEnd w:id="1652"/>
      <w:bookmarkStart w:id="1653" w:name="_Toc43475998"/>
      <w:bookmarkEnd w:id="1653"/>
      <w:bookmarkStart w:id="1654" w:name="_Toc453057182"/>
      <w:bookmarkEnd w:id="1654"/>
      <w:bookmarkStart w:id="1655" w:name="_Toc386467268"/>
      <w:bookmarkEnd w:id="1655"/>
      <w:bookmarkStart w:id="1656" w:name="_Toc451261372"/>
      <w:bookmarkEnd w:id="1656"/>
      <w:r>
        <w:rPr>
          <w:rFonts w:hint="eastAsia" w:ascii="宋体" w:hAnsi="宋体" w:cs="宋体"/>
          <w:color w:val="auto"/>
          <w:sz w:val="24"/>
          <w:szCs w:val="24"/>
          <w:highlight w:val="none"/>
        </w:rPr>
        <w:t>23.2承包人索赔处理程序</w:t>
      </w:r>
    </w:p>
    <w:p w14:paraId="60A9F8A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本款第（2）项细化为：</w:t>
      </w:r>
    </w:p>
    <w:p w14:paraId="0FCD921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4A197D3B">
      <w:pPr>
        <w:pStyle w:val="3"/>
        <w:shd w:val="clear" w:fill="FFFFFF" w:themeFill="background1"/>
        <w:spacing w:before="156" w:beforeLines="50" w:after="120" w:line="400" w:lineRule="exact"/>
        <w:rPr>
          <w:rFonts w:ascii="宋体" w:hAnsi="宋体" w:cs="宋体"/>
          <w:color w:val="auto"/>
          <w:sz w:val="28"/>
          <w:szCs w:val="28"/>
          <w:highlight w:val="none"/>
        </w:rPr>
      </w:pPr>
      <w:bookmarkStart w:id="1657" w:name="_Toc393546523"/>
      <w:bookmarkEnd w:id="1657"/>
      <w:bookmarkStart w:id="1658" w:name="_Toc386467269"/>
      <w:bookmarkEnd w:id="1658"/>
      <w:bookmarkStart w:id="1659" w:name="_Toc451261373"/>
      <w:bookmarkEnd w:id="1659"/>
      <w:bookmarkStart w:id="1660" w:name="_Toc453057183"/>
      <w:bookmarkEnd w:id="1660"/>
      <w:bookmarkStart w:id="1661" w:name="_Toc330406464"/>
      <w:bookmarkEnd w:id="1661"/>
      <w:bookmarkStart w:id="1662" w:name="_Toc43475999"/>
      <w:bookmarkEnd w:id="1662"/>
      <w:r>
        <w:rPr>
          <w:rFonts w:hint="eastAsia" w:ascii="宋体" w:hAnsi="宋体" w:cs="宋体"/>
          <w:color w:val="auto"/>
          <w:sz w:val="28"/>
          <w:szCs w:val="28"/>
          <w:highlight w:val="none"/>
        </w:rPr>
        <w:t>24.争议的解决</w:t>
      </w:r>
    </w:p>
    <w:p w14:paraId="1CD199A7">
      <w:pPr>
        <w:pStyle w:val="3"/>
        <w:shd w:val="clear" w:fill="FFFFFF" w:themeFill="background1"/>
        <w:spacing w:before="156" w:beforeLines="50" w:line="400" w:lineRule="exact"/>
        <w:rPr>
          <w:rFonts w:ascii="宋体" w:hAnsi="宋体" w:cs="宋体"/>
          <w:color w:val="auto"/>
          <w:sz w:val="24"/>
          <w:szCs w:val="24"/>
          <w:highlight w:val="none"/>
        </w:rPr>
      </w:pPr>
      <w:bookmarkStart w:id="1663" w:name="_Toc330406465"/>
      <w:bookmarkEnd w:id="1663"/>
      <w:bookmarkStart w:id="1664" w:name="_Toc453057184"/>
      <w:bookmarkEnd w:id="1664"/>
      <w:bookmarkStart w:id="1665" w:name="_Toc451261374"/>
      <w:bookmarkEnd w:id="1665"/>
      <w:bookmarkStart w:id="1666" w:name="_Toc386467270"/>
      <w:bookmarkEnd w:id="1666"/>
      <w:bookmarkStart w:id="1667" w:name="_Toc393546524"/>
      <w:bookmarkEnd w:id="1667"/>
      <w:bookmarkStart w:id="1668" w:name="_Toc43476000"/>
      <w:bookmarkEnd w:id="1668"/>
      <w:r>
        <w:rPr>
          <w:rFonts w:hint="eastAsia" w:ascii="宋体" w:hAnsi="宋体" w:cs="宋体"/>
          <w:color w:val="auto"/>
          <w:sz w:val="24"/>
          <w:szCs w:val="24"/>
          <w:highlight w:val="none"/>
        </w:rPr>
        <w:t>24.3争议评审</w:t>
      </w:r>
    </w:p>
    <w:p w14:paraId="27FF9C4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第24.3.1项补充：</w:t>
      </w:r>
    </w:p>
    <w:p w14:paraId="0A14F63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23068BED">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本条补充第24.4、第24.5款（适用于采用仲裁方式最终解决争议的项目）：</w:t>
      </w:r>
    </w:p>
    <w:p w14:paraId="3A7D4BAE">
      <w:pPr>
        <w:pStyle w:val="3"/>
        <w:shd w:val="clear" w:fill="FFFFFF" w:themeFill="background1"/>
        <w:spacing w:before="156" w:beforeLines="50" w:line="400" w:lineRule="exact"/>
        <w:rPr>
          <w:rFonts w:ascii="宋体" w:hAnsi="宋体" w:cs="宋体"/>
          <w:color w:val="auto"/>
          <w:sz w:val="24"/>
          <w:szCs w:val="24"/>
          <w:highlight w:val="none"/>
        </w:rPr>
      </w:pPr>
      <w:bookmarkStart w:id="1669" w:name="_Toc330406466"/>
      <w:bookmarkEnd w:id="1669"/>
      <w:bookmarkStart w:id="1670" w:name="_Toc393546525"/>
      <w:bookmarkEnd w:id="1670"/>
      <w:bookmarkStart w:id="1671" w:name="_Toc43476001"/>
      <w:bookmarkEnd w:id="1671"/>
      <w:bookmarkStart w:id="1672" w:name="_Toc451261375"/>
      <w:bookmarkEnd w:id="1672"/>
      <w:bookmarkStart w:id="1673" w:name="_Toc453057185"/>
      <w:bookmarkEnd w:id="1673"/>
      <w:bookmarkStart w:id="1674" w:name="_Toc386467271"/>
      <w:bookmarkEnd w:id="1674"/>
      <w:r>
        <w:rPr>
          <w:rFonts w:hint="eastAsia" w:ascii="宋体" w:hAnsi="宋体" w:cs="宋体"/>
          <w:color w:val="auto"/>
          <w:sz w:val="24"/>
          <w:szCs w:val="24"/>
          <w:highlight w:val="none"/>
        </w:rPr>
        <w:t>24.4仲裁</w:t>
      </w:r>
    </w:p>
    <w:p w14:paraId="44DF34EA">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（1）对于未能友好解决或通过争议评审解决的争议，发包人或承包人任一方均有权提交给第24.1款约定的仲裁委员会仲裁。</w:t>
      </w:r>
    </w:p>
    <w:p w14:paraId="3F8D4FB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02C76B4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（3）仲裁裁决是终局性的并对发包人和承包人双方具有约束力。</w:t>
      </w:r>
    </w:p>
    <w:p w14:paraId="54A0C3A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（4）全部仲裁费用应由败诉方承担；或按仲裁员会裁决的比例分担。</w:t>
      </w:r>
    </w:p>
    <w:p w14:paraId="787710A8">
      <w:pPr>
        <w:pStyle w:val="3"/>
        <w:shd w:val="clear" w:fill="FFFFFF" w:themeFill="background1"/>
        <w:spacing w:before="156" w:beforeLines="50" w:line="400" w:lineRule="exact"/>
        <w:rPr>
          <w:rFonts w:ascii="宋体" w:hAnsi="宋体" w:cs="宋体"/>
          <w:color w:val="auto"/>
          <w:sz w:val="24"/>
          <w:szCs w:val="24"/>
          <w:highlight w:val="none"/>
        </w:rPr>
      </w:pPr>
      <w:bookmarkStart w:id="1675" w:name="_Toc330406467"/>
      <w:bookmarkEnd w:id="1675"/>
      <w:bookmarkStart w:id="1676" w:name="_Toc393546526"/>
      <w:bookmarkEnd w:id="1676"/>
      <w:bookmarkStart w:id="1677" w:name="_Toc43476002"/>
      <w:bookmarkEnd w:id="1677"/>
      <w:bookmarkStart w:id="1678" w:name="_Toc386467272"/>
      <w:bookmarkEnd w:id="1678"/>
      <w:bookmarkStart w:id="1679" w:name="_Toc453057186"/>
      <w:bookmarkEnd w:id="1679"/>
      <w:bookmarkStart w:id="1680" w:name="_Toc451261376"/>
      <w:bookmarkEnd w:id="1680"/>
      <w:r>
        <w:rPr>
          <w:rFonts w:hint="eastAsia" w:ascii="宋体" w:hAnsi="宋体" w:cs="宋体"/>
          <w:color w:val="auto"/>
          <w:sz w:val="24"/>
          <w:szCs w:val="24"/>
          <w:highlight w:val="none"/>
        </w:rPr>
        <w:t>24.5仲裁的执行</w:t>
      </w:r>
    </w:p>
    <w:p w14:paraId="7EFEEE3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（1）任何一方不履行仲裁机构的裁决的，对方可以向有管辖权的人民法院申请执行。</w:t>
      </w:r>
    </w:p>
    <w:p w14:paraId="20BED9F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7CF84C2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p>
    <w:p w14:paraId="1D85F746">
      <w:pPr>
        <w:pStyle w:val="4"/>
        <w:shd w:val="clear" w:fill="FFFFFF" w:themeFill="background1"/>
        <w:jc w:val="center"/>
        <w:rPr>
          <w:rFonts w:ascii="宋体" w:hAnsi="宋体"/>
          <w:color w:val="auto"/>
          <w:szCs w:val="36"/>
          <w:highlight w:val="none"/>
        </w:rPr>
      </w:pPr>
      <w:bookmarkStart w:id="1681" w:name="_Toc43476003"/>
      <w:bookmarkEnd w:id="1681"/>
      <w:r>
        <w:rPr>
          <w:rFonts w:hint="eastAsia"/>
          <w:color w:val="auto"/>
          <w:highlight w:val="none"/>
        </w:rPr>
        <w:t>B.项目专用合同条款</w:t>
      </w:r>
    </w:p>
    <w:p w14:paraId="1A787EA7">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14:paraId="0E60B21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 招标人在根据本范本编制项目招标文件中的“项目专用合同条款”时，可根据招标项目的具体特点和实际需要，对“通用合同条款”及“公路工程专用合同条款”进行补充和细化，除“通用合同条款”明确“专用合同条款”可做出不同约定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5159D00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 项目专用合同条款的编号应与通用合同条款和公路工程专用合同条款一致。</w:t>
      </w:r>
    </w:p>
    <w:p w14:paraId="29B0B3B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 项目专用合同条款可对下列内容进行补充和细化：</w:t>
      </w:r>
    </w:p>
    <w:p w14:paraId="22DE8BEA">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08C2EB25">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3ADF418D">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(3)其他需要补充、细化的内容。</w:t>
      </w:r>
    </w:p>
    <w:p w14:paraId="5C3D7686">
      <w:pPr>
        <w:pStyle w:val="5"/>
        <w:shd w:val="clear" w:fill="FFFFFF" w:themeFill="background1"/>
        <w:jc w:val="center"/>
        <w:rPr>
          <w:color w:val="auto"/>
          <w:highlight w:val="none"/>
        </w:rPr>
      </w:pPr>
      <w:bookmarkStart w:id="1682" w:name="_Toc43476004"/>
      <w:bookmarkEnd w:id="1682"/>
      <w:bookmarkStart w:id="1683" w:name="_Toc505844493"/>
      <w:bookmarkEnd w:id="1683"/>
      <w:r>
        <w:rPr>
          <w:rFonts w:hint="eastAsia"/>
          <w:color w:val="auto"/>
          <w:highlight w:val="none"/>
        </w:rPr>
        <w:br w:type="page"/>
      </w:r>
      <w:r>
        <w:rPr>
          <w:rFonts w:hint="eastAsia"/>
          <w:color w:val="auto"/>
          <w:highlight w:val="none"/>
        </w:rPr>
        <w:t>项目专用条款数据表</w:t>
      </w:r>
    </w:p>
    <w:p w14:paraId="48ED474A">
      <w:pPr>
        <w:shd w:val="clear" w:fill="FFFFFF" w:themeFill="background1"/>
        <w:rPr>
          <w:color w:val="auto"/>
          <w:highlight w:val="none"/>
        </w:rPr>
      </w:pPr>
    </w:p>
    <w:p w14:paraId="3A1F466F">
      <w:pPr>
        <w:shd w:val="clear" w:fill="FFFFFF" w:themeFill="background1"/>
        <w:spacing w:line="360" w:lineRule="auto"/>
        <w:rPr>
          <w:rFonts w:ascii="宋体" w:hAnsi="宋体"/>
          <w:color w:val="auto"/>
          <w:sz w:val="24"/>
          <w:highlight w:val="none"/>
        </w:rPr>
      </w:pPr>
      <w:r>
        <w:rPr>
          <w:rFonts w:hint="eastAsia" w:ascii="宋体" w:hAnsi="宋体"/>
          <w:color w:val="auto"/>
          <w:sz w:val="24"/>
          <w:highlight w:val="none"/>
        </w:rPr>
        <w:t>说明： 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43"/>
        <w:tblW w:w="97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20"/>
        <w:gridCol w:w="1464"/>
        <w:gridCol w:w="7426"/>
      </w:tblGrid>
      <w:tr w14:paraId="2DAB7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6" w:type="dxa"/>
            <w:vAlign w:val="center"/>
          </w:tcPr>
          <w:p w14:paraId="1A5E69B6">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484" w:type="dxa"/>
            <w:gridSpan w:val="2"/>
            <w:vAlign w:val="center"/>
          </w:tcPr>
          <w:p w14:paraId="12B340EE">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426" w:type="dxa"/>
            <w:vAlign w:val="center"/>
          </w:tcPr>
          <w:p w14:paraId="037E60C3">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信息或数据</w:t>
            </w:r>
          </w:p>
        </w:tc>
      </w:tr>
      <w:tr w14:paraId="01750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AA01DD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w:t>
            </w:r>
          </w:p>
        </w:tc>
        <w:tc>
          <w:tcPr>
            <w:tcW w:w="1484" w:type="dxa"/>
            <w:gridSpan w:val="2"/>
            <w:vAlign w:val="center"/>
          </w:tcPr>
          <w:p w14:paraId="17BFEE2C">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 xml:space="preserve">   1.1.2.2</w:t>
            </w:r>
          </w:p>
        </w:tc>
        <w:tc>
          <w:tcPr>
            <w:tcW w:w="7426" w:type="dxa"/>
            <w:vAlign w:val="center"/>
          </w:tcPr>
          <w:p w14:paraId="56DCF8E9">
            <w:pPr>
              <w:pStyle w:val="73"/>
              <w:widowControl/>
              <w:shd w:val="clear" w:fill="FFFFFF" w:themeFill="background1"/>
              <w:snapToGrid w:val="0"/>
              <w:spacing w:line="400" w:lineRule="exact"/>
              <w:jc w:val="left"/>
              <w:rPr>
                <w:rFonts w:hint="eastAsia" w:hAnsi="宋体" w:eastAsia="宋体" w:cs="宋体"/>
                <w:color w:val="auto"/>
                <w:sz w:val="21"/>
                <w:szCs w:val="21"/>
                <w:highlight w:val="none"/>
                <w:lang w:eastAsia="zh-CN"/>
              </w:rPr>
            </w:pPr>
            <w:r>
              <w:rPr>
                <w:rFonts w:hint="eastAsia" w:hAnsi="宋体" w:cs="宋体"/>
                <w:color w:val="auto"/>
                <w:sz w:val="21"/>
                <w:szCs w:val="21"/>
                <w:highlight w:val="none"/>
              </w:rPr>
              <w:t>单位名称：</w:t>
            </w:r>
            <w:r>
              <w:rPr>
                <w:rFonts w:hint="eastAsia" w:hAnsi="宋体" w:cs="宋体"/>
                <w:color w:val="auto"/>
                <w:sz w:val="21"/>
                <w:szCs w:val="21"/>
                <w:highlight w:val="none"/>
                <w:lang w:eastAsia="zh-CN"/>
              </w:rPr>
              <w:t>乐昌市坪石镇人民政府</w:t>
            </w:r>
          </w:p>
          <w:p w14:paraId="1CD2F098">
            <w:pPr>
              <w:pStyle w:val="73"/>
              <w:widowControl/>
              <w:shd w:val="clear" w:fill="FFFFFF" w:themeFill="background1"/>
              <w:snapToGrid w:val="0"/>
              <w:spacing w:line="400" w:lineRule="exact"/>
              <w:jc w:val="left"/>
              <w:rPr>
                <w:rFonts w:hint="eastAsia" w:hAnsi="宋体" w:eastAsia="宋体" w:cs="宋体"/>
                <w:color w:val="auto"/>
                <w:sz w:val="21"/>
                <w:szCs w:val="21"/>
                <w:highlight w:val="none"/>
                <w:lang w:eastAsia="zh-CN"/>
              </w:rPr>
            </w:pPr>
            <w:r>
              <w:rPr>
                <w:rFonts w:hint="eastAsia" w:hAnsi="宋体" w:cs="宋体"/>
                <w:color w:val="auto"/>
                <w:sz w:val="21"/>
                <w:szCs w:val="21"/>
                <w:highlight w:val="none"/>
              </w:rPr>
              <w:t>地址：</w:t>
            </w:r>
            <w:r>
              <w:rPr>
                <w:rFonts w:hint="eastAsia" w:hAnsi="宋体" w:cs="宋体"/>
                <w:color w:val="auto"/>
                <w:sz w:val="21"/>
                <w:szCs w:val="21"/>
                <w:highlight w:val="none"/>
                <w:lang w:eastAsia="zh-CN"/>
              </w:rPr>
              <w:t>乐昌市坪石镇群众路三巷89号</w:t>
            </w:r>
            <w:r>
              <w:rPr>
                <w:rFonts w:hint="eastAsia" w:hAnsi="宋体" w:cs="宋体"/>
                <w:color w:val="auto"/>
                <w:sz w:val="21"/>
                <w:szCs w:val="21"/>
                <w:highlight w:val="none"/>
              </w:rPr>
              <w:t xml:space="preserve">          邮政编码：</w:t>
            </w:r>
            <w:r>
              <w:rPr>
                <w:rFonts w:hint="eastAsia" w:hAnsi="宋体" w:cs="宋体"/>
                <w:color w:val="auto"/>
                <w:sz w:val="21"/>
                <w:szCs w:val="21"/>
                <w:highlight w:val="none"/>
                <w:lang w:eastAsia="zh-CN"/>
              </w:rPr>
              <w:t>512229</w:t>
            </w:r>
          </w:p>
        </w:tc>
      </w:tr>
      <w:tr w14:paraId="5EF51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ECF600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w:t>
            </w:r>
          </w:p>
        </w:tc>
        <w:tc>
          <w:tcPr>
            <w:tcW w:w="1484" w:type="dxa"/>
            <w:gridSpan w:val="2"/>
            <w:vAlign w:val="center"/>
          </w:tcPr>
          <w:p w14:paraId="6C316A9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1.1.2.6</w:t>
            </w:r>
          </w:p>
        </w:tc>
        <w:tc>
          <w:tcPr>
            <w:tcW w:w="7426" w:type="dxa"/>
            <w:vAlign w:val="center"/>
          </w:tcPr>
          <w:p w14:paraId="12D5910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监 理 人：/</w:t>
            </w:r>
          </w:p>
          <w:p w14:paraId="7005B34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地    址：/                       邮政编码：/</w:t>
            </w:r>
          </w:p>
        </w:tc>
      </w:tr>
      <w:tr w14:paraId="097E6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3B84D2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w:t>
            </w:r>
          </w:p>
        </w:tc>
        <w:tc>
          <w:tcPr>
            <w:tcW w:w="1484" w:type="dxa"/>
            <w:gridSpan w:val="2"/>
            <w:vAlign w:val="center"/>
          </w:tcPr>
          <w:p w14:paraId="4ABC746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1.1.2.10</w:t>
            </w:r>
          </w:p>
        </w:tc>
        <w:tc>
          <w:tcPr>
            <w:tcW w:w="7426" w:type="dxa"/>
            <w:vAlign w:val="center"/>
          </w:tcPr>
          <w:p w14:paraId="45C5D0F6">
            <w:pPr>
              <w:shd w:val="clear" w:fill="FFFFFF" w:themeFill="background1"/>
              <w:rPr>
                <w:rFonts w:ascii="宋体" w:hAnsi="宋体" w:cs="宋体"/>
                <w:color w:val="auto"/>
                <w:szCs w:val="21"/>
                <w:highlight w:val="none"/>
              </w:rPr>
            </w:pPr>
            <w:r>
              <w:rPr>
                <w:rFonts w:hint="eastAsia" w:ascii="宋体" w:hAnsi="宋体" w:cs="宋体"/>
                <w:color w:val="auto"/>
                <w:spacing w:val="-1"/>
                <w:szCs w:val="21"/>
                <w:highlight w:val="none"/>
              </w:rPr>
              <w:t>试验人</w:t>
            </w:r>
            <w:r>
              <w:rPr>
                <w:rFonts w:hint="eastAsia" w:ascii="宋体" w:hAnsi="宋体" w:cs="宋体"/>
                <w:color w:val="auto"/>
                <w:szCs w:val="21"/>
                <w:highlight w:val="none"/>
              </w:rPr>
              <w:t>：/</w:t>
            </w:r>
          </w:p>
          <w:p w14:paraId="7B8E7471">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邮政</w:t>
            </w:r>
            <w:r>
              <w:rPr>
                <w:rFonts w:hint="eastAsia" w:ascii="宋体" w:hAnsi="宋体" w:cs="宋体"/>
                <w:color w:val="auto"/>
                <w:szCs w:val="21"/>
                <w:highlight w:val="none"/>
              </w:rPr>
              <w:t>编码：/</w:t>
            </w:r>
          </w:p>
        </w:tc>
      </w:tr>
      <w:tr w14:paraId="592D1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CBB123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w:t>
            </w:r>
          </w:p>
        </w:tc>
        <w:tc>
          <w:tcPr>
            <w:tcW w:w="1484" w:type="dxa"/>
            <w:gridSpan w:val="2"/>
            <w:vAlign w:val="center"/>
          </w:tcPr>
          <w:p w14:paraId="3F10D67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1.1.4.5</w:t>
            </w:r>
          </w:p>
        </w:tc>
        <w:tc>
          <w:tcPr>
            <w:tcW w:w="7426" w:type="dxa"/>
            <w:vAlign w:val="center"/>
          </w:tcPr>
          <w:p w14:paraId="29E282B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缺陷责任期：自实际交工日期起计算</w:t>
            </w:r>
            <w:r>
              <w:rPr>
                <w:rFonts w:hint="eastAsia" w:ascii="宋体" w:hAnsi="宋体" w:cs="宋体"/>
                <w:color w:val="auto"/>
                <w:szCs w:val="21"/>
                <w:highlight w:val="none"/>
                <w:u w:val="single"/>
              </w:rPr>
              <w:t>12</w:t>
            </w:r>
            <w:r>
              <w:rPr>
                <w:rFonts w:hint="eastAsia" w:ascii="宋体" w:hAnsi="宋体" w:cs="宋体"/>
                <w:color w:val="auto"/>
                <w:szCs w:val="21"/>
                <w:highlight w:val="none"/>
              </w:rPr>
              <w:t>个月，其中绿化工程自实际交工日期起计算</w:t>
            </w:r>
            <w:r>
              <w:rPr>
                <w:rFonts w:hint="eastAsia" w:ascii="宋体" w:hAnsi="宋体" w:cs="宋体"/>
                <w:color w:val="auto"/>
                <w:szCs w:val="21"/>
                <w:highlight w:val="none"/>
                <w:u w:val="single"/>
              </w:rPr>
              <w:t xml:space="preserve"> / 个</w:t>
            </w:r>
            <w:r>
              <w:rPr>
                <w:rFonts w:hint="eastAsia" w:ascii="宋体" w:hAnsi="宋体" w:cs="宋体"/>
                <w:color w:val="auto"/>
                <w:szCs w:val="21"/>
                <w:highlight w:val="none"/>
              </w:rPr>
              <w:t>月。</w:t>
            </w:r>
          </w:p>
        </w:tc>
      </w:tr>
      <w:tr w14:paraId="0A37B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69403D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5</w:t>
            </w:r>
          </w:p>
        </w:tc>
        <w:tc>
          <w:tcPr>
            <w:tcW w:w="1484" w:type="dxa"/>
            <w:gridSpan w:val="2"/>
            <w:vAlign w:val="center"/>
          </w:tcPr>
          <w:p w14:paraId="65CF13D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1.6.3</w:t>
            </w:r>
          </w:p>
        </w:tc>
        <w:tc>
          <w:tcPr>
            <w:tcW w:w="7426" w:type="dxa"/>
            <w:vAlign w:val="center"/>
          </w:tcPr>
          <w:p w14:paraId="303A8F9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图纸需要修改和补充的，应由监理人取得发包人同意后，在该项工程或工程相应部位施工前</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天签发图纸修改图给承包人。</w:t>
            </w:r>
          </w:p>
        </w:tc>
      </w:tr>
      <w:tr w14:paraId="5D137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AE376D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6</w:t>
            </w:r>
          </w:p>
        </w:tc>
        <w:tc>
          <w:tcPr>
            <w:tcW w:w="1484" w:type="dxa"/>
            <w:gridSpan w:val="2"/>
            <w:vAlign w:val="center"/>
          </w:tcPr>
          <w:p w14:paraId="2742927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3.1.1</w:t>
            </w:r>
          </w:p>
        </w:tc>
        <w:tc>
          <w:tcPr>
            <w:tcW w:w="7426" w:type="dxa"/>
            <w:vAlign w:val="center"/>
          </w:tcPr>
          <w:p w14:paraId="506A0A2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w:t>
            </w:r>
          </w:p>
          <w:p w14:paraId="034D2C18">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（6）根据第15.3款发出的变更指示，均需要经发包人事先批准。</w:t>
            </w:r>
          </w:p>
        </w:tc>
      </w:tr>
      <w:tr w14:paraId="5D121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52BEE3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w:t>
            </w:r>
          </w:p>
        </w:tc>
        <w:tc>
          <w:tcPr>
            <w:tcW w:w="1484" w:type="dxa"/>
            <w:gridSpan w:val="2"/>
            <w:vAlign w:val="center"/>
          </w:tcPr>
          <w:p w14:paraId="14010FA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4.6.3(1)</w:t>
            </w:r>
          </w:p>
        </w:tc>
        <w:tc>
          <w:tcPr>
            <w:tcW w:w="7426" w:type="dxa"/>
            <w:vAlign w:val="center"/>
          </w:tcPr>
          <w:p w14:paraId="17BDC887">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需缴纳违约金金额：项目经理</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万元/人次，总工程师</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万元/人次，其他主要管理人员</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万元/人次。</w:t>
            </w:r>
          </w:p>
        </w:tc>
      </w:tr>
      <w:tr w14:paraId="5C5E1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19D45F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8</w:t>
            </w:r>
          </w:p>
        </w:tc>
        <w:tc>
          <w:tcPr>
            <w:tcW w:w="1484" w:type="dxa"/>
            <w:gridSpan w:val="2"/>
            <w:vAlign w:val="center"/>
          </w:tcPr>
          <w:p w14:paraId="170128C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5.2.1</w:t>
            </w:r>
          </w:p>
        </w:tc>
        <w:tc>
          <w:tcPr>
            <w:tcW w:w="7426" w:type="dxa"/>
            <w:vAlign w:val="center"/>
          </w:tcPr>
          <w:p w14:paraId="30ECB36E">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发包人是否提供材料或工程设备：</w:t>
            </w:r>
            <w:r>
              <w:rPr>
                <w:rFonts w:hint="eastAsia" w:ascii="宋体" w:hAnsi="宋体" w:cs="宋体"/>
                <w:color w:val="auto"/>
                <w:szCs w:val="21"/>
                <w:highlight w:val="none"/>
                <w:u w:val="single"/>
              </w:rPr>
              <w:t>否</w:t>
            </w:r>
          </w:p>
          <w:p w14:paraId="2A0932B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如发包人负责提供部分材料或工程设备，相关规定如下：</w:t>
            </w:r>
            <w:r>
              <w:rPr>
                <w:rFonts w:hint="eastAsia" w:ascii="宋体" w:hAnsi="宋体" w:cs="宋体"/>
                <w:color w:val="auto"/>
                <w:szCs w:val="21"/>
                <w:highlight w:val="none"/>
                <w:u w:val="single"/>
              </w:rPr>
              <w:t xml:space="preserve">    /    </w:t>
            </w:r>
          </w:p>
        </w:tc>
      </w:tr>
      <w:tr w14:paraId="42EA7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D527BE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9</w:t>
            </w:r>
          </w:p>
        </w:tc>
        <w:tc>
          <w:tcPr>
            <w:tcW w:w="1484" w:type="dxa"/>
            <w:gridSpan w:val="2"/>
            <w:vAlign w:val="center"/>
          </w:tcPr>
          <w:p w14:paraId="44A2A14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6.2</w:t>
            </w:r>
          </w:p>
        </w:tc>
        <w:tc>
          <w:tcPr>
            <w:tcW w:w="7426" w:type="dxa"/>
            <w:vAlign w:val="center"/>
          </w:tcPr>
          <w:p w14:paraId="79AC6C49">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发包人是否提供施工设备和临时设施：</w:t>
            </w:r>
            <w:r>
              <w:rPr>
                <w:rFonts w:hint="eastAsia" w:ascii="宋体" w:hAnsi="宋体" w:cs="宋体"/>
                <w:color w:val="auto"/>
                <w:szCs w:val="21"/>
                <w:highlight w:val="none"/>
                <w:u w:val="single"/>
              </w:rPr>
              <w:t>否</w:t>
            </w:r>
          </w:p>
          <w:p w14:paraId="731083CB">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如发包人负责提供部分施工设备和临时设施，相关规定如下：</w:t>
            </w:r>
            <w:r>
              <w:rPr>
                <w:rFonts w:hint="eastAsia" w:ascii="宋体" w:hAnsi="宋体" w:cs="宋体"/>
                <w:color w:val="auto"/>
                <w:szCs w:val="21"/>
                <w:highlight w:val="none"/>
                <w:u w:val="single"/>
              </w:rPr>
              <w:t xml:space="preserve">    /    </w:t>
            </w:r>
          </w:p>
        </w:tc>
      </w:tr>
      <w:tr w14:paraId="0D0AF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0BBCB5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10</w:t>
            </w:r>
          </w:p>
        </w:tc>
        <w:tc>
          <w:tcPr>
            <w:tcW w:w="1484" w:type="dxa"/>
            <w:gridSpan w:val="2"/>
            <w:vAlign w:val="center"/>
          </w:tcPr>
          <w:p w14:paraId="627F4AE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8.1.1</w:t>
            </w:r>
          </w:p>
        </w:tc>
        <w:tc>
          <w:tcPr>
            <w:tcW w:w="7426" w:type="dxa"/>
            <w:vAlign w:val="center"/>
          </w:tcPr>
          <w:p w14:paraId="1C1ABC29">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发包人提供测量基准点、基准线和水准点及其书面资料的期限：</w:t>
            </w:r>
            <w:r>
              <w:rPr>
                <w:rFonts w:hint="eastAsia" w:ascii="宋体" w:hAnsi="宋体" w:cs="宋体"/>
                <w:color w:val="auto"/>
                <w:szCs w:val="21"/>
                <w:highlight w:val="none"/>
                <w:u w:val="single"/>
              </w:rPr>
              <w:t>在签订施工承包合同后一个月内。</w:t>
            </w:r>
          </w:p>
          <w:p w14:paraId="0AC947DB">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承包人将施工控制网资料报送监理人审批的期限：</w:t>
            </w:r>
            <w:r>
              <w:rPr>
                <w:rFonts w:hint="eastAsia" w:ascii="宋体" w:hAnsi="宋体" w:cs="宋体"/>
                <w:color w:val="auto"/>
                <w:szCs w:val="21"/>
                <w:highlight w:val="none"/>
                <w:u w:val="single"/>
              </w:rPr>
              <w:t>在收到发包人提供的上述资料一个月内。</w:t>
            </w:r>
          </w:p>
        </w:tc>
      </w:tr>
      <w:tr w14:paraId="37838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974E71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w:t>
            </w:r>
          </w:p>
        </w:tc>
        <w:tc>
          <w:tcPr>
            <w:tcW w:w="1484" w:type="dxa"/>
            <w:gridSpan w:val="2"/>
            <w:vAlign w:val="center"/>
          </w:tcPr>
          <w:p w14:paraId="4223892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11.3（2）</w:t>
            </w:r>
          </w:p>
        </w:tc>
        <w:tc>
          <w:tcPr>
            <w:tcW w:w="7426" w:type="dxa"/>
            <w:vAlign w:val="center"/>
          </w:tcPr>
          <w:p w14:paraId="4A64E20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如顺延合同工期在</w:t>
            </w:r>
            <w:r>
              <w:rPr>
                <w:rFonts w:hint="eastAsia" w:ascii="宋体" w:hAnsi="宋体" w:cs="宋体"/>
                <w:color w:val="auto"/>
                <w:szCs w:val="21"/>
                <w:highlight w:val="none"/>
                <w:u w:val="single"/>
              </w:rPr>
              <w:t>9个月</w:t>
            </w:r>
            <w:r>
              <w:rPr>
                <w:rFonts w:hint="eastAsia" w:ascii="宋体" w:hAnsi="宋体" w:cs="宋体"/>
                <w:color w:val="auto"/>
                <w:szCs w:val="21"/>
                <w:highlight w:val="none"/>
              </w:rPr>
              <w:t>及以内的，发包人将不予增加费用；</w:t>
            </w:r>
          </w:p>
          <w:p w14:paraId="238C69B4">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如顺延合同工期在</w:t>
            </w:r>
            <w:r>
              <w:rPr>
                <w:rFonts w:hint="eastAsia" w:ascii="宋体" w:hAnsi="宋体" w:cs="宋体"/>
                <w:color w:val="auto"/>
                <w:szCs w:val="21"/>
                <w:highlight w:val="none"/>
                <w:u w:val="single"/>
              </w:rPr>
              <w:t>9个月</w:t>
            </w:r>
            <w:r>
              <w:rPr>
                <w:rFonts w:hint="eastAsia" w:ascii="宋体" w:hAnsi="宋体" w:cs="宋体"/>
                <w:color w:val="auto"/>
                <w:szCs w:val="21"/>
                <w:highlight w:val="none"/>
              </w:rPr>
              <w:t>以上的，发包人将按如下原则给予补偿：</w:t>
            </w:r>
            <w:r>
              <w:rPr>
                <w:rFonts w:hint="eastAsia" w:ascii="宋体" w:hAnsi="宋体" w:cs="宋体"/>
                <w:color w:val="auto"/>
                <w:szCs w:val="21"/>
                <w:highlight w:val="none"/>
                <w:u w:val="single"/>
              </w:rPr>
              <w:t>详见专用合同条款。</w:t>
            </w:r>
          </w:p>
        </w:tc>
      </w:tr>
      <w:tr w14:paraId="5F8A4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55D78C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12</w:t>
            </w:r>
          </w:p>
        </w:tc>
        <w:tc>
          <w:tcPr>
            <w:tcW w:w="1484" w:type="dxa"/>
            <w:gridSpan w:val="2"/>
            <w:vAlign w:val="center"/>
          </w:tcPr>
          <w:p w14:paraId="6502448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11.3（4）</w:t>
            </w:r>
          </w:p>
        </w:tc>
        <w:tc>
          <w:tcPr>
            <w:tcW w:w="7426" w:type="dxa"/>
            <w:vAlign w:val="center"/>
          </w:tcPr>
          <w:p w14:paraId="1F85DB9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仅对超出</w:t>
            </w:r>
            <w:r>
              <w:rPr>
                <w:rFonts w:hint="eastAsia" w:ascii="宋体" w:hAnsi="宋体" w:cs="宋体"/>
                <w:color w:val="auto"/>
                <w:szCs w:val="21"/>
                <w:highlight w:val="none"/>
                <w:u w:val="single"/>
              </w:rPr>
              <w:t>9个月</w:t>
            </w:r>
            <w:r>
              <w:rPr>
                <w:rFonts w:hint="eastAsia" w:ascii="宋体" w:hAnsi="宋体" w:cs="宋体"/>
                <w:color w:val="auto"/>
                <w:szCs w:val="21"/>
                <w:highlight w:val="none"/>
              </w:rPr>
              <w:t>以上部分进行补偿。</w:t>
            </w:r>
          </w:p>
        </w:tc>
      </w:tr>
      <w:tr w14:paraId="1A3CD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CCC579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w:t>
            </w:r>
          </w:p>
        </w:tc>
        <w:tc>
          <w:tcPr>
            <w:tcW w:w="1484" w:type="dxa"/>
            <w:gridSpan w:val="2"/>
            <w:vAlign w:val="center"/>
          </w:tcPr>
          <w:p w14:paraId="3BDCA42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11.5（3）</w:t>
            </w:r>
          </w:p>
        </w:tc>
        <w:tc>
          <w:tcPr>
            <w:tcW w:w="7426" w:type="dxa"/>
            <w:vAlign w:val="center"/>
          </w:tcPr>
          <w:p w14:paraId="7B07415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逾期交工违约金：</w:t>
            </w:r>
            <w:r>
              <w:rPr>
                <w:rFonts w:hint="eastAsia" w:ascii="宋体" w:hAnsi="宋体" w:cs="宋体"/>
                <w:color w:val="auto"/>
                <w:szCs w:val="21"/>
                <w:highlight w:val="none"/>
                <w:u w:val="single"/>
              </w:rPr>
              <w:t>1000元/天。</w:t>
            </w:r>
          </w:p>
        </w:tc>
      </w:tr>
      <w:tr w14:paraId="0B92C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99B2DF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w:t>
            </w:r>
          </w:p>
        </w:tc>
        <w:tc>
          <w:tcPr>
            <w:tcW w:w="1484" w:type="dxa"/>
            <w:gridSpan w:val="2"/>
            <w:vAlign w:val="center"/>
          </w:tcPr>
          <w:p w14:paraId="0E39244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11.5（3）</w:t>
            </w:r>
          </w:p>
        </w:tc>
        <w:tc>
          <w:tcPr>
            <w:tcW w:w="7426" w:type="dxa"/>
            <w:vAlign w:val="center"/>
          </w:tcPr>
          <w:p w14:paraId="78F57B08">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逾期交工违约金限额：</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%签约合同价。</w:t>
            </w:r>
          </w:p>
        </w:tc>
      </w:tr>
      <w:tr w14:paraId="23482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0D6F3B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84" w:type="dxa"/>
            <w:gridSpan w:val="2"/>
            <w:vAlign w:val="center"/>
          </w:tcPr>
          <w:p w14:paraId="298F543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11.6</w:t>
            </w:r>
          </w:p>
        </w:tc>
        <w:tc>
          <w:tcPr>
            <w:tcW w:w="7426" w:type="dxa"/>
            <w:vAlign w:val="center"/>
          </w:tcPr>
          <w:p w14:paraId="276F5C8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提前交工的奖金：</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元/天。</w:t>
            </w:r>
          </w:p>
        </w:tc>
      </w:tr>
      <w:tr w14:paraId="76540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C3B11F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16</w:t>
            </w:r>
          </w:p>
        </w:tc>
        <w:tc>
          <w:tcPr>
            <w:tcW w:w="1484" w:type="dxa"/>
            <w:gridSpan w:val="2"/>
            <w:vAlign w:val="center"/>
          </w:tcPr>
          <w:p w14:paraId="053B099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11.6</w:t>
            </w:r>
          </w:p>
        </w:tc>
        <w:tc>
          <w:tcPr>
            <w:tcW w:w="7426" w:type="dxa"/>
            <w:vAlign w:val="center"/>
          </w:tcPr>
          <w:p w14:paraId="0F5BF3B6">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提前交工的奖金限额：</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%签约合同价。</w:t>
            </w:r>
          </w:p>
        </w:tc>
      </w:tr>
      <w:tr w14:paraId="4B46C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CB48FC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w:t>
            </w:r>
          </w:p>
        </w:tc>
        <w:tc>
          <w:tcPr>
            <w:tcW w:w="1484" w:type="dxa"/>
            <w:gridSpan w:val="2"/>
            <w:vAlign w:val="center"/>
          </w:tcPr>
          <w:p w14:paraId="405026B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13.11</w:t>
            </w:r>
          </w:p>
        </w:tc>
        <w:tc>
          <w:tcPr>
            <w:tcW w:w="7426" w:type="dxa"/>
            <w:vAlign w:val="center"/>
          </w:tcPr>
          <w:p w14:paraId="1008FF1C">
            <w:pPr>
              <w:pStyle w:val="55"/>
              <w:shd w:val="clear" w:fill="FFFFFF" w:themeFill="background1"/>
              <w:spacing w:line="240" w:lineRule="auto"/>
              <w:ind w:firstLine="0"/>
              <w:rPr>
                <w:rFonts w:ascii="宋体" w:hAnsi="宋体" w:cs="宋体"/>
                <w:color w:val="auto"/>
                <w:sz w:val="21"/>
                <w:szCs w:val="21"/>
                <w:highlight w:val="none"/>
              </w:rPr>
            </w:pPr>
            <w:r>
              <w:rPr>
                <w:rFonts w:hint="eastAsia" w:ascii="宋体" w:hAnsi="宋体" w:cs="宋体"/>
                <w:color w:val="auto"/>
                <w:sz w:val="21"/>
                <w:szCs w:val="21"/>
                <w:highlight w:val="none"/>
                <w:u w:val="single"/>
              </w:rPr>
              <w:t>优质优价价款：合同工程量清单第200章～900章合计金额的 / %（含税金）</w:t>
            </w:r>
          </w:p>
        </w:tc>
      </w:tr>
      <w:tr w14:paraId="7EB67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5BD1BC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18</w:t>
            </w:r>
          </w:p>
        </w:tc>
        <w:tc>
          <w:tcPr>
            <w:tcW w:w="1484" w:type="dxa"/>
            <w:gridSpan w:val="2"/>
            <w:vAlign w:val="center"/>
          </w:tcPr>
          <w:p w14:paraId="1FCBBED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15.4.4.2</w:t>
            </w:r>
          </w:p>
        </w:tc>
        <w:tc>
          <w:tcPr>
            <w:tcW w:w="7426" w:type="dxa"/>
            <w:vAlign w:val="center"/>
          </w:tcPr>
          <w:p w14:paraId="24842BDD">
            <w:pPr>
              <w:pStyle w:val="55"/>
              <w:shd w:val="clear" w:fill="FFFFFF" w:themeFill="background1"/>
              <w:spacing w:line="240" w:lineRule="auto"/>
              <w:ind w:firstLine="0"/>
              <w:rPr>
                <w:rFonts w:ascii="宋体" w:hAnsi="宋体" w:cs="宋体"/>
                <w:color w:val="auto"/>
                <w:sz w:val="21"/>
                <w:szCs w:val="21"/>
                <w:highlight w:val="none"/>
              </w:rPr>
            </w:pPr>
            <w:r>
              <w:rPr>
                <w:rFonts w:hint="eastAsia" w:ascii="宋体" w:hAnsi="宋体" w:cs="宋体"/>
                <w:color w:val="auto"/>
                <w:sz w:val="21"/>
                <w:szCs w:val="21"/>
                <w:highlight w:val="none"/>
              </w:rPr>
              <w:t>应急抢险工程变更金额确定原则：</w:t>
            </w:r>
          </w:p>
          <w:p w14:paraId="1CA21462">
            <w:pPr>
              <w:pStyle w:val="55"/>
              <w:shd w:val="clear" w:fill="FFFFFF" w:themeFill="background1"/>
              <w:spacing w:line="240" w:lineRule="auto"/>
              <w:ind w:firstLine="0"/>
              <w:rPr>
                <w:rFonts w:ascii="宋体" w:hAnsi="宋体" w:cs="宋体"/>
                <w:color w:val="auto"/>
                <w:sz w:val="21"/>
                <w:szCs w:val="21"/>
                <w:highlight w:val="none"/>
              </w:rPr>
            </w:pPr>
            <w:r>
              <w:rPr>
                <w:rFonts w:hint="eastAsia" w:ascii="宋体" w:hAnsi="宋体" w:cs="宋体"/>
                <w:color w:val="auto"/>
                <w:sz w:val="21"/>
                <w:szCs w:val="21"/>
                <w:highlight w:val="none"/>
              </w:rPr>
              <w:t>□变更金额=审批的变更预算</w:t>
            </w:r>
          </w:p>
          <w:p w14:paraId="1301762B">
            <w:pPr>
              <w:pStyle w:val="55"/>
              <w:shd w:val="clear" w:fill="FFFFFF" w:themeFill="background1"/>
              <w:spacing w:line="240" w:lineRule="auto"/>
              <w:ind w:firstLine="0"/>
              <w:rPr>
                <w:rFonts w:ascii="宋体" w:hAnsi="宋体" w:cs="宋体"/>
                <w:i/>
                <w:iCs/>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 w:val="21"/>
                <w:szCs w:val="21"/>
                <w:highlight w:val="none"/>
              </w:rPr>
              <w:instrText xml:space="preserve">,√)</w:instrTex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变更金额=审批的变更预算×（1-中标下浮率）</w:t>
            </w:r>
          </w:p>
        </w:tc>
      </w:tr>
      <w:tr w14:paraId="07A50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636A1A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19</w:t>
            </w:r>
          </w:p>
        </w:tc>
        <w:tc>
          <w:tcPr>
            <w:tcW w:w="1484" w:type="dxa"/>
            <w:gridSpan w:val="2"/>
            <w:vAlign w:val="center"/>
          </w:tcPr>
          <w:p w14:paraId="0B97518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15.5.2</w:t>
            </w:r>
          </w:p>
        </w:tc>
        <w:tc>
          <w:tcPr>
            <w:tcW w:w="7426" w:type="dxa"/>
            <w:vAlign w:val="center"/>
          </w:tcPr>
          <w:p w14:paraId="0FA620B1">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承包人提出的合理化建议降低了合同价格或者提高了工程经济效益的，发包人按所节约成本的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%或增加收益的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%给予奖励。</w:t>
            </w:r>
          </w:p>
        </w:tc>
      </w:tr>
      <w:tr w14:paraId="20D3F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0509E7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20</w:t>
            </w:r>
          </w:p>
        </w:tc>
        <w:tc>
          <w:tcPr>
            <w:tcW w:w="1484" w:type="dxa"/>
            <w:gridSpan w:val="2"/>
            <w:vAlign w:val="center"/>
          </w:tcPr>
          <w:p w14:paraId="56DE444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16.1</w:t>
            </w:r>
          </w:p>
        </w:tc>
        <w:tc>
          <w:tcPr>
            <w:tcW w:w="7426" w:type="dxa"/>
            <w:vAlign w:val="center"/>
          </w:tcPr>
          <w:p w14:paraId="076C9040">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□因物价波动引起的价格调整按照第16.1项约定的原则处理</w:t>
            </w:r>
          </w:p>
          <w:p w14:paraId="3438A378">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合同期内不调价</w:t>
            </w:r>
          </w:p>
        </w:tc>
      </w:tr>
      <w:tr w14:paraId="1FF49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40D9D2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21</w:t>
            </w:r>
          </w:p>
        </w:tc>
        <w:tc>
          <w:tcPr>
            <w:tcW w:w="1484" w:type="dxa"/>
            <w:gridSpan w:val="2"/>
            <w:vAlign w:val="center"/>
          </w:tcPr>
          <w:p w14:paraId="098A91F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17.1.7</w:t>
            </w:r>
          </w:p>
        </w:tc>
        <w:tc>
          <w:tcPr>
            <w:tcW w:w="7426" w:type="dxa"/>
            <w:vAlign w:val="center"/>
          </w:tcPr>
          <w:p w14:paraId="31CA15C5">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路面备料款的暂定计量和支付：</w:t>
            </w:r>
          </w:p>
          <w:p w14:paraId="1BD78B19">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计量数量：以承包人实际进场并经监理人和发包人代表验收确认数量的</w:t>
            </w:r>
            <w:r>
              <w:rPr>
                <w:rFonts w:hint="eastAsia" w:ascii="宋体" w:hAnsi="宋体" w:cs="宋体"/>
                <w:color w:val="auto"/>
                <w:szCs w:val="21"/>
                <w:highlight w:val="none"/>
                <w:u w:val="single"/>
              </w:rPr>
              <w:t>/</w:t>
            </w:r>
            <w:r>
              <w:rPr>
                <w:rFonts w:hint="eastAsia" w:ascii="宋体" w:hAnsi="宋体" w:cs="宋体"/>
                <w:color w:val="auto"/>
                <w:szCs w:val="21"/>
                <w:highlight w:val="none"/>
              </w:rPr>
              <w:t>%计。</w:t>
            </w:r>
          </w:p>
        </w:tc>
      </w:tr>
      <w:tr w14:paraId="052F8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A8C339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22</w:t>
            </w:r>
          </w:p>
        </w:tc>
        <w:tc>
          <w:tcPr>
            <w:tcW w:w="1484" w:type="dxa"/>
            <w:gridSpan w:val="2"/>
            <w:vAlign w:val="center"/>
          </w:tcPr>
          <w:p w14:paraId="5F6A8DD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17.2.1（1）</w:t>
            </w:r>
          </w:p>
        </w:tc>
        <w:tc>
          <w:tcPr>
            <w:tcW w:w="7426" w:type="dxa"/>
            <w:vAlign w:val="center"/>
          </w:tcPr>
          <w:p w14:paraId="22CC7584">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开工预付款金额：</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%签约合同价</w:t>
            </w:r>
          </w:p>
        </w:tc>
      </w:tr>
      <w:tr w14:paraId="34F9A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6E9691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23</w:t>
            </w:r>
          </w:p>
        </w:tc>
        <w:tc>
          <w:tcPr>
            <w:tcW w:w="1484" w:type="dxa"/>
            <w:gridSpan w:val="2"/>
            <w:vAlign w:val="center"/>
          </w:tcPr>
          <w:p w14:paraId="1E5A1EA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17.2.1（2）</w:t>
            </w:r>
          </w:p>
        </w:tc>
        <w:tc>
          <w:tcPr>
            <w:tcW w:w="7426" w:type="dxa"/>
            <w:vAlign w:val="center"/>
          </w:tcPr>
          <w:p w14:paraId="66A005E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材料、设备预付款比例：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等主要材料、设备单据所列费用的</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w:t>
            </w:r>
          </w:p>
        </w:tc>
      </w:tr>
      <w:tr w14:paraId="5EE24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91C1EF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24</w:t>
            </w:r>
          </w:p>
        </w:tc>
        <w:tc>
          <w:tcPr>
            <w:tcW w:w="1484" w:type="dxa"/>
            <w:gridSpan w:val="2"/>
            <w:vAlign w:val="center"/>
          </w:tcPr>
          <w:p w14:paraId="6294446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17.3.2</w:t>
            </w:r>
          </w:p>
        </w:tc>
        <w:tc>
          <w:tcPr>
            <w:tcW w:w="7426" w:type="dxa"/>
            <w:vAlign w:val="center"/>
          </w:tcPr>
          <w:p w14:paraId="2F515DA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承包人在每个付款周期末向监理人提交进度付款申请单的份数：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4DB6A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9E2082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25</w:t>
            </w:r>
          </w:p>
        </w:tc>
        <w:tc>
          <w:tcPr>
            <w:tcW w:w="1484" w:type="dxa"/>
            <w:gridSpan w:val="2"/>
            <w:vAlign w:val="center"/>
          </w:tcPr>
          <w:p w14:paraId="2134429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17.3.3（1）</w:t>
            </w:r>
          </w:p>
        </w:tc>
        <w:tc>
          <w:tcPr>
            <w:tcW w:w="7426" w:type="dxa"/>
            <w:vAlign w:val="center"/>
          </w:tcPr>
          <w:p w14:paraId="0B0EDB0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进度付款证书最低限额：</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万元</w:t>
            </w:r>
          </w:p>
        </w:tc>
      </w:tr>
      <w:tr w14:paraId="5B04F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48CA69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26</w:t>
            </w:r>
          </w:p>
        </w:tc>
        <w:tc>
          <w:tcPr>
            <w:tcW w:w="1484" w:type="dxa"/>
            <w:gridSpan w:val="2"/>
            <w:vAlign w:val="center"/>
          </w:tcPr>
          <w:p w14:paraId="06A85F1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17.3.3（2）</w:t>
            </w:r>
          </w:p>
        </w:tc>
        <w:tc>
          <w:tcPr>
            <w:tcW w:w="7426" w:type="dxa"/>
            <w:vAlign w:val="center"/>
          </w:tcPr>
          <w:p w14:paraId="5626289C">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逾期付款违约金的利率：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w:t>
            </w:r>
          </w:p>
        </w:tc>
      </w:tr>
      <w:tr w14:paraId="73F31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6087B9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27</w:t>
            </w:r>
          </w:p>
        </w:tc>
        <w:tc>
          <w:tcPr>
            <w:tcW w:w="1484" w:type="dxa"/>
            <w:gridSpan w:val="2"/>
            <w:vAlign w:val="center"/>
          </w:tcPr>
          <w:p w14:paraId="0F5CD9E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17.4.1</w:t>
            </w:r>
          </w:p>
        </w:tc>
        <w:tc>
          <w:tcPr>
            <w:tcW w:w="7426" w:type="dxa"/>
            <w:vAlign w:val="center"/>
          </w:tcPr>
          <w:p w14:paraId="33F3F72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质量保证金限额：</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%合同价格，若交工验收时承包人具备被招标项目所在地省级交通运输主管部门评定的最高信用等级，发包人给予</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%合同价格质量保证金的优惠。</w:t>
            </w:r>
          </w:p>
          <w:p w14:paraId="4DD4DFEC">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质量保证金是否计付利息：</w:t>
            </w:r>
          </w:p>
          <w:p w14:paraId="2BE3C8AE">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□是，利息的计算方式：</w:t>
            </w:r>
          </w:p>
          <w:p w14:paraId="54A7E3D2">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tc>
      </w:tr>
      <w:tr w14:paraId="515F3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56" w:type="dxa"/>
            <w:vAlign w:val="center"/>
          </w:tcPr>
          <w:p w14:paraId="55DB766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28</w:t>
            </w:r>
          </w:p>
        </w:tc>
        <w:tc>
          <w:tcPr>
            <w:tcW w:w="1484" w:type="dxa"/>
            <w:gridSpan w:val="2"/>
            <w:vAlign w:val="center"/>
          </w:tcPr>
          <w:p w14:paraId="52DC397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17.5.1（1）</w:t>
            </w:r>
          </w:p>
        </w:tc>
        <w:tc>
          <w:tcPr>
            <w:tcW w:w="7426" w:type="dxa"/>
            <w:vAlign w:val="center"/>
          </w:tcPr>
          <w:p w14:paraId="4D358BD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承包人向监理人提交交工付款申请单（包括相关证明材料）的份数：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63156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856" w:type="dxa"/>
            <w:vAlign w:val="center"/>
          </w:tcPr>
          <w:p w14:paraId="2B4DE93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29</w:t>
            </w:r>
          </w:p>
        </w:tc>
        <w:tc>
          <w:tcPr>
            <w:tcW w:w="1484" w:type="dxa"/>
            <w:gridSpan w:val="2"/>
            <w:vAlign w:val="center"/>
          </w:tcPr>
          <w:p w14:paraId="4ECA508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17.6.1（1）</w:t>
            </w:r>
          </w:p>
        </w:tc>
        <w:tc>
          <w:tcPr>
            <w:tcW w:w="7426" w:type="dxa"/>
            <w:vAlign w:val="center"/>
          </w:tcPr>
          <w:p w14:paraId="1CEAAA6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承包人向监理人提交最终结清申请单（包括相关证明材料）的份数：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3BBB1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95875C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30</w:t>
            </w:r>
          </w:p>
        </w:tc>
        <w:tc>
          <w:tcPr>
            <w:tcW w:w="1484" w:type="dxa"/>
            <w:gridSpan w:val="2"/>
            <w:vAlign w:val="center"/>
          </w:tcPr>
          <w:p w14:paraId="421BFD7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18.2（2）</w:t>
            </w:r>
          </w:p>
        </w:tc>
        <w:tc>
          <w:tcPr>
            <w:tcW w:w="7426" w:type="dxa"/>
            <w:vAlign w:val="center"/>
          </w:tcPr>
          <w:p w14:paraId="1613C367">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竣工资料的份数：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783B0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456723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31</w:t>
            </w:r>
          </w:p>
        </w:tc>
        <w:tc>
          <w:tcPr>
            <w:tcW w:w="1484" w:type="dxa"/>
            <w:gridSpan w:val="2"/>
            <w:vAlign w:val="center"/>
          </w:tcPr>
          <w:p w14:paraId="7C2E269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18.5.1</w:t>
            </w:r>
          </w:p>
        </w:tc>
        <w:tc>
          <w:tcPr>
            <w:tcW w:w="7426" w:type="dxa"/>
            <w:vAlign w:val="center"/>
          </w:tcPr>
          <w:p w14:paraId="35762A0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 xml:space="preserve">单位工程或工程设备是否需投入施工期运行： </w:t>
            </w:r>
            <w:r>
              <w:rPr>
                <w:rFonts w:hint="eastAsia" w:ascii="宋体" w:hAnsi="宋体" w:cs="宋体"/>
                <w:color w:val="auto"/>
                <w:szCs w:val="21"/>
                <w:highlight w:val="none"/>
                <w:u w:val="single"/>
              </w:rPr>
              <w:t>是</w:t>
            </w:r>
          </w:p>
          <w:p w14:paraId="0A7915A2">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如单位工程或工程设备需要进行施工期运行，需要施工期运行的单位工程或工程设备规定如下：</w:t>
            </w:r>
            <w:r>
              <w:rPr>
                <w:rFonts w:hint="eastAsia" w:ascii="宋体" w:hAnsi="宋体" w:cs="宋体"/>
                <w:color w:val="auto"/>
                <w:szCs w:val="21"/>
                <w:highlight w:val="none"/>
                <w:u w:val="single"/>
              </w:rPr>
              <w:t>沥青砼路面铺筑好温度降至可通车的规范值后须开放交通。</w:t>
            </w:r>
          </w:p>
        </w:tc>
      </w:tr>
      <w:tr w14:paraId="3C6B8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EDE6E3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w:t>
            </w:r>
          </w:p>
        </w:tc>
        <w:tc>
          <w:tcPr>
            <w:tcW w:w="1484" w:type="dxa"/>
            <w:gridSpan w:val="2"/>
            <w:vAlign w:val="center"/>
          </w:tcPr>
          <w:p w14:paraId="731FD27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18.6.1</w:t>
            </w:r>
          </w:p>
        </w:tc>
        <w:tc>
          <w:tcPr>
            <w:tcW w:w="7426" w:type="dxa"/>
            <w:vAlign w:val="center"/>
          </w:tcPr>
          <w:p w14:paraId="7855C82B">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本工程及工程设备是否进行试运行：</w:t>
            </w:r>
            <w:r>
              <w:rPr>
                <w:rFonts w:hint="eastAsia" w:ascii="宋体" w:hAnsi="宋体" w:cs="宋体"/>
                <w:color w:val="auto"/>
                <w:szCs w:val="21"/>
                <w:highlight w:val="none"/>
                <w:u w:val="single"/>
              </w:rPr>
              <w:t>否</w:t>
            </w:r>
          </w:p>
          <w:p w14:paraId="3B6FF416">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如本工程及工程设备需要进行试运行，试运行的具体规定如下：</w:t>
            </w:r>
            <w:r>
              <w:rPr>
                <w:rFonts w:hint="eastAsia" w:ascii="宋体" w:hAnsi="宋体" w:cs="宋体"/>
                <w:color w:val="auto"/>
                <w:szCs w:val="21"/>
                <w:highlight w:val="none"/>
                <w:u w:val="single"/>
              </w:rPr>
              <w:t xml:space="preserve">  /  </w:t>
            </w:r>
          </w:p>
        </w:tc>
      </w:tr>
      <w:tr w14:paraId="2462A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56" w:type="dxa"/>
            <w:vAlign w:val="center"/>
          </w:tcPr>
          <w:p w14:paraId="256BB81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33</w:t>
            </w:r>
          </w:p>
        </w:tc>
        <w:tc>
          <w:tcPr>
            <w:tcW w:w="1484" w:type="dxa"/>
            <w:gridSpan w:val="2"/>
            <w:vAlign w:val="center"/>
          </w:tcPr>
          <w:p w14:paraId="66A26EA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19.7（1）</w:t>
            </w:r>
          </w:p>
        </w:tc>
        <w:tc>
          <w:tcPr>
            <w:tcW w:w="7426" w:type="dxa"/>
            <w:vAlign w:val="center"/>
          </w:tcPr>
          <w:p w14:paraId="6713D1D2">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保修期：</w:t>
            </w:r>
          </w:p>
          <w:p w14:paraId="31E0F6CB">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自本项目实际交工日期之日起计算</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年（绿化工程、房建工程除外）；</w:t>
            </w:r>
          </w:p>
          <w:p w14:paraId="33D08F1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绿化工程：自本项目实际交工日期之日起计算</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个月后，移交发包人或发包人委托的养护单位进行后续的管理养护工作；</w:t>
            </w:r>
          </w:p>
          <w:p w14:paraId="2DC69D8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房建工程：自该房建工程竣工验收合格之日起计算，其中：</w:t>
            </w:r>
          </w:p>
          <w:p w14:paraId="17C060A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（1）地基基础工程和主体结构工程，为设计文件规定的该工程的合理使用年限；</w:t>
            </w:r>
          </w:p>
          <w:p w14:paraId="2930695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（2）屋面防水工程、有防水要求的卫生间、房间和外墙面的防渗漏，为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p w14:paraId="3617066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（3）装修工程为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p w14:paraId="46BE0D47">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（4）电气管线、给排水管道、设备安装工程为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p w14:paraId="639C3F3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（5）供热与供冷系统，为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个采暖期、供冷期；</w:t>
            </w:r>
          </w:p>
          <w:p w14:paraId="213E2B29">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（6）住宅小区内的给排水设施、道路、电力等配套工程为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p w14:paraId="39A67DA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（7）其他约定如下：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tc>
      </w:tr>
      <w:tr w14:paraId="63B39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20023BA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34</w:t>
            </w:r>
          </w:p>
        </w:tc>
        <w:tc>
          <w:tcPr>
            <w:tcW w:w="1484" w:type="dxa"/>
            <w:gridSpan w:val="2"/>
            <w:vAlign w:val="center"/>
          </w:tcPr>
          <w:p w14:paraId="1107760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426" w:type="dxa"/>
            <w:vAlign w:val="center"/>
          </w:tcPr>
          <w:p w14:paraId="6FA96068">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建筑工程一切险及第三者责任险的保险费率：</w:t>
            </w:r>
            <w:r>
              <w:rPr>
                <w:rFonts w:hint="eastAsia" w:ascii="宋体" w:hAnsi="宋体" w:cs="宋体"/>
                <w:color w:val="auto"/>
                <w:szCs w:val="21"/>
                <w:highlight w:val="none"/>
                <w:u w:val="single"/>
              </w:rPr>
              <w:t>4‰ 。</w:t>
            </w:r>
          </w:p>
        </w:tc>
      </w:tr>
      <w:tr w14:paraId="6AEAA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5F331A6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35</w:t>
            </w:r>
          </w:p>
        </w:tc>
        <w:tc>
          <w:tcPr>
            <w:tcW w:w="1484" w:type="dxa"/>
            <w:gridSpan w:val="2"/>
            <w:vAlign w:val="center"/>
          </w:tcPr>
          <w:p w14:paraId="42F8A01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20.4.2</w:t>
            </w:r>
          </w:p>
        </w:tc>
        <w:tc>
          <w:tcPr>
            <w:tcW w:w="7426" w:type="dxa"/>
            <w:vAlign w:val="center"/>
          </w:tcPr>
          <w:p w14:paraId="206903E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第三者责任险的最低投保金额：</w:t>
            </w:r>
            <w:r>
              <w:rPr>
                <w:rFonts w:hint="eastAsia" w:ascii="宋体" w:hAnsi="宋体" w:cs="宋体"/>
                <w:color w:val="auto"/>
                <w:szCs w:val="21"/>
                <w:highlight w:val="none"/>
                <w:u w:val="single"/>
              </w:rPr>
              <w:t xml:space="preserve"> 500 </w:t>
            </w:r>
            <w:r>
              <w:rPr>
                <w:rFonts w:hint="eastAsia" w:ascii="宋体" w:hAnsi="宋体" w:cs="宋体"/>
                <w:color w:val="auto"/>
                <w:szCs w:val="21"/>
                <w:highlight w:val="none"/>
              </w:rPr>
              <w:t>万元，事故次数不限(不计免赔额)</w:t>
            </w:r>
          </w:p>
        </w:tc>
      </w:tr>
      <w:tr w14:paraId="177CC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76B1D0B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36</w:t>
            </w:r>
          </w:p>
        </w:tc>
        <w:tc>
          <w:tcPr>
            <w:tcW w:w="1484" w:type="dxa"/>
            <w:gridSpan w:val="2"/>
            <w:vAlign w:val="center"/>
          </w:tcPr>
          <w:p w14:paraId="44D2CB1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 xml:space="preserve">21.1.1 </w:t>
            </w:r>
          </w:p>
        </w:tc>
        <w:tc>
          <w:tcPr>
            <w:tcW w:w="7426" w:type="dxa"/>
            <w:vAlign w:val="center"/>
          </w:tcPr>
          <w:p w14:paraId="1E3E57F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21.1.1 (6)不可抗力的其他情形：</w:t>
            </w:r>
            <w:r>
              <w:rPr>
                <w:rFonts w:hint="eastAsia" w:ascii="宋体" w:hAnsi="宋体" w:cs="宋体"/>
                <w:color w:val="auto"/>
                <w:szCs w:val="21"/>
                <w:highlight w:val="none"/>
                <w:u w:val="single"/>
              </w:rPr>
              <w:t xml:space="preserve">  /  </w:t>
            </w:r>
          </w:p>
        </w:tc>
      </w:tr>
      <w:tr w14:paraId="57EBA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61AD188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37</w:t>
            </w:r>
          </w:p>
        </w:tc>
        <w:tc>
          <w:tcPr>
            <w:tcW w:w="1484" w:type="dxa"/>
            <w:gridSpan w:val="2"/>
            <w:vAlign w:val="center"/>
          </w:tcPr>
          <w:p w14:paraId="10E95FD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426" w:type="dxa"/>
            <w:vAlign w:val="center"/>
          </w:tcPr>
          <w:p w14:paraId="4E9879F0">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争议的最终解决方式：</w:t>
            </w:r>
            <w:r>
              <w:rPr>
                <w:rFonts w:hint="eastAsia" w:ascii="宋体" w:hAnsi="宋体" w:cs="宋体"/>
                <w:color w:val="auto"/>
                <w:szCs w:val="21"/>
                <w:highlight w:val="none"/>
                <w:u w:val="single"/>
              </w:rPr>
              <w:t>向项目所在地的人民法院提起诉讼。</w:t>
            </w:r>
          </w:p>
        </w:tc>
      </w:tr>
      <w:tr w14:paraId="03257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1" w:hRule="atLeast"/>
          <w:jc w:val="center"/>
        </w:trPr>
        <w:tc>
          <w:tcPr>
            <w:tcW w:w="856" w:type="dxa"/>
            <w:vAlign w:val="center"/>
          </w:tcPr>
          <w:p w14:paraId="7075D0C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38</w:t>
            </w:r>
          </w:p>
        </w:tc>
        <w:tc>
          <w:tcPr>
            <w:tcW w:w="1484" w:type="dxa"/>
            <w:gridSpan w:val="2"/>
            <w:vAlign w:val="center"/>
          </w:tcPr>
          <w:p w14:paraId="6303049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25.4</w:t>
            </w:r>
          </w:p>
        </w:tc>
        <w:tc>
          <w:tcPr>
            <w:tcW w:w="7426" w:type="dxa"/>
            <w:vAlign w:val="center"/>
          </w:tcPr>
          <w:p w14:paraId="3CA88446">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结算单元按合同约定完成并通过质量中间验收，原则上</w:t>
            </w:r>
            <w:r>
              <w:rPr>
                <w:rFonts w:hint="eastAsia" w:ascii="宋体" w:hAnsi="宋体" w:cs="宋体"/>
                <w:color w:val="auto"/>
                <w:szCs w:val="21"/>
                <w:highlight w:val="none"/>
                <w:u w:val="single"/>
              </w:rPr>
              <w:t>3个月</w:t>
            </w:r>
            <w:r>
              <w:rPr>
                <w:rFonts w:hint="eastAsia" w:ascii="宋体" w:hAnsi="宋体" w:cs="宋体"/>
                <w:color w:val="auto"/>
                <w:szCs w:val="21"/>
                <w:highlight w:val="none"/>
              </w:rPr>
              <w:t>内完成过程结算文件的编制、审核、签认工作。</w:t>
            </w:r>
          </w:p>
          <w:p w14:paraId="21AE756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未按要求完成过程结算的费用项, 最高支付金额不宜超过发包人审核确认的</w:t>
            </w:r>
            <w:r>
              <w:rPr>
                <w:rFonts w:hint="eastAsia" w:ascii="宋体" w:hAnsi="宋体" w:cs="宋体"/>
                <w:color w:val="auto"/>
                <w:szCs w:val="21"/>
                <w:highlight w:val="none"/>
                <w:u w:val="single"/>
              </w:rPr>
              <w:t xml:space="preserve"> 97 %</w:t>
            </w:r>
            <w:r>
              <w:rPr>
                <w:rFonts w:hint="eastAsia" w:ascii="宋体" w:hAnsi="宋体" w:cs="宋体"/>
                <w:color w:val="auto"/>
                <w:szCs w:val="21"/>
                <w:highlight w:val="none"/>
              </w:rPr>
              <w:t>, 过程结算后方可支付剩余金额。完工结算率低于30%的合同段, 在后续计量支付中可暂扣</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的工程进度款。</w:t>
            </w:r>
          </w:p>
        </w:tc>
      </w:tr>
      <w:tr w14:paraId="0FAD2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766" w:type="dxa"/>
            <w:gridSpan w:val="4"/>
            <w:vAlign w:val="center"/>
          </w:tcPr>
          <w:p w14:paraId="64EC8947">
            <w:pPr>
              <w:shd w:val="clear" w:fill="FFFFFF" w:themeFill="background1"/>
              <w:spacing w:line="276" w:lineRule="auto"/>
              <w:rPr>
                <w:rFonts w:ascii="宋体" w:hAnsi="宋体" w:cs="宋体"/>
                <w:color w:val="auto"/>
                <w:szCs w:val="21"/>
                <w:highlight w:val="none"/>
              </w:rPr>
            </w:pPr>
            <w:r>
              <w:rPr>
                <w:rFonts w:hint="eastAsia" w:ascii="宋体" w:hAnsi="宋体" w:cs="宋体"/>
                <w:color w:val="auto"/>
                <w:szCs w:val="21"/>
                <w:highlight w:val="none"/>
              </w:rPr>
              <w:t>需补充的其他内容</w:t>
            </w:r>
          </w:p>
        </w:tc>
      </w:tr>
      <w:tr w14:paraId="27B3B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76" w:type="dxa"/>
            <w:gridSpan w:val="2"/>
            <w:vAlign w:val="center"/>
          </w:tcPr>
          <w:p w14:paraId="38873574">
            <w:pPr>
              <w:shd w:val="clear" w:fill="FFFFFF" w:themeFill="background1"/>
              <w:spacing w:line="276" w:lineRule="auto"/>
              <w:jc w:val="center"/>
              <w:rPr>
                <w:rFonts w:ascii="宋体" w:hAnsi="宋体" w:cs="宋体"/>
                <w:color w:val="auto"/>
                <w:szCs w:val="21"/>
                <w:highlight w:val="none"/>
              </w:rPr>
            </w:pPr>
            <w:r>
              <w:rPr>
                <w:rFonts w:hint="eastAsia" w:ascii="宋体" w:hAnsi="宋体" w:cs="宋体"/>
                <w:color w:val="auto"/>
                <w:szCs w:val="21"/>
                <w:highlight w:val="none"/>
              </w:rPr>
              <w:t>6.5</w:t>
            </w:r>
          </w:p>
        </w:tc>
        <w:tc>
          <w:tcPr>
            <w:tcW w:w="8890" w:type="dxa"/>
            <w:gridSpan w:val="2"/>
            <w:vAlign w:val="center"/>
          </w:tcPr>
          <w:p w14:paraId="4A18102B">
            <w:pPr>
              <w:shd w:val="clear" w:fill="FFFFFF" w:themeFill="background1"/>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删除“6.5.1计算机系统配置”条款。</w:t>
            </w:r>
          </w:p>
        </w:tc>
      </w:tr>
      <w:tr w14:paraId="526EB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76" w:type="dxa"/>
            <w:gridSpan w:val="2"/>
            <w:vAlign w:val="center"/>
          </w:tcPr>
          <w:p w14:paraId="44FFB384">
            <w:pPr>
              <w:shd w:val="clear" w:fill="FFFFFF" w:themeFill="background1"/>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13.11</w:t>
            </w:r>
          </w:p>
        </w:tc>
        <w:tc>
          <w:tcPr>
            <w:tcW w:w="8890" w:type="dxa"/>
            <w:gridSpan w:val="2"/>
            <w:vAlign w:val="center"/>
          </w:tcPr>
          <w:p w14:paraId="1FDACE15">
            <w:pPr>
              <w:shd w:val="clear" w:fill="FFFFFF" w:themeFill="background1"/>
              <w:spacing w:line="27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删除“13.11优质优价价款”条款</w:t>
            </w:r>
          </w:p>
        </w:tc>
      </w:tr>
      <w:tr w14:paraId="164E0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876" w:type="dxa"/>
            <w:gridSpan w:val="2"/>
            <w:vAlign w:val="center"/>
          </w:tcPr>
          <w:p w14:paraId="1C37D03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25.1</w:t>
            </w:r>
          </w:p>
        </w:tc>
        <w:tc>
          <w:tcPr>
            <w:tcW w:w="8890" w:type="dxa"/>
            <w:gridSpan w:val="2"/>
            <w:vAlign w:val="center"/>
          </w:tcPr>
          <w:p w14:paraId="7DF1746F">
            <w:pPr>
              <w:shd w:val="clear" w:fill="FFFFFF" w:themeFill="background1"/>
              <w:ind w:firstLine="420" w:firstLineChars="200"/>
              <w:rPr>
                <w:rFonts w:ascii="宋体" w:hAnsi="宋体" w:cs="宋体"/>
                <w:color w:val="auto"/>
                <w:szCs w:val="21"/>
                <w:highlight w:val="none"/>
              </w:rPr>
            </w:pPr>
            <w:r>
              <w:rPr>
                <w:rFonts w:hint="eastAsia" w:ascii="宋体" w:hAnsi="宋体" w:cs="宋体"/>
                <w:color w:val="auto"/>
                <w:szCs w:val="21"/>
                <w:highlight w:val="none"/>
              </w:rPr>
              <w:t>删除“25.1 质量、进度奖励”条款</w:t>
            </w:r>
          </w:p>
        </w:tc>
      </w:tr>
    </w:tbl>
    <w:p w14:paraId="1D6C5DBD">
      <w:pPr>
        <w:shd w:val="clear" w:fill="FFFFFF" w:themeFill="background1"/>
        <w:spacing w:before="240" w:after="240"/>
        <w:jc w:val="center"/>
        <w:rPr>
          <w:rFonts w:ascii="宋体" w:hAnsi="宋体" w:cs="宋体"/>
          <w:b/>
          <w:color w:val="auto"/>
          <w:sz w:val="32"/>
          <w:szCs w:val="32"/>
          <w:highlight w:val="none"/>
        </w:rPr>
      </w:pPr>
      <w:bookmarkStart w:id="1684" w:name="_Toc505844494"/>
      <w:bookmarkEnd w:id="1684"/>
      <w:bookmarkStart w:id="1685" w:name="_Toc16186"/>
      <w:bookmarkStart w:id="1686" w:name="_Toc505844504"/>
      <w:r>
        <w:rPr>
          <w:rFonts w:hint="eastAsia"/>
          <w:color w:val="auto"/>
          <w:highlight w:val="none"/>
        </w:rPr>
        <w:br w:type="page"/>
      </w:r>
      <w:r>
        <w:rPr>
          <w:rFonts w:hint="eastAsia" w:ascii="宋体" w:hAnsi="宋体" w:cs="宋体"/>
          <w:b/>
          <w:color w:val="auto"/>
          <w:sz w:val="32"/>
          <w:szCs w:val="32"/>
          <w:highlight w:val="none"/>
        </w:rPr>
        <w:t>项目专用合同条款</w:t>
      </w:r>
    </w:p>
    <w:p w14:paraId="4730B89C">
      <w:pPr>
        <w:spacing w:line="400" w:lineRule="exact"/>
        <w:jc w:val="left"/>
        <w:rPr>
          <w:rFonts w:ascii="宋体" w:cs="宋体"/>
          <w:color w:val="auto"/>
          <w:sz w:val="24"/>
          <w:highlight w:val="none"/>
        </w:rPr>
      </w:pPr>
      <w:r>
        <w:rPr>
          <w:rFonts w:hint="eastAsia" w:ascii="宋体" w:hAnsi="宋体" w:cs="宋体"/>
          <w:color w:val="auto"/>
          <w:sz w:val="24"/>
          <w:highlight w:val="none"/>
        </w:rPr>
        <w:t>说明：本部分所列的项目专用合同条款是对“公路工程专用合同条款”中规定必须在项目专用合同条款中明确的内容的集中，招标人编制的“项目专用合同条款”不限于本部分所列内容。项</w:t>
      </w:r>
      <w:r>
        <w:rPr>
          <w:rFonts w:hint="eastAsia" w:ascii="宋体" w:hAnsi="宋体" w:cs="宋体"/>
          <w:color w:val="auto"/>
          <w:spacing w:val="-2"/>
          <w:sz w:val="24"/>
          <w:highlight w:val="none"/>
        </w:rPr>
        <w:t>目专用合同条款的内容与广东省交通运输厅《广东省公路工程施工招标招标文件范本》（</w:t>
      </w:r>
      <w:r>
        <w:rPr>
          <w:rFonts w:hint="eastAsia" w:ascii="宋体" w:hAnsi="宋体" w:cs="宋体"/>
          <w:color w:val="auto"/>
          <w:spacing w:val="-2"/>
          <w:sz w:val="24"/>
          <w:highlight w:val="none"/>
          <w:lang w:val="en-US" w:eastAsia="zh-CN"/>
        </w:rPr>
        <w:t>2023</w:t>
      </w:r>
      <w:r>
        <w:rPr>
          <w:rFonts w:hint="eastAsia" w:ascii="宋体" w:hAnsi="宋体" w:cs="宋体"/>
          <w:color w:val="auto"/>
          <w:spacing w:val="-2"/>
          <w:sz w:val="24"/>
          <w:highlight w:val="none"/>
        </w:rPr>
        <w:t>年版）不一致时，以广东省交通运输厅《广东省公路工程施工招标招标文件范本》（</w:t>
      </w:r>
      <w:r>
        <w:rPr>
          <w:rFonts w:hint="eastAsia" w:ascii="宋体" w:hAnsi="宋体" w:cs="宋体"/>
          <w:color w:val="auto"/>
          <w:spacing w:val="-2"/>
          <w:sz w:val="24"/>
          <w:highlight w:val="none"/>
          <w:lang w:val="en-US" w:eastAsia="zh-CN"/>
        </w:rPr>
        <w:t>2023</w:t>
      </w:r>
      <w:r>
        <w:rPr>
          <w:rFonts w:hint="eastAsia" w:ascii="宋体" w:hAnsi="宋体" w:cs="宋体"/>
          <w:color w:val="auto"/>
          <w:spacing w:val="-2"/>
          <w:sz w:val="24"/>
          <w:highlight w:val="none"/>
        </w:rPr>
        <w:t>年版）为准</w:t>
      </w:r>
      <w:r>
        <w:rPr>
          <w:rFonts w:hint="eastAsia" w:ascii="宋体" w:hAnsi="宋体" w:cs="宋体"/>
          <w:color w:val="auto"/>
          <w:sz w:val="24"/>
          <w:highlight w:val="none"/>
        </w:rPr>
        <w:t>。</w:t>
      </w:r>
    </w:p>
    <w:p w14:paraId="1D2A887F">
      <w:pPr>
        <w:shd w:val="clear" w:fill="FFFFFF" w:themeFill="background1"/>
        <w:ind w:firstLine="480" w:firstLineChars="200"/>
        <w:rPr>
          <w:rFonts w:ascii="宋体" w:hAnsi="宋体" w:cs="宋体"/>
          <w:color w:val="auto"/>
          <w:sz w:val="24"/>
          <w:highlight w:val="none"/>
        </w:rPr>
      </w:pPr>
    </w:p>
    <w:p w14:paraId="29F951F9">
      <w:pPr>
        <w:shd w:val="clear" w:fill="FFFFFF" w:themeFill="background1"/>
        <w:ind w:firstLine="480" w:firstLineChars="200"/>
        <w:rPr>
          <w:rFonts w:ascii="宋体" w:hAnsi="宋体" w:cs="宋体"/>
          <w:color w:val="auto"/>
          <w:sz w:val="24"/>
          <w:highlight w:val="none"/>
        </w:rPr>
      </w:pPr>
    </w:p>
    <w:p w14:paraId="6E9768EB">
      <w:pPr>
        <w:shd w:val="clear" w:fill="FFFFFF" w:themeFill="background1"/>
        <w:spacing w:line="400" w:lineRule="exact"/>
        <w:rPr>
          <w:rFonts w:ascii="宋体" w:hAnsi="宋体" w:cs="宋体"/>
          <w:b/>
          <w:bCs/>
          <w:color w:val="auto"/>
          <w:sz w:val="24"/>
          <w:highlight w:val="none"/>
        </w:rPr>
      </w:pPr>
      <w:r>
        <w:rPr>
          <w:rFonts w:hint="eastAsia" w:ascii="宋体" w:hAnsi="宋体" w:cs="宋体"/>
          <w:b/>
          <w:bCs/>
          <w:color w:val="auto"/>
          <w:sz w:val="24"/>
          <w:highlight w:val="none"/>
        </w:rPr>
        <w:t>1、一般约定</w:t>
      </w:r>
    </w:p>
    <w:p w14:paraId="540BAD2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词语定义</w:t>
      </w:r>
    </w:p>
    <w:p w14:paraId="5199BA8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1.1.2 款细化为：</w:t>
      </w:r>
    </w:p>
    <w:p w14:paraId="3B0532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合同当事人和人员</w:t>
      </w:r>
    </w:p>
    <w:p w14:paraId="7E860B6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 1.1.2.9 目～第 1.1.2.11 目：</w:t>
      </w:r>
    </w:p>
    <w:p w14:paraId="0CC0A95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1.1.2.9 发包人代表：</w:t>
      </w:r>
    </w:p>
    <w:p w14:paraId="6B5DDE4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发包人代表（或称发包人驻地代表）是发包人派出到合同段执行发包人授予的一定权力及职责的现场管理人员。</w:t>
      </w:r>
    </w:p>
    <w:p w14:paraId="7ED451C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1.1.2.10 试验检测中心承包人（试验人）：</w:t>
      </w:r>
    </w:p>
    <w:p w14:paraId="5C78C3F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受发包人委托实施本合同工程试验检测工作管理的法人或其他组织，代表发包人对本合同工程进行抽检，以及对承包人的试验检测工作进行现场管理。</w:t>
      </w:r>
    </w:p>
    <w:p w14:paraId="26AB02B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1.1.2.11 第三方监测、风险管理及科研单位：</w:t>
      </w:r>
    </w:p>
    <w:p w14:paraId="7ECBD4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受发包人委托实施本合同工程监测、风险管理及科研任务的法人或其他组织。</w:t>
      </w:r>
    </w:p>
    <w:p w14:paraId="195A03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 其他</w:t>
      </w:r>
    </w:p>
    <w:p w14:paraId="0B0E9C6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 1.1.6.10 目：</w:t>
      </w:r>
    </w:p>
    <w:p w14:paraId="1BBE2D4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1.1.6.10 首件工程认可制：</w:t>
      </w:r>
    </w:p>
    <w:p w14:paraId="1A770DA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简称首件制，指每一个分项工程开工前，承包人先按施工组织设计中的工艺技术要求完成样品工程，随后对样品的各项质量指标进行检测，并对检测结果进行分析、对比，再对施工组织设计进行修改完善。承包人从满足要求的试件中确定一个优良的首件，从程序报建、技术培训、技术交底、材料进场、施工方案和施工工艺、材料试验、现场管理和质量控制等方面，整理出一套标准样本，获得更科学、更合理的施工参数、质量保证措施和安全保证措施，并作为施工（批量生产）的依据，使施工（批量生产）过程中整个工程质量和外观效果处于可控范围内，杜绝施工（批量生产）后可能产生的各种质量隐患。凡未经首件工程认可的工艺过程，一律不得批量应用。</w:t>
      </w:r>
    </w:p>
    <w:p w14:paraId="6F2C41A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 图纸和承包人文件</w:t>
      </w:r>
    </w:p>
    <w:p w14:paraId="6AD829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71644DD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66BDFACC">
      <w:pPr>
        <w:shd w:val="clear" w:fill="FFFFFF" w:themeFill="background1"/>
        <w:spacing w:line="400" w:lineRule="exact"/>
        <w:ind w:firstLine="480" w:firstLineChars="200"/>
        <w:rPr>
          <w:rFonts w:ascii="宋体" w:hAnsi="宋体" w:cs="宋体"/>
          <w:color w:val="auto"/>
          <w:sz w:val="24"/>
          <w:highlight w:val="none"/>
        </w:rPr>
      </w:pPr>
    </w:p>
    <w:p w14:paraId="45CAE44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发包人应在发出中标通知书之后 42 天内，向承包人免费提供由发包人或其委托的设计单位设计的施工图纸、技术规范和其他技术资料 2 份，并向承包人进行技术交底。承包人需要更多份数时，应自费复制。上述图纸、技术规范和其他技术资料，未经发包人同意，承包人不得提供给与本工程无关的第三方。</w:t>
      </w:r>
    </w:p>
    <w:p w14:paraId="33DA320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图纸的修改</w:t>
      </w:r>
    </w:p>
    <w:p w14:paraId="61B9DE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36DD180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承包人不得对施工图的任何部分进行修改，所有设计修改必须经设计单位认可及发包人同意，否则视为承包人违约并按 22.1 款处理。</w:t>
      </w:r>
    </w:p>
    <w:p w14:paraId="0BB0C5E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图纸的错误</w:t>
      </w:r>
    </w:p>
    <w:p w14:paraId="509A5CA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41A58B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须组织相关技术工作人员对有关的工程设计、技术规范、图纸或其他资料进行复核，发现资料中的任何差错、遗漏或缺陷后，应及时通知监理人。承包人未能在合同规定的时间内将发现的有关工程设计、技术规范、图纸或其他资料中的差错、遗漏或缺陷通知监理人的，由此造成的一切损失和责任均由承包人承担。</w:t>
      </w:r>
    </w:p>
    <w:p w14:paraId="62FAE8B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针对图纸与工程量清单的差、错、漏等问题，承包人应在合同签订后 3 个月内提出，合同签订后 6 个月内完成设计工程量核查，统一作为一次变更处理。</w:t>
      </w:r>
    </w:p>
    <w:p w14:paraId="1A3D79E6">
      <w:pPr>
        <w:shd w:val="clear" w:fill="FFFFFF" w:themeFill="background1"/>
        <w:spacing w:line="400" w:lineRule="exact"/>
        <w:ind w:firstLine="480" w:firstLineChars="200"/>
        <w:rPr>
          <w:rFonts w:ascii="宋体" w:hAnsi="宋体" w:cs="宋体"/>
          <w:color w:val="auto"/>
          <w:sz w:val="24"/>
          <w:highlight w:val="none"/>
        </w:rPr>
      </w:pPr>
    </w:p>
    <w:p w14:paraId="686F6168">
      <w:pPr>
        <w:shd w:val="clear" w:fill="FFFFFF" w:themeFill="background1"/>
        <w:spacing w:line="400" w:lineRule="exact"/>
        <w:rPr>
          <w:rFonts w:ascii="宋体" w:hAnsi="宋体" w:cs="宋体"/>
          <w:b/>
          <w:bCs/>
          <w:color w:val="auto"/>
          <w:sz w:val="24"/>
          <w:highlight w:val="none"/>
        </w:rPr>
      </w:pPr>
      <w:r>
        <w:rPr>
          <w:rFonts w:hint="eastAsia" w:ascii="宋体" w:hAnsi="宋体" w:cs="宋体"/>
          <w:b/>
          <w:bCs/>
          <w:color w:val="auto"/>
          <w:sz w:val="24"/>
          <w:highlight w:val="none"/>
        </w:rPr>
        <w:t>2. 发包人义务</w:t>
      </w:r>
    </w:p>
    <w:p w14:paraId="7DE617D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14:paraId="0A35F2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2803AC0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主动协助发包人做好本合同段范围内土地征收、房屋拆迁及管线迁改工作。如果由于发包人未能按照本款规定办妥永久占地征用手续，影响承包人工程施工的，承包人须及时调整工程施工组织安排，合理组织和安排工程施工。</w:t>
      </w:r>
    </w:p>
    <w:p w14:paraId="749C49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但如果由于承包人未能按照本款规定提交占地计划，因而影响发包人办理永久工程占地征用手续而导致延误工期或增加费用，则由承包人自行负责。</w:t>
      </w:r>
    </w:p>
    <w:p w14:paraId="247EF56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 其他义务</w:t>
      </w:r>
    </w:p>
    <w:p w14:paraId="42CD938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A2453C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发包人不提供进出施工现场的水、陆交通通道，不提供水、电、通讯的接入点及施工船舶临时停泊水域及停靠码头，由承包人自行落实解决，相关费用已包含在合同价格中，发包人不另行支付（除合同另有约定外）。</w:t>
      </w:r>
    </w:p>
    <w:p w14:paraId="2757EFC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过程中的淤泥、弃方、建筑垃圾等抛弃地点（倾倒区）由承包人自行解决，并负责办理相关许可手续，承担因申请和使用倾倒区的一切费用（含环境监测、渔业资源补偿等），相关费用已包含在合同价格中（除合同另有约定外）。如承包人不按要求倾倒淤泥、弃方、建筑垃圾等引起的一切责任（包括违约金、赔偿等）均由承包人负责。</w:t>
      </w:r>
    </w:p>
    <w:p w14:paraId="16DFE3F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（3）发包人应在合同签订前向承包人提供工程款支付担保。</w:t>
      </w:r>
    </w:p>
    <w:p w14:paraId="2F778A78">
      <w:pPr>
        <w:shd w:val="clear" w:fill="FFFFFF" w:themeFill="background1"/>
        <w:spacing w:line="400" w:lineRule="exact"/>
        <w:ind w:firstLine="480" w:firstLineChars="200"/>
        <w:rPr>
          <w:rFonts w:ascii="宋体" w:hAnsi="宋体" w:cs="宋体"/>
          <w:color w:val="auto"/>
          <w:sz w:val="24"/>
          <w:highlight w:val="none"/>
        </w:rPr>
      </w:pPr>
    </w:p>
    <w:p w14:paraId="129057FD">
      <w:pPr>
        <w:shd w:val="clear" w:fill="FFFFFF" w:themeFill="background1"/>
        <w:spacing w:line="400" w:lineRule="exact"/>
        <w:rPr>
          <w:rFonts w:ascii="宋体" w:hAnsi="宋体" w:cs="宋体"/>
          <w:b/>
          <w:bCs/>
          <w:color w:val="auto"/>
          <w:sz w:val="24"/>
          <w:highlight w:val="none"/>
        </w:rPr>
      </w:pPr>
      <w:r>
        <w:rPr>
          <w:rFonts w:hint="eastAsia" w:ascii="宋体" w:hAnsi="宋体" w:cs="宋体"/>
          <w:b/>
          <w:bCs/>
          <w:color w:val="auto"/>
          <w:sz w:val="24"/>
          <w:highlight w:val="none"/>
        </w:rPr>
        <w:t>3.监理人</w:t>
      </w:r>
    </w:p>
    <w:p w14:paraId="41F8D09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监理人的职责和权力</w:t>
      </w:r>
    </w:p>
    <w:p w14:paraId="54A256F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3.1.1 项补充：</w:t>
      </w:r>
    </w:p>
    <w:p w14:paraId="578D22D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3.1.1（6）本项细化为：</w:t>
      </w:r>
    </w:p>
    <w:p w14:paraId="5073359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（6）根据第 15.3 款发出的变更指示，均需要经发包人事先批准。</w:t>
      </w:r>
    </w:p>
    <w:p w14:paraId="3344987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增加以下内容：监理人关于本合同段工程的有关决定，都必须抄送发包人。发包人和承包人双方对工程施工的有关协议或决定，必须抄送监理人。监理人涉及工程变更、工程量增减、议价、索赔、改变工期、改变技术标准、改变重大施工技术方案，以及与费用有关的指令，均需事先与发包人协商，发包人书面认可后方能生效。</w:t>
      </w:r>
    </w:p>
    <w:p w14:paraId="6DE2E67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3.1.2 项补充：</w:t>
      </w:r>
    </w:p>
    <w:p w14:paraId="69AA749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本合同规定必须经发包人另行批准的事项外，如果监理人已经行使了上述职权，都应认为已从发包人处取得了必要的批准。但如果监理人的某些决定不妥或有错误，不妨碍政府监督部门或发包人事后进行撤销或变更。</w:t>
      </w:r>
    </w:p>
    <w:p w14:paraId="0F101C6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本条增加第 3.6 款和第 3.7 款：</w:t>
      </w:r>
    </w:p>
    <w:p w14:paraId="3F66B34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 发包人、监理人、试验人、承包人、风险管理等单位的关系</w:t>
      </w:r>
    </w:p>
    <w:p w14:paraId="28CC5CA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 在整个建设过程中，发包人与监理人、试验人、第三方监测、风险管理单位之间是委托与被委托的关系；监理人与承包人是监理与被监理的关系；承包人在项目实施过程中，必须接受发包人的统一管理，同时应按合同规定接受监理人和试验人的监督和管理。任何与施工承包合同有关的施工活动，都必须同时经发包人和监理人审查认定认为符合合同规定，发包人才同意计量。承包人应服从发包人的统一协调，积极配合发包人委托的单位开展工作，相关费用已包含在合同总价中。</w:t>
      </w:r>
    </w:p>
    <w:p w14:paraId="2CAA5BF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 本项目工程实行承包人自检、社会监理（含试验人）、发包人管理和政府监督的质量保证体系。对工程质量出现问题而降低质量标准或返工而造成的一切经济和工期损失，由承包人承担，并视为承包人违约；监理人根据监理合同规定负监理不周的责任。监理人对某一分部或分项工程的认可不影响政府机构或发包人在事后的否定。</w:t>
      </w:r>
    </w:p>
    <w:p w14:paraId="7DF4E4B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 发包人代表（或称发包人驻地代表）</w:t>
      </w:r>
    </w:p>
    <w:p w14:paraId="3B6AE23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 发包人代表根据发包人的授权，代表发包人履行项目管理和控制职责，具体职责和权限由发包人另行明确。</w:t>
      </w:r>
    </w:p>
    <w:p w14:paraId="56CCF51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 发包人代表对承包人的现场工程质量、进度、安全、文明环保等进行检查和督导，并有权要求承包人对存在问题进行整改。</w:t>
      </w:r>
    </w:p>
    <w:p w14:paraId="0B9E38DA">
      <w:pPr>
        <w:shd w:val="clear" w:fill="FFFFFF" w:themeFill="background1"/>
        <w:spacing w:line="400" w:lineRule="exact"/>
        <w:ind w:firstLine="480" w:firstLineChars="200"/>
        <w:rPr>
          <w:rFonts w:ascii="宋体" w:hAnsi="宋体" w:cs="宋体"/>
          <w:color w:val="auto"/>
          <w:sz w:val="24"/>
          <w:highlight w:val="none"/>
        </w:rPr>
      </w:pPr>
    </w:p>
    <w:p w14:paraId="7774CF08">
      <w:pPr>
        <w:pStyle w:val="61"/>
        <w:shd w:val="clear" w:fill="FFFFFF" w:themeFill="background1"/>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4、承包人</w:t>
      </w:r>
    </w:p>
    <w:p w14:paraId="01E500FE">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4.1承包人的一般义务</w:t>
      </w:r>
    </w:p>
    <w:p w14:paraId="2168E5F6">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4.1.2 依法纳税</w:t>
      </w:r>
    </w:p>
    <w:p w14:paraId="7DF3CDB4">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本项补充：</w:t>
      </w:r>
    </w:p>
    <w:p w14:paraId="3FE0A3D9">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省、市和地方有关单位要收取的税费和规费（包括但不限于按交通运输部公布的《公路工程建设项目概算预算编制办法》(JTG 3830-2018)规定的建筑安装工程造价内的增值税、城市维护建设税、教育费附加和地方教育附加税、堤围防护费等），已包含在工程量清单单价及总价中，由承包人负责缴纳并承担所需费用。</w:t>
      </w:r>
    </w:p>
    <w:p w14:paraId="510F1C5F">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4.1.4 对施工作业和施工方法的完备性负责</w:t>
      </w:r>
    </w:p>
    <w:p w14:paraId="4AEA84A3">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本项细化为：</w:t>
      </w:r>
    </w:p>
    <w:p w14:paraId="340A6A51">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承包人应按合同约定的工作内容和施工进度要求，根据《广东省高速公路工程施工组织设计和施工方案标准化管理指南》编制施工组织设计和施工方案，并对所有施工作业和施工方案的完备性和安全可靠性负责。承包人应对施工组织设计和施工方案开展内部审查、专家论证（必要时）和报批工作。</w:t>
      </w:r>
    </w:p>
    <w:p w14:paraId="34EF970A">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4.1.5 保证工程施工和人员的安全</w:t>
      </w:r>
    </w:p>
    <w:p w14:paraId="51283E34">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本项补充：</w:t>
      </w:r>
    </w:p>
    <w:p w14:paraId="58414109">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承包人在施工中必须按相关规定和标准设置安全标志、标牌等必要的安全设施，否则发包人将委托其他单位制作或设置，发生的费用从安全生产费中扣除，不足部分从工程款中扣除。</w:t>
      </w:r>
    </w:p>
    <w:p w14:paraId="60C861F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4.1.7 避免施工对公众与他人的利益造成损害</w:t>
      </w:r>
    </w:p>
    <w:p w14:paraId="4BA2828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本款细化为：</w:t>
      </w:r>
    </w:p>
    <w:p w14:paraId="2A0EAD2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686F22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14:paraId="1F03ED1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（3）承包人在实施和完成本合同工程及缺陷修复工作中的一切施工作业，在经过原地貌为鱼塘时，须在征地红线处筑设围堰分界，围堰需坚固且堰顶标高应高出原塘基至少 0.5 米，以保证施工作业不污染、不影响征地红线外鱼塘的养殖与正常使用，不对群众的财产造成损失，施工过程也不干扰群众的生产。如因承包人责任（如施工考虑不周或措施不当等）而造成征地红线外鱼塘污染的，承包人应负责对涉及的鱼塘进行清淤处理，并由此导致施工受阻、停工、索赔、赔偿、诉讼费用及其他开支时，应由承包人自行处理并承担一切责任及费用，同时发包人有权要求承包人采取措施进行补救。若承包人拒不接受或在限期内未采取必要措施的，发包人有权委托其他承包人或分包人进行补救，产生费用由承包人承担。承包人在报价和组织施工时应充分考虑这一因素。</w:t>
      </w:r>
    </w:p>
    <w:p w14:paraId="343A55D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（4）承包人未经河道管理部门许可，不得擅自改变河岸现水边线、采用推填方式占用河道解决施工作业面不足或施工便道问题，否则引起的一切后果由承包人承担。</w:t>
      </w:r>
    </w:p>
    <w:p w14:paraId="221C182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（5）如桥梁桩基位于水域等地基软弱地段，承包人应采取相应的施工辅助措施，发生费用已包含在合同总价中。</w:t>
      </w:r>
    </w:p>
    <w:p w14:paraId="0248EA9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（6）承包人应按交警、交通、铁路、航道、海事、国土、市政园林、水务、管道等管理部门的规定办理施工方案报批等相关手续，相关费用已包含在合同总价中（除合同另有约定外）。</w:t>
      </w:r>
    </w:p>
    <w:p w14:paraId="24597EB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承包人利用现有道路作为施工便道的，需对道路采取一定的保护措施，施工完成后应以不低于现有标准对施工损坏的道路进行修复（具体标准须满足权属单位的要求），由此产生的一切费用均由承包人承担。</w:t>
      </w:r>
    </w:p>
    <w:p w14:paraId="289CE42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承包人在实施和完成本合同工程及缺陷修复工作中的一切施工作业应保证发包人免于承担因承包人借用、占用或使用当地道路、铁路、航道、市政、水利或其他公共设施所引发的补偿费、诉讼费、损害赔偿、指控费及其他开支。一旦发生，发包人有权在承包人的工程进度款或结算款中扣回。</w:t>
      </w:r>
    </w:p>
    <w:p w14:paraId="7C1F59B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8）承包人应按有关环境保护、水土保持、文物保护、通航安全、防洪安全、放射性环境评价、压覆矿床等专项评价报告以及相关审批部门批复意见的要求进行施工，在施工过程中采用的施工工艺和施工措施所需费用已包含在合同总价中(除合同另有约定外)。</w:t>
      </w:r>
    </w:p>
    <w:p w14:paraId="27C760B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（9）承包人由于未切实履行以上条款的约定，导致发生工程阻工、停工，造成项目工期延误，视为承包人违约，按 22.1 条处理。</w:t>
      </w:r>
    </w:p>
    <w:p w14:paraId="694931B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4.1.8 为他人提供方便</w:t>
      </w:r>
    </w:p>
    <w:p w14:paraId="4190C10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本款细化为：</w:t>
      </w:r>
    </w:p>
    <w:p w14:paraId="1026EA1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应免费提供临时道路、便桥给本项目其他参建单位使用，并提供方便。承包人在施工期内，必须密切配合其他承包人在本合同段范围内的施工作业。如发生冲突，承包人应无条件接受发包人的协调及安排。</w:t>
      </w:r>
    </w:p>
    <w:p w14:paraId="1F034DD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如果本项目的预制构件由预制合同段统一预制，无论运输安装由预制合同段负责还是使用单位自行负责，承包人应积极配合，免费提供临时道路、便桥供预制构件运输使用，并做好便道便桥的维护，确保安全畅通。</w:t>
      </w:r>
    </w:p>
    <w:p w14:paraId="7E5834C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（3）承包人应按照监理人或发包人的要求负责安装其他工程所需的预埋件。由于承包人未按相关设计图纸施工预埋件，造成的损失（包括拆除、重新预埋所需费用）由承包人承担。</w:t>
      </w:r>
    </w:p>
    <w:p w14:paraId="6F6C361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（4）承包人应配合试验、检测单位完成相应的试验或检测工作，包括桩基检测、地质钻孔等，所需配合费用已包含在合同总价中（桩基静载、梁板荷载试验除外）。</w:t>
      </w:r>
    </w:p>
    <w:p w14:paraId="1DD86D6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4.1.10其他义务</w:t>
      </w:r>
    </w:p>
    <w:p w14:paraId="61C4C0E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4.1.10（1）目补充：</w:t>
      </w:r>
    </w:p>
    <w:p w14:paraId="2EF2B5E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临时用地的面积和使用期应满足工程需要和《广东省公路工程施工标准化指南》的要求，因临时占地发生的协调、租用、复耕、验收等相关费用由承包人承担。临时用地中如有地面附着物（包括但不限于电力、电信、房屋、坟墓等），其拆迁补偿费用已计入合同总价中。临时用地必须按规定办理相关手续，且不得对周边环境、公众及他人造成损害。</w:t>
      </w:r>
    </w:p>
    <w:p w14:paraId="55ECB3B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4.1.10(2)目细化为：</w:t>
      </w:r>
    </w:p>
    <w:p w14:paraId="23F1EAF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除合同另有规定外，承包人应承担并支付为获得本合同工程所需的石料、砂、砾石、黏土或其他当地材料等所发生的料场使用费及其他开支或补偿费。发包人应尽可能协助承包人办理料场租用手续及解决使用过程中的有关问题。承包人应按发包人要求将砂、石料等地材的供货合同等资料提供给发包人和监理人备案。取材的料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14:paraId="0D42181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4.1.10(3)目细化为：</w:t>
      </w:r>
    </w:p>
    <w:p w14:paraId="0EC5FC2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w:t>
      </w:r>
      <w:r>
        <w:rPr>
          <w:rFonts w:hint="eastAsia" w:ascii="宋体" w:hAnsi="宋体" w:cs="宋体"/>
          <w:color w:val="auto"/>
          <w:sz w:val="24"/>
          <w:szCs w:val="21"/>
          <w:highlight w:val="none"/>
          <w:lang w:eastAsia="zh-CN"/>
        </w:rPr>
        <w:t>公路建设市场监督管理系统</w:t>
      </w:r>
      <w:r>
        <w:rPr>
          <w:rFonts w:hint="eastAsia" w:ascii="宋体" w:hAnsi="宋体" w:cs="宋体"/>
          <w:color w:val="auto"/>
          <w:sz w:val="24"/>
          <w:szCs w:val="21"/>
          <w:highlight w:val="none"/>
        </w:rPr>
        <w:t>。</w:t>
      </w:r>
    </w:p>
    <w:p w14:paraId="2D29314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实名制管理系统）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461293A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p w14:paraId="5959B7D9">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4.1.10(4)目细化为：</w:t>
      </w:r>
    </w:p>
    <w:p w14:paraId="58370DC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分解工程价款中的人工费用，在工程项目所在地银行开设民工工资（劳务费）专用账户，专项用于支付民工工资。项目实行分包人农民工工资委托承包人代发制度，分包人负责按月计算每位民工当月或上月应得工资额，承包人核查分包人提交的经民工签字确认的工资支付表，承包人的开户银行应根据承包人提供的经民工本人签字确认工资支付表，通过承包人设立的民工工资（劳务费）专用账户直接将工资划入民工个人工资账户。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DDEE14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4.1.10(6)目细化为：</w:t>
      </w:r>
    </w:p>
    <w:p w14:paraId="27FEF40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承包人应履行的其他义务：</w:t>
      </w:r>
    </w:p>
    <w:p w14:paraId="2DC167E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①工序衔接与协调</w:t>
      </w:r>
    </w:p>
    <w:p w14:paraId="5DFE2CB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多个承包人在同一区域施工时，发包人和监理人有权协调工程的实施并对工程的衔接发出指示，承包人应在发包人和监理人的统一协调下工作，承包人由此增加的费用已包含在合同总价中。</w:t>
      </w:r>
    </w:p>
    <w:p w14:paraId="1B011A4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施工用地和临时用地交付承包人后，承包人应采取有效的措施进行管控，包括必要的围蔽和安保措施，防止与本项目无关的人员或单位进入、借用、占用或侵占（发包人同意的除外），否则由此引起的施工干扰、工程方案变更、工期延后、费用增加等一切后果由承包人承担。</w:t>
      </w:r>
    </w:p>
    <w:p w14:paraId="7FAA135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交工验收前，承包人应将测量控制点、高边坡、软基、桥梁等观测点的资料移交给养护单位使用。</w:t>
      </w:r>
    </w:p>
    <w:p w14:paraId="552D851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②施工工艺要求</w:t>
      </w:r>
    </w:p>
    <w:p w14:paraId="7286682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采取一切必要的措施，严格执行《广东省公路工程施工标准化指南》、《广东省高速公路公路施工安全标准化指南》和施工过程中发包人下发的工程管理手册（或创新工艺工法要求）、标准化和标杆管理、技术规范的各项规定，以及在建设过程中发包人提出的工艺工法要求，以保证达到合同规定的质量标准。在工程竣工质量要求较招标文件技术规范未发生改变的情况下，发包人或监理人对施工工艺提出的合理要求，原则上承包人不得就此要求发包人给予额外费用补偿，由此发生的一切费用视为已计入合同总价中。发包人提出或受施工条件限制需改变原施工工艺（工法）的，按 16.5 款约定执行。发包人推广先进工艺工法，如钢筋部品工艺、高温蒸养环形生产线预制场等，原则上承包人不得就此要求发包人给予额外费用补偿，由此发生的一切费用视为已计入合同总价中。</w:t>
      </w:r>
    </w:p>
    <w:p w14:paraId="1F86241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③卫生与供水</w:t>
      </w:r>
    </w:p>
    <w:p w14:paraId="36C8349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自费采取应有的卫生防护措施，经常保持现场及其驻地整洁和卫生，为其雇用的员工供应清洁的饮用水和合格的生活用水，以保护职员和工人的健康。在炎热的高温条件下施工时，承包人应注意采取防暑降温措施。</w:t>
      </w:r>
    </w:p>
    <w:p w14:paraId="67FD4701">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组织人员进驻工程现场时，应切实采取预防疫情的有效措施，配备必要的医疗用品、以及消毒、测温、通风等设施、设备，加强疫情防控工作。承包人应至少设一名专职的、具有一定卫生常识及传染病防治知识的卫生督查员，负责承包人所在施工现场的传染病检查、控制和报告工作。供餐 50 人以上食堂必须向当地县级市场监管部门申办食品经营许可证。</w:t>
      </w:r>
    </w:p>
    <w:p w14:paraId="27D30B1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还应建立人员流动登记制度，信息报告制度，与当地卫生防疫部门积极合作，做好各项防范措施的落实工作。一旦暴发任何具有传染性的疾病时，承包人应遵守并执行当地政府或卫生防疫部门为防治和消灭上述传染病蔓延而制订的规章、命令和要求，并及时报告当地卫生防疫部门及发包人。</w:t>
      </w:r>
    </w:p>
    <w:p w14:paraId="2B1580A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将其采取上述措施而可能发生的全部费用计入投标报价中，发包人将不另行支付。如发生属不可抗力的公共卫生事件，承包人采取防控措施而发生的费用，参照政府部门的相关规定，予以合理补偿。因承包人采取措施不力所造成的一切后果，均由承包人自行负责。</w:t>
      </w:r>
    </w:p>
    <w:p w14:paraId="0A1A33B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④项目审计、稽查和检查等的配合</w:t>
      </w:r>
    </w:p>
    <w:p w14:paraId="1E3E4B7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A、与本工程项目相关的审计和稽查，承包人应高度重视并委派专人积极予以配合，对审计和稽查的有关意见承包人应无条件地及时整改。</w:t>
      </w:r>
    </w:p>
    <w:p w14:paraId="6539416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B、有关单位对本项目的各种检查和视察等活动，承包人和监理人有义务积极配合开展各项工作。</w:t>
      </w:r>
    </w:p>
    <w:p w14:paraId="6571B919">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C、本工程项目有关的各类统计报表和汇报材料包括项目后评价报告，承包人和监理人有义务配合发包人做好编制工作并提供相应的资料。</w:t>
      </w:r>
    </w:p>
    <w:p w14:paraId="208F0C1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承包人应按监理人和发包人的有关要求，建立相应的计量、支付、变更和造价等台帐，同时承包人和监理人应配合发包人建立相应的台帐，三方各自的台帐应动态更新，并确保一致，直至工程结算完成。承包人应按省级公路工程造价管理信息化平台的要求，及时上传造价文件。</w:t>
      </w:r>
    </w:p>
    <w:p w14:paraId="292AF90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⑤双标管理（标杆管理、标准化管理）</w:t>
      </w:r>
    </w:p>
    <w:p w14:paraId="5A675D9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须贯彻落实交通运输部和广东省交通运输厅“平安百年品质工程”建设有关要求，进一步深化标准化管理和标杆管理，推进精品建造和精细管理；严格遵守和执行交通运输部、广东省交通运输厅有关高速公路建设标准化管理（含发包人下发的标准化管理指南，如有），高速公路建设样板（标杆）工程，高速公路施工优质优价，安全生产标准化，平安工地建设活动以及发包人制定的工程管理手册等规定。</w:t>
      </w:r>
    </w:p>
    <w:p w14:paraId="5DF3F4B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⑥工程质量和施工档案</w:t>
      </w:r>
    </w:p>
    <w:p w14:paraId="261A902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在施工过程中，如果工程质量不符合设计和规范要求以及优质工程有关管理规定，监理人或发包人要求停工和返工的，承包人必须立即执行，由此产生的各种费用由承包人承担，工期不予顺延。</w:t>
      </w:r>
    </w:p>
    <w:p w14:paraId="1D3EC43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承包人对已完工程必须进行严格的质量自检，只有自检合格的工程才能向监理人、发包人提出验收和计量的申请。监理人在收到验收申请后的 48 小时内对工程进行抽检和验收，对检验不合格的工程由承包人自费修复或返工。如果工程不合格是由于承包人的原因所致，则对承包人按项目专用合同条款及发包人下发的工程质量管理办法的规定进行处罚。</w:t>
      </w:r>
    </w:p>
    <w:p w14:paraId="3746134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必须设置专职档案员（资料员），专职档案员应具有高速公路项目的竣工资料编制经验。承包人应将项目竣工文件材料的收集、整理、立卷、归档，纳入项目的日常管理工作中，落实档案材料管理领导责任人制，专人负责竣工文件材料立卷归档工作，确保项目竣工文件材料的完整、准确与系统。工程结束后需按时、按质、按量提交符合发包人要求的竣工文件纸质档案及电子档案。</w:t>
      </w:r>
    </w:p>
    <w:p w14:paraId="5D623C3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⑦施工补勘</w:t>
      </w:r>
    </w:p>
    <w:p w14:paraId="1DBDF72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在工程施工期间，如果监理人要求承包人进行补钻孔或勘探性的开挖工作，须事先征得发包人同意。如果此项费用未包含在工程量清单项目中，则按变更处理。</w:t>
      </w:r>
    </w:p>
    <w:p w14:paraId="41C27BE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⑧遗留问题的处理</w:t>
      </w:r>
    </w:p>
    <w:p w14:paraId="21CB11B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施工过程中应与相关单位或部门多协调、多沟通，妥善处理因施工引起的对地方所产生的影响。承包人在施工过程中应自觉缴纳地方政府及相关单位要求的各类押金、保证金、租金或补偿及使用费用等。如承包人未能妥善处理与地方政府及相关单位的关系而影响施工的，发包人有权不需经承包人同意，代付上述各类款项，并从承包人计量款中扣回，最终从承包人结算款中予以如数扣回，承包人应无条件接受。</w:t>
      </w:r>
    </w:p>
    <w:p w14:paraId="7D99E12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程交工后竣工验收前，承包人所在合同段遗留的问题，承包人应积极主动地进行处理和解决并承担所有费用。如上述问题特别是与地方有关的遗留问题，承包人在发包人规定的期限内不能妥善处理的，发包人有权另行委托其他单位进行处理，发生的全部费用从应付给承包人的任何款项中扣回，承包人须无条件接受。</w:t>
      </w:r>
    </w:p>
    <w:p w14:paraId="737006D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⑨验收及其他</w:t>
      </w:r>
    </w:p>
    <w:p w14:paraId="4E17C4A1">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根据《广东省交通运输厅关于进一步加强公路水路建设工程防雷工作的通知》要求，本项目将防雷减灾工作纳入安全生产日常管理，发包人将根据上级要求及相关技术规范统筹安排，在本项目中落实防雷装置与主体工程同时设计、同时施工、同时验收，承包人必须承担相应防雷工作的主体责任，严格按本项目防雷设计与相关要求组织实施防雷工程施工，必须采购满足设计文件技术指标和功能参数的材料设备，材料设备必须提供质量检验报告并接受质量监督，相关设备需报监理人批准，确保项目防雷工程验收合格。</w:t>
      </w:r>
    </w:p>
    <w:p w14:paraId="4ED547A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⑩应履行的其他义务</w:t>
      </w:r>
    </w:p>
    <w:p w14:paraId="2BBF7EA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承包人因非本合同项目的诉讼、仲裁或行政处罚，导致法院或其他有权机关依法到发包人或发包人开户银行执行扣除承包人已完成工程量结算款项的，承包人须无条件接受该项执行扣款事实，承认已经收到发包人应付的该项工程进度款。此外，承包人还须对因该事件构成对发包人的负面影响与经济损失承担全额赔偿责任，同时视为承包人违反工程价款专款专用的约定，按 4.9 款约定进行处理。</w:t>
      </w:r>
    </w:p>
    <w:p w14:paraId="67C6773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B、承包人应根据发包人的要求和施工现场实际情况开展施工作业，必须按发包人的指令开展施工，必要时必须借助地方道路或收费公路作为运输通道。</w:t>
      </w:r>
    </w:p>
    <w:p w14:paraId="0705A7B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C、海事、海洋、航道、环保、边防、公安、渔政、港口、交通维护、治安协调等有关事宜费用。</w:t>
      </w:r>
    </w:p>
    <w:p w14:paraId="2433AFE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对渔业资源、电力电缆、通信电缆（包括国防电缆等）、供水排水管道等影响补偿：承包人须就施工对渔业资源、电力电缆、通信电缆（包括国防电缆等）、供水排水管道等的影响与相关部门协商，并承担相应的补偿费用。因承包人施工给渔业资源、电力电缆、通信电缆（包括国防电缆等）、供水排水管道等造成损害的，承包人应承担一切责任和赔偿费用。</w:t>
      </w:r>
    </w:p>
    <w:p w14:paraId="44F3209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现有航道的占用、改移和恢复：如本项目施工对现有航道造成直接影响，为保证施工期间各类船舶的正常通行和行驶安全，承包人须对现有航道进行临时改移和维护，待相关工程完成施工、现有航道具备恢复通航条件时再按原通航标准及时予以恢复，工作内容包括但不限于勘察、设计、办理各种报批、施工许可手续、施工、临时航道验收、航道维护、既有航道恢复以及验收等，相关费用已包含在合同总价中（除合同另有约定外）。</w:t>
      </w:r>
    </w:p>
    <w:p w14:paraId="59E6880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现有道路、市政设施及绿化、青苗的占用和恢复：如本项目施工需临时占用现有道路、路灯照明、人行设施、绿化、青苗等，承包人应在施工前编制占用恢复计划，及时向公路、交警、市政园林等部门办理有关手续，并承担相应的修复和补偿费用。</w:t>
      </w:r>
    </w:p>
    <w:p w14:paraId="1356489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D、承担因违反有关部门规定造成的损失和违约金</w:t>
      </w:r>
    </w:p>
    <w:p w14:paraId="411D3BD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必须严格按照有关部门的规定和要求组织施工，如有违反，应承担相应的损失及违约金。同时，应充分考虑相关行业主管部门的监测保护要求和受影响单位的管制要求，以及可能对作业点的控制或作业强度、作业时间等限制，对合同工期产生的影响，发包人不因此延长工期和增加费用（除合同另有约定外）。</w:t>
      </w:r>
    </w:p>
    <w:p w14:paraId="2282E2C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E、承包人应根据工程施工情况及监理人的指令，及时向监理人提交开工报告、测量报告、试验检验报告、隐蔽工程验收通知、工程质量自检报告、交工验收申请报告及工程事故报告等。</w:t>
      </w:r>
    </w:p>
    <w:p w14:paraId="29296DA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F、承包人在进场后 1 个月内对用地红线进行全面复核，如有误，必须立即书面通知发包人。</w:t>
      </w:r>
    </w:p>
    <w:p w14:paraId="5714A21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G、承包人进场后应对施工位置进行复核，对管线（包括但不限于电力电缆、通信电缆、国防电缆、供水排水管道等）进行复核排查，对影响施工的管线等及时摸排清楚并通知监理人及发包人。如承包人未及时复查管线，施工造成管线破坏的，一切责任和损失由承包人承担。</w:t>
      </w:r>
    </w:p>
    <w:p w14:paraId="594F5A7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4.2 履约担保</w:t>
      </w:r>
    </w:p>
    <w:p w14:paraId="37A6E89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本款细化为：</w:t>
      </w:r>
    </w:p>
    <w:p w14:paraId="0BAEE2B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承包人在收到中标通知书后 28 天之内并在签订合同协议书之前，应按投标人须知第 7.7.1 款规定的金额和形式提交履约担保，由此所发生的费用由承包人承担。承包人应保证其履约担保在发包人开始扣留质量保证金前一直有效。发包人开始扣留质量保证金时同步一次性向承包人退还全部履约担保。</w:t>
      </w:r>
    </w:p>
    <w:p w14:paraId="0AAEC04D">
      <w:pPr>
        <w:pStyle w:val="61"/>
        <w:shd w:val="clear" w:fill="FFFFFF" w:themeFill="background1"/>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 xml:space="preserve">    4.3 分包</w:t>
      </w:r>
    </w:p>
    <w:p w14:paraId="0178558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4.3.2 项补充：</w:t>
      </w:r>
    </w:p>
    <w:p w14:paraId="587438F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承包人如有分包计划，所有的分包必须符合交通运输部现行《公路工程施工分包管理办法》及《广东省交通运输厅关于公路工程施工分包管理实施细则》关于施工分包和劳务合作的有关规定。</w:t>
      </w:r>
    </w:p>
    <w:p w14:paraId="27233D6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如实际的分包单价（或总额价）超出承包人与发包人签定的承包合同对应的清单单价（或总额价），视为承包人的风险，承包人应从合同总价中进行调配，发包人不因此向承包人增加支付任何费用。</w:t>
      </w:r>
    </w:p>
    <w:p w14:paraId="605BA6A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承包人应无条件提供本合同段的临时工程和设施（包括但不限于便道、便桥、电力线路等）供分包人使用，不得向分包人收取临时工程和设施费用。</w:t>
      </w:r>
    </w:p>
    <w:p w14:paraId="2C60901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0FD5AB9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拟分包的专项工程的范围和规模，应当在投标文件和承包合同中明确。中标人进场后，如对拟分包项目情况表中的内容进行增减调整，必须报经监理人或发包人的同意。投标文件未列入或承包合同未明确的专项工程，承包人不得分包。但因工程变更等原因，增加有特殊性技术要求、特殊工艺或者涉及专利保护等的专项工程，且按照规定无须再进行招标的，以及工程实施中承包人和发包人一致认为对专项工程实行专项分包，有利于项目工程进度、质量和安全管理的，由承包人提出书面申请，报监理人审查，经发包人书面同意，可以分包。</w:t>
      </w:r>
    </w:p>
    <w:p w14:paraId="3321365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 4.3.8、4.3.9 项：</w:t>
      </w:r>
    </w:p>
    <w:p w14:paraId="7D1A67D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4.3.8 特殊的分包人或供货人</w:t>
      </w:r>
    </w:p>
    <w:p w14:paraId="643C824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分包合同须符合《广东省交通运输厅关于公路工程施工分包管理实施细则》的有关规定。</w:t>
      </w:r>
    </w:p>
    <w:p w14:paraId="2351867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有关特殊分包的合同中，特殊分包人（或供货人）应独立地承担其合同责任和义务，不使承包人对发包人承担的合同责任和义务受到损害，也不使承包人承担因特殊的分包人（或供货人）未能履行责任、义务而引起的索赔、赔偿、诉讼费用及其他开支。承包人对于特殊分包人（或供货人）及其职工的过失而造成的损失不承担任何责任。如果特殊分包合同中含有与上述规定有悖的条款，承包人有权拒绝与此特殊分包人（或供货人）签订合同。</w:t>
      </w:r>
    </w:p>
    <w:p w14:paraId="6703239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特殊分包人（或供货人）承担部分的计量由承包人负责统一上报，承包人应将属特殊分包人（或供货人）的计量支付款项，及时向特殊分包人（或供货人）支付。</w:t>
      </w:r>
    </w:p>
    <w:p w14:paraId="74A8BA8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特殊分包人（或供货人）承担部分的原始资料存档和竣工资料编制等工作，由所在合同段的承包人负责。</w:t>
      </w:r>
    </w:p>
    <w:p w14:paraId="3DCC18F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无偿为特殊供货人的供料运输提供满足使用要求的便道便桥和码头，承包人负责卸料并负责将卸下的材料搬运至工地仓库或特定地点，由此所需的设备、人力和费用由承包人自行负责，承包人的仓库容量应满足相关要求。</w:t>
      </w:r>
    </w:p>
    <w:p w14:paraId="2730F6E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如发生第 11.5 款约定的承包人工程进度严重滞后，发包人有权对承包人部分工程进行特殊分包，承包人应无条件接受，并按第 11.5 款约定处理。</w:t>
      </w:r>
    </w:p>
    <w:p w14:paraId="0676C4E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4.3.9 发包人的强制分包</w:t>
      </w:r>
    </w:p>
    <w:p w14:paraId="0566608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因承包人违约或发生重大的质量、安全事故以及出现进度严重滞后的情况和工程专业化施工等的需要，发包人有权对承包人部分工程进行切割，做分包处理，因此而增加的一切费用由承包人承担。</w:t>
      </w:r>
    </w:p>
    <w:p w14:paraId="567CE5D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当发包人决定采取分包时，承包人应无条件接受并全力配合发包人开展相关工作，并无条件提供已有的临时设施（包括但不限于便道、便桥、电力线路等）供分包人使用，且不得为此要求增加或支付任何费用，否则视承包人违约。分包部分的造价按以下原则计算，并从承包人的合同总价中扣除：</w:t>
      </w:r>
    </w:p>
    <w:p w14:paraId="0EF7C89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w:t>
      </w:r>
      <w:r>
        <w:rPr>
          <w:rFonts w:hint="eastAsia" w:ascii="宋体" w:hAnsi="宋体" w:cs="宋体"/>
          <w:color w:val="auto"/>
          <w:sz w:val="24"/>
          <w:szCs w:val="21"/>
          <w:highlight w:val="none"/>
          <w:u w:val="single"/>
        </w:rPr>
        <w:t xml:space="preserve"> 分包部分的造价计算原则由发包人按项目特点，根据分包的内容约定相应费用的扣除方式 </w:t>
      </w:r>
      <w:r>
        <w:rPr>
          <w:rFonts w:hint="eastAsia" w:ascii="宋体" w:hAnsi="宋体" w:cs="宋体"/>
          <w:color w:val="auto"/>
          <w:sz w:val="24"/>
          <w:szCs w:val="21"/>
          <w:highlight w:val="none"/>
        </w:rPr>
        <w:t>；</w:t>
      </w:r>
    </w:p>
    <w:p w14:paraId="314919F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B、发包人委托政府主管部门或发包人选取的第三方机构按 15.4.4 款约定的原则重新编制切割工程的预算，并按预算金额（不下浮）从承包人的合同总价中扣除。</w:t>
      </w:r>
    </w:p>
    <w:p w14:paraId="391E61D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发包人有权从以上两种方式中进行选择，承包人必须无条件服从。</w:t>
      </w:r>
    </w:p>
    <w:p w14:paraId="7DFF34D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按上述确定的造价要求承包人、分包人与发包人签订三方分包协议,或由发包人与分包人签订协议。工程款根据签订的协议,由发包人对分包人按时计量支付。工程实施后，确定分包工程计量支付金额后,发包人可直接在承包人任意一期计量中扣减相应分包费用。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5F35EE6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款项由发包人从承包人应收工程款中如数扣回，承包人不得有异议。</w:t>
      </w:r>
    </w:p>
    <w:p w14:paraId="68D4FA6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4.6 承包人人员的管理</w:t>
      </w:r>
    </w:p>
    <w:p w14:paraId="6280D98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4.6.1 项补充：</w:t>
      </w:r>
    </w:p>
    <w:p w14:paraId="6706EEC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承包人应按监理人批准的人员安排报告及时安排相关人员进场，如果承包人在接到监理人要求人员进场的通知 5 天后仍未安排相关人员进场，视为承包人违约。</w:t>
      </w:r>
    </w:p>
    <w:p w14:paraId="6D47801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4.6.3 项细化为：</w:t>
      </w:r>
    </w:p>
    <w:p w14:paraId="7CB7282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承包人安排在施工场地的项目经理及项目总工（总工程师）应与承包人投标填报名单一致；其他主要管理人员和技术人员的资格和经历应不低于招标文件《附录 6 资格审查条件（其他主要管理人员和技术人员最低要求）》的规定，报监理人审核后并报发包人批准，上述人员经发包人批准后不得随意更换。</w:t>
      </w:r>
    </w:p>
    <w:p w14:paraId="29023921">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 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总工程师（用备选人替换首选人的调整不受此限）需缴纳违约金金额详见项目专用合同条款数据表，其他主要管理人员（质检工程师、计划工程师、道路工程师、桥梁工程师、隧道工程师、地质工程师、测量工程师、试验工程师、专职安全生产管理人员、财务负责人等）的调整部分需缴纳违约金金额详见项目专用合同条款数据表。因不可抗力、退休、职务晋升或离职等（需提供相关证明材料）无法继续履行合同责任和义务，承包人报监理人审核并报发包人批准后可进行替换，替换人员的资质和经历不得低于原批复人员，承包人无须承担违约责任。发包人可随着工程的进度情况，动态增减管理人员要求。</w:t>
      </w:r>
    </w:p>
    <w:p w14:paraId="61B82DF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（2）为保证承包人的档案资料整理工作具有连续性、稳定性，要求承包人的档案资料整理负责人在本项目连续工作 1 年及以上，否则视为承包人违约。</w:t>
      </w:r>
    </w:p>
    <w:p w14:paraId="0A3309A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（3）项目经理不能在两个或两个以上项目同时任职，且必须保证每月有 22 天以上驻守现场；项目总工（总工程师）必须保证每月有 22 天以上驻守现场，否则视为承包人违约。以上两位主要人员因主管部门或发包人检查，被认定存在“挂名”现象的，视为承包人违约。</w:t>
      </w:r>
    </w:p>
    <w:p w14:paraId="2BEF097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（4）承包人应按《公路水运工程安全生产监督管理办法》和《广东省高速公路工程施工安全标准化指南》等相关规定，设置独立的安全管理机构，配置专职安全生产管理人员：</w:t>
      </w:r>
    </w:p>
    <w:p w14:paraId="319963E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a.项目部及专业分包单位按照年度施工产值计划配备专职安全生产管理人员，不足5000 万元的至少配备 2 名；5000 万元以上不足 2 亿元的按每 5000 万元不少于 1 名的比例配备；2 亿元以上的不少于 5 名；专职安全生产管理人员中安全、路桥、隧道、机械、地质、机电等专业人员比例不少于 80%。</w:t>
      </w:r>
    </w:p>
    <w:p w14:paraId="2AFB901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施工单位（含专业分包单位）项目经理、项目总工程师、项目副经理和专职安全生产管理人员应持有公路水运工程施工企业安全生产“三类人员”安全生产考核合格证书或注册安全工程师证书，证书有效并与对应岗位人员身份相符，进场“三类人员”资格、实际岗位与合同文件或变更文件对应。</w:t>
      </w:r>
    </w:p>
    <w:p w14:paraId="0DF23CD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（5）项目经理和项目总工必须按要求出席发包人组织的各种会议，包括监理人主持的重要会议。特殊情况无法出席的，必须取得发包人或监理人批准，任何迟到或早退按缺席处理。</w:t>
      </w:r>
    </w:p>
    <w:p w14:paraId="2F8494C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（6）承包人应严格按照环境保护的有关规定，明确环境保护的主要负责人，并按监理人的要求做好防御措施以及实施记录。</w:t>
      </w:r>
    </w:p>
    <w:p w14:paraId="59C972F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（7）承包人应严格按照水土保持的有关规定，明确水土保持的主要负责人，并按监理人的要求做好防御措施以及实施记录。</w:t>
      </w:r>
    </w:p>
    <w:p w14:paraId="147D246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（8）承包人应配合发包人采用信息化管理手段对主要施工管理人员进行考核的措施。</w:t>
      </w:r>
    </w:p>
    <w:p w14:paraId="4E6C763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在本款后增加 4.6.6～4.6.7 项如下：</w:t>
      </w:r>
    </w:p>
    <w:p w14:paraId="71F10C9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4.6.6 劳务聘用</w:t>
      </w:r>
    </w:p>
    <w:p w14:paraId="7D23B14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可以直接雇用农民工或将劳务作业分包给具有劳务分包资质的劳务分包人，但承包人或分包人必须依法签订劳动合同，并将民工花名册、劳动合同和民工签收的工资支付表报监理人备案。承包人须根据《广东省交通运输厅关于加强交通建设工程从业人员实名制管理和作业工人工资支付管理的通知》和《广东省交通运输厅关于在全省公路水运工程建设项目部署应用从业人员实名制管理系统的通知》等文件要求，规范和加强项目农民工实名制管理及工资支付管理。承包人和劳务分包人必须按照有关法律、法规和劳务合同按时支付劳务工资及相关费用，落实各项劳动保护措施。</w:t>
      </w:r>
    </w:p>
    <w:p w14:paraId="22D1BAF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承包人必须按时支付其雇用人员、其分包单位雇用人员、实际为承包人或其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同时，发包人有权从承包人的工程款中扣留部分款项，直接用于支付上述人员的工资，承包人须无条件接受。详细规定见承包人投标文件中提交的《建设工程农民工工资支付保证书》。若因上述原因造成劳务人员上访、纠纷等情况，承包人须承担一切经济和法律责任。除按国家有关法律、法规、规章及上述合同条款的规定进行处理外，同时按照第 22.1款约定对承包人进行处理。</w:t>
      </w:r>
    </w:p>
    <w:p w14:paraId="643DCBB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（3）承包人应为农民工办理工伤保险。</w:t>
      </w:r>
    </w:p>
    <w:p w14:paraId="28009FF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（4）发包人制定的农民工工资监管办法及有关规定，承包人须积极配合并无条件的接受。</w:t>
      </w:r>
    </w:p>
    <w:p w14:paraId="5AB734E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劳务合作须符合《广东省交通运输厅关于公路工程施工分包管理的实施细则》的通知有关规定；劳务合作单位须按照《广东省高速公路工程施工安全标准化指南》相关要求配备安全生产管理人员：施工作业人员在 30 人及以下时，应配备 1 名兼职安全生产管理人员；施工作业人员在 31～50 人时，应配备 1 名专职安全生产管理人员；施工作业人员在 51 人～200 人时，应配备 2 名专职安全生产管理人员；施工作业人员在201 人及以上时，每增加 100 人，应增加 1 名专职安全生产管理人员，并根据所承担工程的施工危险程度予以增加。</w:t>
      </w:r>
    </w:p>
    <w:p w14:paraId="759B42A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（6）推广以工代赈方式促进沿线群众就业。</w:t>
      </w:r>
    </w:p>
    <w:p w14:paraId="0CDD21D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4.6.7 施工班组及施工员登记制度</w:t>
      </w:r>
    </w:p>
    <w:p w14:paraId="3C16E4D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签定合同后，承包人应组建施工班组，施工班组应符合《广东省公路工程施工标准化指南》及《广东省高速公路施工安全标准化指南（班组建设篇）》的相关规定。承包人应向监理人提供一份拟在本合同工程进行现场管理的施工员名单，包括监理人要求的有关证明材料。监理人将对符合资格要求的施工员进行造册登记，并发给项目施工员证。施工员登记工作是监理人签发开工令的必要条件之一。</w:t>
      </w:r>
    </w:p>
    <w:p w14:paraId="537ACD7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目施工员证上岗。承包人不执行本款规定，视为承包人违约并按 22.1 款约定进行处理。</w:t>
      </w:r>
    </w:p>
    <w:p w14:paraId="7807694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在施工过程中，监理人只要有充分的理由，可以随时取消不能令其满意的施工员的资格，收回项目施工员证。</w:t>
      </w:r>
    </w:p>
    <w:p w14:paraId="35BBAD0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4.7 撤换承包人项目经理和其他人员</w:t>
      </w:r>
    </w:p>
    <w:p w14:paraId="6F0D44B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本款细化为：</w:t>
      </w:r>
    </w:p>
    <w:p w14:paraId="6F4C394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对其项目经理和其他人员进行有效管理。发包人或监理人在征得发包人同意后要求撤换不能胜任本职工作、行为不端或玩忽职守的项目经理和其他人员，承包人应予以撤换，同时委派经发包人与监理人同意的新的项目经理和其他人员，并按 4.6.3款约定处以违约金。被撤换人员未经发包人同意不得重新回到本合同段工作。</w:t>
      </w:r>
    </w:p>
    <w:p w14:paraId="234CF1B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 不利物质条件</w:t>
      </w:r>
    </w:p>
    <w:p w14:paraId="0D6B3FB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第4.11.2项细化为：</w:t>
      </w:r>
    </w:p>
    <w:p w14:paraId="2D5DFA8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遇到不可预见的不利物质条件时，应采取适应不利物质条件的合理措施继续施工，并及时通知监理人和发包人。监理人应当及时发出指示，指示构成变更的，按第15条约定办理。监理人没有发出指示的，承包人应将情况及时上报发包人，如发包人3天内仍未发出指示的，因承包人采取合理措施而增加的费用和(或)工期延误，由发包人承担。</w:t>
      </w:r>
    </w:p>
    <w:p w14:paraId="12209C2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4.11.3可预见的不利物质条件</w:t>
      </w:r>
    </w:p>
    <w:p w14:paraId="06EF283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第4.11.3（1）目补充：</w:t>
      </w:r>
    </w:p>
    <w:p w14:paraId="0233315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对于一个有经验的承包人可合理预见的不利物质条件，无论承包人是否有其经历和经验均视为承包人在接受合同时已预见其影响，并已在签约合同价中计入因其影响而可能发生的一切费用（除合同另有约定外）。</w:t>
      </w:r>
    </w:p>
    <w:p w14:paraId="00E2EEB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5.材料和工程设备</w:t>
      </w:r>
    </w:p>
    <w:p w14:paraId="62B44D5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 5.1.2 项补充：</w:t>
      </w:r>
    </w:p>
    <w:p w14:paraId="16A5EB4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选定的材料和工程设备必须满足本合同工程要求和《广东省公路工程施工标准化指南》管理规定。凡任何技术指标达不到发包人要求或被发包人禁止进入本合同工程的材料、设备（或材料供应商），承包人不得采购用于本项目。</w:t>
      </w:r>
    </w:p>
    <w:p w14:paraId="229674D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（2）统一供应材料的采购</w:t>
      </w:r>
    </w:p>
    <w:p w14:paraId="1F49A2D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统一供应材料的品种详见附件十《统一采购供应材料一览表》，具体采购必须严格执行发包人的管理要求。</w:t>
      </w:r>
    </w:p>
    <w:p w14:paraId="24BBA63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统一采购供应的材料，若采用发包人统一招标方式的，在发包人经招标确定统一供货品牌后，由承包人(材料使用方)与发包人、供货人（卖方）共同签订供货合同。承包人与卖方为实际的买卖双方，卖方根据承包人实际需求按计划供应材料并提供发票给承包人；发包人负责监督合同各方严格履行供货合同，由承包人按供货合同规定支付材料款给卖方或由由承包人委托发包人按供货合同规定代承包人支付材料款给卖方，统一采购供应的材料款由发包人按上述方式与承包人进行结算。</w:t>
      </w:r>
    </w:p>
    <w:p w14:paraId="7481706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对于此类材料的供货，还应满足以下规定：</w:t>
      </w:r>
    </w:p>
    <w:p w14:paraId="1979982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①材料使用前，由承包人负责检验或试验，品种、规格、型号或质量与一览表不符的，承包人应及时报监理人及发包人处理；品种、规格或型号与一览表不符但质量经检验合格的，经监理人同意，可调剂串换使用。若上述不符是属于承包人责任造成的，则因此而增加的相应费用由承包人承担。</w:t>
      </w:r>
    </w:p>
    <w:p w14:paraId="70F190B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②为恰当和正确地使用、安装和实施这些材料和工程设备所必需的但一览表中未列明的其他任何辅助性材料以及人工费均已经包含在承包人的合同价款中。</w:t>
      </w:r>
    </w:p>
    <w:p w14:paraId="71006DC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③当月的材料款根据合同附表中的统一采购供应材料单价和承包人与供应商当月签认的材料签收数量进行计算，原则上当月的材料款应在下个月的计量支付中扣除。根据实际情况，在确保工程款不超付的情况下允许推迟不超过三个月扣回材料款。</w:t>
      </w:r>
    </w:p>
    <w:p w14:paraId="6CEA282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④承包人承担工程全部完工后，如统一供应材料实际用量与按设计图纸（包括变更）计算的理论用量（含合理损耗）偏差超过 5%（石油沥青、改性沥青为 2%）而无法提供合理解释的，发包人有权对承包人处以偏差部分 100％价值的违约金。</w:t>
      </w:r>
    </w:p>
    <w:p w14:paraId="431A65C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（3）其他主材的采购</w:t>
      </w:r>
    </w:p>
    <w:p w14:paraId="190E6D3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除统一供应材料以外的主材，承包人可自行决定采购方式。在开始采购前至少 28天，承包人应将采购方案报监理人审批，并严格执行发包人有关材料管理的各项要求。</w:t>
      </w:r>
    </w:p>
    <w:p w14:paraId="3D98043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（4）工程地材的采购</w:t>
      </w:r>
    </w:p>
    <w:p w14:paraId="7E6B19C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对于工程施工所需地材（碎石、砂等），承包人可自行决定采购方式。在主要地材开始采购前至少 28 天，承包人应将采购方案（包括采购地材的品种和数量、供应商的名单、选择该供应商的理由、质量证明文件、供货计划等）报监理人审批。</w:t>
      </w:r>
    </w:p>
    <w:p w14:paraId="3B32E98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承包人必须通过合法的方式获取石源和砂源，应确保材料的合法来源及品质要求，对材料的运输方式、供应强度及运距等自行测算并承担风险。</w:t>
      </w:r>
    </w:p>
    <w:p w14:paraId="5F2AC17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（5）其他材料和工程设备的采购</w:t>
      </w:r>
    </w:p>
    <w:p w14:paraId="240E250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除以上（1）～（5）条之外的其他材料和工程设备，承包人应将选定的各项材料和工程设备的供应商及品种、规格、质量证明文件、数量和供货计划等报送监理人和发包人核备。</w:t>
      </w:r>
    </w:p>
    <w:p w14:paraId="2A822F9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（6）监理人和发包人对承包人采购材料和工程设备的审批、核备、监督等并不免除承包人的责任。</w:t>
      </w:r>
    </w:p>
    <w:p w14:paraId="55D62FB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7）如果承包人采购的材料或设备是进口的，则承包人应向监理人提供由中华人民共和国进出口商品检验检疫部门出具的检验证书，证明该材料或设备的质量、规格及其他指标符合设计及技术规范要求，否则发包人有权向承包人提出索赔。</w:t>
      </w:r>
    </w:p>
    <w:p w14:paraId="7F12076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8）为最大限度确保本合同工程的施工质量，满足工程施工机械化、自动化的要求，在合同履行过程中，发包人将结合国内桥梁、隧道等工程施工现状，以及工程实际需要，对部分施工流程或工艺等提出特殊的设备要求，由此所增加的设备购置费或租赁费用已包含在合同总价中，发包人不另行支付（除合同另有约定外）。</w:t>
      </w:r>
    </w:p>
    <w:p w14:paraId="2289AE9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增加 5.1.3 项</w:t>
      </w:r>
    </w:p>
    <w:p w14:paraId="32F4A4A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承包人采购的材料应得到发包人和监理人的同意，经检验合格后方可使用。</w:t>
      </w:r>
    </w:p>
    <w:p w14:paraId="67525E1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监理人征得发包人同意后，有权要求承包人更换不符合要求的料场，承包人必须无条件接受。承包人采购的材料设备与设计或标准要求不符时，承包人应按监理人要求的时间运出施工场地，重新采购符合要求的产品，由此发生的费用均由承包人承担，引起的工期延误不予顺延工期。</w:t>
      </w:r>
    </w:p>
    <w:p w14:paraId="3A6F767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本款补充第 5.1.4 项、第 5.1.5 项：</w:t>
      </w:r>
    </w:p>
    <w:p w14:paraId="0FB64FA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5.1.4 项目的部分材料或设备如采用甲控乙购方式管理的，承包人应按照发包人明确的甲控乙购材料或设备品种（详见《甲控乙购材料一览表》）、技术指标及质量要求、采购方式和管理要求进行采购。</w:t>
      </w:r>
    </w:p>
    <w:p w14:paraId="71806B2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5.1.5 材料的防护、标识和可追溯性</w:t>
      </w:r>
    </w:p>
    <w:p w14:paraId="7335DE2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根据材料特性对材料的运输、储存和保管的方法予以规定和执行，防止材料发生损坏、混淆、变质和受到污染。各种原材料、半成品的储存方式及所用的仓库、储罐、场地等应提前得到监理人的同意和确认。</w:t>
      </w:r>
    </w:p>
    <w:p w14:paraId="00129AF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承包人应对材料的种类、特性和检验状态进行标识，确保每批材料保持良好状态并能追溯到采购日期、供应商和相关的质量证明文件。</w:t>
      </w:r>
    </w:p>
    <w:p w14:paraId="2FDD5A5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在施工现场应建立原材料的进出场台帐、质量检验和质量跟踪台帐。其内容应包括进货日期、材料名称、品种、规格、数量、生产单位、供货单位、质量证明书编号、复试检验报告编号、检验结果和所用的工程部位等。</w:t>
      </w:r>
    </w:p>
    <w:p w14:paraId="3163983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 发包人提供的材料和工程设备</w:t>
      </w:r>
    </w:p>
    <w:p w14:paraId="4C604F4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5.2.1 项细化为：</w:t>
      </w:r>
    </w:p>
    <w:p w14:paraId="02DB2B5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5.2.1 为确保本项目的建设质量，发包人将按 4.3.8 款关于特殊分包人或供货人的规定，将本合同附件九《特殊材料设备供应一览表》（下称一览表）规定的材料设备通过招标方式选定材料设备供货人。材料设备供货人将按表列的价格向承包人提供材料设备。对于此类特殊材料的供货，应满足以下规定：</w:t>
      </w:r>
    </w:p>
    <w:p w14:paraId="5E6315D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 发包人按一览表约定的内容提供材料设备，并负责向承包人提供产品合格证明，对其真实性负责。但此项规定并不表明免除承包人检验材料设备质量的责任。</w:t>
      </w:r>
    </w:p>
    <w:p w14:paraId="5E43086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 工程开工后，承包人应根据进度计划向发包人提出本款规定的材料设备使用计划，由发包人按计划提供材料。</w:t>
      </w:r>
    </w:p>
    <w:p w14:paraId="57B8BE8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 发包人在所供材料设备到货前 24 小时，以书面形式通知承包人；到货时，由承包人派人清点，必要时，发包人可派人参加。</w:t>
      </w:r>
    </w:p>
    <w:p w14:paraId="345151E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 材料设备办理清点交接手续后，承包人承担产品的储存、保管责任。(5) 一览表约定的数量为暂定数量，发包人按承包人实际接收材料设备数量进行结算。</w:t>
      </w:r>
    </w:p>
    <w:p w14:paraId="159A836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 一览表约定的到货地点不一致时，发包人负责运达一览表指定地点；发包人采购单价与一览表材料设备单价不符，发包人仅承担价差（含税）。</w:t>
      </w:r>
    </w:p>
    <w:p w14:paraId="38D0FAF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(7) 发包人供应的材料设备使用前，由承包人负责检验或试验，品种、规格、型号或质量与一览表不符的，承包人可拒绝接收，发包人应负责运出施工场地并重新采购；品种、规格或型号与一览表不符但质量经检验合格的，经监理人同意，可调剂串换使用。若上述不符是属于承包人责任造成的，则因此而增加的相应费用由承包人承担。若上述不符是属于非承包人责任造成的，并因此引起承包人工期延误或费用增加，则由发包人负责赔偿。</w:t>
      </w:r>
    </w:p>
    <w:p w14:paraId="3E4B4CC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(8) 为恰当和正确地使用、安装和实施这些材料和工程设备所必需的但一览表中未列明的其他任何辅助性材料以及人工费应已经包含在承包人的合同总价中。</w:t>
      </w:r>
    </w:p>
    <w:p w14:paraId="77F61B5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(9) 发包人供应的材料设备款，发包人将在供应后一个至两个月内从承包人工程进度款中扣回。但为保证材料设备款在交工验收时得到全额扣回，发包人有权调整扣回时间及比例。</w:t>
      </w:r>
    </w:p>
    <w:p w14:paraId="7C44B9F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(10) 如发包人需采用任何从国（境）外进口材料和工程设备，且这些进口的材料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误，承包人应就此通知监理人，监理人在收到此类通知并与承包人适当协商之后应决定：依据第 11.3 款规定承包人是否可以延长工期，承包人由此而发生的额外费用是否增加到合同价中。</w:t>
      </w:r>
    </w:p>
    <w:p w14:paraId="75A7543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没有发包人的书面同意，承包人不得自行采购 5.2.1 款规定的材料和工程设备，否则监理人、发包人将拒绝使用这些材料和工程设备，承包人应赔偿由此带来的一切损失。无论出现任何情况，承包人均不得售卖发包人供应的材料和工程设备，否则一经查实，发包人有权对承包人处以售卖材料或工程设备金额两倍的违约金。</w:t>
      </w:r>
    </w:p>
    <w:p w14:paraId="78D1209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5.4 禁止使用不合格的材料和工程设备</w:t>
      </w:r>
    </w:p>
    <w:p w14:paraId="0BF0600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在 5.4.2 项末尾增加：承包人还应承担由此带来的一切损失。</w:t>
      </w:r>
    </w:p>
    <w:p w14:paraId="56F7874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本条补充第 5.5 款、第 5.6 款、第 5.7 款、第 5.8 款：</w:t>
      </w:r>
    </w:p>
    <w:p w14:paraId="31E4742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 代用材料的使用</w:t>
      </w:r>
    </w:p>
    <w:p w14:paraId="54913DF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5.5.1 承包人需要使用代用材料时，应经监理人认可并由发包人同意后才能使用，由此增减的合同价款双方以书面形式议定。承包人申请使用代用材料，仅限于出现下列情况时：</w:t>
      </w:r>
    </w:p>
    <w:p w14:paraId="18AA206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(1)市场上无供应或在一定时间内突然供应短缺；</w:t>
      </w:r>
    </w:p>
    <w:p w14:paraId="1EA3EB1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(2)政府或有关管理机构的后继规章、规定禁止使用；</w:t>
      </w:r>
    </w:p>
    <w:p w14:paraId="572EF2F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(3)发包人或监理人要求使用其他替代品；或者承包人提出，发包人和监理人批准使用其他替代品；</w:t>
      </w:r>
    </w:p>
    <w:p w14:paraId="361045C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(4)其他原因导致使用替代品成为必要的。</w:t>
      </w:r>
    </w:p>
    <w:p w14:paraId="12D5E2E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如果使用代用材料，承包人应在使用前至少 14 天，以书面形式通知监理人并提交下列文件：</w:t>
      </w:r>
    </w:p>
    <w:p w14:paraId="0BD2D1A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(1)拟采用的替代品的名称、数量、规格、型号、品牌、性能、价格及其他必要的详细资料；</w:t>
      </w:r>
    </w:p>
    <w:p w14:paraId="055F2C1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(2)替代品使用的工程部位；</w:t>
      </w:r>
    </w:p>
    <w:p w14:paraId="2B78BA6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(3)采用替代品的理由和原因申述；</w:t>
      </w:r>
    </w:p>
    <w:p w14:paraId="55DDE2A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(4)替代品与合同中约定的产品之间的差异以及使用替代品后可能对工程产生任何方面的影响；</w:t>
      </w:r>
    </w:p>
    <w:p w14:paraId="4A998C4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(5)价格上的差异；</w:t>
      </w:r>
    </w:p>
    <w:p w14:paraId="7EDE54F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(6)监理人为作出适当的决定而随时要求承包人提供的任何其他文件。</w:t>
      </w:r>
    </w:p>
    <w:p w14:paraId="61B1439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监理人在收到此类通知及上述文件后，应在 14 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14:paraId="68675AD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5.5.2 机制砂的使用</w:t>
      </w:r>
    </w:p>
    <w:p w14:paraId="5A165EB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机制砂应满足设计文件和技术规范的要求，并按照国家、省有关文件的规定使用。</w:t>
      </w:r>
    </w:p>
    <w:p w14:paraId="4B2BEC4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 材料、工程设备和工程的试验和检验</w:t>
      </w:r>
    </w:p>
    <w:p w14:paraId="5CC58C4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5.6.1承包人应按合同约定和技术标准，以及试验人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14:paraId="7E8F24F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5.6.2承包人应于工程开工前完成工地试验室建设和资质认证工作，工地试验室建设、相关配置及管理应满足标准化要求，并按发包人发布的项目管理制度执行。</w:t>
      </w:r>
    </w:p>
    <w:p w14:paraId="1B7A240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5.6.3承包人工地试验室资质范围以外的试验和检验项目，经监理人和发包人同意可对外委托具有相应资质的检测试验机构进行试验，但承包人应将检测试验机构有关资料报备监理人和试验人。</w:t>
      </w:r>
    </w:p>
    <w:p w14:paraId="15B5AC6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5.6.4 承包人根据合同约定或监理人指示进行的现场材料试验，应由承包人提供试验场所、试验人员、试验设备器材以及其他必要的试验条件。</w:t>
      </w:r>
    </w:p>
    <w:p w14:paraId="5D2C415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5.6.5 如有必要，发包人、监理人、试验人可以免费使用承包人的试验场所、试验设备器材以及其他试验条件，进行以工程质量检查为目的的复核性材料试验，承包人应予以协助。</w:t>
      </w:r>
    </w:p>
    <w:p w14:paraId="5DAB81C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5.6.6 承包人的试验和检验和外委试验应严格执行专用项目管理制度的相关规定和要求。 由承包人、监理人、试验人三方共同委外的检查项目的检测费用由承包人承担。</w:t>
      </w:r>
    </w:p>
    <w:p w14:paraId="39919B3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5.6.7 承包人应根据材料、工程设备进场计划和工程施工计划，制订相应试验和检验计划，按计划开展试验检测工作，并将上述计划报送监理人和和试验人。</w:t>
      </w:r>
    </w:p>
    <w:p w14:paraId="1CCA5CA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5.6.8 承包人的试验和检验过程须接受监理人的旁站监督；承包人应接受试验检测中心的监督指导，并按试验检测中心制定的管理制度开展试验检测工作。</w:t>
      </w:r>
    </w:p>
    <w:p w14:paraId="11A9080C">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5.6.9 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 </w:t>
      </w:r>
    </w:p>
    <w:p w14:paraId="37DABD8F">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5.6.10</w:t>
      </w:r>
      <w:r>
        <w:rPr>
          <w:rFonts w:hint="eastAsia" w:ascii="宋体" w:hAnsi="宋体" w:cs="宋体"/>
          <w:color w:val="auto"/>
          <w:sz w:val="24"/>
          <w:highlight w:val="none"/>
        </w:rPr>
        <w:t xml:space="preserve"> </w:t>
      </w:r>
      <w:r>
        <w:rPr>
          <w:rFonts w:ascii="宋体" w:hAnsi="宋体" w:cs="宋体"/>
          <w:color w:val="auto"/>
          <w:sz w:val="24"/>
          <w:highlight w:val="none"/>
        </w:rPr>
        <w:t>发包人、监理人和相关政府部门或发包人认可的其他第三方机构有权对工程的所有部位及其施工工艺、工程设备和材料进行检查和检验。承包人应为上述人员的检查和检验提供方便，包括到施工现场，或制造、加工地点，或其他地方进行察看和查阅施工原始记录。承包人还应按发包人、监理人、试验人和发包人认可的人员指示，进行施工现场取样试验、工程复核测量和设备性能检测，提供试验样品，提交试验报告和测量成果，完成上述人员要求进行的其他检查和检验工作。</w:t>
      </w:r>
    </w:p>
    <w:p w14:paraId="4E2A4D49">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发包人、监理人、试验人和发包人认可的相关政府部门或其他第三方机构的检查和检验，不免除承包人合同约定的责任。 </w:t>
      </w:r>
    </w:p>
    <w:p w14:paraId="45B3B82C">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5.7标准试验</w:t>
      </w:r>
    </w:p>
    <w:p w14:paraId="1EC220F6">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5.7.1对于混凝土配合比、标准干密度等标准试验，承包人应于相应分项工程开工前完成上述试验，并将试验结果报监理人，同时由试验检测中心进行相应的平行试验检验，履行审批程序后方可用于工程施工控制。 </w:t>
      </w:r>
    </w:p>
    <w:p w14:paraId="1D461D51">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5.7.2 当用于工程施工的原材料发生变化时，承包人应重新进行上述标准试验，并履行平行试验和审批程序。 </w:t>
      </w:r>
    </w:p>
    <w:p w14:paraId="708B13A8">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5.8 工艺试验 </w:t>
      </w:r>
    </w:p>
    <w:p w14:paraId="79A2A20B">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5.8.1 承包人应按合同约定或监理人指示进行现场工艺试验。对大型的现场工艺试验，应编制工艺试验方案和计划，报送监理人审批后实施。 </w:t>
      </w:r>
    </w:p>
    <w:p w14:paraId="476E04CA">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5.8.2 对于特殊工艺质量检验，承包人应制定相应的检验方案和工艺，经评委评审和发包人审核确认后应用于现场工程质量控制和检验。</w:t>
      </w:r>
    </w:p>
    <w:p w14:paraId="62CDFB9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施工设备和临时设施</w:t>
      </w:r>
    </w:p>
    <w:p w14:paraId="586B1BA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承包人提供的施工设备和临时设施</w:t>
      </w:r>
    </w:p>
    <w:p w14:paraId="4FC9E4D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6.1.1 项补充：</w:t>
      </w:r>
    </w:p>
    <w:p w14:paraId="13C4326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投标文件承诺的主要机械设备（含检验、试验设备）必须按现场施工需要到位；承包人不管何种原因需推迟设备到位时间或改变到位设备的数量、型号等，均须事先经发包人和监理人的同意并将变更情况书面报监理人备案，违反上述规定视为承包人违约并按 22.1 款约定处理。</w:t>
      </w:r>
    </w:p>
    <w:p w14:paraId="31771C2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6.1.3 项：</w:t>
      </w:r>
    </w:p>
    <w:p w14:paraId="502B9D1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进场后，根据施工需要配备龙门吊、塔吊、架桥机等特种设备的，须提供厂家生产许可证、产品出厂合格证、设计计算书、使用说明书及图纸等资料；对于架桥机还应提供设备出厂到拟投入使用前的使用履历，包括有无发生过设备事故、有无改装以及有无经过大修；架桥机应明确其使用人及权属人。承包人在特种设备使用前应制定安装拆除方案及生产安全事故应急预案，由具有安装（拆除）资质的单位进行安装（拆除），并向特种设备所在地质量技术监督部门办理告知等一系列手续，提供验收合格证、当地使用登记证等资料。加强特种设备日常维护保养和自行检查制度，对作业人员进行相应的教育培训、安全技术交底。特种作业人员必须持证上岗。</w:t>
      </w:r>
    </w:p>
    <w:p w14:paraId="38C8D96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 要求承包人增加或更换施工设备</w:t>
      </w:r>
    </w:p>
    <w:p w14:paraId="5B26DED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在本款后补充：</w:t>
      </w:r>
    </w:p>
    <w:p w14:paraId="17401C6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承包人在接到上述指令 14 天内未按要求执行，将按第 22.1 款视为承包人违约。</w:t>
      </w:r>
    </w:p>
    <w:p w14:paraId="286F583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6.5 款：</w:t>
      </w:r>
    </w:p>
    <w:p w14:paraId="5200786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 信息化管理</w:t>
      </w:r>
    </w:p>
    <w:p w14:paraId="7815324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6.5.1 计算机系统配置</w:t>
      </w:r>
    </w:p>
    <w:p w14:paraId="4ED4827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发包人采用信息化手段对本项目进行管理。承包人的计算机及网络配置应满足项目信息化管理和发包人的有关要求。</w:t>
      </w:r>
    </w:p>
    <w:p w14:paraId="43B5B54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承包人应确保有专用计算机和一条专用网络连接线，同时应充分考虑可视化管理的手段，网络速度不小于 100Mbps。</w:t>
      </w:r>
    </w:p>
    <w:p w14:paraId="5153744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项目管理系统专用计算机的管理要求：</w:t>
      </w:r>
    </w:p>
    <w:p w14:paraId="0730EE8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(1)项目管理系统专用的计算机应由熟悉计算机操作的管理人员专人管理，管理人员必须参加发包人举办的培训班。</w:t>
      </w:r>
    </w:p>
    <w:p w14:paraId="3F4BC6D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(2)严禁在专用的计算机上安装软驱、光驱或进行登录 Internet 网及其局域网的操作。</w:t>
      </w:r>
    </w:p>
    <w:p w14:paraId="479720D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(3)严禁在专用计算机上安装或卸载软件。</w:t>
      </w:r>
    </w:p>
    <w:p w14:paraId="20752B4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(4)本网络系统对操作者进行了权限设置，任何操作员的违规操作将按照有关规定处理。</w:t>
      </w:r>
    </w:p>
    <w:p w14:paraId="7C7A0E1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专用计算机访问登录服务器前，操作员应准备好所有要传送的资料，登录后，应立即进行传送的操作，以避免长时间占用通讯通道。严禁登录占用通讯通道后才开始整理资料或编制文档，若有此情况将视作霸用通讯通道处以经济惩罚。</w:t>
      </w:r>
    </w:p>
    <w:p w14:paraId="71FB055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(6)承包人应安排专人配合发包人将项目信息管理系统与广东省交通运输厅建设管养平台进行对接，保证网络畅通。</w:t>
      </w:r>
    </w:p>
    <w:p w14:paraId="36826F0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7.交通运输</w:t>
      </w:r>
    </w:p>
    <w:p w14:paraId="1FC7AFD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场内施工道路</w:t>
      </w:r>
    </w:p>
    <w:p w14:paraId="455F59B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7.2.3 项：</w:t>
      </w:r>
    </w:p>
    <w:p w14:paraId="6CE119B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负责对本标段内施工便道进行建设和维护，包括便道硬化及便桥加固等，并无条件允许发包人、监理人、试验人、本工程其他承包人及供应商使用。如该便道因各种原因损坏而未能及时修复，影响使用的，若发包人与承包人协调无果时，发包人有权委托第三方进行修复，所发生的费用从承包人工程款中扣回，承包人应无条件接受。</w:t>
      </w:r>
    </w:p>
    <w:p w14:paraId="52AA9F3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7.2.4 项：</w:t>
      </w:r>
    </w:p>
    <w:p w14:paraId="73B7327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7.2.4 施工便道要求：</w:t>
      </w:r>
    </w:p>
    <w:p w14:paraId="64491C8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无条件按发包人要求的时间节点拉通施工便道，在实施便道工程前，应做好现场调查，结合工点施工组织方案，编制施工便道专项方案。承包人在取弃土前，应对取弃土场的位置、容量等进行勘测复查，编制取弃土场专项方案。具体方案需符合《广东省交通运输厅关于进一步加强公路施工便道取弃土场的设计和施工管理工作的通知》、《广东省高速公路工程施工安全标准化指南》和《广东省公路工程施工标准化指南》的要求。</w:t>
      </w:r>
    </w:p>
    <w:p w14:paraId="736CF46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场外交通</w:t>
      </w:r>
    </w:p>
    <w:p w14:paraId="1FE018A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7.3.3 项：</w:t>
      </w:r>
    </w:p>
    <w:p w14:paraId="674E590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为保证道路交通安全及运输畅通，承包人应采取以下措施：</w:t>
      </w:r>
    </w:p>
    <w:p w14:paraId="5D3B9C5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（a）承包人必须在与市政、交通和交警等部门的协商下采取足够的交通引导措施，以防止施工期间出现道路堵塞；</w:t>
      </w:r>
    </w:p>
    <w:p w14:paraId="687206E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（b）承包人制定施工材料运输计划时，应尽量避开现有道路交通高峰时的运输活动。</w:t>
      </w:r>
    </w:p>
    <w:p w14:paraId="61ED784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（c）承包人须编制交通组织方案，报相关部门审查批复，必要时组织评审，费用由承包人负责（合同另有约定除外）。</w:t>
      </w:r>
    </w:p>
    <w:p w14:paraId="52A9447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8．测量放线</w:t>
      </w:r>
    </w:p>
    <w:p w14:paraId="0244F09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 施工测量</w:t>
      </w:r>
    </w:p>
    <w:p w14:paraId="3A0EBA0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8.2.3 项：</w:t>
      </w:r>
    </w:p>
    <w:p w14:paraId="21FFE8E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地面线定测误差引起土石方数量变化原则上不予调整。</w:t>
      </w:r>
    </w:p>
    <w:p w14:paraId="4BAECA0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 施工安全、治安保卫和环境保护</w:t>
      </w:r>
    </w:p>
    <w:p w14:paraId="6209E65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 承包人的施工安全责任</w:t>
      </w:r>
    </w:p>
    <w:p w14:paraId="2AE8C83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9.2.1 项补充：</w:t>
      </w:r>
    </w:p>
    <w:p w14:paraId="79042C4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承包人应按《广东省高速公路工程施工安全标准化指南》的规定履行安全职责。本项目需要编制专项施工方案的工程包括但不限于以下内容补充第（11）</w:t>
      </w:r>
      <w:r>
        <w:rPr>
          <w:rFonts w:hint="eastAsia" w:ascii="宋体" w:hAnsi="宋体" w:cs="宋体"/>
          <w:color w:val="auto"/>
          <w:sz w:val="24"/>
          <w:highlight w:val="none"/>
          <w:lang w:eastAsia="zh-CN"/>
        </w:rPr>
        <w:t>～</w:t>
      </w:r>
      <w:r>
        <w:rPr>
          <w:rFonts w:hint="eastAsia" w:ascii="宋体" w:hAnsi="宋体" w:cs="宋体"/>
          <w:color w:val="auto"/>
          <w:sz w:val="24"/>
          <w:highlight w:val="none"/>
        </w:rPr>
        <w:t>（14）目：</w:t>
      </w:r>
    </w:p>
    <w:p w14:paraId="3395BA3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（11）旧桥涵（含分离立交、匝道桥、现浇、连续梁）的拆除与加固；</w:t>
      </w:r>
    </w:p>
    <w:p w14:paraId="480C69F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（12）纵断面调整路段的路基路面施工；</w:t>
      </w:r>
    </w:p>
    <w:p w14:paraId="0EA16F4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（13）旧收费雨棚及收费岛拆除，旧门架式监控或标志设施拆除；</w:t>
      </w:r>
    </w:p>
    <w:p w14:paraId="630BE4F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（14）其他危险性较大的工程。</w:t>
      </w:r>
    </w:p>
    <w:p w14:paraId="21F4E77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9.2.2 项补充：</w:t>
      </w:r>
    </w:p>
    <w:p w14:paraId="40D9109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成的事故责任和由此发生的费用。</w:t>
      </w:r>
    </w:p>
    <w:p w14:paraId="7FEC85B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9.2.3 项补充：</w:t>
      </w:r>
    </w:p>
    <w:p w14:paraId="2F4E443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9.2.3.1 承包人应贯彻执行国家有关安全生产、职业健康与环境保护的法律、法规、工程建设强制性标准及项目所在地的有关规定，以及发包人制定的管理制度，建立有效的安全生产、职业健康、环境保护管理体系，用于规范项目的安全生产、职业健康和环境保护管理工作。</w:t>
      </w:r>
    </w:p>
    <w:p w14:paraId="33E2C23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9.2.3.2 项目的安全生产、职业健康和环境保护管理，应接受政府主管部门及其授权委托机构、发包人及其所委托的监理机构的监督、检查、协调与指导。</w:t>
      </w:r>
    </w:p>
    <w:p w14:paraId="5144CE5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9.2.3.3 承包人应建立健全并落实安全生产“一岗双责”责任制和全员安全生产责任制，确保管生产同时管安全，实现全员全过程安全管理。</w:t>
      </w:r>
    </w:p>
    <w:p w14:paraId="287031F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9.2.3.4 承包人应深入开展以岗位达标、专业达标和项目达标为内容的安全生产标准化建设。重点开展公路水运工程“平安工地”建设管理活动，按照《广东省交通运输厅关于公路水运工程平安工地建设的管理办法》，开展平安工地建设，经常性的开展安全生产自查和安全隐患排查，每月至少组织一次全面的自我考核评价，并将考核评价结果向监理人和发包人备案。</w:t>
      </w:r>
    </w:p>
    <w:p w14:paraId="6F9450D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9.2.4 项补充：</w:t>
      </w:r>
    </w:p>
    <w:p w14:paraId="7F8ED71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承包人必须重视应急管理，在应急管理方面要做好但不限于以下工作：</w:t>
      </w:r>
    </w:p>
    <w:p w14:paraId="29CEC2E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（1）建立和完善应急组织体系。</w:t>
      </w:r>
    </w:p>
    <w:p w14:paraId="4B4EC4F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14:paraId="0859BE2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（3）承包人应经常组织应急预案演练，不断完善应急预案，提升应急管理水平。发生突发事件时，迅速启动应急预案，开展各项应急处置工作。</w:t>
      </w:r>
    </w:p>
    <w:p w14:paraId="521F14E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发包人不另行支付。</w:t>
      </w:r>
    </w:p>
    <w:p w14:paraId="7F89251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第9.2.5项细化为：</w:t>
      </w:r>
    </w:p>
    <w:p w14:paraId="034CEAC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国家、省和广东省交通运输厅关于印发《广东省交通运输厅关于公路水运建设工程安全生产费用的管理办法》的通知等相关规定要求，本合同设立安全生产费。安全生产费按计费基数（工程量清单第100章至第900章费用之和，并扣除安全生产费本身和机电工程设备购置费）的1.5%（不含新建、改建、扩建以及拆除、加固等建设工程专项交通安全维护费）（房建工程按</w:t>
      </w:r>
      <w:r>
        <w:rPr>
          <w:rFonts w:hint="eastAsia" w:ascii="宋体" w:hAnsi="宋体" w:cs="宋体"/>
          <w:color w:val="auto"/>
          <w:sz w:val="24"/>
          <w:highlight w:val="none"/>
          <w:u w:val="single"/>
        </w:rPr>
        <w:t>2</w:t>
      </w:r>
      <w:r>
        <w:rPr>
          <w:rFonts w:hint="eastAsia" w:ascii="宋体" w:hAnsi="宋体" w:cs="宋体"/>
          <w:color w:val="auto"/>
          <w:sz w:val="24"/>
          <w:highlight w:val="none"/>
        </w:rPr>
        <w:t>%）以固定金额的形式计入工程量清单支付子目102-3中。</w:t>
      </w:r>
    </w:p>
    <w:p w14:paraId="4C63589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（1）安全生产费用预付款比例及扣回方式</w:t>
      </w:r>
      <w:r>
        <w:rPr>
          <w:rFonts w:hint="eastAsia" w:ascii="宋体" w:hAnsi="宋体" w:cs="宋体"/>
          <w:color w:val="auto"/>
          <w:sz w:val="24"/>
          <w:highlight w:val="none"/>
          <w:u w:val="single"/>
        </w:rPr>
        <w:t xml:space="preserve">： / </w:t>
      </w:r>
      <w:r>
        <w:rPr>
          <w:rFonts w:hint="eastAsia" w:ascii="宋体" w:hAnsi="宋体" w:cs="宋体"/>
          <w:i/>
          <w:iCs/>
          <w:color w:val="auto"/>
          <w:sz w:val="24"/>
          <w:highlight w:val="none"/>
          <w:u w:val="single"/>
        </w:rPr>
        <w:t xml:space="preserve"> </w:t>
      </w:r>
      <w:r>
        <w:rPr>
          <w:rFonts w:hint="eastAsia" w:ascii="宋体" w:hAnsi="宋体" w:cs="宋体"/>
          <w:color w:val="auto"/>
          <w:sz w:val="24"/>
          <w:highlight w:val="none"/>
          <w:u w:val="single"/>
        </w:rPr>
        <w:t>。</w:t>
      </w:r>
    </w:p>
    <w:p w14:paraId="7AC98C0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施工准备阶段，承包人应根据安全生产费总额及广东省交通运输厅关于印发《广东省交通运输厅关于公路水运建设工程安全生产费用的管理办法》的通知规定的安全生产费用清单附录申报子目、价格及数量（包括购买安全生产责任保险），由监理单位审核后报发包人批准（或备案）。</w:t>
      </w:r>
    </w:p>
    <w:p w14:paraId="482A106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（3）承包人应根据每一计量周期安全生产投入情况及安全生产费用清单按实计量支付， 经发包人同意， 安全生产经费各子项经费可相互调剂使用， 但最终支付总额不超过安全生产费总额（发生设计变更的，以按合同约定调整后的总额为准）。</w:t>
      </w:r>
    </w:p>
    <w:p w14:paraId="5F817AC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（4）安全生产费用应专门用于完善和改进工程项目安全作业环境、安全施工措施和条件，严禁挪用。</w:t>
      </w:r>
    </w:p>
    <w:p w14:paraId="6337547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（5）承包人应根据实际需要使用安全生产费用，因设计变更造成承包人安全生产费用实际投入总额与合同约定不一致的，差额部分的安全生产费用按照批复变更金额和规定提取比例同时调整。</w:t>
      </w:r>
    </w:p>
    <w:p w14:paraId="0C33395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（6）非因设计变更造成承包人安全生产费用实际投入总额与合同约定不一致的，承包人安全生产费用实际支出超过合同约定安全生产费用总额的，发包人不再另行支付，超出部分由承包人自行承担。</w:t>
      </w:r>
    </w:p>
    <w:p w14:paraId="5BB0A77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未按照合同约定落实安全生产措施的，发包人可以责令其暂停施工或暂停支付安全生产费用，并要求监理人督促整改，直至承包人完成整改。若承包人未能在规定期限内完成对施工现场事故隐患整改的，发包人可以直接委托其他单位代为整改，相关费用在支付给承包人的费用中扣除，并由发包人直接支付给受委托单位。</w:t>
      </w:r>
    </w:p>
    <w:p w14:paraId="1213B2D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（8）工程交工验收后，安全生产费用实际投入总额少于工程量清单中安全生产费用总额的，经监理人核实后，未计量部分（除变更费用外）原则上不再支付。</w:t>
      </w:r>
    </w:p>
    <w:p w14:paraId="7C37B8F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9.2.6 项细化为:</w:t>
      </w:r>
    </w:p>
    <w:p w14:paraId="14076D4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对其分包施工现场的安全生产负总责。分包合同中应当明确各自的安全生产方面的权利、义务，承包人和分包人对分包工程的安全生产承担连带责任。分包单位安全生产条件和措施投入不足的应当由承包人负责配足，其费用由承包人承担。</w:t>
      </w:r>
    </w:p>
    <w:p w14:paraId="5242EA5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9.2.8（4）目细化为：</w:t>
      </w:r>
    </w:p>
    <w:p w14:paraId="726FA1C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合同各单位工程的施工特点，严格执行《公路水运工程安全生产监督管理办法》、《公路工程施工安全技术规范》等有关规定。承包人须成立安全生产组织机构和独立的安全生产管理部门，配备安全专职副经理和专职安全生产管理人员，明确安全生产第一责任人、直接责任人及其职责，如责任人和专职安全管理人员发生变动，必须立即书面通知监理人和发包人。</w:t>
      </w:r>
    </w:p>
    <w:p w14:paraId="67D23A5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在本款补充第 9.2.12 项～第 9.2.16 项：</w:t>
      </w:r>
    </w:p>
    <w:p w14:paraId="163F91F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9.2.12 涉水及船舶安全管理</w:t>
      </w:r>
    </w:p>
    <w:p w14:paraId="4DC7092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根据《中华人民共和国水上水下作业和活动通航安全管理规定》的规定及《中华人民共和国安全生产法》的要求，建立健全涉水工程水上交通安全制度和管理体系，严格履行工程建设期水上交通安全有关职责。</w:t>
      </w:r>
    </w:p>
    <w:p w14:paraId="4F4037A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遵守属地政府和行业主管部门对作业船舶、作业噪音以及环境保护和安全生产文明施工等的管理规定，所有进入作业区域的船只必须满足航区要求，并按规定办理有关手续，因手续不全引起的一切责任均由承包人负责。有关要求包括但不限于：</w:t>
      </w:r>
    </w:p>
    <w:p w14:paraId="7A066B8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①船舶必须持有效的船舶检验证书（包括但不限于船舶国籍证书、船舶登记证书等）；</w:t>
      </w:r>
    </w:p>
    <w:p w14:paraId="028CF25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②船舶配备的有关航行安全设施设备必须具有船舶检验部门签发的有效技术证书，并在有效期内；</w:t>
      </w:r>
    </w:p>
    <w:p w14:paraId="08EC806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③船舶应配备不低于船舶证书上要求的最低配员数量的合格船员；</w:t>
      </w:r>
    </w:p>
    <w:p w14:paraId="6371D1E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④交通船应具有载客证书或临时载客证书；</w:t>
      </w:r>
    </w:p>
    <w:p w14:paraId="7CD51DC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⑤所有船舶必须配备 AIS、VHF 等设备；</w:t>
      </w:r>
    </w:p>
    <w:p w14:paraId="096B425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⑥承包人应采取有效措施维护施工现场通航安全及现有航道的航行安全；</w:t>
      </w:r>
    </w:p>
    <w:p w14:paraId="5B5D38E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⑦为钢结构及大型预制构件运输而设置的临时航道的设计必须取得有关行业主管部门的批准，并在完善相关许可手续后，方可实施；</w:t>
      </w:r>
    </w:p>
    <w:p w14:paraId="320F7CD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⑧承包人须与船舶所有人签订安全协议；</w:t>
      </w:r>
    </w:p>
    <w:p w14:paraId="62FDA64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承包人应承担因此产生的一切费用，并保障发包人免于承担相关责任。</w:t>
      </w:r>
    </w:p>
    <w:p w14:paraId="2299DCB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9.2.13 施工安全风险评估</w:t>
      </w:r>
    </w:p>
    <w:p w14:paraId="4A58F1A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必须加强对重大危险源的管理，施工阶段风险源辨识与评价依据《公路桥梁和隧道工程施工安全风险评估指南》（试行）及《交通运输部关于发布高速公路路堑高边坡工程施工安全风险评估指南（试行）的通知》操作。承包人在工程开工前，必须进行重大危险源识别，建立危险源清单，对重大危险源建立管理方案和档案，过程中对危险源实行动态管理。</w:t>
      </w:r>
    </w:p>
    <w:p w14:paraId="41B1C10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严格按照交通运输部《关于开展公路桥梁和隧道工程施工安全风险评估试行工作的通知》及《交通运输部关于发布高速公路路堑高边坡工程施工安全风险评估指南（试行）的通知》的要求，在施工期间开展安全风险评估工作，相关费用按照《广东省交通运输厅关于公路水运建设工程安全生产费用的管理办法》中安全生产费用使用范围的规定，公路桥梁和隧道工程、高速公路路堑高边坡施工安全风险评估工作费用在项目安全生产费用中列支，发包人不另行支付。</w:t>
      </w:r>
    </w:p>
    <w:p w14:paraId="720CD81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中华人民共和国水上水下作业和活动通航安全管理规定》的规定及按照中华人民共和国海事局《中华人民共和国海事局水上水下活动通航安全影响论证与评估管理办法》的规定，在申请海事管理机构水上水下活动许可之前，开展涉水工程通航安全评估，并通过海事管理机构的审核。</w:t>
      </w:r>
    </w:p>
    <w:p w14:paraId="2111EEA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9.2.14 施工作业人员的安全教育培训</w:t>
      </w:r>
    </w:p>
    <w:p w14:paraId="775E908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70005B2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9.2.15施工防护标准化</w:t>
      </w:r>
    </w:p>
    <w:p w14:paraId="2ECFDB9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施工安全防护设施技术指南》要求推进施工防护设施标准化管理，积极运用模块化、装配化、专业化的防护设施，着力提升防护设施的本质安全水平和使用效能，加强安全防护设施的验收、使用、维护等管理，提升现场施工安全防护保障能力。</w:t>
      </w:r>
    </w:p>
    <w:p w14:paraId="71DB8ED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9.2.16 加强路堑边坡管理</w:t>
      </w:r>
    </w:p>
    <w:p w14:paraId="1148C92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执行路堑边坡开工报告审查制度。对纳入项目重点管理的路堑边坡，应严格执行开工报告审查制度，重点审查地质资料是否满足相关规范和设计要求、设计方案是否合理可行、施工准备工作（施工机械、材料、队伍等）是否到位等。对具备开工条件的边坡，施工单位应上报开工报告，经监理单位审查同意后方可施工。</w:t>
      </w:r>
    </w:p>
    <w:p w14:paraId="060124D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强化施工技术交底与质量控制。边坡施工前必须开展各工序施工工艺与质量控制的技术交底；严格按照设计的坡形、坡率开挖边坡，杜绝坡面超挖或欠挖现象；严控锚杆、锚索等工程的压浆工艺，确保压浆质量和锚固力。</w:t>
      </w:r>
    </w:p>
    <w:p w14:paraId="45CCD27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实行边坡首件验收制。路堑边坡首件验收由项目监理单位组织，业主参与，选取先行施工、有代表性的土质和石质两类边坡分别进行首件验收，明确有关管理程序、质量标准、监管措施等，经验收合格后方可开展大面积施工。</w:t>
      </w:r>
    </w:p>
    <w:p w14:paraId="1D9A21F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（4）加强边坡施工过程管理及其他具体要求按《广东省交通运输厅关于切实加强我省高速公路路堑边坡管理的通知》执行。</w:t>
      </w:r>
    </w:p>
    <w:p w14:paraId="592D7AA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 环境保护</w:t>
      </w:r>
    </w:p>
    <w:p w14:paraId="35FA7F3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9.4.7（1）目补充：</w:t>
      </w:r>
    </w:p>
    <w:p w14:paraId="4741883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施工噪声和施工时间应满足国家及地方环境保护法律法规的规定和要求，不得影响周边单位和居民正常的生产生活。施工单位应使用经环保主管部门信息编码登记且符合排放标准的非道路移动机械。</w:t>
      </w:r>
    </w:p>
    <w:p w14:paraId="63D1DD6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9.4.7（2）目补充：</w:t>
      </w:r>
    </w:p>
    <w:p w14:paraId="130C036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e.隧道出渣、钻孔灌注桩施工时排出的泥浆等施工废弃物要妥善处理，弃置形式及地点须经相关主管部门的批准，严禁向海洋、河流、荒地或市政管道等排放。</w:t>
      </w:r>
    </w:p>
    <w:p w14:paraId="1E413C2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f.承包人必须依照《广东省交通运输厅关于加强公路水运建设项目施工现场扬尘管理的通知》，加强施工现场管理，防止工程周边扬尘污染，运输车辆经冲洗干净后方可驶出建设工地。</w:t>
      </w:r>
    </w:p>
    <w:p w14:paraId="1AE4F1E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g.承包人应严格执行《广东省重污染天气交通建设工程施工扬尘控制应急工作方案》有关规定，城市区域内交通建设工程要切实做到“六个 100%”：施工现场 100%围蔽，工地砂土 100%覆盖，工地路面 100%硬地化，拆除工程 100%洒水压尘，出工地车辆100%冲净车轮车身，暂不开发的场地 100%绿化。</w:t>
      </w:r>
    </w:p>
    <w:p w14:paraId="62D8E9F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9.4.10 项末补充：</w:t>
      </w:r>
    </w:p>
    <w:p w14:paraId="45BB3B8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广东省国土资源厅关于印发《非农建设占用水田耕作层剥离再利用工作指引》的通知的要求，本项目按照《耕作层土壤剥离利用技术规范》（TD/T1048---2016）对占用水田耕作层进行剥离再利用，承包人应积极配合。发包人将根据相关政策及地方政府制定的实施方案，推进本项目占用水田耕作层剥离工作，相关费用由发包人承担。</w:t>
      </w:r>
    </w:p>
    <w:p w14:paraId="491B0B8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 9.4 款下增加 9.4.12～9.4.17 项：</w:t>
      </w:r>
    </w:p>
    <w:p w14:paraId="11AD26E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9.4.12 承包人应落实环境保护及水土保持的责任人，严格按照《广东省水利厅广东省交通运输厅关于进一步加强交通建设项目水土保持工作的通知》的要求开展水土保持工作。自觉接受监理人的环保及水土保持教育，落实实施施工场地符合相关环保要求布设；施工组织设计应按“水土保持方案报告书”有关要求制定施工中的水保措施，认真做好项目实施过程及工程结束后的水土保持的防御措施，做好有关水土保持的资料的记录。各类废弃物统一收集处理，施工临时弃渣堆放应做好水土保持措施。</w:t>
      </w:r>
    </w:p>
    <w:p w14:paraId="1AFB5AD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9.4.13 承包人依法取得砍伐许可后方可按照砍伐许可的面积、株数、树种进行砍伐，并注意保护野生动植物；施工结束后，对施工期占用的施工便道、料场、拌和场及施工场地等临时用地，按“破坏一处，恢复一处”的原则，进行全面恢复。施工便道、各种料场、预制场等的临时占地应充分利用荒地、废弃地、低覆盖草地和裸地，不应占压高覆盖草地、林地、基本农田，并采取有效措施防止污染。</w:t>
      </w:r>
    </w:p>
    <w:p w14:paraId="444A495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9.4.14 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14:paraId="7970BC2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9.4.15 除合同有另外规定外，以上工作均视为承包人已经在合同报价中计入其影响而可能发生的一切费用，对承包人采取的一切措施，发包人和监理人有权监督，如果承包人未能对上述事项采取各种必要的措施而导致或发生与此有关的违约金、索赔、损失赔偿、诉讼费用以及其他一切责任均由承包人负责。</w:t>
      </w:r>
    </w:p>
    <w:p w14:paraId="3261D3C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9.4.16 承包人应严格执行《广东省公路工程施工标准化指南》关于环境保护的相关要求。</w:t>
      </w:r>
    </w:p>
    <w:p w14:paraId="2CD0C1C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9.4.17 文明环保施工价款</w:t>
      </w:r>
    </w:p>
    <w:p w14:paraId="0C4F0FC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为督促承包人在施工过程中，做到文明施工，加强环境保护、水土保持等工作，本合同设立文明、环保施工价款。该金额按技术规范 100 章规定的方式在工程量清单中单列。承包人获得支付的额度取决于其施工环保情况及相关检查评比中的名次。有关评比方案发包人将在承包人进场后予以制定。</w:t>
      </w:r>
    </w:p>
    <w:p w14:paraId="5007AE3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 进度计划</w:t>
      </w:r>
    </w:p>
    <w:p w14:paraId="6789DB4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合同进度计划</w:t>
      </w:r>
    </w:p>
    <w:p w14:paraId="5B0427A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包括：按照关键线路网络图和主要工作横道图两种形式分别编绘合同进度计划，列出各主要工程项目的计划开工、完工时间，并应包括每个阶段预计完成的工作量和形象进度。计划中应包括工程的施工时间、方法和顺序，资源的安排，材料、设备及人员的获得和运输等。</w:t>
      </w:r>
    </w:p>
    <w:p w14:paraId="272B508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 年度施工计划</w:t>
      </w:r>
    </w:p>
    <w:p w14:paraId="21337C0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在本款末增加以下内容：</w:t>
      </w:r>
    </w:p>
    <w:p w14:paraId="08D09C5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在年度施工计划的基础上，承包人应根据发包人及监理人的具体安排编制和落实其他阶段性施工计划。</w:t>
      </w:r>
    </w:p>
    <w:p w14:paraId="4F18BB7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10.5 款、第 10.6 款、第 10.7 款：</w:t>
      </w:r>
    </w:p>
    <w:p w14:paraId="718FD11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10.5 工程进度记录</w:t>
      </w:r>
    </w:p>
    <w:p w14:paraId="1870E01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承包人应保持每日、每月和其他定期的工程进度记录和报告，这些记录和报告包括下列有关资料：</w:t>
      </w:r>
    </w:p>
    <w:p w14:paraId="7CCA9D5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(a)气象条件；</w:t>
      </w:r>
    </w:p>
    <w:p w14:paraId="524EA91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(b)施工记录；</w:t>
      </w:r>
    </w:p>
    <w:p w14:paraId="2CBC278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(c)施工设施和设备状况；</w:t>
      </w:r>
    </w:p>
    <w:p w14:paraId="1723E2A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(d)承包人人员统计；</w:t>
      </w:r>
    </w:p>
    <w:p w14:paraId="7ED8864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(e)现场材料，材料搬移记录、交货期、发票及有关资料；</w:t>
      </w:r>
    </w:p>
    <w:p w14:paraId="075E3C5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(f)环境保护、水土保持实施记录；</w:t>
      </w:r>
    </w:p>
    <w:p w14:paraId="043856B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(g)安全生产实施记录；</w:t>
      </w:r>
    </w:p>
    <w:p w14:paraId="23C0C47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(h)所有在施工过程中发生的其他事项。</w:t>
      </w:r>
    </w:p>
    <w:p w14:paraId="4B2F447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10.6 工程的进度奖罚</w:t>
      </w:r>
    </w:p>
    <w:p w14:paraId="05B8214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激励承包人加快工程进度，确保合同工期，本合同设立工程进度奖金，用于承包人提前或确保进度的奖励。该金额由发包人统一掌握使用。承包人获得支付的额度取决于其完成进度的情况及在评比中的名次。有关评比方案发包人将在承包人进场后予以制定。</w:t>
      </w:r>
    </w:p>
    <w:p w14:paraId="5D61EDC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11.开工和竣工</w:t>
      </w:r>
    </w:p>
    <w:p w14:paraId="0C99AF8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发包人的工期延误</w:t>
      </w:r>
    </w:p>
    <w:p w14:paraId="676391E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206F793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在履行合同过程中，由于发包人的下列原因造成工期延误的，承包人在满足发包人的项目总体工期目标前提下，有权要求发包人顺延工期，需要修订合同进度计划的，按照第 10.2 款的约定办理。</w:t>
      </w:r>
    </w:p>
    <w:p w14:paraId="49D1090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由于征地拆迁的原因造成关键线路上的工程暂停施工；</w:t>
      </w:r>
    </w:p>
    <w:p w14:paraId="009877C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未按合同约定及时支付预付款、进度款；</w:t>
      </w:r>
    </w:p>
    <w:p w14:paraId="2A7D759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如顺延合同工期在项目专用合同条款数据表的时间以内的，发包人将不予增加费用；</w:t>
      </w:r>
    </w:p>
    <w:p w14:paraId="4D64A22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如顺延合同工期在项目专用合同条款数据表的时间以上的，发包人将按如下原则给予补偿：</w:t>
      </w:r>
    </w:p>
    <w:p w14:paraId="01FAA1B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①驻地建设场地租金；</w:t>
      </w:r>
    </w:p>
    <w:p w14:paraId="0317081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②合同承诺投入且已进场的机械设备停置费，停置费按以下两种情况计算：</w:t>
      </w:r>
    </w:p>
    <w:p w14:paraId="051594A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a.《公路工程机械台班费用定额》包含的机械设备停置费按如下公式计算：</w:t>
      </w:r>
    </w:p>
    <w:p w14:paraId="288523A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停置费=（折旧费+检修费+维护费）*50%+人工费+机上人员管理费+养路费及车船使用税</w:t>
      </w:r>
    </w:p>
    <w:p w14:paraId="6753DC0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其中：机上人员管理费按人工费的 10%计算；车船使用税按规定的广东省车船使用税标准计算。</w:t>
      </w:r>
    </w:p>
    <w:p w14:paraId="0BA1504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 《公路工程机械台班费用定额》未包含的机械设备停置费按如下公式计算：</w:t>
      </w:r>
    </w:p>
    <w:p w14:paraId="016B6D9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按照年限平均法直线计提折旧，折旧年限为 10 年，年折旧额=固定资产原值×（1-残值率）/折旧年限，残值率为 4%；月折旧额=年折旧额/12，末月的天数≥16 时，按 1个月计算，否则末月不计。</w:t>
      </w:r>
    </w:p>
    <w:p w14:paraId="5D93C77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③已进场的主要管理人员的工资费用。补偿的人员数量不得超过合同承诺投入的相应数量；补偿单价以统计局公布的项目所在地上一年度平均月收入为基数，具有高级职称的人员工资按 3 倍计算，具有中级职称的人员工资按 2 倍计算，其他管理人员工资按 1 倍计算；</w:t>
      </w:r>
    </w:p>
    <w:p w14:paraId="303A268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④仅对超出</w:t>
      </w:r>
      <w:r>
        <w:rPr>
          <w:rFonts w:hint="eastAsia" w:ascii="宋体" w:hAnsi="宋体" w:cs="宋体"/>
          <w:color w:val="auto"/>
          <w:sz w:val="24"/>
          <w:highlight w:val="none"/>
          <w:u w:val="single"/>
        </w:rPr>
        <w:t>6个月</w:t>
      </w:r>
      <w:r>
        <w:rPr>
          <w:rFonts w:hint="eastAsia" w:ascii="宋体" w:hAnsi="宋体" w:cs="宋体"/>
          <w:color w:val="auto"/>
          <w:sz w:val="24"/>
          <w:highlight w:val="none"/>
        </w:rPr>
        <w:t>以上部分进行补偿；</w:t>
      </w:r>
    </w:p>
    <w:p w14:paraId="1C259DB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⑤除上述规定的补偿项目之外，其余由于工期顺延增加的费用由承包人承担。</w:t>
      </w:r>
    </w:p>
    <w:p w14:paraId="598A219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（3）由于重大设计方案调整造成关键线路上的工程暂停施工；</w:t>
      </w:r>
    </w:p>
    <w:p w14:paraId="54C9AF7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（4）甲供材料断供或供应不及时。</w:t>
      </w:r>
    </w:p>
    <w:p w14:paraId="364726C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异常恶劣的气候条件</w:t>
      </w:r>
    </w:p>
    <w:p w14:paraId="1F97F10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异常恶劣的气候条件是指十级以上强风暴、龙卷风或五十年一遇以上洪水造成重大破坏等情况无法施工持续 30 天以上者。</w:t>
      </w:r>
    </w:p>
    <w:p w14:paraId="1AE297C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承包人的工期延误</w:t>
      </w:r>
    </w:p>
    <w:p w14:paraId="09E91DE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在本款后增加第(6)项：</w:t>
      </w:r>
    </w:p>
    <w:p w14:paraId="2DA6EF7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（6）承包人连续三个月未能完成发包人下发（批复）的月计划任务的 80%或累计未能完成发包人下发（批复）的季度计划任务的 80%，发包人和监理人认为承包人无法在合同工期内完成任务的，发包人有权按第 4.3.8 款、第 4.3.9 款进行处理。</w:t>
      </w:r>
    </w:p>
    <w:p w14:paraId="71DBC82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暂停施工</w:t>
      </w:r>
    </w:p>
    <w:p w14:paraId="7147DF4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承包人暂停施工的责任</w:t>
      </w:r>
    </w:p>
    <w:p w14:paraId="587AA9FE">
      <w:pPr>
        <w:pStyle w:val="61"/>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(6)由承包人承担的其他暂停施工：</w:t>
      </w:r>
      <w:r>
        <w:rPr>
          <w:rFonts w:hint="eastAsia" w:ascii="宋体" w:hAnsi="宋体" w:cs="宋体"/>
          <w:color w:val="auto"/>
          <w:sz w:val="24"/>
          <w:highlight w:val="none"/>
          <w:u w:val="single"/>
        </w:rPr>
        <w:t xml:space="preserve"> 无</w:t>
      </w:r>
    </w:p>
    <w:p w14:paraId="492EC94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发包人暂停施工的责任</w:t>
      </w:r>
    </w:p>
    <w:p w14:paraId="66EF550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C36D5E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由于发包人原因引起的暂停施工造成工期延误的，按第 11.3 款的约定执行。</w:t>
      </w:r>
    </w:p>
    <w:p w14:paraId="33B4E2D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工程质量</w:t>
      </w:r>
    </w:p>
    <w:p w14:paraId="58F2D82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工程质量要求</w:t>
      </w:r>
    </w:p>
    <w:p w14:paraId="3E7FDBA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在本款第 13.1.2 项后增加以下内容：</w:t>
      </w:r>
    </w:p>
    <w:p w14:paraId="6E20ECB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经过验收并计量之后的任何时候，因任何方式（包括政府质量监督部门、发包人或监理人组织的各类检查）发现的关键工程质量不合格、工序不规范造成质量隐患，承包人应负责自费返工。发包人将根据本合同《工程质量、安全及文明施工违约项目一览表》对承包人进行处理。该处理不免除承包人自费进行返工或修复的责任。</w:t>
      </w:r>
    </w:p>
    <w:p w14:paraId="3B69987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增加第 13.7～13.12 款：</w:t>
      </w:r>
    </w:p>
    <w:p w14:paraId="4B45151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 承包人偷工减料</w:t>
      </w:r>
    </w:p>
    <w:p w14:paraId="348B054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14:paraId="4771623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13.8 承包人质量自检</w:t>
      </w:r>
    </w:p>
    <w:p w14:paraId="1BFBFC5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承包人必须建立完善的质量自检体系，对已完工程进行严格的质量自检，只有自检合格的工程才能向监理人、发包人提出验收和计量的申请。监理人在收到验收申请后的48 小时内对工程进行抽检和验收，对抽检不合格的工程由承包人自费修复或返工。</w:t>
      </w:r>
    </w:p>
    <w:p w14:paraId="2F326BF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13.9 不定期现场检查</w:t>
      </w:r>
    </w:p>
    <w:p w14:paraId="7C2B1FE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发包人和监理人将不定期进行现场检查，对检查结果按本合同《工程质量、安全及文明施工违约项目一览表》进行处理，承包人必须接受。</w:t>
      </w:r>
    </w:p>
    <w:p w14:paraId="5FB1A79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13.10 施工误差</w:t>
      </w:r>
    </w:p>
    <w:p w14:paraId="5497115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施工质量不满足要求的，承包人须承担一切返工费用。其中：</w:t>
      </w:r>
    </w:p>
    <w:p w14:paraId="05CC8C0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（1）路基交工时，如有部分路基高出设计 1cm，则由路基桥涵承包人修整。如有部分路基低于设计 1.5cm(土质)或 2.0 cm(石质)，则由路面承包人用规定的填料回填，超过偏差的处理费用由路基桥涵承包人负责。如路槽开挖由路面承包人负责施工的，则超过偏差的处理由路面承包人负责并承担费用。</w:t>
      </w:r>
    </w:p>
    <w:p w14:paraId="056D894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现浇或预制梁板的上拱度造成的桥面铺装（调平层、沥青面层）工程量变化，当引起的调坡所增加的费用，由梁板预制承包人和该合同段路基桥涵承包人各承担50%；不需调坡时，桥面铺装（调平层、沥青面层）工程量的偏差的风险由该合同段路基桥涵承包人承担。</w:t>
      </w:r>
    </w:p>
    <w:p w14:paraId="19EADD7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13.11 优质优价价款</w:t>
      </w:r>
    </w:p>
    <w:p w14:paraId="6BD6885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项目建设全过程中，全面推行“双标管理”（标准化管理、标杆管理），建立工程质量优质优价奖罚制度，激励承包人提高工程质量和管理水平，具体按发包人根据广东省交通运输厅《关于印发广东省高速公路工程优质优价和施工监理优监优酬实施意见的通知》等文件制订的实施细则执行。</w:t>
      </w:r>
    </w:p>
    <w:p w14:paraId="015B826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发包人将根据工程实际开展各项工程的质量评比和奖罚，项目（如项目采用分段管理，则按项目段计列）用于奖励的金额比例详见项目专用合同条款数据表的约定，由项目统筹使用。</w:t>
      </w:r>
    </w:p>
    <w:p w14:paraId="4184CE6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13.12 未解除承包人的义务和责任</w:t>
      </w:r>
    </w:p>
    <w:p w14:paraId="66E6D3A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质量缺陷或质量事故，除应承担上述责任和处罚外，视为承包人违约，发包人有权单方终止合同。</w:t>
      </w:r>
    </w:p>
    <w:p w14:paraId="52BE2CC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变更</w:t>
      </w:r>
    </w:p>
    <w:p w14:paraId="4D283ED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14:paraId="33C5EE5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在本款第 15.3.4 项后增加以下内容：</w:t>
      </w:r>
    </w:p>
    <w:p w14:paraId="70FA10A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同时工程变更还应执行广东省交通运输厅及发包人颁布的相关变更管理办法规定。</w:t>
      </w:r>
    </w:p>
    <w:p w14:paraId="45661EF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变更的估价原则</w:t>
      </w:r>
    </w:p>
    <w:p w14:paraId="121D608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 15.4.1～15.4.5 项删除，并用以下内容代替：</w:t>
      </w:r>
    </w:p>
    <w:p w14:paraId="3627ACD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因变更引起的价格调整，应按以下优先顺序所列原则进行处理：</w:t>
      </w:r>
    </w:p>
    <w:p w14:paraId="6A70ABD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15.4.1 如果取消某项工作，则该项工作的总额价不予支付；</w:t>
      </w:r>
    </w:p>
    <w:p w14:paraId="5011775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15.4.2 本合同段工程量清单中有相同或相似工程细目单价的，经发包人与承包人协商一致同意可直接套用该单价。本合同段内没有相同或适用合同单价的，原则上应套用同类合同段相应单价的算术平均值/加权平均值；但监理人认为受施工现场自然环境影响大的工程项目单价，报发包人同意后可套用自然环境相近似的合同段相应细目；</w:t>
      </w:r>
    </w:p>
    <w:p w14:paraId="386B99F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15.4.3 以综合单价报价的计量项目，如果只是由于使用材料或局部尺寸调整，则原支付单价不变，而只在原合同单价基础上，调整相应的材料价差和合理的工效增减费用。对于机电设备，如发包人未提高技术标准或参数指标，任何品牌或型号的调整，其性能指标不得低于技术规范及设计文件要求，且发包人不予价格调整。</w:t>
      </w:r>
    </w:p>
    <w:p w14:paraId="299FA44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 如上述价格调整原则不适用或按上述原则计算的单价不合理，经发包人同意，按以下原则执行。</w:t>
      </w:r>
    </w:p>
    <w:p w14:paraId="605B32C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15.4.4.1 参照招标人公布的最高投标限价编制时选用的有关定额及补充的定额，人工、材料、机械单价按最高投标限价采用的月份（**年**月）信息价编制预算，并在上述预算价的基础上按本合同段投标人中标总价较最高投标限价之下浮比例下浮确定变更工程价格。上述“信息价”指由广东省交通运输工程造价事务中心发布的“广东省交通建设工程主要外购材料信息价”中的项目施工所在地区材料信息价（如无相应信息价，由发包人另行确定）。</w:t>
      </w:r>
    </w:p>
    <w:p w14:paraId="48FA35D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下浮率=（本合同段最高投标限价-中标总价）/本合同段最高投标限价*100%</w:t>
      </w:r>
    </w:p>
    <w:p w14:paraId="1561ED1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15.4.4.2 按变更程序办理的应急抢险工程，经变更预算对应审批权限单位同意后，可根据实际情况编制预算，变更金额确定原则在项目专用合同条款数据表中约定。</w:t>
      </w:r>
    </w:p>
    <w:p w14:paraId="514AE86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15.4.4.3 新增机电设备的变更作价，按以下优先顺序所列原则进行处理：</w:t>
      </w:r>
    </w:p>
    <w:p w14:paraId="6EA923B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（1）参考省内近 1 年内通车的高速公路项目合同单价（或总额价）进行确定；</w:t>
      </w:r>
    </w:p>
    <w:p w14:paraId="12308B3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（2）变更预算按发包人核定的市场价格加上采保费、税金及合理利润进行计算，变更单价或费用=变更预算×（1-中标下浮率）</w:t>
      </w:r>
    </w:p>
    <w:p w14:paraId="09AD096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15.4.5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646D8F9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发包人与承包人如按上述原则协商未果，发包人有权根据实际情况按上述某一原则进行处理，承包人必须无条件接受。</w:t>
      </w:r>
    </w:p>
    <w:p w14:paraId="75BD8FD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所有的变更设计都必须按发包人及其上级主管部门颁布的变更设计管理办法进行审批。</w:t>
      </w:r>
    </w:p>
    <w:p w14:paraId="3DAEB85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价格调整</w:t>
      </w:r>
    </w:p>
    <w:p w14:paraId="29FB5F4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物价波动引起的价格调整</w:t>
      </w:r>
    </w:p>
    <w:p w14:paraId="1A7F90F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 采用造价信息调整价格差额</w:t>
      </w:r>
    </w:p>
    <w:p w14:paraId="26A9946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1CC3D79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间，发包人参照《广东省交通运输厅关于于印发我省交通建设项目材料价差调整指导性意见的通知》，对项目允许调整价格差额的材料进行价差调整。材料价差调整费用系指材料价格（包含材料采购增值税）变化产生的综合调整费用，不再计算材料采购及保管费、管理费等费用。除本款约定允许调整价格差额的材料以外，其他材料、设备等不进行价差调整，承包人应将上述风险考虑在投标报价中。</w:t>
      </w:r>
    </w:p>
    <w:p w14:paraId="36BA3E5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16.1.2.1 统一采购供应材料、甲控乙购材料价差调整</w:t>
      </w:r>
    </w:p>
    <w:p w14:paraId="71D5138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发包人招标文件规定的统一采购供应材料、甲控乙购材料按以下办法进行价差调整：</w:t>
      </w:r>
    </w:p>
    <w:p w14:paraId="6521FBF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（1）材料范围：详见招标文件中《统一采购供应材料一览表》、《甲控乙购材料一览表》；</w:t>
      </w:r>
    </w:p>
    <w:p w14:paraId="09ABC58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（2）材料价差计算方法：</w:t>
      </w:r>
    </w:p>
    <w:p w14:paraId="32FEE28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按月调整材料价差，具体如下：</w:t>
      </w:r>
    </w:p>
    <w:p w14:paraId="523780C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以广东省交通运输工程造价事务中心每月公布的广东省交通建设工程主要外购材料信息价为依据，每个月 15 日（不含当天）后供应的货物纳入下个月进行价格调整。</w:t>
      </w:r>
    </w:p>
    <w:p w14:paraId="4129840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A=(B-C)(1+D)</w:t>
      </w:r>
    </w:p>
    <w:p w14:paraId="2A55E79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A:实际调整价差，A 为正值时，由发包人补给承包人该价差，A 为负值时，由发包人从承包人承包价中扣回该价差。</w:t>
      </w:r>
    </w:p>
    <w:p w14:paraId="28CFD9E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B:实际采购供应价，该价格为实际支付给供应商（卖方）的价格，该价格按与供应商签定的采购供应合同（含补充合同/协议）确定。</w:t>
      </w:r>
    </w:p>
    <w:p w14:paraId="4419DAC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C:材料基准价格，由招标人在招标文件（或补遗书）中统一规定。</w:t>
      </w:r>
    </w:p>
    <w:p w14:paraId="0D675DB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D:销售货物增值税税率。增值税税率应采用材料发票开具的税率。材料供应商根据结算价格提交增值税发票给承包人。</w:t>
      </w:r>
    </w:p>
    <w:p w14:paraId="08556D9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 承包人自行采购材料价差调整</w:t>
      </w:r>
    </w:p>
    <w:p w14:paraId="749A8A6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16.1.2.2.1 工程范围</w:t>
      </w:r>
    </w:p>
    <w:p w14:paraId="7D31EFE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指建设项目的实体工程所消耗的主要材料（含构成永久性结构的水中钢护筒、溶洞处理钢护筒等），以及特大桥梁、特长隧道、大型船闸等有专项设计的大型临时工程所消耗的主要材料纳入材料调差调整范围。一般性临时工程、临时设施所消耗的材料以及属于水运工程范围的材料均不纳入材料调差调整范围。</w:t>
      </w:r>
    </w:p>
    <w:p w14:paraId="781C7AC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16.1.2.1.2 材料范围</w:t>
      </w:r>
    </w:p>
    <w:p w14:paraId="31E3C3D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可调差主要材料范围如下：</w:t>
      </w:r>
    </w:p>
    <w:p w14:paraId="2B80CB5E">
      <w:pPr>
        <w:pStyle w:val="61"/>
        <w:shd w:val="clear" w:fill="FFFFFF" w:themeFill="background1"/>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可调差材料一览表</w:t>
      </w: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2"/>
        <w:gridCol w:w="1222"/>
        <w:gridCol w:w="1223"/>
        <w:gridCol w:w="1223"/>
        <w:gridCol w:w="1223"/>
        <w:gridCol w:w="1223"/>
      </w:tblGrid>
      <w:tr w14:paraId="7C6E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22" w:type="dxa"/>
          </w:tcPr>
          <w:p w14:paraId="7510BD8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22" w:type="dxa"/>
          </w:tcPr>
          <w:p w14:paraId="76A83B7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材料名称</w:t>
            </w:r>
          </w:p>
        </w:tc>
        <w:tc>
          <w:tcPr>
            <w:tcW w:w="1222" w:type="dxa"/>
          </w:tcPr>
          <w:p w14:paraId="1FDA140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代号</w:t>
            </w:r>
          </w:p>
        </w:tc>
        <w:tc>
          <w:tcPr>
            <w:tcW w:w="1222" w:type="dxa"/>
          </w:tcPr>
          <w:p w14:paraId="67567E1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223" w:type="dxa"/>
          </w:tcPr>
          <w:p w14:paraId="5A7CCE9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23" w:type="dxa"/>
          </w:tcPr>
          <w:p w14:paraId="30467F9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材料名称</w:t>
            </w:r>
          </w:p>
        </w:tc>
        <w:tc>
          <w:tcPr>
            <w:tcW w:w="1223" w:type="dxa"/>
          </w:tcPr>
          <w:p w14:paraId="0F77CA9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代号</w:t>
            </w:r>
          </w:p>
        </w:tc>
        <w:tc>
          <w:tcPr>
            <w:tcW w:w="1223" w:type="dxa"/>
          </w:tcPr>
          <w:p w14:paraId="7E9C367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单位</w:t>
            </w:r>
          </w:p>
        </w:tc>
      </w:tr>
      <w:tr w14:paraId="5ABB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77BD35E9">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w:t>
            </w:r>
          </w:p>
        </w:tc>
        <w:tc>
          <w:tcPr>
            <w:tcW w:w="1222" w:type="dxa"/>
          </w:tcPr>
          <w:p w14:paraId="2BD47620">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w:t>
            </w:r>
          </w:p>
        </w:tc>
        <w:tc>
          <w:tcPr>
            <w:tcW w:w="1222" w:type="dxa"/>
          </w:tcPr>
          <w:p w14:paraId="5081FF4E">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w:t>
            </w:r>
          </w:p>
        </w:tc>
        <w:tc>
          <w:tcPr>
            <w:tcW w:w="1222" w:type="dxa"/>
          </w:tcPr>
          <w:p w14:paraId="414F32D8">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w:t>
            </w:r>
          </w:p>
        </w:tc>
        <w:tc>
          <w:tcPr>
            <w:tcW w:w="1223" w:type="dxa"/>
          </w:tcPr>
          <w:p w14:paraId="7D5060F9">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w:t>
            </w:r>
          </w:p>
        </w:tc>
        <w:tc>
          <w:tcPr>
            <w:tcW w:w="1223" w:type="dxa"/>
          </w:tcPr>
          <w:p w14:paraId="2B81AB31">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w:t>
            </w:r>
          </w:p>
        </w:tc>
        <w:tc>
          <w:tcPr>
            <w:tcW w:w="1223" w:type="dxa"/>
          </w:tcPr>
          <w:p w14:paraId="3AAFAB80">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w:t>
            </w:r>
          </w:p>
        </w:tc>
        <w:tc>
          <w:tcPr>
            <w:tcW w:w="1223" w:type="dxa"/>
          </w:tcPr>
          <w:p w14:paraId="65BC47E0">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w:t>
            </w:r>
          </w:p>
        </w:tc>
      </w:tr>
      <w:tr w14:paraId="1FA6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55EAA114">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一</w:t>
            </w:r>
          </w:p>
        </w:tc>
        <w:tc>
          <w:tcPr>
            <w:tcW w:w="1222" w:type="dxa"/>
          </w:tcPr>
          <w:p w14:paraId="4E927AD7">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钢材</w:t>
            </w:r>
          </w:p>
        </w:tc>
        <w:tc>
          <w:tcPr>
            <w:tcW w:w="1222" w:type="dxa"/>
          </w:tcPr>
          <w:p w14:paraId="2EB57516">
            <w:pPr>
              <w:pStyle w:val="61"/>
              <w:shd w:val="clear" w:fill="FFFFFF" w:themeFill="background1"/>
              <w:jc w:val="center"/>
              <w:rPr>
                <w:rFonts w:ascii="宋体" w:hAnsi="宋体" w:cs="宋体"/>
                <w:color w:val="auto"/>
                <w:szCs w:val="21"/>
                <w:highlight w:val="none"/>
              </w:rPr>
            </w:pPr>
          </w:p>
        </w:tc>
        <w:tc>
          <w:tcPr>
            <w:tcW w:w="1222" w:type="dxa"/>
          </w:tcPr>
          <w:p w14:paraId="3338E772">
            <w:pPr>
              <w:pStyle w:val="61"/>
              <w:shd w:val="clear" w:fill="FFFFFF" w:themeFill="background1"/>
              <w:jc w:val="center"/>
              <w:rPr>
                <w:rFonts w:ascii="宋体" w:hAnsi="宋体" w:cs="宋体"/>
                <w:color w:val="auto"/>
                <w:szCs w:val="21"/>
                <w:highlight w:val="none"/>
              </w:rPr>
            </w:pPr>
          </w:p>
        </w:tc>
        <w:tc>
          <w:tcPr>
            <w:tcW w:w="1223" w:type="dxa"/>
          </w:tcPr>
          <w:p w14:paraId="565BAC79">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二</w:t>
            </w:r>
          </w:p>
        </w:tc>
        <w:tc>
          <w:tcPr>
            <w:tcW w:w="1223" w:type="dxa"/>
          </w:tcPr>
          <w:p w14:paraId="0A8EC97E">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水泥</w:t>
            </w:r>
          </w:p>
        </w:tc>
        <w:tc>
          <w:tcPr>
            <w:tcW w:w="1223" w:type="dxa"/>
          </w:tcPr>
          <w:p w14:paraId="73187A01">
            <w:pPr>
              <w:pStyle w:val="61"/>
              <w:shd w:val="clear" w:fill="FFFFFF" w:themeFill="background1"/>
              <w:jc w:val="center"/>
              <w:rPr>
                <w:rFonts w:ascii="宋体" w:hAnsi="宋体" w:cs="宋体"/>
                <w:color w:val="auto"/>
                <w:szCs w:val="21"/>
                <w:highlight w:val="none"/>
              </w:rPr>
            </w:pPr>
          </w:p>
        </w:tc>
        <w:tc>
          <w:tcPr>
            <w:tcW w:w="1223" w:type="dxa"/>
          </w:tcPr>
          <w:p w14:paraId="1F1C454E">
            <w:pPr>
              <w:pStyle w:val="61"/>
              <w:shd w:val="clear" w:fill="FFFFFF" w:themeFill="background1"/>
              <w:jc w:val="center"/>
              <w:rPr>
                <w:rFonts w:ascii="宋体" w:hAnsi="宋体" w:cs="宋体"/>
                <w:color w:val="auto"/>
                <w:szCs w:val="21"/>
                <w:highlight w:val="none"/>
              </w:rPr>
            </w:pPr>
          </w:p>
        </w:tc>
      </w:tr>
      <w:tr w14:paraId="4331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3B0C021B">
            <w:pPr>
              <w:pStyle w:val="61"/>
              <w:shd w:val="clear" w:fill="FFFFFF" w:themeFill="background1"/>
              <w:jc w:val="center"/>
              <w:rPr>
                <w:rFonts w:ascii="宋体" w:hAnsi="宋体" w:cs="宋体"/>
                <w:color w:val="auto"/>
                <w:szCs w:val="21"/>
                <w:highlight w:val="none"/>
              </w:rPr>
            </w:pPr>
          </w:p>
        </w:tc>
        <w:tc>
          <w:tcPr>
            <w:tcW w:w="1222" w:type="dxa"/>
          </w:tcPr>
          <w:p w14:paraId="05B6DE8D">
            <w:pPr>
              <w:pStyle w:val="61"/>
              <w:shd w:val="clear" w:fill="FFFFFF" w:themeFill="background1"/>
              <w:jc w:val="center"/>
              <w:rPr>
                <w:rFonts w:ascii="宋体" w:hAnsi="宋体" w:cs="宋体"/>
                <w:color w:val="auto"/>
                <w:szCs w:val="21"/>
                <w:highlight w:val="none"/>
              </w:rPr>
            </w:pPr>
          </w:p>
        </w:tc>
        <w:tc>
          <w:tcPr>
            <w:tcW w:w="1222" w:type="dxa"/>
          </w:tcPr>
          <w:p w14:paraId="51E9E655">
            <w:pPr>
              <w:pStyle w:val="61"/>
              <w:shd w:val="clear" w:fill="FFFFFF" w:themeFill="background1"/>
              <w:jc w:val="center"/>
              <w:rPr>
                <w:rFonts w:ascii="宋体" w:hAnsi="宋体" w:cs="宋体"/>
                <w:color w:val="auto"/>
                <w:szCs w:val="21"/>
                <w:highlight w:val="none"/>
              </w:rPr>
            </w:pPr>
          </w:p>
        </w:tc>
        <w:tc>
          <w:tcPr>
            <w:tcW w:w="1222" w:type="dxa"/>
          </w:tcPr>
          <w:p w14:paraId="025C8937">
            <w:pPr>
              <w:pStyle w:val="61"/>
              <w:shd w:val="clear" w:fill="FFFFFF" w:themeFill="background1"/>
              <w:jc w:val="center"/>
              <w:rPr>
                <w:rFonts w:ascii="宋体" w:hAnsi="宋体" w:cs="宋体"/>
                <w:color w:val="auto"/>
                <w:szCs w:val="21"/>
                <w:highlight w:val="none"/>
              </w:rPr>
            </w:pPr>
          </w:p>
        </w:tc>
        <w:tc>
          <w:tcPr>
            <w:tcW w:w="1223" w:type="dxa"/>
          </w:tcPr>
          <w:p w14:paraId="3A1F4C93">
            <w:pPr>
              <w:pStyle w:val="61"/>
              <w:shd w:val="clear" w:fill="FFFFFF" w:themeFill="background1"/>
              <w:jc w:val="center"/>
              <w:rPr>
                <w:rFonts w:ascii="宋体" w:hAnsi="宋体" w:cs="宋体"/>
                <w:color w:val="auto"/>
                <w:szCs w:val="21"/>
                <w:highlight w:val="none"/>
              </w:rPr>
            </w:pPr>
          </w:p>
        </w:tc>
        <w:tc>
          <w:tcPr>
            <w:tcW w:w="1223" w:type="dxa"/>
          </w:tcPr>
          <w:p w14:paraId="3D3E94BC">
            <w:pPr>
              <w:pStyle w:val="61"/>
              <w:shd w:val="clear" w:fill="FFFFFF" w:themeFill="background1"/>
              <w:jc w:val="center"/>
              <w:rPr>
                <w:rFonts w:ascii="宋体" w:hAnsi="宋体" w:cs="宋体"/>
                <w:color w:val="auto"/>
                <w:szCs w:val="21"/>
                <w:highlight w:val="none"/>
              </w:rPr>
            </w:pPr>
          </w:p>
        </w:tc>
        <w:tc>
          <w:tcPr>
            <w:tcW w:w="1223" w:type="dxa"/>
          </w:tcPr>
          <w:p w14:paraId="683FBE91">
            <w:pPr>
              <w:pStyle w:val="61"/>
              <w:shd w:val="clear" w:fill="FFFFFF" w:themeFill="background1"/>
              <w:jc w:val="center"/>
              <w:rPr>
                <w:rFonts w:ascii="宋体" w:hAnsi="宋体" w:cs="宋体"/>
                <w:color w:val="auto"/>
                <w:szCs w:val="21"/>
                <w:highlight w:val="none"/>
              </w:rPr>
            </w:pPr>
          </w:p>
        </w:tc>
        <w:tc>
          <w:tcPr>
            <w:tcW w:w="1223" w:type="dxa"/>
          </w:tcPr>
          <w:p w14:paraId="22E4D3C5">
            <w:pPr>
              <w:pStyle w:val="61"/>
              <w:shd w:val="clear" w:fill="FFFFFF" w:themeFill="background1"/>
              <w:jc w:val="center"/>
              <w:rPr>
                <w:rFonts w:ascii="宋体" w:hAnsi="宋体" w:cs="宋体"/>
                <w:color w:val="auto"/>
                <w:szCs w:val="21"/>
                <w:highlight w:val="none"/>
              </w:rPr>
            </w:pPr>
          </w:p>
        </w:tc>
      </w:tr>
      <w:tr w14:paraId="6633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582AE9A7">
            <w:pPr>
              <w:pStyle w:val="61"/>
              <w:shd w:val="clear" w:fill="FFFFFF" w:themeFill="background1"/>
              <w:jc w:val="center"/>
              <w:rPr>
                <w:rFonts w:ascii="宋体" w:hAnsi="宋体" w:cs="宋体"/>
                <w:color w:val="auto"/>
                <w:szCs w:val="21"/>
                <w:highlight w:val="none"/>
              </w:rPr>
            </w:pPr>
          </w:p>
        </w:tc>
        <w:tc>
          <w:tcPr>
            <w:tcW w:w="1222" w:type="dxa"/>
          </w:tcPr>
          <w:p w14:paraId="2DA16D93">
            <w:pPr>
              <w:pStyle w:val="61"/>
              <w:shd w:val="clear" w:fill="FFFFFF" w:themeFill="background1"/>
              <w:jc w:val="center"/>
              <w:rPr>
                <w:rFonts w:ascii="宋体" w:hAnsi="宋体" w:cs="宋体"/>
                <w:color w:val="auto"/>
                <w:szCs w:val="21"/>
                <w:highlight w:val="none"/>
              </w:rPr>
            </w:pPr>
          </w:p>
        </w:tc>
        <w:tc>
          <w:tcPr>
            <w:tcW w:w="1222" w:type="dxa"/>
          </w:tcPr>
          <w:p w14:paraId="7A6CFD49">
            <w:pPr>
              <w:pStyle w:val="61"/>
              <w:shd w:val="clear" w:fill="FFFFFF" w:themeFill="background1"/>
              <w:jc w:val="center"/>
              <w:rPr>
                <w:rFonts w:ascii="宋体" w:hAnsi="宋体" w:cs="宋体"/>
                <w:color w:val="auto"/>
                <w:szCs w:val="21"/>
                <w:highlight w:val="none"/>
              </w:rPr>
            </w:pPr>
          </w:p>
        </w:tc>
        <w:tc>
          <w:tcPr>
            <w:tcW w:w="1222" w:type="dxa"/>
          </w:tcPr>
          <w:p w14:paraId="71E718F2">
            <w:pPr>
              <w:pStyle w:val="61"/>
              <w:shd w:val="clear" w:fill="FFFFFF" w:themeFill="background1"/>
              <w:jc w:val="center"/>
              <w:rPr>
                <w:rFonts w:ascii="宋体" w:hAnsi="宋体" w:cs="宋体"/>
                <w:color w:val="auto"/>
                <w:szCs w:val="21"/>
                <w:highlight w:val="none"/>
              </w:rPr>
            </w:pPr>
          </w:p>
        </w:tc>
        <w:tc>
          <w:tcPr>
            <w:tcW w:w="1223" w:type="dxa"/>
          </w:tcPr>
          <w:p w14:paraId="2180A64B">
            <w:pPr>
              <w:pStyle w:val="61"/>
              <w:shd w:val="clear" w:fill="FFFFFF" w:themeFill="background1"/>
              <w:jc w:val="center"/>
              <w:rPr>
                <w:rFonts w:ascii="宋体" w:hAnsi="宋体" w:cs="宋体"/>
                <w:color w:val="auto"/>
                <w:szCs w:val="21"/>
                <w:highlight w:val="none"/>
              </w:rPr>
            </w:pPr>
          </w:p>
        </w:tc>
        <w:tc>
          <w:tcPr>
            <w:tcW w:w="1223" w:type="dxa"/>
          </w:tcPr>
          <w:p w14:paraId="3F1D2E58">
            <w:pPr>
              <w:pStyle w:val="61"/>
              <w:shd w:val="clear" w:fill="FFFFFF" w:themeFill="background1"/>
              <w:jc w:val="center"/>
              <w:rPr>
                <w:rFonts w:ascii="宋体" w:hAnsi="宋体" w:cs="宋体"/>
                <w:color w:val="auto"/>
                <w:szCs w:val="21"/>
                <w:highlight w:val="none"/>
              </w:rPr>
            </w:pPr>
          </w:p>
        </w:tc>
        <w:tc>
          <w:tcPr>
            <w:tcW w:w="1223" w:type="dxa"/>
          </w:tcPr>
          <w:p w14:paraId="692D5056">
            <w:pPr>
              <w:pStyle w:val="61"/>
              <w:shd w:val="clear" w:fill="FFFFFF" w:themeFill="background1"/>
              <w:jc w:val="center"/>
              <w:rPr>
                <w:rFonts w:ascii="宋体" w:hAnsi="宋体" w:cs="宋体"/>
                <w:color w:val="auto"/>
                <w:szCs w:val="21"/>
                <w:highlight w:val="none"/>
              </w:rPr>
            </w:pPr>
          </w:p>
        </w:tc>
        <w:tc>
          <w:tcPr>
            <w:tcW w:w="1223" w:type="dxa"/>
          </w:tcPr>
          <w:p w14:paraId="5224A4F3">
            <w:pPr>
              <w:pStyle w:val="61"/>
              <w:shd w:val="clear" w:fill="FFFFFF" w:themeFill="background1"/>
              <w:jc w:val="center"/>
              <w:rPr>
                <w:rFonts w:ascii="宋体" w:hAnsi="宋体" w:cs="宋体"/>
                <w:color w:val="auto"/>
                <w:szCs w:val="21"/>
                <w:highlight w:val="none"/>
              </w:rPr>
            </w:pPr>
          </w:p>
        </w:tc>
      </w:tr>
      <w:tr w14:paraId="4450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2F001001">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三</w:t>
            </w:r>
          </w:p>
        </w:tc>
        <w:tc>
          <w:tcPr>
            <w:tcW w:w="1222" w:type="dxa"/>
          </w:tcPr>
          <w:p w14:paraId="3BAC5CF9">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砂石料</w:t>
            </w:r>
          </w:p>
        </w:tc>
        <w:tc>
          <w:tcPr>
            <w:tcW w:w="1222" w:type="dxa"/>
          </w:tcPr>
          <w:p w14:paraId="6E808FA5">
            <w:pPr>
              <w:pStyle w:val="61"/>
              <w:shd w:val="clear" w:fill="FFFFFF" w:themeFill="background1"/>
              <w:jc w:val="center"/>
              <w:rPr>
                <w:rFonts w:ascii="宋体" w:hAnsi="宋体" w:cs="宋体"/>
                <w:color w:val="auto"/>
                <w:szCs w:val="21"/>
                <w:highlight w:val="none"/>
              </w:rPr>
            </w:pPr>
          </w:p>
        </w:tc>
        <w:tc>
          <w:tcPr>
            <w:tcW w:w="1222" w:type="dxa"/>
          </w:tcPr>
          <w:p w14:paraId="4541CD81">
            <w:pPr>
              <w:pStyle w:val="61"/>
              <w:shd w:val="clear" w:fill="FFFFFF" w:themeFill="background1"/>
              <w:jc w:val="center"/>
              <w:rPr>
                <w:rFonts w:ascii="宋体" w:hAnsi="宋体" w:cs="宋体"/>
                <w:color w:val="auto"/>
                <w:szCs w:val="21"/>
                <w:highlight w:val="none"/>
              </w:rPr>
            </w:pPr>
          </w:p>
        </w:tc>
        <w:tc>
          <w:tcPr>
            <w:tcW w:w="1223" w:type="dxa"/>
          </w:tcPr>
          <w:p w14:paraId="1129D3DB">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四</w:t>
            </w:r>
          </w:p>
        </w:tc>
        <w:tc>
          <w:tcPr>
            <w:tcW w:w="1223" w:type="dxa"/>
          </w:tcPr>
          <w:p w14:paraId="1A6001E5">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油料</w:t>
            </w:r>
          </w:p>
        </w:tc>
        <w:tc>
          <w:tcPr>
            <w:tcW w:w="1223" w:type="dxa"/>
          </w:tcPr>
          <w:p w14:paraId="4749C34C">
            <w:pPr>
              <w:pStyle w:val="61"/>
              <w:shd w:val="clear" w:fill="FFFFFF" w:themeFill="background1"/>
              <w:jc w:val="center"/>
              <w:rPr>
                <w:rFonts w:ascii="宋体" w:hAnsi="宋体" w:cs="宋体"/>
                <w:color w:val="auto"/>
                <w:szCs w:val="21"/>
                <w:highlight w:val="none"/>
              </w:rPr>
            </w:pPr>
          </w:p>
        </w:tc>
        <w:tc>
          <w:tcPr>
            <w:tcW w:w="1223" w:type="dxa"/>
          </w:tcPr>
          <w:p w14:paraId="53C67B69">
            <w:pPr>
              <w:pStyle w:val="61"/>
              <w:shd w:val="clear" w:fill="FFFFFF" w:themeFill="background1"/>
              <w:jc w:val="center"/>
              <w:rPr>
                <w:rFonts w:ascii="宋体" w:hAnsi="宋体" w:cs="宋体"/>
                <w:color w:val="auto"/>
                <w:szCs w:val="21"/>
                <w:highlight w:val="none"/>
              </w:rPr>
            </w:pPr>
          </w:p>
        </w:tc>
      </w:tr>
      <w:tr w14:paraId="2CAE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615D220A">
            <w:pPr>
              <w:pStyle w:val="61"/>
              <w:shd w:val="clear" w:fill="FFFFFF" w:themeFill="background1"/>
              <w:jc w:val="center"/>
              <w:rPr>
                <w:rFonts w:ascii="宋体" w:hAnsi="宋体" w:cs="宋体"/>
                <w:color w:val="auto"/>
                <w:szCs w:val="21"/>
                <w:highlight w:val="none"/>
              </w:rPr>
            </w:pPr>
          </w:p>
        </w:tc>
        <w:tc>
          <w:tcPr>
            <w:tcW w:w="1222" w:type="dxa"/>
          </w:tcPr>
          <w:p w14:paraId="06FE32B1">
            <w:pPr>
              <w:pStyle w:val="61"/>
              <w:shd w:val="clear" w:fill="FFFFFF" w:themeFill="background1"/>
              <w:jc w:val="center"/>
              <w:rPr>
                <w:rFonts w:ascii="宋体" w:hAnsi="宋体" w:cs="宋体"/>
                <w:color w:val="auto"/>
                <w:szCs w:val="21"/>
                <w:highlight w:val="none"/>
              </w:rPr>
            </w:pPr>
          </w:p>
        </w:tc>
        <w:tc>
          <w:tcPr>
            <w:tcW w:w="1222" w:type="dxa"/>
          </w:tcPr>
          <w:p w14:paraId="291B331E">
            <w:pPr>
              <w:pStyle w:val="61"/>
              <w:shd w:val="clear" w:fill="FFFFFF" w:themeFill="background1"/>
              <w:jc w:val="center"/>
              <w:rPr>
                <w:rFonts w:ascii="宋体" w:hAnsi="宋体" w:cs="宋体"/>
                <w:color w:val="auto"/>
                <w:szCs w:val="21"/>
                <w:highlight w:val="none"/>
              </w:rPr>
            </w:pPr>
          </w:p>
        </w:tc>
        <w:tc>
          <w:tcPr>
            <w:tcW w:w="1222" w:type="dxa"/>
          </w:tcPr>
          <w:p w14:paraId="444DBD0E">
            <w:pPr>
              <w:pStyle w:val="61"/>
              <w:shd w:val="clear" w:fill="FFFFFF" w:themeFill="background1"/>
              <w:jc w:val="center"/>
              <w:rPr>
                <w:rFonts w:ascii="宋体" w:hAnsi="宋体" w:cs="宋体"/>
                <w:color w:val="auto"/>
                <w:szCs w:val="21"/>
                <w:highlight w:val="none"/>
              </w:rPr>
            </w:pPr>
          </w:p>
        </w:tc>
        <w:tc>
          <w:tcPr>
            <w:tcW w:w="1223" w:type="dxa"/>
          </w:tcPr>
          <w:p w14:paraId="3804F94D">
            <w:pPr>
              <w:pStyle w:val="61"/>
              <w:shd w:val="clear" w:fill="FFFFFF" w:themeFill="background1"/>
              <w:jc w:val="center"/>
              <w:rPr>
                <w:rFonts w:ascii="宋体" w:hAnsi="宋体" w:cs="宋体"/>
                <w:color w:val="auto"/>
                <w:szCs w:val="21"/>
                <w:highlight w:val="none"/>
              </w:rPr>
            </w:pPr>
          </w:p>
        </w:tc>
        <w:tc>
          <w:tcPr>
            <w:tcW w:w="1223" w:type="dxa"/>
          </w:tcPr>
          <w:p w14:paraId="7754B76C">
            <w:pPr>
              <w:pStyle w:val="61"/>
              <w:shd w:val="clear" w:fill="FFFFFF" w:themeFill="background1"/>
              <w:jc w:val="center"/>
              <w:rPr>
                <w:rFonts w:ascii="宋体" w:hAnsi="宋体" w:cs="宋体"/>
                <w:color w:val="auto"/>
                <w:szCs w:val="21"/>
                <w:highlight w:val="none"/>
              </w:rPr>
            </w:pPr>
          </w:p>
        </w:tc>
        <w:tc>
          <w:tcPr>
            <w:tcW w:w="1223" w:type="dxa"/>
          </w:tcPr>
          <w:p w14:paraId="74AEAC46">
            <w:pPr>
              <w:pStyle w:val="61"/>
              <w:shd w:val="clear" w:fill="FFFFFF" w:themeFill="background1"/>
              <w:jc w:val="center"/>
              <w:rPr>
                <w:rFonts w:ascii="宋体" w:hAnsi="宋体" w:cs="宋体"/>
                <w:color w:val="auto"/>
                <w:szCs w:val="21"/>
                <w:highlight w:val="none"/>
              </w:rPr>
            </w:pPr>
          </w:p>
        </w:tc>
        <w:tc>
          <w:tcPr>
            <w:tcW w:w="1223" w:type="dxa"/>
          </w:tcPr>
          <w:p w14:paraId="7EF07E68">
            <w:pPr>
              <w:pStyle w:val="61"/>
              <w:shd w:val="clear" w:fill="FFFFFF" w:themeFill="background1"/>
              <w:jc w:val="center"/>
              <w:rPr>
                <w:rFonts w:ascii="宋体" w:hAnsi="宋体" w:cs="宋体"/>
                <w:color w:val="auto"/>
                <w:szCs w:val="21"/>
                <w:highlight w:val="none"/>
              </w:rPr>
            </w:pPr>
          </w:p>
        </w:tc>
      </w:tr>
      <w:tr w14:paraId="493C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51843325">
            <w:pPr>
              <w:pStyle w:val="61"/>
              <w:shd w:val="clear" w:fill="FFFFFF" w:themeFill="background1"/>
              <w:jc w:val="center"/>
              <w:rPr>
                <w:rFonts w:ascii="宋体" w:hAnsi="宋体" w:cs="宋体"/>
                <w:color w:val="auto"/>
                <w:szCs w:val="21"/>
                <w:highlight w:val="none"/>
              </w:rPr>
            </w:pPr>
          </w:p>
        </w:tc>
        <w:tc>
          <w:tcPr>
            <w:tcW w:w="1222" w:type="dxa"/>
          </w:tcPr>
          <w:p w14:paraId="3AC4474A">
            <w:pPr>
              <w:pStyle w:val="61"/>
              <w:shd w:val="clear" w:fill="FFFFFF" w:themeFill="background1"/>
              <w:jc w:val="center"/>
              <w:rPr>
                <w:rFonts w:ascii="宋体" w:hAnsi="宋体" w:cs="宋体"/>
                <w:color w:val="auto"/>
                <w:szCs w:val="21"/>
                <w:highlight w:val="none"/>
              </w:rPr>
            </w:pPr>
          </w:p>
        </w:tc>
        <w:tc>
          <w:tcPr>
            <w:tcW w:w="1222" w:type="dxa"/>
          </w:tcPr>
          <w:p w14:paraId="61A62F9B">
            <w:pPr>
              <w:pStyle w:val="61"/>
              <w:shd w:val="clear" w:fill="FFFFFF" w:themeFill="background1"/>
              <w:jc w:val="center"/>
              <w:rPr>
                <w:rFonts w:ascii="宋体" w:hAnsi="宋体" w:cs="宋体"/>
                <w:color w:val="auto"/>
                <w:szCs w:val="21"/>
                <w:highlight w:val="none"/>
              </w:rPr>
            </w:pPr>
          </w:p>
        </w:tc>
        <w:tc>
          <w:tcPr>
            <w:tcW w:w="1222" w:type="dxa"/>
          </w:tcPr>
          <w:p w14:paraId="12430CB1">
            <w:pPr>
              <w:pStyle w:val="61"/>
              <w:shd w:val="clear" w:fill="FFFFFF" w:themeFill="background1"/>
              <w:jc w:val="center"/>
              <w:rPr>
                <w:rFonts w:ascii="宋体" w:hAnsi="宋体" w:cs="宋体"/>
                <w:color w:val="auto"/>
                <w:szCs w:val="21"/>
                <w:highlight w:val="none"/>
              </w:rPr>
            </w:pPr>
          </w:p>
        </w:tc>
        <w:tc>
          <w:tcPr>
            <w:tcW w:w="1223" w:type="dxa"/>
          </w:tcPr>
          <w:p w14:paraId="54023B30">
            <w:pPr>
              <w:pStyle w:val="61"/>
              <w:shd w:val="clear" w:fill="FFFFFF" w:themeFill="background1"/>
              <w:jc w:val="center"/>
              <w:rPr>
                <w:rFonts w:ascii="宋体" w:hAnsi="宋体" w:cs="宋体"/>
                <w:color w:val="auto"/>
                <w:szCs w:val="21"/>
                <w:highlight w:val="none"/>
              </w:rPr>
            </w:pPr>
          </w:p>
        </w:tc>
        <w:tc>
          <w:tcPr>
            <w:tcW w:w="1223" w:type="dxa"/>
          </w:tcPr>
          <w:p w14:paraId="6C6A4495">
            <w:pPr>
              <w:pStyle w:val="61"/>
              <w:shd w:val="clear" w:fill="FFFFFF" w:themeFill="background1"/>
              <w:jc w:val="center"/>
              <w:rPr>
                <w:rFonts w:ascii="宋体" w:hAnsi="宋体" w:cs="宋体"/>
                <w:color w:val="auto"/>
                <w:szCs w:val="21"/>
                <w:highlight w:val="none"/>
              </w:rPr>
            </w:pPr>
          </w:p>
        </w:tc>
        <w:tc>
          <w:tcPr>
            <w:tcW w:w="1223" w:type="dxa"/>
          </w:tcPr>
          <w:p w14:paraId="1A3E0DBA">
            <w:pPr>
              <w:pStyle w:val="61"/>
              <w:shd w:val="clear" w:fill="FFFFFF" w:themeFill="background1"/>
              <w:jc w:val="center"/>
              <w:rPr>
                <w:rFonts w:ascii="宋体" w:hAnsi="宋体" w:cs="宋体"/>
                <w:color w:val="auto"/>
                <w:szCs w:val="21"/>
                <w:highlight w:val="none"/>
              </w:rPr>
            </w:pPr>
          </w:p>
        </w:tc>
        <w:tc>
          <w:tcPr>
            <w:tcW w:w="1223" w:type="dxa"/>
          </w:tcPr>
          <w:p w14:paraId="632A20C7">
            <w:pPr>
              <w:pStyle w:val="61"/>
              <w:shd w:val="clear" w:fill="FFFFFF" w:themeFill="background1"/>
              <w:jc w:val="center"/>
              <w:rPr>
                <w:rFonts w:ascii="宋体" w:hAnsi="宋体" w:cs="宋体"/>
                <w:color w:val="auto"/>
                <w:szCs w:val="21"/>
                <w:highlight w:val="none"/>
              </w:rPr>
            </w:pPr>
          </w:p>
        </w:tc>
      </w:tr>
      <w:tr w14:paraId="5C0E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7BEBB428">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五</w:t>
            </w:r>
          </w:p>
        </w:tc>
        <w:tc>
          <w:tcPr>
            <w:tcW w:w="1222" w:type="dxa"/>
          </w:tcPr>
          <w:p w14:paraId="5C66863C">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1222" w:type="dxa"/>
          </w:tcPr>
          <w:p w14:paraId="75857B9A">
            <w:pPr>
              <w:pStyle w:val="61"/>
              <w:shd w:val="clear" w:fill="FFFFFF" w:themeFill="background1"/>
              <w:jc w:val="center"/>
              <w:rPr>
                <w:rFonts w:ascii="宋体" w:hAnsi="宋体" w:cs="宋体"/>
                <w:color w:val="auto"/>
                <w:szCs w:val="21"/>
                <w:highlight w:val="none"/>
              </w:rPr>
            </w:pPr>
          </w:p>
        </w:tc>
        <w:tc>
          <w:tcPr>
            <w:tcW w:w="1222" w:type="dxa"/>
          </w:tcPr>
          <w:p w14:paraId="1D0446E5">
            <w:pPr>
              <w:pStyle w:val="61"/>
              <w:shd w:val="clear" w:fill="FFFFFF" w:themeFill="background1"/>
              <w:jc w:val="center"/>
              <w:rPr>
                <w:rFonts w:ascii="宋体" w:hAnsi="宋体" w:cs="宋体"/>
                <w:color w:val="auto"/>
                <w:szCs w:val="21"/>
                <w:highlight w:val="none"/>
              </w:rPr>
            </w:pPr>
          </w:p>
        </w:tc>
        <w:tc>
          <w:tcPr>
            <w:tcW w:w="1223" w:type="dxa"/>
          </w:tcPr>
          <w:p w14:paraId="47BDDAD9">
            <w:pPr>
              <w:pStyle w:val="61"/>
              <w:shd w:val="clear" w:fill="FFFFFF" w:themeFill="background1"/>
              <w:jc w:val="center"/>
              <w:rPr>
                <w:rFonts w:ascii="宋体" w:hAnsi="宋体" w:cs="宋体"/>
                <w:color w:val="auto"/>
                <w:szCs w:val="21"/>
                <w:highlight w:val="none"/>
              </w:rPr>
            </w:pPr>
          </w:p>
        </w:tc>
        <w:tc>
          <w:tcPr>
            <w:tcW w:w="1223" w:type="dxa"/>
          </w:tcPr>
          <w:p w14:paraId="0B6A8424">
            <w:pPr>
              <w:pStyle w:val="61"/>
              <w:shd w:val="clear" w:fill="FFFFFF" w:themeFill="background1"/>
              <w:jc w:val="center"/>
              <w:rPr>
                <w:rFonts w:ascii="宋体" w:hAnsi="宋体" w:cs="宋体"/>
                <w:color w:val="auto"/>
                <w:szCs w:val="21"/>
                <w:highlight w:val="none"/>
              </w:rPr>
            </w:pPr>
          </w:p>
        </w:tc>
        <w:tc>
          <w:tcPr>
            <w:tcW w:w="1223" w:type="dxa"/>
          </w:tcPr>
          <w:p w14:paraId="56C7D742">
            <w:pPr>
              <w:pStyle w:val="61"/>
              <w:shd w:val="clear" w:fill="FFFFFF" w:themeFill="background1"/>
              <w:jc w:val="center"/>
              <w:rPr>
                <w:rFonts w:ascii="宋体" w:hAnsi="宋体" w:cs="宋体"/>
                <w:color w:val="auto"/>
                <w:szCs w:val="21"/>
                <w:highlight w:val="none"/>
              </w:rPr>
            </w:pPr>
          </w:p>
        </w:tc>
        <w:tc>
          <w:tcPr>
            <w:tcW w:w="1223" w:type="dxa"/>
          </w:tcPr>
          <w:p w14:paraId="1216015E">
            <w:pPr>
              <w:pStyle w:val="61"/>
              <w:shd w:val="clear" w:fill="FFFFFF" w:themeFill="background1"/>
              <w:jc w:val="center"/>
              <w:rPr>
                <w:rFonts w:ascii="宋体" w:hAnsi="宋体" w:cs="宋体"/>
                <w:color w:val="auto"/>
                <w:szCs w:val="21"/>
                <w:highlight w:val="none"/>
              </w:rPr>
            </w:pPr>
          </w:p>
        </w:tc>
      </w:tr>
      <w:tr w14:paraId="137F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9780" w:type="dxa"/>
            <w:gridSpan w:val="8"/>
          </w:tcPr>
          <w:p w14:paraId="196CC2B3">
            <w:pPr>
              <w:pStyle w:val="61"/>
              <w:shd w:val="clear" w:fill="FFFFFF" w:themeFill="background1"/>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1.当采用商品水泥混凝土、商品沥青混凝土、混凝土构件、钢筋混凝土构件、钢构件等半成品时：若有对应的地区发布的半成品信息价，则按信息价调差；若没有该信息价，则按照交通运输部颁布的《公路工程预算定额》附录中的配合比表，将半成品换算成对应的组成材料后进行调差。</w:t>
            </w:r>
          </w:p>
          <w:p w14:paraId="48958358">
            <w:pPr>
              <w:pStyle w:val="61"/>
              <w:shd w:val="clear" w:fill="FFFFFF" w:themeFill="background1"/>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2.表中材料代号按交通运输部颁布的《公路工程预算定额》（JTG/T3832-2018）编制。</w:t>
            </w:r>
          </w:p>
        </w:tc>
      </w:tr>
    </w:tbl>
    <w:p w14:paraId="0003E1FE">
      <w:pPr>
        <w:pStyle w:val="61"/>
        <w:shd w:val="clear" w:fill="FFFFFF" w:themeFill="background1"/>
        <w:spacing w:line="360" w:lineRule="auto"/>
        <w:ind w:firstLine="480" w:firstLineChars="200"/>
        <w:jc w:val="center"/>
        <w:rPr>
          <w:rFonts w:ascii="宋体" w:hAnsi="宋体" w:cs="宋体"/>
          <w:color w:val="auto"/>
          <w:sz w:val="24"/>
          <w:highlight w:val="none"/>
        </w:rPr>
      </w:pPr>
    </w:p>
    <w:p w14:paraId="6A8D376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16.1.2.2.3风险幅度（r）</w:t>
      </w:r>
    </w:p>
    <w:p w14:paraId="25270CB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风险幅度是指交通建设项目合同双方各自应承担的材料价格涨跌风险比例大小。风险幅度范围内的价差应作为建设单位（项目法人）、承包人的风险，不予调差。各类材料幅度系数如下：</w:t>
      </w:r>
    </w:p>
    <w:p w14:paraId="5757374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砂石料，r＝</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%；(幅度系数范围为（-5～+5）%)</w:t>
      </w:r>
    </w:p>
    <w:p w14:paraId="7582639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水泥、半成品，r＝</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%；(幅度系数范围为（-4～+4）%)</w:t>
      </w:r>
    </w:p>
    <w:p w14:paraId="534F715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钢材、油料及其他，r＝</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%；(幅度系数范围为（-3～+3）%)</w:t>
      </w:r>
    </w:p>
    <w:p w14:paraId="3B84656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16.1.2.2.4计算方法</w:t>
      </w:r>
    </w:p>
    <w:p w14:paraId="0305534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ΔC=（ΔP-Po×r）×Q×（1+D），其中：</w:t>
      </w:r>
    </w:p>
    <w:p w14:paraId="026987E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｜ΔP｜＞｜Po×r｜ ΔP＝Pi（i=1,…,n）－Po，i指计量申报时间。</w:t>
      </w:r>
    </w:p>
    <w:p w14:paraId="07F035F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式中：</w:t>
      </w:r>
    </w:p>
    <w:p w14:paraId="0510776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ΔC—价差调整费用，系按调价周期计算的当次费用。</w:t>
      </w:r>
    </w:p>
    <w:p w14:paraId="3BEB623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ΔP—材料价格差。</w:t>
      </w:r>
    </w:p>
    <w:p w14:paraId="569EAC1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Po—基准价（不含税），指建设单位（项目法人）确定最高投标限价时所采用的交通建设项目所在地地级市及以上工程造价专业机构发布的</w:t>
      </w:r>
      <w:r>
        <w:rPr>
          <w:rFonts w:hint="eastAsia" w:ascii="宋体" w:hAnsi="宋体" w:cs="宋体"/>
          <w:color w:val="auto"/>
          <w:sz w:val="24"/>
          <w:highlight w:val="none"/>
          <w:u w:val="single"/>
        </w:rPr>
        <w:t xml:space="preserve">   年  月（或季度）</w:t>
      </w:r>
      <w:r>
        <w:rPr>
          <w:rFonts w:hint="eastAsia" w:ascii="宋体" w:hAnsi="宋体" w:cs="宋体"/>
          <w:color w:val="auto"/>
          <w:sz w:val="24"/>
          <w:highlight w:val="none"/>
        </w:rPr>
        <w:t>信息价，如项目或合同段跨两个以上地级市的，按权重取平均值计算。</w:t>
      </w:r>
    </w:p>
    <w:p w14:paraId="14F8559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Pi—信息价（不含税），指采购材料时交通建设项目所在地级市及以上工程造价专业机构发布的上季（月）度信息价，如项目或合同段跨两个以上地级市的，按权重取平均值计算。</w:t>
      </w:r>
    </w:p>
    <w:p w14:paraId="6727207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Q—调整材料数量，指工程实际使用的可调差的材料数量。《调价材料单位用量指标表》中所列材料以承包人当月计量的实体工程量为基础，按照表中的单位用量指标计算调整材料数量。通车后计量部分统一按通车时点计算工程量。</w:t>
      </w:r>
    </w:p>
    <w:p w14:paraId="393DF3B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r—风险幅度系数。当ΔP&gt;0时，r为正值，当ΔP&lt;0 时，r为负值。</w:t>
      </w:r>
    </w:p>
    <w:p w14:paraId="40676307">
      <w:pPr>
        <w:pStyle w:val="61"/>
        <w:shd w:val="clear" w:fill="FFFFFF" w:themeFill="background1"/>
        <w:spacing w:line="269" w:lineRule="auto"/>
        <w:ind w:firstLine="480" w:firstLineChars="200"/>
        <w:jc w:val="center"/>
        <w:rPr>
          <w:rFonts w:ascii="宋体" w:hAnsi="宋体" w:cs="宋体"/>
          <w:color w:val="auto"/>
          <w:sz w:val="24"/>
          <w:szCs w:val="21"/>
          <w:highlight w:val="none"/>
        </w:rPr>
      </w:pPr>
      <w:r>
        <w:rPr>
          <w:rFonts w:hint="eastAsia" w:ascii="宋体" w:hAnsi="宋体" w:cs="宋体"/>
          <w:color w:val="auto"/>
          <w:sz w:val="24"/>
          <w:szCs w:val="21"/>
          <w:highlight w:val="none"/>
        </w:rPr>
        <w:t>调价材料单位用量指标表</w:t>
      </w:r>
    </w:p>
    <w:tbl>
      <w:tblPr>
        <w:tblStyle w:val="43"/>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271"/>
        <w:gridCol w:w="2172"/>
        <w:gridCol w:w="3273"/>
      </w:tblGrid>
      <w:tr w14:paraId="20E6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0041B8F">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调价的材料名称</w:t>
            </w:r>
          </w:p>
        </w:tc>
        <w:tc>
          <w:tcPr>
            <w:tcW w:w="2271" w:type="dxa"/>
            <w:vAlign w:val="center"/>
          </w:tcPr>
          <w:p w14:paraId="47F256E6">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调价的清单</w:t>
            </w:r>
          </w:p>
          <w:p w14:paraId="2D39832D">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子目编号</w:t>
            </w:r>
          </w:p>
        </w:tc>
        <w:tc>
          <w:tcPr>
            <w:tcW w:w="2172" w:type="dxa"/>
            <w:vAlign w:val="center"/>
          </w:tcPr>
          <w:p w14:paraId="5D07BBA1">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调价的项目名称</w:t>
            </w:r>
          </w:p>
        </w:tc>
        <w:tc>
          <w:tcPr>
            <w:tcW w:w="3273" w:type="dxa"/>
            <w:vAlign w:val="center"/>
          </w:tcPr>
          <w:p w14:paraId="3EE2819D">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计算调价材料数量的单位</w:t>
            </w:r>
          </w:p>
          <w:p w14:paraId="1327CE4C">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用量指标</w:t>
            </w:r>
          </w:p>
        </w:tc>
      </w:tr>
      <w:tr w14:paraId="5CE6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C5FECB9">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碎石</w:t>
            </w:r>
          </w:p>
        </w:tc>
        <w:tc>
          <w:tcPr>
            <w:tcW w:w="2271" w:type="dxa"/>
            <w:vAlign w:val="center"/>
          </w:tcPr>
          <w:p w14:paraId="3A6A888E">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18528691">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2893FDA2">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m³/m³</w:t>
            </w:r>
          </w:p>
        </w:tc>
      </w:tr>
      <w:tr w14:paraId="616B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9841F22">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砂</w:t>
            </w:r>
          </w:p>
        </w:tc>
        <w:tc>
          <w:tcPr>
            <w:tcW w:w="2271" w:type="dxa"/>
            <w:vAlign w:val="center"/>
          </w:tcPr>
          <w:p w14:paraId="62F4F3E8">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3F710ADB">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0E877B76">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m³/m³</w:t>
            </w:r>
          </w:p>
        </w:tc>
      </w:tr>
      <w:tr w14:paraId="0B86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65003B5">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水泥</w:t>
            </w:r>
          </w:p>
        </w:tc>
        <w:tc>
          <w:tcPr>
            <w:tcW w:w="2271" w:type="dxa"/>
            <w:vAlign w:val="center"/>
          </w:tcPr>
          <w:p w14:paraId="01E98EA0">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清单的200-900章中所有含轻质土、水泥稳定层、水泥混凝土的清单子目</w:t>
            </w:r>
          </w:p>
        </w:tc>
        <w:tc>
          <w:tcPr>
            <w:tcW w:w="2172" w:type="dxa"/>
            <w:vAlign w:val="center"/>
          </w:tcPr>
          <w:p w14:paraId="0A1E2A4E">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轻质土、水泥稳定层、水泥混凝土中的水泥</w:t>
            </w:r>
          </w:p>
        </w:tc>
        <w:tc>
          <w:tcPr>
            <w:tcW w:w="3273" w:type="dxa"/>
            <w:vAlign w:val="center"/>
          </w:tcPr>
          <w:p w14:paraId="554A2976">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1、轻质土：按批准的施工配合比计算水泥用量。</w:t>
            </w:r>
          </w:p>
          <w:p w14:paraId="4AD081DF">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2、水泥稳定层：按批准的施工配合比计算水泥用量。</w:t>
            </w:r>
          </w:p>
          <w:p w14:paraId="430947AD">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3、桥梁桩基础混凝土（按m计量的须换算为m³）：</w:t>
            </w: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（不分混凝土标号)</w:t>
            </w:r>
          </w:p>
          <w:p w14:paraId="02DCAAD3">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4、其他实体工程混凝土：</w:t>
            </w:r>
          </w:p>
          <w:p w14:paraId="58991BAB">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（C20及以下）</w:t>
            </w:r>
          </w:p>
          <w:p w14:paraId="069A208B">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（C25、C30、C35）</w:t>
            </w:r>
          </w:p>
          <w:p w14:paraId="7BC31A29">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（C40）</w:t>
            </w:r>
          </w:p>
          <w:p w14:paraId="5BA33A12">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（C50及以上）</w:t>
            </w:r>
          </w:p>
        </w:tc>
      </w:tr>
      <w:tr w14:paraId="79CF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5AA9EEC">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钢筋</w:t>
            </w:r>
          </w:p>
        </w:tc>
        <w:tc>
          <w:tcPr>
            <w:tcW w:w="2271" w:type="dxa"/>
            <w:vAlign w:val="center"/>
          </w:tcPr>
          <w:p w14:paraId="472829B5">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实体工程中所有钢筋的清单子目</w:t>
            </w:r>
          </w:p>
        </w:tc>
        <w:tc>
          <w:tcPr>
            <w:tcW w:w="2172" w:type="dxa"/>
            <w:vAlign w:val="center"/>
          </w:tcPr>
          <w:p w14:paraId="7BA37CB9">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钢筋</w:t>
            </w:r>
          </w:p>
        </w:tc>
        <w:tc>
          <w:tcPr>
            <w:tcW w:w="3273" w:type="dxa"/>
            <w:vAlign w:val="center"/>
          </w:tcPr>
          <w:p w14:paraId="24A962D6">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w:t>
            </w:r>
            <w:r>
              <w:rPr>
                <w:rFonts w:hint="eastAsia" w:ascii="宋体" w:hAnsi="宋体" w:cs="宋体"/>
                <w:color w:val="auto"/>
                <w:sz w:val="22"/>
                <w:szCs w:val="20"/>
                <w:highlight w:val="none"/>
              </w:rPr>
              <w:t>/t（各钢筋清单子目取此同一单位用量）</w:t>
            </w:r>
          </w:p>
        </w:tc>
      </w:tr>
      <w:tr w14:paraId="01F0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4C03D294">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钢绞线</w:t>
            </w:r>
          </w:p>
        </w:tc>
        <w:tc>
          <w:tcPr>
            <w:tcW w:w="2271" w:type="dxa"/>
            <w:vAlign w:val="center"/>
          </w:tcPr>
          <w:p w14:paraId="099DDFE4">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实体工程中所有钢绞线的清单子目</w:t>
            </w:r>
          </w:p>
        </w:tc>
        <w:tc>
          <w:tcPr>
            <w:tcW w:w="2172" w:type="dxa"/>
            <w:vAlign w:val="center"/>
          </w:tcPr>
          <w:p w14:paraId="034D7ED1">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钢绞线</w:t>
            </w:r>
          </w:p>
        </w:tc>
        <w:tc>
          <w:tcPr>
            <w:tcW w:w="3273" w:type="dxa"/>
            <w:vAlign w:val="center"/>
          </w:tcPr>
          <w:p w14:paraId="24CB4953">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w:t>
            </w:r>
            <w:r>
              <w:rPr>
                <w:rFonts w:hint="eastAsia" w:ascii="宋体" w:hAnsi="宋体" w:cs="宋体"/>
                <w:color w:val="auto"/>
                <w:sz w:val="22"/>
                <w:szCs w:val="20"/>
                <w:highlight w:val="none"/>
              </w:rPr>
              <w:t>/t（各钢绞线清单子目取此同一单位用量）</w:t>
            </w:r>
          </w:p>
        </w:tc>
      </w:tr>
      <w:tr w14:paraId="24E7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FA27F11">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沥青</w:t>
            </w:r>
          </w:p>
        </w:tc>
        <w:tc>
          <w:tcPr>
            <w:tcW w:w="2271" w:type="dxa"/>
            <w:vAlign w:val="center"/>
          </w:tcPr>
          <w:p w14:paraId="4769543C">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实体工程中所有含沥青的清单子目</w:t>
            </w:r>
          </w:p>
        </w:tc>
        <w:tc>
          <w:tcPr>
            <w:tcW w:w="2172" w:type="dxa"/>
            <w:vAlign w:val="center"/>
          </w:tcPr>
          <w:p w14:paraId="6713BFA5">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沥青</w:t>
            </w:r>
          </w:p>
        </w:tc>
        <w:tc>
          <w:tcPr>
            <w:tcW w:w="3273" w:type="dxa"/>
            <w:vAlign w:val="center"/>
          </w:tcPr>
          <w:p w14:paraId="38E5A4C8">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按批准的施工配合比计算沥青用量</w:t>
            </w:r>
          </w:p>
        </w:tc>
      </w:tr>
      <w:tr w14:paraId="236F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E1A2B16">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柴油</w:t>
            </w:r>
          </w:p>
        </w:tc>
        <w:tc>
          <w:tcPr>
            <w:tcW w:w="2271" w:type="dxa"/>
            <w:vAlign w:val="center"/>
          </w:tcPr>
          <w:p w14:paraId="558E88BF">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107A7D33">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769564DA">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kg/m³</w:t>
            </w:r>
          </w:p>
        </w:tc>
      </w:tr>
      <w:tr w14:paraId="6FFE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30CFD33">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混凝土</w:t>
            </w:r>
          </w:p>
          <w:p w14:paraId="6295F8DF">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管桩</w:t>
            </w:r>
          </w:p>
        </w:tc>
        <w:tc>
          <w:tcPr>
            <w:tcW w:w="2271" w:type="dxa"/>
            <w:vAlign w:val="center"/>
          </w:tcPr>
          <w:p w14:paraId="05278A0F">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实体工程中所有混凝土管桩的清单子目</w:t>
            </w:r>
          </w:p>
        </w:tc>
        <w:tc>
          <w:tcPr>
            <w:tcW w:w="2172" w:type="dxa"/>
            <w:vAlign w:val="center"/>
          </w:tcPr>
          <w:p w14:paraId="5D446252">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混凝土管桩</w:t>
            </w:r>
          </w:p>
        </w:tc>
        <w:tc>
          <w:tcPr>
            <w:tcW w:w="3273" w:type="dxa"/>
            <w:vAlign w:val="center"/>
          </w:tcPr>
          <w:p w14:paraId="3219157D">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m/m</w:t>
            </w:r>
          </w:p>
        </w:tc>
      </w:tr>
      <w:tr w14:paraId="5B5F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3109E1E">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w:t>
            </w:r>
          </w:p>
        </w:tc>
        <w:tc>
          <w:tcPr>
            <w:tcW w:w="2271" w:type="dxa"/>
            <w:vAlign w:val="center"/>
          </w:tcPr>
          <w:p w14:paraId="48767F9A">
            <w:pPr>
              <w:pStyle w:val="61"/>
              <w:shd w:val="clear" w:fill="FFFFFF" w:themeFill="background1"/>
              <w:spacing w:line="269" w:lineRule="auto"/>
              <w:jc w:val="center"/>
              <w:rPr>
                <w:rFonts w:ascii="宋体" w:hAnsi="宋体" w:cs="宋体"/>
                <w:color w:val="auto"/>
                <w:sz w:val="22"/>
                <w:szCs w:val="20"/>
                <w:highlight w:val="none"/>
              </w:rPr>
            </w:pPr>
          </w:p>
        </w:tc>
        <w:tc>
          <w:tcPr>
            <w:tcW w:w="2172" w:type="dxa"/>
            <w:vAlign w:val="center"/>
          </w:tcPr>
          <w:p w14:paraId="7B6FC158">
            <w:pPr>
              <w:pStyle w:val="61"/>
              <w:shd w:val="clear" w:fill="FFFFFF" w:themeFill="background1"/>
              <w:spacing w:line="269" w:lineRule="auto"/>
              <w:jc w:val="center"/>
              <w:rPr>
                <w:rFonts w:ascii="宋体" w:hAnsi="宋体" w:cs="宋体"/>
                <w:color w:val="auto"/>
                <w:sz w:val="22"/>
                <w:szCs w:val="20"/>
                <w:highlight w:val="none"/>
              </w:rPr>
            </w:pPr>
          </w:p>
        </w:tc>
        <w:tc>
          <w:tcPr>
            <w:tcW w:w="3273" w:type="dxa"/>
            <w:vAlign w:val="center"/>
          </w:tcPr>
          <w:p w14:paraId="07AAC6CA">
            <w:pPr>
              <w:pStyle w:val="61"/>
              <w:shd w:val="clear" w:fill="FFFFFF" w:themeFill="background1"/>
              <w:spacing w:line="269" w:lineRule="auto"/>
              <w:jc w:val="center"/>
              <w:rPr>
                <w:rFonts w:ascii="宋体" w:hAnsi="宋体" w:cs="宋体"/>
                <w:color w:val="auto"/>
                <w:sz w:val="22"/>
                <w:szCs w:val="20"/>
                <w:highlight w:val="none"/>
              </w:rPr>
            </w:pPr>
          </w:p>
        </w:tc>
      </w:tr>
    </w:tbl>
    <w:p w14:paraId="39EFB2C1">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 1.石料单位用量指标中单位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m³/m³代表每计量1立方米实体工程消耗的石料堆方数量为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立方米；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kg/m³代表每计量1立方米实体工程消耗的重量为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公斤。其余以此类推。</w:t>
      </w:r>
    </w:p>
    <w:p w14:paraId="74F5694F">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碎石统一按照定额材料代号5505016号“碎石”价格进行调整；砂统一按照定额材料代号5503005号“中（粗）砂”价格进行调整；机制砂统一按照定额材料代号5503002号“机制砂”价格进行调整。若采用机制砂，计算调价材料数量的单位用量指标按砂用量。</w:t>
      </w:r>
    </w:p>
    <w:p w14:paraId="227EA31C">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桥梁桩基础混凝土中的水泥统一按照定额材料代号5509002号“42.5级水泥”价格进行调整；其他实体工程混凝土中的水泥，标号小于等于C40的统一按照定额材料代号5509002号“42.5级水泥”价格进行调整，标号大于等于C50的统一按照定额材料代号5509003号“52.5级水泥”价格进行调整；桥梁桩基础根据设计桩径按计量长度换算为混凝土体积，相关成孔损耗已在上表中水泥用量指标综合考虑。</w:t>
      </w:r>
    </w:p>
    <w:p w14:paraId="1715AF4E">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4.沥青视采用的品种，按照定额材料代号3001001020号“国产沥青”或3001001021号“进口石油沥青”、3001002010号“国产改性沥青”或3001002011号“进口改性沥青”的价格进行调整。</w:t>
      </w:r>
    </w:p>
    <w:p w14:paraId="666A7BF3">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5.沥青混合料及改性沥青混合料拌合消耗的燃油、天然气统一按定额材料代号3003001 号“重油”价格进行调整。</w:t>
      </w:r>
    </w:p>
    <w:p w14:paraId="31542C2D">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6.混凝土管桩仅按成品信息价格进行调差。</w:t>
      </w:r>
    </w:p>
    <w:p w14:paraId="771D55EF">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7.表中的单位用量指标，发包人应参照《公路工程预算定额》的定额消耗量确定。</w:t>
      </w:r>
    </w:p>
    <w:p w14:paraId="460992B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16.1.3 实际采购价格法</w:t>
      </w:r>
    </w:p>
    <w:p w14:paraId="3117966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ΔC=（ΔP-Po×r）×Q，其中｜ΔP｜＞｜Po×r｜ ΔP＝Pa－Po，式中：ΔC、ΔP、Q、r同16.1.2款。</w:t>
      </w:r>
    </w:p>
    <w:p w14:paraId="7C87E07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Po—基准价，指项目招标时，建设单位（项目法人）确定最高投标限价时采用的材料单价。建设单位（项目法人）应在招标文件中明确基准价（Po）的价格。</w:t>
      </w:r>
    </w:p>
    <w:p w14:paraId="2597820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Pa—采购价，经建设单位（项目法人）、监理核实的， 有相应的合法支撑依据的实际采购材料价格</w:t>
      </w:r>
    </w:p>
    <w:p w14:paraId="0C826EA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①，分批采购时按权重取平均值计算。</w:t>
      </w:r>
    </w:p>
    <w:p w14:paraId="13DB983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采用实际采购价格法调整材料价差的其他约定，同16.1.2.2目。</w:t>
      </w:r>
    </w:p>
    <w:p w14:paraId="32D2DE1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16.1.4砂石料运输费用调整</w:t>
      </w:r>
    </w:p>
    <w:p w14:paraId="298CAC9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合同工程量清单中的沥青混凝土路面上面层用的砂石料（砂石料指碎石及同母材的机制砂）材料单价包含了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公里运输费用（其中：水路运输 Y 公里，公路运输 Z 公里），如实际运输方式和运输距离与清单预算不一致时，运输费用按如下原则进行调整：</w:t>
      </w:r>
    </w:p>
    <w:p w14:paraId="300DAA4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1、本项目实际运距指单个沥青拌和场至单个石场的运输距离，运输距离及砂石料用量以承包人、监理人、发包人三方确定为准；</w:t>
      </w:r>
    </w:p>
    <w:p w14:paraId="197CCC7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2、从不同石场采购的砂石料按各自的实际运距计算调整费用，公路运输单价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元/m³·km，水运单价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元/m³·km，调整运输费用=（（水路运输实际运距-Y-A）×</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+（公路运输实际运距-Z-B）×</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）×砂石料运输数量，正数为发包人向承包人支付调差（承包人应向发包人提供等额的完税发票），负数为发包人向承包人扣回调差（从应付工程款中扣除）。其中：</w:t>
      </w:r>
    </w:p>
    <w:p w14:paraId="09A9E56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(1)当水路运输实际运距在（Y-k）～（Y+k）公里之间（含界值）时，水路运输费用不作调整；小于（Y-k）公里时，A=-k；大于（Y+k）公里时，A=k；</w:t>
      </w:r>
    </w:p>
    <w:p w14:paraId="65240E5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(2)当公路运输实际运距在（Z-k）～（Z+k）公里之间（含界值）时，公路运输费用不作调整；小于（Z-k）公里时，B=-k；大于（Z+k）公里时，B=k；</w:t>
      </w:r>
    </w:p>
    <w:p w14:paraId="7B5A9F5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(3)运输运距以公里为单位，运输数量以m³为单位；k一般取值30。</w:t>
      </w:r>
    </w:p>
    <w:p w14:paraId="144D6C4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(4)采用铁路运输，铁路运输单价及运输费用调整同水路运输；</w:t>
      </w:r>
    </w:p>
    <w:p w14:paraId="2FDA7B4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(5)可补偿的实际运距费用按其对应数量计算最多不超过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元/m³。</w:t>
      </w:r>
    </w:p>
    <w:p w14:paraId="43934F2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3、按以上原则计算的调整费用为包干费用，不再考虑路桥费、装卸费、转运、仓储、管理费。</w:t>
      </w:r>
    </w:p>
    <w:p w14:paraId="2F368C5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16.1.5 税费增减</w:t>
      </w:r>
    </w:p>
    <w:p w14:paraId="551FBC6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由材料价差调整所产生的材料采购增值税增减额由发包人承担，其他税费由承包人承担。</w:t>
      </w:r>
    </w:p>
    <w:p w14:paraId="1E4963C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法律变化引起的价格调整</w:t>
      </w:r>
    </w:p>
    <w:p w14:paraId="66B598F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110F56B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（1）除合同另有约定外，如果在投标文件递交截止日 28 天之后，国家或省颁布的法律、法规出现修改或变更，因采用上述法律、法规使承包人在履行合同中发生第 16.1款规定的价格调整以外的费用增加或减少的，相关增减费用由监理人与承包人协商后，报发包人审核审批。</w:t>
      </w:r>
    </w:p>
    <w:p w14:paraId="1DDC215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工程实施过程中，所引用的国家标准和规范如果有修改或新颁，应由发包人决定是否采用新标准或新规范，承包人应在监理人的监督下按发包人的决定执行。采用新标准、新规范（相对于招标文件）所增加的相应费用由发包人承担。</w:t>
      </w:r>
    </w:p>
    <w:p w14:paraId="2C4C468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执行期间，如发生税务政策调整，则执行新的税务政策，按以下公式调整剩余合同价款，并签订补充协议。调整后合同价=原合同价/(1+原税率）*（1+新税率），因承包人提供发票不及时或有误导致工程款不能支付的责任由承包人承担。</w:t>
      </w:r>
    </w:p>
    <w:p w14:paraId="4E2C020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16.3 款、第 16.4 款、第 16.5 款：</w:t>
      </w:r>
    </w:p>
    <w:p w14:paraId="23F7549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执行国家和行业标准</w:t>
      </w:r>
    </w:p>
    <w:p w14:paraId="57F877C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除非发包人和监理人专门批准，如果本工程技术规范和图纸标准低于国家和行业标准，则应按国家和行业标准执行，承包人不能因此提出增加费用的要求和索赔。</w:t>
      </w:r>
    </w:p>
    <w:p w14:paraId="2C1B9F9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工期拖期的价格调整</w:t>
      </w:r>
    </w:p>
    <w:p w14:paraId="6E04DEB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由于承包人原因未能在投标书附录中写明的工期内完成本合同工程，在超出合同工期以后施工的工程，承包人不能因此提出调整合同单价（总额价）要求。即使某种延期符合第 11.4 条及本合同条款相关规定，在该延长的合同工期到期以后施工的工程，承包人也不能因此提出调整合同单价（总额价）要求。</w:t>
      </w:r>
    </w:p>
    <w:p w14:paraId="7E06D08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16.5其他原因引起的价格调整</w:t>
      </w:r>
    </w:p>
    <w:p w14:paraId="4BB7F10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16.5.1应急抢险工程</w:t>
      </w:r>
    </w:p>
    <w:p w14:paraId="35D6849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自然灾害、地质灾害以及其他突发事件引发，导致高速公路及沿线设施受损，正在发生严重危害或即将产生严重危害，必须迅速采取措施的工程或因应对突发事件需要在短期内启动并尽快完成的抢险修复工程，经发包人和监理人确认后，按应急抢险工程进行处理。应急抢险工程的变更作价按 15.4.4 款约定执行。</w:t>
      </w:r>
    </w:p>
    <w:p w14:paraId="3EDEC6A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16.5.2施工图设计和合同清单工程数量出现“差、错、漏、碰”的，经勘误后，按合同条款及计量支付规则约定的计量原则，作变更处理。</w:t>
      </w:r>
    </w:p>
    <w:p w14:paraId="266E401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16.5.3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（其他可调整价格的情形）。</w:t>
      </w:r>
    </w:p>
    <w:p w14:paraId="4158B8F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 计量与支付</w:t>
      </w:r>
    </w:p>
    <w:p w14:paraId="5BDF947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计量</w:t>
      </w:r>
    </w:p>
    <w:p w14:paraId="4B282E9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17.1.5 总价子目的计量</w:t>
      </w:r>
    </w:p>
    <w:p w14:paraId="5EC5BC1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本项目工程量清单中要求承包人以“总额”方式报价的子目，各子目的支付原则和支付进度按本合同文件工程量清单计量规则中的规定执行。</w:t>
      </w:r>
    </w:p>
    <w:p w14:paraId="2EFA5B8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17.1.6-17.1.8 项：</w:t>
      </w:r>
    </w:p>
    <w:p w14:paraId="77FC570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17.1.6 变更工程的暂定计量和支付</w:t>
      </w:r>
    </w:p>
    <w:p w14:paraId="4DA340C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报发包人上级主管部门审批的变更工程项目，在发包人审核完成而尚未获得上级主管部门审批时，可采用暂定计量，暂定计量金额不超过发包人审核后的合同变更金额的85%。待上级主管部门审批后按审批结果进行实际计量，并扣回已暂计量的金额。</w:t>
      </w:r>
    </w:p>
    <w:p w14:paraId="59885DC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17.1.7 路面备料款的计量和支付</w:t>
      </w:r>
    </w:p>
    <w:p w14:paraId="2CDEC5D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发包人将对承包人的路面碎石、机制砂备料款进行暂定计量，具体操作办法如下：</w:t>
      </w:r>
    </w:p>
    <w:p w14:paraId="0226369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（1）计量数量：以承包人实际进场并经监理人和发包人代表验收确认数量的项目专用合同条款数据表约定的比例计；</w:t>
      </w:r>
    </w:p>
    <w:p w14:paraId="6461F69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（2）计量单价：本合同段招标最高投标限价清单预算采用的相应规格材料预算价</w:t>
      </w:r>
      <w:r>
        <w:rPr>
          <w:rFonts w:hint="eastAsia" w:ascii="宋体" w:hAnsi="宋体" w:cs="宋体"/>
          <w:color w:val="auto"/>
          <w:sz w:val="24"/>
          <w:highlight w:val="none"/>
          <w:u w:val="single"/>
        </w:rPr>
        <w:t>（含税/不含税）</w:t>
      </w:r>
      <w:r>
        <w:rPr>
          <w:rFonts w:hint="eastAsia" w:ascii="宋体" w:hAnsi="宋体" w:cs="宋体"/>
          <w:color w:val="auto"/>
          <w:sz w:val="24"/>
          <w:highlight w:val="none"/>
        </w:rPr>
        <w:t>；</w:t>
      </w:r>
    </w:p>
    <w:p w14:paraId="549B1E3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（3）计量方式：每月计量一次；</w:t>
      </w:r>
    </w:p>
    <w:p w14:paraId="2280B7E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（4）暂定计量备料款的扣回：承包人所备的碎石、机制砂材料已用于路面施工并得到正常计量后，发包人将在计量当期扣回对应的暂定计量备料款。</w:t>
      </w:r>
    </w:p>
    <w:p w14:paraId="2A4CEEA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17.1.8 过程结算的计量和支付</w:t>
      </w:r>
    </w:p>
    <w:p w14:paraId="6F60E56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发包人制定过程结算制度并明确有关过程结算的计量支付规则，未按要求完成过程结算的费用项，最高支付金额不宜超过建设单位审核确认的 97%，过程结算完成后方可支付余下金额。完工结算率低于 30%的，在后续计量支付中可暂扣工程进度款一定比例，具体在过程结算条款中明确。</w:t>
      </w:r>
    </w:p>
    <w:p w14:paraId="29A2E88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预付款</w:t>
      </w:r>
    </w:p>
    <w:p w14:paraId="2B948E4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14:paraId="79693EF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本款补充第(3)目如下：</w:t>
      </w:r>
    </w:p>
    <w:p w14:paraId="0537058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如有需要，发包人可根据实际情况制定更符合工程需要的预付款月扣款比例。</w:t>
      </w:r>
    </w:p>
    <w:p w14:paraId="2F20C4C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工程进度付款</w:t>
      </w:r>
    </w:p>
    <w:p w14:paraId="3C7596B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17.3.1 付款周期</w:t>
      </w:r>
    </w:p>
    <w:p w14:paraId="39953DF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6CE92BE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根据工程进度需要，可在一个计量周期内实行“一次计量、两次支付”的方式，即在承包人上报月计量报表经监理人审核后，发包人暂按当期计量金额的50%进行第一次支付，待月计量报表审核流程结束后，发包人根据审批的付款证书进行第二次支付，并扣回第一次的暂定支付金额。”</w:t>
      </w:r>
    </w:p>
    <w:p w14:paraId="32DB8B1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 17.3.5 项细化如下:</w:t>
      </w:r>
    </w:p>
    <w:p w14:paraId="7667619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17.3.5 农民工工资保证金</w:t>
      </w:r>
    </w:p>
    <w:p w14:paraId="42D768D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按广东省交通运输厅转发人力资源社会保障部等部门《工程建设领域农民工工资保证金规定》的通知执行。</w:t>
      </w:r>
    </w:p>
    <w:p w14:paraId="75E7DA1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14:paraId="3218A98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17.4.2 项细化为：</w:t>
      </w:r>
    </w:p>
    <w:p w14:paraId="0C39FF6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项目完成竣工决算审查备案和竣工决算审计，且发包人和承包人最终确定结算金额后 30天内，发包人退还剩余质量保证金的80%给承包人。通过竣工验收后30天内，发包人将质量保证金的余额一次性退还给承包人。若承包人在项目竣工验收时工程质量评分未达优良等级，发包人全额扣回承包人在施工过程中所获得的全部优质优价价款。</w:t>
      </w:r>
    </w:p>
    <w:p w14:paraId="635C851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14:paraId="27797A7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49259C0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14:paraId="0EBF910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交通运输部及广东省交通运输厅关于交通基本建设项目竣工决算编制和省级造价信息化平台的有关规定，及时编制相应的工程结算文件，报监理人审核，发包人确认。承包人向监理人提交最终结清申请单(包括相关证明材料)的份数在项目专用合同条款数据表中约定；期限：缺陷责任期终止证书签发后28天内。</w:t>
      </w:r>
    </w:p>
    <w:p w14:paraId="4B2FDF6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14:paraId="077FB4D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竣工决算报告经政府审计部门审计、交通行业主管部门审查后，发包人将按以下原则作为调整承包人最终合同费用的依据，承包人需无条件接受：行业主管部门和审计部门对不同内容进行核减的，综合行业主管部门和审计部门的意见进行调整。</w:t>
      </w:r>
    </w:p>
    <w:p w14:paraId="4CE7910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 交工验收</w:t>
      </w:r>
    </w:p>
    <w:p w14:paraId="0633758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验收</w:t>
      </w:r>
    </w:p>
    <w:p w14:paraId="56D17AA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18.3.2 项补充：</w:t>
      </w:r>
    </w:p>
    <w:p w14:paraId="0276469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交工验收由发包人主持，由发包人、监理人、质监、设计、施工、运营、管理养护等有关部门代表组成交工验收小组，对本项目的工程质量进行评定，并写出交工验收报告报交通主管部门备案。项目交工验收报告上报备案前14天，项目必须依法依规提供完整的专项验收工作报告，包括但不限于：涉航、防雷、消防、安全性评价、工程质量检测报告等。承包人应按发包人的要求提交竣工资料，完成交工验收准备工作。 </w:t>
      </w:r>
    </w:p>
    <w:p w14:paraId="32CBFAB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交工验收是建设项目投产使用前的重要的、关键的工作，建设项目各参建单位要切实提高站位，压实主体责任，坚决扭转项目交工验收工作总结流于形式、质量差等突出问题，严格按照《广东省交通运输厅关于进一步加强公路建设项目交工验收工作管理的通知》的规定执行，要结合本项目实际认真扎实做好总结工作，总结材料力求简明扼要，文字精炼，重点突出，必要时辅以图表等辅助材料。</w:t>
      </w:r>
    </w:p>
    <w:p w14:paraId="6B73B36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竣工文件</w:t>
      </w:r>
    </w:p>
    <w:p w14:paraId="1BCFE4D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在本款后增加以下内容：</w:t>
      </w:r>
    </w:p>
    <w:p w14:paraId="6B40BED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过程中及在项目完工后，承包人应按照《广东省交通运输厅关于公路建设项目档案的管理办法》和发包人制定的竣工文件资料管理办法的规定开展竣工文件材料的编制、收集、整理、立卷、归档及信息化平台上传等工作，相应的竣工档案编制费按指定金额在工程量清单第 100 章中以总额报价。承包人向发包人提交的合格的竣工文件中必须包括有整套竣工图的电子档案。承包人在完成施工图表等竣工文件的同时，还应按《广东省交通运输厅关于印发广东省公路工程竣工决算文件编制指南的通知》、《交通运输部基本建设项目竣工财务决算编审规定》的规定，编制由承包人实施的工程结算文件，报监理人审核，作为竣工文件的一部分。</w:t>
      </w:r>
    </w:p>
    <w:p w14:paraId="70D0C02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如有需要发包人有权指定单位或相关部门进行整个项目的竣工资料统一编制，承包人应予以积极配合，所发生费用由承包人承担。</w:t>
      </w:r>
    </w:p>
    <w:p w14:paraId="0CDFC57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 缺陷责任与保修责任</w:t>
      </w:r>
    </w:p>
    <w:p w14:paraId="782004A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14:paraId="7491400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 19.2.2 项后增加以下内容：</w:t>
      </w:r>
    </w:p>
    <w:p w14:paraId="1951306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承包人应在缺陷责任期内安排专人负责缺陷责任期的管理工作，并确保在接到发包人要求处理有关缺陷事项的通知后 24 小时内到达现场，到达现场后随即采取有效措施解决工程遗留的缺陷或其他问题。承包人未履行本款规定的缺陷处治责任义务，视为承包人违约并按 22.1 款约定处理。</w:t>
      </w:r>
    </w:p>
    <w:p w14:paraId="0733B87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14:paraId="53CCD55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19.7（1）目补充：</w:t>
      </w:r>
    </w:p>
    <w:p w14:paraId="086F246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详见项目专用合同条款数据表中约定。</w:t>
      </w:r>
    </w:p>
    <w:p w14:paraId="4716932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 保险</w:t>
      </w:r>
    </w:p>
    <w:p w14:paraId="2BDF097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工程保险</w:t>
      </w:r>
    </w:p>
    <w:p w14:paraId="556512D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20.1 款修改为：</w:t>
      </w:r>
    </w:p>
    <w:p w14:paraId="5F1DCCA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建筑工程一切险及第三者责任险</w:t>
      </w:r>
    </w:p>
    <w:p w14:paraId="138BDC4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20.1.1 建筑工程一切险的投保内容：为本合同工程的永久工程、临时工程和设备及已运至施工工地用于永久工程的材料和设备所投的保险。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E5A3826">
      <w:pPr>
        <w:pStyle w:val="61"/>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保险金额：</w:t>
      </w:r>
      <w:r>
        <w:rPr>
          <w:rFonts w:hint="eastAsia" w:ascii="宋体" w:hAnsi="宋体" w:cs="宋体"/>
          <w:color w:val="auto"/>
          <w:sz w:val="24"/>
          <w:highlight w:val="none"/>
          <w:u w:val="single"/>
        </w:rPr>
        <w:t>工程量清单第 100 章至 900 章费用之和，扣除建筑工程一切险及第三者责任险的保险费、机电工程设备购置费。</w:t>
      </w:r>
    </w:p>
    <w:p w14:paraId="322FA54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14:paraId="40E3B32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14:paraId="1FA69BA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发包人或承包人应以发包人和承包人的共同名义投保建筑工程一切险及第三者责任险。建筑工程一切险及第三者责任险的保险费由承包人报价时按项目专用合同条款数据表规定的费率计算并列入工程量清单 100 章内。不论实际投保费用是高于或低于按上述办法计算的保费，发包人都不作调整。上述保险费，将由发包人从承包人的应付款中代扣，统一向保险公司支付；或先由承包人支付，在接到保险公司的保险单并经监理人签证后，发包人将按照保险单的费用直接向承包人支付，但不得高于投标文件该项所报总额价。</w:t>
      </w:r>
    </w:p>
    <w:p w14:paraId="302A690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20.1.2 保险标的出险后，承包人应自行向保险人报案、登记、索赔并报告发包人，并做好资料整理、工程损失计算等。上述工作所产生的费用由承包人承担。</w:t>
      </w:r>
    </w:p>
    <w:p w14:paraId="03A350D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20.1.3 因保险事故产生的修复、索赔等责任由承包人承担。若承包人放弃索赔或因自身原因延误索赔，发包人保留索赔的权利，保险索赔所得费用归发包人所有。</w:t>
      </w:r>
    </w:p>
    <w:p w14:paraId="2D56168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承包人员工伤事故的保险</w:t>
      </w:r>
    </w:p>
    <w:p w14:paraId="2437BE5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6DFD9C4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为促进承包人加强安全生产，预防和减少工伤事故，承包人应按《关于做好我省铁路、公路、水运、水利、能源、机场工程建设项目参加工伤保险工作的通知》（粤人社规[2018]15 号）等相关规定参加工伤保险，为其履行合同所雇用的全部人员缴纳工伤保险费，并要求其分包人也进行此项保险。</w:t>
      </w:r>
    </w:p>
    <w:p w14:paraId="4B526AA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 第三者责任险</w:t>
      </w:r>
    </w:p>
    <w:p w14:paraId="0923FD8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20.4.2 项补充：</w:t>
      </w:r>
    </w:p>
    <w:p w14:paraId="1F32B57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第三者责任险的购买、报险、索赔等，参照第 20.1 款约定执行。</w:t>
      </w:r>
    </w:p>
    <w:p w14:paraId="1913DDB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保险费，将由发包人从承包人的应付款中代扣，统一向保险公司支付；或先由承包人支付，在接到保险公司的保险单并经监理人签证后，发包人将按照保险单的费用直接向承包人支付，但不得高于对应的承包人投标报价。具体在项目专用合同条款数据表中约定。</w:t>
      </w:r>
    </w:p>
    <w:p w14:paraId="13A5EE35">
      <w:pPr>
        <w:pStyle w:val="61"/>
        <w:shd w:val="clear" w:fill="FFFFFF" w:themeFill="background1"/>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21.不可抗力</w:t>
      </w:r>
    </w:p>
    <w:p w14:paraId="05B874C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14:paraId="641F3093">
      <w:pPr>
        <w:pStyle w:val="61"/>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21.1.1 (6)不可抗力的其他情形： </w:t>
      </w:r>
      <w:r>
        <w:rPr>
          <w:rFonts w:hint="eastAsia" w:ascii="宋体" w:hAnsi="宋体" w:cs="宋体"/>
          <w:color w:val="auto"/>
          <w:sz w:val="24"/>
          <w:highlight w:val="none"/>
          <w:u w:val="single"/>
        </w:rPr>
        <w:t>详见项目专用合同条款数据表</w:t>
      </w:r>
    </w:p>
    <w:p w14:paraId="2A2E20D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不可抗力后果及其处理</w:t>
      </w:r>
    </w:p>
    <w:p w14:paraId="3918EF3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14:paraId="34F4A82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本款补充如下内容：本款中凡是约定由发包人承担损失和赔偿责任的，均按照第20 条的约定，属保险范围内的均由承保人承担。如保险金不足以补偿上述损失（包括免赔额和超过赔偿限额的部分），则按照第 21.3.1 不可抗力造成损害的责任的分摊原则执行。</w:t>
      </w:r>
    </w:p>
    <w:p w14:paraId="11EA48EF">
      <w:pPr>
        <w:pStyle w:val="61"/>
        <w:shd w:val="clear" w:fill="FFFFFF" w:themeFill="background1"/>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 违约</w:t>
      </w:r>
    </w:p>
    <w:p w14:paraId="79B3205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14:paraId="7A262E6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22.1.1(4)目补充为：承包人未能按合同进度计划及时完成合同约定的工作，或未切实履行第 4.1.7 款的约定，导致发生工程阻工、停工，已造成或预期造成工期延误；</w:t>
      </w:r>
    </w:p>
    <w:p w14:paraId="208EC26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14:paraId="48C0640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将本款第(4)目修改如下：</w:t>
      </w:r>
    </w:p>
    <w:p w14:paraId="4ED8277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承包人发生第 22.1.1 项约定的违约情况时，无论发包人是否解除合同，发包人均有权按本合同附件的规定向承包人课以违约金，并由发包人将其违约行为上报上级交通运输主管部门，作为不良记录纳入</w:t>
      </w:r>
      <w:r>
        <w:rPr>
          <w:rFonts w:hint="eastAsia" w:ascii="宋体" w:hAnsi="宋体" w:cs="宋体"/>
          <w:color w:val="auto"/>
          <w:sz w:val="24"/>
          <w:highlight w:val="none"/>
          <w:lang w:eastAsia="zh-CN"/>
        </w:rPr>
        <w:t>公路建设市场监督管理系统</w:t>
      </w:r>
      <w:r>
        <w:rPr>
          <w:rFonts w:hint="eastAsia" w:ascii="宋体" w:hAnsi="宋体" w:cs="宋体"/>
          <w:color w:val="auto"/>
          <w:sz w:val="24"/>
          <w:highlight w:val="none"/>
        </w:rPr>
        <w:t>。</w:t>
      </w:r>
    </w:p>
    <w:p w14:paraId="1880941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在本款下增加第(5)～第(7)目如下：</w:t>
      </w:r>
    </w:p>
    <w:p w14:paraId="20882F5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按合同规定向承包人开出的任何违约金，除合同另有规定外，均从发包人应向承包人支付的工程款中直接扣除。除非合同另有规定，发包人向承包人开出的任何违约金将导致承包人最终的应得结算价款相应地减少（除合同另有约定外）。承包人必须完全接受上述条款。</w:t>
      </w:r>
    </w:p>
    <w:p w14:paraId="6AC300E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38662E5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（7）本项目所有承包人的违约金均由业主掌握使用，可部分或全部用于本项目的各项评比和奖励。</w:t>
      </w:r>
    </w:p>
    <w:p w14:paraId="31118DD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发包人违约</w:t>
      </w:r>
    </w:p>
    <w:p w14:paraId="180D8EA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790F48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22.2.1 如果发包人无合理的理由去阻挠或拒绝符合合同规定的付款证书颁发所需的批准，则可视为发包人违约。承包人有权终止合同，并在通知发包人和将通知副本提交监理人的 28 天后，合同终止生效。</w:t>
      </w:r>
    </w:p>
    <w:p w14:paraId="2D2AA5A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22.2.2 如果合同因发包人违约而终止，承包人可要求发包人支付以下费用：</w:t>
      </w:r>
    </w:p>
    <w:p w14:paraId="7B42999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(a)发包人需向承包人支付合同终止之日前已完成的全部工程费用。</w:t>
      </w:r>
    </w:p>
    <w:p w14:paraId="77749DD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(b)即将交付承包人的，或承包人依法有责任接收的为该工程合理订购的材料、工程设备或货物的费用，发包人一经支付此项费用，该材料、工程设备或货物即成为发包人的财产。</w:t>
      </w:r>
    </w:p>
    <w:p w14:paraId="6E27FE0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(c)已合理开支的确定属于承包人为完成整个工程而合理发生的其他费用，而该费用未在本条款的其他各项下支付。</w:t>
      </w:r>
    </w:p>
    <w:p w14:paraId="2C5BE83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(d)考虑已完工程的付款比例，给予适当人员、设备等的退场费。</w:t>
      </w:r>
    </w:p>
    <w:p w14:paraId="6B6AD1D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22.2.3 发包人除按本款规定支付上述费用给承包人外，亦有权要求承包人偿还按合同条款规定的或未结清的承包人欠发包人的各种款项。</w:t>
      </w:r>
    </w:p>
    <w:p w14:paraId="4B8ED47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22.2.4 承包人（包括其分包人）出于追索本合同条款以外的利益，以有违社会规范的行为构成对发包人骚扰的，承包人须承担法律和经济责任。</w:t>
      </w:r>
    </w:p>
    <w:p w14:paraId="585BF1B1">
      <w:pPr>
        <w:pStyle w:val="61"/>
        <w:shd w:val="clear" w:fill="FFFFFF" w:themeFill="background1"/>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增加第 25 条</w:t>
      </w:r>
    </w:p>
    <w:p w14:paraId="3236A023">
      <w:pPr>
        <w:pStyle w:val="61"/>
        <w:shd w:val="clear" w:fill="FFFFFF" w:themeFill="background1"/>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 本项目需增加的专用合同条款</w:t>
      </w:r>
    </w:p>
    <w:p w14:paraId="6F25EAB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承包人退出机制</w:t>
      </w:r>
    </w:p>
    <w:p w14:paraId="707317D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发包人对不能满足各阶段工作目标的承包人实行强制退出本项目建设的办法。</w:t>
      </w:r>
    </w:p>
    <w:p w14:paraId="1013C30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发包人将视承包人的实际施工能力情况，可按 4.3.8、4.3.9 款将该标段内剩余工程的部分或全部进行特殊分包，强制部分或整体退出。由发包人在本项目选择履约情况好的承包人承接剩余工程或采用招标方式选择承包人。如承包人逾期不退场的， 发包人有权委托第三方清理，所需费用由承包人承担。</w:t>
      </w:r>
    </w:p>
    <w:p w14:paraId="0D4C390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25.1.1 部分退出</w:t>
      </w:r>
    </w:p>
    <w:p w14:paraId="6C6C693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（1）人员退出：承包人的主要管理人员和技术骨干如不满足要求的，按 4.6.3 项的规定进行违约处理。</w:t>
      </w:r>
    </w:p>
    <w:p w14:paraId="1A88693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（2）机械退出：机械设备达不到额定产能的 85 %者退出，并按监理人或发包人的要求及时组织性能良好的同类型的机械进驻施工现场。</w:t>
      </w:r>
    </w:p>
    <w:p w14:paraId="0B3ED86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（3）专业队伍退出：在施工过程中累计发生两次生产安全事故或两次较大质量问题者强制退出。</w:t>
      </w:r>
    </w:p>
    <w:p w14:paraId="46AFC67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（4）工程进度达不到上述要求，承包人增加人员、设备仍达不到进度要求的，发包人有权对相应分项工程进行强制分割处理。</w:t>
      </w:r>
    </w:p>
    <w:p w14:paraId="3795828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25.1.2 整体退出</w:t>
      </w:r>
    </w:p>
    <w:p w14:paraId="252649E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（1）出现转包、非法分包；</w:t>
      </w:r>
    </w:p>
    <w:p w14:paraId="5C01840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（2）出现重大安全责任，造成严重社会影响；</w:t>
      </w:r>
    </w:p>
    <w:p w14:paraId="0491F0C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（3）出现重大质量事故，严重影响工程质量和进度，造成严重社会影响；</w:t>
      </w:r>
    </w:p>
    <w:p w14:paraId="3213E6B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（4）由承包人自身原因导致使上述计划任务无法完成的；</w:t>
      </w:r>
    </w:p>
    <w:p w14:paraId="4E828A3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整体退出的施工企业，发包人将建议交通主管部门降低其信用等级。</w:t>
      </w:r>
    </w:p>
    <w:p w14:paraId="1CD7660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25.1.3 退出清算</w:t>
      </w:r>
    </w:p>
    <w:p w14:paraId="7862716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（1）发包人对承包人整体退出本项目工程建设进行公示，并要求承包人对拖欠款项的单位和个人及时清算。</w:t>
      </w:r>
    </w:p>
    <w:p w14:paraId="6FAB7C6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（2）发包人扣押履约担保、质量保证金、停止计量支付。</w:t>
      </w:r>
    </w:p>
    <w:p w14:paraId="2357B2A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（3）承包人必须向发包人提交已完成工程的齐全的施工资料。</w:t>
      </w:r>
    </w:p>
    <w:p w14:paraId="694FCAF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（4）清算后特殊分包单位的确定原则：</w:t>
      </w:r>
    </w:p>
    <w:p w14:paraId="085F2B8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由发包人选择本项目实力较强、 质量进度评比排名靠前的承包单位或由发包人通过合法方式选择分包单位；</w:t>
      </w:r>
    </w:p>
    <w:p w14:paraId="6AB29D5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分包单位选择情况上报上级行政主管部门；</w:t>
      </w:r>
    </w:p>
    <w:p w14:paraId="6B2B5F4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特殊分包单位应具备特殊分包工程相对应的资质要求。</w:t>
      </w:r>
    </w:p>
    <w:p w14:paraId="6D87BE0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（5）清算后费用承担：特殊分包范围内的项目，由于上述（4）确定的分包价与承包人合同价产生的价差由承包人承担。</w:t>
      </w:r>
    </w:p>
    <w:p w14:paraId="491E7BA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（6）承包人应无条件接受，指定特殊分包单位无须向承包人交纳管理费。</w:t>
      </w:r>
    </w:p>
    <w:p w14:paraId="3608DCF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但无论如何，承包人应按发包人要求提供已有的临时设施（如便道、电力线路等）供特殊分包人使用，承包人不得为此要求增加任何费用。</w:t>
      </w:r>
    </w:p>
    <w:p w14:paraId="47D47D2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工程管理要求</w:t>
      </w:r>
    </w:p>
    <w:p w14:paraId="6F5D3E2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发包人在项目建设管理过程中将推行交通运输部、广东省关于绿色公路、品质工程等公路工程现代化管理和公路施工标准化管理，为确保对项目生产一线的有效管理，承包人在进场施工时应配备足够的车辆用于项目管理现场，直至本项目建成通车。承包人应针对上述管理要求制定相应的工作方案，相应的人员、车辆应报监理人及发包人审批。</w:t>
      </w:r>
    </w:p>
    <w:p w14:paraId="61B9685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 电子文件归档和电子档案管理：</w:t>
      </w:r>
    </w:p>
    <w:p w14:paraId="767DE21D">
      <w:pPr>
        <w:pStyle w:val="61"/>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工程交工验收后，承包人需根据有关规定提供工程相关的电子档案，含关键工序、重点部位、隐蔽工程等影像资料等。</w:t>
      </w:r>
    </w:p>
    <w:p w14:paraId="40EF06B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25.4 过程结算</w:t>
      </w:r>
    </w:p>
    <w:p w14:paraId="58EE16E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本合同工程执行过程中，建立过程结算制度，开展过程结算工作评价和考核，提高合同结算工作效率。具体执行《广东省交通运输厅关于印发广东省公路建设项目过程结算工作指导意见的通知》的规定, 并符合以下规定：</w:t>
      </w:r>
    </w:p>
    <w:p w14:paraId="7077776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开工前，发包人制订过程结算的目标和计划,按《广东省公路工程造价标准化管理指南》规定及发包人要求建立标准费用项目、合同工程量清单、图纸工程量三者的对应关系,明确过程结算的结算范围、单元划分、工作程序和考核标准等。承包人应配备专业人员、明确责任领导，按计划编制过程结算文件，将结算计划纳入总体施工组织设计内容, 作为开工报告组成部分。</w:t>
      </w:r>
    </w:p>
    <w:p w14:paraId="7745487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2.发包人、承包人均应保障承担过程结算工作人员的配置和稳定, 做到过程结算和工程建设同步推进、应结尽结。</w:t>
      </w:r>
    </w:p>
    <w:p w14:paraId="6B46C3E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3.结算单元按合同约定完成并通过质量中间验收，原则上按项目专用合同条款数据表约定的时间完成过程结算文件的编制、审核、签认工作。</w:t>
      </w:r>
    </w:p>
    <w:p w14:paraId="527BBA4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4.未按要求完成过程结算的费用项, 按项目专用合同条款数据表约定内容执行。</w:t>
      </w:r>
    </w:p>
    <w:p w14:paraId="13563F2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5.发包人、承包人签署认可的过程结算文件, 是最终结算文件和竣工决算文件的组成部分,具有法律效力, 最终结算时不需对已确认的过程结算重新办理确认。</w:t>
      </w:r>
    </w:p>
    <w:p w14:paraId="6AF53C2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25.5 合同结算</w:t>
      </w:r>
    </w:p>
    <w:p w14:paraId="7286374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本合同工程交工验收后，承包人应按《广东省交通运输厅关于印发广东省公路建设项目竣工决算实行备案制管理的通知》的具体要求完成结算工作，发包人可根据项目实际情况制定相应的奖罚措施。</w:t>
      </w:r>
    </w:p>
    <w:p w14:paraId="1F9404C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为了按期完成工程竣工决算审查备案、审计及竣工验收工作，如发包人和承包人对结算确实存在分歧，经双方协商未果情况下，发包人有权进行合同单方结算，承包人须无条件接受。</w:t>
      </w:r>
    </w:p>
    <w:p w14:paraId="4106F54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25.6 本合同未尽事宜</w:t>
      </w:r>
    </w:p>
    <w:p w14:paraId="4A5EEBD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p>
    <w:p w14:paraId="34003C5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发包人对项目实施动态管理，根据工程进展情况及项目目标实现情况，通过修正专用项目管理制度，不断建设完善项目管理责任体系，承包人须积极配合并无条件的接受。</w:t>
      </w:r>
    </w:p>
    <w:p w14:paraId="11DD7E5A">
      <w:pPr>
        <w:pStyle w:val="61"/>
        <w:shd w:val="clear" w:fill="FFFFFF" w:themeFill="background1"/>
        <w:spacing w:line="360" w:lineRule="auto"/>
        <w:ind w:firstLine="480" w:firstLineChars="200"/>
        <w:rPr>
          <w:rFonts w:ascii="宋体" w:hAnsi="宋体" w:cs="宋体"/>
          <w:color w:val="auto"/>
          <w:sz w:val="24"/>
          <w:highlight w:val="none"/>
        </w:rPr>
      </w:pPr>
    </w:p>
    <w:p w14:paraId="7DD21A36">
      <w:pPr>
        <w:pStyle w:val="61"/>
        <w:shd w:val="clear" w:fill="FFFFFF" w:themeFill="background1"/>
        <w:spacing w:line="360" w:lineRule="auto"/>
        <w:ind w:firstLine="480" w:firstLineChars="200"/>
        <w:rPr>
          <w:rFonts w:ascii="宋体" w:hAnsi="宋体" w:cs="宋体"/>
          <w:color w:val="auto"/>
          <w:sz w:val="24"/>
          <w:highlight w:val="none"/>
        </w:rPr>
      </w:pPr>
    </w:p>
    <w:p w14:paraId="3FCCDC29">
      <w:pPr>
        <w:pStyle w:val="61"/>
        <w:shd w:val="clear" w:fill="FFFFFF" w:themeFill="background1"/>
        <w:spacing w:line="360" w:lineRule="auto"/>
        <w:ind w:firstLine="480" w:firstLineChars="200"/>
        <w:rPr>
          <w:rFonts w:ascii="宋体" w:hAnsi="宋体" w:cs="宋体"/>
          <w:color w:val="auto"/>
          <w:sz w:val="24"/>
          <w:highlight w:val="none"/>
        </w:rPr>
      </w:pPr>
    </w:p>
    <w:p w14:paraId="4D31BFD5">
      <w:pPr>
        <w:pStyle w:val="61"/>
        <w:shd w:val="clear" w:fill="FFFFFF" w:themeFill="background1"/>
        <w:spacing w:line="360" w:lineRule="auto"/>
        <w:ind w:firstLine="480" w:firstLineChars="200"/>
        <w:rPr>
          <w:rFonts w:ascii="宋体" w:hAnsi="宋体" w:cs="宋体"/>
          <w:color w:val="auto"/>
          <w:sz w:val="24"/>
          <w:highlight w:val="none"/>
        </w:rPr>
      </w:pPr>
    </w:p>
    <w:p w14:paraId="73524386">
      <w:pPr>
        <w:pStyle w:val="61"/>
        <w:shd w:val="clear" w:fill="FFFFFF" w:themeFill="background1"/>
        <w:spacing w:line="360" w:lineRule="auto"/>
        <w:ind w:firstLine="480" w:firstLineChars="200"/>
        <w:rPr>
          <w:rFonts w:ascii="宋体" w:hAnsi="宋体" w:cs="宋体"/>
          <w:color w:val="auto"/>
          <w:sz w:val="24"/>
          <w:highlight w:val="none"/>
        </w:rPr>
      </w:pPr>
    </w:p>
    <w:p w14:paraId="3D6F71ED">
      <w:pPr>
        <w:pStyle w:val="61"/>
        <w:shd w:val="clear" w:fill="FFFFFF" w:themeFill="background1"/>
        <w:spacing w:line="360" w:lineRule="auto"/>
        <w:ind w:firstLine="480" w:firstLineChars="200"/>
        <w:rPr>
          <w:rFonts w:ascii="宋体" w:hAnsi="宋体" w:cs="宋体"/>
          <w:color w:val="auto"/>
          <w:sz w:val="24"/>
          <w:highlight w:val="none"/>
        </w:rPr>
      </w:pPr>
    </w:p>
    <w:p w14:paraId="5D67A539">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br w:type="page"/>
      </w:r>
    </w:p>
    <w:bookmarkEnd w:id="1685"/>
    <w:bookmarkEnd w:id="1686"/>
    <w:p w14:paraId="1F190CB1">
      <w:pPr>
        <w:pStyle w:val="3"/>
        <w:shd w:val="clear" w:fill="FFFFFF" w:themeFill="background1"/>
        <w:spacing w:after="120" w:line="240" w:lineRule="auto"/>
        <w:jc w:val="center"/>
        <w:rPr>
          <w:rFonts w:ascii="宋体" w:hAnsi="宋体"/>
          <w:color w:val="auto"/>
          <w:highlight w:val="none"/>
        </w:rPr>
      </w:pPr>
      <w:bookmarkStart w:id="1687" w:name="_Toc43476005"/>
      <w:bookmarkEnd w:id="1687"/>
      <w:r>
        <w:rPr>
          <w:rFonts w:ascii="宋体" w:hAnsi="宋体"/>
          <w:color w:val="auto"/>
          <w:highlight w:val="none"/>
        </w:rPr>
        <w:t>第三节合同附件格式</w:t>
      </w:r>
    </w:p>
    <w:p w14:paraId="5269632E">
      <w:pPr>
        <w:shd w:val="clear" w:fill="FFFFFF" w:themeFill="background1"/>
        <w:rPr>
          <w:rFonts w:ascii="宋体" w:hAnsi="宋体"/>
          <w:color w:val="auto"/>
          <w:sz w:val="24"/>
          <w:highlight w:val="none"/>
        </w:rPr>
      </w:pPr>
    </w:p>
    <w:p w14:paraId="43045B11">
      <w:pPr>
        <w:pStyle w:val="78"/>
        <w:shd w:val="clear" w:fill="FFFFFF" w:themeFill="background1"/>
        <w:spacing w:line="360" w:lineRule="auto"/>
        <w:rPr>
          <w:rFonts w:ascii="宋体" w:hAnsi="宋体"/>
          <w:color w:val="auto"/>
          <w:sz w:val="24"/>
          <w:szCs w:val="24"/>
          <w:highlight w:val="none"/>
        </w:rPr>
      </w:pPr>
      <w:bookmarkStart w:id="1688" w:name="_Toc4937"/>
      <w:bookmarkEnd w:id="1688"/>
      <w:bookmarkStart w:id="1689" w:name="_Toc43476006"/>
      <w:bookmarkEnd w:id="1689"/>
      <w:r>
        <w:rPr>
          <w:rFonts w:ascii="宋体" w:hAnsi="宋体"/>
          <w:color w:val="auto"/>
          <w:sz w:val="24"/>
          <w:szCs w:val="24"/>
          <w:highlight w:val="none"/>
        </w:rPr>
        <w:t>附件一</w:t>
      </w:r>
      <w:r>
        <w:rPr>
          <w:rFonts w:hint="eastAsia" w:ascii="宋体" w:hAnsi="宋体"/>
          <w:color w:val="auto"/>
          <w:sz w:val="24"/>
          <w:szCs w:val="24"/>
          <w:highlight w:val="none"/>
        </w:rPr>
        <w:t xml:space="preserve">  </w:t>
      </w:r>
      <w:r>
        <w:rPr>
          <w:rFonts w:ascii="宋体" w:hAnsi="宋体"/>
          <w:color w:val="auto"/>
          <w:sz w:val="24"/>
          <w:szCs w:val="24"/>
          <w:highlight w:val="none"/>
        </w:rPr>
        <w:t>合同协议书</w:t>
      </w:r>
    </w:p>
    <w:p w14:paraId="4ACC0E7F">
      <w:pPr>
        <w:shd w:val="clear" w:fill="FFFFFF" w:themeFill="background1"/>
        <w:rPr>
          <w:rFonts w:ascii="宋体" w:hAnsi="宋体"/>
          <w:color w:val="auto"/>
          <w:sz w:val="24"/>
          <w:highlight w:val="none"/>
        </w:rPr>
      </w:pPr>
    </w:p>
    <w:p w14:paraId="0663384A">
      <w:pPr>
        <w:shd w:val="clear" w:fill="FFFFFF" w:themeFill="background1"/>
        <w:jc w:val="center"/>
        <w:rPr>
          <w:rFonts w:ascii="宋体" w:hAnsi="宋体"/>
          <w:b/>
          <w:color w:val="auto"/>
          <w:sz w:val="32"/>
          <w:szCs w:val="32"/>
          <w:highlight w:val="none"/>
        </w:rPr>
      </w:pPr>
      <w:r>
        <w:rPr>
          <w:rFonts w:hint="eastAsia" w:ascii="宋体" w:hAnsi="宋体"/>
          <w:b/>
          <w:color w:val="auto"/>
          <w:sz w:val="32"/>
          <w:szCs w:val="32"/>
          <w:highlight w:val="none"/>
        </w:rPr>
        <w:t>合同协议书</w:t>
      </w:r>
    </w:p>
    <w:p w14:paraId="7178C686">
      <w:pPr>
        <w:shd w:val="clear" w:fill="FFFFFF" w:themeFill="background1"/>
        <w:rPr>
          <w:rFonts w:ascii="宋体" w:hAnsi="宋体"/>
          <w:color w:val="auto"/>
          <w:sz w:val="24"/>
          <w:highlight w:val="none"/>
        </w:rPr>
      </w:pPr>
    </w:p>
    <w:p w14:paraId="3B7F7FB3">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u w:val="single"/>
        </w:rPr>
        <w:t>（发包人名称，以下简称“发包人”）</w:t>
      </w:r>
      <w:r>
        <w:rPr>
          <w:rFonts w:ascii="宋体" w:hAnsi="宋体"/>
          <w:color w:val="auto"/>
          <w:sz w:val="24"/>
          <w:highlight w:val="none"/>
        </w:rPr>
        <w:t>为实施</w:t>
      </w:r>
      <w:r>
        <w:rPr>
          <w:rFonts w:ascii="宋体" w:hAnsi="宋体"/>
          <w:color w:val="auto"/>
          <w:sz w:val="24"/>
          <w:highlight w:val="none"/>
          <w:u w:val="single"/>
        </w:rPr>
        <w:t>（项目名称）</w:t>
      </w:r>
      <w:r>
        <w:rPr>
          <w:rFonts w:ascii="宋体" w:hAnsi="宋体"/>
          <w:color w:val="auto"/>
          <w:sz w:val="24"/>
          <w:highlight w:val="none"/>
        </w:rPr>
        <w:t>，已接受</w:t>
      </w:r>
      <w:r>
        <w:rPr>
          <w:rFonts w:ascii="宋体" w:hAnsi="宋体"/>
          <w:color w:val="auto"/>
          <w:sz w:val="24"/>
          <w:highlight w:val="none"/>
          <w:u w:val="single"/>
        </w:rPr>
        <w:t>（承包人名称，以下简称“承包人”）</w:t>
      </w:r>
      <w:r>
        <w:rPr>
          <w:rFonts w:ascii="宋体" w:hAnsi="宋体"/>
          <w:color w:val="auto"/>
          <w:sz w:val="24"/>
          <w:highlight w:val="none"/>
        </w:rPr>
        <w:t>对该项目标段施工的投标。发包人和承包人共同达成如下协议。</w:t>
      </w:r>
    </w:p>
    <w:p w14:paraId="0336F1B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1.第标段由K+</w:t>
      </w:r>
      <w:r>
        <w:rPr>
          <w:rFonts w:hint="eastAsia" w:ascii="宋体" w:hAnsi="宋体"/>
          <w:color w:val="auto"/>
          <w:sz w:val="24"/>
          <w:highlight w:val="none"/>
          <w:u w:val="single"/>
        </w:rPr>
        <w:t xml:space="preserve">   </w:t>
      </w:r>
      <w:r>
        <w:rPr>
          <w:rFonts w:hint="eastAsia" w:ascii="宋体" w:hAnsi="宋体"/>
          <w:color w:val="auto"/>
          <w:sz w:val="24"/>
          <w:highlight w:val="none"/>
        </w:rPr>
        <w:t>至K+</w:t>
      </w:r>
      <w:r>
        <w:rPr>
          <w:rFonts w:hint="eastAsia" w:ascii="宋体" w:hAnsi="宋体"/>
          <w:color w:val="auto"/>
          <w:sz w:val="24"/>
          <w:highlight w:val="none"/>
          <w:u w:val="single"/>
        </w:rPr>
        <w:t xml:space="preserve">   </w:t>
      </w:r>
      <w:r>
        <w:rPr>
          <w:rFonts w:hint="eastAsia" w:ascii="宋体" w:hAnsi="宋体"/>
          <w:color w:val="auto"/>
          <w:sz w:val="24"/>
          <w:highlight w:val="none"/>
        </w:rPr>
        <w:t>，长约</w:t>
      </w:r>
      <w:r>
        <w:rPr>
          <w:rFonts w:hint="eastAsia" w:ascii="宋体" w:hAnsi="宋体"/>
          <w:color w:val="auto"/>
          <w:sz w:val="24"/>
          <w:highlight w:val="none"/>
          <w:u w:val="single"/>
        </w:rPr>
        <w:t xml:space="preserve">   </w:t>
      </w:r>
      <w:r>
        <w:rPr>
          <w:rFonts w:hint="eastAsia" w:ascii="宋体" w:hAnsi="宋体"/>
          <w:color w:val="auto"/>
          <w:sz w:val="24"/>
          <w:highlight w:val="none"/>
        </w:rPr>
        <w:t>km，公路等级为</w:t>
      </w:r>
      <w:r>
        <w:rPr>
          <w:rFonts w:hint="eastAsia" w:ascii="宋体" w:hAnsi="宋体"/>
          <w:color w:val="auto"/>
          <w:sz w:val="24"/>
          <w:highlight w:val="none"/>
          <w:u w:val="single"/>
        </w:rPr>
        <w:t xml:space="preserve">   </w:t>
      </w:r>
      <w:r>
        <w:rPr>
          <w:rFonts w:hint="eastAsia" w:ascii="宋体" w:hAnsi="宋体"/>
          <w:color w:val="auto"/>
          <w:sz w:val="24"/>
          <w:highlight w:val="none"/>
        </w:rPr>
        <w:t>，设计时速为</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路面，有立交</w:t>
      </w:r>
      <w:r>
        <w:rPr>
          <w:rFonts w:hint="eastAsia" w:ascii="宋体" w:hAnsi="宋体"/>
          <w:color w:val="auto"/>
          <w:sz w:val="24"/>
          <w:highlight w:val="none"/>
          <w:u w:val="single"/>
        </w:rPr>
        <w:t xml:space="preserve">   </w:t>
      </w:r>
      <w:r>
        <w:rPr>
          <w:rFonts w:hint="eastAsia" w:ascii="宋体" w:hAnsi="宋体"/>
          <w:color w:val="auto"/>
          <w:sz w:val="24"/>
          <w:highlight w:val="none"/>
        </w:rPr>
        <w:t>处；特大桥</w:t>
      </w:r>
      <w:r>
        <w:rPr>
          <w:rFonts w:hint="eastAsia" w:ascii="宋体" w:hAnsi="宋体"/>
          <w:color w:val="auto"/>
          <w:sz w:val="24"/>
          <w:highlight w:val="none"/>
          <w:u w:val="single"/>
        </w:rPr>
        <w:t xml:space="preserve">   </w:t>
      </w:r>
      <w:r>
        <w:rPr>
          <w:rFonts w:hint="eastAsia" w:ascii="宋体" w:hAnsi="宋体"/>
          <w:color w:val="auto"/>
          <w:sz w:val="24"/>
          <w:highlight w:val="none"/>
        </w:rPr>
        <w:t>座，计长</w:t>
      </w:r>
      <w:r>
        <w:rPr>
          <w:rFonts w:hint="eastAsia" w:ascii="宋体" w:hAnsi="宋体"/>
          <w:color w:val="auto"/>
          <w:sz w:val="24"/>
          <w:highlight w:val="none"/>
          <w:u w:val="single"/>
        </w:rPr>
        <w:t xml:space="preserve">   </w:t>
      </w:r>
      <w:r>
        <w:rPr>
          <w:rFonts w:hint="eastAsia" w:ascii="宋体" w:hAnsi="宋体"/>
          <w:color w:val="auto"/>
          <w:sz w:val="24"/>
          <w:highlight w:val="none"/>
        </w:rPr>
        <w:t>m；大中桥</w:t>
      </w:r>
      <w:r>
        <w:rPr>
          <w:rFonts w:hint="eastAsia" w:ascii="宋体" w:hAnsi="宋体"/>
          <w:color w:val="auto"/>
          <w:sz w:val="24"/>
          <w:highlight w:val="none"/>
          <w:u w:val="single"/>
        </w:rPr>
        <w:t xml:space="preserve">   </w:t>
      </w:r>
      <w:r>
        <w:rPr>
          <w:rFonts w:hint="eastAsia" w:ascii="宋体" w:hAnsi="宋体"/>
          <w:color w:val="auto"/>
          <w:sz w:val="24"/>
          <w:highlight w:val="none"/>
        </w:rPr>
        <w:t>座，计长</w:t>
      </w:r>
      <w:r>
        <w:rPr>
          <w:rFonts w:hint="eastAsia" w:ascii="宋体" w:hAnsi="宋体"/>
          <w:color w:val="auto"/>
          <w:sz w:val="24"/>
          <w:highlight w:val="none"/>
          <w:u w:val="single"/>
        </w:rPr>
        <w:t xml:space="preserve">   </w:t>
      </w:r>
      <w:r>
        <w:rPr>
          <w:rFonts w:hint="eastAsia" w:ascii="宋体" w:hAnsi="宋体"/>
          <w:color w:val="auto"/>
          <w:sz w:val="24"/>
          <w:highlight w:val="none"/>
        </w:rPr>
        <w:t>m；隧道</w:t>
      </w:r>
      <w:r>
        <w:rPr>
          <w:rFonts w:hint="eastAsia" w:ascii="宋体" w:hAnsi="宋体"/>
          <w:color w:val="auto"/>
          <w:sz w:val="24"/>
          <w:highlight w:val="none"/>
          <w:u w:val="single"/>
        </w:rPr>
        <w:t xml:space="preserve">   </w:t>
      </w:r>
      <w:r>
        <w:rPr>
          <w:rFonts w:hint="eastAsia" w:ascii="宋体" w:hAnsi="宋体"/>
          <w:color w:val="auto"/>
          <w:sz w:val="24"/>
          <w:highlight w:val="none"/>
        </w:rPr>
        <w:t>座，计长</w:t>
      </w:r>
      <w:r>
        <w:rPr>
          <w:rFonts w:hint="eastAsia" w:ascii="宋体" w:hAnsi="宋体"/>
          <w:color w:val="auto"/>
          <w:sz w:val="24"/>
          <w:highlight w:val="none"/>
          <w:u w:val="single"/>
        </w:rPr>
        <w:t xml:space="preserve">   </w:t>
      </w:r>
      <w:r>
        <w:rPr>
          <w:rFonts w:hint="eastAsia" w:ascii="宋体" w:hAnsi="宋体"/>
          <w:color w:val="auto"/>
          <w:sz w:val="24"/>
          <w:highlight w:val="none"/>
        </w:rPr>
        <w:t>m以及其他构造物工程等。</w:t>
      </w:r>
    </w:p>
    <w:p w14:paraId="2D75978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下列文件应视为构成合同文件的组成部分</w:t>
      </w:r>
      <w:r>
        <w:rPr>
          <w:rFonts w:ascii="宋体" w:hAnsi="宋体"/>
          <w:color w:val="auto"/>
          <w:sz w:val="24"/>
          <w:highlight w:val="none"/>
        </w:rPr>
        <w:t>：</w:t>
      </w:r>
    </w:p>
    <w:p w14:paraId="4D62594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（1）本协议书及各种合同附件（含评标期间和合同谈判过程中的澄清文件和补充资料）；</w:t>
      </w:r>
    </w:p>
    <w:p w14:paraId="45DCA8A5">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（2）中标通知书；</w:t>
      </w:r>
    </w:p>
    <w:p w14:paraId="7A7EE09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（3）投标函及投标函附录；</w:t>
      </w:r>
    </w:p>
    <w:p w14:paraId="44C324F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（4）项目专用合同条款；</w:t>
      </w:r>
    </w:p>
    <w:p w14:paraId="043E590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（5）公路工程专用合同条款；</w:t>
      </w:r>
    </w:p>
    <w:p w14:paraId="4E44801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（6）通用合同条款；</w:t>
      </w:r>
    </w:p>
    <w:p w14:paraId="4B4F33C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（7）工程量清单计量规则；</w:t>
      </w:r>
    </w:p>
    <w:p w14:paraId="1C4AFCF0">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（8）技术规范；</w:t>
      </w:r>
    </w:p>
    <w:p w14:paraId="52DF708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（9）图纸；</w:t>
      </w:r>
    </w:p>
    <w:p w14:paraId="3AA8097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（10）已标价工程量清单；</w:t>
      </w:r>
    </w:p>
    <w:p w14:paraId="00A42B7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（11）承包人有关人员、设备投入的承诺及投标文件中的施工组织设计；</w:t>
      </w:r>
    </w:p>
    <w:p w14:paraId="240B1E3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（12）其他合同文件。</w:t>
      </w:r>
    </w:p>
    <w:p w14:paraId="2396839D">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上述</w:t>
      </w:r>
      <w:r>
        <w:rPr>
          <w:rFonts w:hint="eastAsia" w:ascii="宋体" w:hAnsi="宋体"/>
          <w:color w:val="auto"/>
          <w:sz w:val="24"/>
          <w:highlight w:val="none"/>
        </w:rPr>
        <w:t>合同</w:t>
      </w:r>
      <w:r>
        <w:rPr>
          <w:rFonts w:ascii="宋体" w:hAnsi="宋体"/>
          <w:color w:val="auto"/>
          <w:sz w:val="24"/>
          <w:highlight w:val="none"/>
        </w:rPr>
        <w:t>文件互相补充和解释</w:t>
      </w:r>
      <w:r>
        <w:rPr>
          <w:rFonts w:hint="eastAsia" w:ascii="宋体" w:hAnsi="宋体"/>
          <w:color w:val="auto"/>
          <w:sz w:val="24"/>
          <w:highlight w:val="none"/>
        </w:rPr>
        <w:t>。</w:t>
      </w:r>
      <w:r>
        <w:rPr>
          <w:rFonts w:ascii="宋体" w:hAnsi="宋体"/>
          <w:color w:val="auto"/>
          <w:sz w:val="24"/>
          <w:highlight w:val="none"/>
        </w:rPr>
        <w:t>如有</w:t>
      </w:r>
      <w:r>
        <w:rPr>
          <w:rFonts w:hint="eastAsia" w:ascii="宋体" w:hAnsi="宋体"/>
          <w:color w:val="auto"/>
          <w:sz w:val="24"/>
          <w:highlight w:val="none"/>
        </w:rPr>
        <w:t>合同文件之间存在矛盾</w:t>
      </w:r>
      <w:r>
        <w:rPr>
          <w:rFonts w:ascii="宋体" w:hAnsi="宋体"/>
          <w:color w:val="auto"/>
          <w:sz w:val="24"/>
          <w:highlight w:val="none"/>
        </w:rPr>
        <w:t>或不一致之处，以</w:t>
      </w:r>
      <w:r>
        <w:rPr>
          <w:rFonts w:hint="eastAsia" w:ascii="宋体" w:hAnsi="宋体"/>
          <w:color w:val="auto"/>
          <w:sz w:val="24"/>
          <w:highlight w:val="none"/>
        </w:rPr>
        <w:t>上述文件的排列顺序</w:t>
      </w:r>
      <w:r>
        <w:rPr>
          <w:rFonts w:ascii="宋体" w:hAnsi="宋体"/>
          <w:color w:val="auto"/>
          <w:sz w:val="24"/>
          <w:highlight w:val="none"/>
        </w:rPr>
        <w:t>在先者为准。</w:t>
      </w:r>
    </w:p>
    <w:p w14:paraId="13D3AA3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根据工程量清单所列的预计数量和单价或总额价计算的签约</w:t>
      </w:r>
      <w:r>
        <w:rPr>
          <w:rFonts w:ascii="宋体" w:hAnsi="宋体"/>
          <w:color w:val="auto"/>
          <w:sz w:val="24"/>
          <w:highlight w:val="none"/>
        </w:rPr>
        <w:t>合同价：</w:t>
      </w:r>
      <w:r>
        <w:rPr>
          <w:rFonts w:ascii="宋体" w:hAnsi="宋体"/>
          <w:color w:val="auto"/>
          <w:sz w:val="24"/>
          <w:highlight w:val="none"/>
          <w:u w:val="single"/>
        </w:rPr>
        <w:t>人民币（大写）</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元）</w:t>
      </w:r>
      <w:r>
        <w:rPr>
          <w:rFonts w:ascii="宋体" w:hAnsi="宋体"/>
          <w:color w:val="auto"/>
          <w:sz w:val="24"/>
          <w:highlight w:val="none"/>
        </w:rPr>
        <w:t>。</w:t>
      </w:r>
    </w:p>
    <w:p w14:paraId="5CA5436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承包人项目经理：</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承包人项目总工：</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99234E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工程质量符合标准</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工程安全目标：</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6E32FE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承包人承诺按合同约定承担工程的实施、完成及缺陷修复。</w:t>
      </w:r>
    </w:p>
    <w:p w14:paraId="45E51A80">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发包人承诺按合同约定的条件、时间和方式向承包人支付合同价款。</w:t>
      </w:r>
    </w:p>
    <w:p w14:paraId="388EB14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承包人应按照监理人指示开工，工期为</w:t>
      </w:r>
      <w:r>
        <w:rPr>
          <w:rFonts w:hint="eastAsia" w:ascii="宋体" w:hAnsi="宋体"/>
          <w:color w:val="auto"/>
          <w:sz w:val="24"/>
          <w:highlight w:val="none"/>
          <w:u w:val="single"/>
        </w:rPr>
        <w:t xml:space="preserve">       </w:t>
      </w:r>
      <w:r>
        <w:rPr>
          <w:rFonts w:ascii="宋体" w:hAnsi="宋体"/>
          <w:color w:val="auto"/>
          <w:sz w:val="24"/>
          <w:highlight w:val="none"/>
        </w:rPr>
        <w:t>日历天。</w:t>
      </w:r>
    </w:p>
    <w:p w14:paraId="7FC6A4F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05E728B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10.本协议书正本二份、副本份，合同双方各执正本一份，副本份，当正本与副本的内容不一致时，以正本为准。</w:t>
      </w:r>
    </w:p>
    <w:p w14:paraId="267D89BE">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.合同未尽事宜，双方另行签订补充协议。补充协议是合同的组成部分。</w:t>
      </w:r>
    </w:p>
    <w:p w14:paraId="5D4AF697">
      <w:pPr>
        <w:shd w:val="clear" w:fill="FFFFFF" w:themeFill="background1"/>
        <w:spacing w:line="400" w:lineRule="exact"/>
        <w:rPr>
          <w:rFonts w:ascii="宋体" w:hAnsi="宋体"/>
          <w:color w:val="auto"/>
          <w:sz w:val="24"/>
          <w:highlight w:val="none"/>
        </w:rPr>
      </w:pPr>
    </w:p>
    <w:p w14:paraId="640CF0F7">
      <w:pPr>
        <w:shd w:val="clear" w:fill="FFFFFF" w:themeFill="background1"/>
        <w:spacing w:line="400" w:lineRule="exact"/>
        <w:rPr>
          <w:rFonts w:ascii="宋体" w:hAnsi="宋体"/>
          <w:color w:val="auto"/>
          <w:sz w:val="24"/>
          <w:highlight w:val="none"/>
        </w:rPr>
      </w:pPr>
    </w:p>
    <w:p w14:paraId="72C6CB87">
      <w:pPr>
        <w:shd w:val="clear" w:fill="FFFFFF" w:themeFill="background1"/>
        <w:spacing w:line="400" w:lineRule="exact"/>
        <w:rPr>
          <w:rFonts w:ascii="宋体" w:hAnsi="宋体"/>
          <w:color w:val="auto"/>
          <w:sz w:val="24"/>
          <w:highlight w:val="none"/>
        </w:rPr>
      </w:pPr>
      <w:r>
        <w:rPr>
          <w:rFonts w:ascii="宋体" w:hAnsi="宋体"/>
          <w:color w:val="auto"/>
          <w:sz w:val="24"/>
          <w:highlight w:val="none"/>
        </w:rPr>
        <w:t>发包人：（盖单位章）</w:t>
      </w:r>
      <w:r>
        <w:rPr>
          <w:rFonts w:hint="eastAsia" w:ascii="宋体" w:hAnsi="宋体"/>
          <w:color w:val="auto"/>
          <w:sz w:val="24"/>
          <w:highlight w:val="none"/>
        </w:rPr>
        <w:t xml:space="preserve">                           </w:t>
      </w:r>
      <w:r>
        <w:rPr>
          <w:rFonts w:ascii="宋体" w:hAnsi="宋体"/>
          <w:color w:val="auto"/>
          <w:sz w:val="24"/>
          <w:highlight w:val="none"/>
        </w:rPr>
        <w:t xml:space="preserve">承包人：（盖单位章） </w:t>
      </w:r>
    </w:p>
    <w:p w14:paraId="50273790">
      <w:pPr>
        <w:shd w:val="clear" w:fill="FFFFFF" w:themeFill="background1"/>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w:t>
      </w:r>
      <w:r>
        <w:rPr>
          <w:rFonts w:hint="eastAsia" w:ascii="宋体" w:hAnsi="宋体"/>
          <w:color w:val="auto"/>
          <w:sz w:val="24"/>
          <w:highlight w:val="none"/>
        </w:rPr>
        <w:t xml:space="preserve">              </w:t>
      </w:r>
      <w:r>
        <w:rPr>
          <w:rFonts w:ascii="宋体" w:hAnsi="宋体"/>
          <w:color w:val="auto"/>
          <w:sz w:val="24"/>
          <w:highlight w:val="none"/>
        </w:rPr>
        <w:t>法定代表人或其委托代理人：（签字）</w:t>
      </w:r>
    </w:p>
    <w:p w14:paraId="59F8D018">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年   月   日                                   年   月   日</w:t>
      </w:r>
    </w:p>
    <w:p w14:paraId="5D7BC180">
      <w:pPr>
        <w:pStyle w:val="78"/>
        <w:shd w:val="clear" w:fill="FFFFFF" w:themeFill="background1"/>
        <w:spacing w:line="360" w:lineRule="auto"/>
        <w:rPr>
          <w:rFonts w:ascii="宋体" w:hAnsi="宋体"/>
          <w:color w:val="auto"/>
          <w:sz w:val="24"/>
          <w:szCs w:val="24"/>
          <w:highlight w:val="none"/>
        </w:rPr>
      </w:pPr>
      <w:bookmarkStart w:id="1690" w:name="_Toc43476007"/>
      <w:bookmarkEnd w:id="1690"/>
      <w:bookmarkStart w:id="1691" w:name="_Toc505844505"/>
      <w:bookmarkEnd w:id="1691"/>
      <w:bookmarkStart w:id="1692" w:name="_Toc3544"/>
      <w:bookmarkEnd w:id="1692"/>
      <w:r>
        <w:rPr>
          <w:rFonts w:ascii="宋体" w:hAnsi="宋体"/>
          <w:b w:val="0"/>
          <w:bCs w:val="0"/>
          <w:color w:val="auto"/>
          <w:kern w:val="2"/>
          <w:sz w:val="21"/>
          <w:szCs w:val="24"/>
          <w:highlight w:val="none"/>
        </w:rPr>
        <w:br w:type="page"/>
      </w:r>
      <w:r>
        <w:rPr>
          <w:rFonts w:hint="eastAsia" w:ascii="宋体" w:hAnsi="宋体"/>
          <w:color w:val="auto"/>
          <w:sz w:val="24"/>
          <w:szCs w:val="24"/>
          <w:highlight w:val="none"/>
        </w:rPr>
        <w:t>附件二   廉政合同</w:t>
      </w:r>
    </w:p>
    <w:p w14:paraId="36A36613">
      <w:pPr>
        <w:shd w:val="clear" w:fill="FFFFFF" w:themeFill="background1"/>
        <w:spacing w:before="120" w:after="120"/>
        <w:jc w:val="center"/>
        <w:rPr>
          <w:rFonts w:ascii="宋体" w:hAnsi="宋体"/>
          <w:b/>
          <w:color w:val="auto"/>
          <w:sz w:val="32"/>
          <w:szCs w:val="32"/>
          <w:highlight w:val="none"/>
        </w:rPr>
      </w:pPr>
      <w:r>
        <w:rPr>
          <w:rFonts w:hint="eastAsia" w:ascii="宋体" w:hAnsi="宋体"/>
          <w:b/>
          <w:color w:val="auto"/>
          <w:sz w:val="32"/>
          <w:szCs w:val="32"/>
          <w:highlight w:val="none"/>
        </w:rPr>
        <w:t>廉政合同</w:t>
      </w:r>
    </w:p>
    <w:p w14:paraId="3EF8E50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auto"/>
          <w:sz w:val="24"/>
          <w:highlight w:val="none"/>
          <w:u w:val="single"/>
        </w:rPr>
        <w:t>（项目名称）</w:t>
      </w:r>
      <w:r>
        <w:rPr>
          <w:rFonts w:hint="eastAsia" w:ascii="宋体" w:hAnsi="宋体"/>
          <w:color w:val="auto"/>
          <w:sz w:val="24"/>
          <w:highlight w:val="none"/>
        </w:rPr>
        <w:t xml:space="preserve">项目法人 </w:t>
      </w:r>
      <w:r>
        <w:rPr>
          <w:rFonts w:hint="eastAsia" w:ascii="宋体" w:hAnsi="宋体"/>
          <w:color w:val="auto"/>
          <w:sz w:val="24"/>
          <w:highlight w:val="none"/>
          <w:u w:val="single"/>
        </w:rPr>
        <w:t>（项目法人名称，以下简称“发包人”）</w:t>
      </w:r>
      <w:r>
        <w:rPr>
          <w:rFonts w:hint="eastAsia" w:ascii="宋体" w:hAnsi="宋体"/>
          <w:color w:val="auto"/>
          <w:sz w:val="24"/>
          <w:highlight w:val="none"/>
        </w:rPr>
        <w:t>与该项目标段的施工单位</w:t>
      </w:r>
      <w:r>
        <w:rPr>
          <w:rFonts w:hint="eastAsia" w:ascii="宋体" w:hAnsi="宋体"/>
          <w:color w:val="auto"/>
          <w:sz w:val="24"/>
          <w:highlight w:val="none"/>
          <w:u w:val="single"/>
        </w:rPr>
        <w:t>（施工单位名称，以下简称“承包人”）</w:t>
      </w:r>
      <w:r>
        <w:rPr>
          <w:rFonts w:hint="eastAsia" w:ascii="宋体" w:hAnsi="宋体"/>
          <w:color w:val="auto"/>
          <w:sz w:val="24"/>
          <w:highlight w:val="none"/>
        </w:rPr>
        <w:t>，特订立如下合同。</w:t>
      </w:r>
    </w:p>
    <w:p w14:paraId="73C95077">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1.发包人和承包人双方的权利和义务</w:t>
      </w:r>
    </w:p>
    <w:p w14:paraId="179E8C25">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（1）严格遵守党的政策规定和国家有关法律法规及交通运输部的有关规定。</w:t>
      </w:r>
    </w:p>
    <w:p w14:paraId="1D1305E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（2）严格执行</w:t>
      </w:r>
      <w:r>
        <w:rPr>
          <w:rFonts w:hint="eastAsia" w:ascii="宋体" w:hAnsi="宋体"/>
          <w:color w:val="auto"/>
          <w:sz w:val="24"/>
          <w:highlight w:val="none"/>
          <w:u w:val="single"/>
        </w:rPr>
        <w:t xml:space="preserve">     （项目名称）      </w:t>
      </w:r>
      <w:r>
        <w:rPr>
          <w:rFonts w:hint="eastAsia" w:ascii="宋体" w:hAnsi="宋体"/>
          <w:color w:val="auto"/>
          <w:sz w:val="24"/>
          <w:highlight w:val="none"/>
        </w:rPr>
        <w:t>合同文件，自觉按合同办事。</w:t>
      </w:r>
    </w:p>
    <w:p w14:paraId="5CFFBE80">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（3）双方的业务活动坚持公开、公正、诚信、透明的原则（法律认定的商业秘密和合同文件另有规定除外），不得损害国家和集体利益，不得违反工程建设管理规章制度。</w:t>
      </w:r>
    </w:p>
    <w:p w14:paraId="55FA388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（4）建立健全廉政制度，开展廉政教育，设立廉政告示牌，公布举报电话，监督并认真查处违法违纪行为。</w:t>
      </w:r>
    </w:p>
    <w:p w14:paraId="0C606F1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（5）发现对方在业务活动中有违反廉政规定的行为，有及时提醒对方纠正的权利和义务。</w:t>
      </w:r>
    </w:p>
    <w:p w14:paraId="41787DC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（6）发现对方严重违反本合同义务条款的行为，有向其上级有关部门举报、建议给予处理并要求告知处理结果的权利。</w:t>
      </w:r>
    </w:p>
    <w:p w14:paraId="0DAAA22A">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2.发包人的义务</w:t>
      </w:r>
    </w:p>
    <w:p w14:paraId="3579D38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（1）发包人及其工作人员不得索要或接受承包人的礼金、有价证券和贵重物品，不得让承包人报销任何应由发包人或发包人工作人员个人支付的费用等。</w:t>
      </w:r>
    </w:p>
    <w:p w14:paraId="5FAB93C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（2）发包人工作人员不得参加承包人安排的超标准宴请和娱乐活动；不得接受承包人提供的通讯工具、交通工具和高档办公用品等。</w:t>
      </w:r>
    </w:p>
    <w:p w14:paraId="17F2D27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（3）发包人及其工作人员不得要求或者接受承包人为其住房装修、婚丧嫁娶活动、配偶子女的工作安排以及出国出境、旅游等提供方便等。</w:t>
      </w:r>
    </w:p>
    <w:p w14:paraId="19932E2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（4）发包人工作人员及其配偶、子女不得从事与发包人工作有关的材料设备供应、工程分包、劳务等经济活动等。</w:t>
      </w:r>
    </w:p>
    <w:p w14:paraId="5470900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（5）发包人及期工作人员不得以任何理由向承包人推荐分包单位或推销材料，不得要求承包人购买合同规定外的材料和设备。</w:t>
      </w:r>
    </w:p>
    <w:p w14:paraId="54A4492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（6）发包人工作人员要秉公办事，不准营私舞弊，不准利用职权从事各种个人有偿中介活动和安排个人施工队伍。</w:t>
      </w:r>
    </w:p>
    <w:p w14:paraId="1A3DC1A8">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3.承包人的义务</w:t>
      </w:r>
    </w:p>
    <w:p w14:paraId="20036C2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（1）承包人不得以任何理由向发包人及其工作人员行贿或馈赠礼金、有价证券、贵重礼品。</w:t>
      </w:r>
    </w:p>
    <w:p w14:paraId="277A915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（2）承包人不得以任何名义为发包人及其工作人员报销应由发包人单位或个人支付的任何费用。</w:t>
      </w:r>
    </w:p>
    <w:p w14:paraId="57E6BF25">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（3）承包人不得以任何理由安排发包人工作人员参加超标准宴请及娱乐活动。</w:t>
      </w:r>
    </w:p>
    <w:p w14:paraId="222AEFD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（4）承包人不得为发包人单位和个人购置或提供通讯工具、交通工具和高档办公用品等。</w:t>
      </w:r>
    </w:p>
    <w:p w14:paraId="2B1BF786">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4.违约责任</w:t>
      </w:r>
    </w:p>
    <w:p w14:paraId="38C6464A">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2CAECE38">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18BC62B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24F086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6.本合同有效期为发包人和承包人签署之日起至该工程项目竣工验收后止。</w:t>
      </w:r>
    </w:p>
    <w:p w14:paraId="2CCF54A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7.本合同作为</w:t>
      </w:r>
      <w:r>
        <w:rPr>
          <w:rFonts w:hint="eastAsia" w:ascii="宋体" w:hAnsi="宋体"/>
          <w:color w:val="auto"/>
          <w:sz w:val="24"/>
          <w:highlight w:val="none"/>
          <w:u w:val="single"/>
        </w:rPr>
        <w:t xml:space="preserve">         （项目名称）     </w:t>
      </w:r>
      <w:r>
        <w:rPr>
          <w:rFonts w:hint="eastAsia" w:ascii="宋体" w:hAnsi="宋体"/>
          <w:color w:val="auto"/>
          <w:sz w:val="24"/>
          <w:highlight w:val="none"/>
        </w:rPr>
        <w:t>合同的附件，与工程施工合同具有同等的法律效力，经合同双方签署后立即生效。</w:t>
      </w:r>
    </w:p>
    <w:p w14:paraId="391B401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8.本合同一式四份，由发包人和承包人各执—份，送交发包人和承包人的监督单位各一份</w:t>
      </w:r>
    </w:p>
    <w:p w14:paraId="0528AC2D">
      <w:pPr>
        <w:shd w:val="clear" w:fill="FFFFFF" w:themeFill="background1"/>
        <w:spacing w:line="400" w:lineRule="exact"/>
        <w:rPr>
          <w:rFonts w:ascii="宋体" w:hAnsi="宋体"/>
          <w:color w:val="auto"/>
          <w:sz w:val="24"/>
          <w:highlight w:val="none"/>
        </w:rPr>
      </w:pPr>
    </w:p>
    <w:p w14:paraId="7DD68F38">
      <w:pPr>
        <w:shd w:val="clear" w:fill="FFFFFF" w:themeFill="background1"/>
        <w:spacing w:line="400" w:lineRule="exact"/>
        <w:rPr>
          <w:rFonts w:ascii="宋体" w:hAnsi="宋体"/>
          <w:color w:val="auto"/>
          <w:sz w:val="24"/>
          <w:highlight w:val="none"/>
        </w:rPr>
      </w:pPr>
      <w:r>
        <w:rPr>
          <w:rFonts w:ascii="宋体" w:hAnsi="宋体"/>
          <w:color w:val="auto"/>
          <w:sz w:val="24"/>
          <w:highlight w:val="none"/>
        </w:rPr>
        <w:t>发包人：（盖单位章）</w:t>
      </w:r>
      <w:r>
        <w:rPr>
          <w:rFonts w:hint="eastAsia" w:ascii="宋体" w:hAnsi="宋体"/>
          <w:color w:val="auto"/>
          <w:sz w:val="24"/>
          <w:highlight w:val="none"/>
        </w:rPr>
        <w:t xml:space="preserve">                       </w:t>
      </w:r>
      <w:r>
        <w:rPr>
          <w:rFonts w:ascii="宋体" w:hAnsi="宋体"/>
          <w:color w:val="auto"/>
          <w:sz w:val="24"/>
          <w:highlight w:val="none"/>
        </w:rPr>
        <w:t xml:space="preserve">承包人：（盖单位章） </w:t>
      </w:r>
    </w:p>
    <w:p w14:paraId="3117096A">
      <w:pPr>
        <w:shd w:val="clear" w:fill="FFFFFF" w:themeFill="background1"/>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w:t>
      </w:r>
      <w:r>
        <w:rPr>
          <w:rFonts w:hint="eastAsia" w:ascii="宋体" w:hAnsi="宋体"/>
          <w:color w:val="auto"/>
          <w:sz w:val="24"/>
          <w:highlight w:val="none"/>
        </w:rPr>
        <w:t xml:space="preserve">         </w:t>
      </w:r>
      <w:r>
        <w:rPr>
          <w:rFonts w:ascii="宋体" w:hAnsi="宋体"/>
          <w:color w:val="auto"/>
          <w:sz w:val="24"/>
          <w:highlight w:val="none"/>
        </w:rPr>
        <w:t>法定代表人或其委托代理人：（签字）</w:t>
      </w:r>
    </w:p>
    <w:p w14:paraId="16B82F51">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年   月   日                               年   月   日</w:t>
      </w:r>
    </w:p>
    <w:p w14:paraId="1D7A4A1F">
      <w:pPr>
        <w:shd w:val="clear" w:fill="FFFFFF" w:themeFill="background1"/>
        <w:spacing w:line="400" w:lineRule="exact"/>
        <w:rPr>
          <w:rFonts w:ascii="宋体" w:hAnsi="宋体"/>
          <w:color w:val="auto"/>
          <w:sz w:val="24"/>
          <w:highlight w:val="none"/>
        </w:rPr>
      </w:pPr>
      <w:r>
        <w:rPr>
          <w:rFonts w:hint="eastAsia" w:ascii="宋体" w:hAnsi="宋体"/>
          <w:color w:val="auto"/>
          <w:sz w:val="24"/>
          <w:highlight w:val="none"/>
        </w:rPr>
        <w:t>发包人监督单位：</w:t>
      </w:r>
      <w:r>
        <w:rPr>
          <w:rFonts w:hint="eastAsia" w:ascii="宋体" w:hAnsi="宋体"/>
          <w:color w:val="auto"/>
          <w:sz w:val="24"/>
          <w:highlight w:val="none"/>
          <w:u w:val="single"/>
        </w:rPr>
        <w:t>（全称） （盖单位章）</w:t>
      </w:r>
      <w:r>
        <w:rPr>
          <w:rFonts w:hint="eastAsia" w:ascii="宋体" w:hAnsi="宋体"/>
          <w:color w:val="auto"/>
          <w:sz w:val="24"/>
          <w:highlight w:val="none"/>
        </w:rPr>
        <w:t xml:space="preserve">      承包人监督单位：</w:t>
      </w:r>
      <w:r>
        <w:rPr>
          <w:rFonts w:hint="eastAsia" w:ascii="宋体" w:hAnsi="宋体"/>
          <w:color w:val="auto"/>
          <w:sz w:val="24"/>
          <w:highlight w:val="none"/>
          <w:u w:val="single"/>
        </w:rPr>
        <w:t>（全称） （盖单位章）</w:t>
      </w:r>
    </w:p>
    <w:p w14:paraId="75C9F572">
      <w:pPr>
        <w:pStyle w:val="78"/>
        <w:shd w:val="clear" w:fill="FFFFFF" w:themeFill="background1"/>
        <w:spacing w:line="360" w:lineRule="auto"/>
        <w:rPr>
          <w:rFonts w:ascii="宋体" w:hAnsi="宋体"/>
          <w:color w:val="auto"/>
          <w:sz w:val="24"/>
          <w:szCs w:val="24"/>
          <w:highlight w:val="none"/>
        </w:rPr>
      </w:pPr>
      <w:bookmarkStart w:id="1693" w:name="_Toc30177"/>
      <w:bookmarkEnd w:id="1693"/>
      <w:bookmarkStart w:id="1694" w:name="_Toc505844506"/>
      <w:bookmarkEnd w:id="1694"/>
      <w:bookmarkStart w:id="1695" w:name="_Toc43476008"/>
      <w:bookmarkEnd w:id="1695"/>
      <w:r>
        <w:rPr>
          <w:rFonts w:hint="eastAsia" w:ascii="宋体" w:hAnsi="宋体"/>
          <w:color w:val="auto"/>
          <w:sz w:val="24"/>
          <w:szCs w:val="24"/>
          <w:highlight w:val="none"/>
        </w:rPr>
        <w:br w:type="page"/>
      </w:r>
      <w:r>
        <w:rPr>
          <w:rFonts w:hint="eastAsia" w:ascii="宋体" w:hAnsi="宋体"/>
          <w:color w:val="auto"/>
          <w:sz w:val="24"/>
          <w:szCs w:val="24"/>
          <w:highlight w:val="none"/>
        </w:rPr>
        <w:t>附件三   安全生产合同</w:t>
      </w:r>
    </w:p>
    <w:p w14:paraId="69D1B858">
      <w:pPr>
        <w:shd w:val="clear" w:fill="FFFFFF" w:themeFill="background1"/>
        <w:spacing w:before="120" w:after="120"/>
        <w:jc w:val="center"/>
        <w:rPr>
          <w:rFonts w:ascii="宋体" w:hAnsi="宋体"/>
          <w:b/>
          <w:color w:val="auto"/>
          <w:sz w:val="32"/>
          <w:szCs w:val="32"/>
          <w:highlight w:val="none"/>
        </w:rPr>
      </w:pPr>
      <w:r>
        <w:rPr>
          <w:rFonts w:hint="eastAsia" w:ascii="宋体" w:hAnsi="宋体"/>
          <w:b/>
          <w:color w:val="auto"/>
          <w:sz w:val="32"/>
          <w:szCs w:val="32"/>
          <w:highlight w:val="none"/>
        </w:rPr>
        <w:t>安全生产合同</w:t>
      </w:r>
    </w:p>
    <w:p w14:paraId="106D5869">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根据《中华人民共和国安全生产法》，国务院《建设工程安全生产管理条例》，交通运输部《公路水运工程安全生产监督管理办法》，交通运输部《公路水运工程施工安全标准化指南》有关规定，为切实做好</w:t>
      </w:r>
      <w:r>
        <w:rPr>
          <w:rFonts w:hint="eastAsia" w:ascii="宋体" w:hAnsi="宋体"/>
          <w:color w:val="auto"/>
          <w:sz w:val="24"/>
          <w:highlight w:val="none"/>
          <w:u w:val="single"/>
        </w:rPr>
        <w:t xml:space="preserve">   (项目名称)   标类（或标段）     </w:t>
      </w:r>
      <w:r>
        <w:rPr>
          <w:rFonts w:hint="eastAsia" w:ascii="宋体" w:hAnsi="宋体"/>
          <w:color w:val="auto"/>
          <w:sz w:val="24"/>
          <w:highlight w:val="none"/>
        </w:rPr>
        <w:t>工程安全生产管理工作，明确项目参建各方的安全生产责任，促进实现工程项目安全管理目标，建设单位全称（以下简称“发包人”）与施工单位全称（以下简称“承包人”）特此签订安全生产合同：</w:t>
      </w:r>
    </w:p>
    <w:p w14:paraId="0F54CF2A">
      <w:pPr>
        <w:shd w:val="clear" w:fill="FFFFFF" w:themeFill="background1"/>
        <w:spacing w:line="400" w:lineRule="exact"/>
        <w:ind w:firstLine="840"/>
        <w:rPr>
          <w:rFonts w:ascii="宋体" w:hAnsi="宋体"/>
          <w:b/>
          <w:bCs/>
          <w:color w:val="auto"/>
          <w:sz w:val="24"/>
          <w:highlight w:val="none"/>
        </w:rPr>
      </w:pPr>
      <w:r>
        <w:rPr>
          <w:rFonts w:hint="eastAsia" w:ascii="宋体" w:hAnsi="宋体"/>
          <w:b/>
          <w:bCs/>
          <w:color w:val="auto"/>
          <w:sz w:val="24"/>
          <w:highlight w:val="none"/>
        </w:rPr>
        <w:t>1.发包人职责</w:t>
      </w:r>
    </w:p>
    <w:p w14:paraId="6AF4CF81">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(1)编制工程招标文件及项目概算时，应确定保障建设工程安全作业环境及安全施工措施所需的安全生产费用，并不低于国家规定的标准。</w:t>
      </w:r>
    </w:p>
    <w:p w14:paraId="06F99EFD">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(2)按照有关规定对承包人的安全生产条件、安全生产信用情况、安全生产管理体系及保障措施等提出明确要求并检查实施情况。</w:t>
      </w:r>
    </w:p>
    <w:p w14:paraId="00E8717D">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(3)开展工程项目安全生产条件核查，按规定组织风险评估。针对工程项目特点和风险评估情况制定项目生产安全事故综合应急预案，并定期组织演练。</w:t>
      </w:r>
    </w:p>
    <w:p w14:paraId="65BA6E71">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(4)按照法律法规及合同文件约定督促承包人落实安全生产责任，对承包人的安全生产工作统一协调、管理，定期进行安全检查，发现安全问题的，应当及时督促整改。</w:t>
      </w:r>
    </w:p>
    <w:p w14:paraId="6214538D">
      <w:pPr>
        <w:shd w:val="clear" w:fill="FFFFFF" w:themeFill="background1"/>
        <w:spacing w:line="400" w:lineRule="exact"/>
        <w:ind w:firstLine="840"/>
        <w:rPr>
          <w:rFonts w:ascii="宋体" w:hAnsi="宋体"/>
          <w:b/>
          <w:bCs/>
          <w:color w:val="auto"/>
          <w:sz w:val="24"/>
          <w:highlight w:val="none"/>
        </w:rPr>
      </w:pPr>
      <w:r>
        <w:rPr>
          <w:rFonts w:hint="eastAsia" w:ascii="宋体" w:hAnsi="宋体"/>
          <w:b/>
          <w:bCs/>
          <w:color w:val="auto"/>
          <w:sz w:val="24"/>
          <w:highlight w:val="none"/>
        </w:rPr>
        <w:t>2.承包人职责</w:t>
      </w:r>
    </w:p>
    <w:p w14:paraId="22F03183">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(1)严格执行安全生产有关法律法规、规章及标准规范，落实合同、《广东省高速公路工程施工安全标准化指南》《公路工程施工安全防护设施技术指南》以及其他有关安全生产方面的规定和要求。</w:t>
      </w:r>
    </w:p>
    <w:p w14:paraId="4242C531">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(2)应具备相应的安全生产条件及安全生产资质，对施工现场的安全生产负主体责任，主要负责人依法对项目安全生产工作全面负责。</w:t>
      </w:r>
    </w:p>
    <w:p w14:paraId="581BD906">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(3)坚持国家安全生产方针、政策及原则，建立健全并落实项目安全生产管理制度、责任、组织机构等管理体系，配足符合资质条件的专职安全生产管理人员。</w:t>
      </w:r>
    </w:p>
    <w:p w14:paraId="601E5D7B">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(4)应保证本项目合同段所应具备的安全生产条件必需的资金投入，依法参加各类安全保险，保障从业人员安全生产方面的权利。</w:t>
      </w:r>
    </w:p>
    <w:p w14:paraId="6B8D7484">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(5)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39C5A0F0">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(6)按规定编制危险性较大工程专项施工方案，按程序逐级审批，必要时应组织专家论证。</w:t>
      </w:r>
    </w:p>
    <w:p w14:paraId="082C770C">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(7)各类施工设备设施及用品、用具等应具备相关资质证书，定期检查维护，按规定及时报废；特种设备及支撑体系设施设备投入使用前应按规定组织验收。</w:t>
      </w:r>
    </w:p>
    <w:p w14:paraId="716D7CD2">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(8)两区三厂、临建设施等选址及相关防护设施的设置应符合安全要求。</w:t>
      </w:r>
    </w:p>
    <w:p w14:paraId="64B09F6E">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(9)建立施工现场及驻地消防安全责任制度，确定消防安全责任人，落实消防安全管理和消防安全检查，及时消除火灾事故隐患。</w:t>
      </w:r>
    </w:p>
    <w:p w14:paraId="65B8E73F">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(10)按规定建立并落实安全风险分级管控及事故隐患排查治理双重预防工作机制，并按要求开展各类安全生产检查，重大事故隐患及时上报和专项治理。</w:t>
      </w:r>
    </w:p>
    <w:p w14:paraId="4565FC35">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(11)建立健全本项目合同段生产安全事故应急预案体系，并定期组织演练。</w:t>
      </w:r>
    </w:p>
    <w:p w14:paraId="0CD244D3">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(12)及时、如实报告生产安全事故。发生事故时，应立即组织抢救，并积极配合事故调查处理。</w:t>
      </w:r>
    </w:p>
    <w:p w14:paraId="1B5D1C37">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(13)安全生产法律法规、政策等规定的其他职责。</w:t>
      </w:r>
    </w:p>
    <w:p w14:paraId="148E6423">
      <w:pPr>
        <w:shd w:val="clear" w:fill="FFFFFF" w:themeFill="background1"/>
        <w:spacing w:line="400" w:lineRule="exact"/>
        <w:ind w:firstLine="840"/>
        <w:rPr>
          <w:rFonts w:ascii="宋体" w:hAnsi="宋体"/>
          <w:b/>
          <w:bCs/>
          <w:color w:val="auto"/>
          <w:sz w:val="24"/>
          <w:highlight w:val="none"/>
        </w:rPr>
      </w:pPr>
      <w:r>
        <w:rPr>
          <w:rFonts w:hint="eastAsia" w:ascii="宋体" w:hAnsi="宋体"/>
          <w:b/>
          <w:bCs/>
          <w:color w:val="auto"/>
          <w:sz w:val="24"/>
          <w:highlight w:val="none"/>
        </w:rPr>
        <w:t>3.违约责任</w:t>
      </w:r>
    </w:p>
    <w:p w14:paraId="539129A1">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如因发包人或承包人违约造成安全事故，将依法追究责任。</w:t>
      </w:r>
    </w:p>
    <w:p w14:paraId="616ABEF1">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4.本合同由双方法定代表人或其授权的代理人签署并加盖单位章后生效，全部工程竣工验收后失效。 .</w:t>
      </w:r>
    </w:p>
    <w:p w14:paraId="5B7EDD63">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5.本合同正本二份、副本</w:t>
      </w:r>
      <w:r>
        <w:rPr>
          <w:rFonts w:hint="eastAsia" w:ascii="宋体" w:hAnsi="宋体"/>
          <w:color w:val="auto"/>
          <w:sz w:val="24"/>
          <w:highlight w:val="none"/>
          <w:u w:val="single"/>
        </w:rPr>
        <w:t xml:space="preserve">   </w:t>
      </w:r>
      <w:r>
        <w:rPr>
          <w:rFonts w:hint="eastAsia" w:ascii="宋体" w:hAnsi="宋体"/>
          <w:color w:val="auto"/>
          <w:sz w:val="24"/>
          <w:highlight w:val="none"/>
        </w:rPr>
        <w:t>份，合同双方各执正本一份，副本</w:t>
      </w:r>
      <w:r>
        <w:rPr>
          <w:rFonts w:hint="eastAsia" w:ascii="宋体" w:hAnsi="宋体"/>
          <w:color w:val="auto"/>
          <w:sz w:val="24"/>
          <w:highlight w:val="none"/>
          <w:u w:val="single"/>
        </w:rPr>
        <w:t xml:space="preserve">    </w:t>
      </w:r>
      <w:r>
        <w:rPr>
          <w:rFonts w:hint="eastAsia" w:ascii="宋体" w:hAnsi="宋体"/>
          <w:color w:val="auto"/>
          <w:sz w:val="24"/>
          <w:highlight w:val="none"/>
        </w:rPr>
        <w:t>份，当正本与副本的内容不一致时，以正本为准。</w:t>
      </w:r>
    </w:p>
    <w:p w14:paraId="42A459C5">
      <w:pPr>
        <w:pStyle w:val="78"/>
        <w:shd w:val="clear" w:fill="FFFFFF" w:themeFill="background1"/>
        <w:spacing w:line="360" w:lineRule="auto"/>
        <w:rPr>
          <w:rFonts w:ascii="宋体" w:hAnsi="宋体"/>
          <w:color w:val="auto"/>
          <w:sz w:val="24"/>
          <w:szCs w:val="24"/>
          <w:highlight w:val="none"/>
        </w:rPr>
      </w:pPr>
    </w:p>
    <w:p w14:paraId="6E910EF3">
      <w:pPr>
        <w:pStyle w:val="78"/>
        <w:shd w:val="clear" w:fill="FFFFFF" w:themeFill="background1"/>
        <w:spacing w:line="360" w:lineRule="auto"/>
        <w:rPr>
          <w:rFonts w:ascii="宋体" w:hAnsi="宋体"/>
          <w:color w:val="auto"/>
          <w:sz w:val="24"/>
          <w:szCs w:val="24"/>
          <w:highlight w:val="none"/>
        </w:rPr>
      </w:pPr>
    </w:p>
    <w:p w14:paraId="580CCA9E">
      <w:pPr>
        <w:pStyle w:val="78"/>
        <w:shd w:val="clear" w:fill="FFFFFF" w:themeFill="background1"/>
        <w:spacing w:line="360" w:lineRule="auto"/>
        <w:rPr>
          <w:rFonts w:ascii="宋体" w:hAnsi="宋体"/>
          <w:color w:val="auto"/>
          <w:sz w:val="24"/>
          <w:szCs w:val="24"/>
          <w:highlight w:val="none"/>
        </w:rPr>
      </w:pPr>
    </w:p>
    <w:p w14:paraId="0E7D4626">
      <w:pPr>
        <w:pStyle w:val="78"/>
        <w:shd w:val="clear" w:fill="FFFFFF" w:themeFill="background1"/>
        <w:spacing w:line="360" w:lineRule="auto"/>
        <w:rPr>
          <w:rFonts w:ascii="宋体" w:hAnsi="宋体"/>
          <w:b w:val="0"/>
          <w:bCs w:val="0"/>
          <w:color w:val="auto"/>
          <w:sz w:val="24"/>
          <w:szCs w:val="24"/>
          <w:highlight w:val="none"/>
        </w:rPr>
      </w:pPr>
      <w:r>
        <w:rPr>
          <w:rFonts w:hint="eastAsia" w:ascii="宋体" w:hAnsi="宋体"/>
          <w:b w:val="0"/>
          <w:bCs w:val="0"/>
          <w:color w:val="auto"/>
          <w:sz w:val="24"/>
          <w:szCs w:val="24"/>
          <w:highlight w:val="none"/>
        </w:rPr>
        <w:t>发包人： (盖单位章)                         承包人： (盖单位章)</w:t>
      </w:r>
    </w:p>
    <w:p w14:paraId="620A2D72">
      <w:pPr>
        <w:pStyle w:val="78"/>
        <w:shd w:val="clear" w:fill="FFFFFF" w:themeFill="background1"/>
        <w:spacing w:line="360" w:lineRule="auto"/>
        <w:rPr>
          <w:rFonts w:ascii="宋体" w:hAnsi="宋体"/>
          <w:b w:val="0"/>
          <w:bCs w:val="0"/>
          <w:color w:val="auto"/>
          <w:sz w:val="24"/>
          <w:szCs w:val="24"/>
          <w:highlight w:val="none"/>
        </w:rPr>
      </w:pPr>
      <w:r>
        <w:rPr>
          <w:rFonts w:hint="eastAsia" w:ascii="宋体" w:hAnsi="宋体"/>
          <w:b w:val="0"/>
          <w:bCs w:val="0"/>
          <w:color w:val="auto"/>
          <w:sz w:val="24"/>
          <w:szCs w:val="24"/>
          <w:highlight w:val="none"/>
        </w:rPr>
        <w:t>法定代表人或其委托代理人： (签字)           法定代表人或其委托代理人： (签字)</w:t>
      </w:r>
    </w:p>
    <w:p w14:paraId="07318941">
      <w:pPr>
        <w:pStyle w:val="78"/>
        <w:shd w:val="clear" w:fill="FFFFFF" w:themeFill="background1"/>
        <w:spacing w:line="360" w:lineRule="auto"/>
        <w:ind w:firstLine="720" w:firstLineChars="300"/>
        <w:rPr>
          <w:rFonts w:ascii="宋体" w:hAnsi="宋体"/>
          <w:color w:val="auto"/>
          <w:sz w:val="24"/>
          <w:szCs w:val="24"/>
          <w:highlight w:val="none"/>
        </w:rPr>
      </w:pPr>
      <w:bookmarkStart w:id="1696" w:name="_Toc43476009"/>
      <w:bookmarkEnd w:id="1696"/>
      <w:bookmarkStart w:id="1697" w:name="_Toc17112"/>
      <w:bookmarkEnd w:id="1697"/>
      <w:r>
        <w:rPr>
          <w:rFonts w:hint="eastAsia" w:ascii="宋体" w:hAnsi="宋体"/>
          <w:b w:val="0"/>
          <w:bCs w:val="0"/>
          <w:color w:val="auto"/>
          <w:sz w:val="24"/>
          <w:szCs w:val="24"/>
          <w:highlight w:val="none"/>
        </w:rPr>
        <w:t>年    月    日                               年    月    日</w:t>
      </w:r>
      <w:r>
        <w:rPr>
          <w:rFonts w:hint="eastAsia" w:ascii="宋体" w:hAnsi="宋体"/>
          <w:b w:val="0"/>
          <w:bCs w:val="0"/>
          <w:color w:val="auto"/>
          <w:sz w:val="24"/>
          <w:szCs w:val="24"/>
          <w:highlight w:val="none"/>
        </w:rPr>
        <w:br w:type="page"/>
      </w:r>
      <w:r>
        <w:rPr>
          <w:rFonts w:hint="eastAsia" w:ascii="宋体" w:hAnsi="宋体"/>
          <w:color w:val="auto"/>
          <w:sz w:val="24"/>
          <w:szCs w:val="24"/>
          <w:highlight w:val="none"/>
        </w:rPr>
        <w:t>附件四   其他管理人员和技术人员最低要求</w:t>
      </w:r>
    </w:p>
    <w:p w14:paraId="35E32573">
      <w:pPr>
        <w:shd w:val="clear" w:fill="FFFFFF" w:themeFill="background1"/>
        <w:rPr>
          <w:color w:val="auto"/>
          <w:highlight w:val="none"/>
        </w:rPr>
      </w:pPr>
    </w:p>
    <w:tbl>
      <w:tblPr>
        <w:tblStyle w:val="43"/>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14:paraId="108B1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14:paraId="1F8C6BA7">
            <w:pPr>
              <w:shd w:val="clear" w:fill="FFFFFF" w:themeFill="background1"/>
              <w:spacing w:line="276" w:lineRule="auto"/>
              <w:jc w:val="center"/>
              <w:rPr>
                <w:rFonts w:ascii="宋体" w:hAnsi="宋体"/>
                <w:color w:val="auto"/>
                <w:sz w:val="24"/>
                <w:highlight w:val="none"/>
              </w:rPr>
            </w:pPr>
            <w:bookmarkStart w:id="1698" w:name="_Toc505844507"/>
            <w:r>
              <w:rPr>
                <w:rFonts w:hint="eastAsia" w:ascii="宋体" w:hAnsi="宋体"/>
                <w:color w:val="auto"/>
                <w:sz w:val="24"/>
                <w:highlight w:val="none"/>
              </w:rPr>
              <w:t>人  员</w:t>
            </w:r>
          </w:p>
        </w:tc>
        <w:tc>
          <w:tcPr>
            <w:tcW w:w="1143" w:type="dxa"/>
            <w:tcBorders>
              <w:top w:val="single" w:color="auto" w:sz="12" w:space="0"/>
            </w:tcBorders>
            <w:vAlign w:val="center"/>
          </w:tcPr>
          <w:p w14:paraId="5F8378BC">
            <w:pPr>
              <w:shd w:val="clear" w:fill="FFFFFF" w:themeFill="background1"/>
              <w:spacing w:line="276" w:lineRule="auto"/>
              <w:jc w:val="center"/>
              <w:rPr>
                <w:rFonts w:ascii="宋体" w:hAnsi="宋体"/>
                <w:color w:val="auto"/>
                <w:sz w:val="24"/>
                <w:highlight w:val="none"/>
              </w:rPr>
            </w:pPr>
            <w:r>
              <w:rPr>
                <w:rFonts w:hint="eastAsia" w:ascii="宋体" w:hAnsi="宋体"/>
                <w:color w:val="auto"/>
                <w:sz w:val="24"/>
                <w:highlight w:val="none"/>
              </w:rPr>
              <w:t>数  量</w:t>
            </w:r>
          </w:p>
        </w:tc>
        <w:tc>
          <w:tcPr>
            <w:tcW w:w="6488" w:type="dxa"/>
            <w:tcBorders>
              <w:top w:val="single" w:color="auto" w:sz="12" w:space="0"/>
            </w:tcBorders>
            <w:vAlign w:val="center"/>
          </w:tcPr>
          <w:p w14:paraId="236C253C">
            <w:pPr>
              <w:shd w:val="clear" w:fill="FFFFFF" w:themeFill="background1"/>
              <w:spacing w:line="276" w:lineRule="auto"/>
              <w:jc w:val="center"/>
              <w:rPr>
                <w:rFonts w:ascii="宋体"/>
                <w:color w:val="auto"/>
                <w:sz w:val="24"/>
                <w:highlight w:val="none"/>
              </w:rPr>
            </w:pPr>
            <w:r>
              <w:rPr>
                <w:rFonts w:hint="eastAsia" w:ascii="宋体" w:hAnsi="宋体"/>
                <w:color w:val="auto"/>
                <w:sz w:val="24"/>
                <w:highlight w:val="none"/>
              </w:rPr>
              <w:t>资格要求</w:t>
            </w:r>
          </w:p>
        </w:tc>
      </w:tr>
      <w:tr w14:paraId="2E386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D54BC5C">
            <w:pPr>
              <w:pStyle w:val="53"/>
              <w:shd w:val="clear" w:fill="FFFFFF" w:themeFill="background1"/>
              <w:rPr>
                <w:color w:val="auto"/>
                <w:highlight w:val="none"/>
              </w:rPr>
            </w:pPr>
          </w:p>
        </w:tc>
        <w:tc>
          <w:tcPr>
            <w:tcW w:w="1143" w:type="dxa"/>
            <w:vAlign w:val="center"/>
          </w:tcPr>
          <w:p w14:paraId="0608994F">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211EF5D0">
            <w:pPr>
              <w:shd w:val="clear" w:fill="FFFFFF" w:themeFill="background1"/>
              <w:spacing w:line="276" w:lineRule="auto"/>
              <w:ind w:firstLine="480" w:firstLineChars="200"/>
              <w:jc w:val="left"/>
              <w:rPr>
                <w:rFonts w:ascii="宋体" w:hAnsi="宋体"/>
                <w:color w:val="auto"/>
                <w:sz w:val="24"/>
                <w:highlight w:val="none"/>
              </w:rPr>
            </w:pPr>
          </w:p>
        </w:tc>
      </w:tr>
      <w:tr w14:paraId="42A03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F5AE5CE">
            <w:pPr>
              <w:shd w:val="clear" w:fill="FFFFFF" w:themeFill="background1"/>
              <w:spacing w:line="276" w:lineRule="auto"/>
              <w:rPr>
                <w:rFonts w:ascii="宋体" w:hAnsi="宋体"/>
                <w:color w:val="auto"/>
                <w:sz w:val="24"/>
                <w:highlight w:val="none"/>
              </w:rPr>
            </w:pPr>
          </w:p>
        </w:tc>
        <w:tc>
          <w:tcPr>
            <w:tcW w:w="1143" w:type="dxa"/>
            <w:vAlign w:val="center"/>
          </w:tcPr>
          <w:p w14:paraId="681D30F8">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2BB17FD2">
            <w:pPr>
              <w:shd w:val="clear" w:fill="FFFFFF" w:themeFill="background1"/>
              <w:spacing w:line="276" w:lineRule="auto"/>
              <w:ind w:firstLine="480" w:firstLineChars="200"/>
              <w:jc w:val="left"/>
              <w:rPr>
                <w:rFonts w:ascii="宋体" w:hAnsi="宋体"/>
                <w:color w:val="auto"/>
                <w:sz w:val="24"/>
                <w:highlight w:val="none"/>
              </w:rPr>
            </w:pPr>
          </w:p>
        </w:tc>
      </w:tr>
      <w:tr w14:paraId="32DD4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A886C6A">
            <w:pPr>
              <w:shd w:val="clear" w:fill="FFFFFF" w:themeFill="background1"/>
              <w:spacing w:line="276" w:lineRule="auto"/>
              <w:rPr>
                <w:rFonts w:ascii="宋体" w:hAnsi="宋体"/>
                <w:color w:val="auto"/>
                <w:sz w:val="24"/>
                <w:highlight w:val="none"/>
              </w:rPr>
            </w:pPr>
          </w:p>
        </w:tc>
        <w:tc>
          <w:tcPr>
            <w:tcW w:w="1143" w:type="dxa"/>
            <w:vAlign w:val="center"/>
          </w:tcPr>
          <w:p w14:paraId="03C8BFEE">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72AE9F9C">
            <w:pPr>
              <w:shd w:val="clear" w:fill="FFFFFF" w:themeFill="background1"/>
              <w:spacing w:line="276" w:lineRule="auto"/>
              <w:ind w:firstLine="480" w:firstLineChars="200"/>
              <w:jc w:val="left"/>
              <w:rPr>
                <w:rFonts w:ascii="宋体" w:hAnsi="宋体"/>
                <w:color w:val="auto"/>
                <w:sz w:val="24"/>
                <w:highlight w:val="none"/>
              </w:rPr>
            </w:pPr>
          </w:p>
        </w:tc>
      </w:tr>
      <w:tr w14:paraId="2D0B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DD4D28C">
            <w:pPr>
              <w:shd w:val="clear" w:fill="FFFFFF" w:themeFill="background1"/>
              <w:spacing w:line="276" w:lineRule="auto"/>
              <w:rPr>
                <w:rFonts w:ascii="宋体" w:hAnsi="宋体"/>
                <w:color w:val="auto"/>
                <w:sz w:val="24"/>
                <w:highlight w:val="none"/>
              </w:rPr>
            </w:pPr>
          </w:p>
        </w:tc>
        <w:tc>
          <w:tcPr>
            <w:tcW w:w="1143" w:type="dxa"/>
            <w:vAlign w:val="center"/>
          </w:tcPr>
          <w:p w14:paraId="78E274FE">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4FBE943F">
            <w:pPr>
              <w:shd w:val="clear" w:fill="FFFFFF" w:themeFill="background1"/>
              <w:spacing w:line="276" w:lineRule="auto"/>
              <w:ind w:firstLine="480" w:firstLineChars="200"/>
              <w:jc w:val="left"/>
              <w:rPr>
                <w:rFonts w:ascii="宋体" w:hAnsi="宋体"/>
                <w:color w:val="auto"/>
                <w:sz w:val="24"/>
                <w:highlight w:val="none"/>
              </w:rPr>
            </w:pPr>
          </w:p>
        </w:tc>
      </w:tr>
      <w:tr w14:paraId="61FA8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734C90A">
            <w:pPr>
              <w:shd w:val="clear" w:fill="FFFFFF" w:themeFill="background1"/>
              <w:spacing w:line="276" w:lineRule="auto"/>
              <w:rPr>
                <w:rFonts w:ascii="宋体" w:hAnsi="宋体"/>
                <w:color w:val="auto"/>
                <w:sz w:val="24"/>
                <w:highlight w:val="none"/>
              </w:rPr>
            </w:pPr>
          </w:p>
        </w:tc>
        <w:tc>
          <w:tcPr>
            <w:tcW w:w="1143" w:type="dxa"/>
            <w:vAlign w:val="center"/>
          </w:tcPr>
          <w:p w14:paraId="0716EF06">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6A8714F2">
            <w:pPr>
              <w:shd w:val="clear" w:fill="FFFFFF" w:themeFill="background1"/>
              <w:spacing w:line="276" w:lineRule="auto"/>
              <w:ind w:firstLine="480" w:firstLineChars="200"/>
              <w:jc w:val="left"/>
              <w:rPr>
                <w:rFonts w:ascii="宋体" w:hAnsi="宋体"/>
                <w:color w:val="auto"/>
                <w:sz w:val="24"/>
                <w:highlight w:val="none"/>
              </w:rPr>
            </w:pPr>
          </w:p>
        </w:tc>
      </w:tr>
      <w:tr w14:paraId="38E8C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0172548">
            <w:pPr>
              <w:shd w:val="clear" w:fill="FFFFFF" w:themeFill="background1"/>
              <w:spacing w:line="276" w:lineRule="auto"/>
              <w:rPr>
                <w:rFonts w:ascii="宋体" w:hAnsi="宋体"/>
                <w:color w:val="auto"/>
                <w:sz w:val="24"/>
                <w:highlight w:val="none"/>
              </w:rPr>
            </w:pPr>
          </w:p>
        </w:tc>
        <w:tc>
          <w:tcPr>
            <w:tcW w:w="1143" w:type="dxa"/>
            <w:vAlign w:val="center"/>
          </w:tcPr>
          <w:p w14:paraId="2F28310D">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7C7E8A98">
            <w:pPr>
              <w:shd w:val="clear" w:fill="FFFFFF" w:themeFill="background1"/>
              <w:spacing w:line="276" w:lineRule="auto"/>
              <w:ind w:firstLine="480" w:firstLineChars="200"/>
              <w:jc w:val="left"/>
              <w:rPr>
                <w:rFonts w:ascii="宋体" w:hAnsi="宋体"/>
                <w:color w:val="auto"/>
                <w:sz w:val="24"/>
                <w:highlight w:val="none"/>
              </w:rPr>
            </w:pPr>
          </w:p>
        </w:tc>
      </w:tr>
      <w:tr w14:paraId="6B61C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7009C4EF">
            <w:pPr>
              <w:shd w:val="clear" w:fill="FFFFFF" w:themeFill="background1"/>
              <w:spacing w:line="276" w:lineRule="auto"/>
              <w:rPr>
                <w:rFonts w:ascii="宋体" w:hAnsi="宋体"/>
                <w:color w:val="auto"/>
                <w:sz w:val="24"/>
                <w:highlight w:val="none"/>
              </w:rPr>
            </w:pPr>
          </w:p>
        </w:tc>
        <w:tc>
          <w:tcPr>
            <w:tcW w:w="1143" w:type="dxa"/>
            <w:vAlign w:val="center"/>
          </w:tcPr>
          <w:p w14:paraId="0084C2D9">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4B546BA1">
            <w:pPr>
              <w:shd w:val="clear" w:fill="FFFFFF" w:themeFill="background1"/>
              <w:spacing w:line="276" w:lineRule="auto"/>
              <w:ind w:firstLine="480" w:firstLineChars="200"/>
              <w:jc w:val="left"/>
              <w:rPr>
                <w:rFonts w:ascii="宋体" w:hAnsi="宋体"/>
                <w:color w:val="auto"/>
                <w:sz w:val="24"/>
                <w:highlight w:val="none"/>
              </w:rPr>
            </w:pPr>
          </w:p>
        </w:tc>
      </w:tr>
      <w:tr w14:paraId="6D439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1F189CD7">
            <w:pPr>
              <w:shd w:val="clear" w:fill="FFFFFF" w:themeFill="background1"/>
              <w:spacing w:line="276" w:lineRule="auto"/>
              <w:rPr>
                <w:rFonts w:ascii="宋体" w:hAnsi="宋体"/>
                <w:color w:val="auto"/>
                <w:sz w:val="24"/>
                <w:highlight w:val="none"/>
              </w:rPr>
            </w:pPr>
          </w:p>
        </w:tc>
        <w:tc>
          <w:tcPr>
            <w:tcW w:w="1143" w:type="dxa"/>
            <w:vAlign w:val="center"/>
          </w:tcPr>
          <w:p w14:paraId="59FAAAA4">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4394149C">
            <w:pPr>
              <w:shd w:val="clear" w:fill="FFFFFF" w:themeFill="background1"/>
              <w:spacing w:line="276" w:lineRule="auto"/>
              <w:ind w:firstLine="480" w:firstLineChars="200"/>
              <w:jc w:val="left"/>
              <w:rPr>
                <w:rFonts w:ascii="宋体" w:hAnsi="宋体"/>
                <w:color w:val="auto"/>
                <w:sz w:val="24"/>
                <w:highlight w:val="none"/>
              </w:rPr>
            </w:pPr>
          </w:p>
        </w:tc>
      </w:tr>
      <w:tr w14:paraId="38EE6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DF51C11">
            <w:pPr>
              <w:shd w:val="clear" w:fill="FFFFFF" w:themeFill="background1"/>
              <w:spacing w:line="276" w:lineRule="auto"/>
              <w:rPr>
                <w:rFonts w:ascii="宋体" w:hAnsi="宋体"/>
                <w:color w:val="auto"/>
                <w:sz w:val="24"/>
                <w:highlight w:val="none"/>
              </w:rPr>
            </w:pPr>
          </w:p>
        </w:tc>
        <w:tc>
          <w:tcPr>
            <w:tcW w:w="1143" w:type="dxa"/>
            <w:vAlign w:val="center"/>
          </w:tcPr>
          <w:p w14:paraId="7EC191B9">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57BB309C">
            <w:pPr>
              <w:shd w:val="clear" w:fill="FFFFFF" w:themeFill="background1"/>
              <w:spacing w:line="276" w:lineRule="auto"/>
              <w:ind w:firstLine="480" w:firstLineChars="200"/>
              <w:jc w:val="left"/>
              <w:rPr>
                <w:rFonts w:ascii="宋体" w:hAnsi="宋体"/>
                <w:color w:val="auto"/>
                <w:sz w:val="24"/>
                <w:highlight w:val="none"/>
              </w:rPr>
            </w:pPr>
          </w:p>
        </w:tc>
      </w:tr>
      <w:tr w14:paraId="23901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7F4A1F75">
            <w:pPr>
              <w:shd w:val="clear" w:fill="FFFFFF" w:themeFill="background1"/>
              <w:spacing w:line="276" w:lineRule="auto"/>
              <w:rPr>
                <w:rFonts w:ascii="宋体" w:hAnsi="宋体"/>
                <w:color w:val="auto"/>
                <w:sz w:val="24"/>
                <w:highlight w:val="none"/>
              </w:rPr>
            </w:pPr>
          </w:p>
        </w:tc>
        <w:tc>
          <w:tcPr>
            <w:tcW w:w="1143" w:type="dxa"/>
            <w:vAlign w:val="center"/>
          </w:tcPr>
          <w:p w14:paraId="5A561D73">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1D4A7814">
            <w:pPr>
              <w:shd w:val="clear" w:fill="FFFFFF" w:themeFill="background1"/>
              <w:spacing w:line="276" w:lineRule="auto"/>
              <w:ind w:firstLine="480" w:firstLineChars="200"/>
              <w:jc w:val="left"/>
              <w:rPr>
                <w:rFonts w:ascii="宋体" w:hAnsi="宋体"/>
                <w:color w:val="auto"/>
                <w:sz w:val="24"/>
                <w:highlight w:val="none"/>
              </w:rPr>
            </w:pPr>
          </w:p>
        </w:tc>
      </w:tr>
      <w:tr w14:paraId="2C3A4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13725367">
            <w:pPr>
              <w:shd w:val="clear" w:fill="FFFFFF" w:themeFill="background1"/>
              <w:spacing w:line="276" w:lineRule="auto"/>
              <w:rPr>
                <w:rFonts w:ascii="宋体" w:hAnsi="宋体"/>
                <w:color w:val="auto"/>
                <w:sz w:val="24"/>
                <w:highlight w:val="none"/>
              </w:rPr>
            </w:pPr>
          </w:p>
        </w:tc>
        <w:tc>
          <w:tcPr>
            <w:tcW w:w="1143" w:type="dxa"/>
            <w:vAlign w:val="center"/>
          </w:tcPr>
          <w:p w14:paraId="3E7C1F86">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7AC80509">
            <w:pPr>
              <w:shd w:val="clear" w:fill="FFFFFF" w:themeFill="background1"/>
              <w:spacing w:line="276" w:lineRule="auto"/>
              <w:ind w:firstLine="480" w:firstLineChars="200"/>
              <w:jc w:val="left"/>
              <w:rPr>
                <w:rFonts w:ascii="宋体" w:hAnsi="宋体"/>
                <w:color w:val="auto"/>
                <w:sz w:val="24"/>
                <w:highlight w:val="none"/>
              </w:rPr>
            </w:pPr>
          </w:p>
        </w:tc>
      </w:tr>
      <w:tr w14:paraId="12699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223EB63">
            <w:pPr>
              <w:shd w:val="clear" w:fill="FFFFFF" w:themeFill="background1"/>
              <w:spacing w:line="276" w:lineRule="auto"/>
              <w:rPr>
                <w:rFonts w:ascii="宋体" w:hAnsi="宋体"/>
                <w:color w:val="auto"/>
                <w:sz w:val="24"/>
                <w:highlight w:val="none"/>
              </w:rPr>
            </w:pPr>
          </w:p>
        </w:tc>
        <w:tc>
          <w:tcPr>
            <w:tcW w:w="1143" w:type="dxa"/>
            <w:vAlign w:val="center"/>
          </w:tcPr>
          <w:p w14:paraId="502BF298">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2310799E">
            <w:pPr>
              <w:shd w:val="clear" w:fill="FFFFFF" w:themeFill="background1"/>
              <w:spacing w:line="276" w:lineRule="auto"/>
              <w:ind w:firstLine="480" w:firstLineChars="200"/>
              <w:jc w:val="left"/>
              <w:rPr>
                <w:rFonts w:ascii="宋体" w:hAnsi="宋体"/>
                <w:color w:val="auto"/>
                <w:sz w:val="24"/>
                <w:highlight w:val="none"/>
              </w:rPr>
            </w:pPr>
          </w:p>
        </w:tc>
      </w:tr>
      <w:tr w14:paraId="311D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14:paraId="1056AC3D">
            <w:pPr>
              <w:shd w:val="clear" w:fill="FFFFFF" w:themeFill="background1"/>
              <w:spacing w:line="276" w:lineRule="auto"/>
              <w:rPr>
                <w:rFonts w:ascii="宋体" w:hAnsi="宋体"/>
                <w:color w:val="auto"/>
                <w:sz w:val="24"/>
                <w:highlight w:val="none"/>
              </w:rPr>
            </w:pPr>
          </w:p>
        </w:tc>
        <w:tc>
          <w:tcPr>
            <w:tcW w:w="1143" w:type="dxa"/>
            <w:tcBorders>
              <w:bottom w:val="single" w:color="auto" w:sz="12" w:space="0"/>
            </w:tcBorders>
            <w:vAlign w:val="center"/>
          </w:tcPr>
          <w:p w14:paraId="577B0913">
            <w:pPr>
              <w:shd w:val="clear" w:fill="FFFFFF" w:themeFill="background1"/>
              <w:spacing w:line="276" w:lineRule="auto"/>
              <w:ind w:firstLine="480" w:firstLineChars="200"/>
              <w:rPr>
                <w:rFonts w:ascii="宋体" w:hAnsi="宋体"/>
                <w:color w:val="auto"/>
                <w:sz w:val="24"/>
                <w:highlight w:val="none"/>
              </w:rPr>
            </w:pPr>
          </w:p>
        </w:tc>
        <w:tc>
          <w:tcPr>
            <w:tcW w:w="6488" w:type="dxa"/>
            <w:tcBorders>
              <w:bottom w:val="single" w:color="auto" w:sz="12" w:space="0"/>
            </w:tcBorders>
            <w:vAlign w:val="center"/>
          </w:tcPr>
          <w:p w14:paraId="7C71A607">
            <w:pPr>
              <w:shd w:val="clear" w:fill="FFFFFF" w:themeFill="background1"/>
              <w:spacing w:line="276" w:lineRule="auto"/>
              <w:ind w:firstLine="480" w:firstLineChars="200"/>
              <w:jc w:val="left"/>
              <w:rPr>
                <w:rFonts w:ascii="宋体" w:hAnsi="宋体"/>
                <w:color w:val="auto"/>
                <w:sz w:val="24"/>
                <w:highlight w:val="none"/>
              </w:rPr>
            </w:pPr>
          </w:p>
        </w:tc>
      </w:tr>
    </w:tbl>
    <w:p w14:paraId="31630A45">
      <w:pPr>
        <w:shd w:val="clear" w:fill="FFFFFF" w:themeFill="background1"/>
        <w:rPr>
          <w:color w:val="auto"/>
          <w:highlight w:val="none"/>
        </w:rPr>
      </w:pPr>
      <w:r>
        <w:rPr>
          <w:rFonts w:hint="eastAsia"/>
          <w:color w:val="auto"/>
          <w:sz w:val="24"/>
          <w:highlight w:val="none"/>
        </w:rPr>
        <w:t>注：本表所要求人员须按招标文件投标函的格式承诺，中标人在进场前向招标人提交实际投入的人员。</w:t>
      </w:r>
    </w:p>
    <w:p w14:paraId="574D3DFE">
      <w:pPr>
        <w:pStyle w:val="78"/>
        <w:shd w:val="clear" w:fill="FFFFFF" w:themeFill="background1"/>
        <w:spacing w:line="360" w:lineRule="auto"/>
        <w:rPr>
          <w:rFonts w:ascii="宋体" w:hAnsi="宋体"/>
          <w:color w:val="auto"/>
          <w:sz w:val="24"/>
          <w:szCs w:val="24"/>
          <w:highlight w:val="none"/>
        </w:rPr>
      </w:pPr>
    </w:p>
    <w:p w14:paraId="36D8B501">
      <w:pPr>
        <w:shd w:val="clear" w:fill="FFFFFF" w:themeFill="background1"/>
        <w:rPr>
          <w:color w:val="auto"/>
          <w:highlight w:val="none"/>
        </w:rPr>
      </w:pPr>
    </w:p>
    <w:bookmarkEnd w:id="1698"/>
    <w:p w14:paraId="35C4E10A">
      <w:pPr>
        <w:pStyle w:val="78"/>
        <w:shd w:val="clear" w:fill="FFFFFF" w:themeFill="background1"/>
        <w:spacing w:line="360" w:lineRule="auto"/>
        <w:rPr>
          <w:rFonts w:ascii="宋体" w:hAnsi="宋体"/>
          <w:color w:val="auto"/>
          <w:sz w:val="24"/>
          <w:szCs w:val="24"/>
          <w:highlight w:val="none"/>
        </w:rPr>
      </w:pPr>
      <w:bookmarkStart w:id="1699" w:name="_Toc43476010"/>
      <w:bookmarkEnd w:id="1699"/>
      <w:bookmarkStart w:id="1700" w:name="_Toc26675"/>
      <w:bookmarkEnd w:id="1700"/>
      <w:bookmarkStart w:id="1701" w:name="_Toc43476011"/>
      <w:bookmarkEnd w:id="1701"/>
      <w:r>
        <w:rPr>
          <w:rFonts w:hint="eastAsia" w:ascii="宋体" w:hAnsi="宋体"/>
          <w:color w:val="auto"/>
          <w:sz w:val="24"/>
          <w:szCs w:val="24"/>
          <w:highlight w:val="none"/>
        </w:rPr>
        <w:br w:type="page"/>
      </w:r>
      <w:r>
        <w:rPr>
          <w:rFonts w:hint="eastAsia" w:ascii="宋体" w:hAnsi="宋体"/>
          <w:color w:val="auto"/>
          <w:sz w:val="24"/>
          <w:szCs w:val="24"/>
          <w:highlight w:val="none"/>
        </w:rPr>
        <w:t>附件五   主要设备最低要求</w:t>
      </w:r>
    </w:p>
    <w:tbl>
      <w:tblPr>
        <w:tblStyle w:val="43"/>
        <w:tblpPr w:leftFromText="180" w:rightFromText="180" w:vertAnchor="text" w:horzAnchor="page" w:tblpXSpec="center" w:tblpY="109"/>
        <w:tblOverlap w:val="never"/>
        <w:tblW w:w="8765" w:type="dxa"/>
        <w:jc w:val="center"/>
        <w:tblLayout w:type="fixed"/>
        <w:tblCellMar>
          <w:top w:w="0" w:type="dxa"/>
          <w:left w:w="0" w:type="dxa"/>
          <w:bottom w:w="0" w:type="dxa"/>
          <w:right w:w="0" w:type="dxa"/>
        </w:tblCellMar>
      </w:tblPr>
      <w:tblGrid>
        <w:gridCol w:w="772"/>
        <w:gridCol w:w="2736"/>
        <w:gridCol w:w="2972"/>
        <w:gridCol w:w="842"/>
        <w:gridCol w:w="1443"/>
      </w:tblGrid>
      <w:tr w14:paraId="71937B6B">
        <w:tblPrEx>
          <w:tblCellMar>
            <w:top w:w="0" w:type="dxa"/>
            <w:left w:w="0" w:type="dxa"/>
            <w:bottom w:w="0" w:type="dxa"/>
            <w:right w:w="0" w:type="dxa"/>
          </w:tblCellMar>
        </w:tblPrEx>
        <w:trPr>
          <w:trHeight w:val="565" w:hRule="exact"/>
          <w:jc w:val="center"/>
        </w:trPr>
        <w:tc>
          <w:tcPr>
            <w:tcW w:w="772" w:type="dxa"/>
            <w:tcBorders>
              <w:top w:val="single" w:color="000000" w:sz="12" w:space="0"/>
              <w:left w:val="single" w:color="000000" w:sz="12" w:space="0"/>
              <w:bottom w:val="single" w:color="000000" w:sz="8" w:space="0"/>
              <w:right w:val="single" w:color="000000" w:sz="8" w:space="0"/>
            </w:tcBorders>
            <w:vAlign w:val="center"/>
          </w:tcPr>
          <w:p w14:paraId="13449BC3">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42EE2DB6">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78864B2A">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05D385C5">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7E3AFB00">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最低数量</w:t>
            </w:r>
          </w:p>
        </w:tc>
      </w:tr>
      <w:tr w14:paraId="74AEB112">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B1AA29A">
            <w:p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D3A27">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F8FCB">
            <w:pPr>
              <w:shd w:val="clear" w:fill="FFFFFF" w:themeFill="background1"/>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3F2DA">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FEB3076">
            <w:pPr>
              <w:shd w:val="clear" w:fill="FFFFFF" w:themeFill="background1"/>
              <w:spacing w:line="360" w:lineRule="auto"/>
              <w:jc w:val="center"/>
              <w:rPr>
                <w:rFonts w:ascii="宋体" w:hAnsi="宋体" w:cs="宋体"/>
                <w:color w:val="auto"/>
                <w:sz w:val="24"/>
                <w:highlight w:val="none"/>
              </w:rPr>
            </w:pPr>
          </w:p>
        </w:tc>
      </w:tr>
      <w:tr w14:paraId="6C855524">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F826CA8">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2FB31">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FA89A">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41AB8">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1D23DD5">
            <w:pPr>
              <w:shd w:val="clear" w:fill="FFFFFF" w:themeFill="background1"/>
              <w:spacing w:line="360" w:lineRule="auto"/>
              <w:jc w:val="center"/>
              <w:rPr>
                <w:rFonts w:ascii="宋体" w:hAnsi="宋体" w:cs="宋体"/>
                <w:color w:val="auto"/>
                <w:sz w:val="24"/>
                <w:highlight w:val="none"/>
              </w:rPr>
            </w:pPr>
          </w:p>
        </w:tc>
      </w:tr>
      <w:tr w14:paraId="6921D6E9">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890FBE3">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5CE79">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895B3">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DE51E">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743DDD5">
            <w:pPr>
              <w:shd w:val="clear" w:fill="FFFFFF" w:themeFill="background1"/>
              <w:spacing w:line="360" w:lineRule="auto"/>
              <w:jc w:val="center"/>
              <w:rPr>
                <w:rFonts w:ascii="宋体" w:hAnsi="宋体" w:cs="宋体"/>
                <w:color w:val="auto"/>
                <w:sz w:val="24"/>
                <w:highlight w:val="none"/>
              </w:rPr>
            </w:pPr>
          </w:p>
        </w:tc>
      </w:tr>
      <w:tr w14:paraId="0E90C089">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7182C46">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42727">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BA898">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4CCB6">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1BCF3A96">
            <w:pPr>
              <w:shd w:val="clear" w:fill="FFFFFF" w:themeFill="background1"/>
              <w:spacing w:line="360" w:lineRule="auto"/>
              <w:jc w:val="center"/>
              <w:rPr>
                <w:rFonts w:ascii="宋体" w:hAnsi="宋体" w:cs="宋体"/>
                <w:color w:val="auto"/>
                <w:sz w:val="24"/>
                <w:highlight w:val="none"/>
              </w:rPr>
            </w:pPr>
          </w:p>
        </w:tc>
      </w:tr>
      <w:tr w14:paraId="382A776B">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AA68262">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F9855">
            <w:pPr>
              <w:shd w:val="clear" w:fill="FFFFFF" w:themeFill="background1"/>
              <w:spacing w:line="360" w:lineRule="auto"/>
              <w:ind w:firstLine="240" w:firstLineChars="100"/>
              <w:jc w:val="left"/>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4C707">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7ABD7">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9A3DB5D">
            <w:pPr>
              <w:shd w:val="clear" w:fill="FFFFFF" w:themeFill="background1"/>
              <w:spacing w:line="360" w:lineRule="auto"/>
              <w:jc w:val="center"/>
              <w:rPr>
                <w:rFonts w:ascii="宋体" w:hAnsi="宋体" w:cs="宋体"/>
                <w:color w:val="auto"/>
                <w:sz w:val="24"/>
                <w:highlight w:val="none"/>
              </w:rPr>
            </w:pPr>
          </w:p>
        </w:tc>
      </w:tr>
      <w:tr w14:paraId="7DDAB0B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FD8D97D">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255C3">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0664C">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B8CD5">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E37959A">
            <w:pPr>
              <w:shd w:val="clear" w:fill="FFFFFF" w:themeFill="background1"/>
              <w:spacing w:line="360" w:lineRule="auto"/>
              <w:jc w:val="center"/>
              <w:rPr>
                <w:rFonts w:ascii="宋体" w:hAnsi="宋体" w:cs="宋体"/>
                <w:color w:val="auto"/>
                <w:sz w:val="24"/>
                <w:highlight w:val="none"/>
              </w:rPr>
            </w:pPr>
          </w:p>
        </w:tc>
      </w:tr>
      <w:tr w14:paraId="66E71C66">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3D8E549">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18177">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06FBE">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2C083">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261DC82">
            <w:pPr>
              <w:shd w:val="clear" w:fill="FFFFFF" w:themeFill="background1"/>
              <w:spacing w:line="360" w:lineRule="auto"/>
              <w:jc w:val="center"/>
              <w:rPr>
                <w:rFonts w:ascii="宋体" w:hAnsi="宋体" w:cs="宋体"/>
                <w:color w:val="auto"/>
                <w:sz w:val="24"/>
                <w:highlight w:val="none"/>
              </w:rPr>
            </w:pPr>
          </w:p>
        </w:tc>
      </w:tr>
      <w:tr w14:paraId="0D77662F">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5ACEC2A">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98E82">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48837">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03695">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CD5C3E9">
            <w:pPr>
              <w:shd w:val="clear" w:fill="FFFFFF" w:themeFill="background1"/>
              <w:spacing w:line="360" w:lineRule="auto"/>
              <w:jc w:val="center"/>
              <w:rPr>
                <w:rFonts w:ascii="宋体" w:hAnsi="宋体" w:cs="宋体"/>
                <w:color w:val="auto"/>
                <w:sz w:val="24"/>
                <w:highlight w:val="none"/>
              </w:rPr>
            </w:pPr>
          </w:p>
        </w:tc>
      </w:tr>
      <w:tr w14:paraId="4919B47A">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4AB9600">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36E55">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B2D1D">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A08EE">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AEB3AFA">
            <w:pPr>
              <w:shd w:val="clear" w:fill="FFFFFF" w:themeFill="background1"/>
              <w:spacing w:line="360" w:lineRule="auto"/>
              <w:jc w:val="center"/>
              <w:rPr>
                <w:rFonts w:ascii="宋体" w:hAnsi="宋体" w:cs="宋体"/>
                <w:color w:val="auto"/>
                <w:sz w:val="24"/>
                <w:highlight w:val="none"/>
              </w:rPr>
            </w:pPr>
          </w:p>
        </w:tc>
      </w:tr>
      <w:tr w14:paraId="343303F9">
        <w:tblPrEx>
          <w:tblCellMar>
            <w:top w:w="0" w:type="dxa"/>
            <w:left w:w="0" w:type="dxa"/>
            <w:bottom w:w="0" w:type="dxa"/>
            <w:right w:w="0" w:type="dxa"/>
          </w:tblCellMar>
        </w:tblPrEx>
        <w:trPr>
          <w:trHeight w:val="550"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19B5C66">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C7916">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D39CF">
            <w:pPr>
              <w:shd w:val="clear" w:fill="FFFFFF" w:themeFill="background1"/>
              <w:adjustRightInd w:val="0"/>
              <w:snapToGrid w:val="0"/>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E08EA">
            <w:pPr>
              <w:shd w:val="clear" w:fill="FFFFFF" w:themeFill="background1"/>
              <w:adjustRightInd w:val="0"/>
              <w:snapToGrid w:val="0"/>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7009B4E">
            <w:pPr>
              <w:shd w:val="clear" w:fill="FFFFFF" w:themeFill="background1"/>
              <w:adjustRightInd w:val="0"/>
              <w:snapToGrid w:val="0"/>
              <w:jc w:val="center"/>
              <w:rPr>
                <w:rFonts w:ascii="宋体" w:hAnsi="宋体" w:cs="宋体" w:eastAsiaTheme="minorEastAsia"/>
                <w:color w:val="auto"/>
                <w:sz w:val="24"/>
                <w:highlight w:val="none"/>
              </w:rPr>
            </w:pPr>
          </w:p>
        </w:tc>
      </w:tr>
      <w:tr w14:paraId="1CB36D6A">
        <w:tblPrEx>
          <w:tblCellMar>
            <w:top w:w="0" w:type="dxa"/>
            <w:left w:w="0" w:type="dxa"/>
            <w:bottom w:w="0" w:type="dxa"/>
            <w:right w:w="0" w:type="dxa"/>
          </w:tblCellMar>
        </w:tblPrEx>
        <w:trPr>
          <w:trHeight w:val="525"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EB5059D">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E27B2">
            <w:pPr>
              <w:shd w:val="clear" w:fill="FFFFFF" w:themeFill="background1"/>
              <w:spacing w:line="360" w:lineRule="auto"/>
              <w:ind w:firstLine="240" w:firstLineChars="100"/>
              <w:rPr>
                <w:rFonts w:ascii="宋体" w:hAnsi="宋体" w:cs="宋体" w:eastAsiaTheme="minorEastAsia"/>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228BB">
            <w:pPr>
              <w:shd w:val="clear" w:fill="FFFFFF" w:themeFill="background1"/>
              <w:adjustRightInd w:val="0"/>
              <w:snapToGrid w:val="0"/>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3A045">
            <w:pPr>
              <w:shd w:val="clear" w:fill="FFFFFF" w:themeFill="background1"/>
              <w:adjustRightInd w:val="0"/>
              <w:snapToGrid w:val="0"/>
              <w:jc w:val="center"/>
              <w:rPr>
                <w:rFonts w:ascii="宋体" w:hAnsi="宋体" w:cs="宋体" w:eastAsiaTheme="minorEastAsia"/>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9582C87">
            <w:pPr>
              <w:shd w:val="clear" w:fill="FFFFFF" w:themeFill="background1"/>
              <w:adjustRightInd w:val="0"/>
              <w:snapToGrid w:val="0"/>
              <w:jc w:val="center"/>
              <w:rPr>
                <w:rFonts w:ascii="宋体" w:hAnsi="宋体" w:cs="宋体" w:eastAsiaTheme="minorEastAsia"/>
                <w:color w:val="auto"/>
                <w:sz w:val="24"/>
                <w:highlight w:val="none"/>
              </w:rPr>
            </w:pPr>
          </w:p>
        </w:tc>
      </w:tr>
      <w:tr w14:paraId="01C251E3">
        <w:tblPrEx>
          <w:tblCellMar>
            <w:top w:w="0" w:type="dxa"/>
            <w:left w:w="0" w:type="dxa"/>
            <w:bottom w:w="0" w:type="dxa"/>
            <w:right w:w="0" w:type="dxa"/>
          </w:tblCellMar>
        </w:tblPrEx>
        <w:trPr>
          <w:trHeight w:val="568"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E38CFF7">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97CDF">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C2392">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1F27E">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297AD9E">
            <w:pPr>
              <w:shd w:val="clear" w:fill="FFFFFF" w:themeFill="background1"/>
              <w:spacing w:line="360" w:lineRule="auto"/>
              <w:jc w:val="center"/>
              <w:rPr>
                <w:rFonts w:ascii="宋体" w:hAnsi="宋体" w:cs="宋体"/>
                <w:color w:val="auto"/>
                <w:sz w:val="24"/>
                <w:highlight w:val="none"/>
              </w:rPr>
            </w:pPr>
          </w:p>
        </w:tc>
      </w:tr>
      <w:tr w14:paraId="290B25BE">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BBC5178">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98313">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F238F">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AC1F5">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BD8C1EA">
            <w:pPr>
              <w:shd w:val="clear" w:fill="FFFFFF" w:themeFill="background1"/>
              <w:spacing w:line="360" w:lineRule="auto"/>
              <w:jc w:val="center"/>
              <w:rPr>
                <w:rFonts w:ascii="宋体" w:hAnsi="宋体" w:cs="宋体"/>
                <w:color w:val="auto"/>
                <w:sz w:val="24"/>
                <w:highlight w:val="none"/>
              </w:rPr>
            </w:pPr>
          </w:p>
        </w:tc>
      </w:tr>
      <w:tr w14:paraId="5E895591">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0A21333C">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29726360">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534D3395">
            <w:pPr>
              <w:shd w:val="clear" w:fill="FFFFFF" w:themeFill="background1"/>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616DADFE">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1B96DE93">
            <w:pPr>
              <w:shd w:val="clear" w:fill="FFFFFF" w:themeFill="background1"/>
              <w:spacing w:line="360" w:lineRule="auto"/>
              <w:jc w:val="center"/>
              <w:rPr>
                <w:rFonts w:ascii="宋体" w:hAnsi="宋体" w:cs="宋体" w:eastAsiaTheme="minorEastAsia"/>
                <w:color w:val="auto"/>
                <w:sz w:val="24"/>
                <w:highlight w:val="none"/>
              </w:rPr>
            </w:pPr>
          </w:p>
        </w:tc>
      </w:tr>
      <w:tr w14:paraId="1553268A">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5E9F090C">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1DA17EB3">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3EDD2985">
            <w:pPr>
              <w:shd w:val="clear" w:fill="FFFFFF" w:themeFill="background1"/>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6B2BA1AB">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7EECBFCB">
            <w:pPr>
              <w:shd w:val="clear" w:fill="FFFFFF" w:themeFill="background1"/>
              <w:spacing w:line="360" w:lineRule="auto"/>
              <w:jc w:val="center"/>
              <w:rPr>
                <w:rFonts w:ascii="宋体" w:hAnsi="宋体" w:cs="宋体" w:eastAsiaTheme="minorEastAsia"/>
                <w:color w:val="auto"/>
                <w:sz w:val="24"/>
                <w:highlight w:val="none"/>
              </w:rPr>
            </w:pPr>
          </w:p>
        </w:tc>
      </w:tr>
      <w:tr w14:paraId="00A2C8AE">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26761941">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5E3B8C0A">
            <w:pPr>
              <w:shd w:val="clear" w:fill="FFFFFF" w:themeFill="background1"/>
              <w:spacing w:line="360" w:lineRule="auto"/>
              <w:ind w:firstLine="240" w:firstLineChars="100"/>
              <w:rPr>
                <w:rFonts w:ascii="宋体" w:hAnsi="宋体" w:cs="宋体" w:eastAsiaTheme="minorEastAsia"/>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2B6F7710">
            <w:pPr>
              <w:shd w:val="clear" w:fill="FFFFFF" w:themeFill="background1"/>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3AA1BC5F">
            <w:pPr>
              <w:shd w:val="clear" w:fill="FFFFFF" w:themeFill="background1"/>
              <w:spacing w:line="360" w:lineRule="auto"/>
              <w:jc w:val="center"/>
              <w:rPr>
                <w:rFonts w:ascii="宋体" w:hAnsi="宋体" w:cs="宋体" w:eastAsiaTheme="minorEastAsia"/>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7A268C6A">
            <w:pPr>
              <w:shd w:val="clear" w:fill="FFFFFF" w:themeFill="background1"/>
              <w:spacing w:line="360" w:lineRule="auto"/>
              <w:jc w:val="center"/>
              <w:rPr>
                <w:rFonts w:ascii="宋体" w:hAnsi="宋体" w:cs="宋体" w:eastAsiaTheme="minorEastAsia"/>
                <w:color w:val="auto"/>
                <w:sz w:val="24"/>
                <w:highlight w:val="none"/>
              </w:rPr>
            </w:pPr>
          </w:p>
        </w:tc>
      </w:tr>
    </w:tbl>
    <w:p w14:paraId="10DB588B">
      <w:pPr>
        <w:shd w:val="clear" w:fill="FFFFFF" w:themeFill="background1"/>
        <w:rPr>
          <w:rFonts w:ascii="宋体" w:hAnsi="宋体"/>
          <w:color w:val="auto"/>
          <w:sz w:val="24"/>
          <w:highlight w:val="none"/>
        </w:rPr>
      </w:pPr>
    </w:p>
    <w:p w14:paraId="46D4A38E">
      <w:pPr>
        <w:pStyle w:val="55"/>
        <w:shd w:val="clear" w:fill="FFFFFF" w:themeFill="background1"/>
        <w:rPr>
          <w:rFonts w:ascii="宋体" w:hAnsi="宋体"/>
          <w:color w:val="auto"/>
          <w:sz w:val="24"/>
          <w:highlight w:val="none"/>
        </w:rPr>
      </w:pPr>
    </w:p>
    <w:p w14:paraId="246A16C2">
      <w:pPr>
        <w:pStyle w:val="55"/>
        <w:shd w:val="clear" w:fill="FFFFFF" w:themeFill="background1"/>
        <w:rPr>
          <w:rFonts w:ascii="宋体" w:hAnsi="宋体"/>
          <w:color w:val="auto"/>
          <w:sz w:val="24"/>
          <w:highlight w:val="none"/>
        </w:rPr>
      </w:pPr>
    </w:p>
    <w:p w14:paraId="6E91EF16">
      <w:pPr>
        <w:pStyle w:val="55"/>
        <w:shd w:val="clear" w:fill="FFFFFF" w:themeFill="background1"/>
        <w:rPr>
          <w:rFonts w:ascii="宋体" w:hAnsi="宋体"/>
          <w:color w:val="auto"/>
          <w:sz w:val="24"/>
          <w:highlight w:val="none"/>
        </w:rPr>
      </w:pPr>
    </w:p>
    <w:p w14:paraId="24576757">
      <w:pPr>
        <w:pStyle w:val="55"/>
        <w:shd w:val="clear" w:fill="FFFFFF" w:themeFill="background1"/>
        <w:rPr>
          <w:rFonts w:ascii="宋体" w:hAnsi="宋体"/>
          <w:color w:val="auto"/>
          <w:sz w:val="24"/>
          <w:highlight w:val="none"/>
        </w:rPr>
      </w:pPr>
    </w:p>
    <w:p w14:paraId="67327B5A">
      <w:pPr>
        <w:pStyle w:val="55"/>
        <w:shd w:val="clear" w:fill="FFFFFF" w:themeFill="background1"/>
        <w:rPr>
          <w:rFonts w:ascii="宋体" w:hAnsi="宋体"/>
          <w:color w:val="auto"/>
          <w:sz w:val="24"/>
          <w:highlight w:val="none"/>
        </w:rPr>
      </w:pPr>
    </w:p>
    <w:p w14:paraId="01213524">
      <w:pPr>
        <w:pStyle w:val="55"/>
        <w:shd w:val="clear" w:fill="FFFFFF" w:themeFill="background1"/>
        <w:rPr>
          <w:rFonts w:ascii="宋体" w:hAnsi="宋体"/>
          <w:color w:val="auto"/>
          <w:sz w:val="24"/>
          <w:highlight w:val="none"/>
        </w:rPr>
      </w:pPr>
    </w:p>
    <w:p w14:paraId="3C8932ED">
      <w:pPr>
        <w:pStyle w:val="55"/>
        <w:shd w:val="clear" w:fill="FFFFFF" w:themeFill="background1"/>
        <w:rPr>
          <w:rFonts w:ascii="宋体" w:hAnsi="宋体"/>
          <w:color w:val="auto"/>
          <w:sz w:val="24"/>
          <w:highlight w:val="none"/>
        </w:rPr>
      </w:pPr>
    </w:p>
    <w:p w14:paraId="0E18233F">
      <w:pPr>
        <w:pStyle w:val="55"/>
        <w:shd w:val="clear" w:fill="FFFFFF" w:themeFill="background1"/>
        <w:rPr>
          <w:rFonts w:ascii="宋体" w:hAnsi="宋体"/>
          <w:color w:val="auto"/>
          <w:sz w:val="24"/>
          <w:highlight w:val="none"/>
        </w:rPr>
      </w:pPr>
    </w:p>
    <w:p w14:paraId="04F7C1D5">
      <w:pPr>
        <w:pStyle w:val="55"/>
        <w:shd w:val="clear" w:fill="FFFFFF" w:themeFill="background1"/>
        <w:rPr>
          <w:rFonts w:ascii="宋体" w:hAnsi="宋体"/>
          <w:color w:val="auto"/>
          <w:sz w:val="24"/>
          <w:highlight w:val="none"/>
        </w:rPr>
      </w:pPr>
    </w:p>
    <w:p w14:paraId="2756260A">
      <w:pPr>
        <w:pStyle w:val="55"/>
        <w:shd w:val="clear" w:fill="FFFFFF" w:themeFill="background1"/>
        <w:rPr>
          <w:rFonts w:ascii="宋体" w:hAnsi="宋体"/>
          <w:color w:val="auto"/>
          <w:sz w:val="24"/>
          <w:highlight w:val="none"/>
        </w:rPr>
      </w:pPr>
    </w:p>
    <w:p w14:paraId="10BCAA0D">
      <w:pPr>
        <w:pStyle w:val="55"/>
        <w:shd w:val="clear" w:fill="FFFFFF" w:themeFill="background1"/>
        <w:rPr>
          <w:rFonts w:ascii="宋体" w:hAnsi="宋体"/>
          <w:color w:val="auto"/>
          <w:sz w:val="24"/>
          <w:highlight w:val="none"/>
        </w:rPr>
      </w:pPr>
    </w:p>
    <w:p w14:paraId="2FA5C6DB">
      <w:pPr>
        <w:pStyle w:val="55"/>
        <w:shd w:val="clear" w:fill="FFFFFF" w:themeFill="background1"/>
        <w:rPr>
          <w:rFonts w:ascii="宋体" w:hAnsi="宋体"/>
          <w:color w:val="auto"/>
          <w:sz w:val="24"/>
          <w:highlight w:val="none"/>
        </w:rPr>
      </w:pPr>
    </w:p>
    <w:p w14:paraId="379F1D11">
      <w:pPr>
        <w:pStyle w:val="55"/>
        <w:shd w:val="clear" w:fill="FFFFFF" w:themeFill="background1"/>
        <w:rPr>
          <w:rFonts w:ascii="宋体" w:hAnsi="宋体"/>
          <w:color w:val="auto"/>
          <w:sz w:val="24"/>
          <w:highlight w:val="none"/>
        </w:rPr>
      </w:pPr>
    </w:p>
    <w:p w14:paraId="5C502B07">
      <w:pPr>
        <w:pStyle w:val="55"/>
        <w:shd w:val="clear" w:fill="FFFFFF" w:themeFill="background1"/>
        <w:rPr>
          <w:rFonts w:ascii="宋体" w:hAnsi="宋体"/>
          <w:color w:val="auto"/>
          <w:sz w:val="24"/>
          <w:highlight w:val="none"/>
        </w:rPr>
      </w:pPr>
    </w:p>
    <w:p w14:paraId="781F6A00">
      <w:pPr>
        <w:pStyle w:val="55"/>
        <w:shd w:val="clear" w:fill="FFFFFF" w:themeFill="background1"/>
        <w:rPr>
          <w:rFonts w:ascii="宋体" w:hAnsi="宋体"/>
          <w:color w:val="auto"/>
          <w:sz w:val="24"/>
          <w:highlight w:val="none"/>
        </w:rPr>
      </w:pPr>
    </w:p>
    <w:p w14:paraId="51057539">
      <w:pPr>
        <w:pStyle w:val="55"/>
        <w:shd w:val="clear" w:fill="FFFFFF" w:themeFill="background1"/>
        <w:rPr>
          <w:rFonts w:ascii="宋体" w:hAnsi="宋体"/>
          <w:color w:val="auto"/>
          <w:sz w:val="24"/>
          <w:highlight w:val="none"/>
        </w:rPr>
      </w:pPr>
    </w:p>
    <w:p w14:paraId="1F29662D">
      <w:pPr>
        <w:pStyle w:val="55"/>
        <w:shd w:val="clear" w:fill="FFFFFF" w:themeFill="background1"/>
        <w:rPr>
          <w:rFonts w:ascii="宋体" w:hAnsi="宋体"/>
          <w:color w:val="auto"/>
          <w:sz w:val="24"/>
          <w:highlight w:val="none"/>
        </w:rPr>
      </w:pPr>
    </w:p>
    <w:p w14:paraId="509976D9">
      <w:pPr>
        <w:pStyle w:val="80"/>
        <w:shd w:val="clear" w:fill="FFFFFF" w:themeFill="background1"/>
        <w:spacing w:before="81"/>
        <w:ind w:right="164"/>
        <w:jc w:val="left"/>
        <w:rPr>
          <w:rFonts w:ascii="宋体" w:hAnsi="宋体" w:cs="宋体"/>
          <w:color w:val="auto"/>
          <w:sz w:val="24"/>
          <w:szCs w:val="22"/>
          <w:highlight w:val="none"/>
        </w:rPr>
      </w:pPr>
      <w:r>
        <w:rPr>
          <w:rFonts w:hint="eastAsia" w:ascii="宋体" w:hAnsi="宋体" w:cs="宋体"/>
          <w:color w:val="auto"/>
          <w:sz w:val="24"/>
          <w:szCs w:val="22"/>
          <w:highlight w:val="none"/>
        </w:rPr>
        <w:t>注：1、本表所要求的主要机械设备和试验检测设备须按招标文件投标函的格式承诺，中标人在进场前向招标人提交实际投入的机械设备。</w:t>
      </w:r>
    </w:p>
    <w:p w14:paraId="04CEA3BA">
      <w:pPr>
        <w:pStyle w:val="80"/>
        <w:shd w:val="clear" w:fill="FFFFFF" w:themeFill="background1"/>
        <w:spacing w:before="81"/>
        <w:ind w:right="164" w:firstLine="480"/>
        <w:jc w:val="left"/>
        <w:rPr>
          <w:rFonts w:ascii="宋体" w:hAnsi="宋体" w:cs="宋体"/>
          <w:color w:val="auto"/>
          <w:sz w:val="24"/>
          <w:highlight w:val="none"/>
        </w:rPr>
      </w:pPr>
      <w:r>
        <w:rPr>
          <w:rFonts w:hint="eastAsia" w:ascii="宋体" w:hAnsi="宋体" w:cs="宋体"/>
          <w:color w:val="auto"/>
          <w:sz w:val="24"/>
          <w:szCs w:val="22"/>
          <w:highlight w:val="none"/>
        </w:rPr>
        <w:t>2、招标人有权根据标段的工程特点、工程量及工程进度情况要求增加相应的施工设备，由此不存在索赔问题</w:t>
      </w:r>
      <w:r>
        <w:rPr>
          <w:rFonts w:hint="eastAsia" w:ascii="宋体" w:hAnsi="宋体" w:cs="宋体"/>
          <w:color w:val="auto"/>
          <w:sz w:val="24"/>
          <w:highlight w:val="none"/>
        </w:rPr>
        <w:t>。</w:t>
      </w:r>
    </w:p>
    <w:p w14:paraId="13A6D19E">
      <w:pPr>
        <w:pStyle w:val="4"/>
        <w:shd w:val="clear" w:fill="FFFFFF" w:themeFill="background1"/>
        <w:rPr>
          <w:color w:val="auto"/>
          <w:highlight w:val="none"/>
        </w:rPr>
      </w:pPr>
      <w:bookmarkStart w:id="1702" w:name="_Toc505844508"/>
      <w:bookmarkEnd w:id="1702"/>
      <w:bookmarkStart w:id="1703" w:name="_Toc16658"/>
      <w:bookmarkEnd w:id="1703"/>
      <w:bookmarkStart w:id="1704" w:name="_Toc43476012"/>
      <w:bookmarkEnd w:id="1704"/>
      <w:r>
        <w:rPr>
          <w:rFonts w:hint="eastAsia"/>
          <w:color w:val="auto"/>
          <w:highlight w:val="none"/>
        </w:rPr>
        <w:br w:type="page"/>
      </w:r>
      <w:r>
        <w:rPr>
          <w:rFonts w:hint="eastAsia"/>
          <w:color w:val="auto"/>
          <w:sz w:val="24"/>
          <w:szCs w:val="24"/>
          <w:highlight w:val="none"/>
        </w:rPr>
        <w:t>附件六  项目经理委托书</w:t>
      </w:r>
    </w:p>
    <w:p w14:paraId="78B3E359">
      <w:pPr>
        <w:shd w:val="clear" w:fill="FFFFFF" w:themeFill="background1"/>
        <w:spacing w:line="400" w:lineRule="exact"/>
        <w:rPr>
          <w:rFonts w:ascii="宋体" w:hAnsi="宋体"/>
          <w:color w:val="auto"/>
          <w:sz w:val="24"/>
          <w:highlight w:val="none"/>
        </w:rPr>
      </w:pPr>
    </w:p>
    <w:p w14:paraId="42718C5B">
      <w:pPr>
        <w:shd w:val="clear" w:fill="FFFFFF" w:themeFill="background1"/>
        <w:spacing w:line="400" w:lineRule="exact"/>
        <w:jc w:val="center"/>
        <w:rPr>
          <w:rFonts w:ascii="宋体" w:hAnsi="宋体"/>
          <w:color w:val="auto"/>
          <w:sz w:val="24"/>
          <w:highlight w:val="none"/>
          <w:u w:val="single"/>
        </w:rPr>
      </w:pPr>
      <w:r>
        <w:rPr>
          <w:rFonts w:hint="eastAsia" w:ascii="宋体" w:hAnsi="宋体"/>
          <w:color w:val="auto"/>
          <w:sz w:val="24"/>
          <w:highlight w:val="none"/>
          <w:u w:val="single"/>
        </w:rPr>
        <w:t>（承包人全称）</w:t>
      </w:r>
    </w:p>
    <w:p w14:paraId="42C1247E">
      <w:pPr>
        <w:shd w:val="clear" w:fill="FFFFFF" w:themeFill="background1"/>
        <w:spacing w:line="400" w:lineRule="exact"/>
        <w:jc w:val="center"/>
        <w:rPr>
          <w:rFonts w:ascii="宋体" w:hAnsi="宋体"/>
          <w:color w:val="auto"/>
          <w:sz w:val="24"/>
          <w:highlight w:val="none"/>
          <w:u w:val="single"/>
        </w:rPr>
      </w:pPr>
      <w:r>
        <w:rPr>
          <w:rFonts w:hint="eastAsia" w:ascii="宋体" w:hAnsi="宋体"/>
          <w:color w:val="auto"/>
          <w:sz w:val="24"/>
          <w:highlight w:val="none"/>
          <w:u w:val="single"/>
        </w:rPr>
        <w:t>（合同工程名称）</w:t>
      </w:r>
      <w:r>
        <w:rPr>
          <w:rFonts w:hint="eastAsia" w:ascii="宋体" w:hAnsi="宋体"/>
          <w:color w:val="auto"/>
          <w:sz w:val="24"/>
          <w:highlight w:val="none"/>
        </w:rPr>
        <w:t>项目经理委任书</w:t>
      </w:r>
    </w:p>
    <w:p w14:paraId="4E373980">
      <w:pPr>
        <w:shd w:val="clear" w:fill="FFFFFF" w:themeFill="background1"/>
        <w:spacing w:line="400" w:lineRule="exact"/>
        <w:rPr>
          <w:rFonts w:ascii="宋体" w:hAnsi="宋体"/>
          <w:color w:val="auto"/>
          <w:sz w:val="24"/>
          <w:highlight w:val="none"/>
        </w:rPr>
      </w:pPr>
    </w:p>
    <w:p w14:paraId="2B517E49">
      <w:pPr>
        <w:shd w:val="clear" w:fill="FFFFFF" w:themeFill="background1"/>
        <w:spacing w:line="40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（发包人全称</w:t>
      </w:r>
      <w:r>
        <w:rPr>
          <w:rFonts w:hint="eastAsia" w:ascii="宋体" w:hAnsi="宋体"/>
          <w:color w:val="auto"/>
          <w:sz w:val="24"/>
          <w:highlight w:val="none"/>
        </w:rPr>
        <w:t>）</w:t>
      </w:r>
    </w:p>
    <w:p w14:paraId="6A881C1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u w:val="single"/>
        </w:rPr>
        <w:t>（承包人全称）</w:t>
      </w: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（职务、姓名）</w:t>
      </w:r>
      <w:r>
        <w:rPr>
          <w:rFonts w:hint="eastAsia" w:ascii="宋体" w:hAnsi="宋体"/>
          <w:color w:val="auto"/>
          <w:sz w:val="24"/>
          <w:highlight w:val="none"/>
        </w:rPr>
        <w:t xml:space="preserve"> 代表本单位委任 </w:t>
      </w:r>
      <w:r>
        <w:rPr>
          <w:rFonts w:hint="eastAsia" w:ascii="宋体" w:hAnsi="宋体"/>
          <w:color w:val="auto"/>
          <w:sz w:val="24"/>
          <w:highlight w:val="none"/>
          <w:u w:val="single"/>
        </w:rPr>
        <w:t>（职务、姓名）</w:t>
      </w:r>
      <w:r>
        <w:rPr>
          <w:rFonts w:hint="eastAsia" w:ascii="宋体" w:hAnsi="宋体"/>
          <w:color w:val="auto"/>
          <w:sz w:val="24"/>
          <w:highlight w:val="none"/>
        </w:rPr>
        <w:t xml:space="preserve"> 为</w:t>
      </w:r>
      <w:r>
        <w:rPr>
          <w:rFonts w:hint="eastAsia" w:ascii="宋体" w:hAnsi="宋体"/>
          <w:color w:val="auto"/>
          <w:sz w:val="24"/>
          <w:highlight w:val="none"/>
          <w:u w:val="single"/>
        </w:rPr>
        <w:t>（合同工程名称）</w:t>
      </w:r>
      <w:r>
        <w:rPr>
          <w:rFonts w:hint="eastAsia" w:ascii="宋体" w:hAnsi="宋体"/>
          <w:color w:val="auto"/>
          <w:sz w:val="24"/>
          <w:highlight w:val="none"/>
        </w:rPr>
        <w:t>的项目经理。凡本合同执行中的有关技术、工程进度、现场管理、质量检验、结算与支付等方面工作，由</w:t>
      </w:r>
      <w:r>
        <w:rPr>
          <w:rFonts w:hint="eastAsia" w:ascii="宋体" w:hAnsi="宋体"/>
          <w:color w:val="auto"/>
          <w:sz w:val="24"/>
          <w:highlight w:val="none"/>
          <w:u w:val="single"/>
        </w:rPr>
        <w:t xml:space="preserve"> （姓名） </w:t>
      </w:r>
      <w:r>
        <w:rPr>
          <w:rFonts w:hint="eastAsia" w:ascii="宋体" w:hAnsi="宋体"/>
          <w:color w:val="auto"/>
          <w:sz w:val="24"/>
          <w:highlight w:val="none"/>
        </w:rPr>
        <w:t>代表本单位全面负责。</w:t>
      </w:r>
    </w:p>
    <w:p w14:paraId="3149F2C0">
      <w:pPr>
        <w:shd w:val="clear" w:fill="FFFFFF" w:themeFill="background1"/>
        <w:spacing w:line="400" w:lineRule="exact"/>
        <w:rPr>
          <w:rFonts w:ascii="宋体" w:hAnsi="宋体"/>
          <w:color w:val="auto"/>
          <w:sz w:val="24"/>
          <w:highlight w:val="none"/>
        </w:rPr>
      </w:pPr>
    </w:p>
    <w:p w14:paraId="50A7715C">
      <w:pPr>
        <w:shd w:val="clear" w:fill="FFFFFF" w:themeFill="background1"/>
        <w:wordWrap w:val="0"/>
        <w:spacing w:line="400" w:lineRule="exact"/>
        <w:jc w:val="center"/>
        <w:rPr>
          <w:rFonts w:ascii="宋体" w:hAnsi="宋体"/>
          <w:color w:val="auto"/>
          <w:sz w:val="24"/>
          <w:highlight w:val="none"/>
        </w:rPr>
      </w:pPr>
      <w:r>
        <w:rPr>
          <w:rFonts w:hint="eastAsia" w:ascii="宋体" w:hAnsi="宋体"/>
          <w:color w:val="auto"/>
          <w:sz w:val="24"/>
          <w:highlight w:val="none"/>
        </w:rPr>
        <w:t xml:space="preserve">                       </w:t>
      </w:r>
    </w:p>
    <w:p w14:paraId="2E188DB4">
      <w:pPr>
        <w:shd w:val="clear" w:fill="FFFFFF" w:themeFill="background1"/>
        <w:wordWrap w:val="0"/>
        <w:spacing w:line="400" w:lineRule="exact"/>
        <w:jc w:val="center"/>
        <w:rPr>
          <w:rFonts w:ascii="宋体" w:hAnsi="宋体"/>
          <w:color w:val="auto"/>
          <w:sz w:val="24"/>
          <w:highlight w:val="none"/>
        </w:rPr>
      </w:pPr>
    </w:p>
    <w:p w14:paraId="7EFE9DE5">
      <w:pPr>
        <w:shd w:val="clear" w:fill="FFFFFF" w:themeFill="background1"/>
        <w:wordWrap w:val="0"/>
        <w:spacing w:line="400" w:lineRule="exact"/>
        <w:jc w:val="center"/>
        <w:rPr>
          <w:rFonts w:ascii="宋体" w:hAnsi="宋体"/>
          <w:color w:val="auto"/>
          <w:sz w:val="24"/>
          <w:highlight w:val="none"/>
        </w:rPr>
      </w:pPr>
      <w:r>
        <w:rPr>
          <w:rFonts w:hint="eastAsia" w:ascii="宋体" w:hAnsi="宋体"/>
          <w:color w:val="auto"/>
          <w:sz w:val="24"/>
          <w:highlight w:val="none"/>
        </w:rPr>
        <w:t xml:space="preserve">                                   承包人：（盖单位章）</w:t>
      </w:r>
    </w:p>
    <w:p w14:paraId="331796E6">
      <w:pPr>
        <w:shd w:val="clear" w:fill="FFFFFF" w:themeFill="background1"/>
        <w:wordWrap w:val="0"/>
        <w:spacing w:line="40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（职务） </w:t>
      </w:r>
    </w:p>
    <w:p w14:paraId="7CA586E5">
      <w:pPr>
        <w:shd w:val="clear" w:fill="FFFFFF" w:themeFill="background1"/>
        <w:wordWrap w:val="0"/>
        <w:spacing w:line="400" w:lineRule="exact"/>
        <w:ind w:firstLine="1800" w:firstLineChars="750"/>
        <w:jc w:val="center"/>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（姓名） </w:t>
      </w:r>
    </w:p>
    <w:p w14:paraId="13BADFD8">
      <w:pPr>
        <w:shd w:val="clear" w:fill="FFFFFF" w:themeFill="background1"/>
        <w:wordWrap w:val="0"/>
        <w:spacing w:line="400" w:lineRule="exact"/>
        <w:ind w:firstLine="1800" w:firstLineChars="750"/>
        <w:jc w:val="center"/>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（签字） </w:t>
      </w:r>
    </w:p>
    <w:p w14:paraId="1B2C74FD">
      <w:pPr>
        <w:shd w:val="clear" w:fill="FFFFFF" w:themeFill="background1"/>
        <w:spacing w:line="400" w:lineRule="exact"/>
        <w:rPr>
          <w:rFonts w:ascii="宋体" w:hAnsi="宋体"/>
          <w:color w:val="auto"/>
          <w:sz w:val="24"/>
          <w:highlight w:val="none"/>
        </w:rPr>
      </w:pPr>
    </w:p>
    <w:p w14:paraId="44EA65D1">
      <w:pPr>
        <w:shd w:val="clear" w:fill="FFFFFF" w:themeFill="background1"/>
        <w:wordWrap w:val="0"/>
        <w:spacing w:line="400" w:lineRule="exact"/>
        <w:jc w:val="right"/>
        <w:rPr>
          <w:rFonts w:ascii="宋体" w:hAnsi="宋体"/>
          <w:color w:val="auto"/>
          <w:sz w:val="24"/>
          <w:highlight w:val="none"/>
        </w:rPr>
      </w:pPr>
      <w:r>
        <w:rPr>
          <w:rFonts w:hint="eastAsia" w:ascii="宋体" w:hAnsi="宋体"/>
          <w:color w:val="auto"/>
          <w:sz w:val="24"/>
          <w:highlight w:val="none"/>
        </w:rPr>
        <w:t>年   月   日</w:t>
      </w:r>
    </w:p>
    <w:p w14:paraId="00B61C7F">
      <w:pPr>
        <w:shd w:val="clear" w:fill="FFFFFF" w:themeFill="background1"/>
        <w:spacing w:line="400" w:lineRule="exact"/>
        <w:rPr>
          <w:rFonts w:ascii="宋体" w:hAnsi="宋体"/>
          <w:color w:val="auto"/>
          <w:sz w:val="24"/>
          <w:highlight w:val="none"/>
        </w:rPr>
      </w:pPr>
    </w:p>
    <w:p w14:paraId="1672785F">
      <w:pPr>
        <w:shd w:val="clear" w:fill="FFFFFF" w:themeFill="background1"/>
        <w:spacing w:line="400" w:lineRule="exact"/>
        <w:jc w:val="left"/>
        <w:rPr>
          <w:rFonts w:ascii="宋体" w:hAnsi="宋体"/>
          <w:color w:val="auto"/>
          <w:sz w:val="24"/>
          <w:highlight w:val="none"/>
        </w:rPr>
      </w:pPr>
      <w:r>
        <w:rPr>
          <w:rFonts w:hint="eastAsia" w:ascii="宋体" w:hAnsi="宋体"/>
          <w:color w:val="auto"/>
          <w:sz w:val="24"/>
          <w:highlight w:val="none"/>
        </w:rPr>
        <w:t>抄送：</w:t>
      </w:r>
      <w:r>
        <w:rPr>
          <w:rFonts w:hint="eastAsia" w:ascii="宋体" w:hAnsi="宋体"/>
          <w:color w:val="auto"/>
          <w:sz w:val="24"/>
          <w:highlight w:val="none"/>
          <w:u w:val="single"/>
        </w:rPr>
        <w:t xml:space="preserve">  （监理人）</w:t>
      </w:r>
    </w:p>
    <w:p w14:paraId="6D011FED">
      <w:pPr>
        <w:pStyle w:val="78"/>
        <w:shd w:val="clear" w:fill="FFFFFF" w:themeFill="background1"/>
        <w:spacing w:line="360" w:lineRule="auto"/>
        <w:rPr>
          <w:rFonts w:ascii="宋体" w:hAnsi="宋体"/>
          <w:color w:val="auto"/>
          <w:sz w:val="24"/>
          <w:szCs w:val="24"/>
          <w:highlight w:val="none"/>
        </w:rPr>
      </w:pPr>
      <w:bookmarkStart w:id="1705" w:name="_Toc21137"/>
      <w:bookmarkEnd w:id="1705"/>
      <w:bookmarkStart w:id="1706" w:name="_Toc505608633"/>
      <w:bookmarkEnd w:id="1706"/>
      <w:bookmarkStart w:id="1707" w:name="_Toc505844509"/>
      <w:bookmarkEnd w:id="1707"/>
      <w:bookmarkStart w:id="1708" w:name="_Toc43476013"/>
      <w:bookmarkEnd w:id="1708"/>
      <w:r>
        <w:rPr>
          <w:rFonts w:ascii="宋体" w:hAnsi="宋体"/>
          <w:color w:val="auto"/>
          <w:sz w:val="24"/>
          <w:szCs w:val="24"/>
          <w:highlight w:val="none"/>
        </w:rPr>
        <w:br w:type="page"/>
      </w:r>
      <w:r>
        <w:rPr>
          <w:rFonts w:ascii="宋体" w:hAnsi="宋体"/>
          <w:color w:val="auto"/>
          <w:sz w:val="24"/>
          <w:szCs w:val="24"/>
          <w:highlight w:val="none"/>
        </w:rPr>
        <w:t>附件</w:t>
      </w:r>
      <w:r>
        <w:rPr>
          <w:rFonts w:hint="eastAsia" w:ascii="宋体" w:hAnsi="宋体"/>
          <w:color w:val="auto"/>
          <w:sz w:val="24"/>
          <w:szCs w:val="24"/>
          <w:highlight w:val="none"/>
        </w:rPr>
        <w:t xml:space="preserve">七   </w:t>
      </w:r>
      <w:r>
        <w:rPr>
          <w:rFonts w:ascii="宋体" w:hAnsi="宋体"/>
          <w:color w:val="auto"/>
          <w:sz w:val="24"/>
          <w:szCs w:val="24"/>
          <w:highlight w:val="none"/>
        </w:rPr>
        <w:t>履约担保格式</w:t>
      </w:r>
    </w:p>
    <w:p w14:paraId="12A79D63">
      <w:pPr>
        <w:shd w:val="clear" w:fill="FFFFFF" w:themeFill="background1"/>
        <w:rPr>
          <w:color w:val="auto"/>
          <w:highlight w:val="none"/>
        </w:rPr>
      </w:pPr>
      <w:r>
        <w:rPr>
          <w:rFonts w:hint="eastAsia"/>
          <w:color w:val="auto"/>
          <w:highlight w:val="none"/>
        </w:rPr>
        <w:t>如采用银行保函，格式如下。</w:t>
      </w:r>
    </w:p>
    <w:p w14:paraId="67724383">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履约保证金</w:t>
      </w:r>
    </w:p>
    <w:p w14:paraId="05D7E8D3">
      <w:pPr>
        <w:shd w:val="clear" w:fill="FFFFFF" w:themeFill="background1"/>
        <w:rPr>
          <w:rFonts w:ascii="宋体" w:hAnsi="宋体"/>
          <w:color w:val="auto"/>
          <w:sz w:val="24"/>
          <w:highlight w:val="none"/>
        </w:rPr>
      </w:pPr>
    </w:p>
    <w:p w14:paraId="54DDF348">
      <w:pPr>
        <w:shd w:val="clear" w:fill="FFFFFF" w:themeFill="background1"/>
        <w:rPr>
          <w:rFonts w:ascii="宋体" w:hAnsi="宋体"/>
          <w:color w:val="auto"/>
          <w:sz w:val="24"/>
          <w:highlight w:val="none"/>
        </w:rPr>
      </w:pPr>
      <w:r>
        <w:rPr>
          <w:rFonts w:ascii="宋体" w:hAnsi="宋体"/>
          <w:color w:val="auto"/>
          <w:sz w:val="24"/>
          <w:highlight w:val="none"/>
        </w:rPr>
        <w:t>（发包人名称）：</w:t>
      </w:r>
    </w:p>
    <w:p w14:paraId="17B5FE5B">
      <w:pPr>
        <w:shd w:val="clear" w:fill="FFFFFF" w:themeFill="background1"/>
        <w:rPr>
          <w:rFonts w:ascii="宋体" w:hAnsi="宋体"/>
          <w:color w:val="auto"/>
          <w:sz w:val="24"/>
          <w:highlight w:val="none"/>
        </w:rPr>
      </w:pPr>
    </w:p>
    <w:p w14:paraId="4CBA2546">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鉴于（发包人名称，以下简称“发包人”）接受（承包人名称）（以下称“承包人”）于</w:t>
      </w:r>
      <w:r>
        <w:rPr>
          <w:rFonts w:hint="eastAsia" w:ascii="宋体" w:hAnsi="宋体"/>
          <w:color w:val="auto"/>
          <w:sz w:val="24"/>
          <w:highlight w:val="none"/>
          <w:u w:val="single"/>
        </w:rPr>
        <w:t xml:space="preserve">     年   月   日</w:t>
      </w:r>
      <w:r>
        <w:rPr>
          <w:rFonts w:ascii="宋体" w:hAnsi="宋体"/>
          <w:color w:val="auto"/>
          <w:sz w:val="24"/>
          <w:highlight w:val="none"/>
        </w:rPr>
        <w:t>参加</w:t>
      </w:r>
      <w:r>
        <w:rPr>
          <w:rFonts w:ascii="宋体" w:hAnsi="宋体"/>
          <w:color w:val="auto"/>
          <w:sz w:val="24"/>
          <w:highlight w:val="none"/>
          <w:u w:val="single"/>
        </w:rPr>
        <w:t>（项目名称）</w:t>
      </w:r>
      <w:r>
        <w:rPr>
          <w:rFonts w:ascii="宋体" w:hAnsi="宋体"/>
          <w:color w:val="auto"/>
          <w:sz w:val="24"/>
          <w:highlight w:val="none"/>
        </w:rPr>
        <w:t>的投标。我方愿意无条件地、不可撤销地就承包人履行与你方订立的合同，向你方提供担保。</w:t>
      </w:r>
    </w:p>
    <w:p w14:paraId="40DC04E8">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1.担保金额人民币</w:t>
      </w:r>
      <w:r>
        <w:rPr>
          <w:rFonts w:ascii="宋体" w:hAnsi="宋体"/>
          <w:color w:val="auto"/>
          <w:sz w:val="24"/>
          <w:highlight w:val="none"/>
          <w:u w:val="single"/>
        </w:rPr>
        <w:t>（大写）</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元）</w:t>
      </w:r>
      <w:r>
        <w:rPr>
          <w:rFonts w:ascii="宋体" w:hAnsi="宋体"/>
          <w:color w:val="auto"/>
          <w:sz w:val="24"/>
          <w:highlight w:val="none"/>
        </w:rPr>
        <w:t>。</w:t>
      </w:r>
    </w:p>
    <w:p w14:paraId="42018ED7">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2.担保有效期自发包人与承包人签订的合同生效之日起至发包人签发</w:t>
      </w:r>
      <w:r>
        <w:rPr>
          <w:rFonts w:hint="eastAsia" w:ascii="宋体" w:hAnsi="宋体"/>
          <w:color w:val="auto"/>
          <w:sz w:val="24"/>
          <w:highlight w:val="none"/>
        </w:rPr>
        <w:t>交工验收</w:t>
      </w:r>
      <w:r>
        <w:rPr>
          <w:rFonts w:ascii="宋体" w:hAnsi="宋体"/>
          <w:color w:val="auto"/>
          <w:sz w:val="24"/>
          <w:highlight w:val="none"/>
        </w:rPr>
        <w:t>证书</w:t>
      </w:r>
      <w:r>
        <w:rPr>
          <w:rFonts w:hint="eastAsia" w:ascii="宋体" w:hAnsi="宋体"/>
          <w:color w:val="auto"/>
          <w:sz w:val="24"/>
          <w:highlight w:val="none"/>
        </w:rPr>
        <w:t>且承包人按照合同约定缴纳质量保证金</w:t>
      </w:r>
      <w:r>
        <w:rPr>
          <w:rFonts w:ascii="宋体" w:hAnsi="宋体"/>
          <w:color w:val="auto"/>
          <w:sz w:val="24"/>
          <w:highlight w:val="none"/>
        </w:rPr>
        <w:t>之日止。</w:t>
      </w:r>
    </w:p>
    <w:p w14:paraId="1FA79F3E">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3.在本担保有效期内，因承包人违反合同约定的义务给你方造成经济损失时，我方在收到你方以书面形式提出的在担保金额内的赔偿要求后，在7天内无条件支付</w:t>
      </w:r>
      <w:r>
        <w:rPr>
          <w:rFonts w:hint="eastAsia" w:ascii="宋体" w:hAnsi="宋体"/>
          <w:color w:val="auto"/>
          <w:sz w:val="24"/>
          <w:highlight w:val="none"/>
        </w:rPr>
        <w:t>，无须你方出具证明或陈述理由</w:t>
      </w:r>
      <w:r>
        <w:rPr>
          <w:rFonts w:ascii="宋体" w:hAnsi="宋体"/>
          <w:color w:val="auto"/>
          <w:sz w:val="24"/>
          <w:highlight w:val="none"/>
        </w:rPr>
        <w:t>。</w:t>
      </w:r>
    </w:p>
    <w:p w14:paraId="2AB599FF">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4.发包人和承包人按</w:t>
      </w:r>
      <w:r>
        <w:rPr>
          <w:rFonts w:hint="eastAsia" w:ascii="宋体" w:hAnsi="宋体"/>
          <w:color w:val="auto"/>
          <w:sz w:val="24"/>
          <w:highlight w:val="none"/>
        </w:rPr>
        <w:t>合同条款</w:t>
      </w:r>
      <w:r>
        <w:rPr>
          <w:rFonts w:ascii="宋体" w:hAnsi="宋体"/>
          <w:color w:val="auto"/>
          <w:sz w:val="24"/>
          <w:highlight w:val="none"/>
        </w:rPr>
        <w:t>第15条变更合同时，</w:t>
      </w:r>
      <w:r>
        <w:rPr>
          <w:rFonts w:hint="eastAsia" w:ascii="宋体" w:hAnsi="宋体"/>
          <w:color w:val="auto"/>
          <w:sz w:val="24"/>
          <w:highlight w:val="none"/>
        </w:rPr>
        <w:t>无论我方是否收到该变更，</w:t>
      </w:r>
      <w:r>
        <w:rPr>
          <w:rFonts w:ascii="宋体" w:hAnsi="宋体"/>
          <w:color w:val="auto"/>
          <w:sz w:val="24"/>
          <w:highlight w:val="none"/>
        </w:rPr>
        <w:t>我方承担本担保规定的义务不变。</w:t>
      </w:r>
    </w:p>
    <w:p w14:paraId="3FD0FF5C">
      <w:pPr>
        <w:shd w:val="clear" w:fill="FFFFFF" w:themeFill="background1"/>
        <w:rPr>
          <w:rFonts w:ascii="宋体" w:hAnsi="宋体"/>
          <w:color w:val="auto"/>
          <w:sz w:val="24"/>
          <w:highlight w:val="none"/>
        </w:rPr>
      </w:pPr>
    </w:p>
    <w:p w14:paraId="4B261EF9">
      <w:pPr>
        <w:shd w:val="clear" w:fill="FFFFFF" w:themeFill="background1"/>
        <w:rPr>
          <w:rFonts w:ascii="宋体" w:hAnsi="宋体"/>
          <w:color w:val="auto"/>
          <w:sz w:val="24"/>
          <w:highlight w:val="none"/>
        </w:rPr>
      </w:pPr>
    </w:p>
    <w:p w14:paraId="3B7F9D5D">
      <w:pPr>
        <w:shd w:val="clear" w:fill="FFFFFF" w:themeFill="background1"/>
        <w:rPr>
          <w:rFonts w:ascii="宋体" w:hAnsi="宋体"/>
          <w:color w:val="auto"/>
          <w:sz w:val="24"/>
          <w:highlight w:val="none"/>
        </w:rPr>
      </w:pPr>
    </w:p>
    <w:p w14:paraId="392034CC">
      <w:pPr>
        <w:shd w:val="clear" w:fill="FFFFFF" w:themeFill="background1"/>
        <w:rPr>
          <w:rFonts w:ascii="宋体" w:hAnsi="宋体"/>
          <w:color w:val="auto"/>
          <w:sz w:val="24"/>
          <w:highlight w:val="none"/>
        </w:rPr>
      </w:pPr>
    </w:p>
    <w:p w14:paraId="25700963">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担保人：（盖单位章）</w:t>
      </w:r>
    </w:p>
    <w:p w14:paraId="2425E17B">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法定代表人或其委托代理人：（签字）</w:t>
      </w:r>
    </w:p>
    <w:p w14:paraId="6D36CC98">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地址：</w:t>
      </w:r>
    </w:p>
    <w:p w14:paraId="060C7149">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邮政编码：</w:t>
      </w:r>
    </w:p>
    <w:p w14:paraId="72B737A9">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电话：</w:t>
      </w:r>
    </w:p>
    <w:p w14:paraId="7C08C5E5">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传真：</w:t>
      </w:r>
    </w:p>
    <w:p w14:paraId="384AFFDE">
      <w:pPr>
        <w:shd w:val="clear" w:fill="FFFFFF" w:themeFill="background1"/>
        <w:rPr>
          <w:rFonts w:ascii="宋体" w:hAnsi="宋体"/>
          <w:color w:val="auto"/>
          <w:sz w:val="24"/>
          <w:highlight w:val="none"/>
        </w:rPr>
      </w:pPr>
    </w:p>
    <w:p w14:paraId="4166D6B2">
      <w:pPr>
        <w:shd w:val="clear" w:fill="FFFFFF" w:themeFill="background1"/>
        <w:rPr>
          <w:rFonts w:ascii="宋体" w:hAnsi="宋体"/>
          <w:color w:val="auto"/>
          <w:sz w:val="24"/>
          <w:highlight w:val="none"/>
        </w:rPr>
      </w:pPr>
    </w:p>
    <w:p w14:paraId="153665A8">
      <w:pPr>
        <w:shd w:val="clear" w:fill="FFFFFF" w:themeFill="background1"/>
        <w:ind w:firstLine="720" w:firstLineChars="300"/>
        <w:rPr>
          <w:rFonts w:ascii="宋体" w:hAnsi="宋体"/>
          <w:color w:val="auto"/>
          <w:sz w:val="24"/>
          <w:highlight w:val="none"/>
        </w:rPr>
      </w:pPr>
      <w:r>
        <w:rPr>
          <w:rFonts w:hint="eastAsia" w:ascii="宋体" w:hAnsi="宋体"/>
          <w:color w:val="auto"/>
          <w:sz w:val="24"/>
          <w:highlight w:val="none"/>
        </w:rPr>
        <w:t>年   月   日</w:t>
      </w:r>
    </w:p>
    <w:p w14:paraId="4D135E4D">
      <w:pPr>
        <w:pStyle w:val="78"/>
        <w:shd w:val="clear" w:fill="FFFFFF" w:themeFill="background1"/>
        <w:spacing w:line="360" w:lineRule="auto"/>
        <w:rPr>
          <w:rFonts w:ascii="宋体" w:hAnsi="宋体"/>
          <w:color w:val="auto"/>
          <w:sz w:val="24"/>
          <w:szCs w:val="24"/>
          <w:highlight w:val="none"/>
        </w:rPr>
      </w:pPr>
      <w:bookmarkStart w:id="1709" w:name="_Toc505844510"/>
      <w:bookmarkEnd w:id="1709"/>
      <w:bookmarkStart w:id="1710" w:name="_Toc9453"/>
      <w:bookmarkEnd w:id="1710"/>
      <w:bookmarkStart w:id="1711" w:name="_Toc43476014"/>
      <w:bookmarkEnd w:id="1711"/>
      <w:r>
        <w:rPr>
          <w:rFonts w:ascii="宋体" w:hAnsi="宋体"/>
          <w:color w:val="auto"/>
          <w:sz w:val="24"/>
          <w:szCs w:val="24"/>
          <w:highlight w:val="none"/>
        </w:rPr>
        <w:br w:type="page"/>
      </w:r>
      <w:r>
        <w:rPr>
          <w:rFonts w:ascii="宋体" w:hAnsi="宋体"/>
          <w:color w:val="auto"/>
          <w:sz w:val="24"/>
          <w:szCs w:val="24"/>
          <w:highlight w:val="none"/>
        </w:rPr>
        <w:t>附件</w:t>
      </w:r>
      <w:r>
        <w:rPr>
          <w:rFonts w:hint="eastAsia" w:ascii="宋体" w:hAnsi="宋体"/>
          <w:color w:val="auto"/>
          <w:sz w:val="24"/>
          <w:szCs w:val="24"/>
          <w:highlight w:val="none"/>
        </w:rPr>
        <w:t>八   工程资金监管协议</w:t>
      </w:r>
      <w:r>
        <w:rPr>
          <w:rFonts w:ascii="宋体" w:hAnsi="宋体"/>
          <w:color w:val="auto"/>
          <w:sz w:val="24"/>
          <w:szCs w:val="24"/>
          <w:highlight w:val="none"/>
        </w:rPr>
        <w:t>格式</w:t>
      </w:r>
    </w:p>
    <w:p w14:paraId="6D4C268B">
      <w:pPr>
        <w:shd w:val="clear" w:fill="FFFFFF" w:themeFill="background1"/>
        <w:ind w:firstLine="480" w:firstLineChars="200"/>
        <w:rPr>
          <w:rFonts w:ascii="宋体" w:hAnsi="宋体"/>
          <w:color w:val="auto"/>
          <w:sz w:val="24"/>
          <w:highlight w:val="none"/>
        </w:rPr>
      </w:pPr>
      <w:r>
        <w:rPr>
          <w:rFonts w:hint="eastAsia" w:ascii="宋体" w:hAnsi="宋体"/>
          <w:color w:val="auto"/>
          <w:sz w:val="24"/>
          <w:highlight w:val="none"/>
        </w:rPr>
        <w:t>（发包人与承包人签订合同协议书时应与发包人指定的银行签署工程资金监管协议，工程资金监管协议内容在保证本项目资金有效监管的前提下由三方共同商定）</w:t>
      </w:r>
    </w:p>
    <w:p w14:paraId="70C38ED6">
      <w:pPr>
        <w:shd w:val="clear" w:fill="FFFFFF" w:themeFill="background1"/>
        <w:spacing w:before="240" w:after="240"/>
        <w:jc w:val="center"/>
        <w:rPr>
          <w:rFonts w:ascii="宋体" w:hAnsi="宋体"/>
          <w:b/>
          <w:color w:val="auto"/>
          <w:sz w:val="28"/>
          <w:szCs w:val="28"/>
          <w:highlight w:val="none"/>
        </w:rPr>
      </w:pPr>
      <w:r>
        <w:rPr>
          <w:rFonts w:hint="eastAsia" w:ascii="宋体" w:hAnsi="宋体"/>
          <w:b/>
          <w:color w:val="auto"/>
          <w:sz w:val="28"/>
          <w:szCs w:val="28"/>
          <w:highlight w:val="none"/>
        </w:rPr>
        <w:t>工程资金监管协议</w:t>
      </w:r>
    </w:p>
    <w:p w14:paraId="5C2070C2">
      <w:pPr>
        <w:shd w:val="clear" w:fill="FFFFFF" w:themeFill="background1"/>
        <w:rPr>
          <w:rFonts w:ascii="宋体" w:hAnsi="宋体"/>
          <w:color w:val="auto"/>
          <w:sz w:val="24"/>
          <w:highlight w:val="none"/>
        </w:rPr>
      </w:pPr>
      <w:r>
        <w:rPr>
          <w:rFonts w:hint="eastAsia" w:ascii="宋体" w:hAnsi="宋体"/>
          <w:color w:val="auto"/>
          <w:sz w:val="24"/>
          <w:highlight w:val="none"/>
        </w:rPr>
        <w:t>发 包 人：（以下简称“甲方”）</w:t>
      </w:r>
    </w:p>
    <w:p w14:paraId="1AA3D2C8">
      <w:pPr>
        <w:shd w:val="clear" w:fill="FFFFFF" w:themeFill="background1"/>
        <w:rPr>
          <w:rFonts w:ascii="宋体" w:hAnsi="宋体"/>
          <w:color w:val="auto"/>
          <w:sz w:val="24"/>
          <w:highlight w:val="none"/>
        </w:rPr>
      </w:pPr>
      <w:r>
        <w:rPr>
          <w:rFonts w:hint="eastAsia" w:ascii="宋体" w:hAnsi="宋体"/>
          <w:color w:val="auto"/>
          <w:sz w:val="24"/>
          <w:highlight w:val="none"/>
        </w:rPr>
        <w:t>承 包 人：（以下简称“乙方”）</w:t>
      </w:r>
    </w:p>
    <w:p w14:paraId="071C77BB">
      <w:pPr>
        <w:shd w:val="clear" w:fill="FFFFFF" w:themeFill="background1"/>
        <w:rPr>
          <w:rFonts w:ascii="宋体" w:hAnsi="宋体"/>
          <w:color w:val="auto"/>
          <w:sz w:val="24"/>
          <w:highlight w:val="none"/>
        </w:rPr>
      </w:pPr>
      <w:r>
        <w:rPr>
          <w:rFonts w:hint="eastAsia" w:ascii="宋体" w:hAnsi="宋体"/>
          <w:color w:val="auto"/>
          <w:sz w:val="24"/>
          <w:highlight w:val="none"/>
        </w:rPr>
        <w:t>经办银行：（以下简称“丙方”）</w:t>
      </w:r>
    </w:p>
    <w:p w14:paraId="39E76814">
      <w:pPr>
        <w:shd w:val="clear" w:fill="FFFFFF" w:themeFill="background1"/>
        <w:rPr>
          <w:rFonts w:ascii="宋体" w:hAnsi="宋体"/>
          <w:color w:val="auto"/>
          <w:sz w:val="24"/>
          <w:highlight w:val="none"/>
        </w:rPr>
      </w:pPr>
    </w:p>
    <w:p w14:paraId="28A227FA">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为了促进（项目名称）的顺利实施，管好用好建设资金，确保工程资金专款专用，同时为承包人提供便捷有效的银行业务服务，根据</w:t>
      </w:r>
      <w:r>
        <w:rPr>
          <w:rFonts w:hint="eastAsia" w:ascii="宋体" w:hAnsi="宋体"/>
          <w:color w:val="auto"/>
          <w:sz w:val="24"/>
          <w:highlight w:val="none"/>
          <w:u w:val="single"/>
        </w:rPr>
        <w:t>（项目名称）</w:t>
      </w:r>
      <w:r>
        <w:rPr>
          <w:rFonts w:hint="eastAsia" w:ascii="宋体" w:hAnsi="宋体"/>
          <w:color w:val="auto"/>
          <w:sz w:val="24"/>
          <w:highlight w:val="none"/>
        </w:rPr>
        <w:t>合同条款有关规定，经甲、乙、丙三方协商，达成协议如下：</w:t>
      </w:r>
    </w:p>
    <w:p w14:paraId="1889CDED">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资金管理的内容</w:t>
      </w:r>
    </w:p>
    <w:p w14:paraId="159299E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（1）乙方为完成</w:t>
      </w:r>
      <w:r>
        <w:rPr>
          <w:rFonts w:hint="eastAsia" w:ascii="宋体" w:hAnsi="宋体"/>
          <w:color w:val="auto"/>
          <w:sz w:val="24"/>
          <w:highlight w:val="none"/>
          <w:u w:val="single"/>
        </w:rPr>
        <w:t>（项目名称）</w:t>
      </w:r>
      <w:r>
        <w:rPr>
          <w:rFonts w:hint="eastAsia" w:ascii="宋体" w:hAnsi="宋体"/>
          <w:color w:val="auto"/>
          <w:sz w:val="24"/>
          <w:highlight w:val="none"/>
        </w:rPr>
        <w:t>工程成立的项目经理部在丙方开设基本结算户；</w:t>
      </w:r>
    </w:p>
    <w:p w14:paraId="3A57F42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（2）甲方应按合同规定将工程款汇入乙方在丙方开设的账户；</w:t>
      </w:r>
    </w:p>
    <w:p w14:paraId="2C60C09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（3）乙方应将流动资金及甲方所拨付资金专项用于</w:t>
      </w:r>
      <w:r>
        <w:rPr>
          <w:rFonts w:hint="eastAsia" w:ascii="宋体" w:hAnsi="宋体"/>
          <w:color w:val="auto"/>
          <w:sz w:val="24"/>
          <w:highlight w:val="none"/>
          <w:u w:val="single"/>
        </w:rPr>
        <w:t>（项目名称）</w:t>
      </w:r>
      <w:r>
        <w:rPr>
          <w:rFonts w:hint="eastAsia" w:ascii="宋体" w:hAnsi="宋体"/>
          <w:color w:val="auto"/>
          <w:sz w:val="24"/>
          <w:highlight w:val="none"/>
        </w:rPr>
        <w:t>；</w:t>
      </w:r>
    </w:p>
    <w:p w14:paraId="5D7A3AC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（4）丙方应为乙方提供便捷有效的银行业务服务，并接受甲方委托对乙方在丙方开设的基本结算户资金使用情况进行监督。</w:t>
      </w:r>
    </w:p>
    <w:p w14:paraId="46FEEFE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2.甲方的权责</w:t>
      </w:r>
    </w:p>
    <w:p w14:paraId="0412F47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（1）按照（项目名称）合同有关条款规定的时间和方式，向乙方支付工程款；</w:t>
      </w:r>
    </w:p>
    <w:p w14:paraId="0AE8009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（2）在发现乙方将本项目资金挪用、转移时，甲方有权中止工程支付，直至乙方改正为止；</w:t>
      </w:r>
    </w:p>
    <w:p w14:paraId="1B3B8D7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（3）不定期审查丙方对乙方的资金使用监督情况，如丙方不能履行其责任，甲方有权随时终止本协议；</w:t>
      </w:r>
    </w:p>
    <w:p w14:paraId="26D7785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（4）在乙、丙双方发生争议时，甲方应负责协调、解决。</w:t>
      </w:r>
    </w:p>
    <w:p w14:paraId="7366BAA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3.乙方的权责</w:t>
      </w:r>
    </w:p>
    <w:p w14:paraId="26C84EBA">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（1）项目经理部成立以后，乙方应尽快在丙方开设基本结算户；</w:t>
      </w:r>
    </w:p>
    <w:p w14:paraId="5DAE49D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（2）确保本项目资金专款专用，不发生挪用、转移资金的现象；保证不通过权益转让、抵押、担保承担债务等任何其他方式使用基本结算户的资金；</w:t>
      </w:r>
    </w:p>
    <w:p w14:paraId="0B12F9E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（3）办理材料、设备等采购业务金额在</w:t>
      </w:r>
      <w:r>
        <w:rPr>
          <w:rFonts w:hint="eastAsia" w:ascii="宋体" w:hAnsi="宋体"/>
          <w:color w:val="auto"/>
          <w:sz w:val="24"/>
          <w:highlight w:val="none"/>
          <w:u w:val="single"/>
        </w:rPr>
        <w:t xml:space="preserve"> </w:t>
      </w:r>
      <w:r>
        <w:rPr>
          <w:rFonts w:hint="eastAsia" w:ascii="宋体" w:hAnsi="宋体"/>
          <w:color w:val="auto"/>
          <w:sz w:val="24"/>
          <w:highlight w:val="none"/>
        </w:rPr>
        <w:t>万元以上的，应出示购货合同、协议和发票；在办理总额超过</w:t>
      </w:r>
      <w:r>
        <w:rPr>
          <w:rFonts w:hint="eastAsia" w:ascii="宋体" w:hAnsi="宋体"/>
          <w:color w:val="auto"/>
          <w:sz w:val="24"/>
          <w:highlight w:val="none"/>
          <w:u w:val="single"/>
        </w:rPr>
        <w:t xml:space="preserve"> </w:t>
      </w:r>
      <w:r>
        <w:rPr>
          <w:rFonts w:hint="eastAsia" w:ascii="宋体" w:hAnsi="宋体"/>
          <w:color w:val="auto"/>
          <w:sz w:val="24"/>
          <w:highlight w:val="none"/>
        </w:rPr>
        <w:t>万元以上的采购业务时，应将合同、协议和发票复印件送丙方备案；购买应急材料、设备时可先办理支付手续，但事后必须补备有关资料；</w:t>
      </w:r>
    </w:p>
    <w:p w14:paraId="5701C19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（4）用银行转账支票办理支付款项时，必须将转账支票送交丙方，由丙方负责办理支票转付手续；</w:t>
      </w:r>
    </w:p>
    <w:p w14:paraId="7BF1A94A">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（5）向分包单位支付工程进度款时，应附甲方批准分包的文件；</w:t>
      </w:r>
    </w:p>
    <w:p w14:paraId="1D4CFE1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（6）向上级单位缴纳管理费、机械设备及周转材料租赁摊销费等款项时，应附上级单位出具的转账通知等有关资料，以确保资金专款专用。</w:t>
      </w:r>
    </w:p>
    <w:p w14:paraId="615769E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4.丙方的权责</w:t>
      </w:r>
    </w:p>
    <w:p w14:paraId="36BCE9C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（1）成立</w:t>
      </w:r>
      <w:r>
        <w:rPr>
          <w:rFonts w:hint="eastAsia" w:ascii="宋体" w:hAnsi="宋体"/>
          <w:color w:val="auto"/>
          <w:sz w:val="24"/>
          <w:highlight w:val="none"/>
          <w:u w:val="single"/>
        </w:rPr>
        <w:t>（项目名称）</w:t>
      </w:r>
      <w:r>
        <w:rPr>
          <w:rFonts w:hint="eastAsia" w:ascii="宋体" w:hAnsi="宋体"/>
          <w:color w:val="auto"/>
          <w:sz w:val="24"/>
          <w:highlight w:val="none"/>
        </w:rPr>
        <w:t>工程资金管理服务小组，明确业务流程，提高工作效率，杜绝“压票”现象；</w:t>
      </w:r>
    </w:p>
    <w:p w14:paraId="4AD90A2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（2）根据乙方提供的购货合同、协议和发票，检查其所购材料、设备是否用于</w:t>
      </w:r>
      <w:r>
        <w:rPr>
          <w:rFonts w:hint="eastAsia" w:ascii="宋体" w:hAnsi="宋体"/>
          <w:color w:val="auto"/>
          <w:sz w:val="24"/>
          <w:highlight w:val="none"/>
          <w:u w:val="single"/>
        </w:rPr>
        <w:t>（项目名称）</w:t>
      </w:r>
      <w:r>
        <w:rPr>
          <w:rFonts w:hint="eastAsia" w:ascii="宋体" w:hAnsi="宋体"/>
          <w:color w:val="auto"/>
          <w:sz w:val="24"/>
          <w:highlight w:val="none"/>
        </w:rPr>
        <w:t>工程建设，对本标段以外的购货款项，有权拒绝办理，并及时报告甲方；</w:t>
      </w:r>
    </w:p>
    <w:p w14:paraId="5300325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（3）根据乙方与分包单位签订的合同及支付文件，检查其支付款项是否符合有关条件，向分包单位以外单位的支付有权拒绝办理，并及时报告甲方；</w:t>
      </w:r>
    </w:p>
    <w:p w14:paraId="52AA176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（4）根据乙方提供的上级单位出具的转账通知等有关资料，办理管理费、机械设备及周转材料租赁摊销费等款项的支付；对超出转账通知等有关资料以外的支付，有权拒绝办理，并及时转告甲方；</w:t>
      </w:r>
    </w:p>
    <w:p w14:paraId="3610DAC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（5）定期将乙方前一个周期的支付情况，整理后书面报送甲方；乙方复印备案的材料一并送甲方。</w:t>
      </w:r>
    </w:p>
    <w:p w14:paraId="0F4A5C9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5.甲、乙、丙三方都应履行保密责任，不得将其他两方的业务情况透露给三方以外的其他单位或个人。</w:t>
      </w:r>
    </w:p>
    <w:p w14:paraId="737E07F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6.本协议有效期自乙方在丙方开户起，至工程交工验收甲方向乙方颁发交工验收证书后结束。</w:t>
      </w:r>
    </w:p>
    <w:p w14:paraId="01E2D4F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7.本协议未尽事宜，由甲方牵头，三方协商解决。</w:t>
      </w:r>
    </w:p>
    <w:p w14:paraId="1833E928">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8.本协议正本三份、副本份。合同三方各执正本一份、副本份，当正本与副本内容不一致时，以正本为准。</w:t>
      </w:r>
    </w:p>
    <w:p w14:paraId="74D68CF7">
      <w:pPr>
        <w:shd w:val="clear" w:fill="FFFFFF" w:themeFill="background1"/>
        <w:spacing w:line="360" w:lineRule="exact"/>
        <w:ind w:firstLine="465"/>
        <w:rPr>
          <w:rFonts w:ascii="宋体" w:hAnsi="宋体"/>
          <w:color w:val="auto"/>
          <w:sz w:val="24"/>
          <w:highlight w:val="none"/>
        </w:rPr>
      </w:pPr>
    </w:p>
    <w:p w14:paraId="4A4D401D">
      <w:pPr>
        <w:shd w:val="clear" w:fill="FFFFFF" w:themeFill="background1"/>
        <w:spacing w:line="360" w:lineRule="exact"/>
        <w:ind w:firstLine="465"/>
        <w:rPr>
          <w:rFonts w:ascii="宋体" w:hAnsi="宋体"/>
          <w:color w:val="auto"/>
          <w:sz w:val="24"/>
          <w:highlight w:val="none"/>
        </w:rPr>
      </w:pPr>
    </w:p>
    <w:p w14:paraId="4BCE8EC6">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发包人：（盖单位章）</w:t>
      </w:r>
    </w:p>
    <w:p w14:paraId="1D2793F4">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0987A9FE">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年   月   日</w:t>
      </w:r>
    </w:p>
    <w:p w14:paraId="27713B09">
      <w:pPr>
        <w:shd w:val="clear" w:fill="FFFFFF" w:themeFill="background1"/>
        <w:spacing w:line="360" w:lineRule="exact"/>
        <w:rPr>
          <w:rFonts w:ascii="宋体" w:hAnsi="宋体"/>
          <w:color w:val="auto"/>
          <w:sz w:val="24"/>
          <w:highlight w:val="none"/>
        </w:rPr>
      </w:pPr>
    </w:p>
    <w:p w14:paraId="5F1DFE8B">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承包人：（盖单位章）</w:t>
      </w:r>
    </w:p>
    <w:p w14:paraId="6982D35E">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261A3A46">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年   月   日</w:t>
      </w:r>
    </w:p>
    <w:p w14:paraId="32BE5BFB">
      <w:pPr>
        <w:shd w:val="clear" w:fill="FFFFFF" w:themeFill="background1"/>
        <w:spacing w:line="360" w:lineRule="exact"/>
        <w:rPr>
          <w:rFonts w:ascii="宋体" w:hAnsi="宋体"/>
          <w:color w:val="auto"/>
          <w:sz w:val="24"/>
          <w:highlight w:val="none"/>
        </w:rPr>
      </w:pPr>
    </w:p>
    <w:p w14:paraId="43B476AC">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经办银行：（盖单位章）</w:t>
      </w:r>
    </w:p>
    <w:p w14:paraId="598BCF75">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5487E23F">
      <w:pPr>
        <w:shd w:val="clear" w:fill="FFFFFF" w:themeFill="background1"/>
        <w:spacing w:line="360" w:lineRule="exact"/>
        <w:ind w:firstLine="465"/>
        <w:rPr>
          <w:rFonts w:ascii="宋体" w:hAnsi="宋体"/>
          <w:color w:val="auto"/>
          <w:sz w:val="24"/>
          <w:highlight w:val="none"/>
        </w:rPr>
        <w:sectPr>
          <w:footerReference r:id="rId10" w:type="first"/>
          <w:footerReference r:id="rId9" w:type="default"/>
          <w:pgSz w:w="11906" w:h="16838"/>
          <w:pgMar w:top="1276" w:right="924" w:bottom="935" w:left="1418" w:header="624" w:footer="590" w:gutter="0"/>
          <w:cols w:space="720" w:num="1"/>
          <w:docGrid w:type="lines" w:linePitch="312" w:charSpace="0"/>
        </w:sectPr>
      </w:pPr>
      <w:r>
        <w:rPr>
          <w:rFonts w:hint="eastAsia" w:ascii="宋体" w:hAnsi="宋体"/>
          <w:color w:val="auto"/>
          <w:sz w:val="24"/>
          <w:highlight w:val="none"/>
        </w:rPr>
        <w:t>年   月   日</w:t>
      </w:r>
    </w:p>
    <w:p w14:paraId="21CA3BE1">
      <w:pPr>
        <w:pStyle w:val="78"/>
        <w:shd w:val="clear" w:fill="FFFFFF" w:themeFill="background1"/>
        <w:spacing w:line="360" w:lineRule="auto"/>
        <w:rPr>
          <w:rFonts w:ascii="宋体" w:hAnsi="宋体"/>
          <w:color w:val="auto"/>
          <w:sz w:val="24"/>
          <w:szCs w:val="24"/>
          <w:highlight w:val="none"/>
        </w:rPr>
      </w:pPr>
      <w:bookmarkStart w:id="1712" w:name="_Toc43476015"/>
      <w:bookmarkEnd w:id="1712"/>
      <w:bookmarkStart w:id="1713" w:name="_Toc453056969"/>
      <w:bookmarkEnd w:id="1713"/>
      <w:bookmarkStart w:id="1714" w:name="_Toc452498666"/>
      <w:bookmarkEnd w:id="1714"/>
      <w:bookmarkStart w:id="1715" w:name="_Toc451261387"/>
      <w:bookmarkEnd w:id="1715"/>
      <w:bookmarkStart w:id="1716" w:name="_Toc452498896"/>
      <w:bookmarkEnd w:id="1716"/>
      <w:bookmarkStart w:id="1717" w:name="_Toc453057197"/>
      <w:bookmarkEnd w:id="1717"/>
      <w:bookmarkStart w:id="1718" w:name="_Toc198"/>
      <w:bookmarkEnd w:id="1718"/>
      <w:bookmarkStart w:id="1719" w:name="_Toc9003"/>
      <w:bookmarkEnd w:id="1719"/>
      <w:r>
        <w:rPr>
          <w:rFonts w:hint="eastAsia" w:ascii="宋体" w:hAnsi="宋体"/>
          <w:color w:val="auto"/>
          <w:sz w:val="24"/>
          <w:szCs w:val="24"/>
          <w:highlight w:val="none"/>
        </w:rPr>
        <w:t>附件九  特殊材料设备供应一览表</w:t>
      </w:r>
    </w:p>
    <w:p w14:paraId="7752EC04">
      <w:pPr>
        <w:pStyle w:val="68"/>
        <w:shd w:val="clear" w:fill="FFFFFF" w:themeFill="background1"/>
        <w:rPr>
          <w:rFonts w:ascii="宋体" w:hAnsi="宋体" w:cs="宋体"/>
          <w:b/>
          <w:color w:val="auto"/>
          <w:sz w:val="28"/>
          <w:szCs w:val="28"/>
          <w:highlight w:val="none"/>
        </w:rPr>
      </w:pPr>
      <w:r>
        <w:rPr>
          <w:rFonts w:hint="eastAsia" w:ascii="宋体" w:hAnsi="宋体" w:cs="宋体"/>
          <w:b/>
          <w:color w:val="auto"/>
          <w:sz w:val="28"/>
          <w:szCs w:val="28"/>
          <w:highlight w:val="none"/>
        </w:rPr>
        <w:t xml:space="preserve"> 特殊材料设备供应一览表</w:t>
      </w:r>
    </w:p>
    <w:tbl>
      <w:tblPr>
        <w:tblStyle w:val="43"/>
        <w:tblW w:w="854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276"/>
        <w:gridCol w:w="992"/>
        <w:gridCol w:w="992"/>
        <w:gridCol w:w="709"/>
        <w:gridCol w:w="992"/>
      </w:tblGrid>
      <w:tr w14:paraId="0C7F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327FA28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2" w:type="dxa"/>
            <w:vAlign w:val="center"/>
          </w:tcPr>
          <w:p w14:paraId="29785EE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材料品种或设备型号</w:t>
            </w:r>
          </w:p>
        </w:tc>
        <w:tc>
          <w:tcPr>
            <w:tcW w:w="708" w:type="dxa"/>
            <w:vAlign w:val="center"/>
          </w:tcPr>
          <w:p w14:paraId="53521B4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14:paraId="5E08647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76" w:type="dxa"/>
            <w:vAlign w:val="center"/>
          </w:tcPr>
          <w:p w14:paraId="424EADF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到达工地价格</w:t>
            </w:r>
          </w:p>
          <w:p w14:paraId="5D6B3C0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（元）</w:t>
            </w:r>
          </w:p>
        </w:tc>
        <w:tc>
          <w:tcPr>
            <w:tcW w:w="992" w:type="dxa"/>
            <w:vAlign w:val="center"/>
          </w:tcPr>
          <w:p w14:paraId="7C4487F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质量</w:t>
            </w:r>
          </w:p>
          <w:p w14:paraId="7D06C2C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等级</w:t>
            </w:r>
          </w:p>
        </w:tc>
        <w:tc>
          <w:tcPr>
            <w:tcW w:w="992" w:type="dxa"/>
            <w:vAlign w:val="center"/>
          </w:tcPr>
          <w:p w14:paraId="2AE6496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供应</w:t>
            </w:r>
          </w:p>
          <w:p w14:paraId="59306DE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时间</w:t>
            </w:r>
          </w:p>
        </w:tc>
        <w:tc>
          <w:tcPr>
            <w:tcW w:w="709" w:type="dxa"/>
            <w:vAlign w:val="center"/>
          </w:tcPr>
          <w:p w14:paraId="62CA3B1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992" w:type="dxa"/>
            <w:vAlign w:val="center"/>
          </w:tcPr>
          <w:p w14:paraId="56A75B4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备注</w:t>
            </w:r>
          </w:p>
        </w:tc>
      </w:tr>
      <w:tr w14:paraId="0AFA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ED50883">
            <w:pPr>
              <w:pStyle w:val="68"/>
              <w:shd w:val="clear" w:fill="FFFFFF" w:themeFill="background1"/>
              <w:rPr>
                <w:rFonts w:ascii="宋体" w:hAnsi="宋体" w:cs="宋体"/>
                <w:color w:val="auto"/>
                <w:sz w:val="28"/>
                <w:szCs w:val="28"/>
                <w:highlight w:val="none"/>
              </w:rPr>
            </w:pPr>
          </w:p>
        </w:tc>
        <w:tc>
          <w:tcPr>
            <w:tcW w:w="1522" w:type="dxa"/>
          </w:tcPr>
          <w:p w14:paraId="7BC278A6">
            <w:pPr>
              <w:pStyle w:val="68"/>
              <w:shd w:val="clear" w:fill="FFFFFF" w:themeFill="background1"/>
              <w:rPr>
                <w:rFonts w:ascii="宋体" w:hAnsi="宋体" w:cs="宋体"/>
                <w:color w:val="auto"/>
                <w:sz w:val="28"/>
                <w:szCs w:val="28"/>
                <w:highlight w:val="none"/>
              </w:rPr>
            </w:pPr>
          </w:p>
        </w:tc>
        <w:tc>
          <w:tcPr>
            <w:tcW w:w="708" w:type="dxa"/>
          </w:tcPr>
          <w:p w14:paraId="2FC67D35">
            <w:pPr>
              <w:pStyle w:val="68"/>
              <w:shd w:val="clear" w:fill="FFFFFF" w:themeFill="background1"/>
              <w:rPr>
                <w:rFonts w:ascii="宋体" w:hAnsi="宋体" w:cs="宋体"/>
                <w:color w:val="auto"/>
                <w:sz w:val="28"/>
                <w:szCs w:val="28"/>
                <w:highlight w:val="none"/>
              </w:rPr>
            </w:pPr>
          </w:p>
        </w:tc>
        <w:tc>
          <w:tcPr>
            <w:tcW w:w="851" w:type="dxa"/>
          </w:tcPr>
          <w:p w14:paraId="75EFF72F">
            <w:pPr>
              <w:pStyle w:val="68"/>
              <w:shd w:val="clear" w:fill="FFFFFF" w:themeFill="background1"/>
              <w:rPr>
                <w:rFonts w:ascii="宋体" w:hAnsi="宋体" w:cs="宋体"/>
                <w:color w:val="auto"/>
                <w:sz w:val="28"/>
                <w:szCs w:val="28"/>
                <w:highlight w:val="none"/>
              </w:rPr>
            </w:pPr>
          </w:p>
        </w:tc>
        <w:tc>
          <w:tcPr>
            <w:tcW w:w="1276" w:type="dxa"/>
          </w:tcPr>
          <w:p w14:paraId="3125B421">
            <w:pPr>
              <w:pStyle w:val="68"/>
              <w:shd w:val="clear" w:fill="FFFFFF" w:themeFill="background1"/>
              <w:rPr>
                <w:rFonts w:ascii="宋体" w:hAnsi="宋体" w:cs="宋体"/>
                <w:color w:val="auto"/>
                <w:sz w:val="28"/>
                <w:szCs w:val="28"/>
                <w:highlight w:val="none"/>
              </w:rPr>
            </w:pPr>
          </w:p>
        </w:tc>
        <w:tc>
          <w:tcPr>
            <w:tcW w:w="992" w:type="dxa"/>
          </w:tcPr>
          <w:p w14:paraId="0C1301E3">
            <w:pPr>
              <w:pStyle w:val="68"/>
              <w:shd w:val="clear" w:fill="FFFFFF" w:themeFill="background1"/>
              <w:rPr>
                <w:rFonts w:ascii="宋体" w:hAnsi="宋体" w:cs="宋体"/>
                <w:color w:val="auto"/>
                <w:sz w:val="28"/>
                <w:szCs w:val="28"/>
                <w:highlight w:val="none"/>
              </w:rPr>
            </w:pPr>
          </w:p>
        </w:tc>
        <w:tc>
          <w:tcPr>
            <w:tcW w:w="992" w:type="dxa"/>
          </w:tcPr>
          <w:p w14:paraId="4418521C">
            <w:pPr>
              <w:pStyle w:val="68"/>
              <w:shd w:val="clear" w:fill="FFFFFF" w:themeFill="background1"/>
              <w:rPr>
                <w:rFonts w:ascii="宋体" w:hAnsi="宋体" w:cs="宋体"/>
                <w:color w:val="auto"/>
                <w:sz w:val="28"/>
                <w:szCs w:val="28"/>
                <w:highlight w:val="none"/>
              </w:rPr>
            </w:pPr>
          </w:p>
        </w:tc>
        <w:tc>
          <w:tcPr>
            <w:tcW w:w="709" w:type="dxa"/>
          </w:tcPr>
          <w:p w14:paraId="6FD0B515">
            <w:pPr>
              <w:pStyle w:val="68"/>
              <w:shd w:val="clear" w:fill="FFFFFF" w:themeFill="background1"/>
              <w:rPr>
                <w:rFonts w:ascii="宋体" w:hAnsi="宋体" w:cs="宋体"/>
                <w:color w:val="auto"/>
                <w:sz w:val="28"/>
                <w:szCs w:val="28"/>
                <w:highlight w:val="none"/>
              </w:rPr>
            </w:pPr>
          </w:p>
        </w:tc>
        <w:tc>
          <w:tcPr>
            <w:tcW w:w="992" w:type="dxa"/>
          </w:tcPr>
          <w:p w14:paraId="7C2D9B6D">
            <w:pPr>
              <w:pStyle w:val="68"/>
              <w:shd w:val="clear" w:fill="FFFFFF" w:themeFill="background1"/>
              <w:rPr>
                <w:rFonts w:ascii="宋体" w:hAnsi="宋体" w:cs="宋体"/>
                <w:color w:val="auto"/>
                <w:sz w:val="28"/>
                <w:szCs w:val="28"/>
                <w:highlight w:val="none"/>
              </w:rPr>
            </w:pPr>
          </w:p>
        </w:tc>
      </w:tr>
      <w:tr w14:paraId="6966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4637A74">
            <w:pPr>
              <w:pStyle w:val="68"/>
              <w:shd w:val="clear" w:fill="FFFFFF" w:themeFill="background1"/>
              <w:rPr>
                <w:rFonts w:ascii="宋体" w:hAnsi="宋体" w:cs="宋体"/>
                <w:color w:val="auto"/>
                <w:sz w:val="28"/>
                <w:szCs w:val="28"/>
                <w:highlight w:val="none"/>
              </w:rPr>
            </w:pPr>
          </w:p>
        </w:tc>
        <w:tc>
          <w:tcPr>
            <w:tcW w:w="1522" w:type="dxa"/>
          </w:tcPr>
          <w:p w14:paraId="1B871C50">
            <w:pPr>
              <w:pStyle w:val="68"/>
              <w:shd w:val="clear" w:fill="FFFFFF" w:themeFill="background1"/>
              <w:rPr>
                <w:rFonts w:ascii="宋体" w:hAnsi="宋体" w:cs="宋体"/>
                <w:color w:val="auto"/>
                <w:sz w:val="28"/>
                <w:szCs w:val="28"/>
                <w:highlight w:val="none"/>
              </w:rPr>
            </w:pPr>
          </w:p>
        </w:tc>
        <w:tc>
          <w:tcPr>
            <w:tcW w:w="708" w:type="dxa"/>
          </w:tcPr>
          <w:p w14:paraId="1F9F2CC3">
            <w:pPr>
              <w:pStyle w:val="68"/>
              <w:shd w:val="clear" w:fill="FFFFFF" w:themeFill="background1"/>
              <w:rPr>
                <w:rFonts w:ascii="宋体" w:hAnsi="宋体" w:cs="宋体"/>
                <w:color w:val="auto"/>
                <w:sz w:val="28"/>
                <w:szCs w:val="28"/>
                <w:highlight w:val="none"/>
              </w:rPr>
            </w:pPr>
          </w:p>
        </w:tc>
        <w:tc>
          <w:tcPr>
            <w:tcW w:w="851" w:type="dxa"/>
          </w:tcPr>
          <w:p w14:paraId="7298653E">
            <w:pPr>
              <w:pStyle w:val="68"/>
              <w:shd w:val="clear" w:fill="FFFFFF" w:themeFill="background1"/>
              <w:rPr>
                <w:rFonts w:ascii="宋体" w:hAnsi="宋体" w:cs="宋体"/>
                <w:color w:val="auto"/>
                <w:sz w:val="28"/>
                <w:szCs w:val="28"/>
                <w:highlight w:val="none"/>
              </w:rPr>
            </w:pPr>
          </w:p>
        </w:tc>
        <w:tc>
          <w:tcPr>
            <w:tcW w:w="1276" w:type="dxa"/>
          </w:tcPr>
          <w:p w14:paraId="5A655928">
            <w:pPr>
              <w:pStyle w:val="68"/>
              <w:shd w:val="clear" w:fill="FFFFFF" w:themeFill="background1"/>
              <w:rPr>
                <w:rFonts w:ascii="宋体" w:hAnsi="宋体" w:cs="宋体"/>
                <w:color w:val="auto"/>
                <w:sz w:val="28"/>
                <w:szCs w:val="28"/>
                <w:highlight w:val="none"/>
              </w:rPr>
            </w:pPr>
          </w:p>
        </w:tc>
        <w:tc>
          <w:tcPr>
            <w:tcW w:w="992" w:type="dxa"/>
          </w:tcPr>
          <w:p w14:paraId="413B1E14">
            <w:pPr>
              <w:pStyle w:val="68"/>
              <w:shd w:val="clear" w:fill="FFFFFF" w:themeFill="background1"/>
              <w:rPr>
                <w:rFonts w:ascii="宋体" w:hAnsi="宋体" w:cs="宋体"/>
                <w:color w:val="auto"/>
                <w:sz w:val="28"/>
                <w:szCs w:val="28"/>
                <w:highlight w:val="none"/>
              </w:rPr>
            </w:pPr>
          </w:p>
        </w:tc>
        <w:tc>
          <w:tcPr>
            <w:tcW w:w="992" w:type="dxa"/>
          </w:tcPr>
          <w:p w14:paraId="1311A052">
            <w:pPr>
              <w:pStyle w:val="68"/>
              <w:shd w:val="clear" w:fill="FFFFFF" w:themeFill="background1"/>
              <w:rPr>
                <w:rFonts w:ascii="宋体" w:hAnsi="宋体" w:cs="宋体"/>
                <w:color w:val="auto"/>
                <w:sz w:val="28"/>
                <w:szCs w:val="28"/>
                <w:highlight w:val="none"/>
              </w:rPr>
            </w:pPr>
          </w:p>
        </w:tc>
        <w:tc>
          <w:tcPr>
            <w:tcW w:w="709" w:type="dxa"/>
          </w:tcPr>
          <w:p w14:paraId="0295BD60">
            <w:pPr>
              <w:pStyle w:val="68"/>
              <w:shd w:val="clear" w:fill="FFFFFF" w:themeFill="background1"/>
              <w:rPr>
                <w:rFonts w:ascii="宋体" w:hAnsi="宋体" w:cs="宋体"/>
                <w:color w:val="auto"/>
                <w:sz w:val="28"/>
                <w:szCs w:val="28"/>
                <w:highlight w:val="none"/>
              </w:rPr>
            </w:pPr>
          </w:p>
        </w:tc>
        <w:tc>
          <w:tcPr>
            <w:tcW w:w="992" w:type="dxa"/>
          </w:tcPr>
          <w:p w14:paraId="4BE6D755">
            <w:pPr>
              <w:pStyle w:val="68"/>
              <w:shd w:val="clear" w:fill="FFFFFF" w:themeFill="background1"/>
              <w:rPr>
                <w:rFonts w:ascii="宋体" w:hAnsi="宋体" w:cs="宋体"/>
                <w:color w:val="auto"/>
                <w:sz w:val="28"/>
                <w:szCs w:val="28"/>
                <w:highlight w:val="none"/>
              </w:rPr>
            </w:pPr>
          </w:p>
        </w:tc>
      </w:tr>
      <w:tr w14:paraId="7F7C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4D10F9FA">
            <w:pPr>
              <w:pStyle w:val="68"/>
              <w:shd w:val="clear" w:fill="FFFFFF" w:themeFill="background1"/>
              <w:rPr>
                <w:rFonts w:ascii="宋体" w:hAnsi="宋体" w:cs="宋体"/>
                <w:color w:val="auto"/>
                <w:sz w:val="28"/>
                <w:szCs w:val="28"/>
                <w:highlight w:val="none"/>
              </w:rPr>
            </w:pPr>
          </w:p>
        </w:tc>
        <w:tc>
          <w:tcPr>
            <w:tcW w:w="1522" w:type="dxa"/>
          </w:tcPr>
          <w:p w14:paraId="355296C8">
            <w:pPr>
              <w:pStyle w:val="68"/>
              <w:shd w:val="clear" w:fill="FFFFFF" w:themeFill="background1"/>
              <w:rPr>
                <w:rFonts w:ascii="宋体" w:hAnsi="宋体" w:cs="宋体"/>
                <w:color w:val="auto"/>
                <w:sz w:val="28"/>
                <w:szCs w:val="28"/>
                <w:highlight w:val="none"/>
              </w:rPr>
            </w:pPr>
          </w:p>
        </w:tc>
        <w:tc>
          <w:tcPr>
            <w:tcW w:w="708" w:type="dxa"/>
          </w:tcPr>
          <w:p w14:paraId="21434459">
            <w:pPr>
              <w:pStyle w:val="68"/>
              <w:shd w:val="clear" w:fill="FFFFFF" w:themeFill="background1"/>
              <w:rPr>
                <w:rFonts w:ascii="宋体" w:hAnsi="宋体" w:cs="宋体"/>
                <w:color w:val="auto"/>
                <w:sz w:val="28"/>
                <w:szCs w:val="28"/>
                <w:highlight w:val="none"/>
              </w:rPr>
            </w:pPr>
          </w:p>
        </w:tc>
        <w:tc>
          <w:tcPr>
            <w:tcW w:w="851" w:type="dxa"/>
          </w:tcPr>
          <w:p w14:paraId="562E8CA7">
            <w:pPr>
              <w:pStyle w:val="68"/>
              <w:shd w:val="clear" w:fill="FFFFFF" w:themeFill="background1"/>
              <w:rPr>
                <w:rFonts w:ascii="宋体" w:hAnsi="宋体" w:cs="宋体"/>
                <w:color w:val="auto"/>
                <w:sz w:val="28"/>
                <w:szCs w:val="28"/>
                <w:highlight w:val="none"/>
              </w:rPr>
            </w:pPr>
          </w:p>
        </w:tc>
        <w:tc>
          <w:tcPr>
            <w:tcW w:w="1276" w:type="dxa"/>
          </w:tcPr>
          <w:p w14:paraId="55E29392">
            <w:pPr>
              <w:pStyle w:val="68"/>
              <w:shd w:val="clear" w:fill="FFFFFF" w:themeFill="background1"/>
              <w:rPr>
                <w:rFonts w:ascii="宋体" w:hAnsi="宋体" w:cs="宋体"/>
                <w:color w:val="auto"/>
                <w:sz w:val="28"/>
                <w:szCs w:val="28"/>
                <w:highlight w:val="none"/>
              </w:rPr>
            </w:pPr>
          </w:p>
        </w:tc>
        <w:tc>
          <w:tcPr>
            <w:tcW w:w="992" w:type="dxa"/>
          </w:tcPr>
          <w:p w14:paraId="344D3F47">
            <w:pPr>
              <w:pStyle w:val="68"/>
              <w:shd w:val="clear" w:fill="FFFFFF" w:themeFill="background1"/>
              <w:rPr>
                <w:rFonts w:ascii="宋体" w:hAnsi="宋体" w:cs="宋体"/>
                <w:color w:val="auto"/>
                <w:sz w:val="28"/>
                <w:szCs w:val="28"/>
                <w:highlight w:val="none"/>
              </w:rPr>
            </w:pPr>
          </w:p>
        </w:tc>
        <w:tc>
          <w:tcPr>
            <w:tcW w:w="992" w:type="dxa"/>
          </w:tcPr>
          <w:p w14:paraId="653FBEF2">
            <w:pPr>
              <w:pStyle w:val="68"/>
              <w:shd w:val="clear" w:fill="FFFFFF" w:themeFill="background1"/>
              <w:rPr>
                <w:rFonts w:ascii="宋体" w:hAnsi="宋体" w:cs="宋体"/>
                <w:color w:val="auto"/>
                <w:sz w:val="28"/>
                <w:szCs w:val="28"/>
                <w:highlight w:val="none"/>
              </w:rPr>
            </w:pPr>
          </w:p>
        </w:tc>
        <w:tc>
          <w:tcPr>
            <w:tcW w:w="709" w:type="dxa"/>
          </w:tcPr>
          <w:p w14:paraId="1F00FBE1">
            <w:pPr>
              <w:pStyle w:val="68"/>
              <w:shd w:val="clear" w:fill="FFFFFF" w:themeFill="background1"/>
              <w:rPr>
                <w:rFonts w:ascii="宋体" w:hAnsi="宋体" w:cs="宋体"/>
                <w:color w:val="auto"/>
                <w:sz w:val="28"/>
                <w:szCs w:val="28"/>
                <w:highlight w:val="none"/>
              </w:rPr>
            </w:pPr>
          </w:p>
        </w:tc>
        <w:tc>
          <w:tcPr>
            <w:tcW w:w="992" w:type="dxa"/>
          </w:tcPr>
          <w:p w14:paraId="7107CCB6">
            <w:pPr>
              <w:pStyle w:val="68"/>
              <w:shd w:val="clear" w:fill="FFFFFF" w:themeFill="background1"/>
              <w:rPr>
                <w:rFonts w:ascii="宋体" w:hAnsi="宋体" w:cs="宋体"/>
                <w:color w:val="auto"/>
                <w:sz w:val="28"/>
                <w:szCs w:val="28"/>
                <w:highlight w:val="none"/>
              </w:rPr>
            </w:pPr>
          </w:p>
        </w:tc>
      </w:tr>
      <w:tr w14:paraId="325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D265EDE">
            <w:pPr>
              <w:pStyle w:val="68"/>
              <w:shd w:val="clear" w:fill="FFFFFF" w:themeFill="background1"/>
              <w:rPr>
                <w:rFonts w:ascii="宋体" w:hAnsi="宋体" w:cs="宋体"/>
                <w:color w:val="auto"/>
                <w:sz w:val="28"/>
                <w:szCs w:val="28"/>
                <w:highlight w:val="none"/>
              </w:rPr>
            </w:pPr>
          </w:p>
        </w:tc>
        <w:tc>
          <w:tcPr>
            <w:tcW w:w="1522" w:type="dxa"/>
          </w:tcPr>
          <w:p w14:paraId="354B7EEA">
            <w:pPr>
              <w:pStyle w:val="68"/>
              <w:shd w:val="clear" w:fill="FFFFFF" w:themeFill="background1"/>
              <w:rPr>
                <w:rFonts w:ascii="宋体" w:hAnsi="宋体" w:cs="宋体"/>
                <w:color w:val="auto"/>
                <w:sz w:val="28"/>
                <w:szCs w:val="28"/>
                <w:highlight w:val="none"/>
              </w:rPr>
            </w:pPr>
          </w:p>
        </w:tc>
        <w:tc>
          <w:tcPr>
            <w:tcW w:w="708" w:type="dxa"/>
          </w:tcPr>
          <w:p w14:paraId="45AA2D7B">
            <w:pPr>
              <w:pStyle w:val="68"/>
              <w:shd w:val="clear" w:fill="FFFFFF" w:themeFill="background1"/>
              <w:rPr>
                <w:rFonts w:ascii="宋体" w:hAnsi="宋体" w:cs="宋体"/>
                <w:color w:val="auto"/>
                <w:sz w:val="28"/>
                <w:szCs w:val="28"/>
                <w:highlight w:val="none"/>
              </w:rPr>
            </w:pPr>
          </w:p>
        </w:tc>
        <w:tc>
          <w:tcPr>
            <w:tcW w:w="851" w:type="dxa"/>
          </w:tcPr>
          <w:p w14:paraId="24C8CD3A">
            <w:pPr>
              <w:pStyle w:val="68"/>
              <w:shd w:val="clear" w:fill="FFFFFF" w:themeFill="background1"/>
              <w:rPr>
                <w:rFonts w:ascii="宋体" w:hAnsi="宋体" w:cs="宋体"/>
                <w:color w:val="auto"/>
                <w:sz w:val="28"/>
                <w:szCs w:val="28"/>
                <w:highlight w:val="none"/>
              </w:rPr>
            </w:pPr>
          </w:p>
        </w:tc>
        <w:tc>
          <w:tcPr>
            <w:tcW w:w="1276" w:type="dxa"/>
          </w:tcPr>
          <w:p w14:paraId="73F54D28">
            <w:pPr>
              <w:pStyle w:val="68"/>
              <w:shd w:val="clear" w:fill="FFFFFF" w:themeFill="background1"/>
              <w:rPr>
                <w:rFonts w:ascii="宋体" w:hAnsi="宋体" w:cs="宋体"/>
                <w:color w:val="auto"/>
                <w:sz w:val="28"/>
                <w:szCs w:val="28"/>
                <w:highlight w:val="none"/>
              </w:rPr>
            </w:pPr>
          </w:p>
        </w:tc>
        <w:tc>
          <w:tcPr>
            <w:tcW w:w="992" w:type="dxa"/>
          </w:tcPr>
          <w:p w14:paraId="4FF35A77">
            <w:pPr>
              <w:pStyle w:val="68"/>
              <w:shd w:val="clear" w:fill="FFFFFF" w:themeFill="background1"/>
              <w:rPr>
                <w:rFonts w:ascii="宋体" w:hAnsi="宋体" w:cs="宋体"/>
                <w:color w:val="auto"/>
                <w:sz w:val="28"/>
                <w:szCs w:val="28"/>
                <w:highlight w:val="none"/>
              </w:rPr>
            </w:pPr>
          </w:p>
        </w:tc>
        <w:tc>
          <w:tcPr>
            <w:tcW w:w="992" w:type="dxa"/>
          </w:tcPr>
          <w:p w14:paraId="1ECA38DA">
            <w:pPr>
              <w:pStyle w:val="68"/>
              <w:shd w:val="clear" w:fill="FFFFFF" w:themeFill="background1"/>
              <w:rPr>
                <w:rFonts w:ascii="宋体" w:hAnsi="宋体" w:cs="宋体"/>
                <w:color w:val="auto"/>
                <w:sz w:val="28"/>
                <w:szCs w:val="28"/>
                <w:highlight w:val="none"/>
              </w:rPr>
            </w:pPr>
          </w:p>
        </w:tc>
        <w:tc>
          <w:tcPr>
            <w:tcW w:w="709" w:type="dxa"/>
          </w:tcPr>
          <w:p w14:paraId="1E5C6096">
            <w:pPr>
              <w:pStyle w:val="68"/>
              <w:shd w:val="clear" w:fill="FFFFFF" w:themeFill="background1"/>
              <w:rPr>
                <w:rFonts w:ascii="宋体" w:hAnsi="宋体" w:cs="宋体"/>
                <w:color w:val="auto"/>
                <w:sz w:val="28"/>
                <w:szCs w:val="28"/>
                <w:highlight w:val="none"/>
              </w:rPr>
            </w:pPr>
          </w:p>
        </w:tc>
        <w:tc>
          <w:tcPr>
            <w:tcW w:w="992" w:type="dxa"/>
          </w:tcPr>
          <w:p w14:paraId="1286E088">
            <w:pPr>
              <w:pStyle w:val="68"/>
              <w:shd w:val="clear" w:fill="FFFFFF" w:themeFill="background1"/>
              <w:rPr>
                <w:rFonts w:ascii="宋体" w:hAnsi="宋体" w:cs="宋体"/>
                <w:color w:val="auto"/>
                <w:sz w:val="28"/>
                <w:szCs w:val="28"/>
                <w:highlight w:val="none"/>
              </w:rPr>
            </w:pPr>
          </w:p>
        </w:tc>
      </w:tr>
      <w:tr w14:paraId="674B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E10F072">
            <w:pPr>
              <w:pStyle w:val="68"/>
              <w:shd w:val="clear" w:fill="FFFFFF" w:themeFill="background1"/>
              <w:rPr>
                <w:rFonts w:ascii="宋体" w:hAnsi="宋体" w:cs="宋体"/>
                <w:color w:val="auto"/>
                <w:sz w:val="28"/>
                <w:szCs w:val="28"/>
                <w:highlight w:val="none"/>
              </w:rPr>
            </w:pPr>
          </w:p>
        </w:tc>
        <w:tc>
          <w:tcPr>
            <w:tcW w:w="1522" w:type="dxa"/>
          </w:tcPr>
          <w:p w14:paraId="2D5465FF">
            <w:pPr>
              <w:pStyle w:val="68"/>
              <w:shd w:val="clear" w:fill="FFFFFF" w:themeFill="background1"/>
              <w:rPr>
                <w:rFonts w:ascii="宋体" w:hAnsi="宋体" w:cs="宋体"/>
                <w:color w:val="auto"/>
                <w:sz w:val="28"/>
                <w:szCs w:val="28"/>
                <w:highlight w:val="none"/>
              </w:rPr>
            </w:pPr>
          </w:p>
        </w:tc>
        <w:tc>
          <w:tcPr>
            <w:tcW w:w="708" w:type="dxa"/>
          </w:tcPr>
          <w:p w14:paraId="00CB800F">
            <w:pPr>
              <w:pStyle w:val="68"/>
              <w:shd w:val="clear" w:fill="FFFFFF" w:themeFill="background1"/>
              <w:rPr>
                <w:rFonts w:ascii="宋体" w:hAnsi="宋体" w:cs="宋体"/>
                <w:color w:val="auto"/>
                <w:sz w:val="28"/>
                <w:szCs w:val="28"/>
                <w:highlight w:val="none"/>
              </w:rPr>
            </w:pPr>
          </w:p>
        </w:tc>
        <w:tc>
          <w:tcPr>
            <w:tcW w:w="851" w:type="dxa"/>
          </w:tcPr>
          <w:p w14:paraId="6321659C">
            <w:pPr>
              <w:pStyle w:val="68"/>
              <w:shd w:val="clear" w:fill="FFFFFF" w:themeFill="background1"/>
              <w:rPr>
                <w:rFonts w:ascii="宋体" w:hAnsi="宋体" w:cs="宋体"/>
                <w:color w:val="auto"/>
                <w:sz w:val="28"/>
                <w:szCs w:val="28"/>
                <w:highlight w:val="none"/>
              </w:rPr>
            </w:pPr>
          </w:p>
        </w:tc>
        <w:tc>
          <w:tcPr>
            <w:tcW w:w="1276" w:type="dxa"/>
          </w:tcPr>
          <w:p w14:paraId="73B605C5">
            <w:pPr>
              <w:pStyle w:val="68"/>
              <w:shd w:val="clear" w:fill="FFFFFF" w:themeFill="background1"/>
              <w:rPr>
                <w:rFonts w:ascii="宋体" w:hAnsi="宋体" w:cs="宋体"/>
                <w:color w:val="auto"/>
                <w:sz w:val="28"/>
                <w:szCs w:val="28"/>
                <w:highlight w:val="none"/>
              </w:rPr>
            </w:pPr>
          </w:p>
        </w:tc>
        <w:tc>
          <w:tcPr>
            <w:tcW w:w="992" w:type="dxa"/>
          </w:tcPr>
          <w:p w14:paraId="1CBA898F">
            <w:pPr>
              <w:pStyle w:val="68"/>
              <w:shd w:val="clear" w:fill="FFFFFF" w:themeFill="background1"/>
              <w:rPr>
                <w:rFonts w:ascii="宋体" w:hAnsi="宋体" w:cs="宋体"/>
                <w:color w:val="auto"/>
                <w:sz w:val="28"/>
                <w:szCs w:val="28"/>
                <w:highlight w:val="none"/>
              </w:rPr>
            </w:pPr>
          </w:p>
        </w:tc>
        <w:tc>
          <w:tcPr>
            <w:tcW w:w="992" w:type="dxa"/>
          </w:tcPr>
          <w:p w14:paraId="22B1EC76">
            <w:pPr>
              <w:pStyle w:val="68"/>
              <w:shd w:val="clear" w:fill="FFFFFF" w:themeFill="background1"/>
              <w:rPr>
                <w:rFonts w:ascii="宋体" w:hAnsi="宋体" w:cs="宋体"/>
                <w:color w:val="auto"/>
                <w:sz w:val="28"/>
                <w:szCs w:val="28"/>
                <w:highlight w:val="none"/>
              </w:rPr>
            </w:pPr>
          </w:p>
        </w:tc>
        <w:tc>
          <w:tcPr>
            <w:tcW w:w="709" w:type="dxa"/>
          </w:tcPr>
          <w:p w14:paraId="126EE98A">
            <w:pPr>
              <w:pStyle w:val="68"/>
              <w:shd w:val="clear" w:fill="FFFFFF" w:themeFill="background1"/>
              <w:rPr>
                <w:rFonts w:ascii="宋体" w:hAnsi="宋体" w:cs="宋体"/>
                <w:color w:val="auto"/>
                <w:sz w:val="28"/>
                <w:szCs w:val="28"/>
                <w:highlight w:val="none"/>
              </w:rPr>
            </w:pPr>
          </w:p>
        </w:tc>
        <w:tc>
          <w:tcPr>
            <w:tcW w:w="992" w:type="dxa"/>
          </w:tcPr>
          <w:p w14:paraId="46CECB4C">
            <w:pPr>
              <w:pStyle w:val="68"/>
              <w:shd w:val="clear" w:fill="FFFFFF" w:themeFill="background1"/>
              <w:rPr>
                <w:rFonts w:ascii="宋体" w:hAnsi="宋体" w:cs="宋体"/>
                <w:color w:val="auto"/>
                <w:sz w:val="28"/>
                <w:szCs w:val="28"/>
                <w:highlight w:val="none"/>
              </w:rPr>
            </w:pPr>
          </w:p>
        </w:tc>
      </w:tr>
      <w:tr w14:paraId="3D61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CFFFFF6">
            <w:pPr>
              <w:pStyle w:val="68"/>
              <w:shd w:val="clear" w:fill="FFFFFF" w:themeFill="background1"/>
              <w:rPr>
                <w:rFonts w:ascii="宋体" w:hAnsi="宋体" w:cs="宋体"/>
                <w:color w:val="auto"/>
                <w:sz w:val="28"/>
                <w:szCs w:val="28"/>
                <w:highlight w:val="none"/>
              </w:rPr>
            </w:pPr>
          </w:p>
        </w:tc>
        <w:tc>
          <w:tcPr>
            <w:tcW w:w="1522" w:type="dxa"/>
          </w:tcPr>
          <w:p w14:paraId="42CA21B2">
            <w:pPr>
              <w:pStyle w:val="68"/>
              <w:shd w:val="clear" w:fill="FFFFFF" w:themeFill="background1"/>
              <w:rPr>
                <w:rFonts w:ascii="宋体" w:hAnsi="宋体" w:cs="宋体"/>
                <w:color w:val="auto"/>
                <w:sz w:val="28"/>
                <w:szCs w:val="28"/>
                <w:highlight w:val="none"/>
              </w:rPr>
            </w:pPr>
          </w:p>
        </w:tc>
        <w:tc>
          <w:tcPr>
            <w:tcW w:w="708" w:type="dxa"/>
          </w:tcPr>
          <w:p w14:paraId="46A94BCB">
            <w:pPr>
              <w:pStyle w:val="68"/>
              <w:shd w:val="clear" w:fill="FFFFFF" w:themeFill="background1"/>
              <w:rPr>
                <w:rFonts w:ascii="宋体" w:hAnsi="宋体" w:cs="宋体"/>
                <w:color w:val="auto"/>
                <w:sz w:val="28"/>
                <w:szCs w:val="28"/>
                <w:highlight w:val="none"/>
              </w:rPr>
            </w:pPr>
          </w:p>
        </w:tc>
        <w:tc>
          <w:tcPr>
            <w:tcW w:w="851" w:type="dxa"/>
          </w:tcPr>
          <w:p w14:paraId="66F0AFD4">
            <w:pPr>
              <w:pStyle w:val="68"/>
              <w:shd w:val="clear" w:fill="FFFFFF" w:themeFill="background1"/>
              <w:rPr>
                <w:rFonts w:ascii="宋体" w:hAnsi="宋体" w:cs="宋体"/>
                <w:color w:val="auto"/>
                <w:sz w:val="28"/>
                <w:szCs w:val="28"/>
                <w:highlight w:val="none"/>
              </w:rPr>
            </w:pPr>
          </w:p>
        </w:tc>
        <w:tc>
          <w:tcPr>
            <w:tcW w:w="1276" w:type="dxa"/>
          </w:tcPr>
          <w:p w14:paraId="1D4025E1">
            <w:pPr>
              <w:pStyle w:val="68"/>
              <w:shd w:val="clear" w:fill="FFFFFF" w:themeFill="background1"/>
              <w:rPr>
                <w:rFonts w:ascii="宋体" w:hAnsi="宋体" w:cs="宋体"/>
                <w:color w:val="auto"/>
                <w:sz w:val="28"/>
                <w:szCs w:val="28"/>
                <w:highlight w:val="none"/>
              </w:rPr>
            </w:pPr>
          </w:p>
        </w:tc>
        <w:tc>
          <w:tcPr>
            <w:tcW w:w="992" w:type="dxa"/>
          </w:tcPr>
          <w:p w14:paraId="2F06B921">
            <w:pPr>
              <w:pStyle w:val="68"/>
              <w:shd w:val="clear" w:fill="FFFFFF" w:themeFill="background1"/>
              <w:rPr>
                <w:rFonts w:ascii="宋体" w:hAnsi="宋体" w:cs="宋体"/>
                <w:color w:val="auto"/>
                <w:sz w:val="28"/>
                <w:szCs w:val="28"/>
                <w:highlight w:val="none"/>
              </w:rPr>
            </w:pPr>
          </w:p>
        </w:tc>
        <w:tc>
          <w:tcPr>
            <w:tcW w:w="992" w:type="dxa"/>
          </w:tcPr>
          <w:p w14:paraId="61011157">
            <w:pPr>
              <w:pStyle w:val="68"/>
              <w:shd w:val="clear" w:fill="FFFFFF" w:themeFill="background1"/>
              <w:rPr>
                <w:rFonts w:ascii="宋体" w:hAnsi="宋体" w:cs="宋体"/>
                <w:color w:val="auto"/>
                <w:sz w:val="28"/>
                <w:szCs w:val="28"/>
                <w:highlight w:val="none"/>
              </w:rPr>
            </w:pPr>
          </w:p>
        </w:tc>
        <w:tc>
          <w:tcPr>
            <w:tcW w:w="709" w:type="dxa"/>
          </w:tcPr>
          <w:p w14:paraId="082EF5B7">
            <w:pPr>
              <w:pStyle w:val="68"/>
              <w:shd w:val="clear" w:fill="FFFFFF" w:themeFill="background1"/>
              <w:rPr>
                <w:rFonts w:ascii="宋体" w:hAnsi="宋体" w:cs="宋体"/>
                <w:color w:val="auto"/>
                <w:sz w:val="28"/>
                <w:szCs w:val="28"/>
                <w:highlight w:val="none"/>
              </w:rPr>
            </w:pPr>
          </w:p>
        </w:tc>
        <w:tc>
          <w:tcPr>
            <w:tcW w:w="992" w:type="dxa"/>
          </w:tcPr>
          <w:p w14:paraId="3CB1325A">
            <w:pPr>
              <w:pStyle w:val="68"/>
              <w:shd w:val="clear" w:fill="FFFFFF" w:themeFill="background1"/>
              <w:rPr>
                <w:rFonts w:ascii="宋体" w:hAnsi="宋体" w:cs="宋体"/>
                <w:color w:val="auto"/>
                <w:sz w:val="28"/>
                <w:szCs w:val="28"/>
                <w:highlight w:val="none"/>
              </w:rPr>
            </w:pPr>
          </w:p>
        </w:tc>
      </w:tr>
      <w:tr w14:paraId="28C2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5D3F96D">
            <w:pPr>
              <w:pStyle w:val="68"/>
              <w:shd w:val="clear" w:fill="FFFFFF" w:themeFill="background1"/>
              <w:rPr>
                <w:rFonts w:ascii="宋体" w:hAnsi="宋体" w:cs="宋体"/>
                <w:color w:val="auto"/>
                <w:sz w:val="28"/>
                <w:szCs w:val="28"/>
                <w:highlight w:val="none"/>
              </w:rPr>
            </w:pPr>
          </w:p>
        </w:tc>
        <w:tc>
          <w:tcPr>
            <w:tcW w:w="1522" w:type="dxa"/>
          </w:tcPr>
          <w:p w14:paraId="0D2BC369">
            <w:pPr>
              <w:pStyle w:val="68"/>
              <w:shd w:val="clear" w:fill="FFFFFF" w:themeFill="background1"/>
              <w:rPr>
                <w:rFonts w:ascii="宋体" w:hAnsi="宋体" w:cs="宋体"/>
                <w:color w:val="auto"/>
                <w:sz w:val="28"/>
                <w:szCs w:val="28"/>
                <w:highlight w:val="none"/>
              </w:rPr>
            </w:pPr>
          </w:p>
        </w:tc>
        <w:tc>
          <w:tcPr>
            <w:tcW w:w="708" w:type="dxa"/>
          </w:tcPr>
          <w:p w14:paraId="582D6589">
            <w:pPr>
              <w:pStyle w:val="68"/>
              <w:shd w:val="clear" w:fill="FFFFFF" w:themeFill="background1"/>
              <w:rPr>
                <w:rFonts w:ascii="宋体" w:hAnsi="宋体" w:cs="宋体"/>
                <w:color w:val="auto"/>
                <w:sz w:val="28"/>
                <w:szCs w:val="28"/>
                <w:highlight w:val="none"/>
              </w:rPr>
            </w:pPr>
          </w:p>
        </w:tc>
        <w:tc>
          <w:tcPr>
            <w:tcW w:w="851" w:type="dxa"/>
          </w:tcPr>
          <w:p w14:paraId="280F55E1">
            <w:pPr>
              <w:pStyle w:val="68"/>
              <w:shd w:val="clear" w:fill="FFFFFF" w:themeFill="background1"/>
              <w:rPr>
                <w:rFonts w:ascii="宋体" w:hAnsi="宋体" w:cs="宋体"/>
                <w:color w:val="auto"/>
                <w:sz w:val="28"/>
                <w:szCs w:val="28"/>
                <w:highlight w:val="none"/>
              </w:rPr>
            </w:pPr>
          </w:p>
        </w:tc>
        <w:tc>
          <w:tcPr>
            <w:tcW w:w="1276" w:type="dxa"/>
          </w:tcPr>
          <w:p w14:paraId="69C78DBE">
            <w:pPr>
              <w:pStyle w:val="68"/>
              <w:shd w:val="clear" w:fill="FFFFFF" w:themeFill="background1"/>
              <w:rPr>
                <w:rFonts w:ascii="宋体" w:hAnsi="宋体" w:cs="宋体"/>
                <w:color w:val="auto"/>
                <w:sz w:val="28"/>
                <w:szCs w:val="28"/>
                <w:highlight w:val="none"/>
              </w:rPr>
            </w:pPr>
          </w:p>
        </w:tc>
        <w:tc>
          <w:tcPr>
            <w:tcW w:w="992" w:type="dxa"/>
          </w:tcPr>
          <w:p w14:paraId="5DA5150B">
            <w:pPr>
              <w:pStyle w:val="68"/>
              <w:shd w:val="clear" w:fill="FFFFFF" w:themeFill="background1"/>
              <w:rPr>
                <w:rFonts w:ascii="宋体" w:hAnsi="宋体" w:cs="宋体"/>
                <w:color w:val="auto"/>
                <w:sz w:val="28"/>
                <w:szCs w:val="28"/>
                <w:highlight w:val="none"/>
              </w:rPr>
            </w:pPr>
          </w:p>
        </w:tc>
        <w:tc>
          <w:tcPr>
            <w:tcW w:w="992" w:type="dxa"/>
          </w:tcPr>
          <w:p w14:paraId="26ED1DCA">
            <w:pPr>
              <w:pStyle w:val="68"/>
              <w:shd w:val="clear" w:fill="FFFFFF" w:themeFill="background1"/>
              <w:rPr>
                <w:rFonts w:ascii="宋体" w:hAnsi="宋体" w:cs="宋体"/>
                <w:color w:val="auto"/>
                <w:sz w:val="28"/>
                <w:szCs w:val="28"/>
                <w:highlight w:val="none"/>
              </w:rPr>
            </w:pPr>
          </w:p>
        </w:tc>
        <w:tc>
          <w:tcPr>
            <w:tcW w:w="709" w:type="dxa"/>
          </w:tcPr>
          <w:p w14:paraId="51D69B5D">
            <w:pPr>
              <w:pStyle w:val="68"/>
              <w:shd w:val="clear" w:fill="FFFFFF" w:themeFill="background1"/>
              <w:rPr>
                <w:rFonts w:ascii="宋体" w:hAnsi="宋体" w:cs="宋体"/>
                <w:color w:val="auto"/>
                <w:sz w:val="28"/>
                <w:szCs w:val="28"/>
                <w:highlight w:val="none"/>
              </w:rPr>
            </w:pPr>
          </w:p>
        </w:tc>
        <w:tc>
          <w:tcPr>
            <w:tcW w:w="992" w:type="dxa"/>
          </w:tcPr>
          <w:p w14:paraId="4DA597CD">
            <w:pPr>
              <w:pStyle w:val="68"/>
              <w:shd w:val="clear" w:fill="FFFFFF" w:themeFill="background1"/>
              <w:rPr>
                <w:rFonts w:ascii="宋体" w:hAnsi="宋体" w:cs="宋体"/>
                <w:color w:val="auto"/>
                <w:sz w:val="28"/>
                <w:szCs w:val="28"/>
                <w:highlight w:val="none"/>
              </w:rPr>
            </w:pPr>
          </w:p>
        </w:tc>
      </w:tr>
      <w:tr w14:paraId="7B17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B52A7A9">
            <w:pPr>
              <w:pStyle w:val="68"/>
              <w:shd w:val="clear" w:fill="FFFFFF" w:themeFill="background1"/>
              <w:rPr>
                <w:rFonts w:ascii="宋体" w:hAnsi="宋体" w:cs="宋体"/>
                <w:color w:val="auto"/>
                <w:sz w:val="28"/>
                <w:szCs w:val="28"/>
                <w:highlight w:val="none"/>
              </w:rPr>
            </w:pPr>
          </w:p>
        </w:tc>
        <w:tc>
          <w:tcPr>
            <w:tcW w:w="1522" w:type="dxa"/>
          </w:tcPr>
          <w:p w14:paraId="1E04E513">
            <w:pPr>
              <w:pStyle w:val="68"/>
              <w:shd w:val="clear" w:fill="FFFFFF" w:themeFill="background1"/>
              <w:rPr>
                <w:rFonts w:ascii="宋体" w:hAnsi="宋体" w:cs="宋体"/>
                <w:color w:val="auto"/>
                <w:sz w:val="28"/>
                <w:szCs w:val="28"/>
                <w:highlight w:val="none"/>
              </w:rPr>
            </w:pPr>
          </w:p>
        </w:tc>
        <w:tc>
          <w:tcPr>
            <w:tcW w:w="708" w:type="dxa"/>
          </w:tcPr>
          <w:p w14:paraId="090DA26C">
            <w:pPr>
              <w:pStyle w:val="68"/>
              <w:shd w:val="clear" w:fill="FFFFFF" w:themeFill="background1"/>
              <w:rPr>
                <w:rFonts w:ascii="宋体" w:hAnsi="宋体" w:cs="宋体"/>
                <w:color w:val="auto"/>
                <w:sz w:val="28"/>
                <w:szCs w:val="28"/>
                <w:highlight w:val="none"/>
              </w:rPr>
            </w:pPr>
          </w:p>
        </w:tc>
        <w:tc>
          <w:tcPr>
            <w:tcW w:w="851" w:type="dxa"/>
          </w:tcPr>
          <w:p w14:paraId="699EE891">
            <w:pPr>
              <w:pStyle w:val="68"/>
              <w:shd w:val="clear" w:fill="FFFFFF" w:themeFill="background1"/>
              <w:rPr>
                <w:rFonts w:ascii="宋体" w:hAnsi="宋体" w:cs="宋体"/>
                <w:color w:val="auto"/>
                <w:sz w:val="28"/>
                <w:szCs w:val="28"/>
                <w:highlight w:val="none"/>
              </w:rPr>
            </w:pPr>
          </w:p>
        </w:tc>
        <w:tc>
          <w:tcPr>
            <w:tcW w:w="1276" w:type="dxa"/>
          </w:tcPr>
          <w:p w14:paraId="05E37C3D">
            <w:pPr>
              <w:pStyle w:val="68"/>
              <w:shd w:val="clear" w:fill="FFFFFF" w:themeFill="background1"/>
              <w:rPr>
                <w:rFonts w:ascii="宋体" w:hAnsi="宋体" w:cs="宋体"/>
                <w:color w:val="auto"/>
                <w:sz w:val="28"/>
                <w:szCs w:val="28"/>
                <w:highlight w:val="none"/>
              </w:rPr>
            </w:pPr>
          </w:p>
        </w:tc>
        <w:tc>
          <w:tcPr>
            <w:tcW w:w="992" w:type="dxa"/>
          </w:tcPr>
          <w:p w14:paraId="7508F2D5">
            <w:pPr>
              <w:pStyle w:val="68"/>
              <w:shd w:val="clear" w:fill="FFFFFF" w:themeFill="background1"/>
              <w:rPr>
                <w:rFonts w:ascii="宋体" w:hAnsi="宋体" w:cs="宋体"/>
                <w:color w:val="auto"/>
                <w:sz w:val="28"/>
                <w:szCs w:val="28"/>
                <w:highlight w:val="none"/>
              </w:rPr>
            </w:pPr>
          </w:p>
        </w:tc>
        <w:tc>
          <w:tcPr>
            <w:tcW w:w="992" w:type="dxa"/>
          </w:tcPr>
          <w:p w14:paraId="5E1D5347">
            <w:pPr>
              <w:pStyle w:val="68"/>
              <w:shd w:val="clear" w:fill="FFFFFF" w:themeFill="background1"/>
              <w:rPr>
                <w:rFonts w:ascii="宋体" w:hAnsi="宋体" w:cs="宋体"/>
                <w:color w:val="auto"/>
                <w:sz w:val="28"/>
                <w:szCs w:val="28"/>
                <w:highlight w:val="none"/>
              </w:rPr>
            </w:pPr>
          </w:p>
        </w:tc>
        <w:tc>
          <w:tcPr>
            <w:tcW w:w="709" w:type="dxa"/>
          </w:tcPr>
          <w:p w14:paraId="32C39B59">
            <w:pPr>
              <w:pStyle w:val="68"/>
              <w:shd w:val="clear" w:fill="FFFFFF" w:themeFill="background1"/>
              <w:rPr>
                <w:rFonts w:ascii="宋体" w:hAnsi="宋体" w:cs="宋体"/>
                <w:color w:val="auto"/>
                <w:sz w:val="28"/>
                <w:szCs w:val="28"/>
                <w:highlight w:val="none"/>
              </w:rPr>
            </w:pPr>
          </w:p>
        </w:tc>
        <w:tc>
          <w:tcPr>
            <w:tcW w:w="992" w:type="dxa"/>
          </w:tcPr>
          <w:p w14:paraId="09AFDDE4">
            <w:pPr>
              <w:pStyle w:val="68"/>
              <w:shd w:val="clear" w:fill="FFFFFF" w:themeFill="background1"/>
              <w:rPr>
                <w:rFonts w:ascii="宋体" w:hAnsi="宋体" w:cs="宋体"/>
                <w:color w:val="auto"/>
                <w:sz w:val="28"/>
                <w:szCs w:val="28"/>
                <w:highlight w:val="none"/>
              </w:rPr>
            </w:pPr>
          </w:p>
        </w:tc>
      </w:tr>
      <w:tr w14:paraId="5583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FE090C2">
            <w:pPr>
              <w:pStyle w:val="68"/>
              <w:shd w:val="clear" w:fill="FFFFFF" w:themeFill="background1"/>
              <w:rPr>
                <w:rFonts w:ascii="宋体" w:hAnsi="宋体" w:cs="宋体"/>
                <w:color w:val="auto"/>
                <w:sz w:val="28"/>
                <w:szCs w:val="28"/>
                <w:highlight w:val="none"/>
              </w:rPr>
            </w:pPr>
          </w:p>
        </w:tc>
        <w:tc>
          <w:tcPr>
            <w:tcW w:w="1522" w:type="dxa"/>
          </w:tcPr>
          <w:p w14:paraId="1F713D56">
            <w:pPr>
              <w:pStyle w:val="68"/>
              <w:shd w:val="clear" w:fill="FFFFFF" w:themeFill="background1"/>
              <w:rPr>
                <w:rFonts w:ascii="宋体" w:hAnsi="宋体" w:cs="宋体"/>
                <w:color w:val="auto"/>
                <w:sz w:val="28"/>
                <w:szCs w:val="28"/>
                <w:highlight w:val="none"/>
              </w:rPr>
            </w:pPr>
          </w:p>
        </w:tc>
        <w:tc>
          <w:tcPr>
            <w:tcW w:w="708" w:type="dxa"/>
          </w:tcPr>
          <w:p w14:paraId="2C425361">
            <w:pPr>
              <w:pStyle w:val="68"/>
              <w:shd w:val="clear" w:fill="FFFFFF" w:themeFill="background1"/>
              <w:rPr>
                <w:rFonts w:ascii="宋体" w:hAnsi="宋体" w:cs="宋体"/>
                <w:color w:val="auto"/>
                <w:sz w:val="28"/>
                <w:szCs w:val="28"/>
                <w:highlight w:val="none"/>
              </w:rPr>
            </w:pPr>
          </w:p>
        </w:tc>
        <w:tc>
          <w:tcPr>
            <w:tcW w:w="851" w:type="dxa"/>
          </w:tcPr>
          <w:p w14:paraId="3AA2AD21">
            <w:pPr>
              <w:pStyle w:val="68"/>
              <w:shd w:val="clear" w:fill="FFFFFF" w:themeFill="background1"/>
              <w:rPr>
                <w:rFonts w:ascii="宋体" w:hAnsi="宋体" w:cs="宋体"/>
                <w:color w:val="auto"/>
                <w:sz w:val="28"/>
                <w:szCs w:val="28"/>
                <w:highlight w:val="none"/>
              </w:rPr>
            </w:pPr>
          </w:p>
        </w:tc>
        <w:tc>
          <w:tcPr>
            <w:tcW w:w="1276" w:type="dxa"/>
          </w:tcPr>
          <w:p w14:paraId="77C22A8C">
            <w:pPr>
              <w:pStyle w:val="68"/>
              <w:shd w:val="clear" w:fill="FFFFFF" w:themeFill="background1"/>
              <w:rPr>
                <w:rFonts w:ascii="宋体" w:hAnsi="宋体" w:cs="宋体"/>
                <w:color w:val="auto"/>
                <w:sz w:val="28"/>
                <w:szCs w:val="28"/>
                <w:highlight w:val="none"/>
              </w:rPr>
            </w:pPr>
          </w:p>
        </w:tc>
        <w:tc>
          <w:tcPr>
            <w:tcW w:w="992" w:type="dxa"/>
          </w:tcPr>
          <w:p w14:paraId="125BC2CE">
            <w:pPr>
              <w:pStyle w:val="68"/>
              <w:shd w:val="clear" w:fill="FFFFFF" w:themeFill="background1"/>
              <w:rPr>
                <w:rFonts w:ascii="宋体" w:hAnsi="宋体" w:cs="宋体"/>
                <w:color w:val="auto"/>
                <w:sz w:val="28"/>
                <w:szCs w:val="28"/>
                <w:highlight w:val="none"/>
              </w:rPr>
            </w:pPr>
          </w:p>
        </w:tc>
        <w:tc>
          <w:tcPr>
            <w:tcW w:w="992" w:type="dxa"/>
          </w:tcPr>
          <w:p w14:paraId="6067D843">
            <w:pPr>
              <w:pStyle w:val="68"/>
              <w:shd w:val="clear" w:fill="FFFFFF" w:themeFill="background1"/>
              <w:rPr>
                <w:rFonts w:ascii="宋体" w:hAnsi="宋体" w:cs="宋体"/>
                <w:color w:val="auto"/>
                <w:sz w:val="28"/>
                <w:szCs w:val="28"/>
                <w:highlight w:val="none"/>
              </w:rPr>
            </w:pPr>
          </w:p>
        </w:tc>
        <w:tc>
          <w:tcPr>
            <w:tcW w:w="709" w:type="dxa"/>
          </w:tcPr>
          <w:p w14:paraId="506691A1">
            <w:pPr>
              <w:pStyle w:val="68"/>
              <w:shd w:val="clear" w:fill="FFFFFF" w:themeFill="background1"/>
              <w:rPr>
                <w:rFonts w:ascii="宋体" w:hAnsi="宋体" w:cs="宋体"/>
                <w:color w:val="auto"/>
                <w:sz w:val="28"/>
                <w:szCs w:val="28"/>
                <w:highlight w:val="none"/>
              </w:rPr>
            </w:pPr>
          </w:p>
        </w:tc>
        <w:tc>
          <w:tcPr>
            <w:tcW w:w="992" w:type="dxa"/>
          </w:tcPr>
          <w:p w14:paraId="65D0AA06">
            <w:pPr>
              <w:pStyle w:val="68"/>
              <w:shd w:val="clear" w:fill="FFFFFF" w:themeFill="background1"/>
              <w:rPr>
                <w:rFonts w:ascii="宋体" w:hAnsi="宋体" w:cs="宋体"/>
                <w:color w:val="auto"/>
                <w:sz w:val="28"/>
                <w:szCs w:val="28"/>
                <w:highlight w:val="none"/>
              </w:rPr>
            </w:pPr>
          </w:p>
        </w:tc>
      </w:tr>
    </w:tbl>
    <w:p w14:paraId="2E79CCF4">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6EF43F2D">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3D20ED31">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25AB60CD">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785F75F5">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144D0059">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7A37A4AB">
      <w:pPr>
        <w:pStyle w:val="78"/>
        <w:shd w:val="clear" w:fill="FFFFFF" w:themeFill="background1"/>
        <w:spacing w:line="360" w:lineRule="auto"/>
        <w:rPr>
          <w:rFonts w:ascii="宋体" w:hAnsi="宋体"/>
          <w:color w:val="auto"/>
          <w:sz w:val="24"/>
          <w:szCs w:val="24"/>
          <w:highlight w:val="none"/>
        </w:rPr>
      </w:pPr>
      <w:bookmarkStart w:id="1720" w:name="_Toc43476016"/>
      <w:bookmarkEnd w:id="1720"/>
      <w:r>
        <w:rPr>
          <w:rFonts w:hint="eastAsia" w:ascii="宋体" w:hAnsi="宋体"/>
          <w:color w:val="auto"/>
          <w:sz w:val="24"/>
          <w:szCs w:val="24"/>
          <w:highlight w:val="none"/>
        </w:rPr>
        <w:t>附件十  统一采购供应材料一览表</w:t>
      </w:r>
    </w:p>
    <w:p w14:paraId="74CB8A2E">
      <w:pPr>
        <w:pStyle w:val="68"/>
        <w:shd w:val="clear" w:fill="FFFFFF" w:themeFill="background1"/>
        <w:rPr>
          <w:rFonts w:ascii="宋体" w:hAnsi="宋体" w:cs="宋体"/>
          <w:color w:val="auto"/>
          <w:sz w:val="24"/>
          <w:highlight w:val="none"/>
        </w:rPr>
      </w:pPr>
    </w:p>
    <w:tbl>
      <w:tblPr>
        <w:tblStyle w:val="43"/>
        <w:tblW w:w="868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559"/>
        <w:gridCol w:w="992"/>
        <w:gridCol w:w="993"/>
        <w:gridCol w:w="850"/>
        <w:gridCol w:w="709"/>
      </w:tblGrid>
      <w:tr w14:paraId="3D04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1FAD85F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2" w:type="dxa"/>
            <w:vAlign w:val="center"/>
          </w:tcPr>
          <w:p w14:paraId="00BD617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材料品种或设备型号</w:t>
            </w:r>
          </w:p>
        </w:tc>
        <w:tc>
          <w:tcPr>
            <w:tcW w:w="708" w:type="dxa"/>
            <w:vAlign w:val="center"/>
          </w:tcPr>
          <w:p w14:paraId="2DB9999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14:paraId="5A37E3C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数量</w:t>
            </w:r>
          </w:p>
        </w:tc>
        <w:tc>
          <w:tcPr>
            <w:tcW w:w="1559" w:type="dxa"/>
            <w:vAlign w:val="center"/>
          </w:tcPr>
          <w:p w14:paraId="00FD892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到达工地价格（元）</w:t>
            </w:r>
          </w:p>
        </w:tc>
        <w:tc>
          <w:tcPr>
            <w:tcW w:w="992" w:type="dxa"/>
            <w:vAlign w:val="center"/>
          </w:tcPr>
          <w:p w14:paraId="434AB12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质量</w:t>
            </w:r>
          </w:p>
          <w:p w14:paraId="1A2FFCB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等级</w:t>
            </w:r>
          </w:p>
        </w:tc>
        <w:tc>
          <w:tcPr>
            <w:tcW w:w="993" w:type="dxa"/>
            <w:vAlign w:val="center"/>
          </w:tcPr>
          <w:p w14:paraId="2BD28B7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供应</w:t>
            </w:r>
          </w:p>
          <w:p w14:paraId="3E25AED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时间</w:t>
            </w:r>
          </w:p>
        </w:tc>
        <w:tc>
          <w:tcPr>
            <w:tcW w:w="850" w:type="dxa"/>
            <w:vAlign w:val="center"/>
          </w:tcPr>
          <w:p w14:paraId="7857696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709" w:type="dxa"/>
            <w:vAlign w:val="center"/>
          </w:tcPr>
          <w:p w14:paraId="678C04C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备注</w:t>
            </w:r>
          </w:p>
        </w:tc>
      </w:tr>
      <w:tr w14:paraId="3637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A6768C6">
            <w:pPr>
              <w:pStyle w:val="68"/>
              <w:shd w:val="clear" w:fill="FFFFFF" w:themeFill="background1"/>
              <w:rPr>
                <w:rFonts w:ascii="宋体" w:hAnsi="宋体" w:cs="宋体"/>
                <w:color w:val="auto"/>
                <w:sz w:val="28"/>
                <w:szCs w:val="28"/>
                <w:highlight w:val="none"/>
              </w:rPr>
            </w:pPr>
          </w:p>
        </w:tc>
        <w:tc>
          <w:tcPr>
            <w:tcW w:w="1522" w:type="dxa"/>
          </w:tcPr>
          <w:p w14:paraId="2FC52BA6">
            <w:pPr>
              <w:pStyle w:val="68"/>
              <w:shd w:val="clear" w:fill="FFFFFF" w:themeFill="background1"/>
              <w:rPr>
                <w:rFonts w:ascii="宋体" w:hAnsi="宋体" w:cs="宋体"/>
                <w:color w:val="auto"/>
                <w:sz w:val="28"/>
                <w:szCs w:val="28"/>
                <w:highlight w:val="none"/>
              </w:rPr>
            </w:pPr>
          </w:p>
        </w:tc>
        <w:tc>
          <w:tcPr>
            <w:tcW w:w="708" w:type="dxa"/>
          </w:tcPr>
          <w:p w14:paraId="5AE0FE00">
            <w:pPr>
              <w:pStyle w:val="68"/>
              <w:shd w:val="clear" w:fill="FFFFFF" w:themeFill="background1"/>
              <w:rPr>
                <w:rFonts w:ascii="宋体" w:hAnsi="宋体" w:cs="宋体"/>
                <w:color w:val="auto"/>
                <w:sz w:val="28"/>
                <w:szCs w:val="28"/>
                <w:highlight w:val="none"/>
              </w:rPr>
            </w:pPr>
          </w:p>
        </w:tc>
        <w:tc>
          <w:tcPr>
            <w:tcW w:w="851" w:type="dxa"/>
          </w:tcPr>
          <w:p w14:paraId="53E39CE2">
            <w:pPr>
              <w:pStyle w:val="68"/>
              <w:shd w:val="clear" w:fill="FFFFFF" w:themeFill="background1"/>
              <w:rPr>
                <w:rFonts w:ascii="宋体" w:hAnsi="宋体" w:cs="宋体"/>
                <w:color w:val="auto"/>
                <w:sz w:val="28"/>
                <w:szCs w:val="28"/>
                <w:highlight w:val="none"/>
              </w:rPr>
            </w:pPr>
          </w:p>
        </w:tc>
        <w:tc>
          <w:tcPr>
            <w:tcW w:w="1559" w:type="dxa"/>
          </w:tcPr>
          <w:p w14:paraId="7BE82BE9">
            <w:pPr>
              <w:pStyle w:val="68"/>
              <w:shd w:val="clear" w:fill="FFFFFF" w:themeFill="background1"/>
              <w:rPr>
                <w:rFonts w:ascii="宋体" w:hAnsi="宋体" w:cs="宋体"/>
                <w:color w:val="auto"/>
                <w:sz w:val="28"/>
                <w:szCs w:val="28"/>
                <w:highlight w:val="none"/>
              </w:rPr>
            </w:pPr>
          </w:p>
        </w:tc>
        <w:tc>
          <w:tcPr>
            <w:tcW w:w="992" w:type="dxa"/>
          </w:tcPr>
          <w:p w14:paraId="0F30F0AA">
            <w:pPr>
              <w:pStyle w:val="68"/>
              <w:shd w:val="clear" w:fill="FFFFFF" w:themeFill="background1"/>
              <w:rPr>
                <w:rFonts w:ascii="宋体" w:hAnsi="宋体" w:cs="宋体"/>
                <w:color w:val="auto"/>
                <w:sz w:val="28"/>
                <w:szCs w:val="28"/>
                <w:highlight w:val="none"/>
              </w:rPr>
            </w:pPr>
          </w:p>
        </w:tc>
        <w:tc>
          <w:tcPr>
            <w:tcW w:w="993" w:type="dxa"/>
          </w:tcPr>
          <w:p w14:paraId="76663EEE">
            <w:pPr>
              <w:pStyle w:val="68"/>
              <w:shd w:val="clear" w:fill="FFFFFF" w:themeFill="background1"/>
              <w:rPr>
                <w:rFonts w:ascii="宋体" w:hAnsi="宋体" w:cs="宋体"/>
                <w:color w:val="auto"/>
                <w:sz w:val="28"/>
                <w:szCs w:val="28"/>
                <w:highlight w:val="none"/>
              </w:rPr>
            </w:pPr>
          </w:p>
        </w:tc>
        <w:tc>
          <w:tcPr>
            <w:tcW w:w="850" w:type="dxa"/>
          </w:tcPr>
          <w:p w14:paraId="7B77F1FF">
            <w:pPr>
              <w:pStyle w:val="68"/>
              <w:shd w:val="clear" w:fill="FFFFFF" w:themeFill="background1"/>
              <w:rPr>
                <w:rFonts w:ascii="宋体" w:hAnsi="宋体" w:cs="宋体"/>
                <w:color w:val="auto"/>
                <w:sz w:val="28"/>
                <w:szCs w:val="28"/>
                <w:highlight w:val="none"/>
              </w:rPr>
            </w:pPr>
          </w:p>
        </w:tc>
        <w:tc>
          <w:tcPr>
            <w:tcW w:w="709" w:type="dxa"/>
          </w:tcPr>
          <w:p w14:paraId="477CCE6A">
            <w:pPr>
              <w:pStyle w:val="68"/>
              <w:shd w:val="clear" w:fill="FFFFFF" w:themeFill="background1"/>
              <w:rPr>
                <w:rFonts w:ascii="宋体" w:hAnsi="宋体" w:cs="宋体"/>
                <w:color w:val="auto"/>
                <w:sz w:val="28"/>
                <w:szCs w:val="28"/>
                <w:highlight w:val="none"/>
              </w:rPr>
            </w:pPr>
          </w:p>
        </w:tc>
      </w:tr>
      <w:tr w14:paraId="0E3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F2D7B37">
            <w:pPr>
              <w:pStyle w:val="68"/>
              <w:shd w:val="clear" w:fill="FFFFFF" w:themeFill="background1"/>
              <w:rPr>
                <w:rFonts w:ascii="宋体" w:hAnsi="宋体" w:cs="宋体"/>
                <w:color w:val="auto"/>
                <w:sz w:val="28"/>
                <w:szCs w:val="28"/>
                <w:highlight w:val="none"/>
              </w:rPr>
            </w:pPr>
          </w:p>
        </w:tc>
        <w:tc>
          <w:tcPr>
            <w:tcW w:w="1522" w:type="dxa"/>
          </w:tcPr>
          <w:p w14:paraId="5C6C1CD4">
            <w:pPr>
              <w:pStyle w:val="68"/>
              <w:shd w:val="clear" w:fill="FFFFFF" w:themeFill="background1"/>
              <w:rPr>
                <w:rFonts w:ascii="宋体" w:hAnsi="宋体" w:cs="宋体"/>
                <w:color w:val="auto"/>
                <w:sz w:val="28"/>
                <w:szCs w:val="28"/>
                <w:highlight w:val="none"/>
              </w:rPr>
            </w:pPr>
          </w:p>
        </w:tc>
        <w:tc>
          <w:tcPr>
            <w:tcW w:w="708" w:type="dxa"/>
          </w:tcPr>
          <w:p w14:paraId="706C381B">
            <w:pPr>
              <w:pStyle w:val="68"/>
              <w:shd w:val="clear" w:fill="FFFFFF" w:themeFill="background1"/>
              <w:rPr>
                <w:rFonts w:ascii="宋体" w:hAnsi="宋体" w:cs="宋体"/>
                <w:color w:val="auto"/>
                <w:sz w:val="28"/>
                <w:szCs w:val="28"/>
                <w:highlight w:val="none"/>
              </w:rPr>
            </w:pPr>
          </w:p>
        </w:tc>
        <w:tc>
          <w:tcPr>
            <w:tcW w:w="851" w:type="dxa"/>
          </w:tcPr>
          <w:p w14:paraId="57248C0A">
            <w:pPr>
              <w:pStyle w:val="68"/>
              <w:shd w:val="clear" w:fill="FFFFFF" w:themeFill="background1"/>
              <w:rPr>
                <w:rFonts w:ascii="宋体" w:hAnsi="宋体" w:cs="宋体"/>
                <w:color w:val="auto"/>
                <w:sz w:val="28"/>
                <w:szCs w:val="28"/>
                <w:highlight w:val="none"/>
              </w:rPr>
            </w:pPr>
          </w:p>
        </w:tc>
        <w:tc>
          <w:tcPr>
            <w:tcW w:w="1559" w:type="dxa"/>
          </w:tcPr>
          <w:p w14:paraId="4AD52BEF">
            <w:pPr>
              <w:pStyle w:val="68"/>
              <w:shd w:val="clear" w:fill="FFFFFF" w:themeFill="background1"/>
              <w:rPr>
                <w:rFonts w:ascii="宋体" w:hAnsi="宋体" w:cs="宋体"/>
                <w:color w:val="auto"/>
                <w:sz w:val="28"/>
                <w:szCs w:val="28"/>
                <w:highlight w:val="none"/>
              </w:rPr>
            </w:pPr>
          </w:p>
        </w:tc>
        <w:tc>
          <w:tcPr>
            <w:tcW w:w="992" w:type="dxa"/>
          </w:tcPr>
          <w:p w14:paraId="72537A5D">
            <w:pPr>
              <w:pStyle w:val="68"/>
              <w:shd w:val="clear" w:fill="FFFFFF" w:themeFill="background1"/>
              <w:rPr>
                <w:rFonts w:ascii="宋体" w:hAnsi="宋体" w:cs="宋体"/>
                <w:color w:val="auto"/>
                <w:sz w:val="28"/>
                <w:szCs w:val="28"/>
                <w:highlight w:val="none"/>
              </w:rPr>
            </w:pPr>
          </w:p>
        </w:tc>
        <w:tc>
          <w:tcPr>
            <w:tcW w:w="993" w:type="dxa"/>
          </w:tcPr>
          <w:p w14:paraId="633DF76D">
            <w:pPr>
              <w:pStyle w:val="68"/>
              <w:shd w:val="clear" w:fill="FFFFFF" w:themeFill="background1"/>
              <w:rPr>
                <w:rFonts w:ascii="宋体" w:hAnsi="宋体" w:cs="宋体"/>
                <w:color w:val="auto"/>
                <w:sz w:val="28"/>
                <w:szCs w:val="28"/>
                <w:highlight w:val="none"/>
              </w:rPr>
            </w:pPr>
          </w:p>
        </w:tc>
        <w:tc>
          <w:tcPr>
            <w:tcW w:w="850" w:type="dxa"/>
          </w:tcPr>
          <w:p w14:paraId="152893B8">
            <w:pPr>
              <w:pStyle w:val="68"/>
              <w:shd w:val="clear" w:fill="FFFFFF" w:themeFill="background1"/>
              <w:rPr>
                <w:rFonts w:ascii="宋体" w:hAnsi="宋体" w:cs="宋体"/>
                <w:color w:val="auto"/>
                <w:sz w:val="28"/>
                <w:szCs w:val="28"/>
                <w:highlight w:val="none"/>
              </w:rPr>
            </w:pPr>
          </w:p>
        </w:tc>
        <w:tc>
          <w:tcPr>
            <w:tcW w:w="709" w:type="dxa"/>
          </w:tcPr>
          <w:p w14:paraId="1FADA127">
            <w:pPr>
              <w:pStyle w:val="68"/>
              <w:shd w:val="clear" w:fill="FFFFFF" w:themeFill="background1"/>
              <w:rPr>
                <w:rFonts w:ascii="宋体" w:hAnsi="宋体" w:cs="宋体"/>
                <w:color w:val="auto"/>
                <w:sz w:val="28"/>
                <w:szCs w:val="28"/>
                <w:highlight w:val="none"/>
              </w:rPr>
            </w:pPr>
          </w:p>
        </w:tc>
      </w:tr>
      <w:tr w14:paraId="3A70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435540D">
            <w:pPr>
              <w:pStyle w:val="68"/>
              <w:shd w:val="clear" w:fill="FFFFFF" w:themeFill="background1"/>
              <w:rPr>
                <w:rFonts w:ascii="宋体" w:hAnsi="宋体" w:cs="宋体"/>
                <w:color w:val="auto"/>
                <w:sz w:val="28"/>
                <w:szCs w:val="28"/>
                <w:highlight w:val="none"/>
              </w:rPr>
            </w:pPr>
          </w:p>
        </w:tc>
        <w:tc>
          <w:tcPr>
            <w:tcW w:w="1522" w:type="dxa"/>
          </w:tcPr>
          <w:p w14:paraId="5B0ABD67">
            <w:pPr>
              <w:pStyle w:val="68"/>
              <w:shd w:val="clear" w:fill="FFFFFF" w:themeFill="background1"/>
              <w:rPr>
                <w:rFonts w:ascii="宋体" w:hAnsi="宋体" w:cs="宋体"/>
                <w:color w:val="auto"/>
                <w:sz w:val="28"/>
                <w:szCs w:val="28"/>
                <w:highlight w:val="none"/>
              </w:rPr>
            </w:pPr>
          </w:p>
        </w:tc>
        <w:tc>
          <w:tcPr>
            <w:tcW w:w="708" w:type="dxa"/>
          </w:tcPr>
          <w:p w14:paraId="1EDF7D6C">
            <w:pPr>
              <w:pStyle w:val="68"/>
              <w:shd w:val="clear" w:fill="FFFFFF" w:themeFill="background1"/>
              <w:rPr>
                <w:rFonts w:ascii="宋体" w:hAnsi="宋体" w:cs="宋体"/>
                <w:color w:val="auto"/>
                <w:sz w:val="28"/>
                <w:szCs w:val="28"/>
                <w:highlight w:val="none"/>
              </w:rPr>
            </w:pPr>
          </w:p>
        </w:tc>
        <w:tc>
          <w:tcPr>
            <w:tcW w:w="851" w:type="dxa"/>
          </w:tcPr>
          <w:p w14:paraId="448A880D">
            <w:pPr>
              <w:pStyle w:val="68"/>
              <w:shd w:val="clear" w:fill="FFFFFF" w:themeFill="background1"/>
              <w:rPr>
                <w:rFonts w:ascii="宋体" w:hAnsi="宋体" w:cs="宋体"/>
                <w:color w:val="auto"/>
                <w:sz w:val="28"/>
                <w:szCs w:val="28"/>
                <w:highlight w:val="none"/>
              </w:rPr>
            </w:pPr>
          </w:p>
        </w:tc>
        <w:tc>
          <w:tcPr>
            <w:tcW w:w="1559" w:type="dxa"/>
          </w:tcPr>
          <w:p w14:paraId="13C12F06">
            <w:pPr>
              <w:pStyle w:val="68"/>
              <w:shd w:val="clear" w:fill="FFFFFF" w:themeFill="background1"/>
              <w:rPr>
                <w:rFonts w:ascii="宋体" w:hAnsi="宋体" w:cs="宋体"/>
                <w:color w:val="auto"/>
                <w:sz w:val="28"/>
                <w:szCs w:val="28"/>
                <w:highlight w:val="none"/>
              </w:rPr>
            </w:pPr>
          </w:p>
        </w:tc>
        <w:tc>
          <w:tcPr>
            <w:tcW w:w="992" w:type="dxa"/>
          </w:tcPr>
          <w:p w14:paraId="73A0CAB8">
            <w:pPr>
              <w:pStyle w:val="68"/>
              <w:shd w:val="clear" w:fill="FFFFFF" w:themeFill="background1"/>
              <w:rPr>
                <w:rFonts w:ascii="宋体" w:hAnsi="宋体" w:cs="宋体"/>
                <w:color w:val="auto"/>
                <w:sz w:val="28"/>
                <w:szCs w:val="28"/>
                <w:highlight w:val="none"/>
              </w:rPr>
            </w:pPr>
          </w:p>
        </w:tc>
        <w:tc>
          <w:tcPr>
            <w:tcW w:w="993" w:type="dxa"/>
          </w:tcPr>
          <w:p w14:paraId="2BFF9AB6">
            <w:pPr>
              <w:pStyle w:val="68"/>
              <w:shd w:val="clear" w:fill="FFFFFF" w:themeFill="background1"/>
              <w:rPr>
                <w:rFonts w:ascii="宋体" w:hAnsi="宋体" w:cs="宋体"/>
                <w:color w:val="auto"/>
                <w:sz w:val="28"/>
                <w:szCs w:val="28"/>
                <w:highlight w:val="none"/>
              </w:rPr>
            </w:pPr>
          </w:p>
        </w:tc>
        <w:tc>
          <w:tcPr>
            <w:tcW w:w="850" w:type="dxa"/>
          </w:tcPr>
          <w:p w14:paraId="1772D829">
            <w:pPr>
              <w:pStyle w:val="68"/>
              <w:shd w:val="clear" w:fill="FFFFFF" w:themeFill="background1"/>
              <w:rPr>
                <w:rFonts w:ascii="宋体" w:hAnsi="宋体" w:cs="宋体"/>
                <w:color w:val="auto"/>
                <w:sz w:val="28"/>
                <w:szCs w:val="28"/>
                <w:highlight w:val="none"/>
              </w:rPr>
            </w:pPr>
          </w:p>
        </w:tc>
        <w:tc>
          <w:tcPr>
            <w:tcW w:w="709" w:type="dxa"/>
          </w:tcPr>
          <w:p w14:paraId="2506C681">
            <w:pPr>
              <w:pStyle w:val="68"/>
              <w:shd w:val="clear" w:fill="FFFFFF" w:themeFill="background1"/>
              <w:rPr>
                <w:rFonts w:ascii="宋体" w:hAnsi="宋体" w:cs="宋体"/>
                <w:color w:val="auto"/>
                <w:sz w:val="28"/>
                <w:szCs w:val="28"/>
                <w:highlight w:val="none"/>
              </w:rPr>
            </w:pPr>
          </w:p>
        </w:tc>
      </w:tr>
      <w:tr w14:paraId="071D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E41BF1F">
            <w:pPr>
              <w:pStyle w:val="68"/>
              <w:shd w:val="clear" w:fill="FFFFFF" w:themeFill="background1"/>
              <w:rPr>
                <w:rFonts w:ascii="宋体" w:hAnsi="宋体" w:cs="宋体"/>
                <w:color w:val="auto"/>
                <w:sz w:val="28"/>
                <w:szCs w:val="28"/>
                <w:highlight w:val="none"/>
              </w:rPr>
            </w:pPr>
          </w:p>
        </w:tc>
        <w:tc>
          <w:tcPr>
            <w:tcW w:w="1522" w:type="dxa"/>
          </w:tcPr>
          <w:p w14:paraId="097BBA7B">
            <w:pPr>
              <w:pStyle w:val="68"/>
              <w:shd w:val="clear" w:fill="FFFFFF" w:themeFill="background1"/>
              <w:rPr>
                <w:rFonts w:ascii="宋体" w:hAnsi="宋体" w:cs="宋体"/>
                <w:color w:val="auto"/>
                <w:sz w:val="28"/>
                <w:szCs w:val="28"/>
                <w:highlight w:val="none"/>
              </w:rPr>
            </w:pPr>
          </w:p>
        </w:tc>
        <w:tc>
          <w:tcPr>
            <w:tcW w:w="708" w:type="dxa"/>
          </w:tcPr>
          <w:p w14:paraId="637EC77A">
            <w:pPr>
              <w:pStyle w:val="68"/>
              <w:shd w:val="clear" w:fill="FFFFFF" w:themeFill="background1"/>
              <w:rPr>
                <w:rFonts w:ascii="宋体" w:hAnsi="宋体" w:cs="宋体"/>
                <w:color w:val="auto"/>
                <w:sz w:val="28"/>
                <w:szCs w:val="28"/>
                <w:highlight w:val="none"/>
              </w:rPr>
            </w:pPr>
          </w:p>
        </w:tc>
        <w:tc>
          <w:tcPr>
            <w:tcW w:w="851" w:type="dxa"/>
          </w:tcPr>
          <w:p w14:paraId="5D343132">
            <w:pPr>
              <w:pStyle w:val="68"/>
              <w:shd w:val="clear" w:fill="FFFFFF" w:themeFill="background1"/>
              <w:rPr>
                <w:rFonts w:ascii="宋体" w:hAnsi="宋体" w:cs="宋体"/>
                <w:color w:val="auto"/>
                <w:sz w:val="28"/>
                <w:szCs w:val="28"/>
                <w:highlight w:val="none"/>
              </w:rPr>
            </w:pPr>
          </w:p>
        </w:tc>
        <w:tc>
          <w:tcPr>
            <w:tcW w:w="1559" w:type="dxa"/>
          </w:tcPr>
          <w:p w14:paraId="71A19414">
            <w:pPr>
              <w:pStyle w:val="68"/>
              <w:shd w:val="clear" w:fill="FFFFFF" w:themeFill="background1"/>
              <w:rPr>
                <w:rFonts w:ascii="宋体" w:hAnsi="宋体" w:cs="宋体"/>
                <w:color w:val="auto"/>
                <w:sz w:val="28"/>
                <w:szCs w:val="28"/>
                <w:highlight w:val="none"/>
              </w:rPr>
            </w:pPr>
          </w:p>
        </w:tc>
        <w:tc>
          <w:tcPr>
            <w:tcW w:w="992" w:type="dxa"/>
          </w:tcPr>
          <w:p w14:paraId="179014E7">
            <w:pPr>
              <w:pStyle w:val="68"/>
              <w:shd w:val="clear" w:fill="FFFFFF" w:themeFill="background1"/>
              <w:rPr>
                <w:rFonts w:ascii="宋体" w:hAnsi="宋体" w:cs="宋体"/>
                <w:color w:val="auto"/>
                <w:sz w:val="28"/>
                <w:szCs w:val="28"/>
                <w:highlight w:val="none"/>
              </w:rPr>
            </w:pPr>
          </w:p>
        </w:tc>
        <w:tc>
          <w:tcPr>
            <w:tcW w:w="993" w:type="dxa"/>
          </w:tcPr>
          <w:p w14:paraId="4D6F4635">
            <w:pPr>
              <w:pStyle w:val="68"/>
              <w:shd w:val="clear" w:fill="FFFFFF" w:themeFill="background1"/>
              <w:rPr>
                <w:rFonts w:ascii="宋体" w:hAnsi="宋体" w:cs="宋体"/>
                <w:color w:val="auto"/>
                <w:sz w:val="28"/>
                <w:szCs w:val="28"/>
                <w:highlight w:val="none"/>
              </w:rPr>
            </w:pPr>
          </w:p>
        </w:tc>
        <w:tc>
          <w:tcPr>
            <w:tcW w:w="850" w:type="dxa"/>
          </w:tcPr>
          <w:p w14:paraId="151C3244">
            <w:pPr>
              <w:pStyle w:val="68"/>
              <w:shd w:val="clear" w:fill="FFFFFF" w:themeFill="background1"/>
              <w:rPr>
                <w:rFonts w:ascii="宋体" w:hAnsi="宋体" w:cs="宋体"/>
                <w:color w:val="auto"/>
                <w:sz w:val="28"/>
                <w:szCs w:val="28"/>
                <w:highlight w:val="none"/>
              </w:rPr>
            </w:pPr>
          </w:p>
        </w:tc>
        <w:tc>
          <w:tcPr>
            <w:tcW w:w="709" w:type="dxa"/>
          </w:tcPr>
          <w:p w14:paraId="6BC77F4D">
            <w:pPr>
              <w:pStyle w:val="68"/>
              <w:shd w:val="clear" w:fill="FFFFFF" w:themeFill="background1"/>
              <w:rPr>
                <w:rFonts w:ascii="宋体" w:hAnsi="宋体" w:cs="宋体"/>
                <w:color w:val="auto"/>
                <w:sz w:val="28"/>
                <w:szCs w:val="28"/>
                <w:highlight w:val="none"/>
              </w:rPr>
            </w:pPr>
          </w:p>
        </w:tc>
      </w:tr>
      <w:tr w14:paraId="6F42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45E21241">
            <w:pPr>
              <w:pStyle w:val="68"/>
              <w:shd w:val="clear" w:fill="FFFFFF" w:themeFill="background1"/>
              <w:rPr>
                <w:rFonts w:ascii="宋体" w:hAnsi="宋体" w:cs="宋体"/>
                <w:color w:val="auto"/>
                <w:sz w:val="28"/>
                <w:szCs w:val="28"/>
                <w:highlight w:val="none"/>
              </w:rPr>
            </w:pPr>
          </w:p>
        </w:tc>
        <w:tc>
          <w:tcPr>
            <w:tcW w:w="1522" w:type="dxa"/>
          </w:tcPr>
          <w:p w14:paraId="6472FDB0">
            <w:pPr>
              <w:pStyle w:val="68"/>
              <w:shd w:val="clear" w:fill="FFFFFF" w:themeFill="background1"/>
              <w:rPr>
                <w:rFonts w:ascii="宋体" w:hAnsi="宋体" w:cs="宋体"/>
                <w:color w:val="auto"/>
                <w:sz w:val="28"/>
                <w:szCs w:val="28"/>
                <w:highlight w:val="none"/>
              </w:rPr>
            </w:pPr>
          </w:p>
        </w:tc>
        <w:tc>
          <w:tcPr>
            <w:tcW w:w="708" w:type="dxa"/>
          </w:tcPr>
          <w:p w14:paraId="518D011D">
            <w:pPr>
              <w:pStyle w:val="68"/>
              <w:shd w:val="clear" w:fill="FFFFFF" w:themeFill="background1"/>
              <w:rPr>
                <w:rFonts w:ascii="宋体" w:hAnsi="宋体" w:cs="宋体"/>
                <w:color w:val="auto"/>
                <w:sz w:val="28"/>
                <w:szCs w:val="28"/>
                <w:highlight w:val="none"/>
              </w:rPr>
            </w:pPr>
          </w:p>
        </w:tc>
        <w:tc>
          <w:tcPr>
            <w:tcW w:w="851" w:type="dxa"/>
          </w:tcPr>
          <w:p w14:paraId="3E7D4ADE">
            <w:pPr>
              <w:pStyle w:val="68"/>
              <w:shd w:val="clear" w:fill="FFFFFF" w:themeFill="background1"/>
              <w:rPr>
                <w:rFonts w:ascii="宋体" w:hAnsi="宋体" w:cs="宋体"/>
                <w:color w:val="auto"/>
                <w:sz w:val="28"/>
                <w:szCs w:val="28"/>
                <w:highlight w:val="none"/>
              </w:rPr>
            </w:pPr>
          </w:p>
        </w:tc>
        <w:tc>
          <w:tcPr>
            <w:tcW w:w="1559" w:type="dxa"/>
          </w:tcPr>
          <w:p w14:paraId="138D36A1">
            <w:pPr>
              <w:pStyle w:val="68"/>
              <w:shd w:val="clear" w:fill="FFFFFF" w:themeFill="background1"/>
              <w:rPr>
                <w:rFonts w:ascii="宋体" w:hAnsi="宋体" w:cs="宋体"/>
                <w:color w:val="auto"/>
                <w:sz w:val="28"/>
                <w:szCs w:val="28"/>
                <w:highlight w:val="none"/>
              </w:rPr>
            </w:pPr>
          </w:p>
        </w:tc>
        <w:tc>
          <w:tcPr>
            <w:tcW w:w="992" w:type="dxa"/>
          </w:tcPr>
          <w:p w14:paraId="44E83FC8">
            <w:pPr>
              <w:pStyle w:val="68"/>
              <w:shd w:val="clear" w:fill="FFFFFF" w:themeFill="background1"/>
              <w:rPr>
                <w:rFonts w:ascii="宋体" w:hAnsi="宋体" w:cs="宋体"/>
                <w:color w:val="auto"/>
                <w:sz w:val="28"/>
                <w:szCs w:val="28"/>
                <w:highlight w:val="none"/>
              </w:rPr>
            </w:pPr>
          </w:p>
        </w:tc>
        <w:tc>
          <w:tcPr>
            <w:tcW w:w="993" w:type="dxa"/>
          </w:tcPr>
          <w:p w14:paraId="05905EE3">
            <w:pPr>
              <w:pStyle w:val="68"/>
              <w:shd w:val="clear" w:fill="FFFFFF" w:themeFill="background1"/>
              <w:rPr>
                <w:rFonts w:ascii="宋体" w:hAnsi="宋体" w:cs="宋体"/>
                <w:color w:val="auto"/>
                <w:sz w:val="28"/>
                <w:szCs w:val="28"/>
                <w:highlight w:val="none"/>
              </w:rPr>
            </w:pPr>
          </w:p>
        </w:tc>
        <w:tc>
          <w:tcPr>
            <w:tcW w:w="850" w:type="dxa"/>
          </w:tcPr>
          <w:p w14:paraId="1046F5FD">
            <w:pPr>
              <w:pStyle w:val="68"/>
              <w:shd w:val="clear" w:fill="FFFFFF" w:themeFill="background1"/>
              <w:rPr>
                <w:rFonts w:ascii="宋体" w:hAnsi="宋体" w:cs="宋体"/>
                <w:color w:val="auto"/>
                <w:sz w:val="28"/>
                <w:szCs w:val="28"/>
                <w:highlight w:val="none"/>
              </w:rPr>
            </w:pPr>
          </w:p>
        </w:tc>
        <w:tc>
          <w:tcPr>
            <w:tcW w:w="709" w:type="dxa"/>
          </w:tcPr>
          <w:p w14:paraId="6D68CCA2">
            <w:pPr>
              <w:pStyle w:val="68"/>
              <w:shd w:val="clear" w:fill="FFFFFF" w:themeFill="background1"/>
              <w:rPr>
                <w:rFonts w:ascii="宋体" w:hAnsi="宋体" w:cs="宋体"/>
                <w:color w:val="auto"/>
                <w:sz w:val="28"/>
                <w:szCs w:val="28"/>
                <w:highlight w:val="none"/>
              </w:rPr>
            </w:pPr>
          </w:p>
        </w:tc>
      </w:tr>
      <w:tr w14:paraId="7DC0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FC0FB80">
            <w:pPr>
              <w:pStyle w:val="68"/>
              <w:shd w:val="clear" w:fill="FFFFFF" w:themeFill="background1"/>
              <w:rPr>
                <w:rFonts w:ascii="宋体" w:hAnsi="宋体" w:cs="宋体"/>
                <w:color w:val="auto"/>
                <w:sz w:val="28"/>
                <w:szCs w:val="28"/>
                <w:highlight w:val="none"/>
              </w:rPr>
            </w:pPr>
          </w:p>
        </w:tc>
        <w:tc>
          <w:tcPr>
            <w:tcW w:w="1522" w:type="dxa"/>
          </w:tcPr>
          <w:p w14:paraId="61964E4D">
            <w:pPr>
              <w:pStyle w:val="68"/>
              <w:shd w:val="clear" w:fill="FFFFFF" w:themeFill="background1"/>
              <w:rPr>
                <w:rFonts w:ascii="宋体" w:hAnsi="宋体" w:cs="宋体"/>
                <w:color w:val="auto"/>
                <w:sz w:val="28"/>
                <w:szCs w:val="28"/>
                <w:highlight w:val="none"/>
              </w:rPr>
            </w:pPr>
          </w:p>
        </w:tc>
        <w:tc>
          <w:tcPr>
            <w:tcW w:w="708" w:type="dxa"/>
          </w:tcPr>
          <w:p w14:paraId="3192AB12">
            <w:pPr>
              <w:pStyle w:val="68"/>
              <w:shd w:val="clear" w:fill="FFFFFF" w:themeFill="background1"/>
              <w:rPr>
                <w:rFonts w:ascii="宋体" w:hAnsi="宋体" w:cs="宋体"/>
                <w:color w:val="auto"/>
                <w:sz w:val="28"/>
                <w:szCs w:val="28"/>
                <w:highlight w:val="none"/>
              </w:rPr>
            </w:pPr>
          </w:p>
        </w:tc>
        <w:tc>
          <w:tcPr>
            <w:tcW w:w="851" w:type="dxa"/>
          </w:tcPr>
          <w:p w14:paraId="056B3FB1">
            <w:pPr>
              <w:pStyle w:val="68"/>
              <w:shd w:val="clear" w:fill="FFFFFF" w:themeFill="background1"/>
              <w:rPr>
                <w:rFonts w:ascii="宋体" w:hAnsi="宋体" w:cs="宋体"/>
                <w:color w:val="auto"/>
                <w:sz w:val="28"/>
                <w:szCs w:val="28"/>
                <w:highlight w:val="none"/>
              </w:rPr>
            </w:pPr>
          </w:p>
        </w:tc>
        <w:tc>
          <w:tcPr>
            <w:tcW w:w="1559" w:type="dxa"/>
          </w:tcPr>
          <w:p w14:paraId="1B54B348">
            <w:pPr>
              <w:pStyle w:val="68"/>
              <w:shd w:val="clear" w:fill="FFFFFF" w:themeFill="background1"/>
              <w:rPr>
                <w:rFonts w:ascii="宋体" w:hAnsi="宋体" w:cs="宋体"/>
                <w:color w:val="auto"/>
                <w:sz w:val="28"/>
                <w:szCs w:val="28"/>
                <w:highlight w:val="none"/>
              </w:rPr>
            </w:pPr>
          </w:p>
        </w:tc>
        <w:tc>
          <w:tcPr>
            <w:tcW w:w="992" w:type="dxa"/>
          </w:tcPr>
          <w:p w14:paraId="423660D9">
            <w:pPr>
              <w:pStyle w:val="68"/>
              <w:shd w:val="clear" w:fill="FFFFFF" w:themeFill="background1"/>
              <w:rPr>
                <w:rFonts w:ascii="宋体" w:hAnsi="宋体" w:cs="宋体"/>
                <w:color w:val="auto"/>
                <w:sz w:val="28"/>
                <w:szCs w:val="28"/>
                <w:highlight w:val="none"/>
              </w:rPr>
            </w:pPr>
          </w:p>
        </w:tc>
        <w:tc>
          <w:tcPr>
            <w:tcW w:w="993" w:type="dxa"/>
          </w:tcPr>
          <w:p w14:paraId="410D4655">
            <w:pPr>
              <w:pStyle w:val="68"/>
              <w:shd w:val="clear" w:fill="FFFFFF" w:themeFill="background1"/>
              <w:rPr>
                <w:rFonts w:ascii="宋体" w:hAnsi="宋体" w:cs="宋体"/>
                <w:color w:val="auto"/>
                <w:sz w:val="28"/>
                <w:szCs w:val="28"/>
                <w:highlight w:val="none"/>
              </w:rPr>
            </w:pPr>
          </w:p>
        </w:tc>
        <w:tc>
          <w:tcPr>
            <w:tcW w:w="850" w:type="dxa"/>
          </w:tcPr>
          <w:p w14:paraId="179EF418">
            <w:pPr>
              <w:pStyle w:val="68"/>
              <w:shd w:val="clear" w:fill="FFFFFF" w:themeFill="background1"/>
              <w:rPr>
                <w:rFonts w:ascii="宋体" w:hAnsi="宋体" w:cs="宋体"/>
                <w:color w:val="auto"/>
                <w:sz w:val="28"/>
                <w:szCs w:val="28"/>
                <w:highlight w:val="none"/>
              </w:rPr>
            </w:pPr>
          </w:p>
        </w:tc>
        <w:tc>
          <w:tcPr>
            <w:tcW w:w="709" w:type="dxa"/>
          </w:tcPr>
          <w:p w14:paraId="4C2628FA">
            <w:pPr>
              <w:pStyle w:val="68"/>
              <w:shd w:val="clear" w:fill="FFFFFF" w:themeFill="background1"/>
              <w:rPr>
                <w:rFonts w:ascii="宋体" w:hAnsi="宋体" w:cs="宋体"/>
                <w:color w:val="auto"/>
                <w:sz w:val="28"/>
                <w:szCs w:val="28"/>
                <w:highlight w:val="none"/>
              </w:rPr>
            </w:pPr>
          </w:p>
        </w:tc>
      </w:tr>
      <w:tr w14:paraId="38C6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C0C8968">
            <w:pPr>
              <w:pStyle w:val="68"/>
              <w:shd w:val="clear" w:fill="FFFFFF" w:themeFill="background1"/>
              <w:rPr>
                <w:rFonts w:ascii="宋体" w:hAnsi="宋体" w:cs="宋体"/>
                <w:color w:val="auto"/>
                <w:sz w:val="28"/>
                <w:szCs w:val="28"/>
                <w:highlight w:val="none"/>
              </w:rPr>
            </w:pPr>
          </w:p>
        </w:tc>
        <w:tc>
          <w:tcPr>
            <w:tcW w:w="1522" w:type="dxa"/>
          </w:tcPr>
          <w:p w14:paraId="674C1730">
            <w:pPr>
              <w:pStyle w:val="68"/>
              <w:shd w:val="clear" w:fill="FFFFFF" w:themeFill="background1"/>
              <w:rPr>
                <w:rFonts w:ascii="宋体" w:hAnsi="宋体" w:cs="宋体"/>
                <w:color w:val="auto"/>
                <w:sz w:val="28"/>
                <w:szCs w:val="28"/>
                <w:highlight w:val="none"/>
              </w:rPr>
            </w:pPr>
          </w:p>
        </w:tc>
        <w:tc>
          <w:tcPr>
            <w:tcW w:w="708" w:type="dxa"/>
          </w:tcPr>
          <w:p w14:paraId="1A5EE646">
            <w:pPr>
              <w:pStyle w:val="68"/>
              <w:shd w:val="clear" w:fill="FFFFFF" w:themeFill="background1"/>
              <w:rPr>
                <w:rFonts w:ascii="宋体" w:hAnsi="宋体" w:cs="宋体"/>
                <w:color w:val="auto"/>
                <w:sz w:val="28"/>
                <w:szCs w:val="28"/>
                <w:highlight w:val="none"/>
              </w:rPr>
            </w:pPr>
          </w:p>
        </w:tc>
        <w:tc>
          <w:tcPr>
            <w:tcW w:w="851" w:type="dxa"/>
          </w:tcPr>
          <w:p w14:paraId="1AE644F5">
            <w:pPr>
              <w:pStyle w:val="68"/>
              <w:shd w:val="clear" w:fill="FFFFFF" w:themeFill="background1"/>
              <w:rPr>
                <w:rFonts w:ascii="宋体" w:hAnsi="宋体" w:cs="宋体"/>
                <w:color w:val="auto"/>
                <w:sz w:val="28"/>
                <w:szCs w:val="28"/>
                <w:highlight w:val="none"/>
              </w:rPr>
            </w:pPr>
          </w:p>
        </w:tc>
        <w:tc>
          <w:tcPr>
            <w:tcW w:w="1559" w:type="dxa"/>
          </w:tcPr>
          <w:p w14:paraId="0A0D742E">
            <w:pPr>
              <w:pStyle w:val="68"/>
              <w:shd w:val="clear" w:fill="FFFFFF" w:themeFill="background1"/>
              <w:rPr>
                <w:rFonts w:ascii="宋体" w:hAnsi="宋体" w:cs="宋体"/>
                <w:color w:val="auto"/>
                <w:sz w:val="28"/>
                <w:szCs w:val="28"/>
                <w:highlight w:val="none"/>
              </w:rPr>
            </w:pPr>
          </w:p>
        </w:tc>
        <w:tc>
          <w:tcPr>
            <w:tcW w:w="992" w:type="dxa"/>
          </w:tcPr>
          <w:p w14:paraId="2F609E46">
            <w:pPr>
              <w:pStyle w:val="68"/>
              <w:shd w:val="clear" w:fill="FFFFFF" w:themeFill="background1"/>
              <w:rPr>
                <w:rFonts w:ascii="宋体" w:hAnsi="宋体" w:cs="宋体"/>
                <w:color w:val="auto"/>
                <w:sz w:val="28"/>
                <w:szCs w:val="28"/>
                <w:highlight w:val="none"/>
              </w:rPr>
            </w:pPr>
          </w:p>
        </w:tc>
        <w:tc>
          <w:tcPr>
            <w:tcW w:w="993" w:type="dxa"/>
          </w:tcPr>
          <w:p w14:paraId="35734812">
            <w:pPr>
              <w:pStyle w:val="68"/>
              <w:shd w:val="clear" w:fill="FFFFFF" w:themeFill="background1"/>
              <w:rPr>
                <w:rFonts w:ascii="宋体" w:hAnsi="宋体" w:cs="宋体"/>
                <w:color w:val="auto"/>
                <w:sz w:val="28"/>
                <w:szCs w:val="28"/>
                <w:highlight w:val="none"/>
              </w:rPr>
            </w:pPr>
          </w:p>
        </w:tc>
        <w:tc>
          <w:tcPr>
            <w:tcW w:w="850" w:type="dxa"/>
          </w:tcPr>
          <w:p w14:paraId="79D170D9">
            <w:pPr>
              <w:pStyle w:val="68"/>
              <w:shd w:val="clear" w:fill="FFFFFF" w:themeFill="background1"/>
              <w:rPr>
                <w:rFonts w:ascii="宋体" w:hAnsi="宋体" w:cs="宋体"/>
                <w:color w:val="auto"/>
                <w:sz w:val="28"/>
                <w:szCs w:val="28"/>
                <w:highlight w:val="none"/>
              </w:rPr>
            </w:pPr>
          </w:p>
        </w:tc>
        <w:tc>
          <w:tcPr>
            <w:tcW w:w="709" w:type="dxa"/>
          </w:tcPr>
          <w:p w14:paraId="2EE5795F">
            <w:pPr>
              <w:pStyle w:val="68"/>
              <w:shd w:val="clear" w:fill="FFFFFF" w:themeFill="background1"/>
              <w:rPr>
                <w:rFonts w:ascii="宋体" w:hAnsi="宋体" w:cs="宋体"/>
                <w:color w:val="auto"/>
                <w:sz w:val="28"/>
                <w:szCs w:val="28"/>
                <w:highlight w:val="none"/>
              </w:rPr>
            </w:pPr>
          </w:p>
        </w:tc>
      </w:tr>
      <w:tr w14:paraId="681E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BAA3BD7">
            <w:pPr>
              <w:pStyle w:val="68"/>
              <w:shd w:val="clear" w:fill="FFFFFF" w:themeFill="background1"/>
              <w:rPr>
                <w:rFonts w:ascii="宋体" w:hAnsi="宋体" w:cs="宋体"/>
                <w:color w:val="auto"/>
                <w:sz w:val="28"/>
                <w:szCs w:val="28"/>
                <w:highlight w:val="none"/>
              </w:rPr>
            </w:pPr>
          </w:p>
        </w:tc>
        <w:tc>
          <w:tcPr>
            <w:tcW w:w="1522" w:type="dxa"/>
          </w:tcPr>
          <w:p w14:paraId="0EBA9D6B">
            <w:pPr>
              <w:pStyle w:val="68"/>
              <w:shd w:val="clear" w:fill="FFFFFF" w:themeFill="background1"/>
              <w:rPr>
                <w:rFonts w:ascii="宋体" w:hAnsi="宋体" w:cs="宋体"/>
                <w:color w:val="auto"/>
                <w:sz w:val="28"/>
                <w:szCs w:val="28"/>
                <w:highlight w:val="none"/>
              </w:rPr>
            </w:pPr>
          </w:p>
        </w:tc>
        <w:tc>
          <w:tcPr>
            <w:tcW w:w="708" w:type="dxa"/>
          </w:tcPr>
          <w:p w14:paraId="700CC6B5">
            <w:pPr>
              <w:pStyle w:val="68"/>
              <w:shd w:val="clear" w:fill="FFFFFF" w:themeFill="background1"/>
              <w:rPr>
                <w:rFonts w:ascii="宋体" w:hAnsi="宋体" w:cs="宋体"/>
                <w:color w:val="auto"/>
                <w:sz w:val="28"/>
                <w:szCs w:val="28"/>
                <w:highlight w:val="none"/>
              </w:rPr>
            </w:pPr>
          </w:p>
        </w:tc>
        <w:tc>
          <w:tcPr>
            <w:tcW w:w="851" w:type="dxa"/>
          </w:tcPr>
          <w:p w14:paraId="6B9AFB79">
            <w:pPr>
              <w:pStyle w:val="68"/>
              <w:shd w:val="clear" w:fill="FFFFFF" w:themeFill="background1"/>
              <w:rPr>
                <w:rFonts w:ascii="宋体" w:hAnsi="宋体" w:cs="宋体"/>
                <w:color w:val="auto"/>
                <w:sz w:val="28"/>
                <w:szCs w:val="28"/>
                <w:highlight w:val="none"/>
              </w:rPr>
            </w:pPr>
          </w:p>
        </w:tc>
        <w:tc>
          <w:tcPr>
            <w:tcW w:w="1559" w:type="dxa"/>
          </w:tcPr>
          <w:p w14:paraId="3481654F">
            <w:pPr>
              <w:pStyle w:val="68"/>
              <w:shd w:val="clear" w:fill="FFFFFF" w:themeFill="background1"/>
              <w:rPr>
                <w:rFonts w:ascii="宋体" w:hAnsi="宋体" w:cs="宋体"/>
                <w:color w:val="auto"/>
                <w:sz w:val="28"/>
                <w:szCs w:val="28"/>
                <w:highlight w:val="none"/>
              </w:rPr>
            </w:pPr>
          </w:p>
        </w:tc>
        <w:tc>
          <w:tcPr>
            <w:tcW w:w="992" w:type="dxa"/>
          </w:tcPr>
          <w:p w14:paraId="62E1B81B">
            <w:pPr>
              <w:pStyle w:val="68"/>
              <w:shd w:val="clear" w:fill="FFFFFF" w:themeFill="background1"/>
              <w:rPr>
                <w:rFonts w:ascii="宋体" w:hAnsi="宋体" w:cs="宋体"/>
                <w:color w:val="auto"/>
                <w:sz w:val="28"/>
                <w:szCs w:val="28"/>
                <w:highlight w:val="none"/>
              </w:rPr>
            </w:pPr>
          </w:p>
        </w:tc>
        <w:tc>
          <w:tcPr>
            <w:tcW w:w="993" w:type="dxa"/>
          </w:tcPr>
          <w:p w14:paraId="29D0F54C">
            <w:pPr>
              <w:pStyle w:val="68"/>
              <w:shd w:val="clear" w:fill="FFFFFF" w:themeFill="background1"/>
              <w:rPr>
                <w:rFonts w:ascii="宋体" w:hAnsi="宋体" w:cs="宋体"/>
                <w:color w:val="auto"/>
                <w:sz w:val="28"/>
                <w:szCs w:val="28"/>
                <w:highlight w:val="none"/>
              </w:rPr>
            </w:pPr>
          </w:p>
        </w:tc>
        <w:tc>
          <w:tcPr>
            <w:tcW w:w="850" w:type="dxa"/>
          </w:tcPr>
          <w:p w14:paraId="63F7CE6E">
            <w:pPr>
              <w:pStyle w:val="68"/>
              <w:shd w:val="clear" w:fill="FFFFFF" w:themeFill="background1"/>
              <w:rPr>
                <w:rFonts w:ascii="宋体" w:hAnsi="宋体" w:cs="宋体"/>
                <w:color w:val="auto"/>
                <w:sz w:val="28"/>
                <w:szCs w:val="28"/>
                <w:highlight w:val="none"/>
              </w:rPr>
            </w:pPr>
          </w:p>
        </w:tc>
        <w:tc>
          <w:tcPr>
            <w:tcW w:w="709" w:type="dxa"/>
          </w:tcPr>
          <w:p w14:paraId="1E760903">
            <w:pPr>
              <w:pStyle w:val="68"/>
              <w:shd w:val="clear" w:fill="FFFFFF" w:themeFill="background1"/>
              <w:rPr>
                <w:rFonts w:ascii="宋体" w:hAnsi="宋体" w:cs="宋体"/>
                <w:color w:val="auto"/>
                <w:sz w:val="28"/>
                <w:szCs w:val="28"/>
                <w:highlight w:val="none"/>
              </w:rPr>
            </w:pPr>
          </w:p>
        </w:tc>
      </w:tr>
      <w:tr w14:paraId="52EC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D69BC06">
            <w:pPr>
              <w:pStyle w:val="68"/>
              <w:shd w:val="clear" w:fill="FFFFFF" w:themeFill="background1"/>
              <w:rPr>
                <w:rFonts w:ascii="宋体" w:hAnsi="宋体" w:cs="宋体"/>
                <w:color w:val="auto"/>
                <w:sz w:val="28"/>
                <w:szCs w:val="28"/>
                <w:highlight w:val="none"/>
              </w:rPr>
            </w:pPr>
          </w:p>
        </w:tc>
        <w:tc>
          <w:tcPr>
            <w:tcW w:w="1522" w:type="dxa"/>
          </w:tcPr>
          <w:p w14:paraId="4D2D6F95">
            <w:pPr>
              <w:pStyle w:val="68"/>
              <w:shd w:val="clear" w:fill="FFFFFF" w:themeFill="background1"/>
              <w:rPr>
                <w:rFonts w:ascii="宋体" w:hAnsi="宋体" w:cs="宋体"/>
                <w:color w:val="auto"/>
                <w:sz w:val="28"/>
                <w:szCs w:val="28"/>
                <w:highlight w:val="none"/>
              </w:rPr>
            </w:pPr>
          </w:p>
        </w:tc>
        <w:tc>
          <w:tcPr>
            <w:tcW w:w="708" w:type="dxa"/>
          </w:tcPr>
          <w:p w14:paraId="24F93255">
            <w:pPr>
              <w:pStyle w:val="68"/>
              <w:shd w:val="clear" w:fill="FFFFFF" w:themeFill="background1"/>
              <w:rPr>
                <w:rFonts w:ascii="宋体" w:hAnsi="宋体" w:cs="宋体"/>
                <w:color w:val="auto"/>
                <w:sz w:val="28"/>
                <w:szCs w:val="28"/>
                <w:highlight w:val="none"/>
              </w:rPr>
            </w:pPr>
          </w:p>
        </w:tc>
        <w:tc>
          <w:tcPr>
            <w:tcW w:w="851" w:type="dxa"/>
          </w:tcPr>
          <w:p w14:paraId="3C47A52D">
            <w:pPr>
              <w:pStyle w:val="68"/>
              <w:shd w:val="clear" w:fill="FFFFFF" w:themeFill="background1"/>
              <w:rPr>
                <w:rFonts w:ascii="宋体" w:hAnsi="宋体" w:cs="宋体"/>
                <w:color w:val="auto"/>
                <w:sz w:val="28"/>
                <w:szCs w:val="28"/>
                <w:highlight w:val="none"/>
              </w:rPr>
            </w:pPr>
          </w:p>
        </w:tc>
        <w:tc>
          <w:tcPr>
            <w:tcW w:w="1559" w:type="dxa"/>
          </w:tcPr>
          <w:p w14:paraId="70503224">
            <w:pPr>
              <w:pStyle w:val="68"/>
              <w:shd w:val="clear" w:fill="FFFFFF" w:themeFill="background1"/>
              <w:rPr>
                <w:rFonts w:ascii="宋体" w:hAnsi="宋体" w:cs="宋体"/>
                <w:color w:val="auto"/>
                <w:sz w:val="28"/>
                <w:szCs w:val="28"/>
                <w:highlight w:val="none"/>
              </w:rPr>
            </w:pPr>
          </w:p>
        </w:tc>
        <w:tc>
          <w:tcPr>
            <w:tcW w:w="992" w:type="dxa"/>
          </w:tcPr>
          <w:p w14:paraId="170FE377">
            <w:pPr>
              <w:pStyle w:val="68"/>
              <w:shd w:val="clear" w:fill="FFFFFF" w:themeFill="background1"/>
              <w:rPr>
                <w:rFonts w:ascii="宋体" w:hAnsi="宋体" w:cs="宋体"/>
                <w:color w:val="auto"/>
                <w:sz w:val="28"/>
                <w:szCs w:val="28"/>
                <w:highlight w:val="none"/>
              </w:rPr>
            </w:pPr>
          </w:p>
        </w:tc>
        <w:tc>
          <w:tcPr>
            <w:tcW w:w="993" w:type="dxa"/>
          </w:tcPr>
          <w:p w14:paraId="2147992A">
            <w:pPr>
              <w:pStyle w:val="68"/>
              <w:shd w:val="clear" w:fill="FFFFFF" w:themeFill="background1"/>
              <w:rPr>
                <w:rFonts w:ascii="宋体" w:hAnsi="宋体" w:cs="宋体"/>
                <w:color w:val="auto"/>
                <w:sz w:val="28"/>
                <w:szCs w:val="28"/>
                <w:highlight w:val="none"/>
              </w:rPr>
            </w:pPr>
          </w:p>
        </w:tc>
        <w:tc>
          <w:tcPr>
            <w:tcW w:w="850" w:type="dxa"/>
          </w:tcPr>
          <w:p w14:paraId="468CA316">
            <w:pPr>
              <w:pStyle w:val="68"/>
              <w:shd w:val="clear" w:fill="FFFFFF" w:themeFill="background1"/>
              <w:rPr>
                <w:rFonts w:ascii="宋体" w:hAnsi="宋体" w:cs="宋体"/>
                <w:color w:val="auto"/>
                <w:sz w:val="28"/>
                <w:szCs w:val="28"/>
                <w:highlight w:val="none"/>
              </w:rPr>
            </w:pPr>
          </w:p>
        </w:tc>
        <w:tc>
          <w:tcPr>
            <w:tcW w:w="709" w:type="dxa"/>
          </w:tcPr>
          <w:p w14:paraId="6FB13327">
            <w:pPr>
              <w:pStyle w:val="68"/>
              <w:shd w:val="clear" w:fill="FFFFFF" w:themeFill="background1"/>
              <w:rPr>
                <w:rFonts w:ascii="宋体" w:hAnsi="宋体" w:cs="宋体"/>
                <w:color w:val="auto"/>
                <w:sz w:val="28"/>
                <w:szCs w:val="28"/>
                <w:highlight w:val="none"/>
              </w:rPr>
            </w:pPr>
          </w:p>
        </w:tc>
      </w:tr>
    </w:tbl>
    <w:p w14:paraId="190E7D72">
      <w:pPr>
        <w:pStyle w:val="68"/>
        <w:shd w:val="clear" w:fill="FFFFFF" w:themeFill="background1"/>
        <w:rPr>
          <w:rFonts w:ascii="宋体" w:hAnsi="宋体" w:cs="宋体"/>
          <w:color w:val="auto"/>
          <w:sz w:val="28"/>
          <w:szCs w:val="28"/>
          <w:highlight w:val="none"/>
        </w:rPr>
      </w:pPr>
    </w:p>
    <w:p w14:paraId="1DD5D3BC">
      <w:pPr>
        <w:pStyle w:val="68"/>
        <w:shd w:val="clear" w:fill="FFFFFF" w:themeFill="background1"/>
        <w:rPr>
          <w:rFonts w:ascii="宋体" w:hAnsi="宋体" w:cs="宋体"/>
          <w:color w:val="auto"/>
          <w:sz w:val="28"/>
          <w:szCs w:val="28"/>
          <w:highlight w:val="none"/>
        </w:rPr>
      </w:pPr>
    </w:p>
    <w:p w14:paraId="67A98007">
      <w:pPr>
        <w:pStyle w:val="68"/>
        <w:shd w:val="clear" w:fill="FFFFFF" w:themeFill="background1"/>
        <w:rPr>
          <w:rFonts w:ascii="宋体" w:hAnsi="宋体" w:cs="宋体"/>
          <w:color w:val="auto"/>
          <w:sz w:val="28"/>
          <w:szCs w:val="28"/>
          <w:highlight w:val="none"/>
        </w:rPr>
      </w:pPr>
    </w:p>
    <w:p w14:paraId="557966D5">
      <w:pPr>
        <w:pStyle w:val="68"/>
        <w:shd w:val="clear" w:fill="FFFFFF" w:themeFill="background1"/>
        <w:rPr>
          <w:rFonts w:ascii="宋体" w:hAnsi="宋体" w:cs="宋体"/>
          <w:color w:val="auto"/>
          <w:sz w:val="28"/>
          <w:szCs w:val="28"/>
          <w:highlight w:val="none"/>
        </w:rPr>
      </w:pPr>
    </w:p>
    <w:p w14:paraId="7F546B59">
      <w:pPr>
        <w:pStyle w:val="78"/>
        <w:shd w:val="clear" w:fill="FFFFFF" w:themeFill="background1"/>
        <w:spacing w:line="360" w:lineRule="auto"/>
        <w:rPr>
          <w:rFonts w:ascii="宋体" w:hAnsi="宋体"/>
          <w:color w:val="auto"/>
          <w:sz w:val="24"/>
          <w:szCs w:val="24"/>
          <w:highlight w:val="none"/>
        </w:rPr>
      </w:pPr>
      <w:bookmarkStart w:id="1721" w:name="_Toc452498667"/>
      <w:bookmarkEnd w:id="1721"/>
      <w:bookmarkStart w:id="1722" w:name="_Toc16722"/>
      <w:bookmarkEnd w:id="1722"/>
      <w:bookmarkStart w:id="1723" w:name="_Toc43476017"/>
      <w:bookmarkEnd w:id="1723"/>
      <w:bookmarkStart w:id="1724" w:name="_Toc14336"/>
      <w:bookmarkEnd w:id="1724"/>
      <w:bookmarkStart w:id="1725" w:name="_Toc452498897"/>
      <w:bookmarkEnd w:id="1725"/>
      <w:bookmarkStart w:id="1726" w:name="_Toc453057198"/>
      <w:bookmarkEnd w:id="1726"/>
      <w:bookmarkStart w:id="1727" w:name="_Toc453056970"/>
      <w:bookmarkEnd w:id="1727"/>
      <w:bookmarkStart w:id="1728" w:name="_Toc451261388"/>
      <w:bookmarkEnd w:id="1728"/>
      <w:r>
        <w:rPr>
          <w:rFonts w:hint="eastAsia" w:ascii="宋体" w:hAnsi="宋体" w:cs="宋体"/>
          <w:color w:val="auto"/>
          <w:sz w:val="24"/>
          <w:szCs w:val="24"/>
          <w:highlight w:val="none"/>
        </w:rPr>
        <w:br w:type="page"/>
      </w:r>
      <w:r>
        <w:rPr>
          <w:rFonts w:hint="eastAsia" w:ascii="宋体" w:hAnsi="宋体"/>
          <w:color w:val="auto"/>
          <w:sz w:val="24"/>
          <w:szCs w:val="24"/>
          <w:highlight w:val="none"/>
        </w:rPr>
        <w:t>附件十一  承包人违约金一览表</w:t>
      </w:r>
    </w:p>
    <w:p w14:paraId="5D5D3DE1">
      <w:pPr>
        <w:pStyle w:val="68"/>
        <w:shd w:val="clear" w:fill="FFFFFF" w:themeFill="background1"/>
        <w:rPr>
          <w:rFonts w:ascii="宋体" w:hAnsi="宋体" w:cs="宋体"/>
          <w:b/>
          <w:color w:val="auto"/>
          <w:sz w:val="28"/>
          <w:szCs w:val="28"/>
          <w:highlight w:val="none"/>
        </w:rPr>
      </w:pPr>
      <w:r>
        <w:rPr>
          <w:rFonts w:hint="eastAsia" w:ascii="宋体" w:hAnsi="宋体" w:cs="宋体"/>
          <w:b/>
          <w:color w:val="auto"/>
          <w:sz w:val="28"/>
          <w:szCs w:val="28"/>
          <w:highlight w:val="none"/>
        </w:rPr>
        <w:t>22.1.2附表   承包人违约金一览表</w:t>
      </w:r>
    </w:p>
    <w:tbl>
      <w:tblPr>
        <w:tblStyle w:val="43"/>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4"/>
        <w:gridCol w:w="3534"/>
        <w:gridCol w:w="2350"/>
        <w:gridCol w:w="1914"/>
      </w:tblGrid>
      <w:tr w14:paraId="3E2C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2AFC6FB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14" w:type="dxa"/>
            <w:vAlign w:val="center"/>
          </w:tcPr>
          <w:p w14:paraId="26723F5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合同依据</w:t>
            </w:r>
          </w:p>
        </w:tc>
        <w:tc>
          <w:tcPr>
            <w:tcW w:w="3534" w:type="dxa"/>
            <w:vAlign w:val="center"/>
          </w:tcPr>
          <w:p w14:paraId="1F570AA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违约内容</w:t>
            </w:r>
          </w:p>
        </w:tc>
        <w:tc>
          <w:tcPr>
            <w:tcW w:w="2350" w:type="dxa"/>
            <w:vAlign w:val="center"/>
          </w:tcPr>
          <w:p w14:paraId="3FA705E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违约金标准</w:t>
            </w:r>
          </w:p>
        </w:tc>
        <w:tc>
          <w:tcPr>
            <w:tcW w:w="1914" w:type="dxa"/>
            <w:vAlign w:val="center"/>
          </w:tcPr>
          <w:p w14:paraId="6FE61D9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备注</w:t>
            </w:r>
          </w:p>
        </w:tc>
      </w:tr>
      <w:tr w14:paraId="6600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3C1C8A9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1114" w:type="dxa"/>
            <w:vAlign w:val="center"/>
          </w:tcPr>
          <w:p w14:paraId="5E3365B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1.6.3</w:t>
            </w:r>
          </w:p>
        </w:tc>
        <w:tc>
          <w:tcPr>
            <w:tcW w:w="3534" w:type="dxa"/>
            <w:vAlign w:val="center"/>
          </w:tcPr>
          <w:p w14:paraId="13D31EA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未得到监理人批准，承包人擅自对施工图的任何部分进行修改。</w:t>
            </w:r>
          </w:p>
        </w:tc>
        <w:tc>
          <w:tcPr>
            <w:tcW w:w="2350" w:type="dxa"/>
            <w:vAlign w:val="center"/>
          </w:tcPr>
          <w:p w14:paraId="4BBA048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2万元/次</w:t>
            </w:r>
          </w:p>
        </w:tc>
        <w:tc>
          <w:tcPr>
            <w:tcW w:w="1914" w:type="dxa"/>
          </w:tcPr>
          <w:p w14:paraId="461648F4">
            <w:pPr>
              <w:pStyle w:val="68"/>
              <w:shd w:val="clear" w:fill="FFFFFF" w:themeFill="background1"/>
              <w:rPr>
                <w:rFonts w:ascii="宋体" w:hAnsi="宋体" w:cs="宋体"/>
                <w:color w:val="auto"/>
                <w:sz w:val="24"/>
                <w:highlight w:val="none"/>
              </w:rPr>
            </w:pPr>
          </w:p>
        </w:tc>
      </w:tr>
      <w:tr w14:paraId="21FB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68E417C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1114" w:type="dxa"/>
            <w:vAlign w:val="center"/>
          </w:tcPr>
          <w:p w14:paraId="4C37B47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165698C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施工组织设计未经审批即开始实施。</w:t>
            </w:r>
          </w:p>
        </w:tc>
        <w:tc>
          <w:tcPr>
            <w:tcW w:w="2350" w:type="dxa"/>
            <w:vAlign w:val="center"/>
          </w:tcPr>
          <w:p w14:paraId="294D7F7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30 万元/次</w:t>
            </w:r>
          </w:p>
        </w:tc>
        <w:tc>
          <w:tcPr>
            <w:tcW w:w="1914" w:type="dxa"/>
          </w:tcPr>
          <w:p w14:paraId="21857E4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属于严重违约，建议参照“违规分包或转包”进行重罚。</w:t>
            </w:r>
          </w:p>
        </w:tc>
      </w:tr>
      <w:tr w14:paraId="6A38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06F467A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1114" w:type="dxa"/>
            <w:vAlign w:val="center"/>
          </w:tcPr>
          <w:p w14:paraId="05EA0B3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1A04D6A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未按批复的施工组织设计方案组织施工，随意调整或变更。</w:t>
            </w:r>
          </w:p>
        </w:tc>
        <w:tc>
          <w:tcPr>
            <w:tcW w:w="2350" w:type="dxa"/>
            <w:vAlign w:val="center"/>
          </w:tcPr>
          <w:p w14:paraId="42057F2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 万元/次</w:t>
            </w:r>
          </w:p>
        </w:tc>
        <w:tc>
          <w:tcPr>
            <w:tcW w:w="1914" w:type="dxa"/>
          </w:tcPr>
          <w:p w14:paraId="6EFE578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参照“擅自对施工图的任何部分进行修订”进行处罚。</w:t>
            </w:r>
          </w:p>
        </w:tc>
      </w:tr>
      <w:tr w14:paraId="7B5E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47AA09A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1114" w:type="dxa"/>
            <w:vAlign w:val="center"/>
          </w:tcPr>
          <w:p w14:paraId="2C9327A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032B8E0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超过一定规模的危险性较大工程未组织专家论证、审查。</w:t>
            </w:r>
          </w:p>
        </w:tc>
        <w:tc>
          <w:tcPr>
            <w:tcW w:w="2350" w:type="dxa"/>
            <w:vAlign w:val="center"/>
          </w:tcPr>
          <w:p w14:paraId="1E875F6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 万元/次</w:t>
            </w:r>
          </w:p>
        </w:tc>
        <w:tc>
          <w:tcPr>
            <w:tcW w:w="1914" w:type="dxa"/>
          </w:tcPr>
          <w:p w14:paraId="6CA2473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参照“擅自对施工图的任何部分进行修订”进行处罚。</w:t>
            </w:r>
          </w:p>
        </w:tc>
      </w:tr>
      <w:tr w14:paraId="31FE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2D1BAB0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1114" w:type="dxa"/>
            <w:vAlign w:val="center"/>
          </w:tcPr>
          <w:p w14:paraId="12A4F84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5CEC22D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因设计出现重大变更、施工方法发生重大调整、外部施工环境或施工条件发生重大变化等未及时进行修编的。</w:t>
            </w:r>
          </w:p>
        </w:tc>
        <w:tc>
          <w:tcPr>
            <w:tcW w:w="2350" w:type="dxa"/>
            <w:vAlign w:val="center"/>
          </w:tcPr>
          <w:p w14:paraId="05B8856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 万元/次</w:t>
            </w:r>
          </w:p>
        </w:tc>
        <w:tc>
          <w:tcPr>
            <w:tcW w:w="1914" w:type="dxa"/>
          </w:tcPr>
          <w:p w14:paraId="3C1714CB">
            <w:pPr>
              <w:pStyle w:val="68"/>
              <w:shd w:val="clear" w:fill="FFFFFF" w:themeFill="background1"/>
              <w:rPr>
                <w:rFonts w:ascii="宋体" w:hAnsi="宋体" w:cs="宋体"/>
                <w:color w:val="auto"/>
                <w:sz w:val="24"/>
                <w:highlight w:val="none"/>
              </w:rPr>
            </w:pPr>
          </w:p>
        </w:tc>
      </w:tr>
      <w:tr w14:paraId="35A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Align w:val="center"/>
          </w:tcPr>
          <w:p w14:paraId="7C526BE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1114" w:type="dxa"/>
            <w:vAlign w:val="center"/>
          </w:tcPr>
          <w:p w14:paraId="3D20E5E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4.3</w:t>
            </w:r>
          </w:p>
        </w:tc>
        <w:tc>
          <w:tcPr>
            <w:tcW w:w="3534" w:type="dxa"/>
            <w:vAlign w:val="center"/>
          </w:tcPr>
          <w:p w14:paraId="074BA59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违规分包或转包</w:t>
            </w:r>
          </w:p>
        </w:tc>
        <w:tc>
          <w:tcPr>
            <w:tcW w:w="2350" w:type="dxa"/>
            <w:vAlign w:val="center"/>
          </w:tcPr>
          <w:p w14:paraId="25DE9D7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30万元/次</w:t>
            </w:r>
          </w:p>
        </w:tc>
        <w:tc>
          <w:tcPr>
            <w:tcW w:w="1914" w:type="dxa"/>
          </w:tcPr>
          <w:p w14:paraId="547EF301">
            <w:pPr>
              <w:pStyle w:val="68"/>
              <w:shd w:val="clear" w:fill="FFFFFF" w:themeFill="background1"/>
              <w:rPr>
                <w:rFonts w:ascii="宋体" w:hAnsi="宋体" w:cs="宋体"/>
                <w:color w:val="auto"/>
                <w:sz w:val="24"/>
                <w:highlight w:val="none"/>
              </w:rPr>
            </w:pPr>
          </w:p>
        </w:tc>
      </w:tr>
      <w:tr w14:paraId="5C3E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vAlign w:val="center"/>
          </w:tcPr>
          <w:p w14:paraId="0BBE606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1114" w:type="dxa"/>
            <w:vAlign w:val="center"/>
          </w:tcPr>
          <w:p w14:paraId="5A64C05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4.6.1</w:t>
            </w:r>
          </w:p>
        </w:tc>
        <w:tc>
          <w:tcPr>
            <w:tcW w:w="3534" w:type="dxa"/>
            <w:vAlign w:val="center"/>
          </w:tcPr>
          <w:p w14:paraId="1113745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承包人在接到监理人要求人员进场的通知 5 天后仍未安排相关人员进场，从第 6 天算起扣除承包人的违约金。</w:t>
            </w:r>
          </w:p>
        </w:tc>
        <w:tc>
          <w:tcPr>
            <w:tcW w:w="2350" w:type="dxa"/>
            <w:vAlign w:val="center"/>
          </w:tcPr>
          <w:p w14:paraId="04A437B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项目经理、项目技术负责人2万元/人日；其他主要技术人员1万元/人日</w:t>
            </w:r>
          </w:p>
        </w:tc>
        <w:tc>
          <w:tcPr>
            <w:tcW w:w="1914" w:type="dxa"/>
          </w:tcPr>
          <w:p w14:paraId="5BF2A73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如果承包人接到通知15天未安排相关人员 进场，将要求其更换人选，同时执行人员更换违约条款。</w:t>
            </w:r>
          </w:p>
        </w:tc>
      </w:tr>
      <w:tr w14:paraId="0D27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0" w:type="dxa"/>
            <w:vAlign w:val="center"/>
          </w:tcPr>
          <w:p w14:paraId="1278F3E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1114" w:type="dxa"/>
            <w:vAlign w:val="center"/>
          </w:tcPr>
          <w:p w14:paraId="5D0F084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4.6.3（2）</w:t>
            </w:r>
          </w:p>
        </w:tc>
        <w:tc>
          <w:tcPr>
            <w:tcW w:w="3534" w:type="dxa"/>
            <w:vAlign w:val="center"/>
          </w:tcPr>
          <w:p w14:paraId="4B53990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承包人的档案资料整理负责人在本项目连续工作不足 1 年。</w:t>
            </w:r>
          </w:p>
        </w:tc>
        <w:tc>
          <w:tcPr>
            <w:tcW w:w="2350" w:type="dxa"/>
            <w:vAlign w:val="center"/>
          </w:tcPr>
          <w:p w14:paraId="47E03AC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1万元/人次</w:t>
            </w:r>
          </w:p>
        </w:tc>
        <w:tc>
          <w:tcPr>
            <w:tcW w:w="1914" w:type="dxa"/>
          </w:tcPr>
          <w:p w14:paraId="439CF30D">
            <w:pPr>
              <w:pStyle w:val="68"/>
              <w:shd w:val="clear" w:fill="FFFFFF" w:themeFill="background1"/>
              <w:rPr>
                <w:rFonts w:ascii="宋体" w:hAnsi="宋体" w:cs="宋体"/>
                <w:color w:val="auto"/>
                <w:sz w:val="24"/>
                <w:highlight w:val="none"/>
              </w:rPr>
            </w:pPr>
          </w:p>
        </w:tc>
      </w:tr>
      <w:tr w14:paraId="2B50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14:paraId="55BEE17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1114" w:type="dxa"/>
            <w:vAlign w:val="center"/>
          </w:tcPr>
          <w:p w14:paraId="1C9B26D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4.6.3（3）</w:t>
            </w:r>
          </w:p>
        </w:tc>
        <w:tc>
          <w:tcPr>
            <w:tcW w:w="3534" w:type="dxa"/>
            <w:vAlign w:val="center"/>
          </w:tcPr>
          <w:p w14:paraId="0E73A46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项目经理、总工程师驻守现场不足 22天/月，处以不足天数的违约金。</w:t>
            </w:r>
          </w:p>
        </w:tc>
        <w:tc>
          <w:tcPr>
            <w:tcW w:w="2350" w:type="dxa"/>
            <w:vAlign w:val="center"/>
          </w:tcPr>
          <w:p w14:paraId="0CA1148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5000元/天</w:t>
            </w:r>
          </w:p>
        </w:tc>
        <w:tc>
          <w:tcPr>
            <w:tcW w:w="1914" w:type="dxa"/>
          </w:tcPr>
          <w:p w14:paraId="77789D41">
            <w:pPr>
              <w:pStyle w:val="68"/>
              <w:shd w:val="clear" w:fill="FFFFFF" w:themeFill="background1"/>
              <w:rPr>
                <w:rFonts w:ascii="宋体" w:hAnsi="宋体" w:cs="宋体"/>
                <w:color w:val="auto"/>
                <w:sz w:val="24"/>
                <w:highlight w:val="none"/>
              </w:rPr>
            </w:pPr>
          </w:p>
        </w:tc>
      </w:tr>
      <w:tr w14:paraId="0787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vAlign w:val="center"/>
          </w:tcPr>
          <w:p w14:paraId="2C73065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1114" w:type="dxa"/>
            <w:vAlign w:val="center"/>
          </w:tcPr>
          <w:p w14:paraId="45BEF55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4.6.3（4）</w:t>
            </w:r>
          </w:p>
        </w:tc>
        <w:tc>
          <w:tcPr>
            <w:tcW w:w="3534" w:type="dxa"/>
            <w:vAlign w:val="center"/>
          </w:tcPr>
          <w:p w14:paraId="74BDFC2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专职安全生产管理人员没有按规定配备：年度施工产值 5000 万元以上不足2 亿元的按每 5000 万元不少于 1 名的比例配备；2 亿元以上的不少于 5 名，且按专业配备（不足 5000 万至少配备1 名）。</w:t>
            </w:r>
          </w:p>
        </w:tc>
        <w:tc>
          <w:tcPr>
            <w:tcW w:w="2350" w:type="dxa"/>
            <w:vAlign w:val="center"/>
          </w:tcPr>
          <w:p w14:paraId="1F4A52F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5万元/人次</w:t>
            </w:r>
          </w:p>
        </w:tc>
        <w:tc>
          <w:tcPr>
            <w:tcW w:w="1914" w:type="dxa"/>
          </w:tcPr>
          <w:p w14:paraId="43AED5B5">
            <w:pPr>
              <w:pStyle w:val="68"/>
              <w:shd w:val="clear" w:fill="FFFFFF" w:themeFill="background1"/>
              <w:rPr>
                <w:rFonts w:ascii="宋体" w:hAnsi="宋体" w:cs="宋体"/>
                <w:color w:val="auto"/>
                <w:sz w:val="24"/>
                <w:highlight w:val="none"/>
              </w:rPr>
            </w:pPr>
          </w:p>
        </w:tc>
      </w:tr>
      <w:tr w14:paraId="384A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0" w:type="dxa"/>
            <w:vAlign w:val="center"/>
          </w:tcPr>
          <w:p w14:paraId="33E49AA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1114" w:type="dxa"/>
            <w:vAlign w:val="center"/>
          </w:tcPr>
          <w:p w14:paraId="0DC5338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4.6.3（5）</w:t>
            </w:r>
          </w:p>
        </w:tc>
        <w:tc>
          <w:tcPr>
            <w:tcW w:w="3534" w:type="dxa"/>
            <w:vAlign w:val="center"/>
          </w:tcPr>
          <w:p w14:paraId="736C068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项目经理或总工程师无故缺席发包人指定的各种会议，包括监理人主持的重要会议（如工地例会等）。</w:t>
            </w:r>
          </w:p>
        </w:tc>
        <w:tc>
          <w:tcPr>
            <w:tcW w:w="2350" w:type="dxa"/>
            <w:vAlign w:val="center"/>
          </w:tcPr>
          <w:p w14:paraId="22D8CBE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1万元/次</w:t>
            </w:r>
          </w:p>
        </w:tc>
        <w:tc>
          <w:tcPr>
            <w:tcW w:w="1914" w:type="dxa"/>
          </w:tcPr>
          <w:p w14:paraId="183F6E22">
            <w:pPr>
              <w:pStyle w:val="68"/>
              <w:shd w:val="clear" w:fill="FFFFFF" w:themeFill="background1"/>
              <w:rPr>
                <w:rFonts w:ascii="宋体" w:hAnsi="宋体" w:cs="宋体"/>
                <w:color w:val="auto"/>
                <w:sz w:val="24"/>
                <w:highlight w:val="none"/>
              </w:rPr>
            </w:pPr>
          </w:p>
        </w:tc>
      </w:tr>
      <w:tr w14:paraId="37D6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65C7CDE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12</w:t>
            </w:r>
          </w:p>
        </w:tc>
        <w:tc>
          <w:tcPr>
            <w:tcW w:w="1114" w:type="dxa"/>
            <w:vAlign w:val="center"/>
          </w:tcPr>
          <w:p w14:paraId="2792056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4.6.6</w:t>
            </w:r>
          </w:p>
        </w:tc>
        <w:tc>
          <w:tcPr>
            <w:tcW w:w="3534" w:type="dxa"/>
            <w:vAlign w:val="center"/>
          </w:tcPr>
          <w:p w14:paraId="45EDB3B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不签订劳动合同、非法使用农民工的，或者拖延和克扣农民工工资的，由此造成劳务人员上访或劳动纠纷的。</w:t>
            </w:r>
          </w:p>
        </w:tc>
        <w:tc>
          <w:tcPr>
            <w:tcW w:w="2350" w:type="dxa"/>
            <w:vAlign w:val="center"/>
          </w:tcPr>
          <w:p w14:paraId="7C2486F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10万元/次</w:t>
            </w:r>
          </w:p>
        </w:tc>
        <w:tc>
          <w:tcPr>
            <w:tcW w:w="1914" w:type="dxa"/>
          </w:tcPr>
          <w:p w14:paraId="2F9A93B4">
            <w:pPr>
              <w:pStyle w:val="68"/>
              <w:shd w:val="clear" w:fill="FFFFFF" w:themeFill="background1"/>
              <w:rPr>
                <w:rFonts w:ascii="宋体" w:hAnsi="宋体" w:cs="宋体"/>
                <w:color w:val="auto"/>
                <w:sz w:val="24"/>
                <w:highlight w:val="none"/>
              </w:rPr>
            </w:pPr>
          </w:p>
        </w:tc>
      </w:tr>
      <w:tr w14:paraId="527D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15E83E8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13</w:t>
            </w:r>
          </w:p>
        </w:tc>
        <w:tc>
          <w:tcPr>
            <w:tcW w:w="1114" w:type="dxa"/>
            <w:vAlign w:val="center"/>
          </w:tcPr>
          <w:p w14:paraId="4C6EC75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4.6.6</w:t>
            </w:r>
          </w:p>
        </w:tc>
        <w:tc>
          <w:tcPr>
            <w:tcW w:w="3534" w:type="dxa"/>
            <w:vAlign w:val="center"/>
          </w:tcPr>
          <w:p w14:paraId="7174E91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未按交通运输主管部门、上级主管或管理单位等要求落实从业人员实名制管理和工资支付管理的。</w:t>
            </w:r>
          </w:p>
        </w:tc>
        <w:tc>
          <w:tcPr>
            <w:tcW w:w="2350" w:type="dxa"/>
            <w:vAlign w:val="center"/>
          </w:tcPr>
          <w:p w14:paraId="7AD1F3D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5万元/次</w:t>
            </w:r>
          </w:p>
        </w:tc>
        <w:tc>
          <w:tcPr>
            <w:tcW w:w="1914" w:type="dxa"/>
          </w:tcPr>
          <w:p w14:paraId="0529073F">
            <w:pPr>
              <w:pStyle w:val="68"/>
              <w:shd w:val="clear" w:fill="FFFFFF" w:themeFill="background1"/>
              <w:rPr>
                <w:rFonts w:ascii="宋体" w:hAnsi="宋体" w:cs="宋体"/>
                <w:color w:val="auto"/>
                <w:sz w:val="24"/>
                <w:highlight w:val="none"/>
              </w:rPr>
            </w:pPr>
          </w:p>
        </w:tc>
      </w:tr>
      <w:tr w14:paraId="5EB6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14:paraId="1A513B9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14</w:t>
            </w:r>
          </w:p>
        </w:tc>
        <w:tc>
          <w:tcPr>
            <w:tcW w:w="1114" w:type="dxa"/>
            <w:vAlign w:val="center"/>
          </w:tcPr>
          <w:p w14:paraId="3D3DFD1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3F4D300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分项工程的施工员没在现场管理的。</w:t>
            </w:r>
          </w:p>
        </w:tc>
        <w:tc>
          <w:tcPr>
            <w:tcW w:w="2350" w:type="dxa"/>
            <w:vAlign w:val="center"/>
          </w:tcPr>
          <w:p w14:paraId="66C12EB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1000元/次</w:t>
            </w:r>
          </w:p>
        </w:tc>
        <w:tc>
          <w:tcPr>
            <w:tcW w:w="1914" w:type="dxa"/>
          </w:tcPr>
          <w:p w14:paraId="4FE0D0F8">
            <w:pPr>
              <w:pStyle w:val="68"/>
              <w:shd w:val="clear" w:fill="FFFFFF" w:themeFill="background1"/>
              <w:rPr>
                <w:rFonts w:ascii="宋体" w:hAnsi="宋体" w:cs="宋体"/>
                <w:color w:val="auto"/>
                <w:sz w:val="24"/>
                <w:highlight w:val="none"/>
              </w:rPr>
            </w:pPr>
          </w:p>
        </w:tc>
      </w:tr>
      <w:tr w14:paraId="5064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6464CD7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15</w:t>
            </w:r>
          </w:p>
        </w:tc>
        <w:tc>
          <w:tcPr>
            <w:tcW w:w="1114" w:type="dxa"/>
            <w:vAlign w:val="center"/>
          </w:tcPr>
          <w:p w14:paraId="287E420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68EFC29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重要工序（桩基、面层施工等），没有施工员在现场管理的。</w:t>
            </w:r>
          </w:p>
        </w:tc>
        <w:tc>
          <w:tcPr>
            <w:tcW w:w="2350" w:type="dxa"/>
            <w:vAlign w:val="center"/>
          </w:tcPr>
          <w:p w14:paraId="60397ED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2000元/次</w:t>
            </w:r>
          </w:p>
        </w:tc>
        <w:tc>
          <w:tcPr>
            <w:tcW w:w="1914" w:type="dxa"/>
          </w:tcPr>
          <w:p w14:paraId="5131AAFA">
            <w:pPr>
              <w:pStyle w:val="68"/>
              <w:shd w:val="clear" w:fill="FFFFFF" w:themeFill="background1"/>
              <w:rPr>
                <w:rFonts w:ascii="宋体" w:hAnsi="宋体" w:cs="宋体"/>
                <w:color w:val="auto"/>
                <w:sz w:val="24"/>
                <w:highlight w:val="none"/>
              </w:rPr>
            </w:pPr>
          </w:p>
        </w:tc>
      </w:tr>
      <w:tr w14:paraId="4596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649E6A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w:t>
            </w:r>
          </w:p>
        </w:tc>
        <w:tc>
          <w:tcPr>
            <w:tcW w:w="1114" w:type="dxa"/>
            <w:vAlign w:val="center"/>
          </w:tcPr>
          <w:p w14:paraId="2477D72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6FDD5DA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超过24小时没有施工员在场而继续施工的。</w:t>
            </w:r>
          </w:p>
        </w:tc>
        <w:tc>
          <w:tcPr>
            <w:tcW w:w="2350" w:type="dxa"/>
            <w:vAlign w:val="center"/>
          </w:tcPr>
          <w:p w14:paraId="781A9EA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5000元/次</w:t>
            </w:r>
          </w:p>
        </w:tc>
        <w:tc>
          <w:tcPr>
            <w:tcW w:w="1914" w:type="dxa"/>
          </w:tcPr>
          <w:p w14:paraId="6411645F">
            <w:pPr>
              <w:pStyle w:val="68"/>
              <w:shd w:val="clear" w:fill="FFFFFF" w:themeFill="background1"/>
              <w:rPr>
                <w:rFonts w:ascii="宋体" w:hAnsi="宋体" w:cs="宋体"/>
                <w:color w:val="auto"/>
                <w:sz w:val="24"/>
                <w:highlight w:val="none"/>
              </w:rPr>
            </w:pPr>
          </w:p>
        </w:tc>
      </w:tr>
      <w:tr w14:paraId="1503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6054AF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17</w:t>
            </w:r>
          </w:p>
        </w:tc>
        <w:tc>
          <w:tcPr>
            <w:tcW w:w="1114" w:type="dxa"/>
            <w:vAlign w:val="center"/>
          </w:tcPr>
          <w:p w14:paraId="30F887E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5.1.2</w:t>
            </w:r>
          </w:p>
        </w:tc>
        <w:tc>
          <w:tcPr>
            <w:tcW w:w="3534" w:type="dxa"/>
            <w:vAlign w:val="center"/>
          </w:tcPr>
          <w:p w14:paraId="6B1A954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承包人应按照《投标人拟投入的关键设备承诺表》中所列的品牌进行采购，不得变更设备品牌。</w:t>
            </w:r>
          </w:p>
        </w:tc>
        <w:tc>
          <w:tcPr>
            <w:tcW w:w="2350" w:type="dxa"/>
            <w:vAlign w:val="center"/>
          </w:tcPr>
          <w:p w14:paraId="1329A83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未按照《投标人拟投入的关键设备承诺表》中所列设备品牌进行采购，按以下标准向发包人提交违约金：关键设备 80 万元/类，其他主要设备 30 万元/类。</w:t>
            </w:r>
          </w:p>
        </w:tc>
        <w:tc>
          <w:tcPr>
            <w:tcW w:w="1914" w:type="dxa"/>
          </w:tcPr>
          <w:p w14:paraId="34D2231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本条可适用于机电工程（包括收费、监控、通信三大系统及通信管道、隧道消防和供配电等）采用设备选型评分的情形，由招标人自行选择设置相应内容。</w:t>
            </w:r>
          </w:p>
        </w:tc>
      </w:tr>
      <w:tr w14:paraId="3AEF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25E9BA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18</w:t>
            </w:r>
          </w:p>
        </w:tc>
        <w:tc>
          <w:tcPr>
            <w:tcW w:w="1114" w:type="dxa"/>
            <w:vAlign w:val="center"/>
          </w:tcPr>
          <w:p w14:paraId="03E5CF9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5.3.1</w:t>
            </w:r>
          </w:p>
        </w:tc>
        <w:tc>
          <w:tcPr>
            <w:tcW w:w="3534" w:type="dxa"/>
            <w:vAlign w:val="center"/>
          </w:tcPr>
          <w:p w14:paraId="402725C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未经监理人同意，承包人将专用于本工程的材料、工程设备、施工设备和临时设施运出施工场地或挪作他用。</w:t>
            </w:r>
          </w:p>
        </w:tc>
        <w:tc>
          <w:tcPr>
            <w:tcW w:w="2350" w:type="dxa"/>
            <w:vAlign w:val="center"/>
          </w:tcPr>
          <w:p w14:paraId="7786C651">
            <w:pPr>
              <w:pStyle w:val="68"/>
              <w:shd w:val="clear" w:fill="FFFFFF" w:themeFill="background1"/>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4A6260D3">
            <w:pPr>
              <w:pStyle w:val="68"/>
              <w:shd w:val="clear" w:fill="FFFFFF" w:themeFill="background1"/>
              <w:jc w:val="center"/>
              <w:rPr>
                <w:rFonts w:ascii="宋体" w:hAnsi="宋体" w:cs="宋体"/>
                <w:color w:val="auto"/>
                <w:sz w:val="24"/>
                <w:highlight w:val="none"/>
              </w:rPr>
            </w:pPr>
          </w:p>
        </w:tc>
      </w:tr>
      <w:tr w14:paraId="677B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4D9C36F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19</w:t>
            </w:r>
          </w:p>
        </w:tc>
        <w:tc>
          <w:tcPr>
            <w:tcW w:w="1114" w:type="dxa"/>
            <w:vAlign w:val="center"/>
          </w:tcPr>
          <w:p w14:paraId="16BCAC7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6.1.1</w:t>
            </w:r>
          </w:p>
        </w:tc>
        <w:tc>
          <w:tcPr>
            <w:tcW w:w="3534" w:type="dxa"/>
            <w:vAlign w:val="center"/>
          </w:tcPr>
          <w:p w14:paraId="6A92E84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按施工进度计划须到位而未到位的主要设备，或擅自改变主要设备型号。</w:t>
            </w:r>
          </w:p>
        </w:tc>
        <w:tc>
          <w:tcPr>
            <w:tcW w:w="2350" w:type="dxa"/>
            <w:vAlign w:val="center"/>
          </w:tcPr>
          <w:p w14:paraId="1016B689">
            <w:pPr>
              <w:pStyle w:val="68"/>
              <w:shd w:val="clear" w:fill="FFFFFF" w:themeFill="background1"/>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0F8E6E3D">
            <w:pPr>
              <w:pStyle w:val="68"/>
              <w:shd w:val="clear" w:fill="FFFFFF" w:themeFill="background1"/>
              <w:jc w:val="center"/>
              <w:rPr>
                <w:rFonts w:ascii="宋体" w:hAnsi="宋体" w:cs="宋体"/>
                <w:color w:val="auto"/>
                <w:sz w:val="24"/>
                <w:highlight w:val="none"/>
              </w:rPr>
            </w:pPr>
          </w:p>
        </w:tc>
      </w:tr>
      <w:tr w14:paraId="438F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5748FF0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20</w:t>
            </w:r>
          </w:p>
        </w:tc>
        <w:tc>
          <w:tcPr>
            <w:tcW w:w="1114" w:type="dxa"/>
            <w:vAlign w:val="center"/>
          </w:tcPr>
          <w:p w14:paraId="58D8502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6.3</w:t>
            </w:r>
          </w:p>
        </w:tc>
        <w:tc>
          <w:tcPr>
            <w:tcW w:w="3534" w:type="dxa"/>
            <w:vAlign w:val="center"/>
          </w:tcPr>
          <w:p w14:paraId="4DBAE05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承包人未按监理人要求增加或更换施工设备。</w:t>
            </w:r>
          </w:p>
        </w:tc>
        <w:tc>
          <w:tcPr>
            <w:tcW w:w="2350" w:type="dxa"/>
            <w:vAlign w:val="center"/>
          </w:tcPr>
          <w:p w14:paraId="14D1B077">
            <w:pPr>
              <w:pStyle w:val="68"/>
              <w:shd w:val="clear" w:fill="FFFFFF" w:themeFill="background1"/>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62A8D3F3">
            <w:pPr>
              <w:pStyle w:val="68"/>
              <w:shd w:val="clear" w:fill="FFFFFF" w:themeFill="background1"/>
              <w:jc w:val="center"/>
              <w:rPr>
                <w:rFonts w:ascii="宋体" w:hAnsi="宋体" w:cs="宋体"/>
                <w:color w:val="auto"/>
                <w:sz w:val="24"/>
                <w:highlight w:val="none"/>
              </w:rPr>
            </w:pPr>
          </w:p>
        </w:tc>
      </w:tr>
      <w:tr w14:paraId="6BE2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F7B4ED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21</w:t>
            </w:r>
          </w:p>
        </w:tc>
        <w:tc>
          <w:tcPr>
            <w:tcW w:w="1114" w:type="dxa"/>
            <w:vAlign w:val="center"/>
          </w:tcPr>
          <w:p w14:paraId="3D5D980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11.1.1</w:t>
            </w:r>
          </w:p>
        </w:tc>
        <w:tc>
          <w:tcPr>
            <w:tcW w:w="3534" w:type="dxa"/>
            <w:vAlign w:val="center"/>
          </w:tcPr>
          <w:p w14:paraId="0EF7D7F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承包人未按期开工。</w:t>
            </w:r>
          </w:p>
        </w:tc>
        <w:tc>
          <w:tcPr>
            <w:tcW w:w="2350" w:type="dxa"/>
            <w:vAlign w:val="center"/>
          </w:tcPr>
          <w:p w14:paraId="06FE6F8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参照工期延误的标准扣除违约金。</w:t>
            </w:r>
          </w:p>
        </w:tc>
        <w:tc>
          <w:tcPr>
            <w:tcW w:w="1914" w:type="dxa"/>
            <w:vAlign w:val="center"/>
          </w:tcPr>
          <w:p w14:paraId="7E31E6FC">
            <w:pPr>
              <w:pStyle w:val="68"/>
              <w:shd w:val="clear" w:fill="FFFFFF" w:themeFill="background1"/>
              <w:jc w:val="center"/>
              <w:rPr>
                <w:rFonts w:ascii="宋体" w:hAnsi="宋体" w:cs="宋体"/>
                <w:color w:val="auto"/>
                <w:sz w:val="24"/>
                <w:highlight w:val="none"/>
              </w:rPr>
            </w:pPr>
          </w:p>
        </w:tc>
      </w:tr>
      <w:tr w14:paraId="0EE2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317DF4E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22</w:t>
            </w:r>
          </w:p>
        </w:tc>
        <w:tc>
          <w:tcPr>
            <w:tcW w:w="1114" w:type="dxa"/>
            <w:vAlign w:val="center"/>
          </w:tcPr>
          <w:p w14:paraId="42ACDCC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11.5</w:t>
            </w:r>
          </w:p>
        </w:tc>
        <w:tc>
          <w:tcPr>
            <w:tcW w:w="3534" w:type="dxa"/>
            <w:vAlign w:val="center"/>
          </w:tcPr>
          <w:p w14:paraId="54CC393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承包人的工期延误</w:t>
            </w:r>
          </w:p>
        </w:tc>
        <w:tc>
          <w:tcPr>
            <w:tcW w:w="2350" w:type="dxa"/>
            <w:vAlign w:val="center"/>
          </w:tcPr>
          <w:p w14:paraId="0358233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按照项目专用条款数据表第11.5款规定的标准扣除。</w:t>
            </w:r>
          </w:p>
        </w:tc>
        <w:tc>
          <w:tcPr>
            <w:tcW w:w="1914" w:type="dxa"/>
            <w:vAlign w:val="center"/>
          </w:tcPr>
          <w:p w14:paraId="380C49CF">
            <w:pPr>
              <w:pStyle w:val="68"/>
              <w:shd w:val="clear" w:fill="FFFFFF" w:themeFill="background1"/>
              <w:jc w:val="center"/>
              <w:rPr>
                <w:rFonts w:ascii="宋体" w:hAnsi="宋体" w:cs="宋体"/>
                <w:color w:val="auto"/>
                <w:sz w:val="24"/>
                <w:highlight w:val="none"/>
              </w:rPr>
            </w:pPr>
          </w:p>
        </w:tc>
      </w:tr>
    </w:tbl>
    <w:p w14:paraId="4D18605C">
      <w:pPr>
        <w:pStyle w:val="68"/>
        <w:shd w:val="clear" w:fill="FFFFFF" w:themeFill="background1"/>
        <w:jc w:val="right"/>
        <w:rPr>
          <w:rFonts w:ascii="宋体" w:hAnsi="宋体" w:cs="宋体"/>
          <w:color w:val="auto"/>
          <w:sz w:val="24"/>
          <w:highlight w:val="none"/>
        </w:rPr>
      </w:pPr>
    </w:p>
    <w:p w14:paraId="2A912D2C">
      <w:pPr>
        <w:pStyle w:val="68"/>
        <w:shd w:val="clear" w:fill="FFFFFF" w:themeFill="background1"/>
        <w:jc w:val="right"/>
        <w:rPr>
          <w:rFonts w:ascii="宋体" w:hAnsi="宋体" w:cs="宋体"/>
          <w:color w:val="auto"/>
          <w:sz w:val="24"/>
          <w:highlight w:val="none"/>
        </w:rPr>
      </w:pPr>
      <w:r>
        <w:rPr>
          <w:rFonts w:hint="eastAsia" w:ascii="宋体" w:hAnsi="宋体" w:cs="宋体"/>
          <w:color w:val="auto"/>
          <w:sz w:val="24"/>
          <w:highlight w:val="none"/>
        </w:rPr>
        <w:br w:type="page"/>
      </w:r>
    </w:p>
    <w:p w14:paraId="76873A62">
      <w:pPr>
        <w:pStyle w:val="78"/>
        <w:shd w:val="clear" w:fill="FFFFFF" w:themeFill="background1"/>
        <w:spacing w:line="360" w:lineRule="auto"/>
        <w:rPr>
          <w:rFonts w:ascii="宋体" w:hAnsi="宋体"/>
          <w:color w:val="auto"/>
          <w:sz w:val="24"/>
          <w:szCs w:val="24"/>
          <w:highlight w:val="none"/>
        </w:rPr>
      </w:pPr>
      <w:bookmarkStart w:id="1729" w:name="_Toc5359"/>
      <w:bookmarkEnd w:id="1729"/>
      <w:bookmarkStart w:id="1730" w:name="_Toc12136"/>
      <w:bookmarkEnd w:id="1730"/>
      <w:bookmarkStart w:id="1731" w:name="_Toc451261389"/>
      <w:bookmarkEnd w:id="1731"/>
      <w:bookmarkStart w:id="1732" w:name="_Toc453056971"/>
      <w:bookmarkEnd w:id="1732"/>
      <w:bookmarkStart w:id="1733" w:name="_Toc452498668"/>
      <w:bookmarkEnd w:id="1733"/>
      <w:bookmarkStart w:id="1734" w:name="_Toc453057199"/>
      <w:bookmarkEnd w:id="1734"/>
      <w:bookmarkStart w:id="1735" w:name="_Toc452498898"/>
      <w:bookmarkEnd w:id="1735"/>
      <w:bookmarkStart w:id="1736" w:name="_Toc43476018"/>
      <w:bookmarkEnd w:id="1736"/>
      <w:r>
        <w:rPr>
          <w:rFonts w:hint="eastAsia"/>
          <w:bCs w:val="0"/>
          <w:color w:val="auto"/>
          <w:sz w:val="24"/>
          <w:szCs w:val="24"/>
          <w:highlight w:val="none"/>
        </w:rPr>
        <w:t>附件十二  工程质量、安全及文明施工处罚项目一览表</w:t>
      </w:r>
    </w:p>
    <w:p w14:paraId="4C907999">
      <w:pPr>
        <w:pStyle w:val="68"/>
        <w:shd w:val="clear" w:fill="FFFFFF" w:themeFill="background1"/>
        <w:rPr>
          <w:rFonts w:ascii="宋体" w:hAnsi="宋体" w:cs="宋体"/>
          <w:b/>
          <w:color w:val="auto"/>
          <w:sz w:val="28"/>
          <w:szCs w:val="28"/>
          <w:highlight w:val="none"/>
        </w:rPr>
      </w:pPr>
      <w:r>
        <w:rPr>
          <w:rFonts w:hint="eastAsia" w:ascii="宋体" w:hAnsi="宋体" w:cs="宋体"/>
          <w:b/>
          <w:color w:val="auto"/>
          <w:sz w:val="28"/>
          <w:szCs w:val="28"/>
          <w:highlight w:val="none"/>
        </w:rPr>
        <w:t>工程质量、安全及文明施工处罚项目一览表</w:t>
      </w:r>
    </w:p>
    <w:tbl>
      <w:tblPr>
        <w:tblStyle w:val="43"/>
        <w:tblW w:w="92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17"/>
        <w:gridCol w:w="8019"/>
      </w:tblGrid>
      <w:tr w14:paraId="13AF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24" w:type="dxa"/>
            <w:vAlign w:val="center"/>
          </w:tcPr>
          <w:p w14:paraId="3577513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类别</w:t>
            </w:r>
          </w:p>
        </w:tc>
        <w:tc>
          <w:tcPr>
            <w:tcW w:w="717" w:type="dxa"/>
            <w:vAlign w:val="center"/>
          </w:tcPr>
          <w:p w14:paraId="5C2B151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序号</w:t>
            </w:r>
          </w:p>
        </w:tc>
        <w:tc>
          <w:tcPr>
            <w:tcW w:w="8019" w:type="dxa"/>
            <w:vAlign w:val="center"/>
          </w:tcPr>
          <w:p w14:paraId="2A2C7A0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处罚项目</w:t>
            </w:r>
          </w:p>
        </w:tc>
      </w:tr>
      <w:tr w14:paraId="0D70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restart"/>
            <w:vAlign w:val="center"/>
          </w:tcPr>
          <w:p w14:paraId="53BDF42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路基及砌体工程</w:t>
            </w:r>
          </w:p>
        </w:tc>
        <w:tc>
          <w:tcPr>
            <w:tcW w:w="717" w:type="dxa"/>
            <w:vAlign w:val="center"/>
          </w:tcPr>
          <w:p w14:paraId="56BB5A8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19" w:type="dxa"/>
            <w:vAlign w:val="center"/>
          </w:tcPr>
          <w:p w14:paraId="0A9164C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填土没有路拱(要求2％～4％)，排水不畅的；路基施工未采取临时防护排水措施的，每处违约金2000元。</w:t>
            </w:r>
          </w:p>
        </w:tc>
      </w:tr>
      <w:tr w14:paraId="4A3B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4" w:type="dxa"/>
            <w:vMerge w:val="continue"/>
            <w:vAlign w:val="center"/>
          </w:tcPr>
          <w:p w14:paraId="65C3E528">
            <w:pPr>
              <w:pStyle w:val="68"/>
              <w:shd w:val="clear" w:fill="FFFFFF" w:themeFill="background1"/>
              <w:jc w:val="center"/>
              <w:rPr>
                <w:rFonts w:ascii="宋体" w:hAnsi="宋体" w:cs="宋体"/>
                <w:color w:val="auto"/>
                <w:sz w:val="24"/>
                <w:highlight w:val="none"/>
              </w:rPr>
            </w:pPr>
          </w:p>
        </w:tc>
        <w:tc>
          <w:tcPr>
            <w:tcW w:w="717" w:type="dxa"/>
            <w:vAlign w:val="center"/>
          </w:tcPr>
          <w:p w14:paraId="55C18D4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19" w:type="dxa"/>
            <w:vAlign w:val="center"/>
          </w:tcPr>
          <w:p w14:paraId="384A77C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路基平整度不符合规范要求的，每处违约金2000元。</w:t>
            </w:r>
          </w:p>
        </w:tc>
      </w:tr>
      <w:tr w14:paraId="542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12CE152F">
            <w:pPr>
              <w:pStyle w:val="68"/>
              <w:shd w:val="clear" w:fill="FFFFFF" w:themeFill="background1"/>
              <w:jc w:val="center"/>
              <w:rPr>
                <w:rFonts w:ascii="宋体" w:hAnsi="宋体" w:cs="宋体"/>
                <w:color w:val="auto"/>
                <w:sz w:val="24"/>
                <w:highlight w:val="none"/>
              </w:rPr>
            </w:pPr>
          </w:p>
        </w:tc>
        <w:tc>
          <w:tcPr>
            <w:tcW w:w="717" w:type="dxa"/>
            <w:vAlign w:val="center"/>
          </w:tcPr>
          <w:p w14:paraId="714A889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19" w:type="dxa"/>
            <w:vAlign w:val="center"/>
          </w:tcPr>
          <w:p w14:paraId="0A3B2B2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路基填土未经平地机整平就进行压实施工的，每处违约金 2000 元。</w:t>
            </w:r>
          </w:p>
        </w:tc>
      </w:tr>
      <w:tr w14:paraId="4305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6F2E1D7E">
            <w:pPr>
              <w:pStyle w:val="68"/>
              <w:shd w:val="clear" w:fill="FFFFFF" w:themeFill="background1"/>
              <w:jc w:val="center"/>
              <w:rPr>
                <w:rFonts w:ascii="宋体" w:hAnsi="宋体" w:cs="宋体"/>
                <w:color w:val="auto"/>
                <w:sz w:val="24"/>
                <w:highlight w:val="none"/>
              </w:rPr>
            </w:pPr>
          </w:p>
        </w:tc>
        <w:tc>
          <w:tcPr>
            <w:tcW w:w="717" w:type="dxa"/>
            <w:vAlign w:val="center"/>
          </w:tcPr>
          <w:p w14:paraId="305CE83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19" w:type="dxa"/>
            <w:vAlign w:val="center"/>
          </w:tcPr>
          <w:p w14:paraId="49F8EFE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填土松铺厚度或现场实测的压实层厚度超过试验段报告明确的松铺厚度或压实层厚时，每处违约金 5000 元。</w:t>
            </w:r>
          </w:p>
        </w:tc>
      </w:tr>
      <w:tr w14:paraId="498B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24" w:type="dxa"/>
            <w:vMerge w:val="continue"/>
            <w:vAlign w:val="center"/>
          </w:tcPr>
          <w:p w14:paraId="6A0E274E">
            <w:pPr>
              <w:pStyle w:val="68"/>
              <w:shd w:val="clear" w:fill="FFFFFF" w:themeFill="background1"/>
              <w:jc w:val="center"/>
              <w:rPr>
                <w:rFonts w:ascii="宋体" w:hAnsi="宋体" w:cs="宋体"/>
                <w:color w:val="auto"/>
                <w:sz w:val="24"/>
                <w:highlight w:val="none"/>
              </w:rPr>
            </w:pPr>
          </w:p>
        </w:tc>
        <w:tc>
          <w:tcPr>
            <w:tcW w:w="717" w:type="dxa"/>
            <w:vAlign w:val="center"/>
          </w:tcPr>
          <w:p w14:paraId="6A2D685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19" w:type="dxa"/>
            <w:vAlign w:val="center"/>
          </w:tcPr>
          <w:p w14:paraId="71A606C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路槽底面以下 0-80cm 范围内，填料最大粒径不超过 10cm，在 80cm 以下的填料最大粒径不超过 15cm。违者每次违约金 2000 元。</w:t>
            </w:r>
          </w:p>
        </w:tc>
      </w:tr>
      <w:tr w14:paraId="51B4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4" w:type="dxa"/>
            <w:vMerge w:val="continue"/>
            <w:vAlign w:val="center"/>
          </w:tcPr>
          <w:p w14:paraId="662320F1">
            <w:pPr>
              <w:pStyle w:val="68"/>
              <w:shd w:val="clear" w:fill="FFFFFF" w:themeFill="background1"/>
              <w:jc w:val="center"/>
              <w:rPr>
                <w:rFonts w:ascii="宋体" w:hAnsi="宋体" w:cs="宋体"/>
                <w:color w:val="auto"/>
                <w:sz w:val="24"/>
                <w:highlight w:val="none"/>
              </w:rPr>
            </w:pPr>
          </w:p>
        </w:tc>
        <w:tc>
          <w:tcPr>
            <w:tcW w:w="717" w:type="dxa"/>
            <w:vAlign w:val="center"/>
          </w:tcPr>
          <w:p w14:paraId="4849E32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19" w:type="dxa"/>
            <w:vAlign w:val="center"/>
          </w:tcPr>
          <w:p w14:paraId="0F4B976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路基填土应按规定作液限、塑限指数及 CBR 值试验。违者每次违约金 5000 元。</w:t>
            </w:r>
          </w:p>
        </w:tc>
      </w:tr>
      <w:tr w14:paraId="7873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24" w:type="dxa"/>
            <w:vMerge w:val="continue"/>
            <w:vAlign w:val="center"/>
          </w:tcPr>
          <w:p w14:paraId="448DD4A0">
            <w:pPr>
              <w:pStyle w:val="68"/>
              <w:shd w:val="clear" w:fill="FFFFFF" w:themeFill="background1"/>
              <w:jc w:val="center"/>
              <w:rPr>
                <w:rFonts w:ascii="宋体" w:hAnsi="宋体" w:cs="宋体"/>
                <w:color w:val="auto"/>
                <w:sz w:val="24"/>
                <w:highlight w:val="none"/>
              </w:rPr>
            </w:pPr>
          </w:p>
        </w:tc>
        <w:tc>
          <w:tcPr>
            <w:tcW w:w="717" w:type="dxa"/>
            <w:vAlign w:val="center"/>
          </w:tcPr>
          <w:p w14:paraId="05EDD74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19" w:type="dxa"/>
            <w:vAlign w:val="center"/>
          </w:tcPr>
          <w:p w14:paraId="6D31633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确保填方边坡碾压密实，边坡坡面要夯实，路基宽度在设计基础上每边超填不小于 50cm，等植草前刷坡。违者每处违约金 2000 元。</w:t>
            </w:r>
          </w:p>
        </w:tc>
      </w:tr>
      <w:tr w14:paraId="4AD0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504E4B8F">
            <w:pPr>
              <w:pStyle w:val="68"/>
              <w:shd w:val="clear" w:fill="FFFFFF" w:themeFill="background1"/>
              <w:jc w:val="center"/>
              <w:rPr>
                <w:rFonts w:ascii="宋体" w:hAnsi="宋体" w:cs="宋体"/>
                <w:color w:val="auto"/>
                <w:sz w:val="24"/>
                <w:highlight w:val="none"/>
              </w:rPr>
            </w:pPr>
          </w:p>
        </w:tc>
        <w:tc>
          <w:tcPr>
            <w:tcW w:w="717" w:type="dxa"/>
            <w:vAlign w:val="center"/>
          </w:tcPr>
          <w:p w14:paraId="682ABC4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19" w:type="dxa"/>
            <w:vAlign w:val="center"/>
          </w:tcPr>
          <w:p w14:paraId="39457AB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填土压实度达不到设计要求的，每检测段违约金 2000 元。</w:t>
            </w:r>
          </w:p>
        </w:tc>
      </w:tr>
      <w:tr w14:paraId="211D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599E23DA">
            <w:pPr>
              <w:pStyle w:val="68"/>
              <w:shd w:val="clear" w:fill="FFFFFF" w:themeFill="background1"/>
              <w:jc w:val="center"/>
              <w:rPr>
                <w:rFonts w:ascii="宋体" w:hAnsi="宋体" w:cs="宋体"/>
                <w:color w:val="auto"/>
                <w:sz w:val="24"/>
                <w:highlight w:val="none"/>
              </w:rPr>
            </w:pPr>
          </w:p>
        </w:tc>
        <w:tc>
          <w:tcPr>
            <w:tcW w:w="717" w:type="dxa"/>
            <w:vAlign w:val="center"/>
          </w:tcPr>
          <w:p w14:paraId="47B082C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19" w:type="dxa"/>
            <w:vAlign w:val="center"/>
          </w:tcPr>
          <w:p w14:paraId="78D4F85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石方路基靠近边坡范围采用光面爆破，爆破后及时清理险石、松石，违者每处违约金 2000 元。</w:t>
            </w:r>
          </w:p>
        </w:tc>
      </w:tr>
      <w:tr w14:paraId="065D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 w:type="dxa"/>
            <w:vMerge w:val="continue"/>
            <w:vAlign w:val="center"/>
          </w:tcPr>
          <w:p w14:paraId="7238D571">
            <w:pPr>
              <w:pStyle w:val="68"/>
              <w:shd w:val="clear" w:fill="FFFFFF" w:themeFill="background1"/>
              <w:jc w:val="center"/>
              <w:rPr>
                <w:rFonts w:ascii="宋体" w:hAnsi="宋体" w:cs="宋体"/>
                <w:color w:val="auto"/>
                <w:sz w:val="24"/>
                <w:highlight w:val="none"/>
              </w:rPr>
            </w:pPr>
          </w:p>
        </w:tc>
        <w:tc>
          <w:tcPr>
            <w:tcW w:w="717" w:type="dxa"/>
            <w:vAlign w:val="center"/>
          </w:tcPr>
          <w:p w14:paraId="268C386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19" w:type="dxa"/>
            <w:vAlign w:val="center"/>
          </w:tcPr>
          <w:p w14:paraId="2C8C333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路堤填石要求逐层水平填筑石块，摆放平整，码砌边部，空隙用石渣石屑嵌压稳定，石块尺寸符合规范要求，违者每处违约金 2000 元。</w:t>
            </w:r>
          </w:p>
        </w:tc>
      </w:tr>
      <w:tr w14:paraId="610D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4" w:type="dxa"/>
            <w:vMerge w:val="continue"/>
            <w:vAlign w:val="center"/>
          </w:tcPr>
          <w:p w14:paraId="2B45C6E5">
            <w:pPr>
              <w:pStyle w:val="68"/>
              <w:shd w:val="clear" w:fill="FFFFFF" w:themeFill="background1"/>
              <w:jc w:val="center"/>
              <w:rPr>
                <w:rFonts w:ascii="宋体" w:hAnsi="宋体" w:cs="宋体"/>
                <w:color w:val="auto"/>
                <w:sz w:val="24"/>
                <w:highlight w:val="none"/>
              </w:rPr>
            </w:pPr>
          </w:p>
        </w:tc>
        <w:tc>
          <w:tcPr>
            <w:tcW w:w="717" w:type="dxa"/>
            <w:vAlign w:val="center"/>
          </w:tcPr>
          <w:p w14:paraId="5209043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8019" w:type="dxa"/>
            <w:vAlign w:val="center"/>
          </w:tcPr>
          <w:p w14:paraId="0EBC745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粉喷桩应严格控制喷粉时间、停粉时间、水泥喷入量，不得中断喷粉，确保喷粉桩长度，桩身上部范围必须进行二次搅拌，违者每次违约金 2000 元。</w:t>
            </w:r>
          </w:p>
        </w:tc>
      </w:tr>
      <w:tr w14:paraId="7655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Merge w:val="continue"/>
            <w:vAlign w:val="center"/>
          </w:tcPr>
          <w:p w14:paraId="22E77863">
            <w:pPr>
              <w:pStyle w:val="68"/>
              <w:shd w:val="clear" w:fill="FFFFFF" w:themeFill="background1"/>
              <w:jc w:val="center"/>
              <w:rPr>
                <w:rFonts w:ascii="宋体" w:hAnsi="宋体" w:cs="宋体"/>
                <w:color w:val="auto"/>
                <w:sz w:val="24"/>
                <w:highlight w:val="none"/>
              </w:rPr>
            </w:pPr>
          </w:p>
        </w:tc>
        <w:tc>
          <w:tcPr>
            <w:tcW w:w="717" w:type="dxa"/>
            <w:vAlign w:val="center"/>
          </w:tcPr>
          <w:p w14:paraId="77C99C1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12</w:t>
            </w:r>
          </w:p>
        </w:tc>
        <w:tc>
          <w:tcPr>
            <w:tcW w:w="8019" w:type="dxa"/>
            <w:vAlign w:val="center"/>
          </w:tcPr>
          <w:p w14:paraId="272D149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软基换填处理未将软土清除干净就进行回填施工的，每处违约金 2000 元。</w:t>
            </w:r>
          </w:p>
        </w:tc>
      </w:tr>
      <w:tr w14:paraId="4DD6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4" w:type="dxa"/>
            <w:vMerge w:val="continue"/>
            <w:vAlign w:val="center"/>
          </w:tcPr>
          <w:p w14:paraId="6AF8B354">
            <w:pPr>
              <w:pStyle w:val="68"/>
              <w:shd w:val="clear" w:fill="FFFFFF" w:themeFill="background1"/>
              <w:jc w:val="center"/>
              <w:rPr>
                <w:rFonts w:ascii="宋体" w:hAnsi="宋体" w:cs="宋体"/>
                <w:color w:val="auto"/>
                <w:sz w:val="24"/>
                <w:highlight w:val="none"/>
              </w:rPr>
            </w:pPr>
          </w:p>
        </w:tc>
        <w:tc>
          <w:tcPr>
            <w:tcW w:w="717" w:type="dxa"/>
            <w:vAlign w:val="center"/>
          </w:tcPr>
          <w:p w14:paraId="72DD2BC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13</w:t>
            </w:r>
          </w:p>
        </w:tc>
        <w:tc>
          <w:tcPr>
            <w:tcW w:w="8019" w:type="dxa"/>
            <w:vAlign w:val="center"/>
          </w:tcPr>
          <w:p w14:paraId="22C3413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软基处理未按要求进行沉降和稳定性观测的，每次违约金 2000 元。</w:t>
            </w:r>
          </w:p>
        </w:tc>
      </w:tr>
      <w:tr w14:paraId="4CF3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 w:type="dxa"/>
            <w:vMerge w:val="continue"/>
            <w:vAlign w:val="center"/>
          </w:tcPr>
          <w:p w14:paraId="004585F6">
            <w:pPr>
              <w:pStyle w:val="68"/>
              <w:shd w:val="clear" w:fill="FFFFFF" w:themeFill="background1"/>
              <w:jc w:val="center"/>
              <w:rPr>
                <w:rFonts w:ascii="宋体" w:hAnsi="宋体" w:cs="宋体"/>
                <w:color w:val="auto"/>
                <w:sz w:val="24"/>
                <w:highlight w:val="none"/>
              </w:rPr>
            </w:pPr>
          </w:p>
        </w:tc>
        <w:tc>
          <w:tcPr>
            <w:tcW w:w="717" w:type="dxa"/>
            <w:vAlign w:val="center"/>
          </w:tcPr>
          <w:p w14:paraId="2AC6F6B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14</w:t>
            </w:r>
          </w:p>
        </w:tc>
        <w:tc>
          <w:tcPr>
            <w:tcW w:w="8019" w:type="dxa"/>
            <w:vAlign w:val="center"/>
          </w:tcPr>
          <w:p w14:paraId="6C57F5D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软基路段施工前应调查软土分布范围、软土深度，进行土工试验，发现与设计不符的，应通知监理人，违者每次违约金 5000 元。</w:t>
            </w:r>
          </w:p>
        </w:tc>
      </w:tr>
      <w:tr w14:paraId="6A0A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4" w:type="dxa"/>
            <w:vMerge w:val="continue"/>
            <w:vAlign w:val="center"/>
          </w:tcPr>
          <w:p w14:paraId="70CCF7B9">
            <w:pPr>
              <w:pStyle w:val="68"/>
              <w:shd w:val="clear" w:fill="FFFFFF" w:themeFill="background1"/>
              <w:jc w:val="center"/>
              <w:rPr>
                <w:rFonts w:ascii="宋体" w:hAnsi="宋体" w:cs="宋体"/>
                <w:color w:val="auto"/>
                <w:sz w:val="24"/>
                <w:highlight w:val="none"/>
              </w:rPr>
            </w:pPr>
          </w:p>
        </w:tc>
        <w:tc>
          <w:tcPr>
            <w:tcW w:w="717" w:type="dxa"/>
            <w:vAlign w:val="center"/>
          </w:tcPr>
          <w:p w14:paraId="2BAA10D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15</w:t>
            </w:r>
          </w:p>
        </w:tc>
        <w:tc>
          <w:tcPr>
            <w:tcW w:w="8019" w:type="dxa"/>
            <w:vAlign w:val="center"/>
          </w:tcPr>
          <w:p w14:paraId="43D3EF4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袋装砂井施工中，砂袋未垂吊、灌沙不饱满的，每根违约金 2000 元。</w:t>
            </w:r>
          </w:p>
        </w:tc>
      </w:tr>
      <w:tr w14:paraId="29EF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4" w:type="dxa"/>
            <w:vMerge w:val="continue"/>
            <w:vAlign w:val="center"/>
          </w:tcPr>
          <w:p w14:paraId="1CAB58DC">
            <w:pPr>
              <w:pStyle w:val="68"/>
              <w:shd w:val="clear" w:fill="FFFFFF" w:themeFill="background1"/>
              <w:jc w:val="center"/>
              <w:rPr>
                <w:rFonts w:ascii="宋体" w:hAnsi="宋体" w:cs="宋体"/>
                <w:color w:val="auto"/>
                <w:sz w:val="24"/>
                <w:highlight w:val="none"/>
              </w:rPr>
            </w:pPr>
          </w:p>
        </w:tc>
        <w:tc>
          <w:tcPr>
            <w:tcW w:w="717" w:type="dxa"/>
            <w:vAlign w:val="center"/>
          </w:tcPr>
          <w:p w14:paraId="6738A0D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w:t>
            </w:r>
          </w:p>
        </w:tc>
        <w:tc>
          <w:tcPr>
            <w:tcW w:w="8019" w:type="dxa"/>
            <w:vAlign w:val="center"/>
          </w:tcPr>
          <w:p w14:paraId="31FF6A6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袋装砂井、砂袋织物和塑料排水板的材料质量必须符合设计要求，违者每处违约金 2000 元。</w:t>
            </w:r>
          </w:p>
        </w:tc>
      </w:tr>
      <w:tr w14:paraId="4A64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dxa"/>
            <w:vMerge w:val="continue"/>
            <w:vAlign w:val="center"/>
          </w:tcPr>
          <w:p w14:paraId="5D6A6430">
            <w:pPr>
              <w:pStyle w:val="68"/>
              <w:shd w:val="clear" w:fill="FFFFFF" w:themeFill="background1"/>
              <w:jc w:val="center"/>
              <w:rPr>
                <w:rFonts w:ascii="宋体" w:hAnsi="宋体" w:cs="宋体"/>
                <w:color w:val="auto"/>
                <w:sz w:val="24"/>
                <w:highlight w:val="none"/>
              </w:rPr>
            </w:pPr>
          </w:p>
        </w:tc>
        <w:tc>
          <w:tcPr>
            <w:tcW w:w="717" w:type="dxa"/>
            <w:vAlign w:val="center"/>
          </w:tcPr>
          <w:p w14:paraId="2C8FD10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17</w:t>
            </w:r>
          </w:p>
        </w:tc>
        <w:tc>
          <w:tcPr>
            <w:tcW w:w="8019" w:type="dxa"/>
            <w:vAlign w:val="center"/>
          </w:tcPr>
          <w:p w14:paraId="287799F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土工格栅、土工布等土工材料质量不符合设计要求，搭接宽度、搭接方式不符合有关要求的，每处违约金 2000 元。</w:t>
            </w:r>
          </w:p>
        </w:tc>
      </w:tr>
      <w:tr w14:paraId="257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24" w:type="dxa"/>
            <w:vMerge w:val="continue"/>
            <w:vAlign w:val="center"/>
          </w:tcPr>
          <w:p w14:paraId="011CBCFA">
            <w:pPr>
              <w:pStyle w:val="68"/>
              <w:shd w:val="clear" w:fill="FFFFFF" w:themeFill="background1"/>
              <w:jc w:val="center"/>
              <w:rPr>
                <w:rFonts w:ascii="宋体" w:hAnsi="宋体" w:cs="宋体"/>
                <w:color w:val="auto"/>
                <w:sz w:val="24"/>
                <w:highlight w:val="none"/>
              </w:rPr>
            </w:pPr>
          </w:p>
        </w:tc>
        <w:tc>
          <w:tcPr>
            <w:tcW w:w="717" w:type="dxa"/>
            <w:vAlign w:val="center"/>
          </w:tcPr>
          <w:p w14:paraId="6AF2533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18</w:t>
            </w:r>
          </w:p>
        </w:tc>
        <w:tc>
          <w:tcPr>
            <w:tcW w:w="8019" w:type="dxa"/>
            <w:vAlign w:val="center"/>
          </w:tcPr>
          <w:p w14:paraId="35635EE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结构物台背回填施工应符合以下要求，违者每次或每处违约金 2000 元：</w:t>
            </w:r>
          </w:p>
          <w:p w14:paraId="515E516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（1）除肋式及桩柱式外，回填必须在上部结构安装完毕，结构物验收合格，且砼强度达到设计的 85%后方可进行；</w:t>
            </w:r>
          </w:p>
          <w:p w14:paraId="3E41D70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（2）回填必须在构造物两端对称填筑压实，以免产生变形、破坏，每层松铺厚度不大于 20cm；</w:t>
            </w:r>
          </w:p>
          <w:p w14:paraId="26D333B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（3）回填界面路基填筑时必须超填 50cm 以上，超填部分回填施工前清除，保证界面密实；</w:t>
            </w:r>
          </w:p>
          <w:p w14:paraId="5694A0C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（4）回填砂施工采用水密法，配合插入式振捣捧小型夯实设备，小型压路机进行，必须达到设计压实度；</w:t>
            </w:r>
          </w:p>
          <w:p w14:paraId="66F270D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（5）台背填料及回填断面应符合设计和规范要求。</w:t>
            </w:r>
          </w:p>
        </w:tc>
      </w:tr>
      <w:tr w14:paraId="6776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24" w:type="dxa"/>
            <w:vMerge w:val="continue"/>
            <w:vAlign w:val="center"/>
          </w:tcPr>
          <w:p w14:paraId="567561FF">
            <w:pPr>
              <w:pStyle w:val="68"/>
              <w:shd w:val="clear" w:fill="FFFFFF" w:themeFill="background1"/>
              <w:jc w:val="center"/>
              <w:rPr>
                <w:rFonts w:ascii="宋体" w:hAnsi="宋体" w:cs="宋体"/>
                <w:color w:val="auto"/>
                <w:sz w:val="24"/>
                <w:highlight w:val="none"/>
              </w:rPr>
            </w:pPr>
          </w:p>
        </w:tc>
        <w:tc>
          <w:tcPr>
            <w:tcW w:w="717" w:type="dxa"/>
            <w:vAlign w:val="center"/>
          </w:tcPr>
          <w:p w14:paraId="2AE93E3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19</w:t>
            </w:r>
          </w:p>
        </w:tc>
        <w:tc>
          <w:tcPr>
            <w:tcW w:w="8019" w:type="dxa"/>
            <w:vAlign w:val="center"/>
          </w:tcPr>
          <w:p w14:paraId="7240DE44">
            <w:pPr>
              <w:pStyle w:val="68"/>
              <w:shd w:val="clear" w:fill="FFFFFF" w:themeFill="background1"/>
              <w:ind w:firstLine="360" w:firstLineChars="150"/>
              <w:rPr>
                <w:rFonts w:ascii="宋体" w:hAnsi="宋体" w:cs="宋体"/>
                <w:color w:val="auto"/>
                <w:sz w:val="24"/>
                <w:highlight w:val="none"/>
              </w:rPr>
            </w:pPr>
            <w:r>
              <w:rPr>
                <w:rFonts w:hint="eastAsia" w:ascii="宋体" w:hAnsi="宋体" w:cs="宋体"/>
                <w:color w:val="auto"/>
                <w:sz w:val="24"/>
                <w:highlight w:val="none"/>
              </w:rPr>
              <w:t>砌体工程不满足下列规定者，每项违约金2000元，并作返工处理：</w:t>
            </w:r>
          </w:p>
          <w:p w14:paraId="02252E9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（1）不得采用风化石，表面石料粒径需≥30cm；</w:t>
            </w:r>
          </w:p>
          <w:p w14:paraId="71C7965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（2））构造物表面平顺，无凹凸扭曲现象，砂浆抹边的棱角线、平直度：2m拉线(直尺)检查≤l0mm；</w:t>
            </w:r>
          </w:p>
          <w:p w14:paraId="050BE23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（3）上边坡护面墙砌体一律勾凹缝；</w:t>
            </w:r>
          </w:p>
          <w:p w14:paraId="02A8BCA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（4）勾缝不得有瞎缝、丢缝、裂纹和脱落现象，缝宽统一；</w:t>
            </w:r>
          </w:p>
          <w:p w14:paraId="3E3C93A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（5）石缝不大于40mm，砌缝内砂浆均匀饱满，不得有空洞；</w:t>
            </w:r>
          </w:p>
          <w:p w14:paraId="0A580D1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（6）层间错缝不大于80mm，三块石相接空隙不大于70mm；</w:t>
            </w:r>
          </w:p>
          <w:p w14:paraId="5FA3615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（7）砂浆抹面，平整度用2m直尺检查≤8mm，不得有裂缝、空鼓现象；</w:t>
            </w:r>
          </w:p>
          <w:p w14:paraId="6629EC9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（8）泄水孔排列整齐、按设计设置坡度，无堵塞现象；</w:t>
            </w:r>
          </w:p>
          <w:p w14:paraId="79AC4CC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（9）截水沟与实际地形砌顺，要求线形顺畅，地形无变化时，不得出现弯曲。</w:t>
            </w:r>
          </w:p>
        </w:tc>
      </w:tr>
      <w:tr w14:paraId="446D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24" w:type="dxa"/>
            <w:vMerge w:val="continue"/>
            <w:vAlign w:val="center"/>
          </w:tcPr>
          <w:p w14:paraId="7B45A647">
            <w:pPr>
              <w:pStyle w:val="68"/>
              <w:shd w:val="clear" w:fill="FFFFFF" w:themeFill="background1"/>
              <w:jc w:val="center"/>
              <w:rPr>
                <w:rFonts w:ascii="宋体" w:hAnsi="宋体" w:cs="宋体"/>
                <w:color w:val="auto"/>
                <w:sz w:val="24"/>
                <w:highlight w:val="none"/>
              </w:rPr>
            </w:pPr>
          </w:p>
        </w:tc>
        <w:tc>
          <w:tcPr>
            <w:tcW w:w="717" w:type="dxa"/>
            <w:vAlign w:val="center"/>
          </w:tcPr>
          <w:p w14:paraId="7165AF5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20</w:t>
            </w:r>
          </w:p>
        </w:tc>
        <w:tc>
          <w:tcPr>
            <w:tcW w:w="8019" w:type="dxa"/>
            <w:vAlign w:val="center"/>
          </w:tcPr>
          <w:p w14:paraId="6B6AD142">
            <w:pPr>
              <w:pStyle w:val="68"/>
              <w:shd w:val="clear" w:fill="FFFFFF" w:themeFill="background1"/>
              <w:ind w:firstLine="240" w:firstLineChars="100"/>
              <w:rPr>
                <w:rFonts w:ascii="宋体" w:hAnsi="宋体" w:cs="宋体"/>
                <w:color w:val="auto"/>
                <w:sz w:val="24"/>
                <w:highlight w:val="none"/>
              </w:rPr>
            </w:pPr>
            <w:r>
              <w:rPr>
                <w:rFonts w:hint="eastAsia" w:ascii="宋体" w:hAnsi="宋体" w:cs="宋体"/>
                <w:color w:val="auto"/>
                <w:sz w:val="24"/>
                <w:highlight w:val="none"/>
              </w:rPr>
              <w:t>浆砌工程存在下列情况之一的，违约金2000元：</w:t>
            </w:r>
          </w:p>
          <w:p w14:paraId="38E7BC05">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铺砌厚度不满足要求；</w:t>
            </w:r>
          </w:p>
          <w:p w14:paraId="249CD358">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垫层厚度不满足要求的；</w:t>
            </w:r>
          </w:p>
          <w:p w14:paraId="3947CE46">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砌缝内砂浆不饱满的；</w:t>
            </w:r>
          </w:p>
          <w:p w14:paraId="4B14C3C9">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砂浆不采用机械拌和的</w:t>
            </w:r>
          </w:p>
          <w:p w14:paraId="1C40DA1D">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砌缝没有错开的：</w:t>
            </w:r>
          </w:p>
          <w:p w14:paraId="56BD88ED">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砂浆强度达不到规定要求的：</w:t>
            </w:r>
          </w:p>
          <w:p w14:paraId="5F7ADF18">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沟底未清理干净，有浮土、泥浆等杂物的；</w:t>
            </w:r>
          </w:p>
          <w:p w14:paraId="57521290">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施工后不进行养护的。</w:t>
            </w:r>
          </w:p>
        </w:tc>
      </w:tr>
      <w:tr w14:paraId="6D10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076DF647">
            <w:pPr>
              <w:pStyle w:val="68"/>
              <w:shd w:val="clear" w:fill="FFFFFF" w:themeFill="background1"/>
              <w:jc w:val="center"/>
              <w:rPr>
                <w:rFonts w:ascii="宋体" w:hAnsi="宋体" w:cs="宋体"/>
                <w:color w:val="auto"/>
                <w:sz w:val="24"/>
                <w:highlight w:val="none"/>
              </w:rPr>
            </w:pPr>
          </w:p>
        </w:tc>
        <w:tc>
          <w:tcPr>
            <w:tcW w:w="717" w:type="dxa"/>
            <w:vAlign w:val="center"/>
          </w:tcPr>
          <w:p w14:paraId="72F73D8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21</w:t>
            </w:r>
          </w:p>
        </w:tc>
        <w:tc>
          <w:tcPr>
            <w:tcW w:w="8019" w:type="dxa"/>
            <w:vAlign w:val="center"/>
          </w:tcPr>
          <w:p w14:paraId="2761817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排水盲沟断面不符合设计要求，回填碎石含泥量超标的，土工布铺设不符合要求的，违者每处违约金2000元</w:t>
            </w:r>
          </w:p>
        </w:tc>
      </w:tr>
      <w:tr w14:paraId="241F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317F7991">
            <w:pPr>
              <w:pStyle w:val="68"/>
              <w:shd w:val="clear" w:fill="FFFFFF" w:themeFill="background1"/>
              <w:jc w:val="center"/>
              <w:rPr>
                <w:rFonts w:ascii="宋体" w:hAnsi="宋体" w:cs="宋体"/>
                <w:color w:val="auto"/>
                <w:sz w:val="24"/>
                <w:highlight w:val="none"/>
              </w:rPr>
            </w:pPr>
          </w:p>
        </w:tc>
        <w:tc>
          <w:tcPr>
            <w:tcW w:w="717" w:type="dxa"/>
            <w:vAlign w:val="center"/>
          </w:tcPr>
          <w:p w14:paraId="4EC5976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22</w:t>
            </w:r>
          </w:p>
        </w:tc>
        <w:tc>
          <w:tcPr>
            <w:tcW w:w="8019" w:type="dxa"/>
            <w:vAlign w:val="center"/>
          </w:tcPr>
          <w:p w14:paraId="0DC09BF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边坡开挖未做到开挖一级、防护一级的，每次违约金 10000 元。</w:t>
            </w:r>
          </w:p>
        </w:tc>
      </w:tr>
      <w:tr w14:paraId="560D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4" w:type="dxa"/>
            <w:vMerge w:val="continue"/>
            <w:vAlign w:val="center"/>
          </w:tcPr>
          <w:p w14:paraId="049CFE22">
            <w:pPr>
              <w:pStyle w:val="68"/>
              <w:shd w:val="clear" w:fill="FFFFFF" w:themeFill="background1"/>
              <w:jc w:val="center"/>
              <w:rPr>
                <w:rFonts w:ascii="宋体" w:hAnsi="宋体" w:cs="宋体"/>
                <w:color w:val="auto"/>
                <w:sz w:val="24"/>
                <w:highlight w:val="none"/>
              </w:rPr>
            </w:pPr>
          </w:p>
        </w:tc>
        <w:tc>
          <w:tcPr>
            <w:tcW w:w="717" w:type="dxa"/>
            <w:tcBorders>
              <w:bottom w:val="single" w:color="auto" w:sz="4" w:space="0"/>
            </w:tcBorders>
            <w:vAlign w:val="center"/>
          </w:tcPr>
          <w:p w14:paraId="695C665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23</w:t>
            </w:r>
          </w:p>
        </w:tc>
        <w:tc>
          <w:tcPr>
            <w:tcW w:w="8019" w:type="dxa"/>
            <w:tcBorders>
              <w:bottom w:val="single" w:color="auto" w:sz="4" w:space="0"/>
            </w:tcBorders>
            <w:vAlign w:val="center"/>
          </w:tcPr>
          <w:p w14:paraId="6382BD9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路堑边坡支挡工程存在以下类别的问题时，每处违约金 5000 元。</w:t>
            </w:r>
          </w:p>
          <w:p w14:paraId="6D827B7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（1）锚杆或锚索长度不足；</w:t>
            </w:r>
          </w:p>
          <w:p w14:paraId="19B0F6F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（2）压浆不规范；</w:t>
            </w:r>
          </w:p>
          <w:p w14:paraId="053E98F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（3）张拉力不足；</w:t>
            </w:r>
          </w:p>
          <w:p w14:paraId="59516EA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（4）强度不合格。</w:t>
            </w:r>
          </w:p>
        </w:tc>
      </w:tr>
    </w:tbl>
    <w:p w14:paraId="014C9637">
      <w:pPr>
        <w:pStyle w:val="68"/>
        <w:shd w:val="clear" w:fill="FFFFFF" w:themeFill="background1"/>
        <w:rPr>
          <w:rFonts w:ascii="宋体" w:hAnsi="宋体" w:cs="宋体"/>
          <w:color w:val="auto"/>
          <w:sz w:val="24"/>
          <w:highlight w:val="none"/>
        </w:rPr>
      </w:pPr>
    </w:p>
    <w:p w14:paraId="12660944">
      <w:pPr>
        <w:pStyle w:val="68"/>
        <w:shd w:val="clear" w:fill="FFFFFF" w:themeFill="background1"/>
        <w:jc w:val="righ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续上表</w:t>
      </w:r>
    </w:p>
    <w:tbl>
      <w:tblPr>
        <w:tblStyle w:val="43"/>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8"/>
        <w:gridCol w:w="8062"/>
      </w:tblGrid>
      <w:tr w14:paraId="04F4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AA5E48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桥</w:t>
            </w:r>
          </w:p>
          <w:p w14:paraId="29D1E9A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涵</w:t>
            </w:r>
          </w:p>
          <w:p w14:paraId="6908A5B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工</w:t>
            </w:r>
          </w:p>
          <w:p w14:paraId="66E6928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程</w:t>
            </w:r>
          </w:p>
        </w:tc>
        <w:tc>
          <w:tcPr>
            <w:tcW w:w="518" w:type="dxa"/>
            <w:vAlign w:val="center"/>
          </w:tcPr>
          <w:p w14:paraId="26EF5156">
            <w:pPr>
              <w:pStyle w:val="68"/>
              <w:shd w:val="clear" w:fill="FFFFFF" w:themeFill="background1"/>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8062" w:type="dxa"/>
            <w:vAlign w:val="center"/>
          </w:tcPr>
          <w:p w14:paraId="1FF70A0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防撞栏出现大量麻面；线形有明显波折、错台；墙角或接缝漏浆；表面多处露筋，每十米违约金2000元。</w:t>
            </w:r>
          </w:p>
        </w:tc>
      </w:tr>
      <w:tr w14:paraId="2BE8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9" w:type="dxa"/>
            <w:vMerge w:val="continue"/>
          </w:tcPr>
          <w:p w14:paraId="6905D45D">
            <w:pPr>
              <w:pStyle w:val="68"/>
              <w:shd w:val="clear" w:fill="FFFFFF" w:themeFill="background1"/>
              <w:rPr>
                <w:rFonts w:ascii="宋体" w:hAnsi="宋体" w:cs="宋体"/>
                <w:color w:val="auto"/>
                <w:sz w:val="28"/>
                <w:szCs w:val="28"/>
                <w:highlight w:val="none"/>
              </w:rPr>
            </w:pPr>
          </w:p>
        </w:tc>
        <w:tc>
          <w:tcPr>
            <w:tcW w:w="518" w:type="dxa"/>
            <w:vAlign w:val="center"/>
          </w:tcPr>
          <w:p w14:paraId="0E317B8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36C01EE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构造物不按要求进行养生的，每处违约金2000元。</w:t>
            </w:r>
          </w:p>
        </w:tc>
      </w:tr>
      <w:tr w14:paraId="564D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19" w:type="dxa"/>
            <w:vMerge w:val="continue"/>
          </w:tcPr>
          <w:p w14:paraId="2F405308">
            <w:pPr>
              <w:pStyle w:val="68"/>
              <w:shd w:val="clear" w:fill="FFFFFF" w:themeFill="background1"/>
              <w:rPr>
                <w:rFonts w:ascii="宋体" w:hAnsi="宋体" w:cs="宋体"/>
                <w:color w:val="auto"/>
                <w:sz w:val="28"/>
                <w:szCs w:val="28"/>
                <w:highlight w:val="none"/>
              </w:rPr>
            </w:pPr>
          </w:p>
        </w:tc>
        <w:tc>
          <w:tcPr>
            <w:tcW w:w="518" w:type="dxa"/>
            <w:vAlign w:val="center"/>
          </w:tcPr>
          <w:p w14:paraId="15AEF98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27EE1E6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构造物施工未采取措施保证钢筋保护层厚度就浇筑砼的，每次违约金2000元。</w:t>
            </w:r>
          </w:p>
        </w:tc>
      </w:tr>
      <w:tr w14:paraId="4F84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436CE6A">
            <w:pPr>
              <w:pStyle w:val="68"/>
              <w:shd w:val="clear" w:fill="FFFFFF" w:themeFill="background1"/>
              <w:rPr>
                <w:rFonts w:ascii="宋体" w:hAnsi="宋体" w:cs="宋体"/>
                <w:color w:val="auto"/>
                <w:sz w:val="28"/>
                <w:szCs w:val="28"/>
                <w:highlight w:val="none"/>
              </w:rPr>
            </w:pPr>
          </w:p>
        </w:tc>
        <w:tc>
          <w:tcPr>
            <w:tcW w:w="518" w:type="dxa"/>
            <w:vAlign w:val="center"/>
          </w:tcPr>
          <w:p w14:paraId="16B27FA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18E64DC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下列情况，违者每次违约金2000元：</w:t>
            </w:r>
          </w:p>
          <w:p w14:paraId="2828D1A8">
            <w:pPr>
              <w:pStyle w:val="68"/>
              <w:numPr>
                <w:ilvl w:val="0"/>
                <w:numId w:val="18"/>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伸缩缝位置必须保证满足设计要求，安装时必须按气温来确定安装宽度；</w:t>
            </w:r>
          </w:p>
          <w:p w14:paraId="3A96D6FD">
            <w:pPr>
              <w:pStyle w:val="68"/>
              <w:numPr>
                <w:ilvl w:val="0"/>
                <w:numId w:val="18"/>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预留槽口底面的砼必须密实、平整；</w:t>
            </w:r>
          </w:p>
          <w:p w14:paraId="05B480D7">
            <w:pPr>
              <w:pStyle w:val="68"/>
              <w:numPr>
                <w:ilvl w:val="0"/>
                <w:numId w:val="18"/>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在填充前必须保证干净，不得有杂物。</w:t>
            </w:r>
          </w:p>
        </w:tc>
      </w:tr>
      <w:tr w14:paraId="5A0D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45FE119">
            <w:pPr>
              <w:pStyle w:val="68"/>
              <w:shd w:val="clear" w:fill="FFFFFF" w:themeFill="background1"/>
              <w:rPr>
                <w:rFonts w:ascii="宋体" w:hAnsi="宋体" w:cs="宋体"/>
                <w:color w:val="auto"/>
                <w:sz w:val="28"/>
                <w:szCs w:val="28"/>
                <w:highlight w:val="none"/>
              </w:rPr>
            </w:pPr>
          </w:p>
        </w:tc>
        <w:tc>
          <w:tcPr>
            <w:tcW w:w="518" w:type="dxa"/>
            <w:vAlign w:val="center"/>
          </w:tcPr>
          <w:p w14:paraId="182C52D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204B2E1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张拉千斤顶没有按规范要求标定，造成拉力不符设计要求的，每次违约金2000元。</w:t>
            </w:r>
          </w:p>
        </w:tc>
      </w:tr>
      <w:tr w14:paraId="7E71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9" w:type="dxa"/>
            <w:vMerge w:val="continue"/>
          </w:tcPr>
          <w:p w14:paraId="54CCABD9">
            <w:pPr>
              <w:pStyle w:val="68"/>
              <w:shd w:val="clear" w:fill="FFFFFF" w:themeFill="background1"/>
              <w:rPr>
                <w:rFonts w:ascii="宋体" w:hAnsi="宋体" w:cs="宋体"/>
                <w:color w:val="auto"/>
                <w:sz w:val="28"/>
                <w:szCs w:val="28"/>
                <w:highlight w:val="none"/>
              </w:rPr>
            </w:pPr>
          </w:p>
        </w:tc>
        <w:tc>
          <w:tcPr>
            <w:tcW w:w="518" w:type="dxa"/>
            <w:vAlign w:val="center"/>
          </w:tcPr>
          <w:p w14:paraId="7FC3630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69CEF7C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预应力筋有烧伤或划伤，必须立即撤换，违者每次违约金5000元。</w:t>
            </w:r>
          </w:p>
        </w:tc>
      </w:tr>
      <w:tr w14:paraId="0A0C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19" w:type="dxa"/>
            <w:vMerge w:val="continue"/>
          </w:tcPr>
          <w:p w14:paraId="003779C0">
            <w:pPr>
              <w:pStyle w:val="68"/>
              <w:shd w:val="clear" w:fill="FFFFFF" w:themeFill="background1"/>
              <w:rPr>
                <w:rFonts w:ascii="宋体" w:hAnsi="宋体" w:cs="宋体"/>
                <w:color w:val="auto"/>
                <w:sz w:val="28"/>
                <w:szCs w:val="28"/>
                <w:highlight w:val="none"/>
              </w:rPr>
            </w:pPr>
          </w:p>
        </w:tc>
        <w:tc>
          <w:tcPr>
            <w:tcW w:w="518" w:type="dxa"/>
            <w:vAlign w:val="center"/>
          </w:tcPr>
          <w:p w14:paraId="005177D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353F175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预应力筋因施工不当造成断丝且无法补救时，每次违约金8000元。</w:t>
            </w:r>
          </w:p>
        </w:tc>
      </w:tr>
      <w:tr w14:paraId="06F7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4BA00D5">
            <w:pPr>
              <w:pStyle w:val="68"/>
              <w:shd w:val="clear" w:fill="FFFFFF" w:themeFill="background1"/>
              <w:rPr>
                <w:rFonts w:ascii="宋体" w:hAnsi="宋体" w:cs="宋体"/>
                <w:color w:val="auto"/>
                <w:sz w:val="28"/>
                <w:szCs w:val="28"/>
                <w:highlight w:val="none"/>
              </w:rPr>
            </w:pPr>
          </w:p>
        </w:tc>
        <w:tc>
          <w:tcPr>
            <w:tcW w:w="518" w:type="dxa"/>
            <w:vAlign w:val="center"/>
          </w:tcPr>
          <w:p w14:paraId="2788B2D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777D0B2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预制梁施工必须符合设计要求，吊装位置准确，标高误差±lcm，违者违约金2000元。</w:t>
            </w:r>
          </w:p>
        </w:tc>
      </w:tr>
      <w:tr w14:paraId="2A98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11BFDAB">
            <w:pPr>
              <w:pStyle w:val="68"/>
              <w:shd w:val="clear" w:fill="FFFFFF" w:themeFill="background1"/>
              <w:rPr>
                <w:rFonts w:ascii="宋体" w:hAnsi="宋体" w:cs="宋体"/>
                <w:color w:val="auto"/>
                <w:sz w:val="28"/>
                <w:szCs w:val="28"/>
                <w:highlight w:val="none"/>
              </w:rPr>
            </w:pPr>
          </w:p>
        </w:tc>
        <w:tc>
          <w:tcPr>
            <w:tcW w:w="518" w:type="dxa"/>
            <w:vAlign w:val="center"/>
          </w:tcPr>
          <w:p w14:paraId="1812427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207CB8D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一个经过自检的钢筋骨架中钢筋焊接长度不足及焊缝不饱满超过3处的，违约金 2000元。 </w:t>
            </w:r>
          </w:p>
        </w:tc>
      </w:tr>
      <w:tr w14:paraId="7014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22DA9A6">
            <w:pPr>
              <w:pStyle w:val="68"/>
              <w:shd w:val="clear" w:fill="FFFFFF" w:themeFill="background1"/>
              <w:rPr>
                <w:rFonts w:ascii="宋体" w:hAnsi="宋体" w:cs="宋体"/>
                <w:color w:val="auto"/>
                <w:sz w:val="28"/>
                <w:szCs w:val="28"/>
                <w:highlight w:val="none"/>
              </w:rPr>
            </w:pPr>
          </w:p>
        </w:tc>
        <w:tc>
          <w:tcPr>
            <w:tcW w:w="518" w:type="dxa"/>
            <w:vAlign w:val="center"/>
          </w:tcPr>
          <w:p w14:paraId="45206C9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746255D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一个经过自检的钢筋骨架有3处钢筋间距(包括土筋和构造筋)不符合规范要求的违约金2000元。</w:t>
            </w:r>
          </w:p>
        </w:tc>
      </w:tr>
      <w:tr w14:paraId="58EC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Merge w:val="continue"/>
          </w:tcPr>
          <w:p w14:paraId="4AF84644">
            <w:pPr>
              <w:pStyle w:val="68"/>
              <w:shd w:val="clear" w:fill="FFFFFF" w:themeFill="background1"/>
              <w:rPr>
                <w:rFonts w:ascii="宋体" w:hAnsi="宋体" w:cs="宋体"/>
                <w:color w:val="auto"/>
                <w:sz w:val="28"/>
                <w:szCs w:val="28"/>
                <w:highlight w:val="none"/>
              </w:rPr>
            </w:pPr>
          </w:p>
        </w:tc>
        <w:tc>
          <w:tcPr>
            <w:tcW w:w="518" w:type="dxa"/>
            <w:vAlign w:val="center"/>
          </w:tcPr>
          <w:p w14:paraId="101E8D1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vAlign w:val="center"/>
          </w:tcPr>
          <w:p w14:paraId="757FC1F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钢筋骨架己生锈，在浇筑砼前未作去锈处理的，每次违约金2000元。</w:t>
            </w:r>
          </w:p>
        </w:tc>
      </w:tr>
      <w:tr w14:paraId="0901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293CBBF">
            <w:pPr>
              <w:pStyle w:val="68"/>
              <w:shd w:val="clear" w:fill="FFFFFF" w:themeFill="background1"/>
              <w:rPr>
                <w:rFonts w:ascii="宋体" w:hAnsi="宋体" w:cs="宋体"/>
                <w:color w:val="auto"/>
                <w:sz w:val="28"/>
                <w:szCs w:val="28"/>
                <w:highlight w:val="none"/>
              </w:rPr>
            </w:pPr>
          </w:p>
        </w:tc>
        <w:tc>
          <w:tcPr>
            <w:tcW w:w="518" w:type="dxa"/>
            <w:vAlign w:val="center"/>
          </w:tcPr>
          <w:p w14:paraId="3219297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12</w:t>
            </w:r>
          </w:p>
        </w:tc>
        <w:tc>
          <w:tcPr>
            <w:tcW w:w="8062" w:type="dxa"/>
            <w:vAlign w:val="center"/>
          </w:tcPr>
          <w:p w14:paraId="73C4B1D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在钻孔桩的施工中泥浆循环系统未设沉淀池的，或沉淀池规格不符合有关要求的，每处违约金2000元。</w:t>
            </w:r>
          </w:p>
        </w:tc>
      </w:tr>
      <w:tr w14:paraId="5C51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2D6ADC0">
            <w:pPr>
              <w:pStyle w:val="68"/>
              <w:shd w:val="clear" w:fill="FFFFFF" w:themeFill="background1"/>
              <w:rPr>
                <w:rFonts w:ascii="宋体" w:hAnsi="宋体" w:cs="宋体"/>
                <w:color w:val="auto"/>
                <w:sz w:val="28"/>
                <w:szCs w:val="28"/>
                <w:highlight w:val="none"/>
              </w:rPr>
            </w:pPr>
          </w:p>
        </w:tc>
        <w:tc>
          <w:tcPr>
            <w:tcW w:w="518" w:type="dxa"/>
            <w:vAlign w:val="center"/>
          </w:tcPr>
          <w:p w14:paraId="74C959F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13</w:t>
            </w:r>
          </w:p>
        </w:tc>
        <w:tc>
          <w:tcPr>
            <w:tcW w:w="8062" w:type="dxa"/>
            <w:vAlign w:val="center"/>
          </w:tcPr>
          <w:p w14:paraId="055D108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桩基检测评定为C类桩的，每根违约金2000元，出现不合格桩的，每根违约金5000元。</w:t>
            </w:r>
          </w:p>
        </w:tc>
      </w:tr>
      <w:tr w14:paraId="7332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9" w:type="dxa"/>
            <w:vMerge w:val="continue"/>
          </w:tcPr>
          <w:p w14:paraId="45CAC71A">
            <w:pPr>
              <w:pStyle w:val="68"/>
              <w:shd w:val="clear" w:fill="FFFFFF" w:themeFill="background1"/>
              <w:rPr>
                <w:rFonts w:ascii="宋体" w:hAnsi="宋体" w:cs="宋体"/>
                <w:color w:val="auto"/>
                <w:sz w:val="28"/>
                <w:szCs w:val="28"/>
                <w:highlight w:val="none"/>
              </w:rPr>
            </w:pPr>
          </w:p>
        </w:tc>
        <w:tc>
          <w:tcPr>
            <w:tcW w:w="518" w:type="dxa"/>
            <w:vAlign w:val="center"/>
          </w:tcPr>
          <w:p w14:paraId="06BDE9E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14</w:t>
            </w:r>
          </w:p>
        </w:tc>
        <w:tc>
          <w:tcPr>
            <w:tcW w:w="8062" w:type="dxa"/>
            <w:vAlign w:val="center"/>
          </w:tcPr>
          <w:p w14:paraId="528A961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浇注砼时，自由下落高度超过2m而不用串筒的，每次违约金2000元。</w:t>
            </w:r>
          </w:p>
        </w:tc>
      </w:tr>
      <w:tr w14:paraId="5116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9" w:type="dxa"/>
            <w:vMerge w:val="continue"/>
          </w:tcPr>
          <w:p w14:paraId="3D653548">
            <w:pPr>
              <w:pStyle w:val="68"/>
              <w:shd w:val="clear" w:fill="FFFFFF" w:themeFill="background1"/>
              <w:rPr>
                <w:rFonts w:ascii="宋体" w:hAnsi="宋体" w:cs="宋体"/>
                <w:color w:val="auto"/>
                <w:sz w:val="28"/>
                <w:szCs w:val="28"/>
                <w:highlight w:val="none"/>
              </w:rPr>
            </w:pPr>
          </w:p>
        </w:tc>
        <w:tc>
          <w:tcPr>
            <w:tcW w:w="518" w:type="dxa"/>
            <w:vAlign w:val="center"/>
          </w:tcPr>
          <w:p w14:paraId="36032F5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15</w:t>
            </w:r>
          </w:p>
        </w:tc>
        <w:tc>
          <w:tcPr>
            <w:tcW w:w="8062" w:type="dxa"/>
            <w:vAlign w:val="center"/>
          </w:tcPr>
          <w:p w14:paraId="34C7B12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砼施工配合比不按重量比的，每次违约金5000元。</w:t>
            </w:r>
          </w:p>
        </w:tc>
      </w:tr>
      <w:tr w14:paraId="05BE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9" w:type="dxa"/>
            <w:vMerge w:val="continue"/>
          </w:tcPr>
          <w:p w14:paraId="6DBC40ED">
            <w:pPr>
              <w:pStyle w:val="68"/>
              <w:shd w:val="clear" w:fill="FFFFFF" w:themeFill="background1"/>
              <w:rPr>
                <w:rFonts w:ascii="宋体" w:hAnsi="宋体" w:cs="宋体"/>
                <w:color w:val="auto"/>
                <w:sz w:val="28"/>
                <w:szCs w:val="28"/>
                <w:highlight w:val="none"/>
              </w:rPr>
            </w:pPr>
          </w:p>
        </w:tc>
        <w:tc>
          <w:tcPr>
            <w:tcW w:w="518" w:type="dxa"/>
            <w:vAlign w:val="center"/>
          </w:tcPr>
          <w:p w14:paraId="2016930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w:t>
            </w:r>
          </w:p>
        </w:tc>
        <w:tc>
          <w:tcPr>
            <w:tcW w:w="8062" w:type="dxa"/>
            <w:vAlign w:val="center"/>
          </w:tcPr>
          <w:p w14:paraId="174F021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两梁板之间接缝不得有杂物，填充料符合设计要求，违者违约金2000元。</w:t>
            </w:r>
          </w:p>
        </w:tc>
      </w:tr>
      <w:tr w14:paraId="5C47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EE26D8">
            <w:pPr>
              <w:pStyle w:val="68"/>
              <w:shd w:val="clear" w:fill="FFFFFF" w:themeFill="background1"/>
              <w:rPr>
                <w:rFonts w:ascii="宋体" w:hAnsi="宋体" w:cs="宋体"/>
                <w:color w:val="auto"/>
                <w:sz w:val="28"/>
                <w:szCs w:val="28"/>
                <w:highlight w:val="none"/>
              </w:rPr>
            </w:pPr>
          </w:p>
        </w:tc>
        <w:tc>
          <w:tcPr>
            <w:tcW w:w="518" w:type="dxa"/>
            <w:vAlign w:val="center"/>
          </w:tcPr>
          <w:p w14:paraId="64C182A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17</w:t>
            </w:r>
          </w:p>
        </w:tc>
        <w:tc>
          <w:tcPr>
            <w:tcW w:w="8062" w:type="dxa"/>
            <w:vAlign w:val="center"/>
          </w:tcPr>
          <w:p w14:paraId="19106F2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砼拌和现场的称量和配水机械装置应维持良好状态，拌和机的容量要满足要求，桥梁施工要具备应急拌和机。正在施工的现场不满足上述要求的，每次违约金2000元</w:t>
            </w:r>
          </w:p>
        </w:tc>
      </w:tr>
      <w:tr w14:paraId="3F2D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9" w:type="dxa"/>
            <w:vMerge w:val="continue"/>
          </w:tcPr>
          <w:p w14:paraId="37B699BC">
            <w:pPr>
              <w:pStyle w:val="68"/>
              <w:shd w:val="clear" w:fill="FFFFFF" w:themeFill="background1"/>
              <w:rPr>
                <w:rFonts w:ascii="宋体" w:hAnsi="宋体" w:cs="宋体"/>
                <w:color w:val="auto"/>
                <w:sz w:val="28"/>
                <w:szCs w:val="28"/>
                <w:highlight w:val="none"/>
              </w:rPr>
            </w:pPr>
          </w:p>
        </w:tc>
        <w:tc>
          <w:tcPr>
            <w:tcW w:w="518" w:type="dxa"/>
            <w:vAlign w:val="center"/>
          </w:tcPr>
          <w:p w14:paraId="60131D9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18</w:t>
            </w:r>
          </w:p>
        </w:tc>
        <w:tc>
          <w:tcPr>
            <w:tcW w:w="8062" w:type="dxa"/>
            <w:vAlign w:val="center"/>
          </w:tcPr>
          <w:p w14:paraId="04EC2B3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压浆不按配合比制浆，水灰比失控，强度达不到要求的，每次违约金3000元。</w:t>
            </w:r>
          </w:p>
        </w:tc>
      </w:tr>
      <w:tr w14:paraId="2EBC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9" w:type="dxa"/>
            <w:vMerge w:val="continue"/>
          </w:tcPr>
          <w:p w14:paraId="27A90C91">
            <w:pPr>
              <w:pStyle w:val="68"/>
              <w:shd w:val="clear" w:fill="FFFFFF" w:themeFill="background1"/>
              <w:rPr>
                <w:rFonts w:ascii="宋体" w:hAnsi="宋体" w:cs="宋体"/>
                <w:color w:val="auto"/>
                <w:sz w:val="28"/>
                <w:szCs w:val="28"/>
                <w:highlight w:val="none"/>
              </w:rPr>
            </w:pPr>
          </w:p>
        </w:tc>
        <w:tc>
          <w:tcPr>
            <w:tcW w:w="518" w:type="dxa"/>
            <w:vAlign w:val="center"/>
          </w:tcPr>
          <w:p w14:paraId="28F45E4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19</w:t>
            </w:r>
          </w:p>
        </w:tc>
        <w:tc>
          <w:tcPr>
            <w:tcW w:w="8062" w:type="dxa"/>
            <w:vAlign w:val="center"/>
          </w:tcPr>
          <w:p w14:paraId="6CCFD7D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压浆不饱满的，每条管违约金3000元。</w:t>
            </w:r>
          </w:p>
        </w:tc>
      </w:tr>
      <w:tr w14:paraId="2AA6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21A6C9A">
            <w:pPr>
              <w:pStyle w:val="68"/>
              <w:shd w:val="clear" w:fill="FFFFFF" w:themeFill="background1"/>
              <w:rPr>
                <w:rFonts w:ascii="宋体" w:hAnsi="宋体" w:cs="宋体"/>
                <w:color w:val="auto"/>
                <w:sz w:val="28"/>
                <w:szCs w:val="28"/>
                <w:highlight w:val="none"/>
              </w:rPr>
            </w:pPr>
          </w:p>
        </w:tc>
        <w:tc>
          <w:tcPr>
            <w:tcW w:w="518" w:type="dxa"/>
            <w:vAlign w:val="center"/>
          </w:tcPr>
          <w:p w14:paraId="5C70DD1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20</w:t>
            </w:r>
          </w:p>
        </w:tc>
        <w:tc>
          <w:tcPr>
            <w:tcW w:w="8062" w:type="dxa"/>
            <w:vAlign w:val="center"/>
          </w:tcPr>
          <w:p w14:paraId="25CE117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预制、现浇砼构件必须采用足够强度、大面积的钢板制模板，违者每次违约金3000元。</w:t>
            </w:r>
          </w:p>
        </w:tc>
      </w:tr>
      <w:tr w14:paraId="7097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1D7ECCC">
            <w:pPr>
              <w:pStyle w:val="68"/>
              <w:shd w:val="clear" w:fill="FFFFFF" w:themeFill="background1"/>
              <w:rPr>
                <w:rFonts w:ascii="宋体" w:hAnsi="宋体" w:cs="宋体"/>
                <w:color w:val="auto"/>
                <w:sz w:val="28"/>
                <w:szCs w:val="28"/>
                <w:highlight w:val="none"/>
              </w:rPr>
            </w:pPr>
          </w:p>
        </w:tc>
        <w:tc>
          <w:tcPr>
            <w:tcW w:w="518" w:type="dxa"/>
            <w:vAlign w:val="center"/>
          </w:tcPr>
          <w:p w14:paraId="0A01A8F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21</w:t>
            </w:r>
          </w:p>
        </w:tc>
        <w:tc>
          <w:tcPr>
            <w:tcW w:w="8062" w:type="dxa"/>
            <w:vAlign w:val="center"/>
          </w:tcPr>
          <w:p w14:paraId="548FCD5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结构物外观质量不符合要求而需修补的，必须作好修补方案，经试验确实可行，并经发包人和监理人检查同意后，才能采取修整补救措施，无法进行补救的则以“推倒重来”为原则。如有违反，每次违约金3000元。</w:t>
            </w:r>
          </w:p>
        </w:tc>
      </w:tr>
      <w:tr w14:paraId="1B06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0296C83">
            <w:pPr>
              <w:pStyle w:val="68"/>
              <w:shd w:val="clear" w:fill="FFFFFF" w:themeFill="background1"/>
              <w:rPr>
                <w:rFonts w:ascii="宋体" w:hAnsi="宋体" w:cs="宋体"/>
                <w:color w:val="auto"/>
                <w:sz w:val="28"/>
                <w:szCs w:val="28"/>
                <w:highlight w:val="none"/>
              </w:rPr>
            </w:pPr>
          </w:p>
        </w:tc>
        <w:tc>
          <w:tcPr>
            <w:tcW w:w="518" w:type="dxa"/>
            <w:vAlign w:val="center"/>
          </w:tcPr>
          <w:p w14:paraId="20D5747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22</w:t>
            </w:r>
          </w:p>
        </w:tc>
        <w:tc>
          <w:tcPr>
            <w:tcW w:w="8062" w:type="dxa"/>
            <w:vAlign w:val="center"/>
          </w:tcPr>
          <w:p w14:paraId="20B2F28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各标段第一根立柱、盖梁和第一段防撞栏必须经发包人和监理人检查外观质量合格后，方可进行第二根立柱、盖梁和第二段防撞栏的施工，违者每次违约金5000元</w:t>
            </w:r>
          </w:p>
        </w:tc>
      </w:tr>
      <w:tr w14:paraId="2763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9" w:type="dxa"/>
            <w:vMerge w:val="continue"/>
          </w:tcPr>
          <w:p w14:paraId="61115862">
            <w:pPr>
              <w:pStyle w:val="68"/>
              <w:shd w:val="clear" w:fill="FFFFFF" w:themeFill="background1"/>
              <w:rPr>
                <w:rFonts w:ascii="宋体" w:hAnsi="宋体" w:cs="宋体"/>
                <w:color w:val="auto"/>
                <w:sz w:val="28"/>
                <w:szCs w:val="28"/>
                <w:highlight w:val="none"/>
              </w:rPr>
            </w:pPr>
          </w:p>
        </w:tc>
        <w:tc>
          <w:tcPr>
            <w:tcW w:w="518" w:type="dxa"/>
            <w:vAlign w:val="center"/>
          </w:tcPr>
          <w:p w14:paraId="0B64E36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23</w:t>
            </w:r>
          </w:p>
        </w:tc>
        <w:tc>
          <w:tcPr>
            <w:tcW w:w="8062" w:type="dxa"/>
            <w:vAlign w:val="center"/>
          </w:tcPr>
          <w:p w14:paraId="36E9190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结构标高尺寸误差超出规范允许值，每处违约金2000元。</w:t>
            </w:r>
          </w:p>
        </w:tc>
      </w:tr>
      <w:tr w14:paraId="3F9F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83E40A4">
            <w:pPr>
              <w:pStyle w:val="68"/>
              <w:shd w:val="clear" w:fill="FFFFFF" w:themeFill="background1"/>
              <w:rPr>
                <w:rFonts w:ascii="宋体" w:hAnsi="宋体" w:cs="宋体"/>
                <w:color w:val="auto"/>
                <w:sz w:val="28"/>
                <w:szCs w:val="28"/>
                <w:highlight w:val="none"/>
              </w:rPr>
            </w:pPr>
          </w:p>
        </w:tc>
        <w:tc>
          <w:tcPr>
            <w:tcW w:w="518" w:type="dxa"/>
            <w:vAlign w:val="center"/>
          </w:tcPr>
          <w:p w14:paraId="4F03410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24</w:t>
            </w:r>
          </w:p>
        </w:tc>
        <w:tc>
          <w:tcPr>
            <w:tcW w:w="8062" w:type="dxa"/>
            <w:vAlign w:val="center"/>
          </w:tcPr>
          <w:p w14:paraId="6C70928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桥面铺装应符合路面的要求，其强度、厚度、平整度、横坡、抗滑构造深度均应符合要求；桥面与伸缩缝的缝面必须结合良好，保证平整，违者每处违约金2000元。</w:t>
            </w:r>
          </w:p>
        </w:tc>
      </w:tr>
      <w:tr w14:paraId="2770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BADBC9A">
            <w:pPr>
              <w:pStyle w:val="68"/>
              <w:shd w:val="clear" w:fill="FFFFFF" w:themeFill="background1"/>
              <w:rPr>
                <w:rFonts w:ascii="宋体" w:hAnsi="宋体" w:cs="宋体"/>
                <w:color w:val="auto"/>
                <w:sz w:val="28"/>
                <w:szCs w:val="28"/>
                <w:highlight w:val="none"/>
              </w:rPr>
            </w:pPr>
          </w:p>
        </w:tc>
        <w:tc>
          <w:tcPr>
            <w:tcW w:w="518" w:type="dxa"/>
            <w:vAlign w:val="center"/>
          </w:tcPr>
          <w:p w14:paraId="53BE32D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25</w:t>
            </w:r>
          </w:p>
        </w:tc>
        <w:tc>
          <w:tcPr>
            <w:tcW w:w="8062" w:type="dxa"/>
            <w:vAlign w:val="center"/>
          </w:tcPr>
          <w:p w14:paraId="32BE7D4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达不到以下要求的，每处违约金2000元：</w:t>
            </w:r>
          </w:p>
          <w:p w14:paraId="4DD2A546">
            <w:pPr>
              <w:pStyle w:val="68"/>
              <w:numPr>
                <w:ilvl w:val="0"/>
                <w:numId w:val="19"/>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钢模板大面平整、坚固，板面缝隙小，错台不大于lmm；</w:t>
            </w:r>
          </w:p>
          <w:p w14:paraId="2241A93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在盖梁浇筑前，立柱应用薄膜包裹，并用胶布密封固定，防止漏浆损坏立柱外观质量；裸露在砼外的结构钢筋或施工用的临时钢构件，时间需超过一个月，必须采取防锈措施(包裹或油漆)。</w:t>
            </w:r>
          </w:p>
        </w:tc>
      </w:tr>
      <w:tr w14:paraId="6951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A39B556">
            <w:pPr>
              <w:pStyle w:val="68"/>
              <w:shd w:val="clear" w:fill="FFFFFF" w:themeFill="background1"/>
              <w:rPr>
                <w:rFonts w:ascii="宋体" w:hAnsi="宋体" w:cs="宋体"/>
                <w:color w:val="auto"/>
                <w:sz w:val="28"/>
                <w:szCs w:val="28"/>
                <w:highlight w:val="none"/>
              </w:rPr>
            </w:pPr>
          </w:p>
        </w:tc>
        <w:tc>
          <w:tcPr>
            <w:tcW w:w="518" w:type="dxa"/>
            <w:vAlign w:val="center"/>
          </w:tcPr>
          <w:p w14:paraId="19D2D95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26</w:t>
            </w:r>
          </w:p>
        </w:tc>
        <w:tc>
          <w:tcPr>
            <w:tcW w:w="8062" w:type="dxa"/>
            <w:vAlign w:val="center"/>
          </w:tcPr>
          <w:p w14:paraId="5001A3B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伸缩缝施工出现下列情况，违者每次或每处违约金2000元：</w:t>
            </w:r>
          </w:p>
          <w:p w14:paraId="06EDA07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（1)伸缩缝位置必须保证满足设计要求，安装时必须按气温来确定安装宽度；</w:t>
            </w:r>
          </w:p>
          <w:p w14:paraId="3C7FEA3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（2)预留槽口底面的砼必须密实、平整；在填充前必须保证干净，不得有杂物；</w:t>
            </w:r>
          </w:p>
          <w:p w14:paraId="1A2153F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（3)预埋钢筋未按设计要求预埋。</w:t>
            </w:r>
          </w:p>
        </w:tc>
      </w:tr>
      <w:tr w14:paraId="2DA1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2EC0A05">
            <w:pPr>
              <w:pStyle w:val="68"/>
              <w:shd w:val="clear" w:fill="FFFFFF" w:themeFill="background1"/>
              <w:rPr>
                <w:rFonts w:ascii="宋体" w:hAnsi="宋体" w:cs="宋体"/>
                <w:color w:val="auto"/>
                <w:sz w:val="28"/>
                <w:szCs w:val="28"/>
                <w:highlight w:val="none"/>
              </w:rPr>
            </w:pPr>
          </w:p>
        </w:tc>
        <w:tc>
          <w:tcPr>
            <w:tcW w:w="518" w:type="dxa"/>
            <w:vAlign w:val="center"/>
          </w:tcPr>
          <w:p w14:paraId="1A97303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27</w:t>
            </w:r>
          </w:p>
        </w:tc>
        <w:tc>
          <w:tcPr>
            <w:tcW w:w="8062" w:type="dxa"/>
            <w:vAlign w:val="center"/>
          </w:tcPr>
          <w:p w14:paraId="3F8DA2D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支座垫石标高误差超过±5mm，表面不清洁、不平整，有脱空松动的，每处违约金 2000元。</w:t>
            </w:r>
          </w:p>
        </w:tc>
      </w:tr>
      <w:tr w14:paraId="646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B758E3D">
            <w:pPr>
              <w:pStyle w:val="68"/>
              <w:shd w:val="clear" w:fill="FFFFFF" w:themeFill="background1"/>
              <w:rPr>
                <w:rFonts w:ascii="宋体" w:hAnsi="宋体" w:cs="宋体"/>
                <w:color w:val="auto"/>
                <w:sz w:val="28"/>
                <w:szCs w:val="28"/>
                <w:highlight w:val="none"/>
              </w:rPr>
            </w:pPr>
          </w:p>
        </w:tc>
        <w:tc>
          <w:tcPr>
            <w:tcW w:w="518" w:type="dxa"/>
            <w:vAlign w:val="center"/>
          </w:tcPr>
          <w:p w14:paraId="41180AF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28</w:t>
            </w:r>
          </w:p>
        </w:tc>
        <w:tc>
          <w:tcPr>
            <w:tcW w:w="8062" w:type="dxa"/>
            <w:vAlign w:val="center"/>
          </w:tcPr>
          <w:p w14:paraId="610AB36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检测发现混凝土强度不合格的构件，每处违约金 10000 元。</w:t>
            </w:r>
          </w:p>
        </w:tc>
      </w:tr>
      <w:tr w14:paraId="4F7E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704838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路</w:t>
            </w:r>
          </w:p>
          <w:p w14:paraId="28FB2DA5">
            <w:pPr>
              <w:pStyle w:val="68"/>
              <w:shd w:val="clear" w:fill="FFFFFF" w:themeFill="background1"/>
              <w:jc w:val="center"/>
              <w:rPr>
                <w:rFonts w:ascii="宋体" w:hAnsi="宋体" w:cs="宋体"/>
                <w:color w:val="auto"/>
                <w:sz w:val="28"/>
                <w:szCs w:val="28"/>
                <w:highlight w:val="none"/>
              </w:rPr>
            </w:pPr>
            <w:r>
              <w:rPr>
                <w:rFonts w:hint="eastAsia" w:ascii="宋体" w:hAnsi="宋体" w:cs="宋体"/>
                <w:color w:val="auto"/>
                <w:sz w:val="24"/>
                <w:highlight w:val="none"/>
              </w:rPr>
              <w:t>面工程</w:t>
            </w:r>
          </w:p>
        </w:tc>
        <w:tc>
          <w:tcPr>
            <w:tcW w:w="518" w:type="dxa"/>
            <w:vAlign w:val="center"/>
          </w:tcPr>
          <w:p w14:paraId="0CB32D3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6520580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路面基层必须碾压密实，表面干燥、清洁、无浮土，平整度和路拱度符合要求，违者每处违约金2000元。</w:t>
            </w:r>
          </w:p>
        </w:tc>
      </w:tr>
      <w:tr w14:paraId="333E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53C1D801">
            <w:pPr>
              <w:pStyle w:val="68"/>
              <w:shd w:val="clear" w:fill="FFFFFF" w:themeFill="background1"/>
              <w:jc w:val="center"/>
              <w:rPr>
                <w:rFonts w:ascii="宋体" w:hAnsi="宋体" w:cs="宋体"/>
                <w:color w:val="auto"/>
                <w:sz w:val="24"/>
                <w:highlight w:val="none"/>
              </w:rPr>
            </w:pPr>
          </w:p>
        </w:tc>
        <w:tc>
          <w:tcPr>
            <w:tcW w:w="518" w:type="dxa"/>
            <w:vAlign w:val="center"/>
          </w:tcPr>
          <w:p w14:paraId="6DDC1CC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4824A161">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水泥砼路面存在下列问题的，每处违约金1,000元：</w:t>
            </w:r>
          </w:p>
          <w:p w14:paraId="0E30E4CE">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（1)粗细骨料不符合设计要求；</w:t>
            </w:r>
          </w:p>
          <w:p w14:paraId="0DE8151E">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（2)基层和底基层压实度没有≥98%，表面坑洼，明显离析；</w:t>
            </w:r>
          </w:p>
          <w:p w14:paraId="7741DD1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（3)基层和底基层没有清理杂物，有浮土；</w:t>
            </w:r>
          </w:p>
          <w:p w14:paraId="6BD09920">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（4)砼养生不及时；</w:t>
            </w:r>
          </w:p>
          <w:p w14:paraId="343FFB3D">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（5)膨胀传力杆活动端与固定端方向没有相反；</w:t>
            </w:r>
          </w:p>
          <w:p w14:paraId="01F226CE">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（6)接缝填充料没有饱满或用料不符合设计要求。</w:t>
            </w:r>
          </w:p>
        </w:tc>
      </w:tr>
      <w:tr w14:paraId="45C4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61933E89">
            <w:pPr>
              <w:pStyle w:val="68"/>
              <w:shd w:val="clear" w:fill="FFFFFF" w:themeFill="background1"/>
              <w:jc w:val="center"/>
              <w:rPr>
                <w:rFonts w:ascii="宋体" w:hAnsi="宋体" w:cs="宋体"/>
                <w:color w:val="auto"/>
                <w:sz w:val="24"/>
                <w:highlight w:val="none"/>
              </w:rPr>
            </w:pPr>
          </w:p>
        </w:tc>
        <w:tc>
          <w:tcPr>
            <w:tcW w:w="518" w:type="dxa"/>
            <w:vAlign w:val="center"/>
          </w:tcPr>
          <w:p w14:paraId="323537F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3EF7252D">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水泥砼路面检测发现混凝土强度不合格的构件，每处违约金 10000 元。</w:t>
            </w:r>
          </w:p>
        </w:tc>
      </w:tr>
      <w:tr w14:paraId="4F7B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CEF4149">
            <w:pPr>
              <w:pStyle w:val="68"/>
              <w:shd w:val="clear" w:fill="FFFFFF" w:themeFill="background1"/>
              <w:rPr>
                <w:rFonts w:ascii="宋体" w:hAnsi="宋体" w:cs="宋体"/>
                <w:color w:val="auto"/>
                <w:sz w:val="28"/>
                <w:szCs w:val="28"/>
                <w:highlight w:val="none"/>
              </w:rPr>
            </w:pPr>
          </w:p>
        </w:tc>
        <w:tc>
          <w:tcPr>
            <w:tcW w:w="518" w:type="dxa"/>
            <w:vAlign w:val="center"/>
          </w:tcPr>
          <w:p w14:paraId="76257E4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72BAAA9B">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沥青路面存在以下问题的，每处违约金 10000-50000 元：</w:t>
            </w:r>
          </w:p>
          <w:p w14:paraId="18F26D3E">
            <w:pPr>
              <w:pStyle w:val="68"/>
              <w:widowControl/>
              <w:numPr>
                <w:ilvl w:val="0"/>
                <w:numId w:val="20"/>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沥青及矿料质量及混合料级配及混合料指标不符合要求的；</w:t>
            </w:r>
          </w:p>
          <w:p w14:paraId="2F764109">
            <w:pPr>
              <w:pStyle w:val="68"/>
              <w:widowControl/>
              <w:numPr>
                <w:ilvl w:val="0"/>
                <w:numId w:val="20"/>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沥青混合料的拌合温度、摊铺温度、碾压温度不符合规范或设计要求；</w:t>
            </w:r>
          </w:p>
          <w:p w14:paraId="51AD2988">
            <w:pPr>
              <w:pStyle w:val="68"/>
              <w:widowControl/>
              <w:numPr>
                <w:ilvl w:val="0"/>
                <w:numId w:val="20"/>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沥青混合料的生产，未按要求做抽提实验、筛分试验、马歇尔实验；</w:t>
            </w:r>
          </w:p>
          <w:p w14:paraId="7DB8AB41">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4）拌和后的混合料不均匀一致，有花白、粗细料分离和结团成块现象；</w:t>
            </w:r>
          </w:p>
          <w:p w14:paraId="73CFE36D">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5）路面不平整密实，有泛油、松散、裂缝和明显离析现象；</w:t>
            </w:r>
          </w:p>
          <w:p w14:paraId="0CA889E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6)面层施工前未按要求对基层裂缝进行处理；</w:t>
            </w:r>
          </w:p>
          <w:p w14:paraId="5C31F2E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7)面层和路缘石及其他构造物不密贴，有积水或漏水现象的；</w:t>
            </w:r>
          </w:p>
          <w:p w14:paraId="29FE0EC9">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8)运输车辆未采取保温措施，运输过程中不加帆布遮盖的；</w:t>
            </w:r>
          </w:p>
          <w:p w14:paraId="684FFA66">
            <w:pPr>
              <w:pStyle w:val="68"/>
              <w:widowControl/>
              <w:numPr>
                <w:ilvl w:val="0"/>
                <w:numId w:val="21"/>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下雨时摊铺，或雨后地面过湿而没有采取措施就摊铺的；</w:t>
            </w:r>
          </w:p>
          <w:p w14:paraId="349F1D8D">
            <w:pPr>
              <w:pStyle w:val="68"/>
              <w:widowControl/>
              <w:numPr>
                <w:ilvl w:val="0"/>
                <w:numId w:val="21"/>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纵横缝施工不符合规范要求的。</w:t>
            </w:r>
          </w:p>
        </w:tc>
      </w:tr>
      <w:tr w14:paraId="035B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03482F5">
            <w:pPr>
              <w:pStyle w:val="68"/>
              <w:shd w:val="clear" w:fill="FFFFFF" w:themeFill="background1"/>
              <w:rPr>
                <w:rFonts w:ascii="宋体" w:hAnsi="宋体" w:cs="宋体"/>
                <w:color w:val="auto"/>
                <w:sz w:val="24"/>
                <w:highlight w:val="none"/>
              </w:rPr>
            </w:pPr>
          </w:p>
          <w:p w14:paraId="35AFC1A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隧道</w:t>
            </w:r>
          </w:p>
          <w:p w14:paraId="6B849FE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工程</w:t>
            </w:r>
          </w:p>
        </w:tc>
        <w:tc>
          <w:tcPr>
            <w:tcW w:w="518" w:type="dxa"/>
            <w:vAlign w:val="center"/>
          </w:tcPr>
          <w:p w14:paraId="4F40A0B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5E5421D8">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隧道工程出现以下情况,每处违约金 2000 元：</w:t>
            </w:r>
          </w:p>
          <w:p w14:paraId="7DAA796C">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(1)隧道工程应严格控制超欠挖，超挖时必须用同级等强度的砼或同级片石砼回填密实，不得用土石或洞渣回填，违者每次处违约金 2000 元；</w:t>
            </w:r>
          </w:p>
          <w:p w14:paraId="5FC79FD6">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(2)周边收敛量测埋点、量测频率不符合规范，数据处理不及时每次违约金2000元。</w:t>
            </w:r>
          </w:p>
        </w:tc>
      </w:tr>
      <w:tr w14:paraId="6962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4228164">
            <w:pPr>
              <w:pStyle w:val="68"/>
              <w:shd w:val="clear" w:fill="FFFFFF" w:themeFill="background1"/>
              <w:rPr>
                <w:rFonts w:ascii="宋体" w:hAnsi="宋体" w:cs="宋体"/>
                <w:color w:val="auto"/>
                <w:sz w:val="24"/>
                <w:highlight w:val="none"/>
              </w:rPr>
            </w:pPr>
          </w:p>
        </w:tc>
        <w:tc>
          <w:tcPr>
            <w:tcW w:w="518" w:type="dxa"/>
            <w:vAlign w:val="center"/>
          </w:tcPr>
          <w:p w14:paraId="7CF1620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5B20590D">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隧道工程出现以下情况,每处违约金 1000 元：</w:t>
            </w:r>
          </w:p>
          <w:p w14:paraId="54DF10A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(1)防水板破损穿孔、搭接漏焊；</w:t>
            </w:r>
          </w:p>
          <w:p w14:paraId="2080C2EF">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(2)防水板漏水；</w:t>
            </w:r>
          </w:p>
          <w:p w14:paraId="42A796FF">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(3)锚垫板未按要求施工；</w:t>
            </w:r>
          </w:p>
          <w:p w14:paraId="2F8BC75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(4)没有按要求进行光面爆破；</w:t>
            </w:r>
          </w:p>
          <w:p w14:paraId="62F7136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(5)洞内装修工程未达到设计要求，没有保持线形平顺，误差超过 1cm；</w:t>
            </w:r>
          </w:p>
          <w:p w14:paraId="4705F8E5">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(6)排水管没有保持畅通，出现渗水、滴水现象；</w:t>
            </w:r>
          </w:p>
          <w:p w14:paraId="73D7D4A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(7)二次衬砌台车刚度不够，施工缝接合处理不好；</w:t>
            </w:r>
          </w:p>
          <w:p w14:paraId="58DB7D19">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(8）通风、照明、防尘措施、运行不符合要求；</w:t>
            </w:r>
          </w:p>
          <w:p w14:paraId="14FDC9DF">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(9）钢拱架与隔栅定位不合设计要求。</w:t>
            </w:r>
          </w:p>
        </w:tc>
      </w:tr>
      <w:tr w14:paraId="5919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88DF62D">
            <w:pPr>
              <w:pStyle w:val="68"/>
              <w:shd w:val="clear" w:fill="FFFFFF" w:themeFill="background1"/>
              <w:rPr>
                <w:rFonts w:ascii="宋体" w:hAnsi="宋体" w:cs="宋体"/>
                <w:color w:val="auto"/>
                <w:sz w:val="24"/>
                <w:highlight w:val="none"/>
              </w:rPr>
            </w:pPr>
          </w:p>
        </w:tc>
        <w:tc>
          <w:tcPr>
            <w:tcW w:w="518" w:type="dxa"/>
            <w:vAlign w:val="center"/>
          </w:tcPr>
          <w:p w14:paraId="7847A4B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1017B9B1">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施工中承包人应加强监控量测，监控量测应达到指导施工、确保安全、为确定支护参数服务的目的。监控量测发现问题应采取紧急措施避免事态发展，若监控量测失职造成不良后果由进行监控的单位自负，并处以 10000 元/次的违约金。</w:t>
            </w:r>
          </w:p>
        </w:tc>
      </w:tr>
      <w:tr w14:paraId="5A4A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47CC026">
            <w:pPr>
              <w:pStyle w:val="68"/>
              <w:shd w:val="clear" w:fill="FFFFFF" w:themeFill="background1"/>
              <w:rPr>
                <w:rFonts w:ascii="宋体" w:hAnsi="宋体" w:cs="宋体"/>
                <w:color w:val="auto"/>
                <w:sz w:val="24"/>
                <w:highlight w:val="none"/>
              </w:rPr>
            </w:pPr>
          </w:p>
        </w:tc>
        <w:tc>
          <w:tcPr>
            <w:tcW w:w="518" w:type="dxa"/>
            <w:vAlign w:val="center"/>
          </w:tcPr>
          <w:p w14:paraId="62D8020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7D7DA451">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隧道开挖应采用“短进尺、少扰动、早喷锚、紧封闭”的原则，开挖及支护严格按技术规范规定进行控制，避免造成坍塌。若延误支护或初期支护超过规定的距离，由此带来的后果由承包人自负，并处以 10000 元的违约金。</w:t>
            </w:r>
          </w:p>
        </w:tc>
      </w:tr>
      <w:tr w14:paraId="7F47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C0FAB0F">
            <w:pPr>
              <w:pStyle w:val="68"/>
              <w:shd w:val="clear" w:fill="FFFFFF" w:themeFill="background1"/>
              <w:rPr>
                <w:rFonts w:ascii="宋体" w:hAnsi="宋体" w:cs="宋体"/>
                <w:color w:val="auto"/>
                <w:sz w:val="24"/>
                <w:highlight w:val="none"/>
              </w:rPr>
            </w:pPr>
          </w:p>
        </w:tc>
        <w:tc>
          <w:tcPr>
            <w:tcW w:w="518" w:type="dxa"/>
            <w:vAlign w:val="center"/>
          </w:tcPr>
          <w:p w14:paraId="5AC94CD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5901696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隧道开挖应满足隧道净空及衬砌厚度的要求，控制超挖，严禁欠挖，不许有超限突石。一经发现，处以承包人 1000 元--10000 元的违约金，并要求处理合格。</w:t>
            </w:r>
          </w:p>
        </w:tc>
      </w:tr>
      <w:tr w14:paraId="5BF7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9709D8D">
            <w:pPr>
              <w:pStyle w:val="68"/>
              <w:shd w:val="clear" w:fill="FFFFFF" w:themeFill="background1"/>
              <w:rPr>
                <w:rFonts w:ascii="宋体" w:hAnsi="宋体" w:cs="宋体"/>
                <w:color w:val="auto"/>
                <w:sz w:val="24"/>
                <w:highlight w:val="none"/>
              </w:rPr>
            </w:pPr>
          </w:p>
        </w:tc>
        <w:tc>
          <w:tcPr>
            <w:tcW w:w="518" w:type="dxa"/>
            <w:vAlign w:val="center"/>
          </w:tcPr>
          <w:p w14:paraId="6B07169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3C3FE15D">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隧道拱墙范围内的超挖，要求用与拱圈同级强度的混凝土一次回填密实，衬砌背后的支撑块或其他杂物应清除干净，并按要求填塞紧密，否则，对承包人处以 10000 元的违约金。</w:t>
            </w:r>
          </w:p>
        </w:tc>
      </w:tr>
      <w:tr w14:paraId="5A66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446BBA1">
            <w:pPr>
              <w:pStyle w:val="68"/>
              <w:shd w:val="clear" w:fill="FFFFFF" w:themeFill="background1"/>
              <w:rPr>
                <w:rFonts w:ascii="宋体" w:hAnsi="宋体" w:cs="宋体"/>
                <w:color w:val="auto"/>
                <w:sz w:val="28"/>
                <w:szCs w:val="28"/>
                <w:highlight w:val="none"/>
              </w:rPr>
            </w:pPr>
          </w:p>
        </w:tc>
        <w:tc>
          <w:tcPr>
            <w:tcW w:w="518" w:type="dxa"/>
            <w:vAlign w:val="center"/>
          </w:tcPr>
          <w:p w14:paraId="20F97F1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67C5A79D">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衬砌混凝土强度应满足设计及《公路工程质量检验评定标准》要求，否则，除要求及时采取措施处理外，并处以承包人 10000 元的违约金。</w:t>
            </w:r>
          </w:p>
        </w:tc>
      </w:tr>
      <w:tr w14:paraId="3022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0EB2319">
            <w:pPr>
              <w:pStyle w:val="68"/>
              <w:shd w:val="clear" w:fill="FFFFFF" w:themeFill="background1"/>
              <w:rPr>
                <w:rFonts w:ascii="宋体" w:hAnsi="宋体" w:cs="宋体"/>
                <w:color w:val="auto"/>
                <w:sz w:val="28"/>
                <w:szCs w:val="28"/>
                <w:highlight w:val="none"/>
              </w:rPr>
            </w:pPr>
          </w:p>
        </w:tc>
        <w:tc>
          <w:tcPr>
            <w:tcW w:w="518" w:type="dxa"/>
            <w:vAlign w:val="center"/>
          </w:tcPr>
          <w:p w14:paraId="2EC7EFE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15F89AE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不按照施工技术规范、施工图纸进行施工，偷工减料、粗制滥造的，一经查实，违约处理。锚杆少打或锚杆长度不够，每根处以违约金 500 元。格栅拱架（或钢拱架）每少安一榀处以违约金 5000 元；间距超过设计，在允许误差以外，每超过 1 厘米处以违约金 500 元。</w:t>
            </w:r>
          </w:p>
        </w:tc>
      </w:tr>
      <w:tr w14:paraId="098E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2C1815E">
            <w:pPr>
              <w:pStyle w:val="68"/>
              <w:shd w:val="clear" w:fill="FFFFFF" w:themeFill="background1"/>
              <w:rPr>
                <w:rFonts w:ascii="宋体" w:hAnsi="宋体" w:cs="宋体"/>
                <w:color w:val="auto"/>
                <w:sz w:val="28"/>
                <w:szCs w:val="28"/>
                <w:highlight w:val="none"/>
              </w:rPr>
            </w:pPr>
          </w:p>
        </w:tc>
        <w:tc>
          <w:tcPr>
            <w:tcW w:w="518" w:type="dxa"/>
            <w:vAlign w:val="center"/>
          </w:tcPr>
          <w:p w14:paraId="48C3AAF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7920A9C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小导管、大管棚每少打一根（或长度不够）分别处以违约金 2000 元-5000 元。其他偷工减料现象可根据具体情况处以 500 元-2000 元违约金。格栅拱架不垂直处以违约金 500 元/榀，并需按要求处理至监理人认可为止。</w:t>
            </w:r>
          </w:p>
        </w:tc>
      </w:tr>
      <w:tr w14:paraId="5061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D2E2F78">
            <w:pPr>
              <w:pStyle w:val="68"/>
              <w:shd w:val="clear" w:fill="FFFFFF" w:themeFill="background1"/>
              <w:rPr>
                <w:rFonts w:ascii="宋体" w:hAnsi="宋体" w:cs="宋体"/>
                <w:color w:val="auto"/>
                <w:sz w:val="28"/>
                <w:szCs w:val="28"/>
                <w:highlight w:val="none"/>
              </w:rPr>
            </w:pPr>
          </w:p>
        </w:tc>
        <w:tc>
          <w:tcPr>
            <w:tcW w:w="518" w:type="dxa"/>
            <w:vAlign w:val="center"/>
          </w:tcPr>
          <w:p w14:paraId="06C5F4F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06351912">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隧道洞身施工完毕后，不得出现渗水、漏水现象，如出现以上问题，除要求施工单位予以补救外，处以 5000 元/处的违约金。</w:t>
            </w:r>
          </w:p>
        </w:tc>
      </w:tr>
      <w:tr w14:paraId="0B34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42FC682">
            <w:pPr>
              <w:pStyle w:val="68"/>
              <w:shd w:val="clear" w:fill="FFFFFF" w:themeFill="background1"/>
              <w:rPr>
                <w:rFonts w:ascii="宋体" w:hAnsi="宋体" w:cs="宋体"/>
                <w:color w:val="auto"/>
                <w:sz w:val="28"/>
                <w:szCs w:val="28"/>
                <w:highlight w:val="none"/>
              </w:rPr>
            </w:pPr>
          </w:p>
        </w:tc>
        <w:tc>
          <w:tcPr>
            <w:tcW w:w="518" w:type="dxa"/>
            <w:vAlign w:val="center"/>
          </w:tcPr>
          <w:p w14:paraId="09CA77F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vAlign w:val="center"/>
          </w:tcPr>
          <w:p w14:paraId="095D0CCB">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按照规范，隧道作业未开启通风设备的违约金 10000 元/次。</w:t>
            </w:r>
          </w:p>
        </w:tc>
      </w:tr>
      <w:tr w14:paraId="322D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tcPr>
          <w:p w14:paraId="6D42ADD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绿化工程</w:t>
            </w:r>
          </w:p>
        </w:tc>
        <w:tc>
          <w:tcPr>
            <w:tcW w:w="518" w:type="dxa"/>
            <w:vAlign w:val="center"/>
          </w:tcPr>
          <w:p w14:paraId="2708D05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0D22A20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如果绿化工程质量不合格或造成质量隐患，按以下标准对承包人进行违约金：以清单单位为违约金依据，即1000元／丛、1000元／株、500元／㎡、500元／t以及10000元／个等。</w:t>
            </w:r>
          </w:p>
        </w:tc>
      </w:tr>
      <w:tr w14:paraId="14A5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2C045CC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安全生产</w:t>
            </w:r>
          </w:p>
        </w:tc>
        <w:tc>
          <w:tcPr>
            <w:tcW w:w="518" w:type="dxa"/>
            <w:vAlign w:val="center"/>
          </w:tcPr>
          <w:p w14:paraId="6CA1068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201F730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桥梁施工现场及构件预制场、钢筋加工场、搅拌站、施工驻地须悬挂安全生产标牌，违者每处违约金l000元。</w:t>
            </w:r>
          </w:p>
        </w:tc>
      </w:tr>
      <w:tr w14:paraId="026E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C705BF1">
            <w:pPr>
              <w:pStyle w:val="68"/>
              <w:shd w:val="clear" w:fill="FFFFFF" w:themeFill="background1"/>
              <w:rPr>
                <w:rFonts w:ascii="宋体" w:hAnsi="宋体" w:cs="宋体"/>
                <w:color w:val="auto"/>
                <w:sz w:val="28"/>
                <w:szCs w:val="28"/>
                <w:highlight w:val="none"/>
              </w:rPr>
            </w:pPr>
          </w:p>
        </w:tc>
        <w:tc>
          <w:tcPr>
            <w:tcW w:w="518" w:type="dxa"/>
            <w:vAlign w:val="center"/>
          </w:tcPr>
          <w:p w14:paraId="31829B4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0FAF86C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基坑开挖未有效围护的，桩孔施工后未加盖的，每处违约金1000元。</w:t>
            </w:r>
          </w:p>
        </w:tc>
      </w:tr>
      <w:tr w14:paraId="4B5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7B8A0CF">
            <w:pPr>
              <w:pStyle w:val="68"/>
              <w:shd w:val="clear" w:fill="FFFFFF" w:themeFill="background1"/>
              <w:rPr>
                <w:rFonts w:ascii="宋体" w:hAnsi="宋体" w:cs="宋体"/>
                <w:color w:val="auto"/>
                <w:sz w:val="28"/>
                <w:szCs w:val="28"/>
                <w:highlight w:val="none"/>
              </w:rPr>
            </w:pPr>
          </w:p>
        </w:tc>
        <w:tc>
          <w:tcPr>
            <w:tcW w:w="518" w:type="dxa"/>
            <w:vAlign w:val="center"/>
          </w:tcPr>
          <w:p w14:paraId="686BEDC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41977BE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电力线路架设零乱不牢固；电源线老化、绝缘损坏、接头处无包扎的；使用花线或劣质电线；不设电箱、漏电开关；施工现场未设安全警示牌，每处违约金1000元。</w:t>
            </w:r>
          </w:p>
        </w:tc>
      </w:tr>
      <w:tr w14:paraId="0330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35FA99E">
            <w:pPr>
              <w:pStyle w:val="68"/>
              <w:shd w:val="clear" w:fill="FFFFFF" w:themeFill="background1"/>
              <w:rPr>
                <w:rFonts w:ascii="宋体" w:hAnsi="宋体" w:cs="宋体"/>
                <w:color w:val="auto"/>
                <w:sz w:val="28"/>
                <w:szCs w:val="28"/>
                <w:highlight w:val="none"/>
              </w:rPr>
            </w:pPr>
          </w:p>
        </w:tc>
        <w:tc>
          <w:tcPr>
            <w:tcW w:w="518" w:type="dxa"/>
            <w:vAlign w:val="center"/>
          </w:tcPr>
          <w:p w14:paraId="79AAF1A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5817A0B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高空作业未设置稳固爬梯；不设围栏、安全网，每处违约金l000元。</w:t>
            </w:r>
          </w:p>
        </w:tc>
      </w:tr>
      <w:tr w14:paraId="715E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196719B">
            <w:pPr>
              <w:pStyle w:val="68"/>
              <w:shd w:val="clear" w:fill="FFFFFF" w:themeFill="background1"/>
              <w:rPr>
                <w:rFonts w:ascii="宋体" w:hAnsi="宋体" w:cs="宋体"/>
                <w:color w:val="auto"/>
                <w:sz w:val="28"/>
                <w:szCs w:val="28"/>
                <w:highlight w:val="none"/>
              </w:rPr>
            </w:pPr>
          </w:p>
        </w:tc>
        <w:tc>
          <w:tcPr>
            <w:tcW w:w="518" w:type="dxa"/>
            <w:vAlign w:val="center"/>
          </w:tcPr>
          <w:p w14:paraId="2BC9296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4B32C97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爆破作业应按批准的爆破方案及施工安全技术规程的要求进行，并对人身、工程本身及所有财产采取保护措施，违者每次违约金2000元。</w:t>
            </w:r>
          </w:p>
        </w:tc>
      </w:tr>
      <w:tr w14:paraId="7E9F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DEEC004">
            <w:pPr>
              <w:pStyle w:val="68"/>
              <w:shd w:val="clear" w:fill="FFFFFF" w:themeFill="background1"/>
              <w:rPr>
                <w:rFonts w:ascii="宋体" w:hAnsi="宋体" w:cs="宋体"/>
                <w:color w:val="auto"/>
                <w:sz w:val="28"/>
                <w:szCs w:val="28"/>
                <w:highlight w:val="none"/>
              </w:rPr>
            </w:pPr>
          </w:p>
        </w:tc>
        <w:tc>
          <w:tcPr>
            <w:tcW w:w="518" w:type="dxa"/>
            <w:vAlign w:val="center"/>
          </w:tcPr>
          <w:p w14:paraId="00194A0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0D11756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爆破器材设专人保管，严格领用手续，违者每次违约金2000元。  </w:t>
            </w:r>
          </w:p>
        </w:tc>
      </w:tr>
      <w:tr w14:paraId="52BC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C1E4E8B">
            <w:pPr>
              <w:pStyle w:val="68"/>
              <w:shd w:val="clear" w:fill="FFFFFF" w:themeFill="background1"/>
              <w:rPr>
                <w:rFonts w:ascii="宋体" w:hAnsi="宋体" w:cs="宋体"/>
                <w:color w:val="auto"/>
                <w:sz w:val="28"/>
                <w:szCs w:val="28"/>
                <w:highlight w:val="none"/>
              </w:rPr>
            </w:pPr>
          </w:p>
        </w:tc>
        <w:tc>
          <w:tcPr>
            <w:tcW w:w="518" w:type="dxa"/>
            <w:vAlign w:val="center"/>
          </w:tcPr>
          <w:p w14:paraId="7508BA9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06D6579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对于安全风险大的高空作业、梁板吊装，要求制订安全预案，违者每次违约金2000元。</w:t>
            </w:r>
          </w:p>
        </w:tc>
      </w:tr>
      <w:tr w14:paraId="0966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D7D9981">
            <w:pPr>
              <w:pStyle w:val="68"/>
              <w:shd w:val="clear" w:fill="FFFFFF" w:themeFill="background1"/>
              <w:rPr>
                <w:rFonts w:ascii="宋体" w:hAnsi="宋体" w:cs="宋体"/>
                <w:color w:val="auto"/>
                <w:sz w:val="28"/>
                <w:szCs w:val="28"/>
                <w:highlight w:val="none"/>
              </w:rPr>
            </w:pPr>
          </w:p>
        </w:tc>
        <w:tc>
          <w:tcPr>
            <w:tcW w:w="518" w:type="dxa"/>
            <w:vAlign w:val="center"/>
          </w:tcPr>
          <w:p w14:paraId="5AF6AD4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14C1F91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梁板吊运安装施工方案应经过监理人审批，吊车、龙门架、架桥机要经过安全生产管理部门检查合格，并在设备上张贴“四证”公示牌（当地无法办理使用登记证，张贴“三证”）才能施工作业，违者每次违约金 5000  元。</w:t>
            </w:r>
          </w:p>
        </w:tc>
      </w:tr>
      <w:tr w14:paraId="0680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9" w:type="dxa"/>
            <w:vMerge w:val="continue"/>
          </w:tcPr>
          <w:p w14:paraId="22DCA1A1">
            <w:pPr>
              <w:pStyle w:val="68"/>
              <w:shd w:val="clear" w:fill="FFFFFF" w:themeFill="background1"/>
              <w:rPr>
                <w:rFonts w:ascii="宋体" w:hAnsi="宋体" w:cs="宋体"/>
                <w:color w:val="auto"/>
                <w:sz w:val="28"/>
                <w:szCs w:val="28"/>
                <w:highlight w:val="none"/>
              </w:rPr>
            </w:pPr>
          </w:p>
        </w:tc>
        <w:tc>
          <w:tcPr>
            <w:tcW w:w="518" w:type="dxa"/>
            <w:vAlign w:val="center"/>
          </w:tcPr>
          <w:p w14:paraId="055C161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4F1CB44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出现以下情况每次违约金2000元：</w:t>
            </w:r>
          </w:p>
          <w:p w14:paraId="697595F8">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施工车辆和机械带病上岗，操作人员无证上岗和违反操作规程；</w:t>
            </w:r>
          </w:p>
          <w:p w14:paraId="70C8C2CE">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发生各种事故苗头及事故未及时不整改和隐瞒不报</w:t>
            </w:r>
          </w:p>
          <w:p w14:paraId="63217CCF">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每月安全大检查，安全管理人员无故不在位；</w:t>
            </w:r>
          </w:p>
          <w:p w14:paraId="270A21F9">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主要施工机械设备应悬挂操作规程；</w:t>
            </w:r>
          </w:p>
          <w:p w14:paraId="1680EFBD">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作业人员酒后作业、机器设备带病作业的；</w:t>
            </w:r>
          </w:p>
          <w:p w14:paraId="24847F06">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施工未进行安全交底，安全交底无记录的。</w:t>
            </w:r>
          </w:p>
        </w:tc>
      </w:tr>
      <w:tr w14:paraId="318B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A5B4EE3">
            <w:pPr>
              <w:pStyle w:val="68"/>
              <w:shd w:val="clear" w:fill="FFFFFF" w:themeFill="background1"/>
              <w:rPr>
                <w:rFonts w:ascii="宋体" w:hAnsi="宋体" w:cs="宋体"/>
                <w:color w:val="auto"/>
                <w:sz w:val="28"/>
                <w:szCs w:val="28"/>
                <w:highlight w:val="none"/>
              </w:rPr>
            </w:pPr>
          </w:p>
        </w:tc>
        <w:tc>
          <w:tcPr>
            <w:tcW w:w="518" w:type="dxa"/>
            <w:vAlign w:val="center"/>
          </w:tcPr>
          <w:p w14:paraId="1282EE7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5A2C1BB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施工现场人员出现以下情况，每人／次违约金500元：</w:t>
            </w:r>
          </w:p>
          <w:p w14:paraId="4E978F49">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不戴安全帽；</w:t>
            </w:r>
          </w:p>
          <w:p w14:paraId="299629EE">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高空作业不系安全带；</w:t>
            </w:r>
          </w:p>
          <w:p w14:paraId="706B0493">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水上作业不穿救生衣；</w:t>
            </w:r>
          </w:p>
          <w:p w14:paraId="0E34C8F5">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赤脚或穿拖鞋；</w:t>
            </w:r>
          </w:p>
          <w:p w14:paraId="030DB86E">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爆破员、安全员、电工、装载机司机、运输车司机、电焊工、砼工、吊车、架桥机等特殊工种未持证上岗的。</w:t>
            </w:r>
          </w:p>
        </w:tc>
      </w:tr>
      <w:tr w14:paraId="30FA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24C3096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文明施工</w:t>
            </w:r>
          </w:p>
        </w:tc>
        <w:tc>
          <w:tcPr>
            <w:tcW w:w="518" w:type="dxa"/>
            <w:vAlign w:val="center"/>
          </w:tcPr>
          <w:p w14:paraId="4E3C0B5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259F5E2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承包人驻地建设应包括防护、围墙、临时便道和安全、卫生、防火设施，违者每项违约金5000元。   </w:t>
            </w:r>
          </w:p>
        </w:tc>
      </w:tr>
      <w:tr w14:paraId="76C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FCC1060">
            <w:pPr>
              <w:pStyle w:val="68"/>
              <w:shd w:val="clear" w:fill="FFFFFF" w:themeFill="background1"/>
              <w:rPr>
                <w:rFonts w:ascii="宋体" w:hAnsi="宋体" w:cs="宋体"/>
                <w:color w:val="auto"/>
                <w:sz w:val="28"/>
                <w:szCs w:val="28"/>
                <w:highlight w:val="none"/>
              </w:rPr>
            </w:pPr>
          </w:p>
        </w:tc>
        <w:tc>
          <w:tcPr>
            <w:tcW w:w="518" w:type="dxa"/>
            <w:vAlign w:val="center"/>
          </w:tcPr>
          <w:p w14:paraId="6736693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590CA29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承包人项目经理部应按发包人统一要求设置组织机构、质量管理、安全生产等宣传牌，违者每项违约金5000元。</w:t>
            </w:r>
          </w:p>
        </w:tc>
      </w:tr>
      <w:tr w14:paraId="141B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868F26C">
            <w:pPr>
              <w:pStyle w:val="68"/>
              <w:shd w:val="clear" w:fill="FFFFFF" w:themeFill="background1"/>
              <w:rPr>
                <w:rFonts w:ascii="宋体" w:hAnsi="宋体" w:cs="宋体"/>
                <w:color w:val="auto"/>
                <w:sz w:val="28"/>
                <w:szCs w:val="28"/>
                <w:highlight w:val="none"/>
              </w:rPr>
            </w:pPr>
          </w:p>
        </w:tc>
        <w:tc>
          <w:tcPr>
            <w:tcW w:w="518" w:type="dxa"/>
            <w:vAlign w:val="center"/>
          </w:tcPr>
          <w:p w14:paraId="1F78520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22CCE1C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单项工程的施工现场未按要求设立标示牌的，施工点无安全员的，每处违约金500元。</w:t>
            </w:r>
          </w:p>
        </w:tc>
      </w:tr>
      <w:tr w14:paraId="3730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3F74E90">
            <w:pPr>
              <w:pStyle w:val="68"/>
              <w:shd w:val="clear" w:fill="FFFFFF" w:themeFill="background1"/>
              <w:rPr>
                <w:rFonts w:ascii="宋体" w:hAnsi="宋体" w:cs="宋体"/>
                <w:color w:val="auto"/>
                <w:sz w:val="28"/>
                <w:szCs w:val="28"/>
                <w:highlight w:val="none"/>
              </w:rPr>
            </w:pPr>
          </w:p>
        </w:tc>
        <w:tc>
          <w:tcPr>
            <w:tcW w:w="518" w:type="dxa"/>
            <w:vAlign w:val="center"/>
          </w:tcPr>
          <w:p w14:paraId="0DA6C08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7743BDF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施工现场管理人员不佩带工作证，每人／次违约金200元。  </w:t>
            </w:r>
          </w:p>
        </w:tc>
      </w:tr>
      <w:tr w14:paraId="527F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9A6C27F">
            <w:pPr>
              <w:pStyle w:val="68"/>
              <w:shd w:val="clear" w:fill="FFFFFF" w:themeFill="background1"/>
              <w:rPr>
                <w:rFonts w:ascii="宋体" w:hAnsi="宋体" w:cs="宋体"/>
                <w:color w:val="auto"/>
                <w:sz w:val="28"/>
                <w:szCs w:val="28"/>
                <w:highlight w:val="none"/>
              </w:rPr>
            </w:pPr>
          </w:p>
        </w:tc>
        <w:tc>
          <w:tcPr>
            <w:tcW w:w="518" w:type="dxa"/>
            <w:vAlign w:val="center"/>
          </w:tcPr>
          <w:p w14:paraId="3346330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45D7170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路基施工作业面、便道不及时洒水降尘的，每次违约金3000元。</w:t>
            </w:r>
          </w:p>
        </w:tc>
      </w:tr>
      <w:tr w14:paraId="4956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DDAF191">
            <w:pPr>
              <w:pStyle w:val="68"/>
              <w:shd w:val="clear" w:fill="FFFFFF" w:themeFill="background1"/>
              <w:rPr>
                <w:rFonts w:ascii="宋体" w:hAnsi="宋体" w:cs="宋体"/>
                <w:color w:val="auto"/>
                <w:sz w:val="28"/>
                <w:szCs w:val="28"/>
                <w:highlight w:val="none"/>
              </w:rPr>
            </w:pPr>
          </w:p>
        </w:tc>
        <w:tc>
          <w:tcPr>
            <w:tcW w:w="518" w:type="dxa"/>
            <w:vAlign w:val="center"/>
          </w:tcPr>
          <w:p w14:paraId="581EBE4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094B119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桥梁施工过程中的泥浆及废弃物等，须在该项工程完工时即时清除干净，违者违约金30000元。   </w:t>
            </w:r>
          </w:p>
        </w:tc>
      </w:tr>
      <w:tr w14:paraId="08B8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3F754F9">
            <w:pPr>
              <w:pStyle w:val="68"/>
              <w:shd w:val="clear" w:fill="FFFFFF" w:themeFill="background1"/>
              <w:rPr>
                <w:rFonts w:ascii="宋体" w:hAnsi="宋体" w:cs="宋体"/>
                <w:color w:val="auto"/>
                <w:sz w:val="28"/>
                <w:szCs w:val="28"/>
                <w:highlight w:val="none"/>
              </w:rPr>
            </w:pPr>
          </w:p>
        </w:tc>
        <w:tc>
          <w:tcPr>
            <w:tcW w:w="518" w:type="dxa"/>
            <w:vAlign w:val="center"/>
          </w:tcPr>
          <w:p w14:paraId="3C4168C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7FDA1F3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施工现场未采取有效措施，造成水源污染、空气污染等不良后果，引起群众抗议、投诉或有关行政主管部门处理的，每次违约金 10000 元。</w:t>
            </w:r>
          </w:p>
        </w:tc>
      </w:tr>
      <w:tr w14:paraId="7E6B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vMerge w:val="continue"/>
          </w:tcPr>
          <w:p w14:paraId="21E50100">
            <w:pPr>
              <w:pStyle w:val="68"/>
              <w:shd w:val="clear" w:fill="FFFFFF" w:themeFill="background1"/>
              <w:rPr>
                <w:rFonts w:ascii="宋体" w:hAnsi="宋体" w:cs="宋体"/>
                <w:color w:val="auto"/>
                <w:sz w:val="28"/>
                <w:szCs w:val="28"/>
                <w:highlight w:val="none"/>
              </w:rPr>
            </w:pPr>
          </w:p>
        </w:tc>
        <w:tc>
          <w:tcPr>
            <w:tcW w:w="518" w:type="dxa"/>
            <w:vAlign w:val="center"/>
          </w:tcPr>
          <w:p w14:paraId="557E135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3232E9E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弃土、弃渣占农田果园、堵塞水道以及造成水土流失的，每次违约金 5000 元。</w:t>
            </w:r>
          </w:p>
        </w:tc>
      </w:tr>
      <w:tr w14:paraId="5D32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continue"/>
          </w:tcPr>
          <w:p w14:paraId="3DC45F1C">
            <w:pPr>
              <w:pStyle w:val="68"/>
              <w:shd w:val="clear" w:fill="FFFFFF" w:themeFill="background1"/>
              <w:rPr>
                <w:rFonts w:ascii="宋体" w:hAnsi="宋体" w:cs="宋体"/>
                <w:color w:val="auto"/>
                <w:sz w:val="28"/>
                <w:szCs w:val="28"/>
                <w:highlight w:val="none"/>
              </w:rPr>
            </w:pPr>
          </w:p>
        </w:tc>
        <w:tc>
          <w:tcPr>
            <w:tcW w:w="518" w:type="dxa"/>
            <w:vAlign w:val="center"/>
          </w:tcPr>
          <w:p w14:paraId="3984151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1C20369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水土保持防护措施不完善，造成水土流失，污染当地农田水利的，每次违约金5000 元。</w:t>
            </w:r>
          </w:p>
        </w:tc>
      </w:tr>
      <w:tr w14:paraId="05B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tcPr>
          <w:p w14:paraId="0BC27995">
            <w:pPr>
              <w:pStyle w:val="68"/>
              <w:shd w:val="clear" w:fill="FFFFFF" w:themeFill="background1"/>
              <w:rPr>
                <w:rFonts w:ascii="宋体" w:hAnsi="宋体" w:cs="宋体"/>
                <w:color w:val="auto"/>
                <w:sz w:val="24"/>
                <w:highlight w:val="none"/>
              </w:rPr>
            </w:pPr>
          </w:p>
          <w:p w14:paraId="0CE40530">
            <w:pPr>
              <w:shd w:val="clear" w:fill="FFFFFF" w:themeFill="background1"/>
              <w:rPr>
                <w:rFonts w:ascii="宋体" w:hAnsi="宋体" w:cs="宋体"/>
                <w:color w:val="auto"/>
                <w:sz w:val="24"/>
                <w:highlight w:val="none"/>
              </w:rPr>
            </w:pPr>
          </w:p>
          <w:p w14:paraId="346DF270">
            <w:pPr>
              <w:shd w:val="clear" w:fill="FFFFFF" w:themeFill="background1"/>
              <w:rPr>
                <w:rFonts w:ascii="宋体" w:hAnsi="宋体" w:cs="宋体"/>
                <w:color w:val="auto"/>
                <w:sz w:val="24"/>
                <w:highlight w:val="none"/>
              </w:rPr>
            </w:pPr>
          </w:p>
          <w:p w14:paraId="3D88D5BA">
            <w:pPr>
              <w:shd w:val="clear" w:fill="FFFFFF" w:themeFill="background1"/>
              <w:rPr>
                <w:rFonts w:ascii="宋体" w:hAnsi="宋体" w:cs="宋体"/>
                <w:color w:val="auto"/>
                <w:sz w:val="24"/>
                <w:highlight w:val="none"/>
              </w:rPr>
            </w:pPr>
          </w:p>
          <w:p w14:paraId="01B4E124">
            <w:pPr>
              <w:shd w:val="clear" w:fill="FFFFFF" w:themeFill="background1"/>
              <w:rPr>
                <w:rFonts w:ascii="宋体" w:hAnsi="宋体" w:cs="宋体"/>
                <w:color w:val="auto"/>
                <w:sz w:val="24"/>
                <w:highlight w:val="none"/>
              </w:rPr>
            </w:pPr>
          </w:p>
          <w:p w14:paraId="23ADA58F">
            <w:pPr>
              <w:shd w:val="clear" w:fill="FFFFFF" w:themeFill="background1"/>
              <w:rPr>
                <w:rFonts w:ascii="宋体" w:hAnsi="宋体" w:cs="宋体"/>
                <w:color w:val="auto"/>
                <w:sz w:val="24"/>
                <w:highlight w:val="none"/>
              </w:rPr>
            </w:pPr>
          </w:p>
          <w:p w14:paraId="7CC315ED">
            <w:pPr>
              <w:shd w:val="clear" w:fill="FFFFFF" w:themeFill="background1"/>
              <w:rPr>
                <w:rFonts w:ascii="宋体" w:hAnsi="宋体" w:cs="宋体"/>
                <w:color w:val="auto"/>
                <w:sz w:val="24"/>
                <w:highlight w:val="none"/>
              </w:rPr>
            </w:pPr>
          </w:p>
          <w:p w14:paraId="0CA9E5E4">
            <w:pPr>
              <w:shd w:val="clear" w:fill="FFFFFF" w:themeFill="background1"/>
              <w:rPr>
                <w:rFonts w:ascii="宋体" w:hAnsi="宋体" w:cs="宋体"/>
                <w:color w:val="auto"/>
                <w:sz w:val="24"/>
                <w:highlight w:val="none"/>
              </w:rPr>
            </w:pPr>
          </w:p>
          <w:p w14:paraId="599A502F">
            <w:pPr>
              <w:shd w:val="clear" w:fill="FFFFFF" w:themeFill="background1"/>
              <w:rPr>
                <w:rFonts w:ascii="宋体" w:hAnsi="宋体" w:cs="宋体"/>
                <w:color w:val="auto"/>
                <w:sz w:val="24"/>
                <w:highlight w:val="none"/>
              </w:rPr>
            </w:pPr>
          </w:p>
          <w:p w14:paraId="0070AEB1">
            <w:pPr>
              <w:shd w:val="clear" w:fill="FFFFFF" w:themeFill="background1"/>
              <w:rPr>
                <w:rFonts w:ascii="宋体" w:hAnsi="宋体" w:cs="宋体"/>
                <w:color w:val="auto"/>
                <w:sz w:val="24"/>
                <w:highlight w:val="none"/>
              </w:rPr>
            </w:pPr>
          </w:p>
          <w:p w14:paraId="091CE939">
            <w:pPr>
              <w:shd w:val="clear" w:fill="FFFFFF" w:themeFill="background1"/>
              <w:rPr>
                <w:rFonts w:ascii="宋体" w:hAnsi="宋体" w:cs="宋体"/>
                <w:color w:val="auto"/>
                <w:sz w:val="24"/>
                <w:highlight w:val="none"/>
              </w:rPr>
            </w:pPr>
          </w:p>
          <w:p w14:paraId="2ED75E4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环 境保护</w:t>
            </w:r>
          </w:p>
          <w:p w14:paraId="58A9AE3E">
            <w:pPr>
              <w:shd w:val="clear" w:fill="FFFFFF" w:themeFill="background1"/>
              <w:jc w:val="center"/>
              <w:rPr>
                <w:rFonts w:ascii="宋体" w:hAnsi="宋体" w:cs="宋体"/>
                <w:color w:val="auto"/>
                <w:sz w:val="24"/>
                <w:highlight w:val="none"/>
              </w:rPr>
            </w:pPr>
          </w:p>
        </w:tc>
        <w:tc>
          <w:tcPr>
            <w:tcW w:w="518" w:type="dxa"/>
            <w:vAlign w:val="center"/>
          </w:tcPr>
          <w:p w14:paraId="65A8923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tcPr>
          <w:p w14:paraId="3C373CE0">
            <w:pPr>
              <w:pStyle w:val="80"/>
              <w:shd w:val="clear" w:fill="FFFFFF" w:themeFill="background1"/>
              <w:spacing w:before="86"/>
              <w:ind w:left="109"/>
              <w:rPr>
                <w:color w:val="auto"/>
                <w:sz w:val="24"/>
                <w:highlight w:val="none"/>
              </w:rPr>
            </w:pPr>
            <w:r>
              <w:rPr>
                <w:rFonts w:hint="eastAsia"/>
                <w:color w:val="auto"/>
                <w:sz w:val="24"/>
                <w:highlight w:val="none"/>
              </w:rPr>
              <w:t>未建立健全的环境保护管理机构，违约金 10000 元，并限期纠正。</w:t>
            </w:r>
          </w:p>
        </w:tc>
      </w:tr>
      <w:tr w14:paraId="1708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4AC38B2">
            <w:pPr>
              <w:pStyle w:val="68"/>
              <w:shd w:val="clear" w:fill="FFFFFF" w:themeFill="background1"/>
              <w:rPr>
                <w:rFonts w:ascii="宋体" w:hAnsi="宋体" w:cs="宋体"/>
                <w:color w:val="auto"/>
                <w:sz w:val="24"/>
                <w:highlight w:val="none"/>
              </w:rPr>
            </w:pPr>
          </w:p>
        </w:tc>
        <w:tc>
          <w:tcPr>
            <w:tcW w:w="518" w:type="dxa"/>
            <w:vAlign w:val="center"/>
          </w:tcPr>
          <w:p w14:paraId="504A6BC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tcPr>
          <w:p w14:paraId="488AEEF0">
            <w:pPr>
              <w:pStyle w:val="80"/>
              <w:shd w:val="clear" w:fill="FFFFFF" w:themeFill="background1"/>
              <w:spacing w:before="85"/>
              <w:ind w:left="109"/>
              <w:rPr>
                <w:color w:val="auto"/>
                <w:sz w:val="24"/>
                <w:highlight w:val="none"/>
              </w:rPr>
            </w:pPr>
            <w:r>
              <w:rPr>
                <w:rFonts w:hint="eastAsia"/>
                <w:color w:val="auto"/>
                <w:sz w:val="24"/>
                <w:highlight w:val="none"/>
              </w:rPr>
              <w:t>环境保护规章制度不齐全，违约金 5000  元，并限期纠正。</w:t>
            </w:r>
          </w:p>
        </w:tc>
      </w:tr>
      <w:tr w14:paraId="68F9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6E45A6E">
            <w:pPr>
              <w:pStyle w:val="68"/>
              <w:shd w:val="clear" w:fill="FFFFFF" w:themeFill="background1"/>
              <w:rPr>
                <w:rFonts w:ascii="宋体" w:hAnsi="宋体" w:cs="宋体"/>
                <w:color w:val="auto"/>
                <w:sz w:val="24"/>
                <w:highlight w:val="none"/>
              </w:rPr>
            </w:pPr>
          </w:p>
        </w:tc>
        <w:tc>
          <w:tcPr>
            <w:tcW w:w="518" w:type="dxa"/>
            <w:vAlign w:val="center"/>
          </w:tcPr>
          <w:p w14:paraId="1A76CA7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tcPr>
          <w:p w14:paraId="5028097F">
            <w:pPr>
              <w:pStyle w:val="80"/>
              <w:shd w:val="clear" w:fill="FFFFFF" w:themeFill="background1"/>
              <w:spacing w:before="85"/>
              <w:ind w:left="109"/>
              <w:rPr>
                <w:color w:val="auto"/>
                <w:sz w:val="24"/>
                <w:highlight w:val="none"/>
              </w:rPr>
            </w:pPr>
            <w:r>
              <w:rPr>
                <w:rFonts w:hint="eastAsia"/>
                <w:color w:val="auto"/>
                <w:sz w:val="24"/>
                <w:highlight w:val="none"/>
              </w:rPr>
              <w:t>施工方案中没有环保措施，违约金 1000 元，并限期纠正。</w:t>
            </w:r>
          </w:p>
        </w:tc>
      </w:tr>
      <w:tr w14:paraId="15F7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858E003">
            <w:pPr>
              <w:pStyle w:val="68"/>
              <w:shd w:val="clear" w:fill="FFFFFF" w:themeFill="background1"/>
              <w:rPr>
                <w:rFonts w:ascii="宋体" w:hAnsi="宋体" w:cs="宋体"/>
                <w:color w:val="auto"/>
                <w:sz w:val="24"/>
                <w:highlight w:val="none"/>
              </w:rPr>
            </w:pPr>
          </w:p>
        </w:tc>
        <w:tc>
          <w:tcPr>
            <w:tcW w:w="518" w:type="dxa"/>
            <w:vAlign w:val="center"/>
          </w:tcPr>
          <w:p w14:paraId="0C7F74C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tcPr>
          <w:p w14:paraId="3033A7FF">
            <w:pPr>
              <w:pStyle w:val="80"/>
              <w:shd w:val="clear" w:fill="FFFFFF" w:themeFill="background1"/>
              <w:spacing w:before="85"/>
              <w:ind w:left="109"/>
              <w:rPr>
                <w:color w:val="auto"/>
                <w:sz w:val="24"/>
                <w:highlight w:val="none"/>
              </w:rPr>
            </w:pPr>
            <w:r>
              <w:rPr>
                <w:rFonts w:hint="eastAsia"/>
                <w:color w:val="auto"/>
                <w:sz w:val="24"/>
                <w:highlight w:val="none"/>
              </w:rPr>
              <w:t>未对可能造成环境污染的项目进行监测，违约金 1000 元，并限期纠正。</w:t>
            </w:r>
          </w:p>
        </w:tc>
      </w:tr>
      <w:tr w14:paraId="2FB6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420A747">
            <w:pPr>
              <w:pStyle w:val="68"/>
              <w:shd w:val="clear" w:fill="FFFFFF" w:themeFill="background1"/>
              <w:rPr>
                <w:rFonts w:ascii="宋体" w:hAnsi="宋体" w:cs="宋体"/>
                <w:color w:val="auto"/>
                <w:sz w:val="24"/>
                <w:highlight w:val="none"/>
              </w:rPr>
            </w:pPr>
          </w:p>
        </w:tc>
        <w:tc>
          <w:tcPr>
            <w:tcW w:w="518" w:type="dxa"/>
            <w:vAlign w:val="center"/>
          </w:tcPr>
          <w:p w14:paraId="75F9EFC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tcPr>
          <w:p w14:paraId="2E6D8CAA">
            <w:pPr>
              <w:pStyle w:val="80"/>
              <w:shd w:val="clear" w:fill="FFFFFF" w:themeFill="background1"/>
              <w:spacing w:before="85"/>
              <w:ind w:left="109"/>
              <w:rPr>
                <w:color w:val="auto"/>
                <w:sz w:val="24"/>
                <w:highlight w:val="none"/>
              </w:rPr>
            </w:pPr>
            <w:r>
              <w:rPr>
                <w:rFonts w:hint="eastAsia"/>
                <w:color w:val="auto"/>
                <w:sz w:val="24"/>
                <w:highlight w:val="none"/>
              </w:rPr>
              <w:t>未配备必要的环境保护监测仪器，违约金 1000 元，并限期纠正。</w:t>
            </w:r>
          </w:p>
        </w:tc>
      </w:tr>
      <w:tr w14:paraId="2047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50EE79E">
            <w:pPr>
              <w:pStyle w:val="68"/>
              <w:shd w:val="clear" w:fill="FFFFFF" w:themeFill="background1"/>
              <w:rPr>
                <w:rFonts w:ascii="宋体" w:hAnsi="宋体" w:cs="宋体"/>
                <w:color w:val="auto"/>
                <w:sz w:val="24"/>
                <w:highlight w:val="none"/>
              </w:rPr>
            </w:pPr>
          </w:p>
        </w:tc>
        <w:tc>
          <w:tcPr>
            <w:tcW w:w="518" w:type="dxa"/>
            <w:vAlign w:val="center"/>
          </w:tcPr>
          <w:p w14:paraId="1E9EC1F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tcPr>
          <w:p w14:paraId="08A8A4E2">
            <w:pPr>
              <w:pStyle w:val="80"/>
              <w:shd w:val="clear" w:fill="FFFFFF" w:themeFill="background1"/>
              <w:spacing w:before="86"/>
              <w:ind w:left="108"/>
              <w:rPr>
                <w:color w:val="auto"/>
                <w:sz w:val="24"/>
                <w:highlight w:val="none"/>
              </w:rPr>
            </w:pPr>
            <w:r>
              <w:rPr>
                <w:rFonts w:hint="eastAsia"/>
                <w:color w:val="auto"/>
                <w:sz w:val="24"/>
                <w:highlight w:val="none"/>
              </w:rPr>
              <w:t>环境保护学习、宣传、教育、培训不健全，违约金 1000 元，并限期纠正。</w:t>
            </w:r>
          </w:p>
        </w:tc>
      </w:tr>
      <w:tr w14:paraId="4CA3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C75217F">
            <w:pPr>
              <w:pStyle w:val="68"/>
              <w:shd w:val="clear" w:fill="FFFFFF" w:themeFill="background1"/>
              <w:rPr>
                <w:rFonts w:ascii="宋体" w:hAnsi="宋体" w:cs="宋体"/>
                <w:color w:val="auto"/>
                <w:sz w:val="24"/>
                <w:highlight w:val="none"/>
              </w:rPr>
            </w:pPr>
          </w:p>
        </w:tc>
        <w:tc>
          <w:tcPr>
            <w:tcW w:w="518" w:type="dxa"/>
            <w:vAlign w:val="center"/>
          </w:tcPr>
          <w:p w14:paraId="5CEC35B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tcPr>
          <w:p w14:paraId="389BEF04">
            <w:pPr>
              <w:pStyle w:val="80"/>
              <w:shd w:val="clear" w:fill="FFFFFF" w:themeFill="background1"/>
              <w:spacing w:before="86"/>
              <w:ind w:left="108"/>
              <w:rPr>
                <w:color w:val="auto"/>
                <w:sz w:val="24"/>
                <w:highlight w:val="none"/>
              </w:rPr>
            </w:pPr>
            <w:r>
              <w:rPr>
                <w:rFonts w:hint="eastAsia"/>
                <w:color w:val="auto"/>
                <w:sz w:val="24"/>
                <w:highlight w:val="none"/>
              </w:rPr>
              <w:t>未建立环境保护管理台帐，报送资料不及时，违约金 1000 元，并限期纠正。</w:t>
            </w:r>
          </w:p>
        </w:tc>
      </w:tr>
      <w:tr w14:paraId="7E17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D100449">
            <w:pPr>
              <w:pStyle w:val="68"/>
              <w:shd w:val="clear" w:fill="FFFFFF" w:themeFill="background1"/>
              <w:rPr>
                <w:rFonts w:ascii="宋体" w:hAnsi="宋体" w:cs="宋体"/>
                <w:color w:val="auto"/>
                <w:sz w:val="24"/>
                <w:highlight w:val="none"/>
              </w:rPr>
            </w:pPr>
          </w:p>
        </w:tc>
        <w:tc>
          <w:tcPr>
            <w:tcW w:w="518" w:type="dxa"/>
            <w:vAlign w:val="center"/>
          </w:tcPr>
          <w:p w14:paraId="7677357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tcPr>
          <w:p w14:paraId="289A07E2">
            <w:pPr>
              <w:pStyle w:val="80"/>
              <w:shd w:val="clear" w:fill="FFFFFF" w:themeFill="background1"/>
              <w:spacing w:before="85"/>
              <w:ind w:left="108"/>
              <w:rPr>
                <w:color w:val="auto"/>
                <w:sz w:val="24"/>
                <w:highlight w:val="none"/>
              </w:rPr>
            </w:pPr>
            <w:r>
              <w:rPr>
                <w:rFonts w:hint="eastAsia"/>
                <w:color w:val="auto"/>
                <w:sz w:val="24"/>
                <w:highlight w:val="none"/>
              </w:rPr>
              <w:t>驻地环保设施不完善或设施缺乏维护而造成环境污染，视严重程度违约金</w:t>
            </w:r>
          </w:p>
          <w:p w14:paraId="71C683E7">
            <w:pPr>
              <w:pStyle w:val="80"/>
              <w:shd w:val="clear" w:fill="FFFFFF" w:themeFill="background1"/>
              <w:spacing w:before="3"/>
              <w:ind w:left="108"/>
              <w:rPr>
                <w:color w:val="auto"/>
                <w:sz w:val="24"/>
                <w:highlight w:val="none"/>
              </w:rPr>
            </w:pPr>
            <w:r>
              <w:rPr>
                <w:rFonts w:hint="eastAsia"/>
                <w:color w:val="auto"/>
                <w:sz w:val="24"/>
                <w:highlight w:val="none"/>
              </w:rPr>
              <w:t>1000~10000 元，并限期纠正。</w:t>
            </w:r>
          </w:p>
        </w:tc>
      </w:tr>
      <w:tr w14:paraId="37BC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0C06667">
            <w:pPr>
              <w:pStyle w:val="68"/>
              <w:shd w:val="clear" w:fill="FFFFFF" w:themeFill="background1"/>
              <w:rPr>
                <w:rFonts w:ascii="宋体" w:hAnsi="宋体" w:cs="宋体"/>
                <w:color w:val="auto"/>
                <w:sz w:val="24"/>
                <w:highlight w:val="none"/>
              </w:rPr>
            </w:pPr>
          </w:p>
        </w:tc>
        <w:tc>
          <w:tcPr>
            <w:tcW w:w="518" w:type="dxa"/>
            <w:vAlign w:val="center"/>
          </w:tcPr>
          <w:p w14:paraId="3637262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tcPr>
          <w:p w14:paraId="5411EC2E">
            <w:pPr>
              <w:pStyle w:val="80"/>
              <w:shd w:val="clear" w:fill="FFFFFF" w:themeFill="background1"/>
              <w:spacing w:before="85"/>
              <w:ind w:left="108"/>
              <w:rPr>
                <w:color w:val="auto"/>
                <w:sz w:val="24"/>
                <w:highlight w:val="none"/>
              </w:rPr>
            </w:pPr>
            <w:r>
              <w:rPr>
                <w:rFonts w:hint="eastAsia"/>
                <w:color w:val="auto"/>
                <w:sz w:val="24"/>
                <w:highlight w:val="none"/>
              </w:rPr>
              <w:t>临近居民区施工噪声超标，违约金 1000 元，并限期纠正。</w:t>
            </w:r>
          </w:p>
        </w:tc>
      </w:tr>
      <w:tr w14:paraId="42CD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951CB54">
            <w:pPr>
              <w:pStyle w:val="68"/>
              <w:shd w:val="clear" w:fill="FFFFFF" w:themeFill="background1"/>
              <w:rPr>
                <w:rFonts w:ascii="宋体" w:hAnsi="宋体" w:cs="宋体"/>
                <w:color w:val="auto"/>
                <w:sz w:val="24"/>
                <w:highlight w:val="none"/>
              </w:rPr>
            </w:pPr>
          </w:p>
        </w:tc>
        <w:tc>
          <w:tcPr>
            <w:tcW w:w="518" w:type="dxa"/>
            <w:vAlign w:val="center"/>
          </w:tcPr>
          <w:p w14:paraId="137CD25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tcPr>
          <w:p w14:paraId="7BA28CDF">
            <w:pPr>
              <w:pStyle w:val="80"/>
              <w:shd w:val="clear" w:fill="FFFFFF" w:themeFill="background1"/>
              <w:spacing w:before="85" w:line="242" w:lineRule="auto"/>
              <w:ind w:left="108" w:right="6"/>
              <w:rPr>
                <w:color w:val="auto"/>
                <w:sz w:val="24"/>
                <w:highlight w:val="none"/>
              </w:rPr>
            </w:pPr>
            <w:r>
              <w:rPr>
                <w:rFonts w:hint="eastAsia"/>
                <w:color w:val="auto"/>
                <w:sz w:val="24"/>
                <w:highlight w:val="none"/>
              </w:rPr>
              <w:t>施工废料、废渣或弃土乱堆乱弃于施工现场而未运至弃土场，违约金 2000 元，并限期纠正。</w:t>
            </w:r>
          </w:p>
        </w:tc>
      </w:tr>
      <w:tr w14:paraId="3A03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B98ACE9">
            <w:pPr>
              <w:pStyle w:val="68"/>
              <w:shd w:val="clear" w:fill="FFFFFF" w:themeFill="background1"/>
              <w:rPr>
                <w:rFonts w:ascii="宋体" w:hAnsi="宋体" w:cs="宋体"/>
                <w:color w:val="auto"/>
                <w:sz w:val="28"/>
                <w:szCs w:val="28"/>
                <w:highlight w:val="none"/>
              </w:rPr>
            </w:pPr>
          </w:p>
        </w:tc>
        <w:tc>
          <w:tcPr>
            <w:tcW w:w="518" w:type="dxa"/>
            <w:vAlign w:val="center"/>
          </w:tcPr>
          <w:p w14:paraId="59CEA47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tcPr>
          <w:p w14:paraId="39C9FBFE">
            <w:pPr>
              <w:pStyle w:val="80"/>
              <w:shd w:val="clear" w:fill="FFFFFF" w:themeFill="background1"/>
              <w:spacing w:before="85"/>
              <w:ind w:left="108"/>
              <w:rPr>
                <w:color w:val="auto"/>
                <w:sz w:val="24"/>
                <w:highlight w:val="none"/>
              </w:rPr>
            </w:pPr>
            <w:r>
              <w:rPr>
                <w:rFonts w:hint="eastAsia"/>
                <w:color w:val="auto"/>
                <w:sz w:val="24"/>
                <w:highlight w:val="none"/>
              </w:rPr>
              <w:t>施工废水排放未经处理而对周边造成污染，违约金 2000 元，并限期纠正。</w:t>
            </w:r>
          </w:p>
        </w:tc>
      </w:tr>
      <w:tr w14:paraId="2FEA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2335147">
            <w:pPr>
              <w:pStyle w:val="68"/>
              <w:shd w:val="clear" w:fill="FFFFFF" w:themeFill="background1"/>
              <w:rPr>
                <w:rFonts w:ascii="宋体" w:hAnsi="宋体" w:cs="宋体"/>
                <w:color w:val="auto"/>
                <w:sz w:val="28"/>
                <w:szCs w:val="28"/>
                <w:highlight w:val="none"/>
              </w:rPr>
            </w:pPr>
          </w:p>
        </w:tc>
        <w:tc>
          <w:tcPr>
            <w:tcW w:w="518" w:type="dxa"/>
            <w:vAlign w:val="center"/>
          </w:tcPr>
          <w:p w14:paraId="3DC4DF1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12</w:t>
            </w:r>
          </w:p>
        </w:tc>
        <w:tc>
          <w:tcPr>
            <w:tcW w:w="8062" w:type="dxa"/>
          </w:tcPr>
          <w:p w14:paraId="2CC7EA06">
            <w:pPr>
              <w:pStyle w:val="80"/>
              <w:shd w:val="clear" w:fill="FFFFFF" w:themeFill="background1"/>
              <w:spacing w:before="85"/>
              <w:ind w:left="108"/>
              <w:rPr>
                <w:color w:val="auto"/>
                <w:sz w:val="24"/>
                <w:highlight w:val="none"/>
              </w:rPr>
            </w:pPr>
            <w:r>
              <w:rPr>
                <w:rFonts w:hint="eastAsia"/>
                <w:color w:val="auto"/>
                <w:sz w:val="24"/>
                <w:highlight w:val="none"/>
              </w:rPr>
              <w:t>施工废气排放未经处理而对周边造成污染，违约金 2000 元，并限期纠正。</w:t>
            </w:r>
          </w:p>
        </w:tc>
      </w:tr>
      <w:tr w14:paraId="3FC7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A75D4AE">
            <w:pPr>
              <w:pStyle w:val="68"/>
              <w:shd w:val="clear" w:fill="FFFFFF" w:themeFill="background1"/>
              <w:rPr>
                <w:rFonts w:ascii="宋体" w:hAnsi="宋体" w:cs="宋体"/>
                <w:color w:val="auto"/>
                <w:sz w:val="28"/>
                <w:szCs w:val="28"/>
                <w:highlight w:val="none"/>
              </w:rPr>
            </w:pPr>
          </w:p>
        </w:tc>
        <w:tc>
          <w:tcPr>
            <w:tcW w:w="518" w:type="dxa"/>
            <w:vAlign w:val="center"/>
          </w:tcPr>
          <w:p w14:paraId="6ACC1F3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13</w:t>
            </w:r>
          </w:p>
        </w:tc>
        <w:tc>
          <w:tcPr>
            <w:tcW w:w="8062" w:type="dxa"/>
          </w:tcPr>
          <w:p w14:paraId="78299D4E">
            <w:pPr>
              <w:pStyle w:val="80"/>
              <w:shd w:val="clear" w:fill="FFFFFF" w:themeFill="background1"/>
              <w:spacing w:before="85"/>
              <w:ind w:left="108"/>
              <w:rPr>
                <w:color w:val="auto"/>
                <w:sz w:val="24"/>
                <w:highlight w:val="none"/>
              </w:rPr>
            </w:pPr>
            <w:r>
              <w:rPr>
                <w:rFonts w:hint="eastAsia"/>
                <w:color w:val="auto"/>
                <w:sz w:val="24"/>
                <w:highlight w:val="none"/>
              </w:rPr>
              <w:t>施工粉尘未有效控制而对周边造成污染，违约金 2000 元，并限期纠正。</w:t>
            </w:r>
          </w:p>
        </w:tc>
      </w:tr>
      <w:tr w14:paraId="19EB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4C66896">
            <w:pPr>
              <w:pStyle w:val="68"/>
              <w:shd w:val="clear" w:fill="FFFFFF" w:themeFill="background1"/>
              <w:rPr>
                <w:rFonts w:ascii="宋体" w:hAnsi="宋体" w:cs="宋体"/>
                <w:color w:val="auto"/>
                <w:sz w:val="28"/>
                <w:szCs w:val="28"/>
                <w:highlight w:val="none"/>
              </w:rPr>
            </w:pPr>
          </w:p>
        </w:tc>
        <w:tc>
          <w:tcPr>
            <w:tcW w:w="518" w:type="dxa"/>
            <w:vAlign w:val="center"/>
          </w:tcPr>
          <w:p w14:paraId="24A0EA2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14</w:t>
            </w:r>
          </w:p>
        </w:tc>
        <w:tc>
          <w:tcPr>
            <w:tcW w:w="8062" w:type="dxa"/>
          </w:tcPr>
          <w:p w14:paraId="79D047A9">
            <w:pPr>
              <w:pStyle w:val="80"/>
              <w:shd w:val="clear" w:fill="FFFFFF" w:themeFill="background1"/>
              <w:spacing w:before="86"/>
              <w:ind w:left="108"/>
              <w:rPr>
                <w:color w:val="auto"/>
                <w:sz w:val="24"/>
                <w:highlight w:val="none"/>
              </w:rPr>
            </w:pPr>
            <w:r>
              <w:rPr>
                <w:rFonts w:hint="eastAsia"/>
                <w:color w:val="auto"/>
                <w:sz w:val="24"/>
                <w:highlight w:val="none"/>
              </w:rPr>
              <w:t>生活污水没有处理直接排放而造成污染，违约金 1000 元，并限期纠正。</w:t>
            </w:r>
          </w:p>
        </w:tc>
      </w:tr>
      <w:tr w14:paraId="62B3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711B75D">
            <w:pPr>
              <w:pStyle w:val="68"/>
              <w:shd w:val="clear" w:fill="FFFFFF" w:themeFill="background1"/>
              <w:rPr>
                <w:rFonts w:ascii="宋体" w:hAnsi="宋体" w:cs="宋体"/>
                <w:color w:val="auto"/>
                <w:sz w:val="28"/>
                <w:szCs w:val="28"/>
                <w:highlight w:val="none"/>
              </w:rPr>
            </w:pPr>
          </w:p>
        </w:tc>
        <w:tc>
          <w:tcPr>
            <w:tcW w:w="518" w:type="dxa"/>
            <w:vAlign w:val="center"/>
          </w:tcPr>
          <w:p w14:paraId="697B473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15</w:t>
            </w:r>
          </w:p>
        </w:tc>
        <w:tc>
          <w:tcPr>
            <w:tcW w:w="8062" w:type="dxa"/>
          </w:tcPr>
          <w:p w14:paraId="0994840A">
            <w:pPr>
              <w:pStyle w:val="80"/>
              <w:shd w:val="clear" w:fill="FFFFFF" w:themeFill="background1"/>
              <w:spacing w:before="86"/>
              <w:ind w:left="108"/>
              <w:rPr>
                <w:color w:val="auto"/>
                <w:sz w:val="24"/>
                <w:highlight w:val="none"/>
              </w:rPr>
            </w:pPr>
            <w:r>
              <w:rPr>
                <w:rFonts w:hint="eastAsia"/>
                <w:color w:val="auto"/>
                <w:sz w:val="24"/>
                <w:highlight w:val="none"/>
              </w:rPr>
              <w:t>生活垃圾没有集中且定期运走而造成污染，违约金 1000 元，并限期纠正。</w:t>
            </w:r>
          </w:p>
        </w:tc>
      </w:tr>
      <w:tr w14:paraId="46D8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210194E">
            <w:pPr>
              <w:pStyle w:val="68"/>
              <w:shd w:val="clear" w:fill="FFFFFF" w:themeFill="background1"/>
              <w:rPr>
                <w:rFonts w:ascii="宋体" w:hAnsi="宋体" w:cs="宋体"/>
                <w:color w:val="auto"/>
                <w:sz w:val="28"/>
                <w:szCs w:val="28"/>
                <w:highlight w:val="none"/>
              </w:rPr>
            </w:pPr>
          </w:p>
        </w:tc>
        <w:tc>
          <w:tcPr>
            <w:tcW w:w="518" w:type="dxa"/>
            <w:vAlign w:val="center"/>
          </w:tcPr>
          <w:p w14:paraId="6839B01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w:t>
            </w:r>
          </w:p>
        </w:tc>
        <w:tc>
          <w:tcPr>
            <w:tcW w:w="8062" w:type="dxa"/>
          </w:tcPr>
          <w:p w14:paraId="4A40022C">
            <w:pPr>
              <w:pStyle w:val="80"/>
              <w:shd w:val="clear" w:fill="FFFFFF" w:themeFill="background1"/>
              <w:spacing w:before="86" w:line="242" w:lineRule="auto"/>
              <w:ind w:left="108" w:right="111"/>
              <w:rPr>
                <w:color w:val="auto"/>
                <w:sz w:val="24"/>
                <w:highlight w:val="none"/>
              </w:rPr>
            </w:pPr>
            <w:r>
              <w:rPr>
                <w:rFonts w:hint="eastAsia"/>
                <w:color w:val="auto"/>
                <w:sz w:val="24"/>
                <w:highlight w:val="none"/>
              </w:rPr>
              <w:t>驻地噪音超过有关的规定，影响当地居民的正常生活，违约金 1000 元，并限期纠正。</w:t>
            </w:r>
          </w:p>
        </w:tc>
      </w:tr>
      <w:tr w14:paraId="1199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0C3A4B9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内业资料</w:t>
            </w:r>
          </w:p>
        </w:tc>
        <w:tc>
          <w:tcPr>
            <w:tcW w:w="518" w:type="dxa"/>
            <w:vAlign w:val="center"/>
          </w:tcPr>
          <w:p w14:paraId="5631ADA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4965230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开工前须结合工程特点进行分项、分部和单位工程划分，现场质量检查、质量验收资料按照划分进行归纳收集，违者每次违约金2000元。</w:t>
            </w:r>
          </w:p>
        </w:tc>
      </w:tr>
      <w:tr w14:paraId="3C5B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BF7F7BB">
            <w:pPr>
              <w:pStyle w:val="68"/>
              <w:shd w:val="clear" w:fill="FFFFFF" w:themeFill="background1"/>
              <w:rPr>
                <w:rFonts w:ascii="宋体" w:hAnsi="宋体" w:cs="宋体"/>
                <w:color w:val="auto"/>
                <w:sz w:val="24"/>
                <w:highlight w:val="none"/>
              </w:rPr>
            </w:pPr>
          </w:p>
        </w:tc>
        <w:tc>
          <w:tcPr>
            <w:tcW w:w="518" w:type="dxa"/>
            <w:vAlign w:val="center"/>
          </w:tcPr>
          <w:p w14:paraId="3BDDBBA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637A758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内业原始资料弄虚作假的，不及时填写的，填写不完整规范的，每次违约金1000元。</w:t>
            </w:r>
          </w:p>
        </w:tc>
      </w:tr>
      <w:tr w14:paraId="4DD1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2B1188">
            <w:pPr>
              <w:pStyle w:val="68"/>
              <w:shd w:val="clear" w:fill="FFFFFF" w:themeFill="background1"/>
              <w:rPr>
                <w:rFonts w:ascii="宋体" w:hAnsi="宋体" w:cs="宋体"/>
                <w:color w:val="auto"/>
                <w:sz w:val="24"/>
                <w:highlight w:val="none"/>
              </w:rPr>
            </w:pPr>
          </w:p>
        </w:tc>
        <w:tc>
          <w:tcPr>
            <w:tcW w:w="518" w:type="dxa"/>
            <w:vAlign w:val="center"/>
          </w:tcPr>
          <w:p w14:paraId="57352D3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0355CD2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内业原始资料和整理资料未按有关要求采用文件盒及时归档，每次违约金500元。</w:t>
            </w:r>
          </w:p>
        </w:tc>
      </w:tr>
      <w:tr w14:paraId="782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E0323CA">
            <w:pPr>
              <w:pStyle w:val="68"/>
              <w:shd w:val="clear" w:fill="FFFFFF" w:themeFill="background1"/>
              <w:rPr>
                <w:rFonts w:ascii="宋体" w:hAnsi="宋体" w:cs="宋体"/>
                <w:color w:val="auto"/>
                <w:sz w:val="24"/>
                <w:highlight w:val="none"/>
              </w:rPr>
            </w:pPr>
          </w:p>
        </w:tc>
        <w:tc>
          <w:tcPr>
            <w:tcW w:w="518" w:type="dxa"/>
            <w:vAlign w:val="center"/>
          </w:tcPr>
          <w:p w14:paraId="7BBD71E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44ACC16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分部工程完成时，须将原始资料、施工记录、进度照片等资料整理归纳，装订成册，违者每次违约金2000元。</w:t>
            </w:r>
          </w:p>
        </w:tc>
      </w:tr>
      <w:tr w14:paraId="347C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Merge w:val="continue"/>
          </w:tcPr>
          <w:p w14:paraId="666355C6">
            <w:pPr>
              <w:pStyle w:val="68"/>
              <w:shd w:val="clear" w:fill="FFFFFF" w:themeFill="background1"/>
              <w:rPr>
                <w:rFonts w:ascii="宋体" w:hAnsi="宋体" w:cs="宋体"/>
                <w:color w:val="auto"/>
                <w:sz w:val="24"/>
                <w:highlight w:val="none"/>
              </w:rPr>
            </w:pPr>
          </w:p>
        </w:tc>
        <w:tc>
          <w:tcPr>
            <w:tcW w:w="518" w:type="dxa"/>
            <w:vAlign w:val="center"/>
          </w:tcPr>
          <w:p w14:paraId="1280D6A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02628E9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试验设备不齐全，未建立试验台帐，每次违约金5000元。</w:t>
            </w:r>
          </w:p>
        </w:tc>
      </w:tr>
      <w:tr w14:paraId="7E3A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restart"/>
            <w:vAlign w:val="center"/>
          </w:tcPr>
          <w:p w14:paraId="5D0D400A">
            <w:pPr>
              <w:pStyle w:val="68"/>
              <w:shd w:val="clear" w:fill="FFFFFF" w:themeFill="background1"/>
              <w:jc w:val="center"/>
              <w:rPr>
                <w:rFonts w:ascii="宋体" w:hAnsi="宋体" w:cs="宋体"/>
                <w:color w:val="auto"/>
                <w:sz w:val="28"/>
                <w:szCs w:val="28"/>
                <w:highlight w:val="none"/>
              </w:rPr>
            </w:pPr>
            <w:r>
              <w:rPr>
                <w:rFonts w:hint="eastAsia" w:ascii="宋体" w:hAnsi="宋体" w:cs="宋体"/>
                <w:color w:val="auto"/>
                <w:sz w:val="24"/>
                <w:highlight w:val="none"/>
              </w:rPr>
              <w:t>其他</w:t>
            </w:r>
          </w:p>
        </w:tc>
        <w:tc>
          <w:tcPr>
            <w:tcW w:w="518" w:type="dxa"/>
            <w:vAlign w:val="center"/>
          </w:tcPr>
          <w:p w14:paraId="71E7CDE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377E761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不按照有关规定进行技术交底就进行施工作业的，每次违约金2000元。</w:t>
            </w:r>
          </w:p>
        </w:tc>
      </w:tr>
      <w:tr w14:paraId="3EB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continue"/>
          </w:tcPr>
          <w:p w14:paraId="1C14D417">
            <w:pPr>
              <w:pStyle w:val="68"/>
              <w:shd w:val="clear" w:fill="FFFFFF" w:themeFill="background1"/>
              <w:rPr>
                <w:rFonts w:ascii="宋体" w:hAnsi="宋体" w:cs="宋体"/>
                <w:color w:val="auto"/>
                <w:sz w:val="28"/>
                <w:szCs w:val="28"/>
                <w:highlight w:val="none"/>
              </w:rPr>
            </w:pPr>
          </w:p>
        </w:tc>
        <w:tc>
          <w:tcPr>
            <w:tcW w:w="518" w:type="dxa"/>
            <w:vAlign w:val="center"/>
          </w:tcPr>
          <w:p w14:paraId="47EA2F0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6CD2AC6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上一道工序未经监理人签认就进行下一道工序施工的，每次违约金5000元。</w:t>
            </w:r>
          </w:p>
        </w:tc>
      </w:tr>
      <w:tr w14:paraId="37C0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5068937">
            <w:pPr>
              <w:pStyle w:val="68"/>
              <w:shd w:val="clear" w:fill="FFFFFF" w:themeFill="background1"/>
              <w:rPr>
                <w:rFonts w:ascii="宋体" w:hAnsi="宋体" w:cs="宋体"/>
                <w:color w:val="auto"/>
                <w:sz w:val="28"/>
                <w:szCs w:val="28"/>
                <w:highlight w:val="none"/>
              </w:rPr>
            </w:pPr>
          </w:p>
        </w:tc>
        <w:tc>
          <w:tcPr>
            <w:tcW w:w="518" w:type="dxa"/>
            <w:vAlign w:val="center"/>
          </w:tcPr>
          <w:p w14:paraId="6C08668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29DDA8E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要求返工的工程未在规定的时间内进行返工或要求清除出施工现场材料未在规定的时间内清除出场的，每延误一天罚1000元。</w:t>
            </w:r>
          </w:p>
        </w:tc>
      </w:tr>
      <w:tr w14:paraId="0950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6C9CD984">
            <w:pPr>
              <w:pStyle w:val="68"/>
              <w:shd w:val="clear" w:fill="FFFFFF" w:themeFill="background1"/>
              <w:rPr>
                <w:rFonts w:ascii="宋体" w:hAnsi="宋体" w:cs="宋体"/>
                <w:color w:val="auto"/>
                <w:sz w:val="28"/>
                <w:szCs w:val="28"/>
                <w:highlight w:val="none"/>
              </w:rPr>
            </w:pPr>
          </w:p>
        </w:tc>
        <w:tc>
          <w:tcPr>
            <w:tcW w:w="518" w:type="dxa"/>
            <w:vAlign w:val="center"/>
          </w:tcPr>
          <w:p w14:paraId="1CA385A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7BEBEC2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水泥、钢筋、钢筋笼等存放不满足要求的，每次违约金2000元。  </w:t>
            </w:r>
          </w:p>
        </w:tc>
      </w:tr>
      <w:tr w14:paraId="2A5A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6C6BAAC2">
            <w:pPr>
              <w:pStyle w:val="68"/>
              <w:shd w:val="clear" w:fill="FFFFFF" w:themeFill="background1"/>
              <w:rPr>
                <w:rFonts w:ascii="宋体" w:hAnsi="宋体" w:cs="宋体"/>
                <w:color w:val="auto"/>
                <w:sz w:val="28"/>
                <w:szCs w:val="28"/>
                <w:highlight w:val="none"/>
              </w:rPr>
            </w:pPr>
          </w:p>
        </w:tc>
        <w:tc>
          <w:tcPr>
            <w:tcW w:w="518" w:type="dxa"/>
            <w:vAlign w:val="center"/>
          </w:tcPr>
          <w:p w14:paraId="76561D9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10B4FBA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所有桩标须加固保护，树立易于识别得标志，违者每处违约金2000元。</w:t>
            </w:r>
          </w:p>
        </w:tc>
      </w:tr>
      <w:tr w14:paraId="58C4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Merge w:val="continue"/>
          </w:tcPr>
          <w:p w14:paraId="5F38230E">
            <w:pPr>
              <w:pStyle w:val="68"/>
              <w:shd w:val="clear" w:fill="FFFFFF" w:themeFill="background1"/>
              <w:rPr>
                <w:rFonts w:ascii="宋体" w:hAnsi="宋体" w:cs="宋体"/>
                <w:color w:val="auto"/>
                <w:sz w:val="28"/>
                <w:szCs w:val="28"/>
                <w:highlight w:val="none"/>
              </w:rPr>
            </w:pPr>
          </w:p>
        </w:tc>
        <w:tc>
          <w:tcPr>
            <w:tcW w:w="518" w:type="dxa"/>
            <w:vAlign w:val="center"/>
          </w:tcPr>
          <w:p w14:paraId="3B166CF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6EFBBA6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实验及检测仪器未标定或标定不合格仍使用的，每次违约金2000元。  </w:t>
            </w:r>
          </w:p>
        </w:tc>
      </w:tr>
      <w:tr w14:paraId="3CC1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2316B56">
            <w:pPr>
              <w:pStyle w:val="68"/>
              <w:shd w:val="clear" w:fill="FFFFFF" w:themeFill="background1"/>
              <w:rPr>
                <w:rFonts w:ascii="宋体" w:hAnsi="宋体" w:cs="宋体"/>
                <w:color w:val="auto"/>
                <w:sz w:val="28"/>
                <w:szCs w:val="28"/>
                <w:highlight w:val="none"/>
              </w:rPr>
            </w:pPr>
          </w:p>
        </w:tc>
        <w:tc>
          <w:tcPr>
            <w:tcW w:w="518" w:type="dxa"/>
            <w:vAlign w:val="center"/>
          </w:tcPr>
          <w:p w14:paraId="27C2E1D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4C7FBAD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检验项目、方法、频率，没有按设计或规范要求执行；原材料送检和其它自检项目的试验(如钢筋焊接，土的重击实试验)不及时，频率未达到规定要求，每次违约金2000元。</w:t>
            </w:r>
          </w:p>
        </w:tc>
      </w:tr>
      <w:tr w14:paraId="746D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6E0C339">
            <w:pPr>
              <w:pStyle w:val="68"/>
              <w:shd w:val="clear" w:fill="FFFFFF" w:themeFill="background1"/>
              <w:rPr>
                <w:rFonts w:ascii="宋体" w:hAnsi="宋体" w:cs="宋体"/>
                <w:color w:val="auto"/>
                <w:sz w:val="28"/>
                <w:szCs w:val="28"/>
                <w:highlight w:val="none"/>
              </w:rPr>
            </w:pPr>
          </w:p>
        </w:tc>
        <w:tc>
          <w:tcPr>
            <w:tcW w:w="518" w:type="dxa"/>
            <w:vAlign w:val="center"/>
          </w:tcPr>
          <w:p w14:paraId="6FCFD89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56EEFAD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未经检验合格的材料(原材料、锚具等)用于施工的，每次违约金5000元。</w:t>
            </w:r>
          </w:p>
        </w:tc>
      </w:tr>
      <w:tr w14:paraId="0D5B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DED13F5">
            <w:pPr>
              <w:pStyle w:val="68"/>
              <w:shd w:val="clear" w:fill="FFFFFF" w:themeFill="background1"/>
              <w:rPr>
                <w:rFonts w:ascii="宋体" w:hAnsi="宋体" w:cs="宋体"/>
                <w:color w:val="auto"/>
                <w:sz w:val="28"/>
                <w:szCs w:val="28"/>
                <w:highlight w:val="none"/>
              </w:rPr>
            </w:pPr>
          </w:p>
        </w:tc>
        <w:tc>
          <w:tcPr>
            <w:tcW w:w="518" w:type="dxa"/>
            <w:vAlign w:val="center"/>
          </w:tcPr>
          <w:p w14:paraId="4D1EA20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61B5EB7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其他不按照《广东省公路施工标准化指南》和《广东省高速公路工程施工组织设计和施工方案标准化管理指南》有关规定进行管理或施工作业的，每次违约金 1,000—50,000 元，并限期纠正。</w:t>
            </w:r>
          </w:p>
        </w:tc>
      </w:tr>
    </w:tbl>
    <w:p w14:paraId="6A8F0C19">
      <w:pPr>
        <w:shd w:val="clear" w:fill="FFFFFF" w:themeFill="background1"/>
        <w:rPr>
          <w:rFonts w:ascii="宋体" w:hAnsi="宋体" w:cs="宋体"/>
          <w:color w:val="auto"/>
          <w:sz w:val="24"/>
          <w:highlight w:val="none"/>
        </w:rPr>
      </w:pPr>
    </w:p>
    <w:p w14:paraId="2A533F11">
      <w:pPr>
        <w:shd w:val="clear" w:fill="FFFFFF" w:themeFill="background1"/>
        <w:rPr>
          <w:rFonts w:ascii="宋体" w:hAnsi="宋体" w:cs="宋体"/>
          <w:color w:val="auto"/>
          <w:highlight w:val="none"/>
        </w:rPr>
      </w:pPr>
      <w:r>
        <w:rPr>
          <w:rFonts w:hint="eastAsia" w:ascii="宋体" w:hAnsi="宋体" w:cs="宋体"/>
          <w:color w:val="auto"/>
          <w:sz w:val="24"/>
          <w:highlight w:val="none"/>
        </w:rPr>
        <w:br w:type="page"/>
      </w:r>
    </w:p>
    <w:p w14:paraId="7BA3E0DB">
      <w:pPr>
        <w:pStyle w:val="78"/>
        <w:shd w:val="clear" w:fill="FFFFFF" w:themeFill="background1"/>
        <w:spacing w:line="360" w:lineRule="auto"/>
        <w:rPr>
          <w:b w:val="0"/>
          <w:bCs w:val="0"/>
          <w:color w:val="auto"/>
          <w:sz w:val="24"/>
          <w:szCs w:val="24"/>
          <w:highlight w:val="none"/>
        </w:rPr>
      </w:pPr>
      <w:bookmarkStart w:id="1737" w:name="_Toc43476019"/>
      <w:bookmarkEnd w:id="1737"/>
      <w:r>
        <w:rPr>
          <w:rFonts w:hint="eastAsia"/>
          <w:bCs w:val="0"/>
          <w:color w:val="auto"/>
          <w:sz w:val="24"/>
          <w:szCs w:val="24"/>
          <w:highlight w:val="none"/>
        </w:rPr>
        <w:t>附件十三  建设工程农民工工资支付保证书</w:t>
      </w:r>
    </w:p>
    <w:p w14:paraId="721DD9E1">
      <w:pPr>
        <w:shd w:val="clear" w:fill="FFFFFF" w:themeFill="background1"/>
        <w:spacing w:line="360" w:lineRule="exact"/>
        <w:jc w:val="center"/>
        <w:rPr>
          <w:rFonts w:ascii="宋体" w:hAnsi="宋体" w:cs="宋体"/>
          <w:color w:val="auto"/>
          <w:sz w:val="24"/>
          <w:highlight w:val="none"/>
        </w:rPr>
      </w:pPr>
      <w:r>
        <w:rPr>
          <w:rFonts w:hint="eastAsia" w:ascii="宋体" w:hAnsi="宋体" w:cs="宋体"/>
          <w:color w:val="auto"/>
          <w:sz w:val="30"/>
          <w:szCs w:val="30"/>
          <w:highlight w:val="none"/>
        </w:rPr>
        <w:t>建设工程农民工工资支付保证书</w:t>
      </w:r>
    </w:p>
    <w:p w14:paraId="4B6712A5">
      <w:pPr>
        <w:shd w:val="clear" w:fill="FFFFFF" w:themeFill="background1"/>
        <w:spacing w:line="360" w:lineRule="exact"/>
        <w:ind w:firstLine="465"/>
        <w:rPr>
          <w:rFonts w:ascii="宋体" w:hAnsi="宋体" w:cs="宋体"/>
          <w:color w:val="auto"/>
          <w:sz w:val="24"/>
          <w:highlight w:val="none"/>
        </w:rPr>
      </w:pPr>
    </w:p>
    <w:p w14:paraId="72EF4E62">
      <w:pPr>
        <w:pStyle w:val="104"/>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5E79EE6F">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(以下简称“承包人”)拟与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(以下简称“发包人”)签订</w:t>
      </w:r>
      <w:r>
        <w:rPr>
          <w:rFonts w:hint="eastAsia" w:ascii="宋体" w:hAnsi="宋体" w:cs="宋体"/>
          <w:color w:val="auto"/>
          <w:sz w:val="24"/>
          <w:highlight w:val="none"/>
          <w:u w:val="single"/>
        </w:rPr>
        <w:t xml:space="preserve">   项目名称  标类（或标段）    </w:t>
      </w:r>
      <w:r>
        <w:rPr>
          <w:rFonts w:hint="eastAsia" w:ascii="宋体" w:hAnsi="宋体" w:cs="宋体"/>
          <w:color w:val="auto"/>
          <w:sz w:val="24"/>
          <w:highlight w:val="none"/>
        </w:rPr>
        <w:t>的施工承包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律、法规，结合本项目建设管理的具体情况，承包人在此承诺：</w:t>
      </w:r>
    </w:p>
    <w:p w14:paraId="4B8FEB09">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4647A170">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二、决不违反有关规定，将工程转包、分包给不具备用工主体资格的组织或个人，并独自承担因违反上述规定而引发的民工工资纠纷等所有民事及刑事的法律连带责任。</w:t>
      </w:r>
    </w:p>
    <w:p w14:paraId="23C175CB">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32147AA0">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四、承诺在工地现场宣传栏中公布发包人关于农民工工资管理的有关法律法规、制度，公开发包人的投诉电话。</w:t>
      </w:r>
    </w:p>
    <w:p w14:paraId="6F736257">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5E68C176">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六、承诺指定专人负责对农民工工资进行发放，实行专户管理，以银行转账方式按月直接支付工资（原则上是当月支付，最多不超过拖欠两个月）。</w:t>
      </w:r>
    </w:p>
    <w:p w14:paraId="52FE0F0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3ABA1C43">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八、承诺在收到中标通知书后且合同签署前，按规定向发包人缴纳工资保障金，金额为元</w:t>
      </w:r>
      <w:r>
        <w:rPr>
          <w:rFonts w:hint="eastAsia" w:ascii="宋体" w:hAnsi="宋体" w:cs="宋体"/>
          <w:color w:val="auto"/>
          <w:sz w:val="24"/>
          <w:highlight w:val="none"/>
          <w:u w:val="single"/>
        </w:rPr>
        <w:t>人民币（按照本项目合同额1.5%，原则上不超过100万）</w:t>
      </w:r>
      <w:r>
        <w:rPr>
          <w:rFonts w:hint="eastAsia" w:ascii="宋体" w:hAnsi="宋体" w:cs="宋体"/>
          <w:color w:val="auto"/>
          <w:sz w:val="24"/>
          <w:highlight w:val="none"/>
        </w:rPr>
        <w:t>，用于支付拖欠的农民工工资，如工资保障金不足，发包人有权利在应支付给承包人的工程款或是履约保证金中划扣支付。该保障金余额发包人将于本项目施工完毕，并交工验收合格后退还。</w:t>
      </w:r>
    </w:p>
    <w:p w14:paraId="0079314E">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64FDDD66">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十、在合同工程实施过程中如有发生</w:t>
      </w:r>
    </w:p>
    <w:p w14:paraId="109EBE0A">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(1)不按规定签订劳动合同或签订劳动合同不规范情况；或</w:t>
      </w:r>
    </w:p>
    <w:p w14:paraId="5E15C1BE">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(2)拖欠农民工工资、侵害农民工合法权益、农民工劳动安全保护欠缺的情况；或</w:t>
      </w:r>
    </w:p>
    <w:p w14:paraId="78D09112">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欠薪导致的闹事、打斗、死伤、上访事件，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行政处罚等违约金表示理解并无条件接受。</w:t>
      </w:r>
    </w:p>
    <w:p w14:paraId="4B305A08">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十一、本保证书作为本项目施工承包合同的有效组成部分，纳入合同一并签署，在承包人法定代表人或委托代理人签署并加盖公章后生效，并保证在施工承包合同有效期内一直保持有效。</w:t>
      </w:r>
    </w:p>
    <w:p w14:paraId="04C95EEE">
      <w:pPr>
        <w:pStyle w:val="104"/>
        <w:shd w:val="clear" w:fill="FFFFFF" w:themeFill="background1"/>
        <w:spacing w:line="360" w:lineRule="auto"/>
        <w:ind w:firstLine="480" w:firstLineChars="200"/>
        <w:rPr>
          <w:rFonts w:ascii="宋体" w:hAnsi="宋体" w:cs="宋体"/>
          <w:color w:val="auto"/>
          <w:sz w:val="24"/>
          <w:highlight w:val="none"/>
        </w:rPr>
      </w:pPr>
    </w:p>
    <w:p w14:paraId="48B2FE9C">
      <w:pPr>
        <w:pStyle w:val="104"/>
        <w:shd w:val="clear" w:fill="FFFFFF" w:themeFill="background1"/>
        <w:spacing w:line="360" w:lineRule="auto"/>
        <w:ind w:firstLine="480" w:firstLineChars="200"/>
        <w:rPr>
          <w:rFonts w:ascii="宋体" w:hAnsi="宋体" w:cs="宋体"/>
          <w:color w:val="auto"/>
          <w:sz w:val="24"/>
          <w:highlight w:val="none"/>
        </w:rPr>
      </w:pPr>
    </w:p>
    <w:p w14:paraId="413F210A">
      <w:pPr>
        <w:pStyle w:val="104"/>
        <w:shd w:val="clear" w:fill="FFFFFF" w:themeFill="background1"/>
        <w:spacing w:line="360" w:lineRule="auto"/>
        <w:ind w:firstLine="480" w:firstLineChars="200"/>
        <w:rPr>
          <w:rFonts w:ascii="宋体" w:hAnsi="宋体" w:cs="宋体"/>
          <w:color w:val="auto"/>
          <w:sz w:val="24"/>
          <w:highlight w:val="none"/>
        </w:rPr>
      </w:pPr>
    </w:p>
    <w:p w14:paraId="6BA3D5E2">
      <w:pPr>
        <w:pStyle w:val="16"/>
        <w:shd w:val="clear" w:fill="FFFFFF" w:themeFill="background1"/>
        <w:tabs>
          <w:tab w:val="left" w:pos="6543"/>
        </w:tabs>
        <w:spacing w:before="1"/>
        <w:ind w:left="2974"/>
        <w:jc w:val="center"/>
        <w:rPr>
          <w:rFonts w:ascii="宋体" w:hAnsi="宋体" w:cs="宋体"/>
          <w:color w:val="auto"/>
          <w:sz w:val="24"/>
          <w:highlight w:val="none"/>
        </w:rPr>
      </w:pPr>
      <w:r>
        <w:rPr>
          <w:rFonts w:hint="eastAsia" w:ascii="宋体" w:hAnsi="宋体" w:cs="宋体"/>
          <w:color w:val="auto"/>
          <w:sz w:val="24"/>
          <w:highlight w:val="none"/>
        </w:rPr>
        <w:t>承 包 人</w:t>
      </w:r>
      <w:r>
        <w:rPr>
          <w:rFonts w:hint="eastAsia" w:ascii="宋体" w:hAnsi="宋体" w:cs="宋体"/>
          <w:color w:val="auto"/>
          <w:spacing w:val="-2"/>
          <w:sz w:val="24"/>
          <w:highlight w:val="none"/>
        </w:rPr>
        <w:t>（</w:t>
      </w:r>
      <w:r>
        <w:rPr>
          <w:rFonts w:hint="eastAsia" w:ascii="宋体" w:hAnsi="宋体" w:cs="宋体"/>
          <w:color w:val="auto"/>
          <w:sz w:val="24"/>
          <w:highlight w:val="none"/>
        </w:rPr>
        <w:t>盖章</w:t>
      </w:r>
      <w:r>
        <w:rPr>
          <w:rFonts w:hint="eastAsia" w:ascii="宋体" w:hAnsi="宋体" w:cs="宋体"/>
          <w:color w:val="auto"/>
          <w:spacing w:val="-105"/>
          <w:sz w:val="24"/>
          <w:highlight w:val="none"/>
        </w:rPr>
        <w:t>）</w:t>
      </w:r>
      <w:r>
        <w:rPr>
          <w:rFonts w:hint="eastAsia" w:ascii="宋体" w:hAnsi="宋体" w:cs="宋体"/>
          <w:color w:val="auto"/>
          <w:spacing w:val="-1"/>
          <w:sz w:val="24"/>
          <w:highlight w:val="none"/>
        </w:rPr>
        <w:t>：</w:t>
      </w:r>
      <w:r>
        <w:rPr>
          <w:rFonts w:hint="eastAsia" w:ascii="宋体" w:hAnsi="宋体" w:cs="宋体"/>
          <w:color w:val="auto"/>
          <w:sz w:val="24"/>
          <w:highlight w:val="none"/>
          <w:u w:val="single"/>
        </w:rPr>
        <w:tab/>
      </w:r>
    </w:p>
    <w:p w14:paraId="059ACEBA">
      <w:pPr>
        <w:pStyle w:val="16"/>
        <w:shd w:val="clear" w:fill="FFFFFF" w:themeFill="background1"/>
        <w:tabs>
          <w:tab w:val="left" w:pos="8055"/>
        </w:tabs>
        <w:spacing w:before="138"/>
        <w:ind w:left="3037"/>
        <w:jc w:val="center"/>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pacing w:val="-2"/>
          <w:sz w:val="24"/>
          <w:highlight w:val="none"/>
        </w:rPr>
        <w:t>人</w:t>
      </w:r>
      <w:r>
        <w:rPr>
          <w:rFonts w:hint="eastAsia" w:ascii="宋体" w:hAnsi="宋体" w:cs="宋体"/>
          <w:color w:val="auto"/>
          <w:sz w:val="24"/>
          <w:highlight w:val="none"/>
        </w:rPr>
        <w:t>或其委托代理人</w:t>
      </w:r>
      <w:r>
        <w:rPr>
          <w:rFonts w:hint="eastAsia" w:ascii="宋体" w:hAnsi="宋体" w:cs="宋体"/>
          <w:color w:val="auto"/>
          <w:spacing w:val="-105"/>
          <w:sz w:val="24"/>
          <w:highlight w:val="none"/>
        </w:rPr>
        <w:t>：</w:t>
      </w:r>
      <w:r>
        <w:rPr>
          <w:rFonts w:hint="eastAsia" w:ascii="宋体" w:hAnsi="宋体" w:cs="宋体"/>
          <w:color w:val="auto"/>
          <w:spacing w:val="-1"/>
          <w:sz w:val="24"/>
          <w:highlight w:val="none"/>
        </w:rPr>
        <w:t>（签字</w:t>
      </w:r>
      <w:r>
        <w:rPr>
          <w:rFonts w:hint="eastAsia" w:ascii="宋体" w:hAnsi="宋体" w:cs="宋体"/>
          <w:color w:val="auto"/>
          <w:sz w:val="24"/>
          <w:highlight w:val="none"/>
        </w:rPr>
        <w:t>）</w:t>
      </w:r>
      <w:r>
        <w:rPr>
          <w:rFonts w:hint="eastAsia" w:ascii="宋体" w:hAnsi="宋体" w:cs="宋体"/>
          <w:color w:val="auto"/>
          <w:sz w:val="24"/>
          <w:highlight w:val="none"/>
          <w:u w:val="single"/>
        </w:rPr>
        <w:tab/>
      </w:r>
    </w:p>
    <w:p w14:paraId="58593FEF">
      <w:pPr>
        <w:pStyle w:val="105"/>
        <w:shd w:val="clear" w:fill="FFFFFF" w:themeFill="background1"/>
        <w:spacing w:line="360" w:lineRule="auto"/>
        <w:ind w:firstLine="4800" w:firstLineChars="2000"/>
        <w:rPr>
          <w:rFonts w:ascii="宋体" w:hAnsi="宋体" w:cs="宋体"/>
          <w:color w:val="auto"/>
          <w:spacing w:val="-5"/>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月</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w:t>
      </w:r>
    </w:p>
    <w:p w14:paraId="22647974">
      <w:pPr>
        <w:pStyle w:val="106"/>
        <w:shd w:val="clear" w:fill="FFFFFF" w:themeFill="background1"/>
        <w:rPr>
          <w:rFonts w:ascii="宋体" w:hAnsi="宋体" w:cs="宋体"/>
          <w:color w:val="auto"/>
          <w:sz w:val="30"/>
          <w:szCs w:val="30"/>
          <w:highlight w:val="none"/>
        </w:rPr>
      </w:pPr>
      <w:r>
        <w:rPr>
          <w:rFonts w:hint="eastAsia" w:ascii="宋体" w:hAnsi="宋体" w:cs="宋体"/>
          <w:color w:val="auto"/>
          <w:sz w:val="30"/>
          <w:szCs w:val="30"/>
          <w:highlight w:val="none"/>
        </w:rPr>
        <w:br w:type="page"/>
      </w:r>
    </w:p>
    <w:p w14:paraId="48FF2D42">
      <w:pPr>
        <w:pStyle w:val="78"/>
        <w:shd w:val="clear" w:fill="FFFFFF" w:themeFill="background1"/>
        <w:spacing w:line="360" w:lineRule="auto"/>
        <w:rPr>
          <w:bCs w:val="0"/>
          <w:color w:val="auto"/>
          <w:sz w:val="24"/>
          <w:szCs w:val="24"/>
          <w:highlight w:val="none"/>
        </w:rPr>
      </w:pPr>
      <w:bookmarkStart w:id="1738" w:name="_Toc43476020"/>
      <w:bookmarkEnd w:id="1738"/>
      <w:bookmarkStart w:id="1739" w:name="_Toc43476022"/>
      <w:bookmarkEnd w:id="1739"/>
      <w:bookmarkStart w:id="1740" w:name="_Toc29766"/>
      <w:r>
        <w:rPr>
          <w:rFonts w:hint="eastAsia"/>
          <w:bCs w:val="0"/>
          <w:color w:val="auto"/>
          <w:sz w:val="24"/>
          <w:szCs w:val="24"/>
          <w:highlight w:val="none"/>
        </w:rPr>
        <w:t>附件十四  工程结算协议</w:t>
      </w:r>
      <w:bookmarkEnd w:id="1740"/>
    </w:p>
    <w:p w14:paraId="6EBA4893">
      <w:pPr>
        <w:shd w:val="clear" w:fill="FFFFFF" w:themeFill="background1"/>
        <w:spacing w:line="360" w:lineRule="exact"/>
        <w:jc w:val="center"/>
        <w:rPr>
          <w:rFonts w:ascii="宋体" w:hAnsi="宋体" w:cs="宋体"/>
          <w:color w:val="auto"/>
          <w:sz w:val="24"/>
          <w:highlight w:val="none"/>
        </w:rPr>
      </w:pPr>
      <w:r>
        <w:rPr>
          <w:rFonts w:hint="eastAsia" w:ascii="宋体" w:hAnsi="宋体" w:cs="宋体"/>
          <w:color w:val="auto"/>
          <w:sz w:val="30"/>
          <w:szCs w:val="30"/>
          <w:highlight w:val="none"/>
        </w:rPr>
        <w:t>工程结算协议</w:t>
      </w:r>
    </w:p>
    <w:p w14:paraId="343D553A">
      <w:pPr>
        <w:shd w:val="clear" w:fill="FFFFFF" w:themeFill="background1"/>
        <w:spacing w:line="360" w:lineRule="exact"/>
        <w:ind w:firstLine="465"/>
        <w:rPr>
          <w:rFonts w:ascii="宋体" w:hAnsi="宋体" w:cs="宋体"/>
          <w:color w:val="auto"/>
          <w:sz w:val="24"/>
          <w:highlight w:val="none"/>
        </w:rPr>
      </w:pPr>
    </w:p>
    <w:p w14:paraId="1154527B">
      <w:pPr>
        <w:pStyle w:val="104"/>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甲方（发包人）</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ab/>
      </w:r>
    </w:p>
    <w:p w14:paraId="5362BDF0">
      <w:pPr>
        <w:pStyle w:val="104"/>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i/>
          <w:iCs/>
          <w:color w:val="auto"/>
          <w:sz w:val="24"/>
          <w:highlight w:val="none"/>
          <w:u w:val="single"/>
        </w:rPr>
        <w:tab/>
      </w:r>
      <w:r>
        <w:rPr>
          <w:rFonts w:hint="eastAsia" w:ascii="宋体" w:hAnsi="宋体" w:cs="宋体"/>
          <w:i/>
          <w:iCs/>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法定代表人：</w:t>
      </w:r>
      <w:r>
        <w:rPr>
          <w:rFonts w:hint="eastAsia" w:ascii="宋体" w:hAnsi="宋体" w:cs="宋体"/>
          <w:color w:val="auto"/>
          <w:sz w:val="24"/>
          <w:highlight w:val="none"/>
          <w:u w:val="single"/>
        </w:rPr>
        <w:tab/>
      </w:r>
    </w:p>
    <w:p w14:paraId="35AF6FCE">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乙方（承包人）：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3CEE1B3">
      <w:pPr>
        <w:pStyle w:val="104"/>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法定代表人：</w:t>
      </w:r>
      <w:r>
        <w:rPr>
          <w:rFonts w:hint="eastAsia" w:ascii="宋体" w:hAnsi="宋体" w:cs="宋体"/>
          <w:color w:val="auto"/>
          <w:sz w:val="24"/>
          <w:highlight w:val="none"/>
          <w:u w:val="single"/>
        </w:rPr>
        <w:tab/>
      </w:r>
    </w:p>
    <w:p w14:paraId="2FDE6040">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p>
    <w:p w14:paraId="120C283F">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 xml:space="preserve">日，甲方与乙方签订了《   合同》（下简称“合同”），约定 </w:t>
      </w:r>
      <w:r>
        <w:rPr>
          <w:rFonts w:hint="eastAsia" w:ascii="宋体" w:hAnsi="宋体" w:cs="宋体"/>
          <w:color w:val="auto"/>
          <w:sz w:val="24"/>
          <w:highlight w:val="none"/>
        </w:rPr>
        <w:tab/>
      </w:r>
      <w:r>
        <w:rPr>
          <w:rFonts w:hint="eastAsia" w:ascii="宋体" w:hAnsi="宋体" w:cs="宋体"/>
          <w:color w:val="auto"/>
          <w:sz w:val="24"/>
          <w:highlight w:val="none"/>
        </w:rPr>
        <w:t>（注：填写乙方负责承包的工程内容）。</w:t>
      </w:r>
    </w:p>
    <w:p w14:paraId="1E9EA400">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 xml:space="preserve">日，乙方承包的 </w:t>
      </w:r>
      <w:r>
        <w:rPr>
          <w:rFonts w:hint="eastAsia" w:ascii="宋体" w:hAnsi="宋体" w:cs="宋体"/>
          <w:color w:val="auto"/>
          <w:sz w:val="24"/>
          <w:highlight w:val="none"/>
        </w:rPr>
        <w:tab/>
      </w:r>
      <w:r>
        <w:rPr>
          <w:rFonts w:hint="eastAsia" w:ascii="宋体" w:hAnsi="宋体" w:cs="宋体"/>
          <w:color w:val="auto"/>
          <w:sz w:val="24"/>
          <w:highlight w:val="none"/>
        </w:rPr>
        <w:t>工程已完成交工验收，且乙方已取得上述工程交工证书。基于上述，甲、乙双方经协商一致，特就乙方承包的 工程的结算事宜订立本协议，以共同遵守。</w:t>
      </w:r>
    </w:p>
    <w:p w14:paraId="2933DF8D">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一、乙方承包的 </w:t>
      </w:r>
      <w:r>
        <w:rPr>
          <w:rFonts w:hint="eastAsia" w:ascii="宋体" w:hAnsi="宋体" w:cs="宋体"/>
          <w:color w:val="auto"/>
          <w:sz w:val="24"/>
          <w:highlight w:val="none"/>
        </w:rPr>
        <w:tab/>
      </w:r>
      <w:r>
        <w:rPr>
          <w:rFonts w:hint="eastAsia" w:ascii="宋体" w:hAnsi="宋体" w:cs="宋体"/>
          <w:color w:val="auto"/>
          <w:sz w:val="24"/>
          <w:highlight w:val="none"/>
        </w:rPr>
        <w:t xml:space="preserve">工程（以下简称“本工程”）结算价暂定为人民币 </w:t>
      </w:r>
      <w:r>
        <w:rPr>
          <w:rFonts w:hint="eastAsia" w:ascii="宋体" w:hAnsi="宋体" w:cs="宋体"/>
          <w:color w:val="auto"/>
          <w:sz w:val="24"/>
          <w:highlight w:val="none"/>
        </w:rPr>
        <w:tab/>
      </w:r>
      <w:r>
        <w:rPr>
          <w:rFonts w:hint="eastAsia" w:ascii="宋体" w:hAnsi="宋体" w:cs="宋体"/>
          <w:color w:val="auto"/>
          <w:sz w:val="24"/>
          <w:highlight w:val="none"/>
        </w:rPr>
        <w:t xml:space="preserve">元（大写： </w:t>
      </w:r>
      <w:r>
        <w:rPr>
          <w:rFonts w:hint="eastAsia" w:ascii="宋体" w:hAnsi="宋体" w:cs="宋体"/>
          <w:color w:val="auto"/>
          <w:sz w:val="24"/>
          <w:highlight w:val="none"/>
        </w:rPr>
        <w:tab/>
      </w:r>
      <w:r>
        <w:rPr>
          <w:rFonts w:hint="eastAsia" w:ascii="宋体" w:hAnsi="宋体" w:cs="宋体"/>
          <w:color w:val="auto"/>
          <w:sz w:val="24"/>
          <w:highlight w:val="none"/>
        </w:rPr>
        <w:t>）。若政府审计部门之后进行审计，且作出的审计决定和行业主管部门造价审查结果不一致，双方同意按以下原则处理：</w:t>
      </w:r>
    </w:p>
    <w:p w14:paraId="0A72581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行业主管部门和审计部门对不同内容进行核减的，综合行业主管部门和审计部门的意见进行调整。</w:t>
      </w:r>
    </w:p>
    <w:p w14:paraId="7BEAE4FB">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二、甲、乙双方确认，截至</w:t>
      </w:r>
      <w:r>
        <w:rPr>
          <w:rFonts w:hint="eastAsia" w:ascii="宋体" w:hAnsi="宋体" w:cs="宋体"/>
          <w:color w:val="auto"/>
          <w:sz w:val="24"/>
          <w:highlight w:val="none"/>
          <w:u w:val="single"/>
        </w:rPr>
        <w:t>年  月  日</w:t>
      </w:r>
      <w:r>
        <w:rPr>
          <w:rFonts w:hint="eastAsia" w:ascii="宋体" w:hAnsi="宋体" w:cs="宋体"/>
          <w:color w:val="auto"/>
          <w:sz w:val="24"/>
          <w:highlight w:val="none"/>
        </w:rPr>
        <w:t>，甲方就本工程已向乙方支付款项累计</w:t>
      </w:r>
      <w:r>
        <w:rPr>
          <w:rFonts w:hint="eastAsia" w:ascii="宋体" w:hAnsi="宋体" w:cs="宋体"/>
          <w:color w:val="auto"/>
          <w:sz w:val="24"/>
          <w:highlight w:val="none"/>
          <w:u w:val="single"/>
        </w:rPr>
        <w:t>人民币  元</w:t>
      </w:r>
      <w:r>
        <w:rPr>
          <w:rFonts w:hint="eastAsia" w:ascii="宋体" w:hAnsi="宋体" w:cs="宋体"/>
          <w:color w:val="auto"/>
          <w:sz w:val="24"/>
          <w:highlight w:val="none"/>
        </w:rPr>
        <w:t>。甲方将在本结算书生效后 15 个工作日内向乙方支付至结算金额的 100％，即</w:t>
      </w:r>
      <w:r>
        <w:rPr>
          <w:rFonts w:hint="eastAsia" w:ascii="宋体" w:hAnsi="宋体" w:cs="宋体"/>
          <w:color w:val="auto"/>
          <w:sz w:val="24"/>
          <w:highlight w:val="none"/>
          <w:u w:val="single"/>
        </w:rPr>
        <w:t xml:space="preserve">人民币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元</w:t>
      </w:r>
      <w:r>
        <w:rPr>
          <w:rFonts w:hint="eastAsia" w:ascii="宋体" w:hAnsi="宋体" w:cs="宋体"/>
          <w:color w:val="auto"/>
          <w:sz w:val="24"/>
          <w:highlight w:val="none"/>
        </w:rPr>
        <w:t>。如本工程缺陷责任期满且未发现存在工程缺陷，在监理人出具该工程缺陷责任期届满证明并签订本协议后28 天内支付工程质量保证金的 80%。</w:t>
      </w:r>
    </w:p>
    <w:p w14:paraId="450F400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三、甲方向乙方退还全部质量保证金需同时满足以下条件：</w:t>
      </w:r>
    </w:p>
    <w:p w14:paraId="12E701C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1、乙方承包的工程的缺陷责任期已届满，并由监理人出具了该工程缺陷责任期届满的证明；</w:t>
      </w:r>
    </w:p>
    <w:p w14:paraId="3D43EFBC">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2、在缺陷责任期内按合同约定进行了缺陷工程的修复且项目完成竣工验收。</w:t>
      </w:r>
    </w:p>
    <w:p w14:paraId="7C124B9A">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如甲方已付款项少于本协议第一条的核准的金额，则甲方应在乙方满足了质量保证金退还的全部条件后</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天</w:t>
      </w:r>
      <w:r>
        <w:rPr>
          <w:rFonts w:hint="eastAsia" w:ascii="宋体" w:hAnsi="宋体" w:cs="宋体"/>
          <w:color w:val="auto"/>
          <w:sz w:val="24"/>
          <w:highlight w:val="none"/>
        </w:rPr>
        <w:t>内将少付工程款（含质量保证金）支付予乙方。</w:t>
      </w:r>
    </w:p>
    <w:p w14:paraId="24734A00">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如甲方已付款项超过本协议第一条的核准的金额，则乙方应在收到甲方发出的还款通知后 天内将超出核准金额的工程款返还给甲方，且甲方无需将质量保证金退还给乙方。</w:t>
      </w:r>
    </w:p>
    <w:p w14:paraId="3514B272">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四、如甲方或乙方未按本协议约定履行付款义务，则每延迟一天，违约方需向对方支付相当于未付款项的 </w:t>
      </w:r>
      <w:r>
        <w:rPr>
          <w:rFonts w:hint="eastAsia" w:ascii="宋体" w:hAnsi="宋体" w:cs="宋体"/>
          <w:color w:val="auto"/>
          <w:sz w:val="24"/>
          <w:highlight w:val="none"/>
        </w:rPr>
        <w:tab/>
      </w:r>
      <w:r>
        <w:rPr>
          <w:rFonts w:hint="eastAsia" w:ascii="宋体" w:hAnsi="宋体" w:cs="宋体"/>
          <w:color w:val="auto"/>
          <w:sz w:val="24"/>
          <w:highlight w:val="none"/>
        </w:rPr>
        <w:t>%作为违约金。</w:t>
      </w:r>
    </w:p>
    <w:p w14:paraId="5B5738DA">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五、本协议条款与合同如有冲突，以本协议为准。</w:t>
      </w:r>
    </w:p>
    <w:p w14:paraId="34C17A6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六、本协议经双方法定代表人（负责人）或授权代表签字并加盖公章后生效。</w:t>
      </w:r>
    </w:p>
    <w:p w14:paraId="0F2497EB">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七、本协议一式</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份</w:t>
      </w:r>
      <w:r>
        <w:rPr>
          <w:rFonts w:hint="eastAsia" w:ascii="宋体" w:hAnsi="宋体" w:cs="宋体"/>
          <w:color w:val="auto"/>
          <w:sz w:val="24"/>
          <w:highlight w:val="none"/>
        </w:rPr>
        <w:t>，甲、乙双方各执</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份</w:t>
      </w:r>
      <w:r>
        <w:rPr>
          <w:rFonts w:hint="eastAsia" w:ascii="宋体" w:hAnsi="宋体" w:cs="宋体"/>
          <w:color w:val="auto"/>
          <w:sz w:val="24"/>
          <w:highlight w:val="none"/>
        </w:rPr>
        <w:t>。</w:t>
      </w:r>
    </w:p>
    <w:p w14:paraId="517E0B22">
      <w:pPr>
        <w:pStyle w:val="104"/>
        <w:shd w:val="clear" w:fill="FFFFFF" w:themeFill="background1"/>
        <w:spacing w:line="360" w:lineRule="auto"/>
        <w:rPr>
          <w:rFonts w:ascii="宋体" w:hAnsi="宋体" w:cs="宋体"/>
          <w:color w:val="auto"/>
          <w:sz w:val="24"/>
          <w:highlight w:val="none"/>
        </w:rPr>
      </w:pPr>
    </w:p>
    <w:p w14:paraId="2BBE990B">
      <w:pPr>
        <w:pStyle w:val="104"/>
        <w:shd w:val="clear" w:fill="FFFFFF" w:themeFill="background1"/>
        <w:spacing w:line="360" w:lineRule="auto"/>
        <w:rPr>
          <w:rFonts w:ascii="宋体" w:hAnsi="宋体" w:cs="宋体"/>
          <w:color w:val="auto"/>
          <w:sz w:val="24"/>
          <w:highlight w:val="none"/>
        </w:rPr>
      </w:pPr>
    </w:p>
    <w:p w14:paraId="2A205BF8">
      <w:pPr>
        <w:pStyle w:val="104"/>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甲  方：（盖章）       乙  方：（盖章）</w:t>
      </w:r>
    </w:p>
    <w:p w14:paraId="10B4BD2D">
      <w:pPr>
        <w:pStyle w:val="104"/>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签署代表：      签署代表：</w:t>
      </w:r>
    </w:p>
    <w:p w14:paraId="3DF0680C">
      <w:pPr>
        <w:pStyle w:val="104"/>
        <w:shd w:val="clear"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签署日期：      签署日期：</w:t>
      </w:r>
    </w:p>
    <w:p w14:paraId="0B874E49">
      <w:pPr>
        <w:pStyle w:val="104"/>
        <w:shd w:val="clear"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br w:type="page"/>
      </w:r>
    </w:p>
    <w:p w14:paraId="125AA8FE">
      <w:pPr>
        <w:shd w:val="clear" w:fill="FFFFFF" w:themeFill="background1"/>
        <w:jc w:val="center"/>
        <w:rPr>
          <w:rFonts w:ascii="宋体" w:hAnsi="宋体"/>
          <w:color w:val="auto"/>
          <w:sz w:val="72"/>
          <w:szCs w:val="72"/>
          <w:highlight w:val="none"/>
          <w:u w:val="single"/>
        </w:rPr>
      </w:pPr>
    </w:p>
    <w:p w14:paraId="40FAC9A5">
      <w:pPr>
        <w:pStyle w:val="107"/>
        <w:shd w:val="clear" w:fill="FFFFFF" w:themeFill="background1"/>
        <w:rPr>
          <w:rFonts w:hAnsi="宋体" w:cs="宋体"/>
          <w:b/>
          <w:color w:val="auto"/>
          <w:sz w:val="28"/>
          <w:szCs w:val="28"/>
          <w:highlight w:val="none"/>
        </w:rPr>
      </w:pPr>
      <w:r>
        <w:rPr>
          <w:rFonts w:hint="eastAsia" w:hAnsi="宋体" w:cs="宋体"/>
          <w:b/>
          <w:color w:val="auto"/>
          <w:sz w:val="28"/>
          <w:szCs w:val="28"/>
          <w:highlight w:val="none"/>
        </w:rPr>
        <w:t>附件十五：分包合同</w:t>
      </w:r>
    </w:p>
    <w:p w14:paraId="4C1573BD">
      <w:pPr>
        <w:pStyle w:val="107"/>
        <w:shd w:val="clear" w:fill="FFFFFF" w:themeFill="background1"/>
        <w:jc w:val="center"/>
        <w:rPr>
          <w:rFonts w:hAnsi="宋体" w:cs="宋体"/>
          <w:color w:val="auto"/>
          <w:sz w:val="32"/>
          <w:szCs w:val="32"/>
          <w:highlight w:val="none"/>
        </w:rPr>
      </w:pPr>
    </w:p>
    <w:p w14:paraId="00C0B4A6">
      <w:pPr>
        <w:pStyle w:val="107"/>
        <w:shd w:val="clear" w:fill="FFFFFF" w:themeFill="background1"/>
        <w:jc w:val="center"/>
        <w:rPr>
          <w:rFonts w:hAnsi="宋体" w:cs="宋体"/>
          <w:color w:val="auto"/>
          <w:sz w:val="32"/>
          <w:szCs w:val="32"/>
          <w:highlight w:val="none"/>
        </w:rPr>
      </w:pPr>
    </w:p>
    <w:p w14:paraId="0CB86699">
      <w:pPr>
        <w:pStyle w:val="107"/>
        <w:shd w:val="clear" w:fill="FFFFFF" w:themeFill="background1"/>
        <w:jc w:val="center"/>
        <w:rPr>
          <w:rFonts w:hAnsi="宋体" w:cs="宋体"/>
          <w:color w:val="auto"/>
          <w:sz w:val="32"/>
          <w:szCs w:val="32"/>
          <w:highlight w:val="none"/>
        </w:rPr>
      </w:pPr>
    </w:p>
    <w:p w14:paraId="07455943">
      <w:pPr>
        <w:pStyle w:val="107"/>
        <w:shd w:val="clear" w:fill="FFFFFF" w:themeFill="background1"/>
        <w:jc w:val="center"/>
        <w:rPr>
          <w:rFonts w:hAnsi="宋体" w:cs="宋体"/>
          <w:color w:val="auto"/>
          <w:sz w:val="32"/>
          <w:szCs w:val="32"/>
          <w:highlight w:val="none"/>
        </w:rPr>
      </w:pPr>
    </w:p>
    <w:p w14:paraId="4BDDBE92">
      <w:pPr>
        <w:pStyle w:val="107"/>
        <w:shd w:val="clear" w:fill="FFFFFF" w:themeFill="background1"/>
        <w:jc w:val="center"/>
        <w:rPr>
          <w:rFonts w:hAnsi="宋体" w:cs="宋体"/>
          <w:color w:val="auto"/>
          <w:sz w:val="52"/>
          <w:szCs w:val="52"/>
          <w:highlight w:val="none"/>
        </w:rPr>
      </w:pPr>
      <w:r>
        <w:rPr>
          <w:rFonts w:hint="eastAsia" w:hAnsi="宋体" w:cs="宋体"/>
          <w:color w:val="auto"/>
          <w:sz w:val="52"/>
          <w:szCs w:val="52"/>
          <w:highlight w:val="none"/>
        </w:rPr>
        <w:t>公路工程施工分包合同</w:t>
      </w:r>
    </w:p>
    <w:p w14:paraId="01AB113D">
      <w:pPr>
        <w:pStyle w:val="107"/>
        <w:shd w:val="clear" w:fill="FFFFFF" w:themeFill="background1"/>
        <w:jc w:val="center"/>
        <w:rPr>
          <w:rFonts w:hAnsi="宋体" w:cs="宋体"/>
          <w:color w:val="auto"/>
          <w:sz w:val="32"/>
          <w:szCs w:val="32"/>
          <w:highlight w:val="none"/>
        </w:rPr>
      </w:pPr>
    </w:p>
    <w:p w14:paraId="46ECB449">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t>（示范文本）</w:t>
      </w:r>
    </w:p>
    <w:p w14:paraId="327D56E9">
      <w:pPr>
        <w:pStyle w:val="107"/>
        <w:shd w:val="clear" w:fill="FFFFFF" w:themeFill="background1"/>
        <w:jc w:val="center"/>
        <w:rPr>
          <w:rFonts w:hAnsi="宋体" w:cs="宋体"/>
          <w:color w:val="auto"/>
          <w:sz w:val="32"/>
          <w:szCs w:val="32"/>
          <w:highlight w:val="none"/>
        </w:rPr>
      </w:pPr>
    </w:p>
    <w:p w14:paraId="3EC8067D">
      <w:pPr>
        <w:pStyle w:val="107"/>
        <w:shd w:val="clear" w:fill="FFFFFF" w:themeFill="background1"/>
        <w:jc w:val="center"/>
        <w:rPr>
          <w:rFonts w:hAnsi="宋体" w:cs="宋体"/>
          <w:color w:val="auto"/>
          <w:sz w:val="32"/>
          <w:szCs w:val="32"/>
          <w:highlight w:val="none"/>
        </w:rPr>
      </w:pPr>
    </w:p>
    <w:p w14:paraId="161365BE">
      <w:pPr>
        <w:pStyle w:val="107"/>
        <w:shd w:val="clear" w:fill="FFFFFF" w:themeFill="background1"/>
        <w:jc w:val="center"/>
        <w:rPr>
          <w:rFonts w:hAnsi="宋体" w:cs="宋体"/>
          <w:color w:val="auto"/>
          <w:sz w:val="32"/>
          <w:szCs w:val="32"/>
          <w:highlight w:val="none"/>
        </w:rPr>
      </w:pPr>
    </w:p>
    <w:p w14:paraId="2C225F3C">
      <w:pPr>
        <w:pStyle w:val="107"/>
        <w:shd w:val="clear" w:fill="FFFFFF" w:themeFill="background1"/>
        <w:jc w:val="center"/>
        <w:rPr>
          <w:rFonts w:hAnsi="宋体" w:cs="宋体"/>
          <w:color w:val="auto"/>
          <w:sz w:val="32"/>
          <w:szCs w:val="32"/>
          <w:highlight w:val="none"/>
        </w:rPr>
      </w:pPr>
    </w:p>
    <w:p w14:paraId="2B586B54">
      <w:pPr>
        <w:pStyle w:val="107"/>
        <w:shd w:val="clear" w:fill="FFFFFF" w:themeFill="background1"/>
        <w:jc w:val="center"/>
        <w:rPr>
          <w:rFonts w:hAnsi="宋体" w:cs="宋体"/>
          <w:color w:val="auto"/>
          <w:sz w:val="32"/>
          <w:szCs w:val="32"/>
          <w:highlight w:val="none"/>
        </w:rPr>
      </w:pPr>
    </w:p>
    <w:p w14:paraId="426948C3">
      <w:pPr>
        <w:pStyle w:val="107"/>
        <w:shd w:val="clear" w:fill="FFFFFF" w:themeFill="background1"/>
        <w:jc w:val="center"/>
        <w:rPr>
          <w:rFonts w:hAnsi="宋体" w:cs="宋体"/>
          <w:color w:val="auto"/>
          <w:sz w:val="32"/>
          <w:szCs w:val="32"/>
          <w:highlight w:val="none"/>
        </w:rPr>
      </w:pPr>
    </w:p>
    <w:p w14:paraId="12824C34">
      <w:pPr>
        <w:pStyle w:val="107"/>
        <w:shd w:val="clear" w:fill="FFFFFF" w:themeFill="background1"/>
        <w:jc w:val="center"/>
        <w:rPr>
          <w:rFonts w:hAnsi="宋体" w:cs="宋体"/>
          <w:color w:val="auto"/>
          <w:sz w:val="32"/>
          <w:szCs w:val="32"/>
          <w:highlight w:val="none"/>
        </w:rPr>
      </w:pPr>
    </w:p>
    <w:p w14:paraId="165C5CEE">
      <w:pPr>
        <w:pStyle w:val="107"/>
        <w:shd w:val="clear" w:fill="FFFFFF" w:themeFill="background1"/>
        <w:jc w:val="center"/>
        <w:rPr>
          <w:rFonts w:hAnsi="宋体" w:cs="宋体"/>
          <w:color w:val="auto"/>
          <w:sz w:val="32"/>
          <w:szCs w:val="32"/>
          <w:highlight w:val="none"/>
        </w:rPr>
      </w:pPr>
    </w:p>
    <w:p w14:paraId="1BC1F7DF">
      <w:pPr>
        <w:pStyle w:val="107"/>
        <w:shd w:val="clear" w:fill="FFFFFF" w:themeFill="background1"/>
        <w:jc w:val="center"/>
        <w:rPr>
          <w:rFonts w:hAnsi="宋体" w:cs="宋体"/>
          <w:color w:val="auto"/>
          <w:sz w:val="32"/>
          <w:szCs w:val="32"/>
          <w:highlight w:val="none"/>
        </w:rPr>
      </w:pPr>
    </w:p>
    <w:p w14:paraId="572C4E56">
      <w:pPr>
        <w:pStyle w:val="107"/>
        <w:shd w:val="clear" w:fill="FFFFFF" w:themeFill="background1"/>
        <w:jc w:val="center"/>
        <w:rPr>
          <w:rFonts w:hAnsi="宋体" w:cs="宋体"/>
          <w:color w:val="auto"/>
          <w:sz w:val="32"/>
          <w:szCs w:val="32"/>
          <w:highlight w:val="none"/>
        </w:rPr>
      </w:pPr>
    </w:p>
    <w:p w14:paraId="427A43B8">
      <w:pPr>
        <w:pStyle w:val="107"/>
        <w:shd w:val="clear" w:fill="FFFFFF" w:themeFill="background1"/>
        <w:jc w:val="center"/>
        <w:rPr>
          <w:rFonts w:hAnsi="宋体" w:cs="宋体"/>
          <w:color w:val="auto"/>
          <w:sz w:val="44"/>
          <w:szCs w:val="44"/>
          <w:highlight w:val="none"/>
        </w:rPr>
      </w:pPr>
    </w:p>
    <w:p w14:paraId="3D59BEBA">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t>20   年  月</w:t>
      </w:r>
    </w:p>
    <w:p w14:paraId="6B982807">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br w:type="page"/>
      </w:r>
    </w:p>
    <w:p w14:paraId="13A57891">
      <w:pPr>
        <w:pStyle w:val="107"/>
        <w:shd w:val="clear" w:fill="FFFFFF" w:themeFill="background1"/>
        <w:jc w:val="center"/>
        <w:rPr>
          <w:rFonts w:hAnsi="宋体" w:cs="宋体"/>
          <w:color w:val="auto"/>
          <w:sz w:val="44"/>
          <w:szCs w:val="44"/>
          <w:highlight w:val="none"/>
        </w:rPr>
      </w:pPr>
    </w:p>
    <w:p w14:paraId="60B365C3">
      <w:pPr>
        <w:pStyle w:val="107"/>
        <w:shd w:val="clear" w:fill="FFFFFF" w:themeFill="background1"/>
        <w:jc w:val="center"/>
        <w:rPr>
          <w:rFonts w:hAnsi="宋体" w:cs="宋体"/>
          <w:color w:val="auto"/>
          <w:sz w:val="28"/>
          <w:szCs w:val="28"/>
          <w:highlight w:val="none"/>
        </w:rPr>
      </w:pPr>
    </w:p>
    <w:p w14:paraId="43433721">
      <w:pPr>
        <w:pStyle w:val="107"/>
        <w:shd w:val="clear" w:fill="FFFFFF" w:themeFill="background1"/>
        <w:jc w:val="center"/>
        <w:rPr>
          <w:rFonts w:hAnsi="宋体" w:cs="宋体"/>
          <w:color w:val="auto"/>
          <w:sz w:val="28"/>
          <w:szCs w:val="28"/>
          <w:highlight w:val="none"/>
        </w:rPr>
      </w:pPr>
    </w:p>
    <w:p w14:paraId="652A8910">
      <w:pPr>
        <w:pStyle w:val="107"/>
        <w:shd w:val="clear" w:fill="FFFFFF" w:themeFill="background1"/>
        <w:jc w:val="center"/>
        <w:rPr>
          <w:rFonts w:hAnsi="宋体" w:cs="宋体"/>
          <w:color w:val="auto"/>
          <w:sz w:val="28"/>
          <w:szCs w:val="28"/>
          <w:highlight w:val="none"/>
        </w:rPr>
      </w:pPr>
      <w:r>
        <w:rPr>
          <w:rFonts w:hint="eastAsia" w:hAnsi="宋体" w:cs="宋体"/>
          <w:color w:val="auto"/>
          <w:sz w:val="32"/>
          <w:szCs w:val="32"/>
          <w:highlight w:val="none"/>
        </w:rPr>
        <w:t>公路工程施工分包合同</w:t>
      </w:r>
    </w:p>
    <w:p w14:paraId="432383FA">
      <w:pPr>
        <w:pStyle w:val="107"/>
        <w:shd w:val="clear" w:fill="FFFFFF" w:themeFill="background1"/>
        <w:spacing w:line="280" w:lineRule="exact"/>
        <w:ind w:right="630"/>
        <w:jc w:val="right"/>
        <w:rPr>
          <w:rFonts w:hAnsi="宋体" w:cs="宋体"/>
          <w:color w:val="auto"/>
          <w:szCs w:val="21"/>
          <w:highlight w:val="none"/>
        </w:rPr>
      </w:pPr>
    </w:p>
    <w:p w14:paraId="3F48F05C">
      <w:pPr>
        <w:pStyle w:val="107"/>
        <w:shd w:val="clear" w:fill="FFFFFF" w:themeFill="background1"/>
        <w:ind w:right="1380" w:firstLine="5400" w:firstLineChars="2250"/>
        <w:rPr>
          <w:rFonts w:hAnsi="宋体" w:cs="宋体"/>
          <w:color w:val="auto"/>
          <w:highlight w:val="none"/>
        </w:rPr>
      </w:pPr>
      <w:r>
        <w:rPr>
          <w:rFonts w:hint="eastAsia" w:hAnsi="宋体" w:cs="宋体"/>
          <w:color w:val="auto"/>
          <w:highlight w:val="none"/>
        </w:rPr>
        <w:t>分包合同编号：</w:t>
      </w:r>
    </w:p>
    <w:p w14:paraId="797DEC0A">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176A5A5F">
      <w:pPr>
        <w:pStyle w:val="107"/>
        <w:shd w:val="clear" w:fill="FFFFFF" w:themeFill="background1"/>
        <w:rPr>
          <w:rFonts w:hAnsi="宋体" w:cs="宋体"/>
          <w:color w:val="auto"/>
          <w:highlight w:val="none"/>
          <w:u w:val="single"/>
        </w:rPr>
      </w:pPr>
      <w:r>
        <w:rPr>
          <w:rFonts w:hint="eastAsia" w:hAnsi="宋体" w:cs="宋体"/>
          <w:color w:val="auto"/>
          <w:highlight w:val="none"/>
        </w:rPr>
        <w:t>甲方(承包人) ：</w:t>
      </w:r>
    </w:p>
    <w:p w14:paraId="56AAE22B">
      <w:pPr>
        <w:pStyle w:val="107"/>
        <w:shd w:val="clear" w:fill="FFFFFF" w:themeFill="background1"/>
        <w:rPr>
          <w:rFonts w:hAnsi="宋体" w:cs="宋体"/>
          <w:color w:val="auto"/>
          <w:highlight w:val="none"/>
        </w:rPr>
      </w:pPr>
      <w:r>
        <w:rPr>
          <w:rFonts w:hint="eastAsia" w:hAnsi="宋体" w:cs="宋体"/>
          <w:color w:val="auto"/>
          <w:highlight w:val="none"/>
        </w:rPr>
        <w:t>乙方(分包人) ：</w:t>
      </w:r>
    </w:p>
    <w:p w14:paraId="74191647">
      <w:pPr>
        <w:pStyle w:val="107"/>
        <w:shd w:val="clear" w:fill="FFFFFF" w:themeFill="background1"/>
        <w:rPr>
          <w:rFonts w:hAnsi="宋体" w:cs="宋体"/>
          <w:color w:val="auto"/>
          <w:highlight w:val="none"/>
        </w:rPr>
      </w:pPr>
    </w:p>
    <w:p w14:paraId="5A295308">
      <w:pPr>
        <w:pStyle w:val="107"/>
        <w:shd w:val="clear" w:fill="FFFFFF" w:themeFill="background1"/>
        <w:ind w:firstLine="422"/>
        <w:rPr>
          <w:rFonts w:hAnsi="宋体" w:cs="宋体"/>
          <w:color w:val="auto"/>
          <w:highlight w:val="none"/>
        </w:rPr>
      </w:pPr>
      <w:r>
        <w:rPr>
          <w:rFonts w:hint="eastAsia" w:hAnsi="宋体" w:cs="宋体"/>
          <w:color w:val="auto"/>
          <w:highlight w:val="none"/>
        </w:rPr>
        <w:t>依照《</w:t>
      </w:r>
      <w:r>
        <w:rPr>
          <w:rFonts w:hint="eastAsia" w:hAnsi="宋体" w:cs="宋体"/>
          <w:color w:val="auto"/>
          <w:highlight w:val="none"/>
          <w:lang w:eastAsia="zh-CN"/>
        </w:rPr>
        <w:t>中华人民共和国民法典合同编</w:t>
      </w:r>
      <w:r>
        <w:rPr>
          <w:rFonts w:hint="eastAsia" w:hAnsi="宋体" w:cs="宋体"/>
          <w:color w:val="auto"/>
          <w:highlight w:val="none"/>
        </w:rPr>
        <w:t>》、《中华人民共和国公路法》、《中华人民共和国港口法》、《中华人民共和国航道法》、交通运输部《公路工程施工分包管理办法》及其他有关法律、法规和规章，遵循平等、自愿、公平和诚实信用的原则，鉴于××××××××（以下简称为“发包人”）与承包人已经签订施工总承包合同（以下称为“总包合同”），承包人和分包人双方就分包专项工程施工事项经协商达成一致，订立本合同。</w:t>
      </w:r>
    </w:p>
    <w:p w14:paraId="61A77D17">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1.  分包人情况</w:t>
      </w:r>
    </w:p>
    <w:p w14:paraId="563C0EFB">
      <w:pPr>
        <w:pStyle w:val="107"/>
        <w:shd w:val="clear" w:fill="FFFFFF" w:themeFill="background1"/>
        <w:ind w:firstLine="422"/>
        <w:rPr>
          <w:rFonts w:hAnsi="宋体" w:cs="宋体"/>
          <w:color w:val="auto"/>
          <w:highlight w:val="none"/>
        </w:rPr>
      </w:pPr>
      <w:r>
        <w:rPr>
          <w:rFonts w:hint="eastAsia" w:hAnsi="宋体" w:cs="宋体"/>
          <w:color w:val="auto"/>
          <w:highlight w:val="none"/>
        </w:rPr>
        <w:t>1.1分包人名称：；注册地址：；</w:t>
      </w:r>
    </w:p>
    <w:p w14:paraId="63238495">
      <w:pPr>
        <w:pStyle w:val="107"/>
        <w:shd w:val="clear" w:fill="FFFFFF" w:themeFill="background1"/>
        <w:ind w:firstLine="720" w:firstLineChars="300"/>
        <w:rPr>
          <w:rFonts w:hAnsi="宋体" w:cs="宋体"/>
          <w:color w:val="auto"/>
          <w:highlight w:val="none"/>
        </w:rPr>
      </w:pPr>
      <w:r>
        <w:rPr>
          <w:rFonts w:hint="eastAsia" w:hAnsi="宋体" w:cs="宋体"/>
          <w:color w:val="auto"/>
          <w:highlight w:val="none"/>
        </w:rPr>
        <w:t>法定代表人姓名：，职称：，职务：。</w:t>
      </w:r>
    </w:p>
    <w:p w14:paraId="62779C4F">
      <w:pPr>
        <w:pStyle w:val="107"/>
        <w:shd w:val="clear" w:fill="FFFFFF" w:themeFill="background1"/>
        <w:ind w:firstLine="422"/>
        <w:rPr>
          <w:rFonts w:hAnsi="宋体" w:cs="宋体"/>
          <w:color w:val="auto"/>
          <w:highlight w:val="none"/>
        </w:rPr>
      </w:pPr>
      <w:r>
        <w:rPr>
          <w:rFonts w:hint="eastAsia" w:hAnsi="宋体" w:cs="宋体"/>
          <w:color w:val="auto"/>
          <w:highlight w:val="none"/>
        </w:rPr>
        <w:t>1.2分包项目负责人姓名，职称：，资格：：分包技术负责人姓名：职称：，资格：：</w:t>
      </w:r>
    </w:p>
    <w:p w14:paraId="51573B25">
      <w:pPr>
        <w:pStyle w:val="107"/>
        <w:shd w:val="clear" w:fill="FFFFFF" w:themeFill="background1"/>
        <w:ind w:firstLine="422"/>
        <w:rPr>
          <w:rFonts w:hAnsi="宋体" w:cs="宋体"/>
          <w:color w:val="auto"/>
          <w:highlight w:val="none"/>
        </w:rPr>
      </w:pPr>
      <w:r>
        <w:rPr>
          <w:rFonts w:hint="eastAsia" w:hAnsi="宋体" w:cs="宋体"/>
          <w:color w:val="auto"/>
          <w:highlight w:val="none"/>
        </w:rPr>
        <w:t>1.3分包人拟投入的主要管理人员（见附表1）</w:t>
      </w:r>
    </w:p>
    <w:p w14:paraId="0D44561A">
      <w:pPr>
        <w:pStyle w:val="107"/>
        <w:shd w:val="clear" w:fill="FFFFFF" w:themeFill="background1"/>
        <w:ind w:firstLine="422"/>
        <w:rPr>
          <w:rFonts w:hAnsi="宋体" w:cs="宋体"/>
          <w:color w:val="auto"/>
          <w:highlight w:val="none"/>
        </w:rPr>
      </w:pPr>
      <w:r>
        <w:rPr>
          <w:rFonts w:hint="eastAsia" w:hAnsi="宋体" w:cs="宋体"/>
          <w:color w:val="auto"/>
          <w:highlight w:val="none"/>
        </w:rPr>
        <w:t>1.4分包人拟投入的主要机械设备（见附表2)</w:t>
      </w:r>
    </w:p>
    <w:p w14:paraId="10B3DE7D">
      <w:pPr>
        <w:pStyle w:val="107"/>
        <w:shd w:val="clear" w:fill="FFFFFF" w:themeFill="background1"/>
        <w:ind w:firstLine="422"/>
        <w:jc w:val="left"/>
        <w:rPr>
          <w:rFonts w:hAnsi="宋体" w:cs="宋体"/>
          <w:b/>
          <w:color w:val="auto"/>
          <w:highlight w:val="none"/>
        </w:rPr>
      </w:pPr>
    </w:p>
    <w:p w14:paraId="61F36CD0">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2.分包专项工程概况</w:t>
      </w:r>
    </w:p>
    <w:p w14:paraId="70C5B32E">
      <w:pPr>
        <w:pStyle w:val="107"/>
        <w:shd w:val="clear" w:fill="FFFFFF" w:themeFill="background1"/>
        <w:ind w:firstLine="422"/>
        <w:rPr>
          <w:rFonts w:hAnsi="宋体" w:cs="宋体"/>
          <w:color w:val="auto"/>
          <w:highlight w:val="none"/>
        </w:rPr>
      </w:pPr>
      <w:r>
        <w:rPr>
          <w:rFonts w:hint="eastAsia" w:hAnsi="宋体" w:cs="宋体"/>
          <w:color w:val="auto"/>
          <w:highlight w:val="none"/>
        </w:rPr>
        <w:t>2.1分包专项工程名称及地点</w:t>
      </w:r>
    </w:p>
    <w:p w14:paraId="0A6DD4CC">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2.2 分包专项工程范围、内容： </w:t>
      </w:r>
    </w:p>
    <w:p w14:paraId="70B9EDF7">
      <w:pPr>
        <w:pStyle w:val="107"/>
        <w:shd w:val="clear" w:fill="FFFFFF" w:themeFill="background1"/>
        <w:ind w:firstLine="422"/>
        <w:rPr>
          <w:rFonts w:hAnsi="宋体" w:cs="宋体"/>
          <w:color w:val="auto"/>
          <w:highlight w:val="none"/>
        </w:rPr>
      </w:pPr>
      <w:r>
        <w:rPr>
          <w:rFonts w:hint="eastAsia" w:hAnsi="宋体" w:cs="宋体"/>
          <w:color w:val="auto"/>
          <w:highlight w:val="none"/>
        </w:rPr>
        <w:t>2.3 分包方式：</w:t>
      </w:r>
    </w:p>
    <w:p w14:paraId="4691ED0B">
      <w:pPr>
        <w:pStyle w:val="107"/>
        <w:shd w:val="clear" w:fill="FFFFFF" w:themeFill="background1"/>
        <w:ind w:firstLine="422"/>
        <w:jc w:val="left"/>
        <w:rPr>
          <w:rFonts w:hAnsi="宋体" w:cs="宋体"/>
          <w:b/>
          <w:color w:val="auto"/>
          <w:highlight w:val="none"/>
        </w:rPr>
      </w:pPr>
    </w:p>
    <w:p w14:paraId="5946AEE1">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3.分包合同有关款项</w:t>
      </w:r>
    </w:p>
    <w:p w14:paraId="5B376358">
      <w:pPr>
        <w:pStyle w:val="107"/>
        <w:shd w:val="clear" w:fill="FFFFFF" w:themeFill="background1"/>
        <w:ind w:firstLine="422"/>
        <w:rPr>
          <w:rFonts w:hAnsi="宋体" w:cs="宋体"/>
          <w:b/>
          <w:color w:val="auto"/>
          <w:highlight w:val="none"/>
        </w:rPr>
      </w:pPr>
      <w:r>
        <w:rPr>
          <w:rFonts w:hint="eastAsia" w:hAnsi="宋体" w:cs="宋体"/>
          <w:b/>
          <w:color w:val="auto"/>
          <w:highlight w:val="none"/>
        </w:rPr>
        <w:t>3.1 分包价款</w:t>
      </w:r>
    </w:p>
    <w:p w14:paraId="34C1D050">
      <w:pPr>
        <w:pStyle w:val="107"/>
        <w:shd w:val="clear" w:fill="FFFFFF" w:themeFill="background1"/>
        <w:ind w:firstLine="422"/>
        <w:rPr>
          <w:rFonts w:hAnsi="宋体" w:cs="宋体"/>
          <w:color w:val="auto"/>
          <w:highlight w:val="none"/>
        </w:rPr>
      </w:pPr>
      <w:r>
        <w:rPr>
          <w:rFonts w:hint="eastAsia" w:hAnsi="宋体" w:cs="宋体"/>
          <w:color w:val="auto"/>
          <w:highlight w:val="none"/>
        </w:rPr>
        <w:t>3.1.1本合同为固定单价合同，合同总价为人民币元（大写：），合同单价和暂估数量见《分包专项工程工程量清单》（附表3）。实际合同总价根据乙方实际完成，由甲方确认并经监理人签认的数量按本合同后附清单所列固定单价进行计算，并结合本合同条款进行结算支付。</w:t>
      </w:r>
    </w:p>
    <w:p w14:paraId="2809E8D1">
      <w:pPr>
        <w:pStyle w:val="107"/>
        <w:shd w:val="clear" w:fill="FFFFFF" w:themeFill="background1"/>
        <w:ind w:firstLine="422"/>
        <w:rPr>
          <w:rFonts w:hAnsi="宋体" w:cs="宋体"/>
          <w:color w:val="auto"/>
          <w:highlight w:val="none"/>
        </w:rPr>
      </w:pPr>
      <w:r>
        <w:rPr>
          <w:rFonts w:hint="eastAsia" w:hAnsi="宋体" w:cs="宋体"/>
          <w:color w:val="auto"/>
          <w:highlight w:val="none"/>
        </w:rPr>
        <w:t>3.1.2上述合同单价已包括了乙方为实施和完成上述工程量清单细目内容及其附属工作及缺陷修复工作所发生的一切费用，以及合同明示或暗示的一切风险、责任和义务。涉及工程量清单中未列的子目，其费用参照总包合同相关计量有关条款办理。</w:t>
      </w:r>
    </w:p>
    <w:p w14:paraId="0B27F200">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3.1.3（税费内容约定）。 </w:t>
      </w:r>
    </w:p>
    <w:p w14:paraId="2A33D2B0">
      <w:pPr>
        <w:pStyle w:val="107"/>
        <w:shd w:val="clear" w:fill="FFFFFF" w:themeFill="background1"/>
        <w:ind w:firstLine="422"/>
        <w:rPr>
          <w:rFonts w:hAnsi="宋体" w:cs="宋体"/>
          <w:b/>
          <w:color w:val="auto"/>
          <w:highlight w:val="none"/>
        </w:rPr>
      </w:pPr>
      <w:r>
        <w:rPr>
          <w:rFonts w:hint="eastAsia" w:hAnsi="宋体" w:cs="宋体"/>
          <w:b/>
          <w:color w:val="auto"/>
          <w:highlight w:val="none"/>
        </w:rPr>
        <w:t>3.2履约保函或保证金：</w:t>
      </w:r>
    </w:p>
    <w:p w14:paraId="4A05424F">
      <w:pPr>
        <w:pStyle w:val="107"/>
        <w:shd w:val="clear" w:fill="FFFFFF" w:themeFill="background1"/>
        <w:ind w:firstLine="422"/>
        <w:rPr>
          <w:rFonts w:hAnsi="宋体" w:cs="宋体"/>
          <w:color w:val="auto"/>
          <w:highlight w:val="none"/>
        </w:rPr>
      </w:pPr>
      <w:r>
        <w:rPr>
          <w:rFonts w:hint="eastAsia" w:hAnsi="宋体" w:cs="宋体"/>
          <w:color w:val="auto"/>
          <w:highlight w:val="none"/>
        </w:rPr>
        <w:t>3.2.1乙方与甲方签订合同后的天内，应向甲方交纳：（b履约保函；b履约保证金），即：</w:t>
      </w:r>
    </w:p>
    <w:p w14:paraId="0B3D7922">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a.分包合同价的％履约保函和分包合同价的％质量保函。</w:t>
      </w:r>
    </w:p>
    <w:p w14:paraId="3B6A3EFD">
      <w:pPr>
        <w:pStyle w:val="107"/>
        <w:shd w:val="clear" w:fill="FFFFFF" w:themeFill="background1"/>
        <w:ind w:firstLine="422"/>
        <w:rPr>
          <w:rFonts w:hAnsi="宋体" w:cs="宋体"/>
          <w:color w:val="auto"/>
          <w:highlight w:val="none"/>
        </w:rPr>
      </w:pPr>
      <w:r>
        <w:rPr>
          <w:rFonts w:hint="eastAsia" w:hAnsi="宋体" w:cs="宋体"/>
          <w:color w:val="auto"/>
          <w:highlight w:val="none"/>
        </w:rPr>
        <w:t>b.分包合同价的％履约保证金计元和分包合同价的％质量保证金计元。</w:t>
      </w:r>
    </w:p>
    <w:p w14:paraId="2B51EE6F">
      <w:pPr>
        <w:pStyle w:val="107"/>
        <w:shd w:val="clear" w:fill="FFFFFF" w:themeFill="background1"/>
        <w:ind w:firstLine="422"/>
        <w:rPr>
          <w:rFonts w:hAnsi="宋体" w:cs="宋体"/>
          <w:color w:val="auto"/>
          <w:highlight w:val="none"/>
        </w:rPr>
      </w:pPr>
      <w:r>
        <w:rPr>
          <w:rFonts w:hint="eastAsia" w:hAnsi="宋体" w:cs="宋体"/>
          <w:color w:val="auto"/>
          <w:highlight w:val="none"/>
        </w:rPr>
        <w:t>3.2.3乙方严格履行了本合同规定的各项事宜，施工任务如期完工，工程质量达到甲方向发包人承诺的质量要求，无安全责任事故发生，未遗留各种纠纷，在本合同履行完毕后，给予全额退还保证金，否则甲方继续扣留或扣除部分或全部保证金。</w:t>
      </w:r>
    </w:p>
    <w:p w14:paraId="20D9DFFD">
      <w:pPr>
        <w:pStyle w:val="107"/>
        <w:shd w:val="clear" w:fill="FFFFFF" w:themeFill="background1"/>
        <w:ind w:firstLine="422"/>
        <w:rPr>
          <w:rFonts w:hAnsi="宋体" w:cs="宋体"/>
          <w:b/>
          <w:color w:val="auto"/>
          <w:highlight w:val="none"/>
        </w:rPr>
      </w:pPr>
      <w:r>
        <w:rPr>
          <w:rFonts w:hint="eastAsia" w:hAnsi="宋体" w:cs="宋体"/>
          <w:b/>
          <w:color w:val="auto"/>
          <w:highlight w:val="none"/>
        </w:rPr>
        <w:t>3.3有关本分包专项工程款项约定</w:t>
      </w:r>
    </w:p>
    <w:p w14:paraId="7CDA92EA">
      <w:pPr>
        <w:pStyle w:val="107"/>
        <w:shd w:val="clear" w:fill="FFFFFF" w:themeFill="background1"/>
        <w:ind w:firstLine="422"/>
        <w:rPr>
          <w:rFonts w:hAnsi="宋体" w:cs="宋体"/>
          <w:color w:val="auto"/>
          <w:highlight w:val="none"/>
        </w:rPr>
      </w:pPr>
      <w:r>
        <w:rPr>
          <w:rFonts w:hint="eastAsia" w:hAnsi="宋体" w:cs="宋体"/>
          <w:color w:val="auto"/>
          <w:highlight w:val="none"/>
        </w:rPr>
        <w:t>3.3.1动员预付款元，甲方在发包人动员预付款支付后，并乙方交纳上述保函或保证金后的    天内向乙方支付；</w:t>
      </w:r>
    </w:p>
    <w:p w14:paraId="1C505CDC">
      <w:pPr>
        <w:pStyle w:val="107"/>
        <w:shd w:val="clear" w:fill="FFFFFF" w:themeFill="background1"/>
        <w:ind w:firstLine="422"/>
        <w:rPr>
          <w:rFonts w:hAnsi="宋体" w:cs="宋体"/>
          <w:color w:val="auto"/>
          <w:highlight w:val="none"/>
        </w:rPr>
      </w:pPr>
      <w:r>
        <w:rPr>
          <w:rFonts w:hint="eastAsia" w:hAnsi="宋体" w:cs="宋体"/>
          <w:color w:val="auto"/>
          <w:highlight w:val="none"/>
        </w:rPr>
        <w:t>3.3.2质量保证金限额为合同总价％。质量保证金参照总包合同中的规定执行。若在缺陷责任期内发生涉及乙方施工项目的维修费用，则由乙方全额承担，并在质量保证金中扣除。</w:t>
      </w:r>
    </w:p>
    <w:p w14:paraId="2452689E">
      <w:pPr>
        <w:pStyle w:val="107"/>
        <w:shd w:val="clear" w:fill="FFFFFF" w:themeFill="background1"/>
        <w:ind w:firstLine="422"/>
        <w:rPr>
          <w:rFonts w:hAnsi="宋体" w:cs="宋体"/>
          <w:bCs/>
          <w:color w:val="auto"/>
          <w:highlight w:val="none"/>
        </w:rPr>
      </w:pPr>
      <w:r>
        <w:rPr>
          <w:rFonts w:hint="eastAsia" w:hAnsi="宋体" w:cs="宋体"/>
          <w:color w:val="auto"/>
          <w:highlight w:val="none"/>
        </w:rPr>
        <w:t>3.3.3安全生产费用按总包合同的专用条款的规定进行计量支付，按实投入使用，</w:t>
      </w:r>
      <w:r>
        <w:rPr>
          <w:rFonts w:hint="eastAsia" w:hAnsi="宋体" w:cs="宋体"/>
          <w:bCs/>
          <w:color w:val="auto"/>
          <w:highlight w:val="none"/>
        </w:rPr>
        <w:t>承建工程竣工后，最终由甲乙双方结算。</w:t>
      </w:r>
    </w:p>
    <w:p w14:paraId="14936370">
      <w:pPr>
        <w:pStyle w:val="107"/>
        <w:shd w:val="clear" w:fill="FFFFFF" w:themeFill="background1"/>
        <w:ind w:firstLine="422"/>
        <w:rPr>
          <w:rFonts w:hAnsi="宋体" w:cs="宋体"/>
          <w:color w:val="auto"/>
          <w:highlight w:val="none"/>
        </w:rPr>
      </w:pPr>
      <w:r>
        <w:rPr>
          <w:rFonts w:hint="eastAsia" w:hAnsi="宋体" w:cs="宋体"/>
          <w:color w:val="auto"/>
          <w:highlight w:val="none"/>
        </w:rPr>
        <w:t>3.3.4农民工工资支付保证金按项目专用条款或发包人规定的比例在计量支付时提取，在乙方项目完工并出具无拖欠农民工工资承诺后退还。</w:t>
      </w:r>
    </w:p>
    <w:p w14:paraId="4249BCC1">
      <w:pPr>
        <w:pStyle w:val="107"/>
        <w:shd w:val="clear" w:fill="FFFFFF" w:themeFill="background1"/>
        <w:ind w:firstLine="422"/>
        <w:rPr>
          <w:rFonts w:hAnsi="宋体" w:cs="宋体"/>
          <w:color w:val="auto"/>
          <w:highlight w:val="none"/>
        </w:rPr>
      </w:pPr>
      <w:r>
        <w:rPr>
          <w:rFonts w:hint="eastAsia" w:hAnsi="宋体" w:cs="宋体"/>
          <w:color w:val="auto"/>
          <w:highlight w:val="none"/>
        </w:rPr>
        <w:t>3.3.5本合同约定的所有保证金、保留金等到期无争议需要返还的，均不计利息。</w:t>
      </w:r>
    </w:p>
    <w:p w14:paraId="303BA880">
      <w:pPr>
        <w:pStyle w:val="107"/>
        <w:shd w:val="clear" w:fill="FFFFFF" w:themeFill="background1"/>
        <w:ind w:firstLine="422"/>
        <w:rPr>
          <w:rFonts w:hAnsi="宋体" w:cs="宋体"/>
          <w:color w:val="auto"/>
          <w:highlight w:val="none"/>
        </w:rPr>
      </w:pPr>
      <w:r>
        <w:rPr>
          <w:rFonts w:hint="eastAsia" w:hAnsi="宋体" w:cs="宋体"/>
          <w:color w:val="auto"/>
          <w:highlight w:val="none"/>
        </w:rPr>
        <w:t>3.3.3（质量和进度考核相关条款）。</w:t>
      </w:r>
    </w:p>
    <w:p w14:paraId="20AFA404">
      <w:pPr>
        <w:pStyle w:val="107"/>
        <w:shd w:val="clear" w:fill="FFFFFF" w:themeFill="background1"/>
        <w:ind w:firstLine="422"/>
        <w:jc w:val="left"/>
        <w:rPr>
          <w:rFonts w:hAnsi="宋体" w:cs="宋体"/>
          <w:b/>
          <w:color w:val="auto"/>
          <w:highlight w:val="none"/>
        </w:rPr>
      </w:pPr>
    </w:p>
    <w:p w14:paraId="2DB1F0E9">
      <w:pPr>
        <w:pStyle w:val="107"/>
        <w:shd w:val="clear" w:fill="FFFFFF" w:themeFill="background1"/>
        <w:ind w:firstLine="482" w:firstLineChars="200"/>
        <w:rPr>
          <w:rFonts w:hAnsi="宋体" w:cs="宋体"/>
          <w:b/>
          <w:color w:val="auto"/>
          <w:highlight w:val="none"/>
        </w:rPr>
      </w:pPr>
      <w:r>
        <w:rPr>
          <w:rFonts w:hint="eastAsia" w:hAnsi="宋体" w:cs="宋体"/>
          <w:b/>
          <w:color w:val="auto"/>
          <w:highlight w:val="none"/>
        </w:rPr>
        <w:t>4.双方责任</w:t>
      </w:r>
    </w:p>
    <w:p w14:paraId="49A7A11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4.1甲方责任</w:t>
      </w:r>
    </w:p>
    <w:p w14:paraId="15612E0C">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4.1.1及时向乙方提供施工设计图及有关技术资料。</w:t>
      </w:r>
    </w:p>
    <w:p w14:paraId="4D2ED7F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4.1.2协调建设单位，办理永久征地手续，提供乙方使用。</w:t>
      </w:r>
    </w:p>
    <w:p w14:paraId="5FB9CC0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4.1.3开工前由甲方牵头联系建设单位和设计单位对乙方进行交桩，负责完成线路复测、控制桩复测及加密等工作，乙方配合。</w:t>
      </w:r>
    </w:p>
    <w:p w14:paraId="0400350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4.1.4监督、协助乙方办理临时用地，但不承担因临时用地造成的任何费用及责任。</w:t>
      </w:r>
    </w:p>
    <w:p w14:paraId="6ACC2E14">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4.1.5按招标文件和建设单位规章制度对乙方施工进行监控，监督乙方文明施工、质量管理、安全生产、施工进度。</w:t>
      </w:r>
    </w:p>
    <w:p w14:paraId="3061C7D2">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4.1.6负责牵头联系建设单位、设计单位、监理单位有关工作。</w:t>
      </w:r>
    </w:p>
    <w:p w14:paraId="7146FD0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4.1.7负责转发政府、建设、设计、监理等相关单位，甲方认为有必要传达的文件、通知及其他资料。</w:t>
      </w:r>
    </w:p>
    <w:p w14:paraId="680727EC">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4.1.8负责成立中心试验室，并承担需要中心试验室负责的试验、检测工作，依照甲乙双方协商的工程试验检测费用支付。</w:t>
      </w:r>
    </w:p>
    <w:p w14:paraId="581F291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4.1.9负责建设拌和站，并按商品砼约定价格及供货方式提供砼，砼使用搅拌运输车提供至“可以安全送达”的施工区域。</w:t>
      </w:r>
    </w:p>
    <w:p w14:paraId="4593DD7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4.1.10负责对乙方临时设施及标示标牌的统一规划，但不承担所发生的费用。</w:t>
      </w:r>
    </w:p>
    <w:p w14:paraId="6D5B4B99">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4.1.11负责对建设单位计量工作（按乙方当期实际进度完成情况上报建设单位审批），负责办理乙方中间结算和完工决算，并拨付工程款。</w:t>
      </w:r>
    </w:p>
    <w:p w14:paraId="4DBFEF67">
      <w:pPr>
        <w:pStyle w:val="107"/>
        <w:shd w:val="clear" w:fill="FFFFFF" w:themeFill="background1"/>
        <w:ind w:left="1" w:firstLine="480" w:firstLineChars="200"/>
        <w:rPr>
          <w:rFonts w:hAnsi="宋体" w:cs="宋体"/>
          <w:color w:val="auto"/>
          <w:highlight w:val="none"/>
        </w:rPr>
      </w:pPr>
      <w:r>
        <w:rPr>
          <w:rFonts w:hint="eastAsia" w:hAnsi="宋体" w:cs="宋体"/>
          <w:color w:val="auto"/>
          <w:highlight w:val="none"/>
        </w:rPr>
        <w:t>4.1.12负责制定并下达有关“技术、质量、安全、环保、文明施工、试验、资料”等有关管理规定，提供乙方使用。</w:t>
      </w:r>
    </w:p>
    <w:p w14:paraId="64E7142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4.1.13负责下达年、季、月施工计划，并对乙方施工进行全方位监控。</w:t>
      </w:r>
    </w:p>
    <w:p w14:paraId="13D5C108">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4.1.14负责根据进度计划，及时提供甲供材料。</w:t>
      </w:r>
    </w:p>
    <w:p w14:paraId="5173DDA5">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4.1.15施工过程中，负责对乙方主要管理人员（项目经理、副经理、总工、现场技术主管、专职安全员、资料员等）进行考核和评估，对不符合要求的管理人员有权下达限期更换指令。</w:t>
      </w:r>
    </w:p>
    <w:p w14:paraId="64F230C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4.1.16合同履行过程中，甲方有权对乙方的资金去向进行监控，并对擅自挪用的资金提出整改意见，并视造成的后果进行必要处罚。</w:t>
      </w:r>
    </w:p>
    <w:p w14:paraId="7C59920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4.1.17施工过程中，甲方有权监督乙方的农民工管理及工资发放，如果出现乙方无理由拖欠农民工工资，甲方有权直接代发，所代发工资直接从乙方工程款中扣除。</w:t>
      </w:r>
    </w:p>
    <w:p w14:paraId="4153186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4.1.18协助乙方办理相关工程施工事宜，传达下发上级所发的本合同相关文件和信息。</w:t>
      </w:r>
    </w:p>
    <w:p w14:paraId="3D04BA2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4.2乙方责任</w:t>
      </w:r>
    </w:p>
    <w:p w14:paraId="793CA08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临时占地由乙方向当地政府土地管理部门申请，并办理租用手续和承担费用,办理征地手续时，应用甲方名义，甲方负责配合。临时占地退还前，乙方应自费恢复到临时占地使用前的状况。如乙方撤离后未按要求对临时占地进行恢复或虽进行了恢复但未达到地方政府及土地所有人合同约定的标准，将由甲方负责对其恢复，所发生的费用将从应付给乙方的任何款项内扣除。</w:t>
      </w:r>
    </w:p>
    <w:p w14:paraId="02DA36A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4.2.2乙方应配合甲方完成线路复测、控制桩复测及加密等工作，交桩后由乙方对控制桩、加密桩等进行妥善保护，并自行负责施工过程中的测量工作，并承担全部费用。</w:t>
      </w:r>
    </w:p>
    <w:p w14:paraId="1F9D224A">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4.2.3乙方需成立健全的组织机构，配备“项目经理、现场副经理、总工”以及“工程技术、测量、安全质量、环保、物资、设备、计量、财务、试验”等相应管理和技术人员，主要人员资质需符合甲方要求。乙方应将组织机构及人员情况（需注明姓名、性别、年龄、职务、职称、学历证书、从业资格证书、业绩、身份证号码、电话号码等）报送甲方备案，同时按甲方要求提供相应证件供建设、监理单位核查，并在施工中保持稳定。施工过种中，接受甲方对相关人员的考核和评估，对认定为不适合的管理人员，限期内执行完毕甲方的更换指令。除甲方更换指令外，不得随意变更，如有更换，必须事先征得甲方书面同意。</w:t>
      </w:r>
    </w:p>
    <w:p w14:paraId="1BA2A7C9">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4.2.4乙方主要管理人员（项目负责人、技术负责人）必须坚守工地，严格请销假制度，未经甲方同意，乙方主要人员擅离工作岗位，处以元/人·日的罚款。</w:t>
      </w:r>
    </w:p>
    <w:p w14:paraId="718DEE8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4.2.5乙方应按照合同要求为其履行合同所雇用的全部人员缴纳工伤保险费、在整个施工期间为其现场机构雇用的全部人员投保人身意外伤害险并为其施工设备办理保险，其费用由乙方承担。</w:t>
      </w:r>
    </w:p>
    <w:p w14:paraId="56829FC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4.2.6乙方应按照甲方统一规划方案进行临时设施的建设及标示并承担费用。</w:t>
      </w:r>
    </w:p>
    <w:p w14:paraId="5BC6FD0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4.2.7甲方未提供规划方案的临时设施，乙方自行建设，但严格按照甲方转发的相关“标准化管理规定”自行负责修建、管理、养护及拆除。</w:t>
      </w:r>
    </w:p>
    <w:p w14:paraId="4AD6F47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4.2.8乙方施工工地宣传标识以及对外的舆论宣传必须以甲方的名义进行。</w:t>
      </w:r>
    </w:p>
    <w:p w14:paraId="3CC1022C">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4.2.9乙方应根据工程要求配备试验人员。中心试验室由甲方负责建设，并申报合格资质，负责本合同段的需要中心试验室负责的试验、检测工作；乙方自行购置现场试验检测器具并完成本段内现场试验检测工作；乙方的外委试验费用由乙方自行承担；乙方需负责本合同工程业主发试验表格费用，发生金额由甲方代扣。</w:t>
      </w:r>
    </w:p>
    <w:p w14:paraId="1469DFC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4.2.10为确保工程质量，乙方无条件接收甲方用于本工程施工需要提供的“甲供材料”，并按合同约定的方式进行甲供材料的领取，装卸、运输、仓储等全部费用，由乙方自行承担。每月结算时，配合甲方进行甲供料的核算，并按合同条款的约定承担全部费用。</w:t>
      </w:r>
    </w:p>
    <w:p w14:paraId="7FF7298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4.2.11乙方自行购置的路基、路面、桥梁附属工程的砂、碎石、等主要原材料，必须符合国家现行标准并报经甲方试验部门同意后方可用于本工程，不得擅自更换。</w:t>
      </w:r>
    </w:p>
    <w:p w14:paraId="569D7FD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4.2.12负责本合同承包范围内工程的实施、完成及缺陷修复等工作并承担相应费用，接受甲方的领导、整体协调以及施工中的监督、指令、检查。</w:t>
      </w:r>
    </w:p>
    <w:p w14:paraId="3AB2CD8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4.2.13在施工中及时按甲方要求调整生产要素，并在规定时间内上报各种文件、资料和报表。</w:t>
      </w:r>
    </w:p>
    <w:p w14:paraId="4D91890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4.2.14服从甲方管理，参加甲方组织的各种工程施工会议和甲方开展的工程管理活动，否则，甲方有权对乙方实施经济处罚。</w:t>
      </w:r>
    </w:p>
    <w:p w14:paraId="65F7F19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4.2.15乙方无条件执行甲方下达的有关“进度、安全、质量、环保、文明施工、技术、试验、测量、资料管理”等相关计划及管理规定，管理规定不足时依照甲方转发的建设单位相关文件执行。施工过程中，配置一切必要资源完成本合同确定的所有工程，满足建设单位、监理单位和甲方的要求，积极配合各级单位的质量、安全、进度、环保和信用评价等检查工作。</w:t>
      </w:r>
    </w:p>
    <w:p w14:paraId="3C104B4B">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4.2.16乙方须按文明施工，环境保护标准组织施工。在业主组织的工地检查和为迎接政府视察及甲方组织的工地检查中，要按要求组织整理施工现场，检查中如被批评、处罚，责任及费用全部由乙方承担。</w:t>
      </w:r>
    </w:p>
    <w:p w14:paraId="5211D7E5">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4.2.17乙方应积极配合甲方进行结算，及时提供相应资料，因“乙方原因造成计量不能按时批复”或者“建设单位资金不足”，工程款支付不到位，乙方必须自行解决资金问题，确保工期目标的实现，并承担全部责任。</w:t>
      </w:r>
    </w:p>
    <w:p w14:paraId="4448B31C">
      <w:pPr>
        <w:pStyle w:val="107"/>
        <w:shd w:val="clear" w:fill="FFFFFF" w:themeFill="background1"/>
        <w:tabs>
          <w:tab w:val="left" w:pos="2745"/>
        </w:tabs>
        <w:ind w:firstLine="480" w:firstLineChars="200"/>
        <w:rPr>
          <w:rFonts w:hAnsi="宋体" w:cs="宋体"/>
          <w:color w:val="auto"/>
          <w:highlight w:val="none"/>
        </w:rPr>
      </w:pPr>
      <w:r>
        <w:rPr>
          <w:rFonts w:hint="eastAsia" w:hAnsi="宋体" w:cs="宋体"/>
          <w:color w:val="auto"/>
          <w:highlight w:val="none"/>
        </w:rPr>
        <w:t>4.2.18为确保工程施工顺利，乙方必须确保甲方支付的资金用于本工程，并与甲方、银行共同签订《工程资金监管协议》，接受甲方和银行对资金的查询、监管。未经甲方同意，不得擅自挪用，否则甲方有权终止月支付并进行处罚，乙方对造成的后果负完全责任。</w:t>
      </w:r>
    </w:p>
    <w:p w14:paraId="728CA13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4.2.19工程完工后，乙方应进行场地清理平整，做到工完场清，并提供竣工验收有关资料，在工程未交付前，应负责已完工程的保护工作，若有损坏，应自费予以修复。</w:t>
      </w:r>
    </w:p>
    <w:p w14:paraId="371A1DD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4.2.20缺陷责任期及缺陷责任期的工程维护依据业主规定，质量保修金依据业主规定；乙方需负责施工资料及竣工资料的收集整理，并及时上报甲方；责任期内，工程需要维修时，乙方应负责维修施工用的照明、看守围栏和警示等防护设施，并对所造成的环境污染或道路损毁等全部费用负责。</w:t>
      </w:r>
    </w:p>
    <w:p w14:paraId="38BF2EE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4.2.21乙方委派专人（有乙方的授权委托书）与甲方办理各种涉及合同、经济、财务等方面的手续。</w:t>
      </w:r>
    </w:p>
    <w:p w14:paraId="6D45698E">
      <w:pPr>
        <w:pStyle w:val="107"/>
        <w:shd w:val="clear" w:fill="FFFFFF" w:themeFill="background1"/>
        <w:snapToGrid w:val="0"/>
        <w:ind w:firstLine="480" w:firstLineChars="200"/>
        <w:rPr>
          <w:rFonts w:hAnsi="宋体" w:cs="宋体"/>
          <w:color w:val="auto"/>
          <w:highlight w:val="none"/>
        </w:rPr>
      </w:pPr>
      <w:r>
        <w:rPr>
          <w:rFonts w:hint="eastAsia" w:hAnsi="宋体" w:cs="宋体"/>
          <w:color w:val="auto"/>
          <w:highlight w:val="none"/>
        </w:rPr>
        <w:t>4.2.22乙方可以直接雇用农民工，但必须依法签订劳务用工合同，并将“劳务用工花名册”及“劳务用工合同”报甲方备案。乙方按照法律、法规和劳务用工合同按时支付劳务工资，落实各项劳动保护措施。承担拖欠农民工工资所引发的全部法律及经济责任。</w:t>
      </w:r>
    </w:p>
    <w:p w14:paraId="2409E105">
      <w:pPr>
        <w:pStyle w:val="107"/>
        <w:shd w:val="clear" w:fill="FFFFFF" w:themeFill="background1"/>
        <w:snapToGrid w:val="0"/>
        <w:ind w:firstLine="480" w:firstLineChars="200"/>
        <w:rPr>
          <w:rFonts w:hAnsi="宋体" w:cs="宋体"/>
          <w:color w:val="auto"/>
          <w:highlight w:val="none"/>
        </w:rPr>
      </w:pPr>
      <w:r>
        <w:rPr>
          <w:rFonts w:hint="eastAsia" w:hAnsi="宋体" w:cs="宋体"/>
          <w:color w:val="auto"/>
          <w:highlight w:val="none"/>
        </w:rPr>
        <w:t>4.2.23乙方接受甲方按相关规定向乙方开出的违约处罚金，甲方可直接从“认为合适”的任何一个“期中支付月份”中“应付工程款中”直接扣除。甲方向乙方开出的任何违约处罚金将导致乙方最终的应得结算价款相应地减少。</w:t>
      </w:r>
    </w:p>
    <w:p w14:paraId="406628FB">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4.2.24乙方在施工中与第三方产生的债权债务及纠纷等问题由乙方自行负责处理，并承担全部责任和费用。</w:t>
      </w:r>
    </w:p>
    <w:p w14:paraId="1DE3A64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4.2.25乙方应不折不扣地按合同文件规定承担本合同工程的实施、完成、维护及缺陷的修复；甲方不承担任何停工及窝工损失费；由于建设单位原因造成的停工或窝工，乙方配合甲方向建设单位争取费用补偿。</w:t>
      </w:r>
    </w:p>
    <w:p w14:paraId="0FD1DA09">
      <w:pPr>
        <w:pStyle w:val="107"/>
        <w:shd w:val="clear" w:fill="FFFFFF" w:themeFill="background1"/>
        <w:ind w:firstLine="422"/>
        <w:jc w:val="left"/>
        <w:rPr>
          <w:rFonts w:hAnsi="宋体" w:cs="宋体"/>
          <w:b/>
          <w:color w:val="auto"/>
          <w:highlight w:val="none"/>
        </w:rPr>
      </w:pPr>
      <w:r>
        <w:rPr>
          <w:rFonts w:hint="eastAsia" w:hAnsi="宋体" w:cs="宋体"/>
          <w:color w:val="auto"/>
          <w:highlight w:val="none"/>
        </w:rPr>
        <w:t>4.2.26乙方应自行组织工程施工，不得将工程转包或分包，否则甲方有权终止合同，乙方承担违约责任。</w:t>
      </w:r>
    </w:p>
    <w:p w14:paraId="5A490E40">
      <w:pPr>
        <w:pStyle w:val="107"/>
        <w:shd w:val="clear" w:fill="FFFFFF" w:themeFill="background1"/>
        <w:ind w:firstLine="422"/>
        <w:jc w:val="left"/>
        <w:rPr>
          <w:rFonts w:hAnsi="宋体" w:cs="宋体"/>
          <w:b/>
          <w:color w:val="auto"/>
          <w:highlight w:val="none"/>
        </w:rPr>
      </w:pPr>
    </w:p>
    <w:p w14:paraId="4C2FE078">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5 合同工期和要求</w:t>
      </w:r>
    </w:p>
    <w:p w14:paraId="23E9B65B">
      <w:pPr>
        <w:pStyle w:val="107"/>
        <w:shd w:val="clear" w:fill="FFFFFF" w:themeFill="background1"/>
        <w:ind w:firstLine="422"/>
        <w:rPr>
          <w:rFonts w:hAnsi="宋体" w:cs="宋体"/>
          <w:color w:val="auto"/>
          <w:highlight w:val="none"/>
        </w:rPr>
      </w:pPr>
      <w:r>
        <w:rPr>
          <w:rFonts w:hint="eastAsia" w:hAnsi="宋体" w:cs="宋体"/>
          <w:color w:val="auto"/>
          <w:highlight w:val="none"/>
        </w:rPr>
        <w:t>5.1根据甲方的总体施工计划要求，乙方完成分包专项工程的合同工期天，自年   月   日开工，至年   月   日完工。</w:t>
      </w:r>
    </w:p>
    <w:p w14:paraId="2533BC52">
      <w:pPr>
        <w:pStyle w:val="107"/>
        <w:shd w:val="clear" w:fill="FFFFFF" w:themeFill="background1"/>
        <w:ind w:firstLine="422"/>
        <w:rPr>
          <w:rFonts w:hAnsi="宋体" w:cs="宋体"/>
          <w:color w:val="auto"/>
          <w:highlight w:val="none"/>
        </w:rPr>
      </w:pPr>
      <w:r>
        <w:rPr>
          <w:rFonts w:hint="eastAsia" w:hAnsi="宋体" w:cs="宋体"/>
          <w:color w:val="auto"/>
          <w:highlight w:val="none"/>
        </w:rPr>
        <w:t>5.2如甲方总体施工计划调整时，乙方应作相应的调整，由此增加的费用由甲乙双方协商解决。</w:t>
      </w:r>
    </w:p>
    <w:p w14:paraId="48D91F5A">
      <w:pPr>
        <w:pStyle w:val="107"/>
        <w:shd w:val="clear" w:fill="FFFFFF" w:themeFill="background1"/>
        <w:ind w:firstLine="422"/>
        <w:rPr>
          <w:rFonts w:hAnsi="宋体" w:cs="宋体"/>
          <w:color w:val="auto"/>
          <w:highlight w:val="none"/>
        </w:rPr>
      </w:pPr>
      <w:r>
        <w:rPr>
          <w:rFonts w:hint="eastAsia" w:hAnsi="宋体" w:cs="宋体"/>
          <w:color w:val="auto"/>
          <w:highlight w:val="none"/>
        </w:rPr>
        <w:t>5.3如因乙方原因未能按时开工或延误工期，由此引起的损失由乙方承担，必要时，甲方有权单方面终止合同。因发包人原因或不可抗力造成的工期延误，则按照发包人同意的相应工期予以顺延。</w:t>
      </w:r>
    </w:p>
    <w:p w14:paraId="7C1FCFF4">
      <w:pPr>
        <w:pStyle w:val="107"/>
        <w:shd w:val="clear" w:fill="FFFFFF" w:themeFill="background1"/>
        <w:ind w:firstLine="422"/>
        <w:rPr>
          <w:rFonts w:hAnsi="宋体" w:cs="宋体"/>
          <w:color w:val="auto"/>
          <w:highlight w:val="none"/>
        </w:rPr>
      </w:pPr>
    </w:p>
    <w:p w14:paraId="1A49D2A7">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6工程质量及质量保修</w:t>
      </w:r>
    </w:p>
    <w:p w14:paraId="0A715BDE">
      <w:pPr>
        <w:pStyle w:val="107"/>
        <w:shd w:val="clear" w:fill="FFFFFF" w:themeFill="background1"/>
        <w:ind w:firstLine="422"/>
        <w:rPr>
          <w:rFonts w:hAnsi="宋体" w:cs="宋体"/>
          <w:color w:val="auto"/>
          <w:highlight w:val="none"/>
        </w:rPr>
      </w:pPr>
      <w:r>
        <w:rPr>
          <w:rFonts w:hint="eastAsia" w:hAnsi="宋体" w:cs="宋体"/>
          <w:color w:val="auto"/>
          <w:highlight w:val="none"/>
        </w:rPr>
        <w:t>6.1乙方应向甲方负责其分包工程的质量。甲方应对乙方分包的工程进行全面有效质量管理。</w:t>
      </w:r>
    </w:p>
    <w:p w14:paraId="18074813">
      <w:pPr>
        <w:pStyle w:val="107"/>
        <w:shd w:val="clear" w:fill="FFFFFF" w:themeFill="background1"/>
        <w:ind w:firstLine="422"/>
        <w:rPr>
          <w:rFonts w:hAnsi="宋体" w:cs="宋体"/>
          <w:color w:val="auto"/>
          <w:highlight w:val="none"/>
        </w:rPr>
      </w:pPr>
      <w:r>
        <w:rPr>
          <w:rFonts w:hint="eastAsia" w:hAnsi="宋体" w:cs="宋体"/>
          <w:color w:val="auto"/>
          <w:highlight w:val="none"/>
        </w:rPr>
        <w:t>6.2乙方应按照施工图纸、技术规范及有关要求，精心组织施工，保证工程质量达到甲方向发包人承诺的质量等级和标准。如果因乙方原因质量不符合要求，乙方应返工达到质量等级和标准，增加的费用由乙方承担。</w:t>
      </w:r>
    </w:p>
    <w:p w14:paraId="65695EE7">
      <w:pPr>
        <w:pStyle w:val="107"/>
        <w:shd w:val="clear" w:fill="FFFFFF" w:themeFill="background1"/>
        <w:ind w:firstLine="422"/>
        <w:rPr>
          <w:rFonts w:hAnsi="宋体" w:cs="宋体"/>
          <w:color w:val="auto"/>
          <w:highlight w:val="none"/>
        </w:rPr>
      </w:pPr>
      <w:r>
        <w:rPr>
          <w:rFonts w:hint="eastAsia" w:hAnsi="宋体" w:cs="宋体"/>
          <w:color w:val="auto"/>
          <w:highlight w:val="none"/>
        </w:rPr>
        <w:t>6.3甲方委派质检人员对乙方分包的专项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14:paraId="5CCA400E">
      <w:pPr>
        <w:pStyle w:val="107"/>
        <w:shd w:val="clear" w:fill="FFFFFF" w:themeFill="background1"/>
        <w:ind w:firstLine="422"/>
        <w:rPr>
          <w:rFonts w:hAnsi="宋体" w:cs="宋体"/>
          <w:color w:val="auto"/>
          <w:highlight w:val="none"/>
        </w:rPr>
      </w:pPr>
      <w:r>
        <w:rPr>
          <w:rFonts w:hint="eastAsia" w:hAnsi="宋体" w:cs="宋体"/>
          <w:color w:val="auto"/>
          <w:highlight w:val="none"/>
        </w:rPr>
        <w:t>6.4乙方的各项试验和检测内容应到甲方的试验室或甲方认可的有资质的试验检测机构完成，其费用由方承担。试验检测的频率、方法、操作规程等，应严格按照相关的技术标准执行。</w:t>
      </w:r>
    </w:p>
    <w:p w14:paraId="2EF1F79F">
      <w:pPr>
        <w:pStyle w:val="107"/>
        <w:shd w:val="clear" w:fill="FFFFFF" w:themeFill="background1"/>
        <w:ind w:firstLine="422"/>
        <w:rPr>
          <w:rFonts w:hAnsi="宋体" w:cs="宋体"/>
          <w:color w:val="auto"/>
          <w:highlight w:val="none"/>
        </w:rPr>
      </w:pPr>
      <w:r>
        <w:rPr>
          <w:rFonts w:hint="eastAsia" w:hAnsi="宋体" w:cs="宋体"/>
          <w:color w:val="auto"/>
          <w:highlight w:val="none"/>
        </w:rPr>
        <w:t>6.5甲方按照现行的验收办法、评定标准、施工技术规范及施工图等报请发包人组织验收。分包专项工程涉及的竣工资料（a.由甲方统一编制，乙方承担竣工资料编制费用；b.由乙方编制，乙方承担竣工资料编制费用；）。</w:t>
      </w:r>
    </w:p>
    <w:p w14:paraId="74B07662">
      <w:pPr>
        <w:pStyle w:val="107"/>
        <w:shd w:val="clear" w:fill="FFFFFF" w:themeFill="background1"/>
        <w:ind w:firstLine="422"/>
        <w:rPr>
          <w:rFonts w:hAnsi="宋体" w:cs="宋体"/>
          <w:color w:val="auto"/>
          <w:highlight w:val="none"/>
        </w:rPr>
      </w:pPr>
      <w:r>
        <w:rPr>
          <w:rFonts w:hint="eastAsia" w:hAnsi="宋体" w:cs="宋体"/>
          <w:color w:val="auto"/>
          <w:highlight w:val="none"/>
        </w:rPr>
        <w:t>6.6乙方分包专项工程的质量保修期等同于发包人要求甲方的保修期，保修期间发生在乙方工作范围内的保修费用由乙方承担。</w:t>
      </w:r>
    </w:p>
    <w:p w14:paraId="7B789E31">
      <w:pPr>
        <w:pStyle w:val="107"/>
        <w:shd w:val="clear" w:fill="FFFFFF" w:themeFill="background1"/>
        <w:ind w:firstLine="422"/>
        <w:jc w:val="center"/>
        <w:rPr>
          <w:rFonts w:hAnsi="宋体" w:cs="宋体"/>
          <w:color w:val="auto"/>
          <w:highlight w:val="none"/>
        </w:rPr>
      </w:pPr>
    </w:p>
    <w:p w14:paraId="139F8600">
      <w:pPr>
        <w:pStyle w:val="107"/>
        <w:shd w:val="clear" w:fill="FFFFFF" w:themeFill="background1"/>
        <w:ind w:firstLine="422"/>
        <w:jc w:val="left"/>
        <w:rPr>
          <w:rFonts w:hAnsi="宋体" w:cs="宋体"/>
          <w:color w:val="auto"/>
          <w:highlight w:val="none"/>
        </w:rPr>
      </w:pPr>
      <w:r>
        <w:rPr>
          <w:rFonts w:hint="eastAsia" w:hAnsi="宋体" w:cs="宋体"/>
          <w:color w:val="auto"/>
          <w:highlight w:val="none"/>
        </w:rPr>
        <w:t>7 工程变更和质量事故处理</w:t>
      </w:r>
    </w:p>
    <w:p w14:paraId="62F0643E">
      <w:pPr>
        <w:pStyle w:val="107"/>
        <w:shd w:val="clear" w:fill="FFFFFF" w:themeFill="background1"/>
        <w:ind w:firstLine="422"/>
        <w:rPr>
          <w:rFonts w:hAnsi="宋体" w:cs="宋体"/>
          <w:color w:val="auto"/>
          <w:highlight w:val="none"/>
        </w:rPr>
      </w:pPr>
      <w:r>
        <w:rPr>
          <w:rFonts w:hint="eastAsia" w:hAnsi="宋体" w:cs="宋体"/>
          <w:color w:val="auto"/>
          <w:highlight w:val="none"/>
        </w:rPr>
        <w:t>7.1工程变更的处理方式及费用按照总包合同的相应条款由甲方统一办理。应由乙方负责实施的变更项目和内容，乙方不得以任何理由拒绝或拖延或不按要求实施，否则给甲方造成损失的，乙方负责赔偿。</w:t>
      </w:r>
    </w:p>
    <w:p w14:paraId="76F7257B">
      <w:pPr>
        <w:pStyle w:val="107"/>
        <w:shd w:val="clear" w:fill="FFFFFF" w:themeFill="background1"/>
        <w:ind w:firstLine="422"/>
        <w:rPr>
          <w:rFonts w:hAnsi="宋体" w:cs="宋体"/>
          <w:color w:val="auto"/>
          <w:highlight w:val="none"/>
        </w:rPr>
      </w:pPr>
      <w:r>
        <w:rPr>
          <w:rFonts w:hint="eastAsia" w:hAnsi="宋体" w:cs="宋体"/>
          <w:color w:val="auto"/>
          <w:highlight w:val="none"/>
        </w:rPr>
        <w:t>7.2乙方实施完成的工程变更项目的费用待发包人批复并支付给甲方后,甲方扣除一定比例即%的管理费用后结算支付给乙方。</w:t>
      </w:r>
    </w:p>
    <w:p w14:paraId="364E40BB">
      <w:pPr>
        <w:pStyle w:val="107"/>
        <w:shd w:val="clear" w:fill="FFFFFF" w:themeFill="background1"/>
        <w:ind w:firstLine="422"/>
        <w:rPr>
          <w:rFonts w:hAnsi="宋体" w:cs="宋体"/>
          <w:color w:val="auto"/>
          <w:highlight w:val="none"/>
        </w:rPr>
      </w:pPr>
      <w:r>
        <w:rPr>
          <w:rFonts w:hint="eastAsia" w:hAnsi="宋体" w:cs="宋体"/>
          <w:color w:val="auto"/>
          <w:highlight w:val="none"/>
        </w:rPr>
        <w:t>7.3乙方应向甲方及时报告分包工程发生质量问题和事故，甲方应按公路工程质量事故处理相关规定及时报告，按规定程序处理。根据质量事故发生的原因，由责任方承担造成的责任和损失。</w:t>
      </w:r>
    </w:p>
    <w:p w14:paraId="757846A3">
      <w:pPr>
        <w:pStyle w:val="107"/>
        <w:shd w:val="clear" w:fill="FFFFFF" w:themeFill="background1"/>
        <w:ind w:firstLine="422"/>
        <w:rPr>
          <w:rFonts w:hAnsi="宋体" w:cs="宋体"/>
          <w:color w:val="auto"/>
          <w:highlight w:val="none"/>
        </w:rPr>
      </w:pPr>
    </w:p>
    <w:p w14:paraId="5BFD2ED6">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8 工程款项的结算与支付</w:t>
      </w:r>
    </w:p>
    <w:p w14:paraId="4587B5F2">
      <w:pPr>
        <w:pStyle w:val="107"/>
        <w:shd w:val="clear" w:fill="FFFFFF" w:themeFill="background1"/>
        <w:ind w:left="422"/>
        <w:rPr>
          <w:rFonts w:hAnsi="宋体" w:cs="宋体"/>
          <w:color w:val="auto"/>
          <w:highlight w:val="none"/>
        </w:rPr>
      </w:pPr>
      <w:r>
        <w:rPr>
          <w:rFonts w:hint="eastAsia" w:hAnsi="宋体" w:cs="宋体"/>
          <w:color w:val="auto"/>
          <w:highlight w:val="none"/>
        </w:rPr>
        <w:t>8.1中期支付</w:t>
      </w:r>
    </w:p>
    <w:p w14:paraId="38E3DDD2">
      <w:pPr>
        <w:pStyle w:val="107"/>
        <w:shd w:val="clear" w:fill="FFFFFF" w:themeFill="background1"/>
        <w:ind w:firstLine="422"/>
        <w:rPr>
          <w:rFonts w:hAnsi="宋体" w:cs="宋体"/>
          <w:color w:val="auto"/>
          <w:highlight w:val="none"/>
        </w:rPr>
      </w:pPr>
      <w:r>
        <w:rPr>
          <w:rFonts w:hint="eastAsia" w:hAnsi="宋体" w:cs="宋体"/>
          <w:color w:val="auto"/>
          <w:highlight w:val="none"/>
        </w:rPr>
        <w:t>8.1.1按分包专项工程量清单及其计量规则，以乙方实际完成的工程数量和甲乙双方约定的单价进行结算，并扣除应扣款项。中期支付所需的有关资料由乙方准备，计量支付报表编制和报送要求按发包人规定的要求执行。价款的支付时间为甲方取得发包人的支付款后的天之内，并以（a.银行支票b.转账方式）支付。</w:t>
      </w:r>
    </w:p>
    <w:p w14:paraId="220545BF">
      <w:pPr>
        <w:pStyle w:val="107"/>
        <w:shd w:val="clear" w:fill="FFFFFF" w:themeFill="background1"/>
        <w:ind w:firstLine="422"/>
        <w:rPr>
          <w:rFonts w:hAnsi="宋体" w:cs="宋体"/>
          <w:color w:val="auto"/>
          <w:highlight w:val="none"/>
        </w:rPr>
      </w:pPr>
      <w:r>
        <w:rPr>
          <w:rFonts w:hint="eastAsia" w:hAnsi="宋体" w:cs="宋体"/>
          <w:color w:val="auto"/>
          <w:highlight w:val="none"/>
        </w:rPr>
        <w:t>8.1.2甲方向乙方支付的动员预付款，从中期支付款的第一期开始逐月按比例扣回，扣完为止。</w:t>
      </w:r>
    </w:p>
    <w:p w14:paraId="0F529456">
      <w:pPr>
        <w:pStyle w:val="107"/>
        <w:shd w:val="clear" w:fill="FFFFFF" w:themeFill="background1"/>
        <w:ind w:firstLine="422"/>
        <w:rPr>
          <w:rFonts w:hAnsi="宋体" w:cs="宋体"/>
          <w:color w:val="auto"/>
          <w:highlight w:val="none"/>
        </w:rPr>
      </w:pPr>
      <w:r>
        <w:rPr>
          <w:rFonts w:hint="eastAsia" w:hAnsi="宋体" w:cs="宋体"/>
          <w:color w:val="auto"/>
          <w:highlight w:val="none"/>
        </w:rPr>
        <w:t>8.2完工结算</w:t>
      </w:r>
    </w:p>
    <w:p w14:paraId="024DDE1A">
      <w:pPr>
        <w:pStyle w:val="107"/>
        <w:shd w:val="clear" w:fill="FFFFFF" w:themeFill="background1"/>
        <w:ind w:firstLine="422"/>
        <w:rPr>
          <w:rFonts w:hAnsi="宋体" w:cs="宋体"/>
          <w:color w:val="auto"/>
          <w:highlight w:val="none"/>
        </w:rPr>
      </w:pPr>
      <w:r>
        <w:rPr>
          <w:rFonts w:hint="eastAsia" w:hAnsi="宋体" w:cs="宋体"/>
          <w:color w:val="auto"/>
          <w:highlight w:val="none"/>
        </w:rPr>
        <w:t>8.2.1乙方承担项目完工，根据乙方实际完成的，经甲方确认并经监理人签认及发包人支付涉及的工程量和甲乙双方约订的单价结算。在扣留质量保证金，乙方证明债务债权与甲方无涉后，甲方将剩余款额在天内支付给乙方。</w:t>
      </w:r>
    </w:p>
    <w:p w14:paraId="6B0B3466">
      <w:pPr>
        <w:pStyle w:val="107"/>
        <w:shd w:val="clear" w:fill="FFFFFF" w:themeFill="background1"/>
        <w:ind w:firstLine="422"/>
        <w:rPr>
          <w:rFonts w:hAnsi="宋体" w:cs="宋体"/>
          <w:color w:val="auto"/>
          <w:highlight w:val="none"/>
        </w:rPr>
      </w:pPr>
      <w:r>
        <w:rPr>
          <w:rFonts w:hint="eastAsia" w:hAnsi="宋体" w:cs="宋体"/>
          <w:color w:val="auto"/>
          <w:highlight w:val="none"/>
        </w:rPr>
        <w:t>对于完工时尚不能完成结算的细目，双方核实列出清单，说明情况和结算原则，签字确认，待终期结算时视项目决算审计及发包人决算支付情况一并结清。</w:t>
      </w:r>
    </w:p>
    <w:p w14:paraId="1C7A5E02">
      <w:pPr>
        <w:pStyle w:val="107"/>
        <w:shd w:val="clear" w:fill="FFFFFF" w:themeFill="background1"/>
        <w:ind w:firstLine="422"/>
        <w:rPr>
          <w:rFonts w:hAnsi="宋体" w:cs="宋体"/>
          <w:color w:val="auto"/>
          <w:highlight w:val="none"/>
        </w:rPr>
      </w:pPr>
      <w:r>
        <w:rPr>
          <w:rFonts w:hint="eastAsia" w:hAnsi="宋体" w:cs="宋体"/>
          <w:color w:val="auto"/>
          <w:highlight w:val="none"/>
        </w:rPr>
        <w:t>8.2.2完工结算时，对乙方的履约保证金、质量保证金、安全生产费用等按合同约定办理结算。</w:t>
      </w:r>
    </w:p>
    <w:p w14:paraId="207A4A52">
      <w:pPr>
        <w:pStyle w:val="107"/>
        <w:shd w:val="clear" w:fill="FFFFFF" w:themeFill="background1"/>
        <w:ind w:firstLine="422"/>
        <w:rPr>
          <w:rFonts w:hAnsi="宋体" w:cs="宋体"/>
          <w:color w:val="auto"/>
          <w:highlight w:val="none"/>
        </w:rPr>
      </w:pPr>
      <w:r>
        <w:rPr>
          <w:rFonts w:hint="eastAsia" w:hAnsi="宋体" w:cs="宋体"/>
          <w:color w:val="auto"/>
          <w:highlight w:val="none"/>
        </w:rPr>
        <w:t>8.3最终结算支付</w:t>
      </w:r>
    </w:p>
    <w:p w14:paraId="42619E2A">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整个工程缺陷责任期满，并经项目决算审计完成后，甲方获得发包人竣工最终结算支付后，甲方扣除缺陷责任期和审计中涉及乙方施工项目所发生的实际费用后，剩余部分全额支付给乙方，并退还保留金。   </w:t>
      </w:r>
    </w:p>
    <w:p w14:paraId="21682C00">
      <w:pPr>
        <w:pStyle w:val="107"/>
        <w:shd w:val="clear" w:fill="FFFFFF" w:themeFill="background1"/>
        <w:ind w:firstLine="422"/>
        <w:rPr>
          <w:rFonts w:hAnsi="宋体" w:cs="宋体"/>
          <w:color w:val="auto"/>
          <w:highlight w:val="none"/>
        </w:rPr>
      </w:pPr>
      <w:r>
        <w:rPr>
          <w:rFonts w:hint="eastAsia" w:hAnsi="宋体" w:cs="宋体"/>
          <w:color w:val="auto"/>
          <w:highlight w:val="none"/>
        </w:rPr>
        <w:t>8.4分包人应设置会计帐簿，健全财务制度，及时、准确、完整地进行会计核算；所得的分包款项应有明确的收支明细帐目和凭证。</w:t>
      </w:r>
    </w:p>
    <w:p w14:paraId="0B22156A">
      <w:pPr>
        <w:pStyle w:val="107"/>
        <w:shd w:val="clear" w:fill="FFFFFF" w:themeFill="background1"/>
        <w:ind w:firstLine="422"/>
        <w:rPr>
          <w:rFonts w:hAnsi="宋体" w:cs="宋体"/>
          <w:color w:val="auto"/>
          <w:highlight w:val="none"/>
        </w:rPr>
      </w:pPr>
    </w:p>
    <w:p w14:paraId="6487A10D">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9 材料物资和机械设备</w:t>
      </w:r>
    </w:p>
    <w:p w14:paraId="7AB02BB1">
      <w:pPr>
        <w:pStyle w:val="107"/>
        <w:shd w:val="clear" w:fill="FFFFFF" w:themeFill="background1"/>
        <w:ind w:firstLine="422"/>
        <w:rPr>
          <w:rFonts w:hAnsi="宋体" w:cs="宋体"/>
          <w:color w:val="auto"/>
          <w:highlight w:val="none"/>
        </w:rPr>
      </w:pPr>
      <w:r>
        <w:rPr>
          <w:rFonts w:hint="eastAsia" w:hAnsi="宋体" w:cs="宋体"/>
          <w:color w:val="auto"/>
          <w:highlight w:val="none"/>
        </w:rPr>
        <w:t>9.1材料</w:t>
      </w:r>
    </w:p>
    <w:p w14:paraId="183F58AB">
      <w:pPr>
        <w:pStyle w:val="107"/>
        <w:shd w:val="clear" w:fill="FFFFFF" w:themeFill="background1"/>
        <w:ind w:firstLine="422"/>
        <w:rPr>
          <w:rFonts w:hAnsi="宋体" w:cs="宋体"/>
          <w:color w:val="auto"/>
          <w:highlight w:val="none"/>
        </w:rPr>
      </w:pPr>
      <w:r>
        <w:rPr>
          <w:rFonts w:hint="eastAsia" w:hAnsi="宋体" w:cs="宋体"/>
          <w:color w:val="auto"/>
          <w:highlight w:val="none"/>
        </w:rPr>
        <w:t>9.1.1发包人和甲方统一采购供应的材料名称、单价及允许损耗系数等见《承包人供应材料清单》（附表4）。乙方领用的甲供材料，若累计用量在图纸用量加允许损耗用量以内的数量按材料清单单价扣回，超出允许损耗用量的材料款在乙方当月的工程款结算时按上述材料的市场价加</w:t>
      </w:r>
      <w:r>
        <w:rPr>
          <w:rFonts w:hint="eastAsia" w:hAnsi="宋体" w:cs="宋体"/>
          <w:color w:val="auto"/>
          <w:highlight w:val="none"/>
          <w:u w:val="single"/>
        </w:rPr>
        <w:t xml:space="preserve">         %</w:t>
      </w:r>
      <w:r>
        <w:rPr>
          <w:rFonts w:hint="eastAsia" w:hAnsi="宋体" w:cs="宋体"/>
          <w:color w:val="auto"/>
          <w:highlight w:val="none"/>
        </w:rPr>
        <w:t>保管费的费用扣回。</w:t>
      </w:r>
    </w:p>
    <w:p w14:paraId="06D5C68A">
      <w:pPr>
        <w:pStyle w:val="107"/>
        <w:shd w:val="clear" w:fill="FFFFFF" w:themeFill="background1"/>
        <w:ind w:firstLine="422"/>
        <w:rPr>
          <w:rFonts w:hAnsi="宋体" w:cs="宋体"/>
          <w:color w:val="auto"/>
          <w:highlight w:val="none"/>
        </w:rPr>
      </w:pPr>
      <w:r>
        <w:rPr>
          <w:rFonts w:hint="eastAsia" w:hAnsi="宋体" w:cs="宋体"/>
          <w:color w:val="auto"/>
          <w:highlight w:val="none"/>
        </w:rPr>
        <w:t>9.1.2除上述甲方提供的材料物资外，用于乙方施工的其他材料物资由乙方自行采购和提供，并负责其保管、检测、使用、运输等全部费用。</w:t>
      </w:r>
    </w:p>
    <w:p w14:paraId="22B409FC">
      <w:pPr>
        <w:pStyle w:val="107"/>
        <w:shd w:val="clear" w:fill="FFFFFF" w:themeFill="background1"/>
        <w:ind w:firstLine="422"/>
        <w:rPr>
          <w:rFonts w:hAnsi="宋体" w:cs="宋体"/>
          <w:color w:val="auto"/>
          <w:highlight w:val="none"/>
        </w:rPr>
      </w:pPr>
      <w:r>
        <w:rPr>
          <w:rFonts w:hint="eastAsia" w:hAnsi="宋体" w:cs="宋体"/>
          <w:color w:val="auto"/>
          <w:highlight w:val="none"/>
        </w:rPr>
        <w:t>9.2机械设备</w:t>
      </w:r>
    </w:p>
    <w:p w14:paraId="16B7A620">
      <w:pPr>
        <w:pStyle w:val="107"/>
        <w:shd w:val="clear" w:fill="FFFFFF" w:themeFill="background1"/>
        <w:ind w:firstLine="422"/>
        <w:rPr>
          <w:rFonts w:hAnsi="宋体" w:cs="宋体"/>
          <w:color w:val="auto"/>
          <w:highlight w:val="none"/>
        </w:rPr>
      </w:pPr>
      <w:r>
        <w:rPr>
          <w:rFonts w:hint="eastAsia" w:hAnsi="宋体" w:cs="宋体"/>
          <w:color w:val="auto"/>
          <w:highlight w:val="none"/>
        </w:rPr>
        <w:t>9.2.1乙方施工所需机械设备均由乙方自行采购和提供，并符合工程施工和进度的要求。</w:t>
      </w:r>
    </w:p>
    <w:p w14:paraId="6B4B82E2">
      <w:pPr>
        <w:pStyle w:val="107"/>
        <w:shd w:val="clear" w:fill="FFFFFF" w:themeFill="background1"/>
        <w:ind w:firstLine="422"/>
        <w:rPr>
          <w:rFonts w:hAnsi="宋体" w:cs="宋体"/>
          <w:color w:val="auto"/>
          <w:highlight w:val="none"/>
        </w:rPr>
      </w:pPr>
    </w:p>
    <w:p w14:paraId="2ADC5B0A">
      <w:pPr>
        <w:pStyle w:val="107"/>
        <w:shd w:val="clear" w:fill="FFFFFF" w:themeFill="background1"/>
        <w:ind w:firstLine="422"/>
        <w:jc w:val="left"/>
        <w:rPr>
          <w:rFonts w:hAnsi="宋体" w:cs="宋体"/>
          <w:color w:val="auto"/>
          <w:highlight w:val="none"/>
        </w:rPr>
      </w:pPr>
      <w:r>
        <w:rPr>
          <w:rFonts w:hint="eastAsia" w:hAnsi="宋体" w:cs="宋体"/>
          <w:b/>
          <w:color w:val="auto"/>
          <w:highlight w:val="none"/>
        </w:rPr>
        <w:t>10 安全生产管理</w:t>
      </w:r>
    </w:p>
    <w:p w14:paraId="5C629333">
      <w:pPr>
        <w:pStyle w:val="107"/>
        <w:shd w:val="clear" w:fill="FFFFFF" w:themeFill="background1"/>
        <w:tabs>
          <w:tab w:val="left" w:pos="1288"/>
        </w:tabs>
        <w:ind w:firstLine="480" w:firstLineChars="200"/>
        <w:rPr>
          <w:rFonts w:hAnsi="宋体" w:cs="宋体"/>
          <w:color w:val="auto"/>
          <w:highlight w:val="none"/>
        </w:rPr>
      </w:pPr>
      <w:r>
        <w:rPr>
          <w:rFonts w:hint="eastAsia" w:hAnsi="宋体" w:cs="宋体"/>
          <w:color w:val="auto"/>
          <w:highlight w:val="none"/>
        </w:rPr>
        <w:t>10.1甲方对施工现场安全生产负总责，对分包工程的安全生产承担连带责任；乙方必须认真贯彻落实国家安全生产法律法规，执行安全生产操作规程和总包合同条款有关安全生产管理规定，承担施工安全法律责任和经济责任。</w:t>
      </w:r>
    </w:p>
    <w:p w14:paraId="407EB406">
      <w:pPr>
        <w:pStyle w:val="107"/>
        <w:shd w:val="clear" w:fill="FFFFFF" w:themeFill="background1"/>
        <w:tabs>
          <w:tab w:val="left" w:pos="1288"/>
        </w:tabs>
        <w:ind w:firstLine="480" w:firstLineChars="200"/>
        <w:rPr>
          <w:rFonts w:hAnsi="宋体" w:cs="宋体"/>
          <w:color w:val="auto"/>
          <w:highlight w:val="none"/>
        </w:rPr>
      </w:pPr>
      <w:r>
        <w:rPr>
          <w:rFonts w:hint="eastAsia" w:hAnsi="宋体" w:cs="宋体"/>
          <w:color w:val="auto"/>
          <w:highlight w:val="none"/>
        </w:rPr>
        <w:t>10.2乙方应按规定对所属员工进行安全教育，并对其施工安全负责。乙方应服从甲方的安全生产管理，乙方不服从管理导致生产安全事故的，由乙方承担主要责任。</w:t>
      </w:r>
    </w:p>
    <w:p w14:paraId="54CD2B9B">
      <w:pPr>
        <w:pStyle w:val="107"/>
        <w:shd w:val="clear" w:fill="FFFFFF" w:themeFill="background1"/>
        <w:ind w:firstLine="422"/>
        <w:rPr>
          <w:rFonts w:hAnsi="宋体" w:cs="宋体"/>
          <w:color w:val="auto"/>
          <w:highlight w:val="none"/>
        </w:rPr>
      </w:pPr>
      <w:r>
        <w:rPr>
          <w:rFonts w:hint="eastAsia" w:hAnsi="宋体" w:cs="宋体"/>
          <w:color w:val="auto"/>
          <w:highlight w:val="none"/>
        </w:rPr>
        <w:t>10.3乙方施工范围内安全防护设施的采购、提供、搭拆、保管和维护，由乙方负责实施并承担费用。劳动防护用品费用由乙方承担，并按安全生产相关规定进行用品发放、并督促员工正确使用劳动防护用品。</w:t>
      </w:r>
    </w:p>
    <w:p w14:paraId="5194316D">
      <w:pPr>
        <w:pStyle w:val="107"/>
        <w:shd w:val="clear" w:fill="FFFFFF" w:themeFill="background1"/>
        <w:ind w:firstLine="422"/>
        <w:rPr>
          <w:rFonts w:hAnsi="宋体" w:cs="宋体"/>
          <w:color w:val="auto"/>
          <w:highlight w:val="none"/>
        </w:rPr>
      </w:pPr>
    </w:p>
    <w:p w14:paraId="2D52A629">
      <w:pPr>
        <w:pStyle w:val="107"/>
        <w:shd w:val="clear" w:fill="FFFFFF" w:themeFill="background1"/>
        <w:ind w:firstLine="482" w:firstLineChars="200"/>
        <w:rPr>
          <w:rFonts w:hAnsi="宋体" w:cs="宋体"/>
          <w:color w:val="auto"/>
          <w:highlight w:val="none"/>
        </w:rPr>
      </w:pPr>
      <w:r>
        <w:rPr>
          <w:rFonts w:hint="eastAsia" w:hAnsi="宋体" w:cs="宋体"/>
          <w:b/>
          <w:color w:val="auto"/>
          <w:highlight w:val="none"/>
        </w:rPr>
        <w:t>11劳务管理</w:t>
      </w:r>
    </w:p>
    <w:p w14:paraId="400A21A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11.1乙方招用的劳务人员，应当依法签订劳动用工合同，缴纳工伤保险，其应得工资应通过银行卡转帐或现金发放的方式及时、足额地直接发放给劳务人员本人。严禁发放给其他不具备用工主体资格的组织和个人。</w:t>
      </w:r>
    </w:p>
    <w:p w14:paraId="1B7B328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11.2乙方招用的劳务人员，在核定的人工费总额内需由甲方统一代为发放的，乙方需出具书面委托，并在每月月底报送员工考勤表及乙方签认的工资发放表到甲方。甲方以工资卡形式发放，费用在月结算计量款中抵扣。</w:t>
      </w:r>
    </w:p>
    <w:p w14:paraId="5E22E1CB">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 xml:space="preserve">11.3乙方不得以任何理由和形式克扣员工工资，更不得发生员工到甲方追讨工资或有举报拖欠工资的情况发生，若乙方无理克扣或拖欠工资情况属实，视为乙方违约，甲方在垫付其应得工资后，有权要求乙方支付违约金，违约金数额为每次元，并没收保证金。 </w:t>
      </w:r>
    </w:p>
    <w:p w14:paraId="5D3F2F35">
      <w:pPr>
        <w:pStyle w:val="107"/>
        <w:shd w:val="clear" w:fill="FFFFFF" w:themeFill="background1"/>
        <w:ind w:firstLine="422"/>
        <w:rPr>
          <w:rFonts w:hAnsi="宋体" w:cs="宋体"/>
          <w:color w:val="auto"/>
          <w:highlight w:val="none"/>
        </w:rPr>
      </w:pPr>
    </w:p>
    <w:p w14:paraId="7779A746">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12保险</w:t>
      </w:r>
    </w:p>
    <w:p w14:paraId="39944B3D">
      <w:pPr>
        <w:pStyle w:val="107"/>
        <w:shd w:val="clear" w:fill="FFFFFF" w:themeFill="background1"/>
        <w:ind w:firstLine="422"/>
        <w:rPr>
          <w:rFonts w:hAnsi="宋体" w:cs="宋体"/>
          <w:color w:val="auto"/>
          <w:highlight w:val="none"/>
        </w:rPr>
      </w:pPr>
      <w:r>
        <w:rPr>
          <w:rFonts w:hint="eastAsia" w:hAnsi="宋体" w:cs="宋体"/>
          <w:color w:val="auto"/>
          <w:highlight w:val="none"/>
        </w:rPr>
        <w:t>12.1工程一切险和第三者责任险，由甲方投保并承担费用。一旦发生事故和损失，乙方应按要求和程序采用应急措施，并保护好现场，由甲方通知保险公司办理理赔手续，乙方有责任提供理赔所需的基础资料。甲方获得的理赔金额扣除在理赔过程中发生的有关费用后，补偿给乙方，乙方得到补偿后还不能弥补损失的，如因甲方原因造成事故和损失，由甲方承担；如因乙方原因造成事故和损失的，由乙方承担主要责任，甲方承担连带责任。</w:t>
      </w:r>
    </w:p>
    <w:p w14:paraId="71CAE004">
      <w:pPr>
        <w:pStyle w:val="107"/>
        <w:shd w:val="clear" w:fill="FFFFFF" w:themeFill="background1"/>
        <w:ind w:firstLine="422"/>
        <w:rPr>
          <w:rFonts w:hAnsi="宋体" w:cs="宋体"/>
          <w:color w:val="auto"/>
          <w:highlight w:val="none"/>
        </w:rPr>
      </w:pPr>
      <w:r>
        <w:rPr>
          <w:rFonts w:hint="eastAsia" w:hAnsi="宋体" w:cs="宋体"/>
          <w:color w:val="auto"/>
          <w:highlight w:val="none"/>
        </w:rPr>
        <w:t>12.2除上一条款险种外，其他保险由乙方自行投保并承担费用，其中，高危等项目，乙方必须投保。乙方并将所有自行投保合同报甲方备案。</w:t>
      </w:r>
    </w:p>
    <w:p w14:paraId="799B3E9F">
      <w:pPr>
        <w:pStyle w:val="107"/>
        <w:shd w:val="clear" w:fill="FFFFFF" w:themeFill="background1"/>
        <w:ind w:firstLine="422"/>
        <w:rPr>
          <w:rFonts w:hAnsi="宋体" w:cs="宋体"/>
          <w:color w:val="auto"/>
          <w:highlight w:val="none"/>
        </w:rPr>
      </w:pPr>
    </w:p>
    <w:p w14:paraId="232E1461">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13现场管理</w:t>
      </w:r>
    </w:p>
    <w:p w14:paraId="79F58597">
      <w:pPr>
        <w:pStyle w:val="107"/>
        <w:shd w:val="clear" w:fill="FFFFFF" w:themeFill="background1"/>
        <w:ind w:firstLine="422"/>
        <w:rPr>
          <w:rFonts w:hAnsi="宋体" w:cs="宋体"/>
          <w:color w:val="auto"/>
          <w:highlight w:val="none"/>
        </w:rPr>
      </w:pPr>
      <w:r>
        <w:rPr>
          <w:rFonts w:hint="eastAsia" w:hAnsi="宋体" w:cs="宋体"/>
          <w:color w:val="auto"/>
          <w:highlight w:val="none"/>
        </w:rPr>
        <w:t>13.1乙方应做到文明施工，做到施工场地整洁有序，设立必要宣传、告示等标志、标牌。</w:t>
      </w:r>
    </w:p>
    <w:p w14:paraId="32D4228F">
      <w:pPr>
        <w:pStyle w:val="107"/>
        <w:shd w:val="clear" w:fill="FFFFFF" w:themeFill="background1"/>
        <w:ind w:firstLine="422"/>
        <w:rPr>
          <w:rFonts w:hAnsi="宋体" w:cs="宋体"/>
          <w:color w:val="auto"/>
          <w:highlight w:val="none"/>
        </w:rPr>
      </w:pPr>
      <w:r>
        <w:rPr>
          <w:rFonts w:hint="eastAsia" w:hAnsi="宋体" w:cs="宋体"/>
          <w:color w:val="auto"/>
          <w:highlight w:val="none"/>
        </w:rPr>
        <w:t>13.2乙方施工所需的临时道路、桥梁等设施由方修建和维护，在使用中对临时设施有损坏时，乙方可通过甲方指出由损坏人给予修复或赔偿的要求。</w:t>
      </w:r>
    </w:p>
    <w:p w14:paraId="2F674343">
      <w:pPr>
        <w:pStyle w:val="107"/>
        <w:shd w:val="clear" w:fill="FFFFFF" w:themeFill="background1"/>
        <w:ind w:firstLine="422"/>
        <w:rPr>
          <w:rFonts w:hAnsi="宋体" w:cs="宋体"/>
          <w:color w:val="auto"/>
          <w:highlight w:val="none"/>
        </w:rPr>
      </w:pPr>
      <w:r>
        <w:rPr>
          <w:rFonts w:hint="eastAsia" w:hAnsi="宋体" w:cs="宋体"/>
          <w:color w:val="auto"/>
          <w:highlight w:val="none"/>
        </w:rPr>
        <w:t>13.3 乙方必须对分包合同施工范围内的三线、文物、矿产及环境做好保护工作，在施工前应做好详细的调查工作，并制定切实可行的保护措施，确保安全。如因乙方原因造成三线、文物、矿产及环境破坏，应承担相应的损失和责任。</w:t>
      </w:r>
    </w:p>
    <w:p w14:paraId="5293D44A">
      <w:pPr>
        <w:pStyle w:val="107"/>
        <w:shd w:val="clear" w:fill="FFFFFF" w:themeFill="background1"/>
        <w:ind w:firstLine="422"/>
        <w:rPr>
          <w:rFonts w:hAnsi="宋体" w:cs="宋体"/>
          <w:color w:val="auto"/>
          <w:highlight w:val="none"/>
        </w:rPr>
      </w:pPr>
    </w:p>
    <w:p w14:paraId="0AD627D7">
      <w:pPr>
        <w:pStyle w:val="107"/>
        <w:shd w:val="clear" w:fill="FFFFFF" w:themeFill="background1"/>
        <w:ind w:firstLine="422"/>
        <w:jc w:val="left"/>
        <w:rPr>
          <w:rFonts w:hAnsi="宋体" w:cs="宋体"/>
          <w:color w:val="auto"/>
          <w:highlight w:val="none"/>
        </w:rPr>
      </w:pPr>
      <w:r>
        <w:rPr>
          <w:rFonts w:hint="eastAsia" w:hAnsi="宋体" w:cs="宋体"/>
          <w:b/>
          <w:color w:val="auto"/>
          <w:highlight w:val="none"/>
        </w:rPr>
        <w:t>14违约责任</w:t>
      </w:r>
    </w:p>
    <w:p w14:paraId="6FBCFDB0">
      <w:pPr>
        <w:pStyle w:val="107"/>
        <w:shd w:val="clear" w:fill="FFFFFF" w:themeFill="background1"/>
        <w:ind w:firstLine="422"/>
        <w:rPr>
          <w:rFonts w:hAnsi="宋体" w:cs="宋体"/>
          <w:color w:val="auto"/>
          <w:highlight w:val="none"/>
        </w:rPr>
      </w:pPr>
      <w:r>
        <w:rPr>
          <w:rFonts w:hint="eastAsia" w:hAnsi="宋体" w:cs="宋体"/>
          <w:color w:val="auto"/>
          <w:highlight w:val="none"/>
        </w:rPr>
        <w:t>14.1 乙方分包的工程项目，不得再行转包或分包，否则将无条件被认为乙方违约，由此引起的一切责任、事故和损失由乙方负责。</w:t>
      </w:r>
    </w:p>
    <w:p w14:paraId="1693A880">
      <w:pPr>
        <w:pStyle w:val="107"/>
        <w:shd w:val="clear" w:fill="FFFFFF" w:themeFill="background1"/>
        <w:ind w:firstLine="422"/>
        <w:rPr>
          <w:rFonts w:hAnsi="宋体" w:cs="宋体"/>
          <w:color w:val="auto"/>
          <w:highlight w:val="none"/>
        </w:rPr>
      </w:pPr>
      <w:r>
        <w:rPr>
          <w:rFonts w:hint="eastAsia" w:hAnsi="宋体" w:cs="宋体"/>
          <w:color w:val="auto"/>
          <w:highlight w:val="none"/>
        </w:rPr>
        <w:t>14.2在施工过程中经检验达不到验收规范和评定标准，不能保证工程质量，或因乙方原因造成发包人、监理人或有关部门的极大不满，则甲方有权终止合同，由此造成的损失由乙方承担。</w:t>
      </w:r>
    </w:p>
    <w:p w14:paraId="754ED6F3">
      <w:pPr>
        <w:pStyle w:val="107"/>
        <w:shd w:val="clear" w:fill="FFFFFF" w:themeFill="background1"/>
        <w:ind w:firstLine="422"/>
        <w:rPr>
          <w:rFonts w:hAnsi="宋体" w:cs="宋体"/>
          <w:color w:val="auto"/>
          <w:highlight w:val="none"/>
        </w:rPr>
      </w:pPr>
      <w:r>
        <w:rPr>
          <w:rFonts w:hint="eastAsia" w:hAnsi="宋体" w:cs="宋体"/>
          <w:color w:val="auto"/>
          <w:highlight w:val="none"/>
        </w:rPr>
        <w:t>14.3 除上一条款外，合同签订后，不经双方协商同意，任何一方不得随意变更或解除。如乙方未经甲方同意，单方解除合同时，应由乙方赔偿甲方因影响施工计划造成的经济损失；如甲方中途解除合同，应赔偿乙方因此造成的经济损失。</w:t>
      </w:r>
    </w:p>
    <w:p w14:paraId="510E7F8F">
      <w:pPr>
        <w:pStyle w:val="107"/>
        <w:shd w:val="clear" w:fill="FFFFFF" w:themeFill="background1"/>
        <w:ind w:firstLine="422"/>
        <w:rPr>
          <w:rFonts w:hAnsi="宋体" w:cs="宋体"/>
          <w:color w:val="auto"/>
          <w:highlight w:val="none"/>
        </w:rPr>
      </w:pPr>
      <w:r>
        <w:rPr>
          <w:rFonts w:hint="eastAsia" w:hAnsi="宋体" w:cs="宋体"/>
          <w:color w:val="auto"/>
          <w:highlight w:val="none"/>
        </w:rPr>
        <w:t>14.4因乙方原因，出现下列情况之一的，甲方有权采取认为合理的一切措施进行处理，由此引起的损失由乙方承担。</w:t>
      </w:r>
    </w:p>
    <w:p w14:paraId="27656E6D">
      <w:pPr>
        <w:pStyle w:val="107"/>
        <w:shd w:val="clear" w:fill="FFFFFF" w:themeFill="background1"/>
        <w:ind w:firstLine="422"/>
        <w:rPr>
          <w:rFonts w:hAnsi="宋体" w:cs="宋体"/>
          <w:color w:val="auto"/>
          <w:highlight w:val="none"/>
        </w:rPr>
      </w:pPr>
      <w:r>
        <w:rPr>
          <w:rFonts w:hint="eastAsia" w:hAnsi="宋体" w:cs="宋体"/>
          <w:color w:val="auto"/>
          <w:highlight w:val="none"/>
        </w:rPr>
        <w:t>14.4.1乙方的主要人员、机械设备及流动资金不能按时到位的，严重制约了工程的施工；</w:t>
      </w:r>
    </w:p>
    <w:p w14:paraId="18542905">
      <w:pPr>
        <w:pStyle w:val="107"/>
        <w:shd w:val="clear" w:fill="FFFFFF" w:themeFill="background1"/>
        <w:ind w:firstLine="422"/>
        <w:rPr>
          <w:rFonts w:hAnsi="宋体" w:cs="宋体"/>
          <w:color w:val="auto"/>
          <w:highlight w:val="none"/>
        </w:rPr>
      </w:pPr>
      <w:r>
        <w:rPr>
          <w:rFonts w:hint="eastAsia" w:hAnsi="宋体" w:cs="宋体"/>
          <w:color w:val="auto"/>
          <w:highlight w:val="none"/>
        </w:rPr>
        <w:t>14.4.2进度滞后该工程总体进度计划的10％或落到工程管理曲线下线以下的；</w:t>
      </w:r>
    </w:p>
    <w:p w14:paraId="51EB32C5">
      <w:pPr>
        <w:pStyle w:val="107"/>
        <w:shd w:val="clear" w:fill="FFFFFF" w:themeFill="background1"/>
        <w:ind w:firstLine="422"/>
        <w:rPr>
          <w:rFonts w:hAnsi="宋体" w:cs="宋体"/>
          <w:color w:val="auto"/>
          <w:highlight w:val="none"/>
        </w:rPr>
      </w:pPr>
      <w:r>
        <w:rPr>
          <w:rFonts w:hint="eastAsia" w:hAnsi="宋体" w:cs="宋体"/>
          <w:color w:val="auto"/>
          <w:highlight w:val="none"/>
        </w:rPr>
        <w:t>14.4.3不按施工技术规范和标准要求施工，造成工程质量低劣的达不到验收标准的；</w:t>
      </w:r>
    </w:p>
    <w:p w14:paraId="219E34C1">
      <w:pPr>
        <w:pStyle w:val="107"/>
        <w:shd w:val="clear" w:fill="FFFFFF" w:themeFill="background1"/>
        <w:ind w:firstLine="422"/>
        <w:rPr>
          <w:rFonts w:hAnsi="宋体" w:cs="宋体"/>
          <w:color w:val="auto"/>
          <w:highlight w:val="none"/>
        </w:rPr>
      </w:pPr>
      <w:r>
        <w:rPr>
          <w:rFonts w:hint="eastAsia" w:hAnsi="宋体" w:cs="宋体"/>
          <w:color w:val="auto"/>
          <w:highlight w:val="none"/>
        </w:rPr>
        <w:t>14.4. 4不遵守甲方的管理，不能服从发包人和监理人的指令，造成工程不能管理无法推进。</w:t>
      </w:r>
    </w:p>
    <w:p w14:paraId="1E4E39C2">
      <w:pPr>
        <w:pStyle w:val="107"/>
        <w:shd w:val="clear" w:fill="FFFFFF" w:themeFill="background1"/>
        <w:ind w:firstLine="422"/>
        <w:rPr>
          <w:rFonts w:hAnsi="宋体" w:cs="宋体"/>
          <w:color w:val="auto"/>
          <w:highlight w:val="none"/>
        </w:rPr>
      </w:pPr>
      <w:r>
        <w:rPr>
          <w:rFonts w:hint="eastAsia" w:hAnsi="宋体" w:cs="宋体"/>
          <w:color w:val="auto"/>
          <w:highlight w:val="none"/>
        </w:rPr>
        <w:t>14.5乙方应按本合同规定的工期及质量要求完成，否则应偿付给甲方元/天的逾期违约金，限额为％本合同的签约合同价。</w:t>
      </w:r>
    </w:p>
    <w:p w14:paraId="74D7519A">
      <w:pPr>
        <w:pStyle w:val="107"/>
        <w:shd w:val="clear" w:fill="FFFFFF" w:themeFill="background1"/>
        <w:ind w:firstLine="422"/>
        <w:rPr>
          <w:rFonts w:hAnsi="宋体" w:cs="宋体"/>
          <w:color w:val="auto"/>
          <w:highlight w:val="none"/>
        </w:rPr>
      </w:pPr>
    </w:p>
    <w:p w14:paraId="29B14085">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15 附则</w:t>
      </w:r>
    </w:p>
    <w:p w14:paraId="79ABB283">
      <w:pPr>
        <w:pStyle w:val="107"/>
        <w:shd w:val="clear" w:fill="FFFFFF" w:themeFill="background1"/>
        <w:ind w:firstLine="422"/>
        <w:rPr>
          <w:rFonts w:hAnsi="宋体" w:cs="宋体"/>
          <w:color w:val="auto"/>
          <w:highlight w:val="none"/>
        </w:rPr>
      </w:pPr>
      <w:r>
        <w:rPr>
          <w:rFonts w:hint="eastAsia" w:hAnsi="宋体" w:cs="宋体"/>
          <w:color w:val="auto"/>
          <w:highlight w:val="none"/>
        </w:rPr>
        <w:t>15.1合同生效：本合同经甲乙双方签字盖章后，须经驻地监理办审查，报发包人备案之日起生效。</w:t>
      </w:r>
    </w:p>
    <w:p w14:paraId="58CE60A4">
      <w:pPr>
        <w:pStyle w:val="107"/>
        <w:shd w:val="clear" w:fill="FFFFFF" w:themeFill="background1"/>
        <w:ind w:firstLine="422"/>
        <w:rPr>
          <w:rFonts w:hAnsi="宋体" w:cs="宋体"/>
          <w:color w:val="auto"/>
          <w:highlight w:val="none"/>
        </w:rPr>
      </w:pPr>
      <w:r>
        <w:rPr>
          <w:rFonts w:hint="eastAsia" w:hAnsi="宋体" w:cs="宋体"/>
          <w:color w:val="auto"/>
          <w:highlight w:val="none"/>
        </w:rPr>
        <w:t>15.2合同终止日期：在全部工程竣工，办理竣工验收款项结清后失效。</w:t>
      </w:r>
    </w:p>
    <w:p w14:paraId="2D437472">
      <w:pPr>
        <w:pStyle w:val="107"/>
        <w:shd w:val="clear" w:fill="FFFFFF" w:themeFill="background1"/>
        <w:ind w:firstLine="422"/>
        <w:rPr>
          <w:rFonts w:hAnsi="宋体" w:cs="宋体"/>
          <w:color w:val="auto"/>
          <w:highlight w:val="none"/>
        </w:rPr>
      </w:pPr>
      <w:r>
        <w:rPr>
          <w:rFonts w:hint="eastAsia" w:hAnsi="宋体" w:cs="宋体"/>
          <w:color w:val="auto"/>
          <w:highlight w:val="none"/>
        </w:rPr>
        <w:t>15.3本合同发生纠纷时，甲乙双方应及时协商解决。若协商不成时，可按以下第项解决：(a)向工程所在地经济合同仲裁委员会申请仲裁，(b)向人民法院起诉。</w:t>
      </w:r>
    </w:p>
    <w:p w14:paraId="50D8D70E">
      <w:pPr>
        <w:pStyle w:val="107"/>
        <w:shd w:val="clear" w:fill="FFFFFF" w:themeFill="background1"/>
        <w:ind w:firstLine="422"/>
        <w:rPr>
          <w:rFonts w:hAnsi="宋体" w:cs="宋体"/>
          <w:color w:val="auto"/>
          <w:highlight w:val="none"/>
        </w:rPr>
      </w:pPr>
      <w:r>
        <w:rPr>
          <w:rFonts w:hint="eastAsia" w:hAnsi="宋体" w:cs="宋体"/>
          <w:color w:val="auto"/>
          <w:highlight w:val="none"/>
        </w:rPr>
        <w:t>15.4本合同要求鉴证(公证)的，可向工程所在地的市(县)工商行政管理局进行鉴证或公证处公证。</w:t>
      </w:r>
    </w:p>
    <w:p w14:paraId="564CA78A">
      <w:pPr>
        <w:pStyle w:val="107"/>
        <w:shd w:val="clear" w:fill="FFFFFF" w:themeFill="background1"/>
        <w:ind w:firstLine="422"/>
        <w:rPr>
          <w:rFonts w:hAnsi="宋体" w:cs="宋体"/>
          <w:color w:val="auto"/>
          <w:highlight w:val="none"/>
        </w:rPr>
      </w:pPr>
      <w:r>
        <w:rPr>
          <w:rFonts w:hint="eastAsia" w:hAnsi="宋体" w:cs="宋体"/>
          <w:color w:val="auto"/>
          <w:highlight w:val="none"/>
        </w:rPr>
        <w:t>15.5本合同一式份，甲乙双方各执正本一份，副本份，驻地监理办、发包人备案各一份。</w:t>
      </w:r>
    </w:p>
    <w:p w14:paraId="027F226B">
      <w:pPr>
        <w:pStyle w:val="107"/>
        <w:shd w:val="clear" w:fill="FFFFFF" w:themeFill="background1"/>
        <w:ind w:firstLine="422"/>
        <w:rPr>
          <w:rFonts w:hAnsi="宋体" w:cs="宋体"/>
          <w:color w:val="auto"/>
          <w:highlight w:val="none"/>
        </w:rPr>
      </w:pPr>
      <w:r>
        <w:rPr>
          <w:rFonts w:hint="eastAsia" w:hAnsi="宋体" w:cs="宋体"/>
          <w:color w:val="auto"/>
          <w:highlight w:val="none"/>
        </w:rPr>
        <w:t>15.6 双方商定的补充条款：</w:t>
      </w:r>
    </w:p>
    <w:p w14:paraId="07B59F83">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    1.</w:t>
      </w:r>
    </w:p>
    <w:p w14:paraId="4421D8F1">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    2.</w:t>
      </w:r>
    </w:p>
    <w:p w14:paraId="0C9BA5F1">
      <w:pPr>
        <w:pStyle w:val="107"/>
        <w:shd w:val="clear" w:fill="FFFFFF" w:themeFill="background1"/>
        <w:ind w:firstLine="960" w:firstLineChars="400"/>
        <w:rPr>
          <w:rFonts w:hAnsi="宋体" w:cs="宋体"/>
          <w:color w:val="auto"/>
          <w:highlight w:val="none"/>
        </w:rPr>
      </w:pPr>
      <w:r>
        <w:rPr>
          <w:rFonts w:hint="eastAsia" w:hAnsi="宋体" w:cs="宋体"/>
          <w:color w:val="auto"/>
          <w:highlight w:val="none"/>
        </w:rPr>
        <w:t>……</w:t>
      </w:r>
    </w:p>
    <w:p w14:paraId="35E17760">
      <w:pPr>
        <w:pStyle w:val="107"/>
        <w:shd w:val="clear" w:fill="FFFFFF" w:themeFill="background1"/>
        <w:ind w:firstLine="960" w:firstLineChars="400"/>
        <w:rPr>
          <w:rFonts w:hAnsi="宋体" w:cs="宋体"/>
          <w:color w:val="auto"/>
          <w:highlight w:val="none"/>
        </w:rPr>
      </w:pPr>
    </w:p>
    <w:p w14:paraId="77D39AD8">
      <w:pPr>
        <w:pStyle w:val="107"/>
        <w:shd w:val="clear" w:fill="FFFFFF" w:themeFill="background1"/>
        <w:ind w:firstLine="422"/>
        <w:rPr>
          <w:rFonts w:hAnsi="宋体" w:cs="宋体"/>
          <w:color w:val="auto"/>
          <w:highlight w:val="none"/>
        </w:rPr>
      </w:pPr>
      <w:r>
        <w:rPr>
          <w:rFonts w:hint="eastAsia" w:hAnsi="宋体" w:cs="宋体"/>
          <w:color w:val="auto"/>
          <w:highlight w:val="none"/>
        </w:rPr>
        <w:t>15.7本合同未尽事宜，发包人与甲方签订总包合同的相关条款已有的，按其办理；未涉及的，按照本工程合同文件的精神，甲乙双方协商解决。</w:t>
      </w:r>
    </w:p>
    <w:p w14:paraId="64BA08C3">
      <w:pPr>
        <w:pStyle w:val="107"/>
        <w:shd w:val="clear" w:fill="FFFFFF" w:themeFill="background1"/>
        <w:ind w:firstLine="960" w:firstLineChars="400"/>
        <w:rPr>
          <w:rFonts w:hAnsi="宋体" w:cs="宋体"/>
          <w:color w:val="auto"/>
          <w:highlight w:val="none"/>
        </w:rPr>
      </w:pPr>
    </w:p>
    <w:p w14:paraId="7A41E38B">
      <w:pPr>
        <w:pStyle w:val="107"/>
        <w:shd w:val="clear" w:fill="FFFFFF" w:themeFill="background1"/>
        <w:rPr>
          <w:rFonts w:hAnsi="宋体" w:cs="宋体"/>
          <w:b/>
          <w:color w:val="auto"/>
          <w:highlight w:val="none"/>
        </w:rPr>
      </w:pPr>
      <w:r>
        <w:rPr>
          <w:rFonts w:hint="eastAsia" w:hAnsi="宋体" w:cs="宋体"/>
          <w:b/>
          <w:color w:val="auto"/>
          <w:highlight w:val="none"/>
        </w:rPr>
        <w:t>合同附件：</w:t>
      </w:r>
    </w:p>
    <w:p w14:paraId="343A47C8">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(一)分包人营业执照复印件。</w:t>
      </w:r>
    </w:p>
    <w:p w14:paraId="60DD2A1B">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(二)分包人有关企业信息介绍等资料。</w:t>
      </w:r>
    </w:p>
    <w:p w14:paraId="261E813F">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(三)分包管理人员身份证、资格证书、职称证书、劳动合同关系材料复印件。</w:t>
      </w:r>
    </w:p>
    <w:p w14:paraId="6DDB5580">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(四)分包人拟投入的主要管理人员表（附表1）</w:t>
      </w:r>
    </w:p>
    <w:p w14:paraId="1D2286A3">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(五)分包人拟投入的主要机械设备表（附表2)</w:t>
      </w:r>
    </w:p>
    <w:p w14:paraId="2ACF6BAF">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(六)分包专项工程工程量清单(附表3)</w:t>
      </w:r>
    </w:p>
    <w:p w14:paraId="177716F9">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(五)承包人供应的材料清单 (附表4)。</w:t>
      </w:r>
    </w:p>
    <w:p w14:paraId="7BD1712F">
      <w:pPr>
        <w:pStyle w:val="107"/>
        <w:shd w:val="clear" w:fill="FFFFFF" w:themeFill="background1"/>
        <w:ind w:firstLine="480"/>
        <w:rPr>
          <w:rFonts w:hAnsi="宋体" w:cs="宋体"/>
          <w:color w:val="auto"/>
          <w:highlight w:val="none"/>
        </w:rPr>
      </w:pPr>
      <w:r>
        <w:rPr>
          <w:rFonts w:hint="eastAsia" w:hAnsi="宋体" w:cs="宋体"/>
          <w:color w:val="auto"/>
          <w:highlight w:val="none"/>
        </w:rPr>
        <w:t>(六)其它：</w:t>
      </w:r>
    </w:p>
    <w:p w14:paraId="26F7EDF4">
      <w:pPr>
        <w:pStyle w:val="107"/>
        <w:shd w:val="clear" w:fill="FFFFFF" w:themeFill="background1"/>
        <w:ind w:firstLine="480"/>
        <w:rPr>
          <w:rFonts w:hAnsi="宋体" w:cs="宋体"/>
          <w:color w:val="auto"/>
          <w:highlight w:val="none"/>
        </w:rPr>
      </w:pPr>
    </w:p>
    <w:p w14:paraId="4C13102A">
      <w:pPr>
        <w:pStyle w:val="107"/>
        <w:shd w:val="clear" w:fill="FFFFFF" w:themeFill="background1"/>
        <w:ind w:firstLine="480"/>
        <w:rPr>
          <w:rFonts w:hAnsi="宋体" w:cs="宋体"/>
          <w:color w:val="auto"/>
          <w:highlight w:val="none"/>
        </w:rPr>
      </w:pPr>
    </w:p>
    <w:p w14:paraId="3F4FE3DE">
      <w:pPr>
        <w:pStyle w:val="107"/>
        <w:shd w:val="clear" w:fill="FFFFFF" w:themeFill="background1"/>
        <w:ind w:firstLine="480"/>
        <w:rPr>
          <w:rFonts w:hAnsi="宋体" w:cs="宋体"/>
          <w:color w:val="auto"/>
          <w:highlight w:val="none"/>
        </w:rPr>
      </w:pPr>
    </w:p>
    <w:p w14:paraId="6EA54825">
      <w:pPr>
        <w:pStyle w:val="107"/>
        <w:shd w:val="clear" w:fill="FFFFFF" w:themeFill="background1"/>
        <w:ind w:firstLine="480"/>
        <w:rPr>
          <w:rFonts w:hAnsi="宋体" w:cs="宋体"/>
          <w:color w:val="auto"/>
          <w:highlight w:val="none"/>
        </w:rPr>
      </w:pPr>
    </w:p>
    <w:p w14:paraId="6F8C8F7B">
      <w:pPr>
        <w:pStyle w:val="107"/>
        <w:shd w:val="clear" w:fill="FFFFFF" w:themeFill="background1"/>
        <w:rPr>
          <w:rFonts w:hAnsi="宋体" w:cs="宋体"/>
          <w:color w:val="auto"/>
          <w:highlight w:val="none"/>
        </w:rPr>
      </w:pPr>
      <w:r>
        <w:rPr>
          <w:rFonts w:hint="eastAsia" w:hAnsi="宋体" w:cs="宋体"/>
          <w:color w:val="auto"/>
          <w:highlight w:val="none"/>
        </w:rPr>
        <w:t>甲  方：(盖章)                           乙  方：(盖章)</w:t>
      </w:r>
    </w:p>
    <w:p w14:paraId="7C3D9A4C">
      <w:pPr>
        <w:pStyle w:val="107"/>
        <w:shd w:val="clear" w:fill="FFFFFF" w:themeFill="background1"/>
        <w:rPr>
          <w:rFonts w:hAnsi="宋体" w:cs="宋体"/>
          <w:color w:val="auto"/>
          <w:highlight w:val="none"/>
        </w:rPr>
      </w:pPr>
      <w:r>
        <w:rPr>
          <w:rFonts w:hint="eastAsia" w:hAnsi="宋体" w:cs="宋体"/>
          <w:color w:val="auto"/>
          <w:highlight w:val="none"/>
        </w:rPr>
        <w:t>法定代表人：(签字)                       法定代表人：(签字)</w:t>
      </w:r>
    </w:p>
    <w:p w14:paraId="30A5E173">
      <w:pPr>
        <w:pStyle w:val="107"/>
        <w:shd w:val="clear" w:fill="FFFFFF" w:themeFill="background1"/>
        <w:rPr>
          <w:rFonts w:hAnsi="宋体" w:cs="宋体"/>
          <w:color w:val="auto"/>
          <w:highlight w:val="none"/>
        </w:rPr>
      </w:pPr>
      <w:r>
        <w:rPr>
          <w:rFonts w:hint="eastAsia" w:hAnsi="宋体" w:cs="宋体"/>
          <w:color w:val="auto"/>
          <w:highlight w:val="none"/>
        </w:rPr>
        <w:t>委托代理人：(签字)                       委托代理人：(签字)</w:t>
      </w:r>
    </w:p>
    <w:p w14:paraId="40B5005E">
      <w:pPr>
        <w:pStyle w:val="107"/>
        <w:shd w:val="clear" w:fill="FFFFFF" w:themeFill="background1"/>
        <w:rPr>
          <w:rFonts w:hAnsi="宋体" w:cs="宋体"/>
          <w:color w:val="auto"/>
          <w:highlight w:val="none"/>
        </w:rPr>
      </w:pPr>
      <w:r>
        <w:rPr>
          <w:rFonts w:hint="eastAsia" w:hAnsi="宋体" w:cs="宋体"/>
          <w:color w:val="auto"/>
          <w:highlight w:val="none"/>
        </w:rPr>
        <w:t>地    址：                              地    址：</w:t>
      </w:r>
    </w:p>
    <w:p w14:paraId="240B4AF2">
      <w:pPr>
        <w:pStyle w:val="107"/>
        <w:shd w:val="clear" w:fill="FFFFFF" w:themeFill="background1"/>
        <w:rPr>
          <w:rFonts w:hAnsi="宋体" w:cs="宋体"/>
          <w:color w:val="auto"/>
          <w:highlight w:val="none"/>
        </w:rPr>
      </w:pPr>
      <w:r>
        <w:rPr>
          <w:rFonts w:hint="eastAsia" w:hAnsi="宋体" w:cs="宋体"/>
          <w:color w:val="auto"/>
          <w:highlight w:val="none"/>
        </w:rPr>
        <w:t>邮政编码：                              邮政编码：</w:t>
      </w:r>
    </w:p>
    <w:p w14:paraId="7C660485">
      <w:pPr>
        <w:pStyle w:val="107"/>
        <w:shd w:val="clear" w:fill="FFFFFF" w:themeFill="background1"/>
        <w:rPr>
          <w:rFonts w:hAnsi="宋体" w:cs="宋体"/>
          <w:color w:val="auto"/>
          <w:highlight w:val="none"/>
        </w:rPr>
      </w:pPr>
      <w:r>
        <w:rPr>
          <w:rFonts w:hint="eastAsia" w:hAnsi="宋体" w:cs="宋体"/>
          <w:color w:val="auto"/>
          <w:highlight w:val="none"/>
        </w:rPr>
        <w:t>电    话：                              电    话：</w:t>
      </w:r>
    </w:p>
    <w:p w14:paraId="63E43409">
      <w:pPr>
        <w:pStyle w:val="107"/>
        <w:shd w:val="clear" w:fill="FFFFFF" w:themeFill="background1"/>
        <w:rPr>
          <w:rFonts w:hAnsi="宋体" w:cs="宋体"/>
          <w:color w:val="auto"/>
          <w:highlight w:val="none"/>
        </w:rPr>
      </w:pPr>
      <w:r>
        <w:rPr>
          <w:rFonts w:hint="eastAsia" w:hAnsi="宋体" w:cs="宋体"/>
          <w:color w:val="auto"/>
          <w:highlight w:val="none"/>
        </w:rPr>
        <w:t>传  真：                                传    真：</w:t>
      </w:r>
    </w:p>
    <w:p w14:paraId="44EE922A">
      <w:pPr>
        <w:pStyle w:val="107"/>
        <w:shd w:val="clear" w:fill="FFFFFF" w:themeFill="background1"/>
        <w:rPr>
          <w:rFonts w:hAnsi="宋体" w:cs="宋体"/>
          <w:color w:val="auto"/>
          <w:highlight w:val="none"/>
        </w:rPr>
      </w:pPr>
      <w:r>
        <w:rPr>
          <w:rFonts w:hint="eastAsia" w:hAnsi="宋体" w:cs="宋体"/>
          <w:color w:val="auto"/>
          <w:highlight w:val="none"/>
        </w:rPr>
        <w:t>开户银行：                              开户银行：</w:t>
      </w:r>
    </w:p>
    <w:p w14:paraId="6C9CF4D5">
      <w:pPr>
        <w:pStyle w:val="107"/>
        <w:shd w:val="clear" w:fill="FFFFFF" w:themeFill="background1"/>
        <w:rPr>
          <w:rFonts w:hAnsi="宋体" w:cs="宋体"/>
          <w:color w:val="auto"/>
          <w:highlight w:val="none"/>
        </w:rPr>
      </w:pPr>
      <w:r>
        <w:rPr>
          <w:rFonts w:hint="eastAsia" w:hAnsi="宋体" w:cs="宋体"/>
          <w:color w:val="auto"/>
          <w:highlight w:val="none"/>
        </w:rPr>
        <w:t>银行帐号：                              银行帐号：</w:t>
      </w:r>
    </w:p>
    <w:p w14:paraId="15C2D66A">
      <w:pPr>
        <w:pStyle w:val="107"/>
        <w:shd w:val="clear" w:fill="FFFFFF" w:themeFill="background1"/>
        <w:rPr>
          <w:rFonts w:hAnsi="宋体" w:cs="宋体"/>
          <w:color w:val="auto"/>
          <w:highlight w:val="none"/>
        </w:rPr>
      </w:pPr>
      <w:r>
        <w:rPr>
          <w:rFonts w:hint="eastAsia" w:hAnsi="宋体" w:cs="宋体"/>
          <w:color w:val="auto"/>
          <w:highlight w:val="none"/>
        </w:rPr>
        <w:t>签订时间：                              签订时间：</w:t>
      </w:r>
    </w:p>
    <w:p w14:paraId="6D819EBF">
      <w:pPr>
        <w:pStyle w:val="107"/>
        <w:shd w:val="clear" w:fill="FFFFFF" w:themeFill="background1"/>
        <w:jc w:val="center"/>
        <w:rPr>
          <w:rFonts w:hAnsi="宋体" w:cs="宋体"/>
          <w:b/>
          <w:color w:val="auto"/>
          <w:sz w:val="28"/>
          <w:szCs w:val="28"/>
          <w:highlight w:val="none"/>
        </w:rPr>
      </w:pPr>
      <w:r>
        <w:rPr>
          <w:rFonts w:hint="eastAsia" w:hAnsi="宋体" w:cs="宋体"/>
          <w:color w:val="auto"/>
          <w:sz w:val="32"/>
          <w:szCs w:val="32"/>
          <w:highlight w:val="none"/>
        </w:rPr>
        <w:br w:type="page"/>
      </w:r>
      <w:r>
        <w:rPr>
          <w:rFonts w:hint="eastAsia" w:hAnsi="宋体" w:cs="宋体"/>
          <w:b/>
          <w:color w:val="auto"/>
          <w:sz w:val="28"/>
          <w:szCs w:val="28"/>
          <w:highlight w:val="none"/>
        </w:rPr>
        <w:t>附表1：分包人投入人员表</w:t>
      </w:r>
    </w:p>
    <w:p w14:paraId="5A9559AD">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217FEF1C">
      <w:pPr>
        <w:pStyle w:val="107"/>
        <w:shd w:val="clear" w:fill="FFFFFF" w:themeFill="background1"/>
        <w:rPr>
          <w:rFonts w:hAnsi="宋体" w:cs="宋体"/>
          <w:b/>
          <w:bCs/>
          <w:color w:val="auto"/>
          <w:highlight w:val="none"/>
        </w:rPr>
      </w:pPr>
      <w:r>
        <w:rPr>
          <w:rFonts w:hint="eastAsia" w:hAnsi="宋体" w:cs="宋体"/>
          <w:color w:val="auto"/>
          <w:highlight w:val="none"/>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980"/>
        <w:gridCol w:w="1025"/>
        <w:gridCol w:w="1339"/>
        <w:gridCol w:w="1355"/>
        <w:gridCol w:w="1141"/>
      </w:tblGrid>
      <w:tr w14:paraId="3773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3455ABEB">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岗位</w:t>
            </w:r>
          </w:p>
          <w:p w14:paraId="2C2BE18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名称</w:t>
            </w:r>
          </w:p>
        </w:tc>
        <w:tc>
          <w:tcPr>
            <w:tcW w:w="1080" w:type="dxa"/>
            <w:vAlign w:val="center"/>
          </w:tcPr>
          <w:p w14:paraId="4A235AFE">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姓名</w:t>
            </w:r>
          </w:p>
        </w:tc>
        <w:tc>
          <w:tcPr>
            <w:tcW w:w="1980" w:type="dxa"/>
            <w:vAlign w:val="center"/>
          </w:tcPr>
          <w:p w14:paraId="35B786D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身份证号</w:t>
            </w:r>
          </w:p>
        </w:tc>
        <w:tc>
          <w:tcPr>
            <w:tcW w:w="1025" w:type="dxa"/>
            <w:vAlign w:val="center"/>
          </w:tcPr>
          <w:p w14:paraId="309EC068">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职称</w:t>
            </w:r>
          </w:p>
        </w:tc>
        <w:tc>
          <w:tcPr>
            <w:tcW w:w="1339" w:type="dxa"/>
            <w:vAlign w:val="center"/>
          </w:tcPr>
          <w:p w14:paraId="1A20379A">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资格</w:t>
            </w:r>
          </w:p>
        </w:tc>
        <w:tc>
          <w:tcPr>
            <w:tcW w:w="1355" w:type="dxa"/>
            <w:vAlign w:val="center"/>
          </w:tcPr>
          <w:p w14:paraId="3CFD63C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拟进场时间</w:t>
            </w:r>
          </w:p>
        </w:tc>
        <w:tc>
          <w:tcPr>
            <w:tcW w:w="1141" w:type="dxa"/>
            <w:vAlign w:val="center"/>
          </w:tcPr>
          <w:p w14:paraId="4473D647">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备注</w:t>
            </w:r>
          </w:p>
        </w:tc>
      </w:tr>
      <w:tr w14:paraId="770C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5645470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6F5C2F7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负责人</w:t>
            </w:r>
          </w:p>
        </w:tc>
        <w:tc>
          <w:tcPr>
            <w:tcW w:w="1080" w:type="dxa"/>
          </w:tcPr>
          <w:p w14:paraId="1F8C8066">
            <w:pPr>
              <w:pStyle w:val="107"/>
              <w:shd w:val="clear" w:fill="FFFFFF" w:themeFill="background1"/>
              <w:jc w:val="center"/>
              <w:rPr>
                <w:rFonts w:hAnsi="宋体" w:cs="宋体"/>
                <w:color w:val="auto"/>
                <w:szCs w:val="21"/>
                <w:highlight w:val="none"/>
              </w:rPr>
            </w:pPr>
          </w:p>
        </w:tc>
        <w:tc>
          <w:tcPr>
            <w:tcW w:w="1980" w:type="dxa"/>
          </w:tcPr>
          <w:p w14:paraId="16CF252B">
            <w:pPr>
              <w:pStyle w:val="107"/>
              <w:shd w:val="clear" w:fill="FFFFFF" w:themeFill="background1"/>
              <w:jc w:val="center"/>
              <w:rPr>
                <w:rFonts w:hAnsi="宋体" w:cs="宋体"/>
                <w:color w:val="auto"/>
                <w:szCs w:val="21"/>
                <w:highlight w:val="none"/>
              </w:rPr>
            </w:pPr>
          </w:p>
        </w:tc>
        <w:tc>
          <w:tcPr>
            <w:tcW w:w="1025" w:type="dxa"/>
          </w:tcPr>
          <w:p w14:paraId="22B284B2">
            <w:pPr>
              <w:pStyle w:val="107"/>
              <w:shd w:val="clear" w:fill="FFFFFF" w:themeFill="background1"/>
              <w:jc w:val="center"/>
              <w:rPr>
                <w:rFonts w:hAnsi="宋体" w:cs="宋体"/>
                <w:color w:val="auto"/>
                <w:szCs w:val="21"/>
                <w:highlight w:val="none"/>
              </w:rPr>
            </w:pPr>
          </w:p>
        </w:tc>
        <w:tc>
          <w:tcPr>
            <w:tcW w:w="1339" w:type="dxa"/>
          </w:tcPr>
          <w:p w14:paraId="2270CCB5">
            <w:pPr>
              <w:pStyle w:val="107"/>
              <w:shd w:val="clear" w:fill="FFFFFF" w:themeFill="background1"/>
              <w:jc w:val="center"/>
              <w:rPr>
                <w:rFonts w:hAnsi="宋体" w:cs="宋体"/>
                <w:color w:val="auto"/>
                <w:szCs w:val="21"/>
                <w:highlight w:val="none"/>
              </w:rPr>
            </w:pPr>
          </w:p>
        </w:tc>
        <w:tc>
          <w:tcPr>
            <w:tcW w:w="1355" w:type="dxa"/>
          </w:tcPr>
          <w:p w14:paraId="447BE6AA">
            <w:pPr>
              <w:pStyle w:val="107"/>
              <w:shd w:val="clear" w:fill="FFFFFF" w:themeFill="background1"/>
              <w:jc w:val="center"/>
              <w:rPr>
                <w:rFonts w:hAnsi="宋体" w:cs="宋体"/>
                <w:color w:val="auto"/>
                <w:szCs w:val="21"/>
                <w:highlight w:val="none"/>
              </w:rPr>
            </w:pPr>
          </w:p>
        </w:tc>
        <w:tc>
          <w:tcPr>
            <w:tcW w:w="1141" w:type="dxa"/>
          </w:tcPr>
          <w:p w14:paraId="421475FE">
            <w:pPr>
              <w:pStyle w:val="107"/>
              <w:shd w:val="clear" w:fill="FFFFFF" w:themeFill="background1"/>
              <w:jc w:val="center"/>
              <w:rPr>
                <w:rFonts w:hAnsi="宋体" w:cs="宋体"/>
                <w:color w:val="auto"/>
                <w:szCs w:val="21"/>
                <w:highlight w:val="none"/>
              </w:rPr>
            </w:pPr>
          </w:p>
        </w:tc>
      </w:tr>
      <w:tr w14:paraId="50C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6C85167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0E542595">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技术（质量）负责人</w:t>
            </w:r>
          </w:p>
        </w:tc>
        <w:tc>
          <w:tcPr>
            <w:tcW w:w="1080" w:type="dxa"/>
          </w:tcPr>
          <w:p w14:paraId="5A7BDECF">
            <w:pPr>
              <w:pStyle w:val="107"/>
              <w:shd w:val="clear" w:fill="FFFFFF" w:themeFill="background1"/>
              <w:jc w:val="center"/>
              <w:rPr>
                <w:rFonts w:hAnsi="宋体" w:cs="宋体"/>
                <w:color w:val="auto"/>
                <w:szCs w:val="21"/>
                <w:highlight w:val="none"/>
              </w:rPr>
            </w:pPr>
          </w:p>
        </w:tc>
        <w:tc>
          <w:tcPr>
            <w:tcW w:w="1980" w:type="dxa"/>
          </w:tcPr>
          <w:p w14:paraId="45D33450">
            <w:pPr>
              <w:pStyle w:val="107"/>
              <w:shd w:val="clear" w:fill="FFFFFF" w:themeFill="background1"/>
              <w:jc w:val="center"/>
              <w:rPr>
                <w:rFonts w:hAnsi="宋体" w:cs="宋体"/>
                <w:color w:val="auto"/>
                <w:szCs w:val="21"/>
                <w:highlight w:val="none"/>
              </w:rPr>
            </w:pPr>
          </w:p>
        </w:tc>
        <w:tc>
          <w:tcPr>
            <w:tcW w:w="1025" w:type="dxa"/>
          </w:tcPr>
          <w:p w14:paraId="3627C27E">
            <w:pPr>
              <w:pStyle w:val="107"/>
              <w:shd w:val="clear" w:fill="FFFFFF" w:themeFill="background1"/>
              <w:jc w:val="center"/>
              <w:rPr>
                <w:rFonts w:hAnsi="宋体" w:cs="宋体"/>
                <w:color w:val="auto"/>
                <w:szCs w:val="21"/>
                <w:highlight w:val="none"/>
              </w:rPr>
            </w:pPr>
          </w:p>
        </w:tc>
        <w:tc>
          <w:tcPr>
            <w:tcW w:w="1339" w:type="dxa"/>
          </w:tcPr>
          <w:p w14:paraId="727C3429">
            <w:pPr>
              <w:pStyle w:val="107"/>
              <w:shd w:val="clear" w:fill="FFFFFF" w:themeFill="background1"/>
              <w:jc w:val="center"/>
              <w:rPr>
                <w:rFonts w:hAnsi="宋体" w:cs="宋体"/>
                <w:color w:val="auto"/>
                <w:szCs w:val="21"/>
                <w:highlight w:val="none"/>
              </w:rPr>
            </w:pPr>
          </w:p>
        </w:tc>
        <w:tc>
          <w:tcPr>
            <w:tcW w:w="1355" w:type="dxa"/>
          </w:tcPr>
          <w:p w14:paraId="5516CC04">
            <w:pPr>
              <w:pStyle w:val="107"/>
              <w:shd w:val="clear" w:fill="FFFFFF" w:themeFill="background1"/>
              <w:jc w:val="center"/>
              <w:rPr>
                <w:rFonts w:hAnsi="宋体" w:cs="宋体"/>
                <w:color w:val="auto"/>
                <w:szCs w:val="21"/>
                <w:highlight w:val="none"/>
              </w:rPr>
            </w:pPr>
          </w:p>
        </w:tc>
        <w:tc>
          <w:tcPr>
            <w:tcW w:w="1141" w:type="dxa"/>
          </w:tcPr>
          <w:p w14:paraId="70151D04">
            <w:pPr>
              <w:pStyle w:val="107"/>
              <w:shd w:val="clear" w:fill="FFFFFF" w:themeFill="background1"/>
              <w:jc w:val="center"/>
              <w:rPr>
                <w:rFonts w:hAnsi="宋体" w:cs="宋体"/>
                <w:color w:val="auto"/>
                <w:szCs w:val="21"/>
                <w:highlight w:val="none"/>
              </w:rPr>
            </w:pPr>
          </w:p>
        </w:tc>
      </w:tr>
      <w:tr w14:paraId="5ADD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3080789E">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67AF24B4">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安全负责人</w:t>
            </w:r>
          </w:p>
        </w:tc>
        <w:tc>
          <w:tcPr>
            <w:tcW w:w="1080" w:type="dxa"/>
          </w:tcPr>
          <w:p w14:paraId="240D1B8A">
            <w:pPr>
              <w:pStyle w:val="107"/>
              <w:shd w:val="clear" w:fill="FFFFFF" w:themeFill="background1"/>
              <w:jc w:val="center"/>
              <w:rPr>
                <w:rFonts w:hAnsi="宋体" w:cs="宋体"/>
                <w:color w:val="auto"/>
                <w:szCs w:val="21"/>
                <w:highlight w:val="none"/>
              </w:rPr>
            </w:pPr>
          </w:p>
        </w:tc>
        <w:tc>
          <w:tcPr>
            <w:tcW w:w="1980" w:type="dxa"/>
          </w:tcPr>
          <w:p w14:paraId="41E9B80B">
            <w:pPr>
              <w:pStyle w:val="107"/>
              <w:shd w:val="clear" w:fill="FFFFFF" w:themeFill="background1"/>
              <w:jc w:val="center"/>
              <w:rPr>
                <w:rFonts w:hAnsi="宋体" w:cs="宋体"/>
                <w:color w:val="auto"/>
                <w:szCs w:val="21"/>
                <w:highlight w:val="none"/>
              </w:rPr>
            </w:pPr>
          </w:p>
        </w:tc>
        <w:tc>
          <w:tcPr>
            <w:tcW w:w="1025" w:type="dxa"/>
          </w:tcPr>
          <w:p w14:paraId="6401F112">
            <w:pPr>
              <w:pStyle w:val="107"/>
              <w:shd w:val="clear" w:fill="FFFFFF" w:themeFill="background1"/>
              <w:jc w:val="center"/>
              <w:rPr>
                <w:rFonts w:hAnsi="宋体" w:cs="宋体"/>
                <w:color w:val="auto"/>
                <w:szCs w:val="21"/>
                <w:highlight w:val="none"/>
              </w:rPr>
            </w:pPr>
          </w:p>
        </w:tc>
        <w:tc>
          <w:tcPr>
            <w:tcW w:w="1339" w:type="dxa"/>
          </w:tcPr>
          <w:p w14:paraId="396BF828">
            <w:pPr>
              <w:pStyle w:val="107"/>
              <w:shd w:val="clear" w:fill="FFFFFF" w:themeFill="background1"/>
              <w:jc w:val="center"/>
              <w:rPr>
                <w:rFonts w:hAnsi="宋体" w:cs="宋体"/>
                <w:color w:val="auto"/>
                <w:szCs w:val="21"/>
                <w:highlight w:val="none"/>
              </w:rPr>
            </w:pPr>
          </w:p>
        </w:tc>
        <w:tc>
          <w:tcPr>
            <w:tcW w:w="1355" w:type="dxa"/>
          </w:tcPr>
          <w:p w14:paraId="526848F7">
            <w:pPr>
              <w:pStyle w:val="107"/>
              <w:shd w:val="clear" w:fill="FFFFFF" w:themeFill="background1"/>
              <w:jc w:val="center"/>
              <w:rPr>
                <w:rFonts w:hAnsi="宋体" w:cs="宋体"/>
                <w:color w:val="auto"/>
                <w:szCs w:val="21"/>
                <w:highlight w:val="none"/>
              </w:rPr>
            </w:pPr>
          </w:p>
        </w:tc>
        <w:tc>
          <w:tcPr>
            <w:tcW w:w="1141" w:type="dxa"/>
          </w:tcPr>
          <w:p w14:paraId="11E966EA">
            <w:pPr>
              <w:pStyle w:val="107"/>
              <w:shd w:val="clear" w:fill="FFFFFF" w:themeFill="background1"/>
              <w:jc w:val="center"/>
              <w:rPr>
                <w:rFonts w:hAnsi="宋体" w:cs="宋体"/>
                <w:color w:val="auto"/>
                <w:szCs w:val="21"/>
                <w:highlight w:val="none"/>
              </w:rPr>
            </w:pPr>
          </w:p>
        </w:tc>
      </w:tr>
      <w:tr w14:paraId="5949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40" w:type="dxa"/>
          </w:tcPr>
          <w:p w14:paraId="2810A22B">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4E0F2AF7">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计划负责人</w:t>
            </w:r>
          </w:p>
        </w:tc>
        <w:tc>
          <w:tcPr>
            <w:tcW w:w="1080" w:type="dxa"/>
          </w:tcPr>
          <w:p w14:paraId="2B59D076">
            <w:pPr>
              <w:pStyle w:val="107"/>
              <w:shd w:val="clear" w:fill="FFFFFF" w:themeFill="background1"/>
              <w:jc w:val="center"/>
              <w:rPr>
                <w:rFonts w:hAnsi="宋体" w:cs="宋体"/>
                <w:color w:val="auto"/>
                <w:szCs w:val="21"/>
                <w:highlight w:val="none"/>
              </w:rPr>
            </w:pPr>
          </w:p>
        </w:tc>
        <w:tc>
          <w:tcPr>
            <w:tcW w:w="1980" w:type="dxa"/>
          </w:tcPr>
          <w:p w14:paraId="51CA79D6">
            <w:pPr>
              <w:pStyle w:val="107"/>
              <w:shd w:val="clear" w:fill="FFFFFF" w:themeFill="background1"/>
              <w:jc w:val="center"/>
              <w:rPr>
                <w:rFonts w:hAnsi="宋体" w:cs="宋体"/>
                <w:color w:val="auto"/>
                <w:szCs w:val="21"/>
                <w:highlight w:val="none"/>
              </w:rPr>
            </w:pPr>
          </w:p>
        </w:tc>
        <w:tc>
          <w:tcPr>
            <w:tcW w:w="1025" w:type="dxa"/>
          </w:tcPr>
          <w:p w14:paraId="056F3B99">
            <w:pPr>
              <w:pStyle w:val="107"/>
              <w:shd w:val="clear" w:fill="FFFFFF" w:themeFill="background1"/>
              <w:jc w:val="center"/>
              <w:rPr>
                <w:rFonts w:hAnsi="宋体" w:cs="宋体"/>
                <w:color w:val="auto"/>
                <w:szCs w:val="21"/>
                <w:highlight w:val="none"/>
              </w:rPr>
            </w:pPr>
          </w:p>
        </w:tc>
        <w:tc>
          <w:tcPr>
            <w:tcW w:w="1339" w:type="dxa"/>
          </w:tcPr>
          <w:p w14:paraId="4103A191">
            <w:pPr>
              <w:pStyle w:val="107"/>
              <w:shd w:val="clear" w:fill="FFFFFF" w:themeFill="background1"/>
              <w:jc w:val="center"/>
              <w:rPr>
                <w:rFonts w:hAnsi="宋体" w:cs="宋体"/>
                <w:color w:val="auto"/>
                <w:szCs w:val="21"/>
                <w:highlight w:val="none"/>
              </w:rPr>
            </w:pPr>
          </w:p>
        </w:tc>
        <w:tc>
          <w:tcPr>
            <w:tcW w:w="1355" w:type="dxa"/>
          </w:tcPr>
          <w:p w14:paraId="6F6DE687">
            <w:pPr>
              <w:pStyle w:val="107"/>
              <w:shd w:val="clear" w:fill="FFFFFF" w:themeFill="background1"/>
              <w:jc w:val="center"/>
              <w:rPr>
                <w:rFonts w:hAnsi="宋体" w:cs="宋体"/>
                <w:color w:val="auto"/>
                <w:szCs w:val="21"/>
                <w:highlight w:val="none"/>
              </w:rPr>
            </w:pPr>
          </w:p>
        </w:tc>
        <w:tc>
          <w:tcPr>
            <w:tcW w:w="1141" w:type="dxa"/>
          </w:tcPr>
          <w:p w14:paraId="06FC3647">
            <w:pPr>
              <w:pStyle w:val="107"/>
              <w:shd w:val="clear" w:fill="FFFFFF" w:themeFill="background1"/>
              <w:jc w:val="center"/>
              <w:rPr>
                <w:rFonts w:hAnsi="宋体" w:cs="宋体"/>
                <w:color w:val="auto"/>
                <w:szCs w:val="21"/>
                <w:highlight w:val="none"/>
              </w:rPr>
            </w:pPr>
          </w:p>
        </w:tc>
      </w:tr>
      <w:tr w14:paraId="388A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440" w:type="dxa"/>
          </w:tcPr>
          <w:p w14:paraId="525167A0">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48D291F7">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财务负责人</w:t>
            </w:r>
          </w:p>
        </w:tc>
        <w:tc>
          <w:tcPr>
            <w:tcW w:w="1080" w:type="dxa"/>
          </w:tcPr>
          <w:p w14:paraId="2E1406BF">
            <w:pPr>
              <w:pStyle w:val="107"/>
              <w:shd w:val="clear" w:fill="FFFFFF" w:themeFill="background1"/>
              <w:jc w:val="center"/>
              <w:rPr>
                <w:rFonts w:hAnsi="宋体" w:cs="宋体"/>
                <w:color w:val="auto"/>
                <w:szCs w:val="21"/>
                <w:highlight w:val="none"/>
              </w:rPr>
            </w:pPr>
          </w:p>
        </w:tc>
        <w:tc>
          <w:tcPr>
            <w:tcW w:w="1980" w:type="dxa"/>
          </w:tcPr>
          <w:p w14:paraId="560CB1A8">
            <w:pPr>
              <w:pStyle w:val="107"/>
              <w:shd w:val="clear" w:fill="FFFFFF" w:themeFill="background1"/>
              <w:jc w:val="center"/>
              <w:rPr>
                <w:rFonts w:hAnsi="宋体" w:cs="宋体"/>
                <w:color w:val="auto"/>
                <w:szCs w:val="21"/>
                <w:highlight w:val="none"/>
              </w:rPr>
            </w:pPr>
          </w:p>
        </w:tc>
        <w:tc>
          <w:tcPr>
            <w:tcW w:w="1025" w:type="dxa"/>
          </w:tcPr>
          <w:p w14:paraId="48186D5C">
            <w:pPr>
              <w:pStyle w:val="107"/>
              <w:shd w:val="clear" w:fill="FFFFFF" w:themeFill="background1"/>
              <w:jc w:val="center"/>
              <w:rPr>
                <w:rFonts w:hAnsi="宋体" w:cs="宋体"/>
                <w:color w:val="auto"/>
                <w:szCs w:val="21"/>
                <w:highlight w:val="none"/>
              </w:rPr>
            </w:pPr>
          </w:p>
        </w:tc>
        <w:tc>
          <w:tcPr>
            <w:tcW w:w="1339" w:type="dxa"/>
          </w:tcPr>
          <w:p w14:paraId="2F572CB7">
            <w:pPr>
              <w:pStyle w:val="107"/>
              <w:shd w:val="clear" w:fill="FFFFFF" w:themeFill="background1"/>
              <w:jc w:val="center"/>
              <w:rPr>
                <w:rFonts w:hAnsi="宋体" w:cs="宋体"/>
                <w:color w:val="auto"/>
                <w:szCs w:val="21"/>
                <w:highlight w:val="none"/>
              </w:rPr>
            </w:pPr>
          </w:p>
        </w:tc>
        <w:tc>
          <w:tcPr>
            <w:tcW w:w="1355" w:type="dxa"/>
          </w:tcPr>
          <w:p w14:paraId="5858A41D">
            <w:pPr>
              <w:pStyle w:val="107"/>
              <w:shd w:val="clear" w:fill="FFFFFF" w:themeFill="background1"/>
              <w:jc w:val="center"/>
              <w:rPr>
                <w:rFonts w:hAnsi="宋体" w:cs="宋体"/>
                <w:color w:val="auto"/>
                <w:szCs w:val="21"/>
                <w:highlight w:val="none"/>
              </w:rPr>
            </w:pPr>
          </w:p>
        </w:tc>
        <w:tc>
          <w:tcPr>
            <w:tcW w:w="1141" w:type="dxa"/>
          </w:tcPr>
          <w:p w14:paraId="1EF082F0">
            <w:pPr>
              <w:pStyle w:val="107"/>
              <w:shd w:val="clear" w:fill="FFFFFF" w:themeFill="background1"/>
              <w:jc w:val="center"/>
              <w:rPr>
                <w:rFonts w:hAnsi="宋体" w:cs="宋体"/>
                <w:color w:val="auto"/>
                <w:szCs w:val="21"/>
                <w:highlight w:val="none"/>
              </w:rPr>
            </w:pPr>
          </w:p>
        </w:tc>
      </w:tr>
      <w:tr w14:paraId="5037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2DD0DD1E">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w:t>
            </w:r>
          </w:p>
        </w:tc>
        <w:tc>
          <w:tcPr>
            <w:tcW w:w="1080" w:type="dxa"/>
          </w:tcPr>
          <w:p w14:paraId="1E3146B6">
            <w:pPr>
              <w:pStyle w:val="107"/>
              <w:shd w:val="clear" w:fill="FFFFFF" w:themeFill="background1"/>
              <w:jc w:val="center"/>
              <w:rPr>
                <w:rFonts w:hAnsi="宋体" w:cs="宋体"/>
                <w:color w:val="auto"/>
                <w:szCs w:val="21"/>
                <w:highlight w:val="none"/>
              </w:rPr>
            </w:pPr>
          </w:p>
        </w:tc>
        <w:tc>
          <w:tcPr>
            <w:tcW w:w="1980" w:type="dxa"/>
          </w:tcPr>
          <w:p w14:paraId="4392D5F3">
            <w:pPr>
              <w:pStyle w:val="107"/>
              <w:shd w:val="clear" w:fill="FFFFFF" w:themeFill="background1"/>
              <w:jc w:val="center"/>
              <w:rPr>
                <w:rFonts w:hAnsi="宋体" w:cs="宋体"/>
                <w:color w:val="auto"/>
                <w:szCs w:val="21"/>
                <w:highlight w:val="none"/>
              </w:rPr>
            </w:pPr>
          </w:p>
        </w:tc>
        <w:tc>
          <w:tcPr>
            <w:tcW w:w="1025" w:type="dxa"/>
          </w:tcPr>
          <w:p w14:paraId="54DD5DE1">
            <w:pPr>
              <w:pStyle w:val="107"/>
              <w:shd w:val="clear" w:fill="FFFFFF" w:themeFill="background1"/>
              <w:jc w:val="center"/>
              <w:rPr>
                <w:rFonts w:hAnsi="宋体" w:cs="宋体"/>
                <w:color w:val="auto"/>
                <w:szCs w:val="21"/>
                <w:highlight w:val="none"/>
              </w:rPr>
            </w:pPr>
          </w:p>
        </w:tc>
        <w:tc>
          <w:tcPr>
            <w:tcW w:w="1339" w:type="dxa"/>
          </w:tcPr>
          <w:p w14:paraId="24177BDD">
            <w:pPr>
              <w:pStyle w:val="107"/>
              <w:shd w:val="clear" w:fill="FFFFFF" w:themeFill="background1"/>
              <w:jc w:val="center"/>
              <w:rPr>
                <w:rFonts w:hAnsi="宋体" w:cs="宋体"/>
                <w:color w:val="auto"/>
                <w:szCs w:val="21"/>
                <w:highlight w:val="none"/>
              </w:rPr>
            </w:pPr>
          </w:p>
        </w:tc>
        <w:tc>
          <w:tcPr>
            <w:tcW w:w="1355" w:type="dxa"/>
          </w:tcPr>
          <w:p w14:paraId="4CE4A07D">
            <w:pPr>
              <w:pStyle w:val="107"/>
              <w:shd w:val="clear" w:fill="FFFFFF" w:themeFill="background1"/>
              <w:jc w:val="center"/>
              <w:rPr>
                <w:rFonts w:hAnsi="宋体" w:cs="宋体"/>
                <w:color w:val="auto"/>
                <w:szCs w:val="21"/>
                <w:highlight w:val="none"/>
              </w:rPr>
            </w:pPr>
          </w:p>
        </w:tc>
        <w:tc>
          <w:tcPr>
            <w:tcW w:w="1141" w:type="dxa"/>
          </w:tcPr>
          <w:p w14:paraId="63CDB879">
            <w:pPr>
              <w:pStyle w:val="107"/>
              <w:shd w:val="clear" w:fill="FFFFFF" w:themeFill="background1"/>
              <w:jc w:val="center"/>
              <w:rPr>
                <w:rFonts w:hAnsi="宋体" w:cs="宋体"/>
                <w:color w:val="auto"/>
                <w:szCs w:val="21"/>
                <w:highlight w:val="none"/>
              </w:rPr>
            </w:pPr>
          </w:p>
        </w:tc>
      </w:tr>
      <w:tr w14:paraId="3172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275E422B">
            <w:pPr>
              <w:pStyle w:val="107"/>
              <w:shd w:val="clear" w:fill="FFFFFF" w:themeFill="background1"/>
              <w:jc w:val="center"/>
              <w:rPr>
                <w:rFonts w:hAnsi="宋体" w:cs="宋体"/>
                <w:color w:val="auto"/>
                <w:szCs w:val="21"/>
                <w:highlight w:val="none"/>
              </w:rPr>
            </w:pPr>
          </w:p>
        </w:tc>
        <w:tc>
          <w:tcPr>
            <w:tcW w:w="1080" w:type="dxa"/>
          </w:tcPr>
          <w:p w14:paraId="58227730">
            <w:pPr>
              <w:pStyle w:val="107"/>
              <w:shd w:val="clear" w:fill="FFFFFF" w:themeFill="background1"/>
              <w:jc w:val="center"/>
              <w:rPr>
                <w:rFonts w:hAnsi="宋体" w:cs="宋体"/>
                <w:color w:val="auto"/>
                <w:szCs w:val="21"/>
                <w:highlight w:val="none"/>
              </w:rPr>
            </w:pPr>
          </w:p>
        </w:tc>
        <w:tc>
          <w:tcPr>
            <w:tcW w:w="1980" w:type="dxa"/>
          </w:tcPr>
          <w:p w14:paraId="59E39E89">
            <w:pPr>
              <w:pStyle w:val="107"/>
              <w:shd w:val="clear" w:fill="FFFFFF" w:themeFill="background1"/>
              <w:jc w:val="center"/>
              <w:rPr>
                <w:rFonts w:hAnsi="宋体" w:cs="宋体"/>
                <w:color w:val="auto"/>
                <w:szCs w:val="21"/>
                <w:highlight w:val="none"/>
              </w:rPr>
            </w:pPr>
          </w:p>
        </w:tc>
        <w:tc>
          <w:tcPr>
            <w:tcW w:w="1025" w:type="dxa"/>
          </w:tcPr>
          <w:p w14:paraId="4FD90956">
            <w:pPr>
              <w:pStyle w:val="107"/>
              <w:shd w:val="clear" w:fill="FFFFFF" w:themeFill="background1"/>
              <w:jc w:val="center"/>
              <w:rPr>
                <w:rFonts w:hAnsi="宋体" w:cs="宋体"/>
                <w:color w:val="auto"/>
                <w:szCs w:val="21"/>
                <w:highlight w:val="none"/>
              </w:rPr>
            </w:pPr>
          </w:p>
        </w:tc>
        <w:tc>
          <w:tcPr>
            <w:tcW w:w="1339" w:type="dxa"/>
          </w:tcPr>
          <w:p w14:paraId="35752404">
            <w:pPr>
              <w:pStyle w:val="107"/>
              <w:shd w:val="clear" w:fill="FFFFFF" w:themeFill="background1"/>
              <w:jc w:val="center"/>
              <w:rPr>
                <w:rFonts w:hAnsi="宋体" w:cs="宋体"/>
                <w:color w:val="auto"/>
                <w:szCs w:val="21"/>
                <w:highlight w:val="none"/>
              </w:rPr>
            </w:pPr>
          </w:p>
        </w:tc>
        <w:tc>
          <w:tcPr>
            <w:tcW w:w="1355" w:type="dxa"/>
          </w:tcPr>
          <w:p w14:paraId="466ADEF0">
            <w:pPr>
              <w:pStyle w:val="107"/>
              <w:shd w:val="clear" w:fill="FFFFFF" w:themeFill="background1"/>
              <w:jc w:val="center"/>
              <w:rPr>
                <w:rFonts w:hAnsi="宋体" w:cs="宋体"/>
                <w:color w:val="auto"/>
                <w:szCs w:val="21"/>
                <w:highlight w:val="none"/>
              </w:rPr>
            </w:pPr>
          </w:p>
        </w:tc>
        <w:tc>
          <w:tcPr>
            <w:tcW w:w="1141" w:type="dxa"/>
          </w:tcPr>
          <w:p w14:paraId="2EA661CB">
            <w:pPr>
              <w:pStyle w:val="107"/>
              <w:shd w:val="clear" w:fill="FFFFFF" w:themeFill="background1"/>
              <w:jc w:val="center"/>
              <w:rPr>
                <w:rFonts w:hAnsi="宋体" w:cs="宋体"/>
                <w:color w:val="auto"/>
                <w:szCs w:val="21"/>
                <w:highlight w:val="none"/>
              </w:rPr>
            </w:pPr>
          </w:p>
        </w:tc>
      </w:tr>
    </w:tbl>
    <w:p w14:paraId="06F52E77">
      <w:pPr>
        <w:pStyle w:val="107"/>
        <w:shd w:val="clear" w:fill="FFFFFF" w:themeFill="background1"/>
        <w:rPr>
          <w:rFonts w:hAnsi="宋体" w:cs="宋体"/>
          <w:color w:val="auto"/>
          <w:szCs w:val="21"/>
          <w:highlight w:val="none"/>
        </w:rPr>
      </w:pPr>
      <w:r>
        <w:rPr>
          <w:rFonts w:hint="eastAsia" w:hAnsi="宋体" w:cs="宋体"/>
          <w:color w:val="auto"/>
          <w:highlight w:val="none"/>
        </w:rPr>
        <w:t>附：身份证件、职称证书、资格证书、劳动合同等复印件。</w:t>
      </w:r>
    </w:p>
    <w:p w14:paraId="55DD3D2D">
      <w:pPr>
        <w:pStyle w:val="107"/>
        <w:shd w:val="clear" w:fill="FFFFFF" w:themeFill="background1"/>
        <w:jc w:val="center"/>
        <w:rPr>
          <w:rFonts w:hAnsi="宋体" w:cs="宋体"/>
          <w:b/>
          <w:color w:val="auto"/>
          <w:sz w:val="28"/>
          <w:szCs w:val="28"/>
          <w:highlight w:val="none"/>
        </w:rPr>
      </w:pPr>
    </w:p>
    <w:p w14:paraId="24E3EDBA">
      <w:pPr>
        <w:pStyle w:val="107"/>
        <w:shd w:val="clear" w:fill="FFFFFF" w:themeFill="background1"/>
        <w:jc w:val="center"/>
        <w:rPr>
          <w:rFonts w:hAnsi="宋体" w:cs="宋体"/>
          <w:b/>
          <w:color w:val="auto"/>
          <w:sz w:val="28"/>
          <w:szCs w:val="28"/>
          <w:highlight w:val="none"/>
        </w:rPr>
      </w:pPr>
      <w:r>
        <w:rPr>
          <w:rFonts w:hint="eastAsia" w:hAnsi="宋体" w:cs="宋体"/>
          <w:b/>
          <w:color w:val="auto"/>
          <w:sz w:val="28"/>
          <w:szCs w:val="28"/>
          <w:highlight w:val="none"/>
        </w:rPr>
        <w:t>附表2：分包人投入设备表</w:t>
      </w:r>
    </w:p>
    <w:p w14:paraId="30E4C8F1">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68DA85B6">
      <w:pPr>
        <w:pStyle w:val="107"/>
        <w:shd w:val="clear" w:fill="FFFFFF" w:themeFill="background1"/>
        <w:rPr>
          <w:rFonts w:hAnsi="宋体" w:cs="宋体"/>
          <w:b/>
          <w:bCs/>
          <w:color w:val="auto"/>
          <w:highlight w:val="none"/>
        </w:rPr>
      </w:pPr>
      <w:r>
        <w:rPr>
          <w:rFonts w:hint="eastAsia" w:hAnsi="宋体" w:cs="宋体"/>
          <w:color w:val="auto"/>
          <w:highlight w:val="none"/>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0"/>
        <w:gridCol w:w="1080"/>
        <w:gridCol w:w="1080"/>
        <w:gridCol w:w="1080"/>
        <w:gridCol w:w="1440"/>
        <w:gridCol w:w="1440"/>
      </w:tblGrid>
      <w:tr w14:paraId="5B15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14:paraId="3DDF93B5">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设备名称</w:t>
            </w:r>
          </w:p>
        </w:tc>
        <w:tc>
          <w:tcPr>
            <w:tcW w:w="1590" w:type="dxa"/>
            <w:vAlign w:val="center"/>
          </w:tcPr>
          <w:p w14:paraId="0E4FBA83">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型号</w:t>
            </w:r>
          </w:p>
        </w:tc>
        <w:tc>
          <w:tcPr>
            <w:tcW w:w="1080" w:type="dxa"/>
            <w:vAlign w:val="center"/>
          </w:tcPr>
          <w:p w14:paraId="76A5E90A">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性能</w:t>
            </w:r>
          </w:p>
        </w:tc>
        <w:tc>
          <w:tcPr>
            <w:tcW w:w="1080" w:type="dxa"/>
            <w:vAlign w:val="center"/>
          </w:tcPr>
          <w:p w14:paraId="113B636A">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数量</w:t>
            </w:r>
          </w:p>
        </w:tc>
        <w:tc>
          <w:tcPr>
            <w:tcW w:w="1080" w:type="dxa"/>
            <w:vAlign w:val="center"/>
          </w:tcPr>
          <w:p w14:paraId="69DE805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进场时间</w:t>
            </w:r>
          </w:p>
        </w:tc>
        <w:tc>
          <w:tcPr>
            <w:tcW w:w="1440" w:type="dxa"/>
            <w:vAlign w:val="center"/>
          </w:tcPr>
          <w:p w14:paraId="49D2331A">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承诺违约金（元/日）</w:t>
            </w:r>
          </w:p>
        </w:tc>
        <w:tc>
          <w:tcPr>
            <w:tcW w:w="1440" w:type="dxa"/>
            <w:vAlign w:val="center"/>
          </w:tcPr>
          <w:p w14:paraId="6975CFBE">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备注</w:t>
            </w:r>
          </w:p>
        </w:tc>
      </w:tr>
      <w:tr w14:paraId="56DD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3E57D2EB">
            <w:pPr>
              <w:pStyle w:val="107"/>
              <w:shd w:val="clear" w:fill="FFFFFF" w:themeFill="background1"/>
              <w:jc w:val="center"/>
              <w:rPr>
                <w:rFonts w:hAnsi="宋体" w:cs="宋体"/>
                <w:color w:val="auto"/>
                <w:sz w:val="18"/>
                <w:highlight w:val="none"/>
              </w:rPr>
            </w:pPr>
          </w:p>
        </w:tc>
        <w:tc>
          <w:tcPr>
            <w:tcW w:w="1590" w:type="dxa"/>
          </w:tcPr>
          <w:p w14:paraId="76BDAA52">
            <w:pPr>
              <w:pStyle w:val="107"/>
              <w:shd w:val="clear" w:fill="FFFFFF" w:themeFill="background1"/>
              <w:jc w:val="center"/>
              <w:rPr>
                <w:rFonts w:hAnsi="宋体" w:cs="宋体"/>
                <w:color w:val="auto"/>
                <w:sz w:val="18"/>
                <w:highlight w:val="none"/>
              </w:rPr>
            </w:pPr>
          </w:p>
        </w:tc>
        <w:tc>
          <w:tcPr>
            <w:tcW w:w="1080" w:type="dxa"/>
          </w:tcPr>
          <w:p w14:paraId="7CE72AD9">
            <w:pPr>
              <w:pStyle w:val="107"/>
              <w:shd w:val="clear" w:fill="FFFFFF" w:themeFill="background1"/>
              <w:jc w:val="center"/>
              <w:rPr>
                <w:rFonts w:hAnsi="宋体" w:cs="宋体"/>
                <w:color w:val="auto"/>
                <w:sz w:val="18"/>
                <w:highlight w:val="none"/>
              </w:rPr>
            </w:pPr>
          </w:p>
        </w:tc>
        <w:tc>
          <w:tcPr>
            <w:tcW w:w="1080" w:type="dxa"/>
          </w:tcPr>
          <w:p w14:paraId="1CFD4BAD">
            <w:pPr>
              <w:pStyle w:val="107"/>
              <w:shd w:val="clear" w:fill="FFFFFF" w:themeFill="background1"/>
              <w:jc w:val="center"/>
              <w:rPr>
                <w:rFonts w:hAnsi="宋体" w:cs="宋体"/>
                <w:color w:val="auto"/>
                <w:sz w:val="18"/>
                <w:highlight w:val="none"/>
              </w:rPr>
            </w:pPr>
          </w:p>
        </w:tc>
        <w:tc>
          <w:tcPr>
            <w:tcW w:w="1080" w:type="dxa"/>
          </w:tcPr>
          <w:p w14:paraId="4EE1C2F2">
            <w:pPr>
              <w:pStyle w:val="107"/>
              <w:shd w:val="clear" w:fill="FFFFFF" w:themeFill="background1"/>
              <w:jc w:val="center"/>
              <w:rPr>
                <w:rFonts w:hAnsi="宋体" w:cs="宋体"/>
                <w:color w:val="auto"/>
                <w:sz w:val="18"/>
                <w:highlight w:val="none"/>
              </w:rPr>
            </w:pPr>
          </w:p>
        </w:tc>
        <w:tc>
          <w:tcPr>
            <w:tcW w:w="1440" w:type="dxa"/>
          </w:tcPr>
          <w:p w14:paraId="0D786A72">
            <w:pPr>
              <w:pStyle w:val="107"/>
              <w:shd w:val="clear" w:fill="FFFFFF" w:themeFill="background1"/>
              <w:jc w:val="center"/>
              <w:rPr>
                <w:rFonts w:hAnsi="宋体" w:cs="宋体"/>
                <w:color w:val="auto"/>
                <w:sz w:val="18"/>
                <w:highlight w:val="none"/>
              </w:rPr>
            </w:pPr>
          </w:p>
        </w:tc>
        <w:tc>
          <w:tcPr>
            <w:tcW w:w="1440" w:type="dxa"/>
          </w:tcPr>
          <w:p w14:paraId="5DA55E9F">
            <w:pPr>
              <w:pStyle w:val="107"/>
              <w:shd w:val="clear" w:fill="FFFFFF" w:themeFill="background1"/>
              <w:jc w:val="center"/>
              <w:rPr>
                <w:rFonts w:hAnsi="宋体" w:cs="宋体"/>
                <w:color w:val="auto"/>
                <w:sz w:val="18"/>
                <w:highlight w:val="none"/>
              </w:rPr>
            </w:pPr>
          </w:p>
        </w:tc>
      </w:tr>
      <w:tr w14:paraId="2DDE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71086D44">
            <w:pPr>
              <w:pStyle w:val="107"/>
              <w:shd w:val="clear" w:fill="FFFFFF" w:themeFill="background1"/>
              <w:jc w:val="center"/>
              <w:rPr>
                <w:rFonts w:hAnsi="宋体" w:cs="宋体"/>
                <w:color w:val="auto"/>
                <w:sz w:val="18"/>
                <w:highlight w:val="none"/>
              </w:rPr>
            </w:pPr>
          </w:p>
        </w:tc>
        <w:tc>
          <w:tcPr>
            <w:tcW w:w="1590" w:type="dxa"/>
          </w:tcPr>
          <w:p w14:paraId="2D68844E">
            <w:pPr>
              <w:pStyle w:val="107"/>
              <w:shd w:val="clear" w:fill="FFFFFF" w:themeFill="background1"/>
              <w:jc w:val="center"/>
              <w:rPr>
                <w:rFonts w:hAnsi="宋体" w:cs="宋体"/>
                <w:color w:val="auto"/>
                <w:sz w:val="18"/>
                <w:highlight w:val="none"/>
              </w:rPr>
            </w:pPr>
          </w:p>
        </w:tc>
        <w:tc>
          <w:tcPr>
            <w:tcW w:w="1080" w:type="dxa"/>
          </w:tcPr>
          <w:p w14:paraId="0B47F1F6">
            <w:pPr>
              <w:pStyle w:val="107"/>
              <w:shd w:val="clear" w:fill="FFFFFF" w:themeFill="background1"/>
              <w:jc w:val="center"/>
              <w:rPr>
                <w:rFonts w:hAnsi="宋体" w:cs="宋体"/>
                <w:color w:val="auto"/>
                <w:sz w:val="18"/>
                <w:highlight w:val="none"/>
              </w:rPr>
            </w:pPr>
          </w:p>
        </w:tc>
        <w:tc>
          <w:tcPr>
            <w:tcW w:w="1080" w:type="dxa"/>
          </w:tcPr>
          <w:p w14:paraId="5A7EE7C9">
            <w:pPr>
              <w:pStyle w:val="107"/>
              <w:shd w:val="clear" w:fill="FFFFFF" w:themeFill="background1"/>
              <w:jc w:val="center"/>
              <w:rPr>
                <w:rFonts w:hAnsi="宋体" w:cs="宋体"/>
                <w:color w:val="auto"/>
                <w:sz w:val="18"/>
                <w:highlight w:val="none"/>
              </w:rPr>
            </w:pPr>
          </w:p>
        </w:tc>
        <w:tc>
          <w:tcPr>
            <w:tcW w:w="1080" w:type="dxa"/>
          </w:tcPr>
          <w:p w14:paraId="5CC660E3">
            <w:pPr>
              <w:pStyle w:val="107"/>
              <w:shd w:val="clear" w:fill="FFFFFF" w:themeFill="background1"/>
              <w:jc w:val="center"/>
              <w:rPr>
                <w:rFonts w:hAnsi="宋体" w:cs="宋体"/>
                <w:color w:val="auto"/>
                <w:sz w:val="18"/>
                <w:highlight w:val="none"/>
              </w:rPr>
            </w:pPr>
          </w:p>
        </w:tc>
        <w:tc>
          <w:tcPr>
            <w:tcW w:w="1440" w:type="dxa"/>
          </w:tcPr>
          <w:p w14:paraId="1C8671AE">
            <w:pPr>
              <w:pStyle w:val="107"/>
              <w:shd w:val="clear" w:fill="FFFFFF" w:themeFill="background1"/>
              <w:jc w:val="center"/>
              <w:rPr>
                <w:rFonts w:hAnsi="宋体" w:cs="宋体"/>
                <w:color w:val="auto"/>
                <w:sz w:val="18"/>
                <w:highlight w:val="none"/>
              </w:rPr>
            </w:pPr>
          </w:p>
        </w:tc>
        <w:tc>
          <w:tcPr>
            <w:tcW w:w="1440" w:type="dxa"/>
          </w:tcPr>
          <w:p w14:paraId="06792A96">
            <w:pPr>
              <w:pStyle w:val="107"/>
              <w:shd w:val="clear" w:fill="FFFFFF" w:themeFill="background1"/>
              <w:jc w:val="center"/>
              <w:rPr>
                <w:rFonts w:hAnsi="宋体" w:cs="宋体"/>
                <w:color w:val="auto"/>
                <w:sz w:val="18"/>
                <w:highlight w:val="none"/>
              </w:rPr>
            </w:pPr>
          </w:p>
        </w:tc>
      </w:tr>
      <w:tr w14:paraId="0F38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7CD99664">
            <w:pPr>
              <w:pStyle w:val="107"/>
              <w:shd w:val="clear" w:fill="FFFFFF" w:themeFill="background1"/>
              <w:jc w:val="center"/>
              <w:rPr>
                <w:rFonts w:hAnsi="宋体" w:cs="宋体"/>
                <w:color w:val="auto"/>
                <w:sz w:val="18"/>
                <w:highlight w:val="none"/>
              </w:rPr>
            </w:pPr>
          </w:p>
        </w:tc>
        <w:tc>
          <w:tcPr>
            <w:tcW w:w="1590" w:type="dxa"/>
          </w:tcPr>
          <w:p w14:paraId="68C14748">
            <w:pPr>
              <w:pStyle w:val="107"/>
              <w:shd w:val="clear" w:fill="FFFFFF" w:themeFill="background1"/>
              <w:jc w:val="center"/>
              <w:rPr>
                <w:rFonts w:hAnsi="宋体" w:cs="宋体"/>
                <w:color w:val="auto"/>
                <w:sz w:val="18"/>
                <w:highlight w:val="none"/>
              </w:rPr>
            </w:pPr>
          </w:p>
        </w:tc>
        <w:tc>
          <w:tcPr>
            <w:tcW w:w="1080" w:type="dxa"/>
          </w:tcPr>
          <w:p w14:paraId="61F6D562">
            <w:pPr>
              <w:pStyle w:val="107"/>
              <w:shd w:val="clear" w:fill="FFFFFF" w:themeFill="background1"/>
              <w:jc w:val="center"/>
              <w:rPr>
                <w:rFonts w:hAnsi="宋体" w:cs="宋体"/>
                <w:color w:val="auto"/>
                <w:sz w:val="18"/>
                <w:highlight w:val="none"/>
              </w:rPr>
            </w:pPr>
          </w:p>
        </w:tc>
        <w:tc>
          <w:tcPr>
            <w:tcW w:w="1080" w:type="dxa"/>
          </w:tcPr>
          <w:p w14:paraId="6FA007F6">
            <w:pPr>
              <w:pStyle w:val="107"/>
              <w:shd w:val="clear" w:fill="FFFFFF" w:themeFill="background1"/>
              <w:jc w:val="center"/>
              <w:rPr>
                <w:rFonts w:hAnsi="宋体" w:cs="宋体"/>
                <w:color w:val="auto"/>
                <w:sz w:val="18"/>
                <w:highlight w:val="none"/>
              </w:rPr>
            </w:pPr>
          </w:p>
        </w:tc>
        <w:tc>
          <w:tcPr>
            <w:tcW w:w="1080" w:type="dxa"/>
          </w:tcPr>
          <w:p w14:paraId="2CCDDAC2">
            <w:pPr>
              <w:pStyle w:val="107"/>
              <w:shd w:val="clear" w:fill="FFFFFF" w:themeFill="background1"/>
              <w:jc w:val="center"/>
              <w:rPr>
                <w:rFonts w:hAnsi="宋体" w:cs="宋体"/>
                <w:color w:val="auto"/>
                <w:sz w:val="18"/>
                <w:highlight w:val="none"/>
              </w:rPr>
            </w:pPr>
          </w:p>
        </w:tc>
        <w:tc>
          <w:tcPr>
            <w:tcW w:w="1440" w:type="dxa"/>
          </w:tcPr>
          <w:p w14:paraId="2A9F3045">
            <w:pPr>
              <w:pStyle w:val="107"/>
              <w:shd w:val="clear" w:fill="FFFFFF" w:themeFill="background1"/>
              <w:jc w:val="center"/>
              <w:rPr>
                <w:rFonts w:hAnsi="宋体" w:cs="宋体"/>
                <w:color w:val="auto"/>
                <w:sz w:val="18"/>
                <w:highlight w:val="none"/>
              </w:rPr>
            </w:pPr>
          </w:p>
        </w:tc>
        <w:tc>
          <w:tcPr>
            <w:tcW w:w="1440" w:type="dxa"/>
          </w:tcPr>
          <w:p w14:paraId="3A605C18">
            <w:pPr>
              <w:pStyle w:val="107"/>
              <w:shd w:val="clear" w:fill="FFFFFF" w:themeFill="background1"/>
              <w:jc w:val="center"/>
              <w:rPr>
                <w:rFonts w:hAnsi="宋体" w:cs="宋体"/>
                <w:color w:val="auto"/>
                <w:sz w:val="18"/>
                <w:highlight w:val="none"/>
              </w:rPr>
            </w:pPr>
          </w:p>
        </w:tc>
      </w:tr>
    </w:tbl>
    <w:p w14:paraId="7A00752A">
      <w:pPr>
        <w:pStyle w:val="107"/>
        <w:shd w:val="clear" w:fill="FFFFFF" w:themeFill="background1"/>
        <w:rPr>
          <w:rFonts w:hAnsi="宋体" w:cs="宋体"/>
          <w:color w:val="auto"/>
          <w:szCs w:val="21"/>
          <w:highlight w:val="none"/>
        </w:rPr>
      </w:pPr>
    </w:p>
    <w:p w14:paraId="2F9FEB24">
      <w:pPr>
        <w:pStyle w:val="107"/>
        <w:shd w:val="clear" w:fill="FFFFFF" w:themeFill="background1"/>
        <w:jc w:val="center"/>
        <w:rPr>
          <w:rFonts w:hAnsi="宋体" w:cs="宋体"/>
          <w:color w:val="auto"/>
          <w:sz w:val="28"/>
          <w:szCs w:val="28"/>
          <w:highlight w:val="none"/>
        </w:rPr>
      </w:pPr>
      <w:r>
        <w:rPr>
          <w:rFonts w:hint="eastAsia" w:hAnsi="宋体" w:cs="宋体"/>
          <w:b/>
          <w:color w:val="auto"/>
          <w:sz w:val="28"/>
          <w:szCs w:val="28"/>
          <w:highlight w:val="none"/>
        </w:rPr>
        <w:t>附表3：分包专项工程工程量清单</w:t>
      </w:r>
    </w:p>
    <w:p w14:paraId="0F72BC42">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30AD6CD0">
      <w:pPr>
        <w:pStyle w:val="107"/>
        <w:shd w:val="clear" w:fill="FFFFFF" w:themeFill="background1"/>
        <w:rPr>
          <w:rFonts w:hAnsi="宋体" w:cs="宋体"/>
          <w:b/>
          <w:bCs/>
          <w:color w:val="auto"/>
          <w:highlight w:val="none"/>
        </w:rPr>
      </w:pPr>
      <w:r>
        <w:rPr>
          <w:rFonts w:hint="eastAsia" w:hAnsi="宋体" w:cs="宋体"/>
          <w:color w:val="auto"/>
          <w:highlight w:val="none"/>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1122"/>
        <w:gridCol w:w="1140"/>
        <w:gridCol w:w="1140"/>
        <w:gridCol w:w="1123"/>
      </w:tblGrid>
      <w:tr w14:paraId="7624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Align w:val="center"/>
          </w:tcPr>
          <w:p w14:paraId="4982B0D2">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清单编号</w:t>
            </w:r>
          </w:p>
        </w:tc>
        <w:tc>
          <w:tcPr>
            <w:tcW w:w="1752" w:type="dxa"/>
            <w:vAlign w:val="center"/>
          </w:tcPr>
          <w:p w14:paraId="103854B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工程名称</w:t>
            </w:r>
          </w:p>
        </w:tc>
        <w:tc>
          <w:tcPr>
            <w:tcW w:w="1122" w:type="dxa"/>
            <w:vAlign w:val="center"/>
          </w:tcPr>
          <w:p w14:paraId="6E4E3A43">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单位</w:t>
            </w:r>
          </w:p>
        </w:tc>
        <w:tc>
          <w:tcPr>
            <w:tcW w:w="1122" w:type="dxa"/>
            <w:vAlign w:val="center"/>
          </w:tcPr>
          <w:p w14:paraId="174106E1">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数量</w:t>
            </w:r>
          </w:p>
        </w:tc>
        <w:tc>
          <w:tcPr>
            <w:tcW w:w="1140" w:type="dxa"/>
            <w:vAlign w:val="center"/>
          </w:tcPr>
          <w:p w14:paraId="38E3CC35">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单价</w:t>
            </w:r>
          </w:p>
          <w:p w14:paraId="2E30B9E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(元)</w:t>
            </w:r>
          </w:p>
        </w:tc>
        <w:tc>
          <w:tcPr>
            <w:tcW w:w="1140" w:type="dxa"/>
            <w:vAlign w:val="center"/>
          </w:tcPr>
          <w:p w14:paraId="452D31E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金额</w:t>
            </w:r>
          </w:p>
          <w:p w14:paraId="7BDA49C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(元)</w:t>
            </w:r>
          </w:p>
        </w:tc>
        <w:tc>
          <w:tcPr>
            <w:tcW w:w="1123" w:type="dxa"/>
            <w:vAlign w:val="center"/>
          </w:tcPr>
          <w:p w14:paraId="116864E7">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预定工期</w:t>
            </w:r>
          </w:p>
        </w:tc>
      </w:tr>
      <w:tr w14:paraId="26F7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2BF80618">
            <w:pPr>
              <w:pStyle w:val="107"/>
              <w:shd w:val="clear" w:fill="FFFFFF" w:themeFill="background1"/>
              <w:rPr>
                <w:rFonts w:hAnsi="宋体" w:cs="宋体"/>
                <w:b/>
                <w:color w:val="auto"/>
                <w:sz w:val="28"/>
                <w:szCs w:val="28"/>
                <w:highlight w:val="none"/>
              </w:rPr>
            </w:pPr>
          </w:p>
        </w:tc>
        <w:tc>
          <w:tcPr>
            <w:tcW w:w="1752" w:type="dxa"/>
          </w:tcPr>
          <w:p w14:paraId="5A16ABEB">
            <w:pPr>
              <w:pStyle w:val="107"/>
              <w:shd w:val="clear" w:fill="FFFFFF" w:themeFill="background1"/>
              <w:rPr>
                <w:rFonts w:hAnsi="宋体" w:cs="宋体"/>
                <w:b/>
                <w:color w:val="auto"/>
                <w:sz w:val="28"/>
                <w:szCs w:val="28"/>
                <w:highlight w:val="none"/>
              </w:rPr>
            </w:pPr>
          </w:p>
        </w:tc>
        <w:tc>
          <w:tcPr>
            <w:tcW w:w="1122" w:type="dxa"/>
          </w:tcPr>
          <w:p w14:paraId="17527E15">
            <w:pPr>
              <w:pStyle w:val="107"/>
              <w:shd w:val="clear" w:fill="FFFFFF" w:themeFill="background1"/>
              <w:rPr>
                <w:rFonts w:hAnsi="宋体" w:cs="宋体"/>
                <w:b/>
                <w:color w:val="auto"/>
                <w:sz w:val="28"/>
                <w:szCs w:val="28"/>
                <w:highlight w:val="none"/>
              </w:rPr>
            </w:pPr>
          </w:p>
        </w:tc>
        <w:tc>
          <w:tcPr>
            <w:tcW w:w="1122" w:type="dxa"/>
          </w:tcPr>
          <w:p w14:paraId="7D4CDB52">
            <w:pPr>
              <w:pStyle w:val="107"/>
              <w:shd w:val="clear" w:fill="FFFFFF" w:themeFill="background1"/>
              <w:rPr>
                <w:rFonts w:hAnsi="宋体" w:cs="宋体"/>
                <w:b/>
                <w:color w:val="auto"/>
                <w:sz w:val="28"/>
                <w:szCs w:val="28"/>
                <w:highlight w:val="none"/>
              </w:rPr>
            </w:pPr>
          </w:p>
        </w:tc>
        <w:tc>
          <w:tcPr>
            <w:tcW w:w="1140" w:type="dxa"/>
          </w:tcPr>
          <w:p w14:paraId="31971F26">
            <w:pPr>
              <w:pStyle w:val="107"/>
              <w:shd w:val="clear" w:fill="FFFFFF" w:themeFill="background1"/>
              <w:rPr>
                <w:rFonts w:hAnsi="宋体" w:cs="宋体"/>
                <w:b/>
                <w:color w:val="auto"/>
                <w:sz w:val="28"/>
                <w:szCs w:val="28"/>
                <w:highlight w:val="none"/>
              </w:rPr>
            </w:pPr>
          </w:p>
        </w:tc>
        <w:tc>
          <w:tcPr>
            <w:tcW w:w="1140" w:type="dxa"/>
          </w:tcPr>
          <w:p w14:paraId="049C58A7">
            <w:pPr>
              <w:pStyle w:val="107"/>
              <w:shd w:val="clear" w:fill="FFFFFF" w:themeFill="background1"/>
              <w:rPr>
                <w:rFonts w:hAnsi="宋体" w:cs="宋体"/>
                <w:b/>
                <w:color w:val="auto"/>
                <w:sz w:val="28"/>
                <w:szCs w:val="28"/>
                <w:highlight w:val="none"/>
              </w:rPr>
            </w:pPr>
          </w:p>
        </w:tc>
        <w:tc>
          <w:tcPr>
            <w:tcW w:w="1123" w:type="dxa"/>
          </w:tcPr>
          <w:p w14:paraId="3DFC8213">
            <w:pPr>
              <w:pStyle w:val="107"/>
              <w:shd w:val="clear" w:fill="FFFFFF" w:themeFill="background1"/>
              <w:rPr>
                <w:rFonts w:hAnsi="宋体" w:cs="宋体"/>
                <w:b/>
                <w:color w:val="auto"/>
                <w:sz w:val="28"/>
                <w:szCs w:val="28"/>
                <w:highlight w:val="none"/>
              </w:rPr>
            </w:pPr>
          </w:p>
        </w:tc>
      </w:tr>
      <w:tr w14:paraId="69CC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033C69DF">
            <w:pPr>
              <w:pStyle w:val="107"/>
              <w:shd w:val="clear" w:fill="FFFFFF" w:themeFill="background1"/>
              <w:rPr>
                <w:rFonts w:hAnsi="宋体" w:cs="宋体"/>
                <w:b/>
                <w:color w:val="auto"/>
                <w:sz w:val="28"/>
                <w:szCs w:val="28"/>
                <w:highlight w:val="none"/>
              </w:rPr>
            </w:pPr>
          </w:p>
        </w:tc>
        <w:tc>
          <w:tcPr>
            <w:tcW w:w="1752" w:type="dxa"/>
          </w:tcPr>
          <w:p w14:paraId="6A41FB99">
            <w:pPr>
              <w:pStyle w:val="107"/>
              <w:shd w:val="clear" w:fill="FFFFFF" w:themeFill="background1"/>
              <w:rPr>
                <w:rFonts w:hAnsi="宋体" w:cs="宋体"/>
                <w:b/>
                <w:color w:val="auto"/>
                <w:sz w:val="28"/>
                <w:szCs w:val="28"/>
                <w:highlight w:val="none"/>
              </w:rPr>
            </w:pPr>
          </w:p>
        </w:tc>
        <w:tc>
          <w:tcPr>
            <w:tcW w:w="1122" w:type="dxa"/>
          </w:tcPr>
          <w:p w14:paraId="52DC0E77">
            <w:pPr>
              <w:pStyle w:val="107"/>
              <w:shd w:val="clear" w:fill="FFFFFF" w:themeFill="background1"/>
              <w:rPr>
                <w:rFonts w:hAnsi="宋体" w:cs="宋体"/>
                <w:b/>
                <w:color w:val="auto"/>
                <w:sz w:val="28"/>
                <w:szCs w:val="28"/>
                <w:highlight w:val="none"/>
              </w:rPr>
            </w:pPr>
          </w:p>
        </w:tc>
        <w:tc>
          <w:tcPr>
            <w:tcW w:w="1122" w:type="dxa"/>
          </w:tcPr>
          <w:p w14:paraId="11B4A46C">
            <w:pPr>
              <w:pStyle w:val="107"/>
              <w:shd w:val="clear" w:fill="FFFFFF" w:themeFill="background1"/>
              <w:rPr>
                <w:rFonts w:hAnsi="宋体" w:cs="宋体"/>
                <w:b/>
                <w:color w:val="auto"/>
                <w:sz w:val="28"/>
                <w:szCs w:val="28"/>
                <w:highlight w:val="none"/>
              </w:rPr>
            </w:pPr>
          </w:p>
        </w:tc>
        <w:tc>
          <w:tcPr>
            <w:tcW w:w="1140" w:type="dxa"/>
          </w:tcPr>
          <w:p w14:paraId="3416CF4A">
            <w:pPr>
              <w:pStyle w:val="107"/>
              <w:shd w:val="clear" w:fill="FFFFFF" w:themeFill="background1"/>
              <w:rPr>
                <w:rFonts w:hAnsi="宋体" w:cs="宋体"/>
                <w:b/>
                <w:color w:val="auto"/>
                <w:sz w:val="28"/>
                <w:szCs w:val="28"/>
                <w:highlight w:val="none"/>
              </w:rPr>
            </w:pPr>
          </w:p>
        </w:tc>
        <w:tc>
          <w:tcPr>
            <w:tcW w:w="1140" w:type="dxa"/>
          </w:tcPr>
          <w:p w14:paraId="3941DA59">
            <w:pPr>
              <w:pStyle w:val="107"/>
              <w:shd w:val="clear" w:fill="FFFFFF" w:themeFill="background1"/>
              <w:rPr>
                <w:rFonts w:hAnsi="宋体" w:cs="宋体"/>
                <w:b/>
                <w:color w:val="auto"/>
                <w:sz w:val="28"/>
                <w:szCs w:val="28"/>
                <w:highlight w:val="none"/>
              </w:rPr>
            </w:pPr>
          </w:p>
        </w:tc>
        <w:tc>
          <w:tcPr>
            <w:tcW w:w="1123" w:type="dxa"/>
          </w:tcPr>
          <w:p w14:paraId="4A9977F9">
            <w:pPr>
              <w:pStyle w:val="107"/>
              <w:shd w:val="clear" w:fill="FFFFFF" w:themeFill="background1"/>
              <w:rPr>
                <w:rFonts w:hAnsi="宋体" w:cs="宋体"/>
                <w:b/>
                <w:color w:val="auto"/>
                <w:sz w:val="28"/>
                <w:szCs w:val="28"/>
                <w:highlight w:val="none"/>
              </w:rPr>
            </w:pPr>
          </w:p>
        </w:tc>
      </w:tr>
      <w:tr w14:paraId="5DAB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5153FB15">
            <w:pPr>
              <w:pStyle w:val="107"/>
              <w:shd w:val="clear" w:fill="FFFFFF" w:themeFill="background1"/>
              <w:rPr>
                <w:rFonts w:hAnsi="宋体" w:cs="宋体"/>
                <w:b/>
                <w:color w:val="auto"/>
                <w:sz w:val="28"/>
                <w:szCs w:val="28"/>
                <w:highlight w:val="none"/>
              </w:rPr>
            </w:pPr>
          </w:p>
        </w:tc>
        <w:tc>
          <w:tcPr>
            <w:tcW w:w="1752" w:type="dxa"/>
          </w:tcPr>
          <w:p w14:paraId="0D599FB1">
            <w:pPr>
              <w:pStyle w:val="107"/>
              <w:shd w:val="clear" w:fill="FFFFFF" w:themeFill="background1"/>
              <w:rPr>
                <w:rFonts w:hAnsi="宋体" w:cs="宋体"/>
                <w:b/>
                <w:color w:val="auto"/>
                <w:sz w:val="28"/>
                <w:szCs w:val="28"/>
                <w:highlight w:val="none"/>
              </w:rPr>
            </w:pPr>
          </w:p>
        </w:tc>
        <w:tc>
          <w:tcPr>
            <w:tcW w:w="1122" w:type="dxa"/>
          </w:tcPr>
          <w:p w14:paraId="40111C97">
            <w:pPr>
              <w:pStyle w:val="107"/>
              <w:shd w:val="clear" w:fill="FFFFFF" w:themeFill="background1"/>
              <w:rPr>
                <w:rFonts w:hAnsi="宋体" w:cs="宋体"/>
                <w:b/>
                <w:color w:val="auto"/>
                <w:sz w:val="28"/>
                <w:szCs w:val="28"/>
                <w:highlight w:val="none"/>
              </w:rPr>
            </w:pPr>
          </w:p>
        </w:tc>
        <w:tc>
          <w:tcPr>
            <w:tcW w:w="1122" w:type="dxa"/>
          </w:tcPr>
          <w:p w14:paraId="0FE01EB4">
            <w:pPr>
              <w:pStyle w:val="107"/>
              <w:shd w:val="clear" w:fill="FFFFFF" w:themeFill="background1"/>
              <w:rPr>
                <w:rFonts w:hAnsi="宋体" w:cs="宋体"/>
                <w:b/>
                <w:color w:val="auto"/>
                <w:sz w:val="28"/>
                <w:szCs w:val="28"/>
                <w:highlight w:val="none"/>
              </w:rPr>
            </w:pPr>
          </w:p>
        </w:tc>
        <w:tc>
          <w:tcPr>
            <w:tcW w:w="1140" w:type="dxa"/>
          </w:tcPr>
          <w:p w14:paraId="28ED6B60">
            <w:pPr>
              <w:pStyle w:val="107"/>
              <w:shd w:val="clear" w:fill="FFFFFF" w:themeFill="background1"/>
              <w:rPr>
                <w:rFonts w:hAnsi="宋体" w:cs="宋体"/>
                <w:b/>
                <w:color w:val="auto"/>
                <w:sz w:val="28"/>
                <w:szCs w:val="28"/>
                <w:highlight w:val="none"/>
              </w:rPr>
            </w:pPr>
          </w:p>
        </w:tc>
        <w:tc>
          <w:tcPr>
            <w:tcW w:w="1140" w:type="dxa"/>
          </w:tcPr>
          <w:p w14:paraId="7F83755F">
            <w:pPr>
              <w:pStyle w:val="107"/>
              <w:shd w:val="clear" w:fill="FFFFFF" w:themeFill="background1"/>
              <w:rPr>
                <w:rFonts w:hAnsi="宋体" w:cs="宋体"/>
                <w:b/>
                <w:color w:val="auto"/>
                <w:sz w:val="28"/>
                <w:szCs w:val="28"/>
                <w:highlight w:val="none"/>
              </w:rPr>
            </w:pPr>
          </w:p>
        </w:tc>
        <w:tc>
          <w:tcPr>
            <w:tcW w:w="1123" w:type="dxa"/>
          </w:tcPr>
          <w:p w14:paraId="246A6370">
            <w:pPr>
              <w:pStyle w:val="107"/>
              <w:shd w:val="clear" w:fill="FFFFFF" w:themeFill="background1"/>
              <w:rPr>
                <w:rFonts w:hAnsi="宋体" w:cs="宋体"/>
                <w:b/>
                <w:color w:val="auto"/>
                <w:sz w:val="28"/>
                <w:szCs w:val="28"/>
                <w:highlight w:val="none"/>
              </w:rPr>
            </w:pPr>
          </w:p>
        </w:tc>
      </w:tr>
    </w:tbl>
    <w:p w14:paraId="37C68123">
      <w:pPr>
        <w:pStyle w:val="107"/>
        <w:shd w:val="clear" w:fill="FFFFFF" w:themeFill="background1"/>
        <w:rPr>
          <w:rFonts w:hAnsi="宋体" w:cs="宋体"/>
          <w:b/>
          <w:color w:val="auto"/>
          <w:sz w:val="28"/>
          <w:szCs w:val="28"/>
          <w:highlight w:val="none"/>
        </w:rPr>
      </w:pPr>
    </w:p>
    <w:p w14:paraId="276EA56A">
      <w:pPr>
        <w:pStyle w:val="107"/>
        <w:shd w:val="clear" w:fill="FFFFFF" w:themeFill="background1"/>
        <w:jc w:val="center"/>
        <w:rPr>
          <w:rFonts w:hAnsi="宋体" w:cs="宋体"/>
          <w:b/>
          <w:color w:val="auto"/>
          <w:sz w:val="28"/>
          <w:szCs w:val="28"/>
          <w:highlight w:val="none"/>
        </w:rPr>
      </w:pPr>
      <w:r>
        <w:rPr>
          <w:rFonts w:hint="eastAsia" w:hAnsi="宋体" w:cs="宋体"/>
          <w:b/>
          <w:color w:val="auto"/>
          <w:sz w:val="28"/>
          <w:szCs w:val="28"/>
          <w:highlight w:val="none"/>
        </w:rPr>
        <w:t>附表4：承包人供应材料清单</w:t>
      </w:r>
    </w:p>
    <w:p w14:paraId="64A318D4">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76CC538A">
      <w:pPr>
        <w:pStyle w:val="107"/>
        <w:shd w:val="clear" w:fill="FFFFFF" w:themeFill="background1"/>
        <w:rPr>
          <w:rFonts w:hAnsi="宋体" w:cs="宋体"/>
          <w:b/>
          <w:bCs/>
          <w:color w:val="auto"/>
          <w:highlight w:val="none"/>
        </w:rPr>
      </w:pPr>
      <w:r>
        <w:rPr>
          <w:rFonts w:hint="eastAsia" w:hAnsi="宋体" w:cs="宋体"/>
          <w:color w:val="auto"/>
          <w:highlight w:val="none"/>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93"/>
        <w:gridCol w:w="1004"/>
        <w:gridCol w:w="1004"/>
        <w:gridCol w:w="1004"/>
        <w:gridCol w:w="1004"/>
        <w:gridCol w:w="1005"/>
        <w:gridCol w:w="1005"/>
      </w:tblGrid>
      <w:tr w14:paraId="56D8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BCA3811">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序号</w:t>
            </w:r>
          </w:p>
        </w:tc>
        <w:tc>
          <w:tcPr>
            <w:tcW w:w="1493" w:type="dxa"/>
            <w:vAlign w:val="center"/>
          </w:tcPr>
          <w:p w14:paraId="03670DAB">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材料品种</w:t>
            </w:r>
          </w:p>
        </w:tc>
        <w:tc>
          <w:tcPr>
            <w:tcW w:w="1004" w:type="dxa"/>
            <w:vAlign w:val="center"/>
          </w:tcPr>
          <w:p w14:paraId="1F09396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规格</w:t>
            </w:r>
          </w:p>
        </w:tc>
        <w:tc>
          <w:tcPr>
            <w:tcW w:w="1004" w:type="dxa"/>
            <w:vAlign w:val="center"/>
          </w:tcPr>
          <w:p w14:paraId="1012431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单位</w:t>
            </w:r>
          </w:p>
        </w:tc>
        <w:tc>
          <w:tcPr>
            <w:tcW w:w="1004" w:type="dxa"/>
            <w:vAlign w:val="center"/>
          </w:tcPr>
          <w:p w14:paraId="038BCB33">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数量</w:t>
            </w:r>
          </w:p>
        </w:tc>
        <w:tc>
          <w:tcPr>
            <w:tcW w:w="1004" w:type="dxa"/>
          </w:tcPr>
          <w:p w14:paraId="1616C11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结算</w:t>
            </w:r>
          </w:p>
          <w:p w14:paraId="7AA2A9FB">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单价</w:t>
            </w:r>
          </w:p>
        </w:tc>
        <w:tc>
          <w:tcPr>
            <w:tcW w:w="1005" w:type="dxa"/>
          </w:tcPr>
          <w:p w14:paraId="15786ED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交货</w:t>
            </w:r>
          </w:p>
          <w:p w14:paraId="7D60D840">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时间</w:t>
            </w:r>
          </w:p>
        </w:tc>
        <w:tc>
          <w:tcPr>
            <w:tcW w:w="1005" w:type="dxa"/>
          </w:tcPr>
          <w:p w14:paraId="5B2315F7">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交货</w:t>
            </w:r>
          </w:p>
          <w:p w14:paraId="2081F8B3">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地点</w:t>
            </w:r>
          </w:p>
        </w:tc>
      </w:tr>
      <w:tr w14:paraId="02D7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3E3A1B05">
            <w:pPr>
              <w:pStyle w:val="107"/>
              <w:shd w:val="clear" w:fill="FFFFFF" w:themeFill="background1"/>
              <w:rPr>
                <w:rFonts w:hAnsi="宋体" w:cs="宋体"/>
                <w:b/>
                <w:color w:val="auto"/>
                <w:sz w:val="28"/>
                <w:szCs w:val="28"/>
                <w:highlight w:val="none"/>
              </w:rPr>
            </w:pPr>
          </w:p>
        </w:tc>
        <w:tc>
          <w:tcPr>
            <w:tcW w:w="1493" w:type="dxa"/>
          </w:tcPr>
          <w:p w14:paraId="411EB4D4">
            <w:pPr>
              <w:pStyle w:val="107"/>
              <w:shd w:val="clear" w:fill="FFFFFF" w:themeFill="background1"/>
              <w:rPr>
                <w:rFonts w:hAnsi="宋体" w:cs="宋体"/>
                <w:b/>
                <w:color w:val="auto"/>
                <w:sz w:val="28"/>
                <w:szCs w:val="28"/>
                <w:highlight w:val="none"/>
              </w:rPr>
            </w:pPr>
          </w:p>
        </w:tc>
        <w:tc>
          <w:tcPr>
            <w:tcW w:w="1004" w:type="dxa"/>
          </w:tcPr>
          <w:p w14:paraId="4533C490">
            <w:pPr>
              <w:pStyle w:val="107"/>
              <w:shd w:val="clear" w:fill="FFFFFF" w:themeFill="background1"/>
              <w:rPr>
                <w:rFonts w:hAnsi="宋体" w:cs="宋体"/>
                <w:b/>
                <w:color w:val="auto"/>
                <w:sz w:val="28"/>
                <w:szCs w:val="28"/>
                <w:highlight w:val="none"/>
              </w:rPr>
            </w:pPr>
          </w:p>
        </w:tc>
        <w:tc>
          <w:tcPr>
            <w:tcW w:w="1004" w:type="dxa"/>
          </w:tcPr>
          <w:p w14:paraId="407FA597">
            <w:pPr>
              <w:pStyle w:val="107"/>
              <w:shd w:val="clear" w:fill="FFFFFF" w:themeFill="background1"/>
              <w:rPr>
                <w:rFonts w:hAnsi="宋体" w:cs="宋体"/>
                <w:b/>
                <w:color w:val="auto"/>
                <w:sz w:val="28"/>
                <w:szCs w:val="28"/>
                <w:highlight w:val="none"/>
              </w:rPr>
            </w:pPr>
          </w:p>
        </w:tc>
        <w:tc>
          <w:tcPr>
            <w:tcW w:w="1004" w:type="dxa"/>
          </w:tcPr>
          <w:p w14:paraId="78F7EF73">
            <w:pPr>
              <w:pStyle w:val="107"/>
              <w:shd w:val="clear" w:fill="FFFFFF" w:themeFill="background1"/>
              <w:rPr>
                <w:rFonts w:hAnsi="宋体" w:cs="宋体"/>
                <w:b/>
                <w:color w:val="auto"/>
                <w:sz w:val="28"/>
                <w:szCs w:val="28"/>
                <w:highlight w:val="none"/>
              </w:rPr>
            </w:pPr>
          </w:p>
        </w:tc>
        <w:tc>
          <w:tcPr>
            <w:tcW w:w="1004" w:type="dxa"/>
          </w:tcPr>
          <w:p w14:paraId="32074933">
            <w:pPr>
              <w:pStyle w:val="107"/>
              <w:shd w:val="clear" w:fill="FFFFFF" w:themeFill="background1"/>
              <w:rPr>
                <w:rFonts w:hAnsi="宋体" w:cs="宋体"/>
                <w:b/>
                <w:color w:val="auto"/>
                <w:sz w:val="28"/>
                <w:szCs w:val="28"/>
                <w:highlight w:val="none"/>
              </w:rPr>
            </w:pPr>
          </w:p>
        </w:tc>
        <w:tc>
          <w:tcPr>
            <w:tcW w:w="1005" w:type="dxa"/>
          </w:tcPr>
          <w:p w14:paraId="152395A2">
            <w:pPr>
              <w:pStyle w:val="107"/>
              <w:shd w:val="clear" w:fill="FFFFFF" w:themeFill="background1"/>
              <w:rPr>
                <w:rFonts w:hAnsi="宋体" w:cs="宋体"/>
                <w:b/>
                <w:color w:val="auto"/>
                <w:sz w:val="28"/>
                <w:szCs w:val="28"/>
                <w:highlight w:val="none"/>
              </w:rPr>
            </w:pPr>
          </w:p>
        </w:tc>
        <w:tc>
          <w:tcPr>
            <w:tcW w:w="1005" w:type="dxa"/>
          </w:tcPr>
          <w:p w14:paraId="4889E3F7">
            <w:pPr>
              <w:pStyle w:val="107"/>
              <w:shd w:val="clear" w:fill="FFFFFF" w:themeFill="background1"/>
              <w:rPr>
                <w:rFonts w:hAnsi="宋体" w:cs="宋体"/>
                <w:b/>
                <w:color w:val="auto"/>
                <w:sz w:val="28"/>
                <w:szCs w:val="28"/>
                <w:highlight w:val="none"/>
              </w:rPr>
            </w:pPr>
          </w:p>
        </w:tc>
      </w:tr>
      <w:tr w14:paraId="51FE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6FC73082">
            <w:pPr>
              <w:pStyle w:val="107"/>
              <w:shd w:val="clear" w:fill="FFFFFF" w:themeFill="background1"/>
              <w:rPr>
                <w:rFonts w:hAnsi="宋体" w:cs="宋体"/>
                <w:b/>
                <w:color w:val="auto"/>
                <w:sz w:val="28"/>
                <w:szCs w:val="28"/>
                <w:highlight w:val="none"/>
              </w:rPr>
            </w:pPr>
          </w:p>
        </w:tc>
        <w:tc>
          <w:tcPr>
            <w:tcW w:w="1493" w:type="dxa"/>
          </w:tcPr>
          <w:p w14:paraId="09E481FA">
            <w:pPr>
              <w:pStyle w:val="107"/>
              <w:shd w:val="clear" w:fill="FFFFFF" w:themeFill="background1"/>
              <w:rPr>
                <w:rFonts w:hAnsi="宋体" w:cs="宋体"/>
                <w:b/>
                <w:color w:val="auto"/>
                <w:sz w:val="28"/>
                <w:szCs w:val="28"/>
                <w:highlight w:val="none"/>
              </w:rPr>
            </w:pPr>
          </w:p>
        </w:tc>
        <w:tc>
          <w:tcPr>
            <w:tcW w:w="1004" w:type="dxa"/>
          </w:tcPr>
          <w:p w14:paraId="336E37EE">
            <w:pPr>
              <w:pStyle w:val="107"/>
              <w:shd w:val="clear" w:fill="FFFFFF" w:themeFill="background1"/>
              <w:rPr>
                <w:rFonts w:hAnsi="宋体" w:cs="宋体"/>
                <w:b/>
                <w:color w:val="auto"/>
                <w:sz w:val="28"/>
                <w:szCs w:val="28"/>
                <w:highlight w:val="none"/>
              </w:rPr>
            </w:pPr>
          </w:p>
        </w:tc>
        <w:tc>
          <w:tcPr>
            <w:tcW w:w="1004" w:type="dxa"/>
          </w:tcPr>
          <w:p w14:paraId="7A54E556">
            <w:pPr>
              <w:pStyle w:val="107"/>
              <w:shd w:val="clear" w:fill="FFFFFF" w:themeFill="background1"/>
              <w:rPr>
                <w:rFonts w:hAnsi="宋体" w:cs="宋体"/>
                <w:b/>
                <w:color w:val="auto"/>
                <w:sz w:val="28"/>
                <w:szCs w:val="28"/>
                <w:highlight w:val="none"/>
              </w:rPr>
            </w:pPr>
          </w:p>
        </w:tc>
        <w:tc>
          <w:tcPr>
            <w:tcW w:w="1004" w:type="dxa"/>
          </w:tcPr>
          <w:p w14:paraId="18240DBA">
            <w:pPr>
              <w:pStyle w:val="107"/>
              <w:shd w:val="clear" w:fill="FFFFFF" w:themeFill="background1"/>
              <w:rPr>
                <w:rFonts w:hAnsi="宋体" w:cs="宋体"/>
                <w:b/>
                <w:color w:val="auto"/>
                <w:sz w:val="28"/>
                <w:szCs w:val="28"/>
                <w:highlight w:val="none"/>
              </w:rPr>
            </w:pPr>
          </w:p>
        </w:tc>
        <w:tc>
          <w:tcPr>
            <w:tcW w:w="1004" w:type="dxa"/>
          </w:tcPr>
          <w:p w14:paraId="285C6131">
            <w:pPr>
              <w:pStyle w:val="107"/>
              <w:shd w:val="clear" w:fill="FFFFFF" w:themeFill="background1"/>
              <w:rPr>
                <w:rFonts w:hAnsi="宋体" w:cs="宋体"/>
                <w:b/>
                <w:color w:val="auto"/>
                <w:sz w:val="28"/>
                <w:szCs w:val="28"/>
                <w:highlight w:val="none"/>
              </w:rPr>
            </w:pPr>
          </w:p>
        </w:tc>
        <w:tc>
          <w:tcPr>
            <w:tcW w:w="1005" w:type="dxa"/>
          </w:tcPr>
          <w:p w14:paraId="241F4759">
            <w:pPr>
              <w:pStyle w:val="107"/>
              <w:shd w:val="clear" w:fill="FFFFFF" w:themeFill="background1"/>
              <w:rPr>
                <w:rFonts w:hAnsi="宋体" w:cs="宋体"/>
                <w:b/>
                <w:color w:val="auto"/>
                <w:sz w:val="28"/>
                <w:szCs w:val="28"/>
                <w:highlight w:val="none"/>
              </w:rPr>
            </w:pPr>
          </w:p>
        </w:tc>
        <w:tc>
          <w:tcPr>
            <w:tcW w:w="1005" w:type="dxa"/>
          </w:tcPr>
          <w:p w14:paraId="0724578F">
            <w:pPr>
              <w:pStyle w:val="107"/>
              <w:shd w:val="clear" w:fill="FFFFFF" w:themeFill="background1"/>
              <w:rPr>
                <w:rFonts w:hAnsi="宋体" w:cs="宋体"/>
                <w:b/>
                <w:color w:val="auto"/>
                <w:sz w:val="28"/>
                <w:szCs w:val="28"/>
                <w:highlight w:val="none"/>
              </w:rPr>
            </w:pPr>
          </w:p>
        </w:tc>
      </w:tr>
      <w:tr w14:paraId="18B1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077C2F2F">
            <w:pPr>
              <w:pStyle w:val="107"/>
              <w:shd w:val="clear" w:fill="FFFFFF" w:themeFill="background1"/>
              <w:rPr>
                <w:rFonts w:hAnsi="宋体" w:cs="宋体"/>
                <w:b/>
                <w:color w:val="auto"/>
                <w:sz w:val="28"/>
                <w:szCs w:val="28"/>
                <w:highlight w:val="none"/>
              </w:rPr>
            </w:pPr>
          </w:p>
        </w:tc>
        <w:tc>
          <w:tcPr>
            <w:tcW w:w="1493" w:type="dxa"/>
          </w:tcPr>
          <w:p w14:paraId="62A21FA5">
            <w:pPr>
              <w:pStyle w:val="107"/>
              <w:shd w:val="clear" w:fill="FFFFFF" w:themeFill="background1"/>
              <w:rPr>
                <w:rFonts w:hAnsi="宋体" w:cs="宋体"/>
                <w:b/>
                <w:color w:val="auto"/>
                <w:sz w:val="28"/>
                <w:szCs w:val="28"/>
                <w:highlight w:val="none"/>
              </w:rPr>
            </w:pPr>
          </w:p>
        </w:tc>
        <w:tc>
          <w:tcPr>
            <w:tcW w:w="1004" w:type="dxa"/>
          </w:tcPr>
          <w:p w14:paraId="55D3AD1F">
            <w:pPr>
              <w:pStyle w:val="107"/>
              <w:shd w:val="clear" w:fill="FFFFFF" w:themeFill="background1"/>
              <w:rPr>
                <w:rFonts w:hAnsi="宋体" w:cs="宋体"/>
                <w:b/>
                <w:color w:val="auto"/>
                <w:sz w:val="28"/>
                <w:szCs w:val="28"/>
                <w:highlight w:val="none"/>
              </w:rPr>
            </w:pPr>
          </w:p>
        </w:tc>
        <w:tc>
          <w:tcPr>
            <w:tcW w:w="1004" w:type="dxa"/>
          </w:tcPr>
          <w:p w14:paraId="0131F70D">
            <w:pPr>
              <w:pStyle w:val="107"/>
              <w:shd w:val="clear" w:fill="FFFFFF" w:themeFill="background1"/>
              <w:rPr>
                <w:rFonts w:hAnsi="宋体" w:cs="宋体"/>
                <w:b/>
                <w:color w:val="auto"/>
                <w:sz w:val="28"/>
                <w:szCs w:val="28"/>
                <w:highlight w:val="none"/>
              </w:rPr>
            </w:pPr>
          </w:p>
        </w:tc>
        <w:tc>
          <w:tcPr>
            <w:tcW w:w="1004" w:type="dxa"/>
          </w:tcPr>
          <w:p w14:paraId="0BE37356">
            <w:pPr>
              <w:pStyle w:val="107"/>
              <w:shd w:val="clear" w:fill="FFFFFF" w:themeFill="background1"/>
              <w:rPr>
                <w:rFonts w:hAnsi="宋体" w:cs="宋体"/>
                <w:b/>
                <w:color w:val="auto"/>
                <w:sz w:val="28"/>
                <w:szCs w:val="28"/>
                <w:highlight w:val="none"/>
              </w:rPr>
            </w:pPr>
          </w:p>
        </w:tc>
        <w:tc>
          <w:tcPr>
            <w:tcW w:w="1004" w:type="dxa"/>
          </w:tcPr>
          <w:p w14:paraId="1664D7E5">
            <w:pPr>
              <w:pStyle w:val="107"/>
              <w:shd w:val="clear" w:fill="FFFFFF" w:themeFill="background1"/>
              <w:rPr>
                <w:rFonts w:hAnsi="宋体" w:cs="宋体"/>
                <w:b/>
                <w:color w:val="auto"/>
                <w:sz w:val="28"/>
                <w:szCs w:val="28"/>
                <w:highlight w:val="none"/>
              </w:rPr>
            </w:pPr>
          </w:p>
        </w:tc>
        <w:tc>
          <w:tcPr>
            <w:tcW w:w="1005" w:type="dxa"/>
          </w:tcPr>
          <w:p w14:paraId="46B54112">
            <w:pPr>
              <w:pStyle w:val="107"/>
              <w:shd w:val="clear" w:fill="FFFFFF" w:themeFill="background1"/>
              <w:rPr>
                <w:rFonts w:hAnsi="宋体" w:cs="宋体"/>
                <w:b/>
                <w:color w:val="auto"/>
                <w:sz w:val="28"/>
                <w:szCs w:val="28"/>
                <w:highlight w:val="none"/>
              </w:rPr>
            </w:pPr>
          </w:p>
        </w:tc>
        <w:tc>
          <w:tcPr>
            <w:tcW w:w="1005" w:type="dxa"/>
          </w:tcPr>
          <w:p w14:paraId="1E9E488B">
            <w:pPr>
              <w:pStyle w:val="107"/>
              <w:shd w:val="clear" w:fill="FFFFFF" w:themeFill="background1"/>
              <w:rPr>
                <w:rFonts w:hAnsi="宋体" w:cs="宋体"/>
                <w:b/>
                <w:color w:val="auto"/>
                <w:sz w:val="28"/>
                <w:szCs w:val="28"/>
                <w:highlight w:val="none"/>
              </w:rPr>
            </w:pPr>
          </w:p>
        </w:tc>
      </w:tr>
      <w:tr w14:paraId="5551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7A1C0092">
            <w:pPr>
              <w:pStyle w:val="107"/>
              <w:shd w:val="clear" w:fill="FFFFFF" w:themeFill="background1"/>
              <w:rPr>
                <w:rFonts w:hAnsi="宋体" w:cs="宋体"/>
                <w:b/>
                <w:color w:val="auto"/>
                <w:sz w:val="28"/>
                <w:szCs w:val="28"/>
                <w:highlight w:val="none"/>
              </w:rPr>
            </w:pPr>
          </w:p>
        </w:tc>
        <w:tc>
          <w:tcPr>
            <w:tcW w:w="1493" w:type="dxa"/>
          </w:tcPr>
          <w:p w14:paraId="39DD5029">
            <w:pPr>
              <w:pStyle w:val="107"/>
              <w:shd w:val="clear" w:fill="FFFFFF" w:themeFill="background1"/>
              <w:rPr>
                <w:rFonts w:hAnsi="宋体" w:cs="宋体"/>
                <w:b/>
                <w:color w:val="auto"/>
                <w:sz w:val="28"/>
                <w:szCs w:val="28"/>
                <w:highlight w:val="none"/>
              </w:rPr>
            </w:pPr>
          </w:p>
        </w:tc>
        <w:tc>
          <w:tcPr>
            <w:tcW w:w="1004" w:type="dxa"/>
          </w:tcPr>
          <w:p w14:paraId="3572CA64">
            <w:pPr>
              <w:pStyle w:val="107"/>
              <w:shd w:val="clear" w:fill="FFFFFF" w:themeFill="background1"/>
              <w:rPr>
                <w:rFonts w:hAnsi="宋体" w:cs="宋体"/>
                <w:b/>
                <w:color w:val="auto"/>
                <w:sz w:val="28"/>
                <w:szCs w:val="28"/>
                <w:highlight w:val="none"/>
              </w:rPr>
            </w:pPr>
          </w:p>
        </w:tc>
        <w:tc>
          <w:tcPr>
            <w:tcW w:w="1004" w:type="dxa"/>
          </w:tcPr>
          <w:p w14:paraId="2B2A044F">
            <w:pPr>
              <w:pStyle w:val="107"/>
              <w:shd w:val="clear" w:fill="FFFFFF" w:themeFill="background1"/>
              <w:rPr>
                <w:rFonts w:hAnsi="宋体" w:cs="宋体"/>
                <w:b/>
                <w:color w:val="auto"/>
                <w:sz w:val="28"/>
                <w:szCs w:val="28"/>
                <w:highlight w:val="none"/>
              </w:rPr>
            </w:pPr>
          </w:p>
        </w:tc>
        <w:tc>
          <w:tcPr>
            <w:tcW w:w="1004" w:type="dxa"/>
          </w:tcPr>
          <w:p w14:paraId="5AD241EB">
            <w:pPr>
              <w:pStyle w:val="107"/>
              <w:shd w:val="clear" w:fill="FFFFFF" w:themeFill="background1"/>
              <w:rPr>
                <w:rFonts w:hAnsi="宋体" w:cs="宋体"/>
                <w:b/>
                <w:color w:val="auto"/>
                <w:sz w:val="28"/>
                <w:szCs w:val="28"/>
                <w:highlight w:val="none"/>
              </w:rPr>
            </w:pPr>
          </w:p>
        </w:tc>
        <w:tc>
          <w:tcPr>
            <w:tcW w:w="1004" w:type="dxa"/>
          </w:tcPr>
          <w:p w14:paraId="43B4A397">
            <w:pPr>
              <w:pStyle w:val="107"/>
              <w:shd w:val="clear" w:fill="FFFFFF" w:themeFill="background1"/>
              <w:rPr>
                <w:rFonts w:hAnsi="宋体" w:cs="宋体"/>
                <w:b/>
                <w:color w:val="auto"/>
                <w:sz w:val="28"/>
                <w:szCs w:val="28"/>
                <w:highlight w:val="none"/>
              </w:rPr>
            </w:pPr>
          </w:p>
        </w:tc>
        <w:tc>
          <w:tcPr>
            <w:tcW w:w="1005" w:type="dxa"/>
          </w:tcPr>
          <w:p w14:paraId="605465F9">
            <w:pPr>
              <w:pStyle w:val="107"/>
              <w:shd w:val="clear" w:fill="FFFFFF" w:themeFill="background1"/>
              <w:rPr>
                <w:rFonts w:hAnsi="宋体" w:cs="宋体"/>
                <w:b/>
                <w:color w:val="auto"/>
                <w:sz w:val="28"/>
                <w:szCs w:val="28"/>
                <w:highlight w:val="none"/>
              </w:rPr>
            </w:pPr>
          </w:p>
        </w:tc>
        <w:tc>
          <w:tcPr>
            <w:tcW w:w="1005" w:type="dxa"/>
          </w:tcPr>
          <w:p w14:paraId="3C025671">
            <w:pPr>
              <w:pStyle w:val="107"/>
              <w:shd w:val="clear" w:fill="FFFFFF" w:themeFill="background1"/>
              <w:rPr>
                <w:rFonts w:hAnsi="宋体" w:cs="宋体"/>
                <w:b/>
                <w:color w:val="auto"/>
                <w:sz w:val="28"/>
                <w:szCs w:val="28"/>
                <w:highlight w:val="none"/>
              </w:rPr>
            </w:pPr>
          </w:p>
        </w:tc>
      </w:tr>
      <w:tr w14:paraId="348D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7A237189">
            <w:pPr>
              <w:pStyle w:val="107"/>
              <w:shd w:val="clear" w:fill="FFFFFF" w:themeFill="background1"/>
              <w:rPr>
                <w:rFonts w:hAnsi="宋体" w:cs="宋体"/>
                <w:b/>
                <w:color w:val="auto"/>
                <w:sz w:val="28"/>
                <w:szCs w:val="28"/>
                <w:highlight w:val="none"/>
              </w:rPr>
            </w:pPr>
          </w:p>
        </w:tc>
        <w:tc>
          <w:tcPr>
            <w:tcW w:w="1493" w:type="dxa"/>
          </w:tcPr>
          <w:p w14:paraId="4B770B67">
            <w:pPr>
              <w:pStyle w:val="107"/>
              <w:shd w:val="clear" w:fill="FFFFFF" w:themeFill="background1"/>
              <w:rPr>
                <w:rFonts w:hAnsi="宋体" w:cs="宋体"/>
                <w:b/>
                <w:color w:val="auto"/>
                <w:sz w:val="28"/>
                <w:szCs w:val="28"/>
                <w:highlight w:val="none"/>
              </w:rPr>
            </w:pPr>
          </w:p>
        </w:tc>
        <w:tc>
          <w:tcPr>
            <w:tcW w:w="1004" w:type="dxa"/>
          </w:tcPr>
          <w:p w14:paraId="649CF58D">
            <w:pPr>
              <w:pStyle w:val="107"/>
              <w:shd w:val="clear" w:fill="FFFFFF" w:themeFill="background1"/>
              <w:rPr>
                <w:rFonts w:hAnsi="宋体" w:cs="宋体"/>
                <w:b/>
                <w:color w:val="auto"/>
                <w:sz w:val="28"/>
                <w:szCs w:val="28"/>
                <w:highlight w:val="none"/>
              </w:rPr>
            </w:pPr>
          </w:p>
        </w:tc>
        <w:tc>
          <w:tcPr>
            <w:tcW w:w="1004" w:type="dxa"/>
          </w:tcPr>
          <w:p w14:paraId="2FA1D3A1">
            <w:pPr>
              <w:pStyle w:val="107"/>
              <w:shd w:val="clear" w:fill="FFFFFF" w:themeFill="background1"/>
              <w:rPr>
                <w:rFonts w:hAnsi="宋体" w:cs="宋体"/>
                <w:b/>
                <w:color w:val="auto"/>
                <w:sz w:val="28"/>
                <w:szCs w:val="28"/>
                <w:highlight w:val="none"/>
              </w:rPr>
            </w:pPr>
          </w:p>
        </w:tc>
        <w:tc>
          <w:tcPr>
            <w:tcW w:w="1004" w:type="dxa"/>
          </w:tcPr>
          <w:p w14:paraId="72327F70">
            <w:pPr>
              <w:pStyle w:val="107"/>
              <w:shd w:val="clear" w:fill="FFFFFF" w:themeFill="background1"/>
              <w:rPr>
                <w:rFonts w:hAnsi="宋体" w:cs="宋体"/>
                <w:b/>
                <w:color w:val="auto"/>
                <w:sz w:val="28"/>
                <w:szCs w:val="28"/>
                <w:highlight w:val="none"/>
              </w:rPr>
            </w:pPr>
          </w:p>
        </w:tc>
        <w:tc>
          <w:tcPr>
            <w:tcW w:w="1004" w:type="dxa"/>
          </w:tcPr>
          <w:p w14:paraId="7848B6D3">
            <w:pPr>
              <w:pStyle w:val="107"/>
              <w:shd w:val="clear" w:fill="FFFFFF" w:themeFill="background1"/>
              <w:rPr>
                <w:rFonts w:hAnsi="宋体" w:cs="宋体"/>
                <w:b/>
                <w:color w:val="auto"/>
                <w:sz w:val="28"/>
                <w:szCs w:val="28"/>
                <w:highlight w:val="none"/>
              </w:rPr>
            </w:pPr>
          </w:p>
        </w:tc>
        <w:tc>
          <w:tcPr>
            <w:tcW w:w="1005" w:type="dxa"/>
          </w:tcPr>
          <w:p w14:paraId="6EC69024">
            <w:pPr>
              <w:pStyle w:val="107"/>
              <w:shd w:val="clear" w:fill="FFFFFF" w:themeFill="background1"/>
              <w:rPr>
                <w:rFonts w:hAnsi="宋体" w:cs="宋体"/>
                <w:b/>
                <w:color w:val="auto"/>
                <w:sz w:val="28"/>
                <w:szCs w:val="28"/>
                <w:highlight w:val="none"/>
              </w:rPr>
            </w:pPr>
          </w:p>
        </w:tc>
        <w:tc>
          <w:tcPr>
            <w:tcW w:w="1005" w:type="dxa"/>
          </w:tcPr>
          <w:p w14:paraId="2103A677">
            <w:pPr>
              <w:pStyle w:val="107"/>
              <w:shd w:val="clear" w:fill="FFFFFF" w:themeFill="background1"/>
              <w:rPr>
                <w:rFonts w:hAnsi="宋体" w:cs="宋体"/>
                <w:b/>
                <w:color w:val="auto"/>
                <w:sz w:val="28"/>
                <w:szCs w:val="28"/>
                <w:highlight w:val="none"/>
              </w:rPr>
            </w:pPr>
          </w:p>
        </w:tc>
      </w:tr>
    </w:tbl>
    <w:p w14:paraId="71A7FE10">
      <w:pPr>
        <w:pStyle w:val="107"/>
        <w:shd w:val="clear" w:fill="FFFFFF" w:themeFill="background1"/>
        <w:rPr>
          <w:rFonts w:hAnsi="宋体" w:cs="宋体"/>
          <w:color w:val="auto"/>
          <w:highlight w:val="none"/>
        </w:rPr>
      </w:pPr>
    </w:p>
    <w:p w14:paraId="6269CE59">
      <w:pPr>
        <w:pStyle w:val="107"/>
        <w:shd w:val="clear" w:fill="FFFFFF" w:themeFill="background1"/>
        <w:rPr>
          <w:rFonts w:hAnsi="宋体" w:cs="宋体"/>
          <w:color w:val="auto"/>
          <w:highlight w:val="none"/>
        </w:rPr>
      </w:pPr>
    </w:p>
    <w:p w14:paraId="7BFB38A8">
      <w:pPr>
        <w:pStyle w:val="107"/>
        <w:shd w:val="clear" w:fill="FFFFFF" w:themeFill="background1"/>
        <w:rPr>
          <w:rFonts w:hAnsi="宋体" w:cs="宋体"/>
          <w:color w:val="auto"/>
          <w:sz w:val="28"/>
          <w:szCs w:val="28"/>
          <w:highlight w:val="none"/>
        </w:rPr>
      </w:pPr>
    </w:p>
    <w:p w14:paraId="52BC0072">
      <w:pPr>
        <w:shd w:val="clear" w:fill="FFFFFF" w:themeFill="background1"/>
        <w:jc w:val="center"/>
        <w:rPr>
          <w:rFonts w:ascii="宋体" w:hAnsi="宋体"/>
          <w:color w:val="auto"/>
          <w:sz w:val="72"/>
          <w:szCs w:val="72"/>
          <w:highlight w:val="none"/>
          <w:u w:val="single"/>
        </w:rPr>
      </w:pPr>
      <w:r>
        <w:rPr>
          <w:rFonts w:hint="eastAsia" w:hAnsi="宋体" w:cs="宋体"/>
          <w:b/>
          <w:color w:val="auto"/>
          <w:sz w:val="28"/>
          <w:szCs w:val="28"/>
          <w:highlight w:val="none"/>
        </w:rPr>
        <w:br w:type="page"/>
      </w:r>
    </w:p>
    <w:p w14:paraId="05A13397">
      <w:pPr>
        <w:pStyle w:val="107"/>
        <w:shd w:val="clear" w:fill="FFFFFF" w:themeFill="background1"/>
        <w:rPr>
          <w:rFonts w:hAnsi="宋体" w:cs="宋体"/>
          <w:b/>
          <w:color w:val="auto"/>
          <w:sz w:val="32"/>
          <w:szCs w:val="32"/>
          <w:highlight w:val="none"/>
        </w:rPr>
      </w:pPr>
      <w:r>
        <w:rPr>
          <w:rFonts w:hint="eastAsia" w:hAnsi="宋体" w:cs="宋体"/>
          <w:b/>
          <w:color w:val="auto"/>
          <w:sz w:val="28"/>
          <w:szCs w:val="28"/>
          <w:highlight w:val="none"/>
        </w:rPr>
        <w:t>附件十六：施工劳务合作协议</w:t>
      </w:r>
    </w:p>
    <w:p w14:paraId="735BE521">
      <w:pPr>
        <w:pStyle w:val="107"/>
        <w:shd w:val="clear" w:fill="FFFFFF" w:themeFill="background1"/>
        <w:ind w:left="-2" w:leftChars="-66" w:hanging="137" w:hangingChars="43"/>
        <w:jc w:val="left"/>
        <w:rPr>
          <w:rFonts w:hAnsi="宋体" w:cs="宋体"/>
          <w:color w:val="auto"/>
          <w:sz w:val="32"/>
          <w:highlight w:val="none"/>
        </w:rPr>
      </w:pPr>
    </w:p>
    <w:p w14:paraId="7C43916F">
      <w:pPr>
        <w:pStyle w:val="107"/>
        <w:shd w:val="clear" w:fill="FFFFFF" w:themeFill="background1"/>
        <w:ind w:left="-2" w:leftChars="-66" w:hanging="137" w:hangingChars="43"/>
        <w:jc w:val="left"/>
        <w:rPr>
          <w:rFonts w:hAnsi="宋体" w:cs="宋体"/>
          <w:color w:val="auto"/>
          <w:sz w:val="32"/>
          <w:highlight w:val="none"/>
        </w:rPr>
      </w:pPr>
    </w:p>
    <w:p w14:paraId="4421784D">
      <w:pPr>
        <w:pStyle w:val="107"/>
        <w:shd w:val="clear" w:fill="FFFFFF" w:themeFill="background1"/>
        <w:ind w:left="-2" w:leftChars="-66" w:hanging="137" w:hangingChars="43"/>
        <w:jc w:val="left"/>
        <w:rPr>
          <w:rFonts w:hAnsi="宋体" w:cs="宋体"/>
          <w:color w:val="auto"/>
          <w:sz w:val="32"/>
          <w:highlight w:val="none"/>
        </w:rPr>
      </w:pPr>
    </w:p>
    <w:p w14:paraId="27C070E6">
      <w:pPr>
        <w:pStyle w:val="107"/>
        <w:shd w:val="clear" w:fill="FFFFFF" w:themeFill="background1"/>
        <w:ind w:left="-2" w:leftChars="-66" w:hanging="137" w:hangingChars="43"/>
        <w:jc w:val="left"/>
        <w:rPr>
          <w:rFonts w:hAnsi="宋体" w:cs="宋体"/>
          <w:color w:val="auto"/>
          <w:sz w:val="32"/>
          <w:highlight w:val="none"/>
        </w:rPr>
      </w:pPr>
    </w:p>
    <w:p w14:paraId="40172F09">
      <w:pPr>
        <w:pStyle w:val="107"/>
        <w:shd w:val="clear" w:fill="FFFFFF" w:themeFill="background1"/>
        <w:ind w:left="-2" w:leftChars="-66" w:hanging="137" w:hangingChars="43"/>
        <w:jc w:val="left"/>
        <w:rPr>
          <w:rFonts w:hAnsi="宋体" w:cs="宋体"/>
          <w:color w:val="auto"/>
          <w:sz w:val="32"/>
          <w:highlight w:val="none"/>
        </w:rPr>
      </w:pPr>
    </w:p>
    <w:p w14:paraId="4D7936B3">
      <w:pPr>
        <w:pStyle w:val="107"/>
        <w:shd w:val="clear" w:fill="FFFFFF" w:themeFill="background1"/>
        <w:jc w:val="center"/>
        <w:rPr>
          <w:rFonts w:hAnsi="宋体" w:cs="宋体"/>
          <w:color w:val="auto"/>
          <w:sz w:val="32"/>
          <w:szCs w:val="32"/>
          <w:highlight w:val="none"/>
        </w:rPr>
      </w:pPr>
      <w:r>
        <w:rPr>
          <w:rFonts w:hint="eastAsia" w:hAnsi="宋体" w:cs="宋体"/>
          <w:color w:val="auto"/>
          <w:sz w:val="48"/>
          <w:szCs w:val="48"/>
          <w:highlight w:val="none"/>
        </w:rPr>
        <w:t>公路工程施工劳务合作协议</w:t>
      </w:r>
    </w:p>
    <w:p w14:paraId="58439624">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t>（示范文本）</w:t>
      </w:r>
    </w:p>
    <w:p w14:paraId="75BD300A">
      <w:pPr>
        <w:pStyle w:val="107"/>
        <w:shd w:val="clear" w:fill="FFFFFF" w:themeFill="background1"/>
        <w:jc w:val="center"/>
        <w:rPr>
          <w:rFonts w:hAnsi="宋体" w:cs="宋体"/>
          <w:color w:val="auto"/>
          <w:sz w:val="32"/>
          <w:szCs w:val="32"/>
          <w:highlight w:val="none"/>
        </w:rPr>
      </w:pPr>
    </w:p>
    <w:p w14:paraId="1BAA9D02">
      <w:pPr>
        <w:pStyle w:val="107"/>
        <w:shd w:val="clear" w:fill="FFFFFF" w:themeFill="background1"/>
        <w:jc w:val="center"/>
        <w:rPr>
          <w:rFonts w:hAnsi="宋体" w:cs="宋体"/>
          <w:color w:val="auto"/>
          <w:sz w:val="32"/>
          <w:szCs w:val="32"/>
          <w:highlight w:val="none"/>
        </w:rPr>
      </w:pPr>
    </w:p>
    <w:p w14:paraId="5137B7F5">
      <w:pPr>
        <w:pStyle w:val="107"/>
        <w:shd w:val="clear" w:fill="FFFFFF" w:themeFill="background1"/>
        <w:jc w:val="center"/>
        <w:rPr>
          <w:rFonts w:hAnsi="宋体" w:cs="宋体"/>
          <w:color w:val="auto"/>
          <w:sz w:val="32"/>
          <w:szCs w:val="32"/>
          <w:highlight w:val="none"/>
        </w:rPr>
      </w:pPr>
    </w:p>
    <w:p w14:paraId="7163505C">
      <w:pPr>
        <w:pStyle w:val="107"/>
        <w:shd w:val="clear" w:fill="FFFFFF" w:themeFill="background1"/>
        <w:jc w:val="center"/>
        <w:rPr>
          <w:rFonts w:hAnsi="宋体" w:cs="宋体"/>
          <w:color w:val="auto"/>
          <w:sz w:val="32"/>
          <w:szCs w:val="32"/>
          <w:highlight w:val="none"/>
        </w:rPr>
      </w:pPr>
    </w:p>
    <w:p w14:paraId="171D89AA">
      <w:pPr>
        <w:pStyle w:val="107"/>
        <w:shd w:val="clear" w:fill="FFFFFF" w:themeFill="background1"/>
        <w:jc w:val="center"/>
        <w:rPr>
          <w:rFonts w:hAnsi="宋体" w:cs="宋体"/>
          <w:color w:val="auto"/>
          <w:sz w:val="32"/>
          <w:szCs w:val="32"/>
          <w:highlight w:val="none"/>
        </w:rPr>
      </w:pPr>
    </w:p>
    <w:p w14:paraId="105B7B52">
      <w:pPr>
        <w:pStyle w:val="107"/>
        <w:shd w:val="clear" w:fill="FFFFFF" w:themeFill="background1"/>
        <w:jc w:val="center"/>
        <w:rPr>
          <w:rFonts w:hAnsi="宋体" w:cs="宋体"/>
          <w:color w:val="auto"/>
          <w:sz w:val="32"/>
          <w:szCs w:val="32"/>
          <w:highlight w:val="none"/>
        </w:rPr>
      </w:pPr>
    </w:p>
    <w:p w14:paraId="146633DE">
      <w:pPr>
        <w:pStyle w:val="107"/>
        <w:shd w:val="clear" w:fill="FFFFFF" w:themeFill="background1"/>
        <w:jc w:val="center"/>
        <w:rPr>
          <w:rFonts w:hAnsi="宋体" w:cs="宋体"/>
          <w:color w:val="auto"/>
          <w:sz w:val="32"/>
          <w:szCs w:val="32"/>
          <w:highlight w:val="none"/>
        </w:rPr>
      </w:pPr>
    </w:p>
    <w:p w14:paraId="28198F12">
      <w:pPr>
        <w:pStyle w:val="107"/>
        <w:shd w:val="clear" w:fill="FFFFFF" w:themeFill="background1"/>
        <w:jc w:val="center"/>
        <w:rPr>
          <w:rFonts w:hAnsi="宋体" w:cs="宋体"/>
          <w:color w:val="auto"/>
          <w:sz w:val="44"/>
          <w:szCs w:val="44"/>
          <w:highlight w:val="none"/>
        </w:rPr>
      </w:pPr>
    </w:p>
    <w:p w14:paraId="35B042E6">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t>20   年  月</w:t>
      </w:r>
    </w:p>
    <w:p w14:paraId="180B180A">
      <w:pPr>
        <w:pStyle w:val="107"/>
        <w:shd w:val="clear" w:fill="FFFFFF" w:themeFill="background1"/>
        <w:jc w:val="center"/>
        <w:rPr>
          <w:rFonts w:hAnsi="宋体" w:cs="宋体"/>
          <w:color w:val="auto"/>
          <w:sz w:val="28"/>
          <w:szCs w:val="28"/>
          <w:highlight w:val="none"/>
        </w:rPr>
      </w:pPr>
    </w:p>
    <w:p w14:paraId="64827826">
      <w:pPr>
        <w:pStyle w:val="107"/>
        <w:shd w:val="clear" w:fill="FFFFFF" w:themeFill="background1"/>
        <w:jc w:val="left"/>
        <w:rPr>
          <w:rFonts w:hAnsi="宋体" w:cs="宋体"/>
          <w:color w:val="auto"/>
          <w:sz w:val="32"/>
          <w:szCs w:val="32"/>
          <w:highlight w:val="none"/>
        </w:rPr>
      </w:pPr>
    </w:p>
    <w:p w14:paraId="6D061B6D">
      <w:pPr>
        <w:pStyle w:val="107"/>
        <w:shd w:val="clear" w:fill="FFFFFF" w:themeFill="background1"/>
        <w:jc w:val="center"/>
        <w:rPr>
          <w:rFonts w:hAnsi="宋体" w:cs="宋体"/>
          <w:color w:val="auto"/>
          <w:sz w:val="28"/>
          <w:szCs w:val="28"/>
          <w:highlight w:val="none"/>
        </w:rPr>
      </w:pPr>
      <w:r>
        <w:rPr>
          <w:rFonts w:hint="eastAsia" w:hAnsi="宋体" w:cs="宋体"/>
          <w:color w:val="auto"/>
          <w:sz w:val="32"/>
          <w:szCs w:val="32"/>
          <w:highlight w:val="none"/>
        </w:rPr>
        <w:br w:type="page"/>
      </w:r>
      <w:r>
        <w:rPr>
          <w:rFonts w:hint="eastAsia" w:hAnsi="宋体" w:cs="宋体"/>
          <w:color w:val="auto"/>
          <w:sz w:val="32"/>
          <w:szCs w:val="32"/>
          <w:highlight w:val="none"/>
        </w:rPr>
        <w:t>公路工程施工劳务合作合同</w:t>
      </w:r>
    </w:p>
    <w:p w14:paraId="145F0C22">
      <w:pPr>
        <w:pStyle w:val="107"/>
        <w:shd w:val="clear" w:fill="FFFFFF" w:themeFill="background1"/>
        <w:spacing w:line="280" w:lineRule="exact"/>
        <w:ind w:right="630"/>
        <w:jc w:val="right"/>
        <w:rPr>
          <w:rFonts w:hAnsi="宋体" w:cs="宋体"/>
          <w:color w:val="auto"/>
          <w:szCs w:val="21"/>
          <w:highlight w:val="none"/>
        </w:rPr>
      </w:pPr>
    </w:p>
    <w:p w14:paraId="028A7004">
      <w:pPr>
        <w:pStyle w:val="107"/>
        <w:shd w:val="clear" w:fill="FFFFFF" w:themeFill="background1"/>
        <w:ind w:right="-154"/>
        <w:rPr>
          <w:rFonts w:hAnsi="宋体" w:cs="宋体"/>
          <w:color w:val="auto"/>
          <w:highlight w:val="none"/>
        </w:rPr>
      </w:pPr>
      <w:r>
        <w:rPr>
          <w:rFonts w:hint="eastAsia" w:hAnsi="宋体" w:cs="宋体"/>
          <w:color w:val="auto"/>
          <w:highlight w:val="none"/>
        </w:rPr>
        <w:t xml:space="preserve">                                            劳务合同编号：</w:t>
      </w:r>
    </w:p>
    <w:p w14:paraId="0A3C949C">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7901E67A">
      <w:pPr>
        <w:pStyle w:val="107"/>
        <w:shd w:val="clear" w:fill="FFFFFF" w:themeFill="background1"/>
        <w:rPr>
          <w:rFonts w:hAnsi="宋体" w:cs="宋体"/>
          <w:color w:val="auto"/>
          <w:highlight w:val="none"/>
        </w:rPr>
      </w:pPr>
      <w:r>
        <w:rPr>
          <w:rFonts w:hint="eastAsia" w:hAnsi="宋体" w:cs="宋体"/>
          <w:color w:val="auto"/>
          <w:highlight w:val="none"/>
        </w:rPr>
        <w:t>甲方 (承包人或专项工程分包人)：</w:t>
      </w:r>
    </w:p>
    <w:p w14:paraId="467A6FA7">
      <w:pPr>
        <w:pStyle w:val="107"/>
        <w:shd w:val="clear" w:fill="FFFFFF" w:themeFill="background1"/>
        <w:rPr>
          <w:rFonts w:hAnsi="宋体" w:cs="宋体"/>
          <w:color w:val="auto"/>
          <w:highlight w:val="none"/>
          <w:u w:val="single"/>
        </w:rPr>
      </w:pPr>
      <w:r>
        <w:rPr>
          <w:rFonts w:hint="eastAsia" w:hAnsi="宋体" w:cs="宋体"/>
          <w:color w:val="auto"/>
          <w:highlight w:val="none"/>
        </w:rPr>
        <w:t>乙方（劳务单位）：</w:t>
      </w:r>
    </w:p>
    <w:p w14:paraId="4091A55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依照《</w:t>
      </w:r>
      <w:r>
        <w:rPr>
          <w:rFonts w:hint="eastAsia" w:hAnsi="宋体" w:cs="宋体"/>
          <w:color w:val="auto"/>
          <w:highlight w:val="none"/>
          <w:lang w:eastAsia="zh-CN"/>
        </w:rPr>
        <w:t>中华人民共和国民法典合同编</w:t>
      </w:r>
      <w:r>
        <w:rPr>
          <w:rFonts w:hint="eastAsia" w:hAnsi="宋体" w:cs="宋体"/>
          <w:color w:val="auto"/>
          <w:highlight w:val="none"/>
        </w:rPr>
        <w:t>》、《中华人民共和国公路法》、《中华人民共和国港口法》、《中华人民共和国航道管理条例》、交通运输部《公路工程施工分包管理办法》及其它有关法律、行政法规、规章，遵循平等、自愿、公平和诚实信用的原则，鉴于(以下简称为“发包人”)与工程承包人已经签订施工总承包合同或专业承(分)包合同(以下称为“总(分)包合同”)，双方就劳务合作事项协商达成一致，订立本合同。</w:t>
      </w:r>
    </w:p>
    <w:p w14:paraId="1470A538">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工程名称、地点和劳务内容</w:t>
      </w:r>
    </w:p>
    <w:p w14:paraId="5765A64E">
      <w:pPr>
        <w:pStyle w:val="107"/>
        <w:numPr>
          <w:ilvl w:val="1"/>
          <w:numId w:val="25"/>
        </w:numPr>
        <w:shd w:val="clear" w:fill="FFFFFF" w:themeFill="background1"/>
        <w:tabs>
          <w:tab w:val="left" w:pos="0"/>
        </w:tabs>
        <w:ind w:left="0" w:firstLine="425"/>
        <w:rPr>
          <w:rFonts w:hAnsi="宋体" w:cs="宋体"/>
          <w:color w:val="auto"/>
          <w:highlight w:val="none"/>
        </w:rPr>
      </w:pPr>
      <w:r>
        <w:rPr>
          <w:rFonts w:hint="eastAsia" w:hAnsi="宋体" w:cs="宋体"/>
          <w:color w:val="auto"/>
          <w:highlight w:val="none"/>
        </w:rPr>
        <w:t>工程名称</w:t>
      </w:r>
    </w:p>
    <w:p w14:paraId="7110F666">
      <w:pPr>
        <w:pStyle w:val="107"/>
        <w:numPr>
          <w:ilvl w:val="1"/>
          <w:numId w:val="25"/>
        </w:numPr>
        <w:shd w:val="clear" w:fill="FFFFFF" w:themeFill="background1"/>
        <w:tabs>
          <w:tab w:val="left" w:pos="0"/>
        </w:tabs>
        <w:ind w:left="0" w:firstLine="425"/>
        <w:rPr>
          <w:rFonts w:hAnsi="宋体" w:cs="宋体"/>
          <w:color w:val="auto"/>
          <w:highlight w:val="none"/>
        </w:rPr>
      </w:pPr>
      <w:r>
        <w:rPr>
          <w:rFonts w:hint="eastAsia" w:hAnsi="宋体" w:cs="宋体"/>
          <w:color w:val="auto"/>
          <w:highlight w:val="none"/>
        </w:rPr>
        <w:t>工程地点和范围</w:t>
      </w:r>
    </w:p>
    <w:p w14:paraId="7880B76F">
      <w:pPr>
        <w:pStyle w:val="107"/>
        <w:numPr>
          <w:ilvl w:val="1"/>
          <w:numId w:val="25"/>
        </w:numPr>
        <w:shd w:val="clear" w:fill="FFFFFF" w:themeFill="background1"/>
        <w:tabs>
          <w:tab w:val="left" w:pos="0"/>
        </w:tabs>
        <w:ind w:left="0" w:firstLine="425"/>
        <w:rPr>
          <w:rFonts w:hAnsi="宋体" w:cs="宋体"/>
          <w:color w:val="auto"/>
          <w:highlight w:val="none"/>
        </w:rPr>
      </w:pPr>
      <w:r>
        <w:rPr>
          <w:rFonts w:hint="eastAsia" w:hAnsi="宋体" w:cs="宋体"/>
          <w:color w:val="auto"/>
          <w:highlight w:val="none"/>
        </w:rPr>
        <w:t>劳务内容和方式：</w:t>
      </w:r>
    </w:p>
    <w:p w14:paraId="5BA4F082">
      <w:pPr>
        <w:pStyle w:val="107"/>
        <w:numPr>
          <w:ilvl w:val="1"/>
          <w:numId w:val="25"/>
        </w:numPr>
        <w:shd w:val="clear" w:fill="FFFFFF" w:themeFill="background1"/>
        <w:tabs>
          <w:tab w:val="left" w:pos="0"/>
        </w:tabs>
        <w:ind w:left="0" w:firstLine="425"/>
        <w:rPr>
          <w:rFonts w:hAnsi="宋体" w:cs="宋体"/>
          <w:color w:val="auto"/>
          <w:highlight w:val="none"/>
        </w:rPr>
      </w:pPr>
      <w:r>
        <w:rPr>
          <w:rFonts w:hint="eastAsia" w:hAnsi="宋体" w:cs="宋体"/>
          <w:color w:val="auto"/>
          <w:highlight w:val="none"/>
        </w:rPr>
        <w:t>劳务人员数量共计人。其中，技工人，普工人(劳务人员工种及花名册附后)。</w:t>
      </w:r>
    </w:p>
    <w:p w14:paraId="0450845A">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劳务及管理费的结算支付</w:t>
      </w:r>
    </w:p>
    <w:p w14:paraId="0D1DDA2F">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 xml:space="preserve">2.1劳务承包项目实行工序劳务费用单价承包形式，计件单价和暂估数量见《劳务计价清单》（附表1）。劳务费用中的结算工程量按每月得到甲方项目经理部签认计量的工程量为准。 </w:t>
      </w:r>
    </w:p>
    <w:p w14:paraId="670DFC97">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2.2工序劳务单价系包含为实施该工序所有子项目并缺陷修补中所需的一切劳务（包括劳务管理、劳务社会保障），小型辅助材料，小型施工机具和设备，现场管理，施工调遣，施工措施，生活设施，除营业税、城市建设附加税和教育附加费外的税金，施工结束后现场清理，其他应支付的必要费用，以及合同明示或暗示的一切风险、责任和义务等所有相关费用，成本节约形成的利润。工序劳务单价已得到双方确认。</w:t>
      </w:r>
    </w:p>
    <w:p w14:paraId="085CA8D5">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2.3劳务计价清单未涉及的工程内容，或由于待料、停电、气候恶劣等非乙方的责任而造成的停工按计日工结算。计日工单价根据发生时的市场价由双方商定。</w:t>
      </w:r>
    </w:p>
    <w:p w14:paraId="270D05FD">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2.4本合同劳务计价单价不含甲方提供的材料费用和机械设备费用，但含税金，税金由甲方代扣代缴（综合税率为%）。乙方办理劳务费结算支付时应提供符合要求的票据。</w:t>
      </w:r>
    </w:p>
    <w:p w14:paraId="2D9A6866">
      <w:pPr>
        <w:pStyle w:val="107"/>
        <w:numPr>
          <w:ilvl w:val="1"/>
          <w:numId w:val="26"/>
        </w:numPr>
        <w:shd w:val="clear" w:fill="FFFFFF" w:themeFill="background1"/>
        <w:ind w:left="0" w:firstLine="424" w:firstLineChars="177"/>
        <w:rPr>
          <w:rFonts w:hAnsi="宋体" w:cs="宋体"/>
          <w:color w:val="auto"/>
          <w:highlight w:val="none"/>
        </w:rPr>
      </w:pPr>
      <w:r>
        <w:rPr>
          <w:rFonts w:hint="eastAsia" w:hAnsi="宋体" w:cs="宋体"/>
          <w:color w:val="auto"/>
          <w:highlight w:val="none"/>
        </w:rPr>
        <w:t>有关款项的约定：</w:t>
      </w:r>
    </w:p>
    <w:p w14:paraId="486D2DF2">
      <w:pPr>
        <w:pStyle w:val="107"/>
        <w:shd w:val="clear" w:fill="FFFFFF" w:themeFill="background1"/>
        <w:ind w:firstLine="600" w:firstLineChars="250"/>
        <w:rPr>
          <w:rFonts w:hAnsi="宋体" w:cs="宋体"/>
          <w:color w:val="auto"/>
          <w:highlight w:val="none"/>
        </w:rPr>
      </w:pPr>
      <w:r>
        <w:rPr>
          <w:rFonts w:hint="eastAsia" w:hAnsi="宋体" w:cs="宋体"/>
          <w:color w:val="auto"/>
          <w:highlight w:val="none"/>
        </w:rPr>
        <w:t>2.5.1农民工工资支付保证金按项目总包合同专用条款或业主规定的比例在计量支付时提取，在乙方劳务作业全部完成并出具无拖欠农民工工资承诺后退还。</w:t>
      </w:r>
    </w:p>
    <w:p w14:paraId="5AECBEB0">
      <w:pPr>
        <w:pStyle w:val="107"/>
        <w:shd w:val="clear" w:fill="FFFFFF" w:themeFill="background1"/>
        <w:ind w:firstLine="600" w:firstLineChars="250"/>
        <w:rPr>
          <w:rFonts w:hAnsi="宋体" w:cs="宋体"/>
          <w:color w:val="auto"/>
          <w:highlight w:val="none"/>
        </w:rPr>
      </w:pPr>
      <w:r>
        <w:rPr>
          <w:rFonts w:hint="eastAsia" w:hAnsi="宋体" w:cs="宋体"/>
          <w:color w:val="auto"/>
          <w:highlight w:val="none"/>
        </w:rPr>
        <w:t>2.5.2质量和进度考核基金按项目业主的考核办法的规定比例在中期计量支付时提取，并按考核办法的规定实施考核和奖惩。</w:t>
      </w:r>
    </w:p>
    <w:p w14:paraId="5EBDDE43">
      <w:pPr>
        <w:pStyle w:val="107"/>
        <w:shd w:val="clear" w:fill="FFFFFF" w:themeFill="background1"/>
        <w:ind w:firstLine="432" w:firstLineChars="180"/>
        <w:rPr>
          <w:rFonts w:hAnsi="宋体" w:cs="宋体"/>
          <w:b/>
          <w:color w:val="auto"/>
          <w:spacing w:val="-8"/>
          <w:highlight w:val="none"/>
        </w:rPr>
      </w:pPr>
      <w:r>
        <w:rPr>
          <w:rFonts w:hint="eastAsia" w:hAnsi="宋体" w:cs="宋体"/>
          <w:color w:val="auto"/>
          <w:highlight w:val="none"/>
        </w:rPr>
        <w:t>2.6劳务承包合同总价为甲乙双方验工计量支付的各分项价款之和</w:t>
      </w:r>
      <w:r>
        <w:rPr>
          <w:rFonts w:hint="eastAsia" w:hAnsi="宋体" w:cs="宋体"/>
          <w:b/>
          <w:color w:val="auto"/>
          <w:spacing w:val="-8"/>
          <w:highlight w:val="none"/>
        </w:rPr>
        <w:t>。</w:t>
      </w:r>
    </w:p>
    <w:p w14:paraId="00BFD422">
      <w:pPr>
        <w:pStyle w:val="107"/>
        <w:numPr>
          <w:ilvl w:val="0"/>
          <w:numId w:val="24"/>
        </w:numPr>
        <w:shd w:val="clear" w:fill="FFFFFF" w:themeFill="background1"/>
        <w:rPr>
          <w:rFonts w:hAnsi="宋体" w:cs="宋体"/>
          <w:b/>
          <w:color w:val="auto"/>
          <w:spacing w:val="-8"/>
          <w:highlight w:val="none"/>
        </w:rPr>
      </w:pPr>
      <w:r>
        <w:rPr>
          <w:rFonts w:hint="eastAsia" w:hAnsi="宋体" w:cs="宋体"/>
          <w:b/>
          <w:color w:val="auto"/>
          <w:spacing w:val="-8"/>
          <w:highlight w:val="none"/>
        </w:rPr>
        <w:t>双方责任</w:t>
      </w:r>
    </w:p>
    <w:p w14:paraId="7EED08EB">
      <w:pPr>
        <w:pStyle w:val="107"/>
        <w:shd w:val="clear" w:fill="FFFFFF" w:themeFill="background1"/>
        <w:ind w:left="425"/>
        <w:rPr>
          <w:rFonts w:hAnsi="宋体" w:cs="宋体"/>
          <w:color w:val="auto"/>
          <w:highlight w:val="none"/>
        </w:rPr>
      </w:pPr>
      <w:r>
        <w:rPr>
          <w:rFonts w:hint="eastAsia" w:hAnsi="宋体" w:cs="宋体"/>
          <w:color w:val="auto"/>
          <w:highlight w:val="none"/>
        </w:rPr>
        <w:t>3.1甲方责任</w:t>
      </w:r>
    </w:p>
    <w:p w14:paraId="53B053CF">
      <w:pPr>
        <w:pStyle w:val="107"/>
        <w:shd w:val="clear" w:fill="FFFFFF" w:themeFill="background1"/>
        <w:ind w:firstLine="615"/>
        <w:rPr>
          <w:rFonts w:hAnsi="宋体" w:cs="宋体"/>
          <w:color w:val="auto"/>
          <w:highlight w:val="none"/>
        </w:rPr>
      </w:pPr>
      <w:r>
        <w:rPr>
          <w:rFonts w:hint="eastAsia" w:hAnsi="宋体" w:cs="宋体"/>
          <w:color w:val="auto"/>
          <w:highlight w:val="none"/>
        </w:rPr>
        <w:t>3.1.1为加强对乙方劳务人员的组织与管理，甲方成立现场管理机构标段项目经理部，对工程施工全过程实施全面监控管理。</w:t>
      </w:r>
    </w:p>
    <w:p w14:paraId="7A95D582">
      <w:pPr>
        <w:pStyle w:val="107"/>
        <w:shd w:val="clear" w:fill="FFFFFF" w:themeFill="background1"/>
        <w:ind w:firstLine="615"/>
        <w:rPr>
          <w:rFonts w:hAnsi="宋体" w:cs="宋体"/>
          <w:color w:val="auto"/>
          <w:highlight w:val="none"/>
        </w:rPr>
      </w:pPr>
      <w:r>
        <w:rPr>
          <w:rFonts w:hint="eastAsia" w:hAnsi="宋体" w:cs="宋体"/>
          <w:color w:val="auto"/>
          <w:highlight w:val="none"/>
        </w:rPr>
        <w:t>3.1.2负责编制实施性施工组织设计，负责施工测量和技术管理。</w:t>
      </w:r>
    </w:p>
    <w:p w14:paraId="2D5277EC">
      <w:pPr>
        <w:pStyle w:val="107"/>
        <w:shd w:val="clear" w:fill="FFFFFF" w:themeFill="background1"/>
        <w:ind w:firstLine="615"/>
        <w:rPr>
          <w:rFonts w:hAnsi="宋体" w:cs="宋体"/>
          <w:color w:val="auto"/>
          <w:highlight w:val="none"/>
        </w:rPr>
      </w:pPr>
      <w:r>
        <w:rPr>
          <w:rFonts w:hint="eastAsia" w:hAnsi="宋体" w:cs="宋体"/>
          <w:color w:val="auto"/>
          <w:highlight w:val="none"/>
        </w:rPr>
        <w:t>3.1.3按施工组织设计及时供应材料和提供机械设备，满足工程进度的需要。</w:t>
      </w:r>
    </w:p>
    <w:p w14:paraId="615DACFC">
      <w:pPr>
        <w:pStyle w:val="107"/>
        <w:shd w:val="clear" w:fill="FFFFFF" w:themeFill="background1"/>
        <w:ind w:firstLine="615"/>
        <w:rPr>
          <w:rFonts w:hAnsi="宋体" w:cs="宋体"/>
          <w:color w:val="auto"/>
          <w:highlight w:val="none"/>
        </w:rPr>
      </w:pPr>
      <w:r>
        <w:rPr>
          <w:rFonts w:hint="eastAsia" w:hAnsi="宋体" w:cs="宋体"/>
          <w:color w:val="auto"/>
          <w:highlight w:val="none"/>
        </w:rPr>
        <w:t>3.1.4负责在施工前对乙方劳务人员进行技术交底，让乙方劳务人员熟练掌握有关操作规程和操作技术。</w:t>
      </w:r>
    </w:p>
    <w:p w14:paraId="023C00A2">
      <w:pPr>
        <w:pStyle w:val="107"/>
        <w:shd w:val="clear" w:fill="FFFFFF" w:themeFill="background1"/>
        <w:ind w:firstLine="615"/>
        <w:rPr>
          <w:rFonts w:hAnsi="宋体" w:cs="宋体"/>
          <w:color w:val="auto"/>
          <w:highlight w:val="none"/>
        </w:rPr>
      </w:pPr>
      <w:r>
        <w:rPr>
          <w:rFonts w:hint="eastAsia" w:hAnsi="宋体" w:cs="宋体"/>
          <w:color w:val="auto"/>
          <w:highlight w:val="none"/>
        </w:rPr>
        <w:t>3.1.5编制施工进度计划，人员、材料、设备等进场计划，并组织乙方劳务人员按规定程序进行劳务作业。</w:t>
      </w:r>
    </w:p>
    <w:p w14:paraId="6EE6AEDA">
      <w:pPr>
        <w:pStyle w:val="107"/>
        <w:shd w:val="clear" w:fill="FFFFFF" w:themeFill="background1"/>
        <w:ind w:firstLine="615"/>
        <w:rPr>
          <w:rFonts w:hAnsi="宋体" w:cs="宋体"/>
          <w:color w:val="auto"/>
          <w:highlight w:val="none"/>
        </w:rPr>
      </w:pPr>
      <w:r>
        <w:rPr>
          <w:rFonts w:hint="eastAsia" w:hAnsi="宋体" w:cs="宋体"/>
          <w:color w:val="auto"/>
          <w:highlight w:val="none"/>
        </w:rPr>
        <w:t>3.1.6负责原材料、设备、构配件、半成品的检验和试验。</w:t>
      </w:r>
    </w:p>
    <w:p w14:paraId="3772DDC2">
      <w:pPr>
        <w:pStyle w:val="107"/>
        <w:shd w:val="clear" w:fill="FFFFFF" w:themeFill="background1"/>
        <w:ind w:firstLine="615"/>
        <w:rPr>
          <w:rFonts w:hAnsi="宋体" w:cs="宋体"/>
          <w:color w:val="auto"/>
          <w:highlight w:val="none"/>
        </w:rPr>
      </w:pPr>
      <w:r>
        <w:rPr>
          <w:rFonts w:hint="eastAsia" w:hAnsi="宋体" w:cs="宋体"/>
          <w:color w:val="auto"/>
          <w:highlight w:val="none"/>
        </w:rPr>
        <w:t>3.1.7对乙方安排的劳务人员进行岗前专业培训，并记录教育培训档案。</w:t>
      </w:r>
    </w:p>
    <w:p w14:paraId="1972FC0E">
      <w:pPr>
        <w:pStyle w:val="107"/>
        <w:shd w:val="clear" w:fill="FFFFFF" w:themeFill="background1"/>
        <w:ind w:firstLine="615"/>
        <w:rPr>
          <w:rFonts w:hAnsi="宋体" w:cs="宋体"/>
          <w:color w:val="auto"/>
          <w:highlight w:val="none"/>
        </w:rPr>
      </w:pPr>
      <w:r>
        <w:rPr>
          <w:rFonts w:hint="eastAsia" w:hAnsi="宋体" w:cs="宋体"/>
          <w:color w:val="auto"/>
          <w:highlight w:val="none"/>
        </w:rPr>
        <w:t>3.1.8监督乙方劳务人员进行文明施工、安全生产，保证作业现场施工安全。</w:t>
      </w:r>
    </w:p>
    <w:p w14:paraId="28AF17A8">
      <w:pPr>
        <w:pStyle w:val="107"/>
        <w:shd w:val="clear" w:fill="FFFFFF" w:themeFill="background1"/>
        <w:ind w:firstLine="615"/>
        <w:rPr>
          <w:rFonts w:hAnsi="宋体" w:cs="宋体"/>
          <w:color w:val="auto"/>
          <w:highlight w:val="none"/>
        </w:rPr>
      </w:pPr>
      <w:r>
        <w:rPr>
          <w:rFonts w:hint="eastAsia" w:hAnsi="宋体" w:cs="宋体"/>
          <w:color w:val="auto"/>
          <w:highlight w:val="none"/>
        </w:rPr>
        <w:t>3.1.9负责办理征地拆迁以及本协议作业项目的道路、用电、用水，以满足施工需要。</w:t>
      </w:r>
    </w:p>
    <w:p w14:paraId="3D74145B">
      <w:pPr>
        <w:pStyle w:val="107"/>
        <w:shd w:val="clear" w:fill="FFFFFF" w:themeFill="background1"/>
        <w:ind w:firstLine="615"/>
        <w:rPr>
          <w:rFonts w:hAnsi="宋体" w:cs="宋体"/>
          <w:color w:val="auto"/>
          <w:highlight w:val="none"/>
        </w:rPr>
      </w:pPr>
      <w:r>
        <w:rPr>
          <w:rFonts w:hint="eastAsia" w:hAnsi="宋体" w:cs="宋体"/>
          <w:color w:val="auto"/>
          <w:highlight w:val="none"/>
        </w:rPr>
        <w:t>3.1.10、甲方负责对每道工序的质量进行检验，乙方完成每道工序须由甲方工程技术人员检验认可，否则乙方不能进入下一道工序的劳务作业。</w:t>
      </w:r>
    </w:p>
    <w:p w14:paraId="231C9A5F">
      <w:pPr>
        <w:pStyle w:val="107"/>
        <w:shd w:val="clear" w:fill="FFFFFF" w:themeFill="background1"/>
        <w:ind w:firstLine="615"/>
        <w:rPr>
          <w:rFonts w:hAnsi="宋体" w:cs="宋体"/>
          <w:color w:val="auto"/>
          <w:highlight w:val="none"/>
        </w:rPr>
      </w:pPr>
      <w:r>
        <w:rPr>
          <w:rFonts w:hint="eastAsia" w:hAnsi="宋体" w:cs="宋体"/>
          <w:color w:val="auto"/>
          <w:highlight w:val="none"/>
        </w:rPr>
        <w:t>3.1.11对已完劳务作业项目组织验收，负责工程资料的收集和汇总并按协议规定办理劳务费用结算。</w:t>
      </w:r>
    </w:p>
    <w:p w14:paraId="2170ED3D">
      <w:pPr>
        <w:pStyle w:val="107"/>
        <w:shd w:val="clear" w:fill="FFFFFF" w:themeFill="background1"/>
        <w:ind w:firstLine="360"/>
        <w:rPr>
          <w:rFonts w:hAnsi="宋体" w:cs="宋体"/>
          <w:color w:val="auto"/>
          <w:highlight w:val="none"/>
        </w:rPr>
      </w:pPr>
      <w:r>
        <w:rPr>
          <w:rFonts w:hint="eastAsia" w:hAnsi="宋体" w:cs="宋体"/>
          <w:color w:val="auto"/>
          <w:highlight w:val="none"/>
        </w:rPr>
        <w:t>3.2乙方责任</w:t>
      </w:r>
    </w:p>
    <w:p w14:paraId="0C2C0E87">
      <w:pPr>
        <w:pStyle w:val="107"/>
        <w:shd w:val="clear" w:fill="FFFFFF" w:themeFill="background1"/>
        <w:ind w:firstLine="615"/>
        <w:rPr>
          <w:rFonts w:hAnsi="宋体" w:cs="宋体"/>
          <w:color w:val="auto"/>
          <w:highlight w:val="none"/>
        </w:rPr>
      </w:pPr>
      <w:r>
        <w:rPr>
          <w:rFonts w:hint="eastAsia" w:hAnsi="宋体" w:cs="宋体"/>
          <w:color w:val="auto"/>
          <w:highlight w:val="none"/>
        </w:rPr>
        <w:t>3.2.1按甲方要求安排符合施工需要的劳务作业人员。乙方必须安排与之有劳动合同关系的劳务作业人员，未签订劳动合同的不得进入施工现场从事劳务作业活动。</w:t>
      </w:r>
    </w:p>
    <w:p w14:paraId="2F3EA608">
      <w:pPr>
        <w:pStyle w:val="107"/>
        <w:shd w:val="clear" w:fill="FFFFFF" w:themeFill="background1"/>
        <w:ind w:firstLine="615"/>
        <w:rPr>
          <w:rFonts w:hAnsi="宋体" w:cs="宋体"/>
          <w:color w:val="auto"/>
          <w:highlight w:val="none"/>
        </w:rPr>
      </w:pPr>
      <w:r>
        <w:rPr>
          <w:rFonts w:hint="eastAsia" w:hAnsi="宋体" w:cs="宋体"/>
          <w:color w:val="auto"/>
          <w:highlight w:val="none"/>
        </w:rPr>
        <w:t>3.2.2乙方应派出现场负责人协助甲方对劳务人员进行劳务作业管理。</w:t>
      </w:r>
    </w:p>
    <w:p w14:paraId="40CB7A0F">
      <w:pPr>
        <w:pStyle w:val="107"/>
        <w:shd w:val="clear" w:fill="FFFFFF" w:themeFill="background1"/>
        <w:ind w:firstLine="612"/>
        <w:rPr>
          <w:rFonts w:hAnsi="宋体" w:cs="宋体"/>
          <w:color w:val="auto"/>
          <w:highlight w:val="none"/>
        </w:rPr>
      </w:pPr>
      <w:r>
        <w:rPr>
          <w:rFonts w:hint="eastAsia" w:hAnsi="宋体" w:cs="宋体"/>
          <w:color w:val="auto"/>
          <w:highlight w:val="none"/>
        </w:rPr>
        <w:t>3.2.3乙方劳务人员应按甲方劳务培训计划参加相关工法、操作规程的学习，严格按规定程序进行劳务作业。</w:t>
      </w:r>
    </w:p>
    <w:p w14:paraId="568B103A">
      <w:pPr>
        <w:pStyle w:val="107"/>
        <w:shd w:val="clear" w:fill="FFFFFF" w:themeFill="background1"/>
        <w:ind w:firstLine="612"/>
        <w:rPr>
          <w:rFonts w:hAnsi="宋体" w:cs="宋体"/>
          <w:color w:val="auto"/>
          <w:highlight w:val="none"/>
        </w:rPr>
      </w:pPr>
      <w:r>
        <w:rPr>
          <w:rFonts w:hint="eastAsia" w:hAnsi="宋体" w:cs="宋体"/>
          <w:color w:val="auto"/>
          <w:highlight w:val="none"/>
        </w:rPr>
        <w:t>3.2.4乙方应当建立、健全职业病防治责任制，加强对职业病防治的管理，对产生的职业病危害承担责任。</w:t>
      </w:r>
    </w:p>
    <w:p w14:paraId="66300251">
      <w:pPr>
        <w:pStyle w:val="107"/>
        <w:shd w:val="clear" w:fill="FFFFFF" w:themeFill="background1"/>
        <w:ind w:firstLine="615"/>
        <w:rPr>
          <w:rFonts w:hAnsi="宋体" w:cs="宋体"/>
          <w:color w:val="auto"/>
          <w:highlight w:val="none"/>
        </w:rPr>
      </w:pPr>
      <w:r>
        <w:rPr>
          <w:rFonts w:hint="eastAsia" w:hAnsi="宋体" w:cs="宋体"/>
          <w:color w:val="auto"/>
          <w:highlight w:val="none"/>
        </w:rPr>
        <w:t>3.2.5遵守当地政府和有关管理部门对环境保护及施工现场的管理规定，坚持文明施工作业，材料机具堆放整齐，建筑垃圾及时清运，并承担因违反有关规定造成的损失和罚款，施工造成的水土流失污染林地、河流以及因施工车辆造成的道路、农作物污染，均由乙方负责处理解决并承担费用。</w:t>
      </w:r>
    </w:p>
    <w:p w14:paraId="55BD099F">
      <w:pPr>
        <w:pStyle w:val="107"/>
        <w:shd w:val="clear" w:fill="FFFFFF" w:themeFill="background1"/>
        <w:ind w:firstLine="615"/>
        <w:rPr>
          <w:rFonts w:hAnsi="宋体" w:cs="宋体"/>
          <w:color w:val="auto"/>
          <w:highlight w:val="none"/>
        </w:rPr>
      </w:pPr>
      <w:r>
        <w:rPr>
          <w:rFonts w:hint="eastAsia" w:hAnsi="宋体" w:cs="宋体"/>
          <w:color w:val="auto"/>
          <w:highlight w:val="none"/>
        </w:rPr>
        <w:t>3.2.6乙方劳务人员在劳务作业中发生质量、安全责任事故，应及时报告甲方管理人员，不得擅自处理或隐瞒。</w:t>
      </w:r>
    </w:p>
    <w:p w14:paraId="5451D134">
      <w:pPr>
        <w:pStyle w:val="107"/>
        <w:shd w:val="clear" w:fill="FFFFFF" w:themeFill="background1"/>
        <w:ind w:firstLine="615"/>
        <w:rPr>
          <w:rFonts w:hAnsi="宋体" w:cs="宋体"/>
          <w:color w:val="auto"/>
          <w:highlight w:val="none"/>
        </w:rPr>
      </w:pPr>
      <w:r>
        <w:rPr>
          <w:rFonts w:hint="eastAsia" w:hAnsi="宋体" w:cs="宋体"/>
          <w:color w:val="auto"/>
          <w:highlight w:val="none"/>
        </w:rPr>
        <w:t>3.2.7劳务作业过程中，乙方劳务人员与当地发生的债权债务及治安等问题由乙方负责处理，并承担相应责任和费用。</w:t>
      </w:r>
    </w:p>
    <w:p w14:paraId="15F70E86">
      <w:pPr>
        <w:pStyle w:val="107"/>
        <w:shd w:val="clear" w:fill="FFFFFF" w:themeFill="background1"/>
        <w:ind w:firstLine="615"/>
        <w:rPr>
          <w:rFonts w:hAnsi="宋体" w:cs="宋体"/>
          <w:color w:val="auto"/>
          <w:highlight w:val="none"/>
        </w:rPr>
      </w:pPr>
      <w:r>
        <w:rPr>
          <w:rFonts w:hint="eastAsia" w:hAnsi="宋体" w:cs="宋体"/>
          <w:color w:val="auto"/>
          <w:highlight w:val="none"/>
        </w:rPr>
        <w:t>3.2.8乙方劳务人员须认真按照行业技术规范和设计要求以及甲方的管理进行劳务作业，随时接受甲方管理人员的监督检查。</w:t>
      </w:r>
    </w:p>
    <w:p w14:paraId="0999F715">
      <w:pPr>
        <w:pStyle w:val="107"/>
        <w:shd w:val="clear" w:fill="FFFFFF" w:themeFill="background1"/>
        <w:ind w:firstLine="615"/>
        <w:rPr>
          <w:rFonts w:hAnsi="宋体" w:cs="宋体"/>
          <w:color w:val="auto"/>
          <w:highlight w:val="none"/>
        </w:rPr>
      </w:pPr>
      <w:r>
        <w:rPr>
          <w:rFonts w:hint="eastAsia" w:hAnsi="宋体" w:cs="宋体"/>
          <w:color w:val="auto"/>
          <w:highlight w:val="none"/>
        </w:rPr>
        <w:t>3.2.9乙方不得将本工程转包或者分包给其他单位或个人施工，须自行完成本协议规定的施工作业项目；在施工过程中，不得偷工减料，不得倒卖或挪用甲方供应的材料、设备、构配件、成品、半成品。</w:t>
      </w:r>
    </w:p>
    <w:p w14:paraId="73CFF063">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工期</w:t>
      </w:r>
    </w:p>
    <w:p w14:paraId="2FB4DEA2">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3.1  本劳务协议工期______日历天，自______年_______月______日开始至______年____月______日结束。乙方应按甲方安排的工作计划进场和退场，进、退场费用由______方承担。</w:t>
      </w:r>
    </w:p>
    <w:p w14:paraId="4C1F3C1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3.2  在乙方工作期限期满之前，如需终止雇佣，甲方应在期满前_____天书面通知乙方。</w:t>
      </w:r>
    </w:p>
    <w:p w14:paraId="5AEEBBDB">
      <w:pPr>
        <w:pStyle w:val="107"/>
        <w:shd w:val="clear" w:fill="FFFFFF" w:themeFill="background1"/>
        <w:ind w:firstLine="480"/>
        <w:rPr>
          <w:rFonts w:hAnsi="宋体" w:cs="宋体"/>
          <w:color w:val="auto"/>
          <w:highlight w:val="none"/>
        </w:rPr>
      </w:pPr>
      <w:r>
        <w:rPr>
          <w:rFonts w:hint="eastAsia" w:hAnsi="宋体" w:cs="宋体"/>
          <w:color w:val="auto"/>
          <w:highlight w:val="none"/>
        </w:rPr>
        <w:t>3.3 如需延长乙方工作期限，甲方应在期满前______天书面通知乙方。</w:t>
      </w:r>
    </w:p>
    <w:p w14:paraId="640DD83B">
      <w:pPr>
        <w:pStyle w:val="107"/>
        <w:shd w:val="clear" w:fill="FFFFFF" w:themeFill="background1"/>
        <w:ind w:firstLine="480"/>
        <w:rPr>
          <w:rFonts w:hAnsi="宋体" w:cs="宋体"/>
          <w:color w:val="auto"/>
          <w:highlight w:val="none"/>
        </w:rPr>
      </w:pPr>
      <w:r>
        <w:rPr>
          <w:rFonts w:hint="eastAsia" w:hAnsi="宋体" w:cs="宋体"/>
          <w:color w:val="auto"/>
          <w:highlight w:val="none"/>
        </w:rPr>
        <w:t>3.4 乙方未能按合同进度计划及时完成合同约定的工作，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万元。乙方支付逾期交工违约金，不免除乙方完成工程及修补缺陷的义务。</w:t>
      </w:r>
    </w:p>
    <w:p w14:paraId="460D8A73">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材料物资和机械设备</w:t>
      </w:r>
    </w:p>
    <w:p w14:paraId="041C5643">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4.1 本工程所需材料由甲方提供。甲方提供的材料名称及允许损耗系数等见《甲方提供材料清单》（附表2）。乙方应授权专人领用甲供材料，若累计领用量超出理论用量加允许损耗用量的材料款在乙方当月劳务费结算时按上述材料的市场价加%的费用扣回。</w:t>
      </w:r>
    </w:p>
    <w:p w14:paraId="7541C1B7">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 xml:space="preserve"> 4.2 甲方提供的机械设备见《甲方提供机械设备清单》（附表3），乙方应自带除甲供机械设备外的其他全部小型工具和专用工具，提供必要的辅助材料。甲方提供的机械设备乙方应妥善使用和保管，用好后及时归还，损坏或丢失由乙方按重置价赔偿。</w:t>
      </w:r>
    </w:p>
    <w:p w14:paraId="6E9BE109">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4.3 甲方提供的材料和机械设备到达工地或指定地点之后，发生的搬运、装卸、整理、清除等所有劳务工作均由方负责并承担费用。</w:t>
      </w:r>
    </w:p>
    <w:p w14:paraId="6E4DE837">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劳务作业人员管理</w:t>
      </w:r>
    </w:p>
    <w:p w14:paraId="527CE927">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5.1 乙方人员的劳动合同由乙方与其签订，建立员工花名册并及时报送给甲方备案。各类社会保险等均由乙方统一建立，并交纳费用。发现未订立劳动合同，查到一次即要求该人员停工办理上岗手续（签订劳动合同、上岗三级安全教育等），2天内未按规定办理上岗手续，即予以退场。</w:t>
      </w:r>
    </w:p>
    <w:p w14:paraId="35A2603D">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5.2 乙方提供的特种作业人员，应取得特种作业上岗操作证书。乙方应对劳务人员进行岗前的业务培训和安全生产教育。</w:t>
      </w:r>
    </w:p>
    <w:p w14:paraId="72E77AA0">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 xml:space="preserve">5.3  乙方法定代表人应书面授权一名委托代理人实际履行合同义务并作为有效签字人，并配备相应的管理人员，加强对劳务人员的管理。 </w:t>
      </w:r>
    </w:p>
    <w:p w14:paraId="7E957641">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5.5 乙方应及时足额发放工资，发放清单经本人签字后交甲方留存备案，需由甲方统一代为发放的，乙方需出具书面委托，并在每月底报送员工考勤表及分包人签认的工资发放表给甲方，费用在月结算款中抵扣。</w:t>
      </w:r>
    </w:p>
    <w:p w14:paraId="1DDA4EF3">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5.6 乙方不得以任何理由和形式克扣员工工资，更不得发生员工到甲方追讨工资或有举报拖欠工资情况发生，若乙方无理克扣或拖欠工资情况属实，视为乙方违约，甲方在垫付其应得工资后，有权要求乙方支付违约金，违约金数额为每次</w:t>
      </w:r>
      <w:r>
        <w:rPr>
          <w:rFonts w:hint="eastAsia" w:hAnsi="宋体" w:cs="宋体"/>
          <w:color w:val="auto"/>
          <w:highlight w:val="none"/>
          <w:u w:val="single"/>
        </w:rPr>
        <w:t xml:space="preserve">       . </w:t>
      </w:r>
      <w:r>
        <w:rPr>
          <w:rFonts w:hint="eastAsia" w:hAnsi="宋体" w:cs="宋体"/>
          <w:color w:val="auto"/>
          <w:highlight w:val="none"/>
        </w:rPr>
        <w:t>元。</w:t>
      </w:r>
    </w:p>
    <w:p w14:paraId="214190DB">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劳务作业管理</w:t>
      </w:r>
    </w:p>
    <w:p w14:paraId="7ADFD083">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6.1乙方承担的工程内容，不得再行转包或分包，否则视为乙方违约，由此引起的一切责任和损失均由乙方负责。</w:t>
      </w:r>
    </w:p>
    <w:p w14:paraId="111A1298">
      <w:pPr>
        <w:pStyle w:val="107"/>
        <w:shd w:val="clear" w:fill="FFFFFF" w:themeFill="background1"/>
        <w:ind w:firstLine="490"/>
        <w:rPr>
          <w:rFonts w:hAnsi="宋体" w:cs="宋体"/>
          <w:color w:val="auto"/>
          <w:highlight w:val="none"/>
        </w:rPr>
      </w:pPr>
      <w:r>
        <w:rPr>
          <w:rFonts w:hint="eastAsia" w:hAnsi="宋体" w:cs="宋体"/>
          <w:color w:val="auto"/>
          <w:highlight w:val="none"/>
        </w:rPr>
        <w:t>6.2 乙方违反合同约定，工程质量未达到合同约定要求的，甲方有权终止合同，并处以万元的违约金，并且由此引起的一切损失由乙方负责并赔偿甲方的损失。</w:t>
      </w:r>
    </w:p>
    <w:p w14:paraId="161488DF">
      <w:pPr>
        <w:pStyle w:val="107"/>
        <w:shd w:val="clear" w:fill="FFFFFF" w:themeFill="background1"/>
        <w:ind w:firstLine="420"/>
        <w:rPr>
          <w:rFonts w:hAnsi="宋体" w:cs="宋体"/>
          <w:color w:val="auto"/>
          <w:highlight w:val="none"/>
        </w:rPr>
      </w:pPr>
      <w:r>
        <w:rPr>
          <w:rFonts w:hint="eastAsia" w:hAnsi="宋体" w:cs="宋体"/>
          <w:color w:val="auto"/>
          <w:highlight w:val="none"/>
        </w:rPr>
        <w:t>6.3乙方应按甲方规定格式和要求及时报送完整的资料给甲方，配合甲方办理中期计量支付及交工验收。</w:t>
      </w:r>
    </w:p>
    <w:p w14:paraId="563A6348">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安全管理</w:t>
      </w:r>
    </w:p>
    <w:p w14:paraId="46FAE996">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7.1 乙方应严格按施工方案和操作规程施工，因乙方原因导致的安全事故，由乙方承担主要责任，甲方承担连带责任。</w:t>
      </w:r>
    </w:p>
    <w:p w14:paraId="2A431993">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7.2 甲方的施工方案和现场指挥应符合安全施工要求，因甲方原因导致的安全事故，其责任与损失由甲方承担。</w:t>
      </w:r>
    </w:p>
    <w:p w14:paraId="08F23C7C">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7.3 乙方应配备专职安全员，协助并服从甲方进行安全管理。</w:t>
      </w:r>
    </w:p>
    <w:p w14:paraId="1447469E">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7.4乙方应按规范标准设置安全防护设施和配备劳动保护设施，对投入的安全生产费用按照实用实报原则向甲方计取；若安全防护设施和劳动保护设施投入不足的，甲方有权先行投入，其费用由乙方按照实用实报原则向甲方计取。如乙方施工内容存在一定的危险性，乙方应购买意外伤害保险，甲方认为有必要的，有权先行代购，费用由乙方承担。</w:t>
      </w:r>
    </w:p>
    <w:p w14:paraId="3DCBD8CA">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7.5 乙方的特种作业人员应持证上岗，证件复印件留甲方备查。</w:t>
      </w:r>
    </w:p>
    <w:p w14:paraId="3D0DCA94">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7.6 因乙方原因，导致发生安全事故和治安事件等，整改不力的，甲方有权终止本合同，并追偿损失。</w:t>
      </w:r>
    </w:p>
    <w:p w14:paraId="354597C8">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结算支付</w:t>
      </w:r>
    </w:p>
    <w:p w14:paraId="228471CA">
      <w:pPr>
        <w:pStyle w:val="107"/>
        <w:shd w:val="clear" w:fill="FFFFFF" w:themeFill="background1"/>
        <w:ind w:firstLine="600" w:firstLineChars="250"/>
        <w:rPr>
          <w:rFonts w:hAnsi="宋体" w:cs="宋体"/>
          <w:color w:val="auto"/>
          <w:highlight w:val="none"/>
        </w:rPr>
      </w:pPr>
      <w:r>
        <w:rPr>
          <w:rFonts w:hint="eastAsia" w:hAnsi="宋体" w:cs="宋体"/>
          <w:color w:val="auto"/>
          <w:highlight w:val="none"/>
        </w:rPr>
        <w:t>8.1甲方每月在得到业主支付的计量款后按合同约定进行劳务费的结算和支付。</w:t>
      </w:r>
    </w:p>
    <w:p w14:paraId="4C69FBF9">
      <w:pPr>
        <w:pStyle w:val="107"/>
        <w:shd w:val="clear" w:fill="FFFFFF" w:themeFill="background1"/>
        <w:ind w:firstLine="600" w:firstLineChars="250"/>
        <w:rPr>
          <w:rFonts w:hAnsi="宋体" w:cs="宋体"/>
          <w:color w:val="auto"/>
          <w:highlight w:val="none"/>
        </w:rPr>
      </w:pPr>
      <w:r>
        <w:rPr>
          <w:rFonts w:hint="eastAsia" w:hAnsi="宋体" w:cs="宋体"/>
          <w:color w:val="auto"/>
          <w:highlight w:val="none"/>
        </w:rPr>
        <w:t>8.2甲方无故未按时支付劳务款的，按同期中国人民银行贷款利率偿付给乙方逾期付款违约金。</w:t>
      </w:r>
    </w:p>
    <w:p w14:paraId="40CE19A7">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 xml:space="preserve"> 附则</w:t>
      </w:r>
    </w:p>
    <w:p w14:paraId="4DBD1193">
      <w:pPr>
        <w:pStyle w:val="107"/>
        <w:shd w:val="clear" w:fill="FFFFFF" w:themeFill="background1"/>
        <w:ind w:firstLine="420"/>
        <w:rPr>
          <w:rFonts w:hAnsi="宋体" w:cs="宋体"/>
          <w:color w:val="auto"/>
          <w:highlight w:val="none"/>
        </w:rPr>
      </w:pPr>
      <w:r>
        <w:rPr>
          <w:rFonts w:hint="eastAsia" w:hAnsi="宋体" w:cs="宋体"/>
          <w:color w:val="auto"/>
          <w:highlight w:val="none"/>
        </w:rPr>
        <w:t>9.1本协议发生纠纷时，当事人双方应及时协商解决。若协商不成时，应按以下第(  )项解决：(a)向工程所在地的仲裁委员会申请仲裁，(b)向人民法院起诉。</w:t>
      </w:r>
    </w:p>
    <w:p w14:paraId="42E9584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9.2本协议一式份，甲乙双方各执正本一份，副本份，其余副本报驻地监理办和发包人。合同经发包人备案后生效。</w:t>
      </w:r>
    </w:p>
    <w:p w14:paraId="647F7A6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合同订立时间：年   月   日；签订合同地点：。</w:t>
      </w:r>
    </w:p>
    <w:p w14:paraId="33998581">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9.3双方商定的补充条款：</w:t>
      </w:r>
    </w:p>
    <w:p w14:paraId="233571A1">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1.</w:t>
      </w:r>
    </w:p>
    <w:p w14:paraId="3D4DAC1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2.</w:t>
      </w:r>
    </w:p>
    <w:p w14:paraId="0671AA3A">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w:t>
      </w:r>
    </w:p>
    <w:p w14:paraId="340FCFA7">
      <w:pPr>
        <w:pStyle w:val="107"/>
        <w:shd w:val="clear" w:fill="FFFFFF" w:themeFill="background1"/>
        <w:ind w:firstLine="480" w:firstLineChars="200"/>
        <w:rPr>
          <w:rFonts w:hAnsi="宋体" w:cs="宋体"/>
          <w:color w:val="auto"/>
          <w:highlight w:val="none"/>
        </w:rPr>
      </w:pPr>
    </w:p>
    <w:p w14:paraId="07EE065A">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四、本合同未尽事宜，业主与甲方签订的相关条款已有的，按其办理，未涉及的，双方协商解决。</w:t>
      </w:r>
    </w:p>
    <w:p w14:paraId="416A2419">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合同附件：</w:t>
      </w:r>
    </w:p>
    <w:p w14:paraId="2AE52EF1">
      <w:pPr>
        <w:pStyle w:val="107"/>
        <w:numPr>
          <w:ilvl w:val="0"/>
          <w:numId w:val="27"/>
        </w:numPr>
        <w:shd w:val="clear" w:fill="FFFFFF" w:themeFill="background1"/>
        <w:ind w:left="782" w:firstLine="74"/>
        <w:rPr>
          <w:rFonts w:hAnsi="宋体" w:cs="宋体"/>
          <w:color w:val="auto"/>
          <w:highlight w:val="none"/>
        </w:rPr>
      </w:pPr>
      <w:r>
        <w:rPr>
          <w:rFonts w:hint="eastAsia" w:hAnsi="宋体" w:cs="宋体"/>
          <w:color w:val="auto"/>
          <w:highlight w:val="none"/>
        </w:rPr>
        <w:t>劳务计价清单</w:t>
      </w:r>
    </w:p>
    <w:p w14:paraId="72AB441B">
      <w:pPr>
        <w:pStyle w:val="107"/>
        <w:numPr>
          <w:ilvl w:val="0"/>
          <w:numId w:val="27"/>
        </w:numPr>
        <w:shd w:val="clear" w:fill="FFFFFF" w:themeFill="background1"/>
        <w:ind w:left="782" w:firstLine="74"/>
        <w:rPr>
          <w:rFonts w:hAnsi="宋体" w:cs="宋体"/>
          <w:color w:val="auto"/>
          <w:highlight w:val="none"/>
        </w:rPr>
      </w:pPr>
      <w:r>
        <w:rPr>
          <w:rFonts w:hint="eastAsia" w:hAnsi="宋体" w:cs="宋体"/>
          <w:color w:val="auto"/>
          <w:highlight w:val="none"/>
        </w:rPr>
        <w:t>甲方提供材料清单</w:t>
      </w:r>
    </w:p>
    <w:p w14:paraId="3299CE6D">
      <w:pPr>
        <w:pStyle w:val="107"/>
        <w:numPr>
          <w:ilvl w:val="0"/>
          <w:numId w:val="27"/>
        </w:numPr>
        <w:shd w:val="clear" w:fill="FFFFFF" w:themeFill="background1"/>
        <w:ind w:left="782" w:firstLine="74"/>
        <w:rPr>
          <w:rFonts w:hAnsi="宋体" w:cs="宋体"/>
          <w:color w:val="auto"/>
          <w:highlight w:val="none"/>
        </w:rPr>
      </w:pPr>
      <w:r>
        <w:rPr>
          <w:rFonts w:hint="eastAsia" w:hAnsi="宋体" w:cs="宋体"/>
          <w:color w:val="auto"/>
          <w:highlight w:val="none"/>
        </w:rPr>
        <w:t>甲方提供机械设备清单</w:t>
      </w:r>
    </w:p>
    <w:p w14:paraId="15F0F95D">
      <w:pPr>
        <w:pStyle w:val="107"/>
        <w:numPr>
          <w:ilvl w:val="0"/>
          <w:numId w:val="27"/>
        </w:numPr>
        <w:shd w:val="clear" w:fill="FFFFFF" w:themeFill="background1"/>
        <w:ind w:left="782" w:firstLine="74"/>
        <w:rPr>
          <w:rFonts w:hAnsi="宋体" w:cs="宋体"/>
          <w:color w:val="auto"/>
          <w:highlight w:val="none"/>
        </w:rPr>
      </w:pPr>
      <w:r>
        <w:rPr>
          <w:rFonts w:hint="eastAsia" w:hAnsi="宋体" w:cs="宋体"/>
          <w:color w:val="auto"/>
          <w:highlight w:val="none"/>
        </w:rPr>
        <w:t>乙方投入关键人员表</w:t>
      </w:r>
    </w:p>
    <w:p w14:paraId="6CA00639">
      <w:pPr>
        <w:pStyle w:val="107"/>
        <w:shd w:val="clear" w:fill="FFFFFF" w:themeFill="background1"/>
        <w:rPr>
          <w:rFonts w:hAnsi="宋体" w:cs="宋体"/>
          <w:color w:val="auto"/>
          <w:highlight w:val="none"/>
        </w:rPr>
      </w:pPr>
      <w:r>
        <w:rPr>
          <w:rFonts w:hint="eastAsia" w:hAnsi="宋体" w:cs="宋体"/>
          <w:color w:val="auto"/>
          <w:highlight w:val="none"/>
        </w:rPr>
        <w:t>甲  方： (盖章)                            乙  方：(盖章)</w:t>
      </w:r>
    </w:p>
    <w:p w14:paraId="3A0125AB">
      <w:pPr>
        <w:pStyle w:val="107"/>
        <w:shd w:val="clear" w:fill="FFFFFF" w:themeFill="background1"/>
        <w:rPr>
          <w:rFonts w:hAnsi="宋体" w:cs="宋体"/>
          <w:color w:val="auto"/>
          <w:highlight w:val="none"/>
        </w:rPr>
      </w:pPr>
      <w:r>
        <w:rPr>
          <w:rFonts w:hint="eastAsia" w:hAnsi="宋体" w:cs="宋体"/>
          <w:color w:val="auto"/>
          <w:highlight w:val="none"/>
        </w:rPr>
        <w:t>法定代表人：(签字)                         法定代表人：(签字)</w:t>
      </w:r>
    </w:p>
    <w:p w14:paraId="3E922A43">
      <w:pPr>
        <w:pStyle w:val="107"/>
        <w:shd w:val="clear" w:fill="FFFFFF" w:themeFill="background1"/>
        <w:rPr>
          <w:rFonts w:hAnsi="宋体" w:cs="宋体"/>
          <w:color w:val="auto"/>
          <w:highlight w:val="none"/>
        </w:rPr>
      </w:pPr>
      <w:r>
        <w:rPr>
          <w:rFonts w:hint="eastAsia" w:hAnsi="宋体" w:cs="宋体"/>
          <w:color w:val="auto"/>
          <w:highlight w:val="none"/>
        </w:rPr>
        <w:t>委托代理人：(签字)                         委托代理人：(签字)</w:t>
      </w:r>
    </w:p>
    <w:p w14:paraId="01804AA2">
      <w:pPr>
        <w:pStyle w:val="107"/>
        <w:shd w:val="clear" w:fill="FFFFFF" w:themeFill="background1"/>
        <w:rPr>
          <w:rFonts w:hAnsi="宋体" w:cs="宋体"/>
          <w:color w:val="auto"/>
          <w:highlight w:val="none"/>
        </w:rPr>
      </w:pPr>
      <w:r>
        <w:rPr>
          <w:rFonts w:hint="eastAsia" w:hAnsi="宋体" w:cs="宋体"/>
          <w:color w:val="auto"/>
          <w:highlight w:val="none"/>
        </w:rPr>
        <w:t>地    址：                                地    址：</w:t>
      </w:r>
    </w:p>
    <w:p w14:paraId="4E25C8FC">
      <w:pPr>
        <w:pStyle w:val="107"/>
        <w:shd w:val="clear" w:fill="FFFFFF" w:themeFill="background1"/>
        <w:rPr>
          <w:rFonts w:hAnsi="宋体" w:cs="宋体"/>
          <w:color w:val="auto"/>
          <w:highlight w:val="none"/>
        </w:rPr>
      </w:pPr>
      <w:r>
        <w:rPr>
          <w:rFonts w:hint="eastAsia" w:hAnsi="宋体" w:cs="宋体"/>
          <w:color w:val="auto"/>
          <w:highlight w:val="none"/>
        </w:rPr>
        <w:t>邮政编码：                                邮政编码：</w:t>
      </w:r>
    </w:p>
    <w:p w14:paraId="3AFB035E">
      <w:pPr>
        <w:pStyle w:val="107"/>
        <w:shd w:val="clear" w:fill="FFFFFF" w:themeFill="background1"/>
        <w:rPr>
          <w:rFonts w:hAnsi="宋体" w:cs="宋体"/>
          <w:color w:val="auto"/>
          <w:highlight w:val="none"/>
        </w:rPr>
      </w:pPr>
      <w:r>
        <w:rPr>
          <w:rFonts w:hint="eastAsia" w:hAnsi="宋体" w:cs="宋体"/>
          <w:color w:val="auto"/>
          <w:highlight w:val="none"/>
        </w:rPr>
        <w:t>电    话：                                 电    话：</w:t>
      </w:r>
    </w:p>
    <w:p w14:paraId="617A83F3">
      <w:pPr>
        <w:pStyle w:val="107"/>
        <w:shd w:val="clear" w:fill="FFFFFF" w:themeFill="background1"/>
        <w:rPr>
          <w:rFonts w:hAnsi="宋体" w:cs="宋体"/>
          <w:color w:val="auto"/>
          <w:highlight w:val="none"/>
        </w:rPr>
      </w:pPr>
      <w:r>
        <w:rPr>
          <w:rFonts w:hint="eastAsia" w:hAnsi="宋体" w:cs="宋体"/>
          <w:color w:val="auto"/>
          <w:highlight w:val="none"/>
        </w:rPr>
        <w:t>传  真：                                   传  真：</w:t>
      </w:r>
    </w:p>
    <w:p w14:paraId="1DF080DB">
      <w:pPr>
        <w:pStyle w:val="107"/>
        <w:shd w:val="clear" w:fill="FFFFFF" w:themeFill="background1"/>
        <w:rPr>
          <w:rFonts w:hAnsi="宋体" w:cs="宋体"/>
          <w:color w:val="auto"/>
          <w:highlight w:val="none"/>
        </w:rPr>
      </w:pPr>
      <w:r>
        <w:rPr>
          <w:rFonts w:hint="eastAsia" w:hAnsi="宋体" w:cs="宋体"/>
          <w:color w:val="auto"/>
          <w:highlight w:val="none"/>
        </w:rPr>
        <w:t>开户银行：                                 开户银行：</w:t>
      </w:r>
    </w:p>
    <w:p w14:paraId="417FA583">
      <w:pPr>
        <w:pStyle w:val="107"/>
        <w:shd w:val="clear" w:fill="FFFFFF" w:themeFill="background1"/>
        <w:rPr>
          <w:rFonts w:hAnsi="宋体" w:cs="宋体"/>
          <w:color w:val="auto"/>
          <w:highlight w:val="none"/>
        </w:rPr>
      </w:pPr>
      <w:r>
        <w:rPr>
          <w:rFonts w:hint="eastAsia" w:hAnsi="宋体" w:cs="宋体"/>
          <w:color w:val="auto"/>
          <w:highlight w:val="none"/>
        </w:rPr>
        <w:t>银行帐号：                                 银行帐号：</w:t>
      </w:r>
    </w:p>
    <w:p w14:paraId="122412A7">
      <w:pPr>
        <w:pStyle w:val="107"/>
        <w:shd w:val="clear" w:fill="FFFFFF" w:themeFill="background1"/>
        <w:rPr>
          <w:rFonts w:hAnsi="宋体" w:cs="宋体"/>
          <w:color w:val="auto"/>
          <w:highlight w:val="none"/>
        </w:rPr>
      </w:pPr>
      <w:r>
        <w:rPr>
          <w:rFonts w:hint="eastAsia" w:hAnsi="宋体" w:cs="宋体"/>
          <w:color w:val="auto"/>
          <w:highlight w:val="none"/>
        </w:rPr>
        <w:t>签订时间：                                 签订时间：</w:t>
      </w:r>
    </w:p>
    <w:p w14:paraId="03F998F5">
      <w:pPr>
        <w:pStyle w:val="107"/>
        <w:shd w:val="clear" w:fill="FFFFFF" w:themeFill="background1"/>
        <w:rPr>
          <w:rFonts w:hAnsi="宋体" w:cs="宋体"/>
          <w:color w:val="auto"/>
          <w:highlight w:val="none"/>
        </w:rPr>
      </w:pPr>
    </w:p>
    <w:p w14:paraId="1C24A5A0">
      <w:pPr>
        <w:pStyle w:val="107"/>
        <w:shd w:val="clear" w:fill="FFFFFF" w:themeFill="background1"/>
        <w:jc w:val="center"/>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附表1：劳务计价清单</w:t>
      </w:r>
    </w:p>
    <w:p w14:paraId="67E526D1">
      <w:pPr>
        <w:pStyle w:val="107"/>
        <w:shd w:val="clear" w:fill="FFFFFF" w:themeFill="background1"/>
        <w:rPr>
          <w:rFonts w:hAnsi="宋体" w:cs="宋体"/>
          <w:b/>
          <w:bCs/>
          <w:color w:val="auto"/>
          <w:highlight w:val="none"/>
        </w:rPr>
      </w:pPr>
      <w:r>
        <w:rPr>
          <w:rFonts w:hint="eastAsia" w:hAnsi="宋体" w:cs="宋体"/>
          <w:color w:val="auto"/>
          <w:highlight w:val="none"/>
        </w:rPr>
        <w:t xml:space="preserve">工程名称及合同段：                               劳务单位：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791"/>
        <w:gridCol w:w="1471"/>
        <w:gridCol w:w="1140"/>
        <w:gridCol w:w="1123"/>
      </w:tblGrid>
      <w:tr w14:paraId="2A06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0BDE3E50">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编号</w:t>
            </w:r>
          </w:p>
        </w:tc>
        <w:tc>
          <w:tcPr>
            <w:tcW w:w="1752" w:type="dxa"/>
          </w:tcPr>
          <w:p w14:paraId="35BD12F0">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工程项目名称</w:t>
            </w:r>
          </w:p>
        </w:tc>
        <w:tc>
          <w:tcPr>
            <w:tcW w:w="1122" w:type="dxa"/>
          </w:tcPr>
          <w:p w14:paraId="569A5931">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791" w:type="dxa"/>
          </w:tcPr>
          <w:p w14:paraId="0D26EC8C">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数量</w:t>
            </w:r>
          </w:p>
        </w:tc>
        <w:tc>
          <w:tcPr>
            <w:tcW w:w="1471" w:type="dxa"/>
          </w:tcPr>
          <w:p w14:paraId="7BEC72B8">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单价 (元)</w:t>
            </w:r>
          </w:p>
        </w:tc>
        <w:tc>
          <w:tcPr>
            <w:tcW w:w="1140" w:type="dxa"/>
          </w:tcPr>
          <w:p w14:paraId="39531F06">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金额 (元)</w:t>
            </w:r>
          </w:p>
        </w:tc>
        <w:tc>
          <w:tcPr>
            <w:tcW w:w="1123" w:type="dxa"/>
          </w:tcPr>
          <w:p w14:paraId="5E02BB1B">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预定工期</w:t>
            </w:r>
          </w:p>
        </w:tc>
      </w:tr>
      <w:tr w14:paraId="1ED1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23" w:type="dxa"/>
          </w:tcPr>
          <w:p w14:paraId="30B5CF98">
            <w:pPr>
              <w:pStyle w:val="107"/>
              <w:shd w:val="clear" w:fill="FFFFFF" w:themeFill="background1"/>
              <w:rPr>
                <w:rFonts w:hAnsi="宋体" w:cs="宋体"/>
                <w:b/>
                <w:color w:val="auto"/>
                <w:szCs w:val="21"/>
                <w:highlight w:val="none"/>
              </w:rPr>
            </w:pPr>
          </w:p>
        </w:tc>
        <w:tc>
          <w:tcPr>
            <w:tcW w:w="1752" w:type="dxa"/>
          </w:tcPr>
          <w:p w14:paraId="56C25F0D">
            <w:pPr>
              <w:pStyle w:val="107"/>
              <w:shd w:val="clear" w:fill="FFFFFF" w:themeFill="background1"/>
              <w:rPr>
                <w:rFonts w:hAnsi="宋体" w:cs="宋体"/>
                <w:b/>
                <w:color w:val="auto"/>
                <w:szCs w:val="21"/>
                <w:highlight w:val="none"/>
              </w:rPr>
            </w:pPr>
          </w:p>
        </w:tc>
        <w:tc>
          <w:tcPr>
            <w:tcW w:w="1122" w:type="dxa"/>
          </w:tcPr>
          <w:p w14:paraId="3F27FFC1">
            <w:pPr>
              <w:pStyle w:val="107"/>
              <w:shd w:val="clear" w:fill="FFFFFF" w:themeFill="background1"/>
              <w:rPr>
                <w:rFonts w:hAnsi="宋体" w:cs="宋体"/>
                <w:b/>
                <w:color w:val="auto"/>
                <w:szCs w:val="21"/>
                <w:highlight w:val="none"/>
              </w:rPr>
            </w:pPr>
          </w:p>
        </w:tc>
        <w:tc>
          <w:tcPr>
            <w:tcW w:w="791" w:type="dxa"/>
          </w:tcPr>
          <w:p w14:paraId="4480D9E7">
            <w:pPr>
              <w:pStyle w:val="107"/>
              <w:shd w:val="clear" w:fill="FFFFFF" w:themeFill="background1"/>
              <w:rPr>
                <w:rFonts w:hAnsi="宋体" w:cs="宋体"/>
                <w:b/>
                <w:color w:val="auto"/>
                <w:szCs w:val="21"/>
                <w:highlight w:val="none"/>
              </w:rPr>
            </w:pPr>
          </w:p>
        </w:tc>
        <w:tc>
          <w:tcPr>
            <w:tcW w:w="1471" w:type="dxa"/>
          </w:tcPr>
          <w:p w14:paraId="1F56297C">
            <w:pPr>
              <w:pStyle w:val="107"/>
              <w:shd w:val="clear" w:fill="FFFFFF" w:themeFill="background1"/>
              <w:rPr>
                <w:rFonts w:hAnsi="宋体" w:cs="宋体"/>
                <w:b/>
                <w:color w:val="auto"/>
                <w:szCs w:val="21"/>
                <w:highlight w:val="none"/>
              </w:rPr>
            </w:pPr>
          </w:p>
        </w:tc>
        <w:tc>
          <w:tcPr>
            <w:tcW w:w="1140" w:type="dxa"/>
          </w:tcPr>
          <w:p w14:paraId="24727383">
            <w:pPr>
              <w:pStyle w:val="107"/>
              <w:shd w:val="clear" w:fill="FFFFFF" w:themeFill="background1"/>
              <w:rPr>
                <w:rFonts w:hAnsi="宋体" w:cs="宋体"/>
                <w:b/>
                <w:color w:val="auto"/>
                <w:szCs w:val="21"/>
                <w:highlight w:val="none"/>
              </w:rPr>
            </w:pPr>
          </w:p>
        </w:tc>
        <w:tc>
          <w:tcPr>
            <w:tcW w:w="1123" w:type="dxa"/>
          </w:tcPr>
          <w:p w14:paraId="5CFA720D">
            <w:pPr>
              <w:pStyle w:val="107"/>
              <w:shd w:val="clear" w:fill="FFFFFF" w:themeFill="background1"/>
              <w:rPr>
                <w:rFonts w:hAnsi="宋体" w:cs="宋体"/>
                <w:b/>
                <w:color w:val="auto"/>
                <w:szCs w:val="21"/>
                <w:highlight w:val="none"/>
              </w:rPr>
            </w:pPr>
          </w:p>
        </w:tc>
      </w:tr>
      <w:tr w14:paraId="6A02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3" w:type="dxa"/>
          </w:tcPr>
          <w:p w14:paraId="12C84FF0">
            <w:pPr>
              <w:pStyle w:val="107"/>
              <w:shd w:val="clear" w:fill="FFFFFF" w:themeFill="background1"/>
              <w:rPr>
                <w:rFonts w:hAnsi="宋体" w:cs="宋体"/>
                <w:b/>
                <w:color w:val="auto"/>
                <w:szCs w:val="21"/>
                <w:highlight w:val="none"/>
              </w:rPr>
            </w:pPr>
          </w:p>
        </w:tc>
        <w:tc>
          <w:tcPr>
            <w:tcW w:w="1752" w:type="dxa"/>
          </w:tcPr>
          <w:p w14:paraId="0681D512">
            <w:pPr>
              <w:pStyle w:val="107"/>
              <w:shd w:val="clear" w:fill="FFFFFF" w:themeFill="background1"/>
              <w:rPr>
                <w:rFonts w:hAnsi="宋体" w:cs="宋体"/>
                <w:b/>
                <w:color w:val="auto"/>
                <w:szCs w:val="21"/>
                <w:highlight w:val="none"/>
              </w:rPr>
            </w:pPr>
          </w:p>
        </w:tc>
        <w:tc>
          <w:tcPr>
            <w:tcW w:w="1122" w:type="dxa"/>
          </w:tcPr>
          <w:p w14:paraId="37F1B7FE">
            <w:pPr>
              <w:pStyle w:val="107"/>
              <w:shd w:val="clear" w:fill="FFFFFF" w:themeFill="background1"/>
              <w:rPr>
                <w:rFonts w:hAnsi="宋体" w:cs="宋体"/>
                <w:b/>
                <w:color w:val="auto"/>
                <w:szCs w:val="21"/>
                <w:highlight w:val="none"/>
              </w:rPr>
            </w:pPr>
          </w:p>
        </w:tc>
        <w:tc>
          <w:tcPr>
            <w:tcW w:w="791" w:type="dxa"/>
          </w:tcPr>
          <w:p w14:paraId="1C251A20">
            <w:pPr>
              <w:pStyle w:val="107"/>
              <w:shd w:val="clear" w:fill="FFFFFF" w:themeFill="background1"/>
              <w:rPr>
                <w:rFonts w:hAnsi="宋体" w:cs="宋体"/>
                <w:b/>
                <w:color w:val="auto"/>
                <w:szCs w:val="21"/>
                <w:highlight w:val="none"/>
              </w:rPr>
            </w:pPr>
          </w:p>
        </w:tc>
        <w:tc>
          <w:tcPr>
            <w:tcW w:w="1471" w:type="dxa"/>
          </w:tcPr>
          <w:p w14:paraId="68162A68">
            <w:pPr>
              <w:pStyle w:val="107"/>
              <w:shd w:val="clear" w:fill="FFFFFF" w:themeFill="background1"/>
              <w:rPr>
                <w:rFonts w:hAnsi="宋体" w:cs="宋体"/>
                <w:b/>
                <w:color w:val="auto"/>
                <w:szCs w:val="21"/>
                <w:highlight w:val="none"/>
              </w:rPr>
            </w:pPr>
          </w:p>
        </w:tc>
        <w:tc>
          <w:tcPr>
            <w:tcW w:w="1140" w:type="dxa"/>
          </w:tcPr>
          <w:p w14:paraId="4352ABBB">
            <w:pPr>
              <w:pStyle w:val="107"/>
              <w:shd w:val="clear" w:fill="FFFFFF" w:themeFill="background1"/>
              <w:rPr>
                <w:rFonts w:hAnsi="宋体" w:cs="宋体"/>
                <w:b/>
                <w:color w:val="auto"/>
                <w:szCs w:val="21"/>
                <w:highlight w:val="none"/>
              </w:rPr>
            </w:pPr>
          </w:p>
        </w:tc>
        <w:tc>
          <w:tcPr>
            <w:tcW w:w="1123" w:type="dxa"/>
          </w:tcPr>
          <w:p w14:paraId="75C9437D">
            <w:pPr>
              <w:pStyle w:val="107"/>
              <w:shd w:val="clear" w:fill="FFFFFF" w:themeFill="background1"/>
              <w:rPr>
                <w:rFonts w:hAnsi="宋体" w:cs="宋体"/>
                <w:b/>
                <w:color w:val="auto"/>
                <w:szCs w:val="21"/>
                <w:highlight w:val="none"/>
              </w:rPr>
            </w:pPr>
          </w:p>
        </w:tc>
      </w:tr>
    </w:tbl>
    <w:p w14:paraId="4E1CDE07">
      <w:pPr>
        <w:pStyle w:val="107"/>
        <w:shd w:val="clear" w:fill="FFFFFF" w:themeFill="background1"/>
        <w:jc w:val="center"/>
        <w:rPr>
          <w:rFonts w:hAnsi="宋体" w:cs="宋体"/>
          <w:b/>
          <w:color w:val="auto"/>
          <w:sz w:val="28"/>
          <w:szCs w:val="28"/>
          <w:highlight w:val="none"/>
        </w:rPr>
      </w:pPr>
      <w:r>
        <w:rPr>
          <w:rFonts w:hint="eastAsia" w:hAnsi="宋体" w:cs="宋体"/>
          <w:b/>
          <w:color w:val="auto"/>
          <w:sz w:val="28"/>
          <w:szCs w:val="28"/>
          <w:highlight w:val="none"/>
        </w:rPr>
        <w:t>附表2：甲方提供材料清单</w:t>
      </w:r>
    </w:p>
    <w:p w14:paraId="6D72C3AA">
      <w:pPr>
        <w:pStyle w:val="107"/>
        <w:shd w:val="clear" w:fill="FFFFFF" w:themeFill="background1"/>
        <w:rPr>
          <w:rFonts w:hAnsi="宋体" w:cs="宋体"/>
          <w:b/>
          <w:bCs/>
          <w:color w:val="auto"/>
          <w:highlight w:val="none"/>
        </w:rPr>
      </w:pPr>
      <w:r>
        <w:rPr>
          <w:rFonts w:hint="eastAsia" w:hAnsi="宋体" w:cs="宋体"/>
          <w:color w:val="auto"/>
          <w:highlight w:val="none"/>
        </w:rPr>
        <w:t xml:space="preserve">工程名称及合同段：                           劳务单位：        </w:t>
      </w:r>
    </w:p>
    <w:tbl>
      <w:tblPr>
        <w:tblStyle w:val="4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1242"/>
        <w:gridCol w:w="684"/>
        <w:gridCol w:w="1206"/>
        <w:gridCol w:w="640"/>
        <w:gridCol w:w="1601"/>
        <w:gridCol w:w="720"/>
        <w:gridCol w:w="743"/>
      </w:tblGrid>
      <w:tr w14:paraId="5819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vAlign w:val="center"/>
          </w:tcPr>
          <w:p w14:paraId="664C0CED">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382" w:type="dxa"/>
            <w:vAlign w:val="center"/>
          </w:tcPr>
          <w:p w14:paraId="787EAE90">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品种</w:t>
            </w:r>
          </w:p>
        </w:tc>
        <w:tc>
          <w:tcPr>
            <w:tcW w:w="1242" w:type="dxa"/>
            <w:vAlign w:val="center"/>
          </w:tcPr>
          <w:p w14:paraId="67A1CA08">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规格型号</w:t>
            </w:r>
          </w:p>
        </w:tc>
        <w:tc>
          <w:tcPr>
            <w:tcW w:w="684" w:type="dxa"/>
            <w:vAlign w:val="center"/>
          </w:tcPr>
          <w:p w14:paraId="101F8F7D">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1206" w:type="dxa"/>
            <w:vAlign w:val="center"/>
          </w:tcPr>
          <w:p w14:paraId="7A237862">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图纸数量</w:t>
            </w:r>
          </w:p>
        </w:tc>
        <w:tc>
          <w:tcPr>
            <w:tcW w:w="640" w:type="dxa"/>
            <w:vAlign w:val="center"/>
          </w:tcPr>
          <w:p w14:paraId="1A0DD586">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单价</w:t>
            </w:r>
          </w:p>
        </w:tc>
        <w:tc>
          <w:tcPr>
            <w:tcW w:w="1601" w:type="dxa"/>
            <w:vAlign w:val="center"/>
          </w:tcPr>
          <w:p w14:paraId="23C89F71">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损耗系数%</w:t>
            </w:r>
          </w:p>
        </w:tc>
        <w:tc>
          <w:tcPr>
            <w:tcW w:w="720" w:type="dxa"/>
            <w:vAlign w:val="center"/>
          </w:tcPr>
          <w:p w14:paraId="1FCF76E1">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交货</w:t>
            </w:r>
          </w:p>
          <w:p w14:paraId="7C5F842D">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时间</w:t>
            </w:r>
          </w:p>
        </w:tc>
        <w:tc>
          <w:tcPr>
            <w:tcW w:w="743" w:type="dxa"/>
            <w:vAlign w:val="center"/>
          </w:tcPr>
          <w:p w14:paraId="5B90018A">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0465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3" w:type="dxa"/>
            <w:vAlign w:val="center"/>
          </w:tcPr>
          <w:p w14:paraId="2DFAD633">
            <w:pPr>
              <w:pStyle w:val="107"/>
              <w:shd w:val="clear" w:fill="FFFFFF" w:themeFill="background1"/>
              <w:autoSpaceDE w:val="0"/>
              <w:autoSpaceDN w:val="0"/>
              <w:jc w:val="center"/>
              <w:rPr>
                <w:rFonts w:hAnsi="宋体" w:cs="宋体"/>
                <w:color w:val="auto"/>
                <w:kern w:val="0"/>
                <w:szCs w:val="21"/>
                <w:highlight w:val="none"/>
              </w:rPr>
            </w:pPr>
          </w:p>
        </w:tc>
        <w:tc>
          <w:tcPr>
            <w:tcW w:w="1382" w:type="dxa"/>
            <w:vAlign w:val="center"/>
          </w:tcPr>
          <w:p w14:paraId="455DC983">
            <w:pPr>
              <w:pStyle w:val="107"/>
              <w:shd w:val="clear" w:fill="FFFFFF" w:themeFill="background1"/>
              <w:autoSpaceDE w:val="0"/>
              <w:autoSpaceDN w:val="0"/>
              <w:jc w:val="center"/>
              <w:rPr>
                <w:rFonts w:hAnsi="宋体" w:cs="宋体"/>
                <w:color w:val="auto"/>
                <w:kern w:val="0"/>
                <w:szCs w:val="21"/>
                <w:highlight w:val="none"/>
              </w:rPr>
            </w:pPr>
          </w:p>
        </w:tc>
        <w:tc>
          <w:tcPr>
            <w:tcW w:w="1242" w:type="dxa"/>
            <w:vAlign w:val="center"/>
          </w:tcPr>
          <w:p w14:paraId="1D17E7D0">
            <w:pPr>
              <w:pStyle w:val="107"/>
              <w:shd w:val="clear" w:fill="FFFFFF" w:themeFill="background1"/>
              <w:autoSpaceDE w:val="0"/>
              <w:autoSpaceDN w:val="0"/>
              <w:jc w:val="center"/>
              <w:rPr>
                <w:rFonts w:hAnsi="宋体" w:cs="宋体"/>
                <w:color w:val="auto"/>
                <w:kern w:val="0"/>
                <w:szCs w:val="21"/>
                <w:highlight w:val="none"/>
              </w:rPr>
            </w:pPr>
          </w:p>
        </w:tc>
        <w:tc>
          <w:tcPr>
            <w:tcW w:w="684" w:type="dxa"/>
            <w:vAlign w:val="center"/>
          </w:tcPr>
          <w:p w14:paraId="3E1A2E62">
            <w:pPr>
              <w:pStyle w:val="107"/>
              <w:shd w:val="clear" w:fill="FFFFFF" w:themeFill="background1"/>
              <w:autoSpaceDE w:val="0"/>
              <w:autoSpaceDN w:val="0"/>
              <w:jc w:val="center"/>
              <w:rPr>
                <w:rFonts w:hAnsi="宋体" w:cs="宋体"/>
                <w:color w:val="auto"/>
                <w:kern w:val="0"/>
                <w:szCs w:val="21"/>
                <w:highlight w:val="none"/>
              </w:rPr>
            </w:pPr>
          </w:p>
        </w:tc>
        <w:tc>
          <w:tcPr>
            <w:tcW w:w="1206" w:type="dxa"/>
            <w:vAlign w:val="center"/>
          </w:tcPr>
          <w:p w14:paraId="138B0ED3">
            <w:pPr>
              <w:pStyle w:val="107"/>
              <w:shd w:val="clear" w:fill="FFFFFF" w:themeFill="background1"/>
              <w:autoSpaceDE w:val="0"/>
              <w:autoSpaceDN w:val="0"/>
              <w:jc w:val="center"/>
              <w:rPr>
                <w:rFonts w:hAnsi="宋体" w:cs="宋体"/>
                <w:color w:val="auto"/>
                <w:kern w:val="0"/>
                <w:szCs w:val="21"/>
                <w:highlight w:val="none"/>
              </w:rPr>
            </w:pPr>
          </w:p>
        </w:tc>
        <w:tc>
          <w:tcPr>
            <w:tcW w:w="640" w:type="dxa"/>
            <w:vAlign w:val="center"/>
          </w:tcPr>
          <w:p w14:paraId="5BA9EFAA">
            <w:pPr>
              <w:pStyle w:val="107"/>
              <w:shd w:val="clear" w:fill="FFFFFF" w:themeFill="background1"/>
              <w:autoSpaceDE w:val="0"/>
              <w:autoSpaceDN w:val="0"/>
              <w:jc w:val="center"/>
              <w:rPr>
                <w:rFonts w:hAnsi="宋体" w:cs="宋体"/>
                <w:color w:val="auto"/>
                <w:kern w:val="0"/>
                <w:szCs w:val="21"/>
                <w:highlight w:val="none"/>
              </w:rPr>
            </w:pPr>
          </w:p>
        </w:tc>
        <w:tc>
          <w:tcPr>
            <w:tcW w:w="1601" w:type="dxa"/>
            <w:vAlign w:val="center"/>
          </w:tcPr>
          <w:p w14:paraId="19DE6D47">
            <w:pPr>
              <w:pStyle w:val="107"/>
              <w:shd w:val="clear" w:fill="FFFFFF" w:themeFill="background1"/>
              <w:autoSpaceDE w:val="0"/>
              <w:autoSpaceDN w:val="0"/>
              <w:jc w:val="center"/>
              <w:rPr>
                <w:rFonts w:hAnsi="宋体" w:cs="宋体"/>
                <w:color w:val="auto"/>
                <w:kern w:val="0"/>
                <w:szCs w:val="21"/>
                <w:highlight w:val="none"/>
              </w:rPr>
            </w:pPr>
          </w:p>
        </w:tc>
        <w:tc>
          <w:tcPr>
            <w:tcW w:w="720" w:type="dxa"/>
            <w:vAlign w:val="center"/>
          </w:tcPr>
          <w:p w14:paraId="4013D2EC">
            <w:pPr>
              <w:pStyle w:val="107"/>
              <w:shd w:val="clear" w:fill="FFFFFF" w:themeFill="background1"/>
              <w:autoSpaceDE w:val="0"/>
              <w:autoSpaceDN w:val="0"/>
              <w:jc w:val="center"/>
              <w:rPr>
                <w:rFonts w:hAnsi="宋体" w:cs="宋体"/>
                <w:color w:val="auto"/>
                <w:kern w:val="0"/>
                <w:szCs w:val="21"/>
                <w:highlight w:val="none"/>
              </w:rPr>
            </w:pPr>
          </w:p>
        </w:tc>
        <w:tc>
          <w:tcPr>
            <w:tcW w:w="743" w:type="dxa"/>
            <w:vAlign w:val="center"/>
          </w:tcPr>
          <w:p w14:paraId="15A5D73C">
            <w:pPr>
              <w:pStyle w:val="107"/>
              <w:shd w:val="clear" w:fill="FFFFFF" w:themeFill="background1"/>
              <w:autoSpaceDE w:val="0"/>
              <w:autoSpaceDN w:val="0"/>
              <w:jc w:val="center"/>
              <w:rPr>
                <w:rFonts w:hAnsi="宋体" w:cs="宋体"/>
                <w:color w:val="auto"/>
                <w:kern w:val="0"/>
                <w:szCs w:val="21"/>
                <w:highlight w:val="none"/>
              </w:rPr>
            </w:pPr>
          </w:p>
        </w:tc>
      </w:tr>
      <w:tr w14:paraId="1245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3" w:type="dxa"/>
            <w:vAlign w:val="center"/>
          </w:tcPr>
          <w:p w14:paraId="1DC8F1C8">
            <w:pPr>
              <w:pStyle w:val="107"/>
              <w:shd w:val="clear" w:fill="FFFFFF" w:themeFill="background1"/>
              <w:autoSpaceDE w:val="0"/>
              <w:autoSpaceDN w:val="0"/>
              <w:jc w:val="center"/>
              <w:rPr>
                <w:rFonts w:hAnsi="宋体" w:cs="宋体"/>
                <w:color w:val="auto"/>
                <w:kern w:val="0"/>
                <w:szCs w:val="21"/>
                <w:highlight w:val="none"/>
              </w:rPr>
            </w:pPr>
          </w:p>
        </w:tc>
        <w:tc>
          <w:tcPr>
            <w:tcW w:w="1382" w:type="dxa"/>
            <w:vAlign w:val="center"/>
          </w:tcPr>
          <w:p w14:paraId="427BBF73">
            <w:pPr>
              <w:pStyle w:val="107"/>
              <w:shd w:val="clear" w:fill="FFFFFF" w:themeFill="background1"/>
              <w:autoSpaceDE w:val="0"/>
              <w:autoSpaceDN w:val="0"/>
              <w:jc w:val="center"/>
              <w:rPr>
                <w:rFonts w:hAnsi="宋体" w:cs="宋体"/>
                <w:color w:val="auto"/>
                <w:kern w:val="0"/>
                <w:szCs w:val="21"/>
                <w:highlight w:val="none"/>
              </w:rPr>
            </w:pPr>
          </w:p>
        </w:tc>
        <w:tc>
          <w:tcPr>
            <w:tcW w:w="1242" w:type="dxa"/>
            <w:vAlign w:val="center"/>
          </w:tcPr>
          <w:p w14:paraId="439E7803">
            <w:pPr>
              <w:pStyle w:val="107"/>
              <w:shd w:val="clear" w:fill="FFFFFF" w:themeFill="background1"/>
              <w:autoSpaceDE w:val="0"/>
              <w:autoSpaceDN w:val="0"/>
              <w:jc w:val="center"/>
              <w:rPr>
                <w:rFonts w:hAnsi="宋体" w:cs="宋体"/>
                <w:color w:val="auto"/>
                <w:kern w:val="0"/>
                <w:szCs w:val="21"/>
                <w:highlight w:val="none"/>
              </w:rPr>
            </w:pPr>
          </w:p>
        </w:tc>
        <w:tc>
          <w:tcPr>
            <w:tcW w:w="684" w:type="dxa"/>
            <w:vAlign w:val="center"/>
          </w:tcPr>
          <w:p w14:paraId="71EC56BD">
            <w:pPr>
              <w:pStyle w:val="107"/>
              <w:shd w:val="clear" w:fill="FFFFFF" w:themeFill="background1"/>
              <w:autoSpaceDE w:val="0"/>
              <w:autoSpaceDN w:val="0"/>
              <w:jc w:val="center"/>
              <w:rPr>
                <w:rFonts w:hAnsi="宋体" w:cs="宋体"/>
                <w:color w:val="auto"/>
                <w:kern w:val="0"/>
                <w:szCs w:val="21"/>
                <w:highlight w:val="none"/>
              </w:rPr>
            </w:pPr>
          </w:p>
        </w:tc>
        <w:tc>
          <w:tcPr>
            <w:tcW w:w="1206" w:type="dxa"/>
            <w:vAlign w:val="center"/>
          </w:tcPr>
          <w:p w14:paraId="20599A42">
            <w:pPr>
              <w:pStyle w:val="107"/>
              <w:shd w:val="clear" w:fill="FFFFFF" w:themeFill="background1"/>
              <w:autoSpaceDE w:val="0"/>
              <w:autoSpaceDN w:val="0"/>
              <w:jc w:val="center"/>
              <w:rPr>
                <w:rFonts w:hAnsi="宋体" w:cs="宋体"/>
                <w:color w:val="auto"/>
                <w:kern w:val="0"/>
                <w:szCs w:val="21"/>
                <w:highlight w:val="none"/>
              </w:rPr>
            </w:pPr>
          </w:p>
        </w:tc>
        <w:tc>
          <w:tcPr>
            <w:tcW w:w="640" w:type="dxa"/>
            <w:vAlign w:val="center"/>
          </w:tcPr>
          <w:p w14:paraId="75D4B64E">
            <w:pPr>
              <w:pStyle w:val="107"/>
              <w:shd w:val="clear" w:fill="FFFFFF" w:themeFill="background1"/>
              <w:autoSpaceDE w:val="0"/>
              <w:autoSpaceDN w:val="0"/>
              <w:jc w:val="center"/>
              <w:rPr>
                <w:rFonts w:hAnsi="宋体" w:cs="宋体"/>
                <w:color w:val="auto"/>
                <w:kern w:val="0"/>
                <w:szCs w:val="21"/>
                <w:highlight w:val="none"/>
              </w:rPr>
            </w:pPr>
          </w:p>
        </w:tc>
        <w:tc>
          <w:tcPr>
            <w:tcW w:w="1601" w:type="dxa"/>
            <w:vAlign w:val="center"/>
          </w:tcPr>
          <w:p w14:paraId="323A1DBB">
            <w:pPr>
              <w:pStyle w:val="107"/>
              <w:shd w:val="clear" w:fill="FFFFFF" w:themeFill="background1"/>
              <w:autoSpaceDE w:val="0"/>
              <w:autoSpaceDN w:val="0"/>
              <w:jc w:val="center"/>
              <w:rPr>
                <w:rFonts w:hAnsi="宋体" w:cs="宋体"/>
                <w:color w:val="auto"/>
                <w:kern w:val="0"/>
                <w:szCs w:val="21"/>
                <w:highlight w:val="none"/>
              </w:rPr>
            </w:pPr>
          </w:p>
        </w:tc>
        <w:tc>
          <w:tcPr>
            <w:tcW w:w="720" w:type="dxa"/>
            <w:vAlign w:val="center"/>
          </w:tcPr>
          <w:p w14:paraId="61D0CECD">
            <w:pPr>
              <w:pStyle w:val="107"/>
              <w:shd w:val="clear" w:fill="FFFFFF" w:themeFill="background1"/>
              <w:autoSpaceDE w:val="0"/>
              <w:autoSpaceDN w:val="0"/>
              <w:jc w:val="center"/>
              <w:rPr>
                <w:rFonts w:hAnsi="宋体" w:cs="宋体"/>
                <w:color w:val="auto"/>
                <w:kern w:val="0"/>
                <w:szCs w:val="21"/>
                <w:highlight w:val="none"/>
              </w:rPr>
            </w:pPr>
          </w:p>
        </w:tc>
        <w:tc>
          <w:tcPr>
            <w:tcW w:w="743" w:type="dxa"/>
            <w:vAlign w:val="center"/>
          </w:tcPr>
          <w:p w14:paraId="64B9EEA7">
            <w:pPr>
              <w:pStyle w:val="107"/>
              <w:shd w:val="clear" w:fill="FFFFFF" w:themeFill="background1"/>
              <w:autoSpaceDE w:val="0"/>
              <w:autoSpaceDN w:val="0"/>
              <w:jc w:val="center"/>
              <w:rPr>
                <w:rFonts w:hAnsi="宋体" w:cs="宋体"/>
                <w:color w:val="auto"/>
                <w:kern w:val="0"/>
                <w:szCs w:val="21"/>
                <w:highlight w:val="none"/>
              </w:rPr>
            </w:pPr>
          </w:p>
        </w:tc>
      </w:tr>
    </w:tbl>
    <w:p w14:paraId="003E947F">
      <w:pPr>
        <w:pStyle w:val="107"/>
        <w:shd w:val="clear" w:fill="FFFFFF" w:themeFill="background1"/>
        <w:jc w:val="center"/>
        <w:rPr>
          <w:rFonts w:hAnsi="宋体" w:cs="宋体"/>
          <w:color w:val="auto"/>
          <w:sz w:val="28"/>
          <w:szCs w:val="28"/>
          <w:highlight w:val="none"/>
        </w:rPr>
      </w:pPr>
      <w:r>
        <w:rPr>
          <w:rFonts w:hint="eastAsia" w:hAnsi="宋体" w:cs="宋体"/>
          <w:b/>
          <w:color w:val="auto"/>
          <w:sz w:val="28"/>
          <w:szCs w:val="28"/>
          <w:highlight w:val="none"/>
        </w:rPr>
        <w:t>附表3：甲方提供机械设备清单</w:t>
      </w:r>
    </w:p>
    <w:p w14:paraId="757F2A26">
      <w:pPr>
        <w:pStyle w:val="107"/>
        <w:shd w:val="clear" w:fill="FFFFFF" w:themeFill="background1"/>
        <w:rPr>
          <w:rFonts w:hAnsi="宋体" w:cs="宋体"/>
          <w:b/>
          <w:bCs/>
          <w:color w:val="auto"/>
          <w:highlight w:val="none"/>
        </w:rPr>
      </w:pPr>
      <w:r>
        <w:rPr>
          <w:rFonts w:hint="eastAsia" w:hAnsi="宋体" w:cs="宋体"/>
          <w:color w:val="auto"/>
          <w:highlight w:val="none"/>
        </w:rPr>
        <w:t xml:space="preserve">工程及合同段名称：                               劳务单位：        </w:t>
      </w:r>
    </w:p>
    <w:tbl>
      <w:tblPr>
        <w:tblStyle w:val="43"/>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56"/>
        <w:gridCol w:w="725"/>
        <w:gridCol w:w="895"/>
        <w:gridCol w:w="2114"/>
        <w:gridCol w:w="849"/>
      </w:tblGrid>
      <w:tr w14:paraId="7544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29" w:type="dxa"/>
            <w:vAlign w:val="center"/>
          </w:tcPr>
          <w:p w14:paraId="1A249FC6">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905" w:type="dxa"/>
            <w:vAlign w:val="center"/>
          </w:tcPr>
          <w:p w14:paraId="26D9E15D">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设备名称</w:t>
            </w:r>
          </w:p>
        </w:tc>
        <w:tc>
          <w:tcPr>
            <w:tcW w:w="1656" w:type="dxa"/>
            <w:vAlign w:val="center"/>
          </w:tcPr>
          <w:p w14:paraId="270A148B">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规格型号</w:t>
            </w:r>
          </w:p>
        </w:tc>
        <w:tc>
          <w:tcPr>
            <w:tcW w:w="725" w:type="dxa"/>
            <w:vAlign w:val="center"/>
          </w:tcPr>
          <w:p w14:paraId="52282EA2">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895" w:type="dxa"/>
            <w:vAlign w:val="center"/>
          </w:tcPr>
          <w:p w14:paraId="237E1285">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数量</w:t>
            </w:r>
          </w:p>
        </w:tc>
        <w:tc>
          <w:tcPr>
            <w:tcW w:w="2114" w:type="dxa"/>
            <w:vAlign w:val="center"/>
          </w:tcPr>
          <w:p w14:paraId="07D15624">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到场时间</w:t>
            </w:r>
          </w:p>
        </w:tc>
        <w:tc>
          <w:tcPr>
            <w:tcW w:w="849" w:type="dxa"/>
            <w:vAlign w:val="center"/>
          </w:tcPr>
          <w:p w14:paraId="5B893EFD">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71DA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38593123">
            <w:pPr>
              <w:pStyle w:val="107"/>
              <w:shd w:val="clear" w:fill="FFFFFF" w:themeFill="background1"/>
              <w:jc w:val="center"/>
              <w:rPr>
                <w:rFonts w:hAnsi="宋体" w:cs="宋体"/>
                <w:b/>
                <w:bCs/>
                <w:color w:val="auto"/>
                <w:szCs w:val="21"/>
                <w:highlight w:val="none"/>
              </w:rPr>
            </w:pPr>
          </w:p>
        </w:tc>
        <w:tc>
          <w:tcPr>
            <w:tcW w:w="1905" w:type="dxa"/>
            <w:vAlign w:val="center"/>
          </w:tcPr>
          <w:p w14:paraId="4D53B5B5">
            <w:pPr>
              <w:pStyle w:val="107"/>
              <w:shd w:val="clear" w:fill="FFFFFF" w:themeFill="background1"/>
              <w:jc w:val="center"/>
              <w:rPr>
                <w:rFonts w:hAnsi="宋体" w:cs="宋体"/>
                <w:b/>
                <w:bCs/>
                <w:color w:val="auto"/>
                <w:szCs w:val="21"/>
                <w:highlight w:val="none"/>
              </w:rPr>
            </w:pPr>
          </w:p>
        </w:tc>
        <w:tc>
          <w:tcPr>
            <w:tcW w:w="1656" w:type="dxa"/>
            <w:vAlign w:val="center"/>
          </w:tcPr>
          <w:p w14:paraId="4DA77DC1">
            <w:pPr>
              <w:pStyle w:val="107"/>
              <w:shd w:val="clear" w:fill="FFFFFF" w:themeFill="background1"/>
              <w:jc w:val="center"/>
              <w:rPr>
                <w:rFonts w:hAnsi="宋体" w:cs="宋体"/>
                <w:b/>
                <w:bCs/>
                <w:color w:val="auto"/>
                <w:szCs w:val="21"/>
                <w:highlight w:val="none"/>
              </w:rPr>
            </w:pPr>
          </w:p>
        </w:tc>
        <w:tc>
          <w:tcPr>
            <w:tcW w:w="725" w:type="dxa"/>
            <w:vAlign w:val="center"/>
          </w:tcPr>
          <w:p w14:paraId="2C4DF3DD">
            <w:pPr>
              <w:pStyle w:val="107"/>
              <w:shd w:val="clear" w:fill="FFFFFF" w:themeFill="background1"/>
              <w:jc w:val="center"/>
              <w:rPr>
                <w:rFonts w:hAnsi="宋体" w:cs="宋体"/>
                <w:b/>
                <w:bCs/>
                <w:color w:val="auto"/>
                <w:szCs w:val="21"/>
                <w:highlight w:val="none"/>
              </w:rPr>
            </w:pPr>
          </w:p>
        </w:tc>
        <w:tc>
          <w:tcPr>
            <w:tcW w:w="895" w:type="dxa"/>
            <w:vAlign w:val="center"/>
          </w:tcPr>
          <w:p w14:paraId="0E54E7E0">
            <w:pPr>
              <w:pStyle w:val="107"/>
              <w:shd w:val="clear" w:fill="FFFFFF" w:themeFill="background1"/>
              <w:jc w:val="center"/>
              <w:rPr>
                <w:rFonts w:hAnsi="宋体" w:cs="宋体"/>
                <w:b/>
                <w:bCs/>
                <w:color w:val="auto"/>
                <w:szCs w:val="21"/>
                <w:highlight w:val="none"/>
              </w:rPr>
            </w:pPr>
          </w:p>
        </w:tc>
        <w:tc>
          <w:tcPr>
            <w:tcW w:w="2114" w:type="dxa"/>
            <w:vAlign w:val="center"/>
          </w:tcPr>
          <w:p w14:paraId="323A5342">
            <w:pPr>
              <w:pStyle w:val="107"/>
              <w:shd w:val="clear" w:fill="FFFFFF" w:themeFill="background1"/>
              <w:jc w:val="center"/>
              <w:rPr>
                <w:rFonts w:hAnsi="宋体" w:cs="宋体"/>
                <w:b/>
                <w:bCs/>
                <w:color w:val="auto"/>
                <w:szCs w:val="21"/>
                <w:highlight w:val="none"/>
              </w:rPr>
            </w:pPr>
          </w:p>
        </w:tc>
        <w:tc>
          <w:tcPr>
            <w:tcW w:w="849" w:type="dxa"/>
            <w:vAlign w:val="center"/>
          </w:tcPr>
          <w:p w14:paraId="6E52A23A">
            <w:pPr>
              <w:pStyle w:val="107"/>
              <w:shd w:val="clear" w:fill="FFFFFF" w:themeFill="background1"/>
              <w:jc w:val="center"/>
              <w:rPr>
                <w:rFonts w:hAnsi="宋体" w:cs="宋体"/>
                <w:b/>
                <w:bCs/>
                <w:color w:val="auto"/>
                <w:szCs w:val="21"/>
                <w:highlight w:val="none"/>
              </w:rPr>
            </w:pPr>
          </w:p>
        </w:tc>
      </w:tr>
      <w:tr w14:paraId="79E2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70B854E2">
            <w:pPr>
              <w:pStyle w:val="107"/>
              <w:shd w:val="clear" w:fill="FFFFFF" w:themeFill="background1"/>
              <w:jc w:val="center"/>
              <w:rPr>
                <w:rFonts w:hAnsi="宋体" w:cs="宋体"/>
                <w:b/>
                <w:bCs/>
                <w:color w:val="auto"/>
                <w:szCs w:val="21"/>
                <w:highlight w:val="none"/>
              </w:rPr>
            </w:pPr>
          </w:p>
        </w:tc>
        <w:tc>
          <w:tcPr>
            <w:tcW w:w="1905" w:type="dxa"/>
            <w:vAlign w:val="center"/>
          </w:tcPr>
          <w:p w14:paraId="272F89EB">
            <w:pPr>
              <w:pStyle w:val="107"/>
              <w:shd w:val="clear" w:fill="FFFFFF" w:themeFill="background1"/>
              <w:jc w:val="center"/>
              <w:rPr>
                <w:rFonts w:hAnsi="宋体" w:cs="宋体"/>
                <w:b/>
                <w:bCs/>
                <w:color w:val="auto"/>
                <w:szCs w:val="21"/>
                <w:highlight w:val="none"/>
              </w:rPr>
            </w:pPr>
          </w:p>
        </w:tc>
        <w:tc>
          <w:tcPr>
            <w:tcW w:w="1656" w:type="dxa"/>
            <w:vAlign w:val="center"/>
          </w:tcPr>
          <w:p w14:paraId="3D20E204">
            <w:pPr>
              <w:pStyle w:val="107"/>
              <w:shd w:val="clear" w:fill="FFFFFF" w:themeFill="background1"/>
              <w:jc w:val="center"/>
              <w:rPr>
                <w:rFonts w:hAnsi="宋体" w:cs="宋体"/>
                <w:b/>
                <w:bCs/>
                <w:color w:val="auto"/>
                <w:szCs w:val="21"/>
                <w:highlight w:val="none"/>
              </w:rPr>
            </w:pPr>
          </w:p>
        </w:tc>
        <w:tc>
          <w:tcPr>
            <w:tcW w:w="725" w:type="dxa"/>
            <w:vAlign w:val="center"/>
          </w:tcPr>
          <w:p w14:paraId="1ECB6D20">
            <w:pPr>
              <w:pStyle w:val="107"/>
              <w:shd w:val="clear" w:fill="FFFFFF" w:themeFill="background1"/>
              <w:jc w:val="center"/>
              <w:rPr>
                <w:rFonts w:hAnsi="宋体" w:cs="宋体"/>
                <w:b/>
                <w:bCs/>
                <w:color w:val="auto"/>
                <w:szCs w:val="21"/>
                <w:highlight w:val="none"/>
              </w:rPr>
            </w:pPr>
          </w:p>
        </w:tc>
        <w:tc>
          <w:tcPr>
            <w:tcW w:w="895" w:type="dxa"/>
            <w:vAlign w:val="center"/>
          </w:tcPr>
          <w:p w14:paraId="3F76AB3E">
            <w:pPr>
              <w:pStyle w:val="107"/>
              <w:shd w:val="clear" w:fill="FFFFFF" w:themeFill="background1"/>
              <w:jc w:val="center"/>
              <w:rPr>
                <w:rFonts w:hAnsi="宋体" w:cs="宋体"/>
                <w:b/>
                <w:bCs/>
                <w:color w:val="auto"/>
                <w:szCs w:val="21"/>
                <w:highlight w:val="none"/>
              </w:rPr>
            </w:pPr>
          </w:p>
        </w:tc>
        <w:tc>
          <w:tcPr>
            <w:tcW w:w="2114" w:type="dxa"/>
            <w:vAlign w:val="center"/>
          </w:tcPr>
          <w:p w14:paraId="7434CF05">
            <w:pPr>
              <w:pStyle w:val="107"/>
              <w:shd w:val="clear" w:fill="FFFFFF" w:themeFill="background1"/>
              <w:jc w:val="center"/>
              <w:rPr>
                <w:rFonts w:hAnsi="宋体" w:cs="宋体"/>
                <w:b/>
                <w:bCs/>
                <w:color w:val="auto"/>
                <w:szCs w:val="21"/>
                <w:highlight w:val="none"/>
              </w:rPr>
            </w:pPr>
          </w:p>
        </w:tc>
        <w:tc>
          <w:tcPr>
            <w:tcW w:w="849" w:type="dxa"/>
            <w:vAlign w:val="center"/>
          </w:tcPr>
          <w:p w14:paraId="1AECF711">
            <w:pPr>
              <w:pStyle w:val="107"/>
              <w:shd w:val="clear" w:fill="FFFFFF" w:themeFill="background1"/>
              <w:jc w:val="center"/>
              <w:rPr>
                <w:rFonts w:hAnsi="宋体" w:cs="宋体"/>
                <w:b/>
                <w:bCs/>
                <w:color w:val="auto"/>
                <w:szCs w:val="21"/>
                <w:highlight w:val="none"/>
              </w:rPr>
            </w:pPr>
          </w:p>
        </w:tc>
      </w:tr>
    </w:tbl>
    <w:p w14:paraId="087ED719">
      <w:pPr>
        <w:pStyle w:val="107"/>
        <w:shd w:val="clear" w:fill="FFFFFF" w:themeFill="background1"/>
        <w:jc w:val="center"/>
        <w:rPr>
          <w:rFonts w:hAnsi="宋体" w:cs="宋体"/>
          <w:b/>
          <w:color w:val="auto"/>
          <w:sz w:val="28"/>
          <w:szCs w:val="28"/>
          <w:highlight w:val="none"/>
        </w:rPr>
      </w:pPr>
      <w:r>
        <w:rPr>
          <w:rFonts w:hint="eastAsia" w:hAnsi="宋体" w:cs="宋体"/>
          <w:b/>
          <w:color w:val="auto"/>
          <w:sz w:val="28"/>
          <w:szCs w:val="28"/>
          <w:highlight w:val="none"/>
        </w:rPr>
        <w:t>附表4：乙方投入关键人员表</w:t>
      </w:r>
    </w:p>
    <w:p w14:paraId="779B591F">
      <w:pPr>
        <w:pStyle w:val="107"/>
        <w:shd w:val="clear" w:fill="FFFFFF" w:themeFill="background1"/>
        <w:rPr>
          <w:rFonts w:hAnsi="宋体" w:cs="宋体"/>
          <w:b/>
          <w:bCs/>
          <w:color w:val="auto"/>
          <w:highlight w:val="none"/>
        </w:rPr>
      </w:pPr>
      <w:r>
        <w:rPr>
          <w:rFonts w:hint="eastAsia" w:hAnsi="宋体" w:cs="宋体"/>
          <w:color w:val="auto"/>
          <w:highlight w:val="none"/>
        </w:rPr>
        <w:t xml:space="preserve">工程名称及合同段：                               劳务单位：        </w:t>
      </w:r>
    </w:p>
    <w:tbl>
      <w:tblPr>
        <w:tblStyle w:val="4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54"/>
        <w:gridCol w:w="1028"/>
        <w:gridCol w:w="1883"/>
        <w:gridCol w:w="1348"/>
        <w:gridCol w:w="1409"/>
        <w:gridCol w:w="679"/>
      </w:tblGrid>
      <w:tr w14:paraId="4754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2F3D24F5">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454" w:type="dxa"/>
            <w:vAlign w:val="center"/>
          </w:tcPr>
          <w:p w14:paraId="328DA683">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岗位或工种</w:t>
            </w:r>
          </w:p>
        </w:tc>
        <w:tc>
          <w:tcPr>
            <w:tcW w:w="1028" w:type="dxa"/>
            <w:vAlign w:val="center"/>
          </w:tcPr>
          <w:p w14:paraId="57D9A5DD">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姓名</w:t>
            </w:r>
          </w:p>
        </w:tc>
        <w:tc>
          <w:tcPr>
            <w:tcW w:w="1883" w:type="dxa"/>
            <w:vAlign w:val="center"/>
          </w:tcPr>
          <w:p w14:paraId="559E7807">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身份证号</w:t>
            </w:r>
          </w:p>
        </w:tc>
        <w:tc>
          <w:tcPr>
            <w:tcW w:w="1348" w:type="dxa"/>
            <w:vAlign w:val="center"/>
          </w:tcPr>
          <w:p w14:paraId="699063C7">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劳动合同号</w:t>
            </w:r>
          </w:p>
        </w:tc>
        <w:tc>
          <w:tcPr>
            <w:tcW w:w="1409" w:type="dxa"/>
            <w:vAlign w:val="center"/>
          </w:tcPr>
          <w:p w14:paraId="07D52362">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到场时间</w:t>
            </w:r>
          </w:p>
        </w:tc>
        <w:tc>
          <w:tcPr>
            <w:tcW w:w="679" w:type="dxa"/>
            <w:vAlign w:val="center"/>
          </w:tcPr>
          <w:p w14:paraId="535F04AB">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7F9F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14:paraId="71F27903">
            <w:pPr>
              <w:pStyle w:val="107"/>
              <w:shd w:val="clear" w:fill="FFFFFF" w:themeFill="background1"/>
              <w:jc w:val="center"/>
              <w:rPr>
                <w:rFonts w:hAnsi="宋体" w:cs="宋体"/>
                <w:color w:val="auto"/>
                <w:szCs w:val="21"/>
                <w:highlight w:val="none"/>
              </w:rPr>
            </w:pPr>
          </w:p>
        </w:tc>
        <w:tc>
          <w:tcPr>
            <w:tcW w:w="1454" w:type="dxa"/>
            <w:vAlign w:val="center"/>
          </w:tcPr>
          <w:p w14:paraId="717089C4">
            <w:pPr>
              <w:pStyle w:val="107"/>
              <w:shd w:val="clear" w:fill="FFFFFF" w:themeFill="background1"/>
              <w:jc w:val="center"/>
              <w:rPr>
                <w:rFonts w:hAnsi="宋体" w:cs="宋体"/>
                <w:color w:val="auto"/>
                <w:szCs w:val="21"/>
                <w:highlight w:val="none"/>
              </w:rPr>
            </w:pPr>
          </w:p>
        </w:tc>
        <w:tc>
          <w:tcPr>
            <w:tcW w:w="1028" w:type="dxa"/>
            <w:vAlign w:val="center"/>
          </w:tcPr>
          <w:p w14:paraId="7351CEAC">
            <w:pPr>
              <w:pStyle w:val="107"/>
              <w:shd w:val="clear" w:fill="FFFFFF" w:themeFill="background1"/>
              <w:jc w:val="center"/>
              <w:rPr>
                <w:rFonts w:hAnsi="宋体" w:cs="宋体"/>
                <w:color w:val="auto"/>
                <w:szCs w:val="21"/>
                <w:highlight w:val="none"/>
              </w:rPr>
            </w:pPr>
          </w:p>
        </w:tc>
        <w:tc>
          <w:tcPr>
            <w:tcW w:w="1883" w:type="dxa"/>
            <w:vAlign w:val="center"/>
          </w:tcPr>
          <w:p w14:paraId="2C6F0914">
            <w:pPr>
              <w:pStyle w:val="107"/>
              <w:shd w:val="clear" w:fill="FFFFFF" w:themeFill="background1"/>
              <w:jc w:val="center"/>
              <w:rPr>
                <w:rFonts w:hAnsi="宋体" w:cs="宋体"/>
                <w:color w:val="auto"/>
                <w:szCs w:val="21"/>
                <w:highlight w:val="none"/>
              </w:rPr>
            </w:pPr>
          </w:p>
        </w:tc>
        <w:tc>
          <w:tcPr>
            <w:tcW w:w="1348" w:type="dxa"/>
            <w:vAlign w:val="center"/>
          </w:tcPr>
          <w:p w14:paraId="50A043FE">
            <w:pPr>
              <w:pStyle w:val="107"/>
              <w:shd w:val="clear" w:fill="FFFFFF" w:themeFill="background1"/>
              <w:jc w:val="center"/>
              <w:rPr>
                <w:rFonts w:hAnsi="宋体" w:cs="宋体"/>
                <w:color w:val="auto"/>
                <w:szCs w:val="21"/>
                <w:highlight w:val="none"/>
              </w:rPr>
            </w:pPr>
          </w:p>
        </w:tc>
        <w:tc>
          <w:tcPr>
            <w:tcW w:w="1409" w:type="dxa"/>
          </w:tcPr>
          <w:p w14:paraId="3CEDD555">
            <w:pPr>
              <w:pStyle w:val="107"/>
              <w:shd w:val="clear" w:fill="FFFFFF" w:themeFill="background1"/>
              <w:jc w:val="center"/>
              <w:rPr>
                <w:rFonts w:hAnsi="宋体" w:cs="宋体"/>
                <w:color w:val="auto"/>
                <w:szCs w:val="21"/>
                <w:highlight w:val="none"/>
              </w:rPr>
            </w:pPr>
          </w:p>
        </w:tc>
        <w:tc>
          <w:tcPr>
            <w:tcW w:w="679" w:type="dxa"/>
            <w:vAlign w:val="center"/>
          </w:tcPr>
          <w:p w14:paraId="6DF3EC17">
            <w:pPr>
              <w:pStyle w:val="107"/>
              <w:shd w:val="clear" w:fill="FFFFFF" w:themeFill="background1"/>
              <w:jc w:val="center"/>
              <w:rPr>
                <w:rFonts w:hAnsi="宋体" w:cs="宋体"/>
                <w:color w:val="auto"/>
                <w:szCs w:val="21"/>
                <w:highlight w:val="none"/>
              </w:rPr>
            </w:pPr>
          </w:p>
        </w:tc>
      </w:tr>
      <w:tr w14:paraId="2869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022B52B4">
            <w:pPr>
              <w:pStyle w:val="107"/>
              <w:shd w:val="clear" w:fill="FFFFFF" w:themeFill="background1"/>
              <w:jc w:val="center"/>
              <w:rPr>
                <w:rFonts w:hAnsi="宋体" w:cs="宋体"/>
                <w:color w:val="auto"/>
                <w:szCs w:val="21"/>
                <w:highlight w:val="none"/>
              </w:rPr>
            </w:pPr>
          </w:p>
        </w:tc>
        <w:tc>
          <w:tcPr>
            <w:tcW w:w="1454" w:type="dxa"/>
            <w:vAlign w:val="center"/>
          </w:tcPr>
          <w:p w14:paraId="2D539848">
            <w:pPr>
              <w:pStyle w:val="107"/>
              <w:shd w:val="clear" w:fill="FFFFFF" w:themeFill="background1"/>
              <w:jc w:val="center"/>
              <w:rPr>
                <w:rFonts w:hAnsi="宋体" w:cs="宋体"/>
                <w:color w:val="auto"/>
                <w:szCs w:val="21"/>
                <w:highlight w:val="none"/>
              </w:rPr>
            </w:pPr>
          </w:p>
        </w:tc>
        <w:tc>
          <w:tcPr>
            <w:tcW w:w="1028" w:type="dxa"/>
            <w:vAlign w:val="center"/>
          </w:tcPr>
          <w:p w14:paraId="637FDFD4">
            <w:pPr>
              <w:pStyle w:val="107"/>
              <w:shd w:val="clear" w:fill="FFFFFF" w:themeFill="background1"/>
              <w:jc w:val="center"/>
              <w:rPr>
                <w:rFonts w:hAnsi="宋体" w:cs="宋体"/>
                <w:color w:val="auto"/>
                <w:szCs w:val="21"/>
                <w:highlight w:val="none"/>
              </w:rPr>
            </w:pPr>
          </w:p>
        </w:tc>
        <w:tc>
          <w:tcPr>
            <w:tcW w:w="1883" w:type="dxa"/>
            <w:vAlign w:val="center"/>
          </w:tcPr>
          <w:p w14:paraId="0751C689">
            <w:pPr>
              <w:pStyle w:val="107"/>
              <w:shd w:val="clear" w:fill="FFFFFF" w:themeFill="background1"/>
              <w:jc w:val="center"/>
              <w:rPr>
                <w:rFonts w:hAnsi="宋体" w:cs="宋体"/>
                <w:color w:val="auto"/>
                <w:szCs w:val="21"/>
                <w:highlight w:val="none"/>
              </w:rPr>
            </w:pPr>
          </w:p>
        </w:tc>
        <w:tc>
          <w:tcPr>
            <w:tcW w:w="1348" w:type="dxa"/>
            <w:vAlign w:val="center"/>
          </w:tcPr>
          <w:p w14:paraId="503DDD5C">
            <w:pPr>
              <w:pStyle w:val="107"/>
              <w:shd w:val="clear" w:fill="FFFFFF" w:themeFill="background1"/>
              <w:jc w:val="center"/>
              <w:rPr>
                <w:rFonts w:hAnsi="宋体" w:cs="宋体"/>
                <w:color w:val="auto"/>
                <w:szCs w:val="21"/>
                <w:highlight w:val="none"/>
              </w:rPr>
            </w:pPr>
          </w:p>
        </w:tc>
        <w:tc>
          <w:tcPr>
            <w:tcW w:w="1409" w:type="dxa"/>
          </w:tcPr>
          <w:p w14:paraId="471B126F">
            <w:pPr>
              <w:pStyle w:val="107"/>
              <w:shd w:val="clear" w:fill="FFFFFF" w:themeFill="background1"/>
              <w:jc w:val="center"/>
              <w:rPr>
                <w:rFonts w:hAnsi="宋体" w:cs="宋体"/>
                <w:color w:val="auto"/>
                <w:szCs w:val="21"/>
                <w:highlight w:val="none"/>
              </w:rPr>
            </w:pPr>
          </w:p>
        </w:tc>
        <w:tc>
          <w:tcPr>
            <w:tcW w:w="679" w:type="dxa"/>
            <w:vAlign w:val="center"/>
          </w:tcPr>
          <w:p w14:paraId="1584F892">
            <w:pPr>
              <w:pStyle w:val="107"/>
              <w:shd w:val="clear" w:fill="FFFFFF" w:themeFill="background1"/>
              <w:jc w:val="center"/>
              <w:rPr>
                <w:rFonts w:hAnsi="宋体" w:cs="宋体"/>
                <w:color w:val="auto"/>
                <w:szCs w:val="21"/>
                <w:highlight w:val="none"/>
              </w:rPr>
            </w:pPr>
          </w:p>
        </w:tc>
      </w:tr>
    </w:tbl>
    <w:p w14:paraId="396FD94C">
      <w:pPr>
        <w:shd w:val="clear" w:fill="FFFFFF" w:themeFill="background1"/>
        <w:jc w:val="center"/>
        <w:rPr>
          <w:rFonts w:ascii="宋体" w:hAnsi="宋体"/>
          <w:color w:val="auto"/>
          <w:sz w:val="72"/>
          <w:szCs w:val="72"/>
          <w:highlight w:val="none"/>
          <w:u w:val="single"/>
        </w:rPr>
      </w:pPr>
    </w:p>
    <w:p w14:paraId="0961DD2C">
      <w:pPr>
        <w:pStyle w:val="55"/>
        <w:shd w:val="clear" w:fill="FFFFFF" w:themeFill="background1"/>
        <w:rPr>
          <w:rFonts w:ascii="宋体" w:hAnsi="宋体"/>
          <w:color w:val="auto"/>
          <w:sz w:val="72"/>
          <w:szCs w:val="72"/>
          <w:highlight w:val="none"/>
          <w:u w:val="single"/>
        </w:rPr>
      </w:pPr>
    </w:p>
    <w:p w14:paraId="21952A39">
      <w:pPr>
        <w:pStyle w:val="55"/>
        <w:shd w:val="clear" w:fill="FFFFFF" w:themeFill="background1"/>
        <w:rPr>
          <w:rFonts w:ascii="宋体" w:hAnsi="宋体"/>
          <w:color w:val="auto"/>
          <w:sz w:val="72"/>
          <w:szCs w:val="72"/>
          <w:highlight w:val="none"/>
          <w:u w:val="single"/>
        </w:rPr>
      </w:pPr>
    </w:p>
    <w:p w14:paraId="64AE83ED">
      <w:pPr>
        <w:pStyle w:val="55"/>
        <w:shd w:val="clear" w:fill="FFFFFF" w:themeFill="background1"/>
        <w:rPr>
          <w:rFonts w:ascii="宋体" w:hAnsi="宋体"/>
          <w:color w:val="auto"/>
          <w:sz w:val="72"/>
          <w:szCs w:val="72"/>
          <w:highlight w:val="none"/>
          <w:u w:val="single"/>
        </w:rPr>
      </w:pPr>
    </w:p>
    <w:p w14:paraId="741E9E0A">
      <w:pPr>
        <w:shd w:val="clear" w:fill="FFFFFF" w:themeFill="background1"/>
        <w:jc w:val="center"/>
        <w:rPr>
          <w:rFonts w:ascii="宋体" w:hAnsi="宋体"/>
          <w:color w:val="auto"/>
          <w:sz w:val="72"/>
          <w:szCs w:val="72"/>
          <w:highlight w:val="none"/>
          <w:u w:val="single"/>
        </w:rPr>
      </w:pPr>
    </w:p>
    <w:p w14:paraId="5493AAF0">
      <w:pPr>
        <w:pStyle w:val="55"/>
        <w:shd w:val="clear" w:fill="FFFFFF" w:themeFill="background1"/>
        <w:rPr>
          <w:rFonts w:ascii="宋体" w:hAnsi="宋体"/>
          <w:color w:val="auto"/>
          <w:sz w:val="72"/>
          <w:szCs w:val="72"/>
          <w:highlight w:val="none"/>
          <w:u w:val="single"/>
        </w:rPr>
      </w:pPr>
    </w:p>
    <w:p w14:paraId="79374A67">
      <w:pPr>
        <w:pStyle w:val="55"/>
        <w:shd w:val="clear" w:fill="FFFFFF" w:themeFill="background1"/>
        <w:rPr>
          <w:rFonts w:ascii="宋体" w:hAnsi="宋体"/>
          <w:color w:val="auto"/>
          <w:sz w:val="72"/>
          <w:szCs w:val="72"/>
          <w:highlight w:val="none"/>
          <w:u w:val="single"/>
        </w:rPr>
      </w:pPr>
    </w:p>
    <w:p w14:paraId="4D2A60BD">
      <w:pPr>
        <w:pStyle w:val="55"/>
        <w:shd w:val="clear" w:fill="FFFFFF" w:themeFill="background1"/>
        <w:rPr>
          <w:rFonts w:ascii="宋体" w:hAnsi="宋体"/>
          <w:color w:val="auto"/>
          <w:sz w:val="72"/>
          <w:szCs w:val="72"/>
          <w:highlight w:val="none"/>
          <w:u w:val="single"/>
        </w:rPr>
      </w:pPr>
    </w:p>
    <w:p w14:paraId="6350DD3E">
      <w:pPr>
        <w:pStyle w:val="55"/>
        <w:shd w:val="clear" w:fill="FFFFFF" w:themeFill="background1"/>
        <w:rPr>
          <w:rFonts w:ascii="宋体" w:hAnsi="宋体"/>
          <w:color w:val="auto"/>
          <w:sz w:val="72"/>
          <w:szCs w:val="72"/>
          <w:highlight w:val="none"/>
          <w:u w:val="single"/>
        </w:rPr>
      </w:pPr>
    </w:p>
    <w:p w14:paraId="47F3618C">
      <w:pPr>
        <w:pStyle w:val="55"/>
        <w:shd w:val="clear" w:fill="FFFFFF" w:themeFill="background1"/>
        <w:rPr>
          <w:rFonts w:ascii="宋体" w:hAnsi="宋体"/>
          <w:color w:val="auto"/>
          <w:sz w:val="72"/>
          <w:szCs w:val="72"/>
          <w:highlight w:val="none"/>
          <w:u w:val="single"/>
        </w:rPr>
      </w:pPr>
    </w:p>
    <w:p w14:paraId="756346BA">
      <w:pPr>
        <w:shd w:val="clear" w:fill="FFFFFF" w:themeFill="background1"/>
        <w:jc w:val="center"/>
        <w:rPr>
          <w:rFonts w:ascii="宋体" w:hAnsi="宋体"/>
          <w:color w:val="auto"/>
          <w:sz w:val="72"/>
          <w:szCs w:val="72"/>
          <w:highlight w:val="none"/>
          <w:u w:val="single"/>
        </w:rPr>
      </w:pPr>
    </w:p>
    <w:p w14:paraId="414ED5F9">
      <w:pPr>
        <w:shd w:val="clear" w:fill="FFFFFF" w:themeFill="background1"/>
        <w:jc w:val="center"/>
        <w:rPr>
          <w:rFonts w:ascii="宋体" w:hAnsi="宋体"/>
          <w:color w:val="auto"/>
          <w:sz w:val="52"/>
          <w:szCs w:val="52"/>
          <w:highlight w:val="none"/>
        </w:rPr>
      </w:pPr>
      <w:r>
        <w:rPr>
          <w:rFonts w:hint="eastAsia" w:ascii="宋体" w:hAnsi="宋体"/>
          <w:color w:val="auto"/>
          <w:sz w:val="52"/>
          <w:szCs w:val="52"/>
          <w:highlight w:val="none"/>
        </w:rPr>
        <w:t>第五章  工程量清单</w:t>
      </w:r>
    </w:p>
    <w:p w14:paraId="2A9BC9AA">
      <w:pPr>
        <w:pStyle w:val="3"/>
        <w:shd w:val="clear" w:fill="FFFFFF" w:themeFill="background1"/>
        <w:spacing w:after="600" w:line="240" w:lineRule="auto"/>
        <w:jc w:val="center"/>
        <w:rPr>
          <w:rFonts w:ascii="宋体" w:hAnsi="宋体"/>
          <w:color w:val="auto"/>
          <w:sz w:val="36"/>
          <w:szCs w:val="36"/>
          <w:highlight w:val="none"/>
        </w:rPr>
      </w:pPr>
      <w:bookmarkStart w:id="1741" w:name="_Toc18365"/>
      <w:bookmarkEnd w:id="1741"/>
      <w:bookmarkStart w:id="1742" w:name="_Toc234382953"/>
      <w:bookmarkEnd w:id="1742"/>
      <w:bookmarkStart w:id="1743" w:name="_Toc43476023"/>
      <w:bookmarkEnd w:id="1743"/>
      <w:r>
        <w:rPr>
          <w:rFonts w:ascii="宋体" w:hAnsi="宋体"/>
          <w:color w:val="auto"/>
          <w:sz w:val="36"/>
          <w:szCs w:val="36"/>
          <w:highlight w:val="none"/>
        </w:rPr>
        <w:br w:type="page"/>
      </w:r>
      <w:r>
        <w:rPr>
          <w:rFonts w:ascii="宋体" w:hAnsi="宋体"/>
          <w:color w:val="auto"/>
          <w:sz w:val="36"/>
          <w:szCs w:val="36"/>
          <w:highlight w:val="none"/>
        </w:rPr>
        <w:t>第五章  工程量清单</w:t>
      </w:r>
    </w:p>
    <w:p w14:paraId="681DC3B1">
      <w:pPr>
        <w:pStyle w:val="4"/>
        <w:shd w:val="clear" w:fill="FFFFFF" w:themeFill="background1"/>
        <w:rPr>
          <w:color w:val="auto"/>
          <w:highlight w:val="none"/>
        </w:rPr>
      </w:pPr>
      <w:bookmarkStart w:id="1744" w:name="_Toc43476024"/>
      <w:bookmarkEnd w:id="1744"/>
      <w:r>
        <w:rPr>
          <w:rFonts w:hint="eastAsia"/>
          <w:color w:val="auto"/>
          <w:highlight w:val="none"/>
        </w:rPr>
        <w:t>工程量清单（另册）</w:t>
      </w:r>
    </w:p>
    <w:p w14:paraId="26AF8B11">
      <w:pPr>
        <w:shd w:val="clear" w:fill="FFFFFF" w:themeFill="background1"/>
        <w:spacing w:line="400" w:lineRule="exact"/>
        <w:rPr>
          <w:rFonts w:ascii="宋体" w:hAnsi="宋体"/>
          <w:b/>
          <w:color w:val="auto"/>
          <w:sz w:val="28"/>
          <w:szCs w:val="28"/>
          <w:highlight w:val="none"/>
        </w:rPr>
        <w:sectPr>
          <w:pgSz w:w="11906" w:h="16838"/>
          <w:pgMar w:top="1276" w:right="924" w:bottom="935" w:left="1418" w:header="624" w:footer="590" w:gutter="0"/>
          <w:cols w:space="720" w:num="1"/>
          <w:docGrid w:type="lines" w:linePitch="312" w:charSpace="0"/>
        </w:sectPr>
      </w:pPr>
    </w:p>
    <w:p w14:paraId="74BB9AFD">
      <w:pPr>
        <w:pStyle w:val="55"/>
        <w:shd w:val="clear" w:fill="FFFFFF" w:themeFill="background1"/>
        <w:rPr>
          <w:color w:val="auto"/>
          <w:highlight w:val="none"/>
        </w:rPr>
      </w:pPr>
    </w:p>
    <w:p w14:paraId="4161D47B">
      <w:pPr>
        <w:shd w:val="clear" w:fill="FFFFFF" w:themeFill="background1"/>
        <w:jc w:val="center"/>
        <w:rPr>
          <w:rFonts w:ascii="宋体" w:hAnsi="宋体"/>
          <w:color w:val="auto"/>
          <w:sz w:val="72"/>
          <w:szCs w:val="72"/>
          <w:highlight w:val="none"/>
          <w:u w:val="single"/>
        </w:rPr>
      </w:pPr>
    </w:p>
    <w:p w14:paraId="5DC670CF">
      <w:pPr>
        <w:shd w:val="clear" w:fill="FFFFFF" w:themeFill="background1"/>
        <w:jc w:val="center"/>
        <w:rPr>
          <w:rFonts w:ascii="宋体" w:hAnsi="宋体"/>
          <w:color w:val="auto"/>
          <w:sz w:val="72"/>
          <w:szCs w:val="72"/>
          <w:highlight w:val="none"/>
          <w:u w:val="single"/>
        </w:rPr>
      </w:pPr>
    </w:p>
    <w:p w14:paraId="5DADF4BD">
      <w:pPr>
        <w:shd w:val="clear" w:fill="FFFFFF" w:themeFill="background1"/>
        <w:jc w:val="center"/>
        <w:rPr>
          <w:rFonts w:ascii="宋体" w:hAnsi="宋体"/>
          <w:color w:val="auto"/>
          <w:sz w:val="72"/>
          <w:szCs w:val="72"/>
          <w:highlight w:val="none"/>
          <w:u w:val="single"/>
        </w:rPr>
      </w:pPr>
    </w:p>
    <w:p w14:paraId="4D32763B">
      <w:pPr>
        <w:pStyle w:val="3"/>
        <w:shd w:val="clear" w:fill="FFFFFF" w:themeFill="background1"/>
        <w:jc w:val="center"/>
        <w:rPr>
          <w:rFonts w:ascii="宋体" w:hAnsi="宋体"/>
          <w:color w:val="auto"/>
          <w:sz w:val="84"/>
          <w:szCs w:val="84"/>
          <w:highlight w:val="none"/>
        </w:rPr>
      </w:pPr>
      <w:bookmarkStart w:id="1745" w:name="_Toc43476025"/>
      <w:bookmarkEnd w:id="1745"/>
      <w:r>
        <w:rPr>
          <w:rFonts w:hint="eastAsia"/>
          <w:color w:val="auto"/>
          <w:sz w:val="84"/>
          <w:szCs w:val="84"/>
          <w:highlight w:val="none"/>
        </w:rPr>
        <w:t>第二卷</w:t>
      </w:r>
    </w:p>
    <w:p w14:paraId="514FBEDE">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046383DB">
      <w:pPr>
        <w:shd w:val="clear" w:fill="FFFFFF" w:themeFill="background1"/>
        <w:jc w:val="center"/>
        <w:rPr>
          <w:rFonts w:ascii="宋体" w:hAnsi="宋体"/>
          <w:color w:val="auto"/>
          <w:sz w:val="72"/>
          <w:szCs w:val="72"/>
          <w:highlight w:val="none"/>
          <w:u w:val="single"/>
        </w:rPr>
      </w:pPr>
    </w:p>
    <w:p w14:paraId="26996A0A">
      <w:pPr>
        <w:shd w:val="clear" w:fill="FFFFFF" w:themeFill="background1"/>
        <w:jc w:val="center"/>
        <w:rPr>
          <w:rFonts w:ascii="宋体" w:hAnsi="宋体"/>
          <w:color w:val="auto"/>
          <w:sz w:val="72"/>
          <w:szCs w:val="72"/>
          <w:highlight w:val="none"/>
          <w:u w:val="single"/>
        </w:rPr>
      </w:pPr>
    </w:p>
    <w:p w14:paraId="789A81A9">
      <w:pPr>
        <w:shd w:val="clear" w:fill="FFFFFF" w:themeFill="background1"/>
        <w:jc w:val="center"/>
        <w:rPr>
          <w:rFonts w:ascii="宋体" w:hAnsi="宋体"/>
          <w:color w:val="auto"/>
          <w:sz w:val="72"/>
          <w:szCs w:val="72"/>
          <w:highlight w:val="none"/>
          <w:u w:val="single"/>
        </w:rPr>
      </w:pPr>
    </w:p>
    <w:p w14:paraId="36A0D9A9">
      <w:pPr>
        <w:shd w:val="clear" w:fill="FFFFFF" w:themeFill="background1"/>
        <w:jc w:val="center"/>
        <w:rPr>
          <w:rFonts w:ascii="宋体" w:hAnsi="宋体"/>
          <w:color w:val="auto"/>
          <w:sz w:val="72"/>
          <w:szCs w:val="72"/>
          <w:highlight w:val="none"/>
          <w:u w:val="single"/>
        </w:rPr>
      </w:pPr>
    </w:p>
    <w:p w14:paraId="56DF41DC">
      <w:pPr>
        <w:pStyle w:val="3"/>
        <w:shd w:val="clear" w:fill="FFFFFF" w:themeFill="background1"/>
        <w:jc w:val="center"/>
        <w:rPr>
          <w:color w:val="auto"/>
          <w:highlight w:val="none"/>
        </w:rPr>
      </w:pPr>
      <w:bookmarkStart w:id="1746" w:name="_Toc43476026"/>
      <w:bookmarkEnd w:id="1746"/>
      <w:r>
        <w:rPr>
          <w:rFonts w:hint="eastAsia"/>
          <w:color w:val="auto"/>
          <w:highlight w:val="none"/>
        </w:rPr>
        <w:t>第六章图纸（另册）</w:t>
      </w:r>
    </w:p>
    <w:p w14:paraId="0FA0A62A">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0B13211F">
      <w:pPr>
        <w:shd w:val="clear" w:fill="FFFFFF" w:themeFill="background1"/>
        <w:jc w:val="center"/>
        <w:rPr>
          <w:rFonts w:ascii="宋体" w:hAnsi="宋体"/>
          <w:color w:val="auto"/>
          <w:sz w:val="72"/>
          <w:szCs w:val="72"/>
          <w:highlight w:val="none"/>
          <w:u w:val="single"/>
        </w:rPr>
      </w:pPr>
    </w:p>
    <w:p w14:paraId="5FF2C957">
      <w:pPr>
        <w:shd w:val="clear" w:fill="FFFFFF" w:themeFill="background1"/>
        <w:jc w:val="center"/>
        <w:rPr>
          <w:rFonts w:ascii="宋体" w:hAnsi="宋体"/>
          <w:color w:val="auto"/>
          <w:sz w:val="72"/>
          <w:szCs w:val="72"/>
          <w:highlight w:val="none"/>
          <w:u w:val="single"/>
        </w:rPr>
      </w:pPr>
    </w:p>
    <w:p w14:paraId="488F8D61">
      <w:pPr>
        <w:shd w:val="clear" w:fill="FFFFFF" w:themeFill="background1"/>
        <w:jc w:val="center"/>
        <w:rPr>
          <w:rFonts w:ascii="宋体" w:hAnsi="宋体"/>
          <w:color w:val="auto"/>
          <w:sz w:val="72"/>
          <w:szCs w:val="72"/>
          <w:highlight w:val="none"/>
          <w:u w:val="single"/>
        </w:rPr>
      </w:pPr>
    </w:p>
    <w:p w14:paraId="1C756B2E">
      <w:pPr>
        <w:shd w:val="clear" w:fill="FFFFFF" w:themeFill="background1"/>
        <w:jc w:val="center"/>
        <w:rPr>
          <w:rFonts w:ascii="宋体" w:hAnsi="宋体"/>
          <w:color w:val="auto"/>
          <w:sz w:val="72"/>
          <w:szCs w:val="72"/>
          <w:highlight w:val="none"/>
          <w:u w:val="single"/>
        </w:rPr>
      </w:pPr>
    </w:p>
    <w:p w14:paraId="642A73C5">
      <w:pPr>
        <w:pStyle w:val="3"/>
        <w:shd w:val="clear" w:fill="FFFFFF" w:themeFill="background1"/>
        <w:jc w:val="center"/>
        <w:rPr>
          <w:color w:val="auto"/>
          <w:sz w:val="84"/>
          <w:szCs w:val="84"/>
          <w:highlight w:val="none"/>
        </w:rPr>
      </w:pPr>
      <w:bookmarkStart w:id="1747" w:name="_Toc43476027"/>
      <w:bookmarkEnd w:id="1747"/>
      <w:r>
        <w:rPr>
          <w:rFonts w:hint="eastAsia"/>
          <w:color w:val="auto"/>
          <w:sz w:val="84"/>
          <w:szCs w:val="84"/>
          <w:highlight w:val="none"/>
        </w:rPr>
        <w:t>第三卷</w:t>
      </w:r>
    </w:p>
    <w:p w14:paraId="733DA45F">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426A6052">
      <w:pPr>
        <w:shd w:val="clear" w:fill="FFFFFF" w:themeFill="background1"/>
        <w:jc w:val="center"/>
        <w:rPr>
          <w:rFonts w:ascii="宋体" w:hAnsi="宋体"/>
          <w:color w:val="auto"/>
          <w:sz w:val="72"/>
          <w:szCs w:val="72"/>
          <w:highlight w:val="none"/>
          <w:u w:val="single"/>
        </w:rPr>
      </w:pPr>
    </w:p>
    <w:p w14:paraId="3410E7DF">
      <w:pPr>
        <w:shd w:val="clear" w:fill="FFFFFF" w:themeFill="background1"/>
        <w:jc w:val="center"/>
        <w:rPr>
          <w:rFonts w:ascii="宋体" w:hAnsi="宋体"/>
          <w:color w:val="auto"/>
          <w:sz w:val="72"/>
          <w:szCs w:val="72"/>
          <w:highlight w:val="none"/>
          <w:u w:val="single"/>
        </w:rPr>
      </w:pPr>
    </w:p>
    <w:p w14:paraId="266B1B41">
      <w:pPr>
        <w:shd w:val="clear" w:fill="FFFFFF" w:themeFill="background1"/>
        <w:jc w:val="center"/>
        <w:rPr>
          <w:rFonts w:ascii="宋体" w:hAnsi="宋体"/>
          <w:color w:val="auto"/>
          <w:sz w:val="72"/>
          <w:szCs w:val="72"/>
          <w:highlight w:val="none"/>
          <w:u w:val="single"/>
        </w:rPr>
      </w:pPr>
    </w:p>
    <w:p w14:paraId="6E815961">
      <w:pPr>
        <w:shd w:val="clear" w:fill="FFFFFF" w:themeFill="background1"/>
        <w:jc w:val="center"/>
        <w:rPr>
          <w:rFonts w:ascii="宋体" w:hAnsi="宋体"/>
          <w:color w:val="auto"/>
          <w:sz w:val="72"/>
          <w:szCs w:val="72"/>
          <w:highlight w:val="none"/>
          <w:u w:val="single"/>
        </w:rPr>
      </w:pPr>
    </w:p>
    <w:p w14:paraId="0600117C">
      <w:pPr>
        <w:pStyle w:val="3"/>
        <w:shd w:val="clear" w:fill="FFFFFF" w:themeFill="background1"/>
        <w:jc w:val="center"/>
        <w:rPr>
          <w:color w:val="auto"/>
          <w:highlight w:val="none"/>
        </w:rPr>
      </w:pPr>
      <w:bookmarkStart w:id="1748" w:name="_Toc43476028"/>
      <w:bookmarkEnd w:id="1748"/>
      <w:r>
        <w:rPr>
          <w:rFonts w:hint="eastAsia"/>
          <w:color w:val="auto"/>
          <w:highlight w:val="none"/>
        </w:rPr>
        <w:t>第七章技术规范（自行收集）</w:t>
      </w:r>
    </w:p>
    <w:p w14:paraId="6242CB03">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2683BF38">
      <w:pPr>
        <w:shd w:val="clear" w:fill="FFFFFF" w:themeFill="background1"/>
        <w:jc w:val="center"/>
        <w:rPr>
          <w:rFonts w:ascii="宋体" w:hAnsi="宋体"/>
          <w:color w:val="auto"/>
          <w:sz w:val="72"/>
          <w:szCs w:val="72"/>
          <w:highlight w:val="none"/>
          <w:u w:val="single"/>
        </w:rPr>
      </w:pPr>
    </w:p>
    <w:p w14:paraId="2664B116">
      <w:pPr>
        <w:shd w:val="clear" w:fill="FFFFFF" w:themeFill="background1"/>
        <w:jc w:val="center"/>
        <w:rPr>
          <w:rFonts w:ascii="宋体" w:hAnsi="宋体"/>
          <w:color w:val="auto"/>
          <w:sz w:val="72"/>
          <w:szCs w:val="72"/>
          <w:highlight w:val="none"/>
          <w:u w:val="single"/>
        </w:rPr>
      </w:pPr>
    </w:p>
    <w:p w14:paraId="5E9BF731">
      <w:pPr>
        <w:shd w:val="clear" w:fill="FFFFFF" w:themeFill="background1"/>
        <w:jc w:val="center"/>
        <w:rPr>
          <w:rFonts w:ascii="宋体" w:hAnsi="宋体"/>
          <w:color w:val="auto"/>
          <w:sz w:val="72"/>
          <w:szCs w:val="72"/>
          <w:highlight w:val="none"/>
          <w:u w:val="single"/>
        </w:rPr>
      </w:pPr>
    </w:p>
    <w:p w14:paraId="6CA88511">
      <w:pPr>
        <w:shd w:val="clear" w:fill="FFFFFF" w:themeFill="background1"/>
        <w:jc w:val="center"/>
        <w:rPr>
          <w:rFonts w:ascii="宋体" w:hAnsi="宋体"/>
          <w:color w:val="auto"/>
          <w:sz w:val="72"/>
          <w:szCs w:val="72"/>
          <w:highlight w:val="none"/>
          <w:u w:val="single"/>
        </w:rPr>
      </w:pPr>
    </w:p>
    <w:p w14:paraId="6F8BA423">
      <w:pPr>
        <w:pStyle w:val="3"/>
        <w:shd w:val="clear" w:fill="FFFFFF" w:themeFill="background1"/>
        <w:jc w:val="center"/>
        <w:rPr>
          <w:color w:val="auto"/>
          <w:highlight w:val="none"/>
        </w:rPr>
      </w:pPr>
      <w:bookmarkStart w:id="1749" w:name="_Toc43476029"/>
      <w:bookmarkEnd w:id="1749"/>
      <w:r>
        <w:rPr>
          <w:rFonts w:hint="eastAsia"/>
          <w:color w:val="auto"/>
          <w:highlight w:val="none"/>
        </w:rPr>
        <w:t>第八章  工程量清单计量规则</w:t>
      </w:r>
    </w:p>
    <w:p w14:paraId="4547E89F">
      <w:pPr>
        <w:shd w:val="clear" w:fill="FFFFFF" w:themeFill="background1"/>
        <w:jc w:val="center"/>
        <w:rPr>
          <w:color w:val="auto"/>
          <w:sz w:val="24"/>
          <w:highlight w:val="none"/>
        </w:rPr>
      </w:pPr>
      <w:r>
        <w:rPr>
          <w:color w:val="auto"/>
          <w:sz w:val="24"/>
          <w:highlight w:val="none"/>
        </w:rPr>
        <w:t>（</w:t>
      </w:r>
      <w:r>
        <w:rPr>
          <w:rFonts w:hint="eastAsia"/>
          <w:color w:val="auto"/>
          <w:sz w:val="24"/>
          <w:highlight w:val="none"/>
        </w:rPr>
        <w:t>工程量清单计量规则具体应执行《广东省公路工程造价标准化管理指</w:t>
      </w:r>
    </w:p>
    <w:p w14:paraId="22639C24">
      <w:pPr>
        <w:shd w:val="clear" w:fill="FFFFFF" w:themeFill="background1"/>
        <w:jc w:val="center"/>
        <w:rPr>
          <w:rFonts w:ascii="宋体" w:hAnsi="宋体"/>
          <w:color w:val="auto"/>
          <w:sz w:val="24"/>
          <w:highlight w:val="none"/>
        </w:rPr>
      </w:pPr>
      <w:r>
        <w:rPr>
          <w:rFonts w:hint="eastAsia"/>
          <w:color w:val="auto"/>
          <w:sz w:val="24"/>
          <w:highlight w:val="none"/>
        </w:rPr>
        <w:t>南》（粤交基〔2022〕483 号）及现行的相关补充规定</w:t>
      </w:r>
      <w:r>
        <w:rPr>
          <w:color w:val="auto"/>
          <w:sz w:val="24"/>
          <w:highlight w:val="none"/>
        </w:rPr>
        <w:t>）</w:t>
      </w:r>
    </w:p>
    <w:p w14:paraId="65CB37C1">
      <w:pPr>
        <w:shd w:val="clear" w:fill="FFFFFF" w:themeFill="background1"/>
        <w:rPr>
          <w:color w:val="auto"/>
          <w:highlight w:val="none"/>
        </w:rPr>
      </w:pPr>
    </w:p>
    <w:p w14:paraId="26AF5EE7">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35B097A2">
      <w:pPr>
        <w:shd w:val="clear" w:fill="FFFFFF" w:themeFill="background1"/>
        <w:jc w:val="center"/>
        <w:rPr>
          <w:rFonts w:ascii="宋体" w:hAnsi="宋体"/>
          <w:color w:val="auto"/>
          <w:sz w:val="72"/>
          <w:szCs w:val="72"/>
          <w:highlight w:val="none"/>
          <w:u w:val="single"/>
        </w:rPr>
      </w:pPr>
    </w:p>
    <w:p w14:paraId="716D0DDB">
      <w:pPr>
        <w:shd w:val="clear" w:fill="FFFFFF" w:themeFill="background1"/>
        <w:jc w:val="center"/>
        <w:rPr>
          <w:rFonts w:ascii="宋体" w:hAnsi="宋体"/>
          <w:color w:val="auto"/>
          <w:sz w:val="72"/>
          <w:szCs w:val="72"/>
          <w:highlight w:val="none"/>
          <w:u w:val="single"/>
        </w:rPr>
      </w:pPr>
    </w:p>
    <w:p w14:paraId="3EA096B3">
      <w:pPr>
        <w:shd w:val="clear" w:fill="FFFFFF" w:themeFill="background1"/>
        <w:jc w:val="center"/>
        <w:rPr>
          <w:rFonts w:ascii="宋体" w:hAnsi="宋体"/>
          <w:color w:val="auto"/>
          <w:sz w:val="72"/>
          <w:szCs w:val="72"/>
          <w:highlight w:val="none"/>
          <w:u w:val="single"/>
        </w:rPr>
      </w:pPr>
    </w:p>
    <w:p w14:paraId="68D0042B">
      <w:pPr>
        <w:shd w:val="clear" w:fill="FFFFFF" w:themeFill="background1"/>
        <w:jc w:val="center"/>
        <w:rPr>
          <w:rFonts w:ascii="宋体" w:hAnsi="宋体"/>
          <w:color w:val="auto"/>
          <w:sz w:val="72"/>
          <w:szCs w:val="72"/>
          <w:highlight w:val="none"/>
          <w:u w:val="single"/>
        </w:rPr>
      </w:pPr>
    </w:p>
    <w:p w14:paraId="46F81D7E">
      <w:pPr>
        <w:pStyle w:val="3"/>
        <w:shd w:val="clear" w:fill="FFFFFF" w:themeFill="background1"/>
        <w:jc w:val="center"/>
        <w:rPr>
          <w:color w:val="auto"/>
          <w:sz w:val="84"/>
          <w:szCs w:val="84"/>
          <w:highlight w:val="none"/>
        </w:rPr>
      </w:pPr>
      <w:bookmarkStart w:id="1750" w:name="_Toc43476030"/>
      <w:bookmarkEnd w:id="1750"/>
      <w:r>
        <w:rPr>
          <w:rFonts w:hint="eastAsia"/>
          <w:color w:val="auto"/>
          <w:sz w:val="84"/>
          <w:szCs w:val="84"/>
          <w:highlight w:val="none"/>
        </w:rPr>
        <w:t>第四卷</w:t>
      </w:r>
    </w:p>
    <w:p w14:paraId="0D79E60D">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5098FDE9">
      <w:pPr>
        <w:shd w:val="clear" w:fill="FFFFFF" w:themeFill="background1"/>
        <w:jc w:val="center"/>
        <w:rPr>
          <w:rFonts w:ascii="宋体" w:hAnsi="宋体"/>
          <w:color w:val="auto"/>
          <w:sz w:val="72"/>
          <w:szCs w:val="72"/>
          <w:highlight w:val="none"/>
          <w:u w:val="single"/>
        </w:rPr>
      </w:pPr>
    </w:p>
    <w:p w14:paraId="163F7D9C">
      <w:pPr>
        <w:shd w:val="clear" w:fill="FFFFFF" w:themeFill="background1"/>
        <w:jc w:val="center"/>
        <w:rPr>
          <w:rFonts w:ascii="宋体" w:hAnsi="宋体"/>
          <w:color w:val="auto"/>
          <w:sz w:val="72"/>
          <w:szCs w:val="72"/>
          <w:highlight w:val="none"/>
          <w:u w:val="single"/>
        </w:rPr>
      </w:pPr>
    </w:p>
    <w:p w14:paraId="421528F6">
      <w:pPr>
        <w:shd w:val="clear" w:fill="FFFFFF" w:themeFill="background1"/>
        <w:jc w:val="center"/>
        <w:rPr>
          <w:rFonts w:ascii="宋体" w:hAnsi="宋体"/>
          <w:color w:val="auto"/>
          <w:sz w:val="72"/>
          <w:szCs w:val="72"/>
          <w:highlight w:val="none"/>
          <w:u w:val="single"/>
        </w:rPr>
      </w:pPr>
    </w:p>
    <w:p w14:paraId="6E788808">
      <w:pPr>
        <w:shd w:val="clear" w:fill="FFFFFF" w:themeFill="background1"/>
        <w:jc w:val="center"/>
        <w:rPr>
          <w:rFonts w:ascii="宋体" w:hAnsi="宋体"/>
          <w:color w:val="auto"/>
          <w:sz w:val="72"/>
          <w:szCs w:val="72"/>
          <w:highlight w:val="none"/>
          <w:u w:val="single"/>
        </w:rPr>
      </w:pPr>
    </w:p>
    <w:p w14:paraId="7C114794">
      <w:pPr>
        <w:pStyle w:val="3"/>
        <w:shd w:val="clear" w:fill="FFFFFF" w:themeFill="background1"/>
        <w:jc w:val="center"/>
        <w:rPr>
          <w:color w:val="auto"/>
          <w:highlight w:val="none"/>
        </w:rPr>
      </w:pPr>
      <w:bookmarkStart w:id="1751" w:name="_Toc43476031"/>
      <w:bookmarkEnd w:id="1751"/>
      <w:r>
        <w:rPr>
          <w:rFonts w:hint="eastAsia"/>
          <w:color w:val="auto"/>
          <w:highlight w:val="none"/>
        </w:rPr>
        <w:t>第九章投标文件格式</w:t>
      </w:r>
    </w:p>
    <w:p w14:paraId="7D070061">
      <w:pPr>
        <w:shd w:val="clear" w:fill="FFFFFF" w:themeFill="background1"/>
        <w:adjustRightInd w:val="0"/>
        <w:snapToGrid w:val="0"/>
        <w:spacing w:line="360" w:lineRule="auto"/>
        <w:rPr>
          <w:rFonts w:ascii="宋体" w:hAnsi="宋体"/>
          <w:color w:val="auto"/>
          <w:sz w:val="24"/>
          <w:highlight w:val="none"/>
        </w:rPr>
      </w:pPr>
      <w:r>
        <w:rPr>
          <w:rFonts w:hint="eastAsia" w:ascii="宋体" w:hAnsi="宋体"/>
          <w:color w:val="auto"/>
          <w:sz w:val="24"/>
          <w:highlight w:val="none"/>
        </w:rPr>
        <w:br w:type="page"/>
      </w:r>
    </w:p>
    <w:p w14:paraId="7CAA5633">
      <w:pPr>
        <w:shd w:val="clear" w:fill="FFFFFF" w:themeFill="background1"/>
        <w:spacing w:line="360" w:lineRule="auto"/>
        <w:ind w:firstLine="643" w:firstLineChars="200"/>
        <w:jc w:val="center"/>
        <w:rPr>
          <w:rFonts w:ascii="宋体" w:hAnsi="宋体"/>
          <w:b/>
          <w:color w:val="auto"/>
          <w:sz w:val="32"/>
          <w:szCs w:val="32"/>
          <w:highlight w:val="none"/>
          <w:u w:val="single"/>
        </w:rPr>
      </w:pPr>
    </w:p>
    <w:p w14:paraId="25EB3104">
      <w:pPr>
        <w:shd w:val="clear" w:fill="FFFFFF" w:themeFill="background1"/>
        <w:spacing w:line="360" w:lineRule="auto"/>
        <w:ind w:firstLine="883" w:firstLineChars="200"/>
        <w:jc w:val="center"/>
        <w:rPr>
          <w:rFonts w:ascii="宋体" w:hAnsi="宋体"/>
          <w:b/>
          <w:color w:val="auto"/>
          <w:sz w:val="44"/>
          <w:szCs w:val="44"/>
          <w:highlight w:val="none"/>
          <w:u w:val="single"/>
        </w:rPr>
      </w:pPr>
      <w:r>
        <w:rPr>
          <w:rFonts w:hint="eastAsia" w:ascii="宋体" w:hAnsi="宋体"/>
          <w:b/>
          <w:color w:val="auto"/>
          <w:sz w:val="44"/>
          <w:szCs w:val="44"/>
          <w:highlight w:val="none"/>
          <w:u w:val="single"/>
        </w:rPr>
        <w:t>广东省</w:t>
      </w:r>
    </w:p>
    <w:p w14:paraId="26AAF96D">
      <w:pPr>
        <w:shd w:val="clear" w:fill="FFFFFF" w:themeFill="background1"/>
        <w:spacing w:line="360" w:lineRule="auto"/>
        <w:ind w:firstLine="883" w:firstLineChars="200"/>
        <w:jc w:val="center"/>
        <w:rPr>
          <w:rFonts w:ascii="宋体" w:hAnsi="宋体"/>
          <w:b/>
          <w:color w:val="auto"/>
          <w:sz w:val="44"/>
          <w:szCs w:val="44"/>
          <w:highlight w:val="none"/>
          <w:u w:val="single"/>
        </w:rPr>
      </w:pPr>
    </w:p>
    <w:p w14:paraId="6F9F3371">
      <w:pPr>
        <w:shd w:val="clear" w:fill="FFFFFF" w:themeFill="background1"/>
        <w:spacing w:line="360" w:lineRule="auto"/>
        <w:ind w:firstLine="883" w:firstLineChars="200"/>
        <w:jc w:val="center"/>
        <w:rPr>
          <w:rFonts w:ascii="宋体" w:hAnsi="宋体"/>
          <w:b/>
          <w:color w:val="auto"/>
          <w:sz w:val="32"/>
          <w:szCs w:val="32"/>
          <w:highlight w:val="none"/>
        </w:rPr>
      </w:pPr>
      <w:r>
        <w:rPr>
          <w:rFonts w:hint="eastAsia" w:ascii="宋体" w:hAnsi="宋体"/>
          <w:b/>
          <w:color w:val="auto"/>
          <w:sz w:val="44"/>
          <w:szCs w:val="44"/>
          <w:highlight w:val="none"/>
          <w:u w:val="single"/>
        </w:rPr>
        <w:t xml:space="preserve">     </w:t>
      </w:r>
      <w:r>
        <w:rPr>
          <w:rFonts w:ascii="宋体" w:hAnsi="宋体"/>
          <w:b/>
          <w:color w:val="auto"/>
          <w:sz w:val="44"/>
          <w:szCs w:val="44"/>
          <w:highlight w:val="none"/>
          <w:u w:val="single"/>
        </w:rPr>
        <w:t>（项目名称）</w:t>
      </w:r>
      <w:r>
        <w:rPr>
          <w:rFonts w:hint="eastAsia" w:ascii="宋体" w:hAnsi="宋体"/>
          <w:b/>
          <w:color w:val="auto"/>
          <w:sz w:val="44"/>
          <w:szCs w:val="44"/>
          <w:highlight w:val="none"/>
          <w:u w:val="single"/>
        </w:rPr>
        <w:t xml:space="preserve">    </w:t>
      </w:r>
      <w:r>
        <w:rPr>
          <w:rFonts w:hint="eastAsia" w:ascii="宋体" w:hAnsi="宋体"/>
          <w:b/>
          <w:color w:val="auto"/>
          <w:sz w:val="44"/>
          <w:szCs w:val="44"/>
          <w:highlight w:val="none"/>
        </w:rPr>
        <w:t>施工招标</w:t>
      </w:r>
    </w:p>
    <w:p w14:paraId="4FFC774E">
      <w:pPr>
        <w:shd w:val="clear" w:fill="FFFFFF" w:themeFill="background1"/>
        <w:spacing w:line="360" w:lineRule="auto"/>
        <w:ind w:firstLine="420" w:firstLineChars="200"/>
        <w:rPr>
          <w:rFonts w:ascii="宋体" w:hAnsi="宋体"/>
          <w:color w:val="auto"/>
          <w:szCs w:val="21"/>
          <w:highlight w:val="none"/>
        </w:rPr>
      </w:pPr>
    </w:p>
    <w:p w14:paraId="05DCDF0B">
      <w:pPr>
        <w:shd w:val="clear" w:fill="FFFFFF" w:themeFill="background1"/>
        <w:spacing w:line="360" w:lineRule="auto"/>
        <w:ind w:firstLine="420" w:firstLineChars="200"/>
        <w:rPr>
          <w:rFonts w:ascii="宋体" w:hAnsi="宋体"/>
          <w:color w:val="auto"/>
          <w:szCs w:val="21"/>
          <w:highlight w:val="none"/>
        </w:rPr>
      </w:pPr>
    </w:p>
    <w:p w14:paraId="76837CB0">
      <w:pPr>
        <w:shd w:val="clear" w:fill="FFFFFF" w:themeFill="background1"/>
        <w:spacing w:line="360" w:lineRule="auto"/>
        <w:jc w:val="center"/>
        <w:rPr>
          <w:rFonts w:ascii="宋体" w:hAnsi="宋体"/>
          <w:b/>
          <w:color w:val="auto"/>
          <w:sz w:val="52"/>
          <w:szCs w:val="52"/>
          <w:highlight w:val="none"/>
        </w:rPr>
      </w:pPr>
    </w:p>
    <w:p w14:paraId="44E133D3">
      <w:pPr>
        <w:shd w:val="clear" w:fill="FFFFFF" w:themeFill="background1"/>
        <w:spacing w:line="360" w:lineRule="auto"/>
        <w:jc w:val="center"/>
        <w:rPr>
          <w:rFonts w:ascii="宋体" w:hAnsi="宋体"/>
          <w:b/>
          <w:color w:val="auto"/>
          <w:sz w:val="52"/>
          <w:szCs w:val="52"/>
          <w:highlight w:val="none"/>
        </w:rPr>
      </w:pPr>
    </w:p>
    <w:p w14:paraId="43065DB5">
      <w:pPr>
        <w:shd w:val="clear" w:fill="FFFFFF" w:themeFill="background1"/>
        <w:jc w:val="center"/>
        <w:rPr>
          <w:rFonts w:ascii="宋体" w:hAnsi="宋体"/>
          <w:b/>
          <w:bCs/>
          <w:color w:val="auto"/>
          <w:sz w:val="48"/>
          <w:szCs w:val="48"/>
          <w:highlight w:val="none"/>
        </w:rPr>
      </w:pPr>
      <w:r>
        <w:rPr>
          <w:rFonts w:hint="eastAsia" w:ascii="宋体" w:hAnsi="宋体"/>
          <w:b/>
          <w:bCs/>
          <w:color w:val="auto"/>
          <w:sz w:val="48"/>
          <w:szCs w:val="48"/>
          <w:highlight w:val="none"/>
        </w:rPr>
        <w:t>投 标 文 件</w:t>
      </w:r>
    </w:p>
    <w:p w14:paraId="17A97832">
      <w:pPr>
        <w:pStyle w:val="55"/>
        <w:shd w:val="clear" w:fill="FFFFFF" w:themeFill="background1"/>
        <w:rPr>
          <w:color w:val="auto"/>
          <w:highlight w:val="none"/>
        </w:rPr>
      </w:pPr>
    </w:p>
    <w:p w14:paraId="149BF3C8">
      <w:pPr>
        <w:shd w:val="clear" w:fill="FFFFFF" w:themeFill="background1"/>
        <w:jc w:val="center"/>
        <w:rPr>
          <w:rFonts w:ascii="宋体" w:hAnsi="宋体"/>
          <w:b/>
          <w:bCs/>
          <w:color w:val="auto"/>
          <w:sz w:val="32"/>
          <w:szCs w:val="32"/>
          <w:highlight w:val="none"/>
        </w:rPr>
      </w:pPr>
      <w:r>
        <w:rPr>
          <w:rFonts w:hint="eastAsia" w:ascii="宋体" w:hAnsi="宋体"/>
          <w:b/>
          <w:bCs/>
          <w:color w:val="auto"/>
          <w:sz w:val="32"/>
          <w:szCs w:val="32"/>
          <w:highlight w:val="none"/>
        </w:rPr>
        <w:t>（第一信封：商务及技术文件）</w:t>
      </w:r>
    </w:p>
    <w:p w14:paraId="43A869E3">
      <w:pPr>
        <w:shd w:val="clear" w:fill="FFFFFF" w:themeFill="background1"/>
        <w:spacing w:line="360" w:lineRule="auto"/>
        <w:rPr>
          <w:rFonts w:ascii="宋体" w:hAnsi="宋体"/>
          <w:b/>
          <w:color w:val="auto"/>
          <w:sz w:val="32"/>
          <w:szCs w:val="32"/>
          <w:highlight w:val="none"/>
        </w:rPr>
      </w:pPr>
    </w:p>
    <w:p w14:paraId="34BFA783">
      <w:pPr>
        <w:shd w:val="clear" w:fill="FFFFFF" w:themeFill="background1"/>
        <w:spacing w:line="360" w:lineRule="auto"/>
        <w:rPr>
          <w:rFonts w:ascii="宋体" w:hAnsi="宋体"/>
          <w:b/>
          <w:color w:val="auto"/>
          <w:sz w:val="32"/>
          <w:szCs w:val="32"/>
          <w:highlight w:val="none"/>
        </w:rPr>
      </w:pPr>
    </w:p>
    <w:p w14:paraId="6E0BAD87">
      <w:pPr>
        <w:shd w:val="clear" w:fill="FFFFFF" w:themeFill="background1"/>
        <w:spacing w:line="360" w:lineRule="auto"/>
        <w:rPr>
          <w:rFonts w:ascii="宋体" w:hAnsi="宋体"/>
          <w:b/>
          <w:color w:val="auto"/>
          <w:sz w:val="32"/>
          <w:szCs w:val="32"/>
          <w:highlight w:val="none"/>
        </w:rPr>
      </w:pPr>
    </w:p>
    <w:p w14:paraId="0E368BD1">
      <w:pPr>
        <w:shd w:val="clear" w:fill="FFFFFF" w:themeFill="background1"/>
        <w:spacing w:line="360" w:lineRule="auto"/>
        <w:rPr>
          <w:rFonts w:ascii="宋体" w:hAnsi="宋体"/>
          <w:b/>
          <w:color w:val="auto"/>
          <w:sz w:val="32"/>
          <w:szCs w:val="32"/>
          <w:highlight w:val="none"/>
        </w:rPr>
      </w:pPr>
    </w:p>
    <w:p w14:paraId="0B73B7AA">
      <w:pPr>
        <w:shd w:val="clear" w:fill="FFFFFF" w:themeFill="background1"/>
        <w:spacing w:line="360" w:lineRule="auto"/>
        <w:rPr>
          <w:rFonts w:ascii="宋体" w:hAnsi="宋体"/>
          <w:b/>
          <w:color w:val="auto"/>
          <w:sz w:val="32"/>
          <w:szCs w:val="32"/>
          <w:highlight w:val="none"/>
        </w:rPr>
      </w:pPr>
    </w:p>
    <w:p w14:paraId="1CD5BABD">
      <w:pPr>
        <w:shd w:val="clear" w:fill="FFFFFF" w:themeFill="background1"/>
        <w:spacing w:line="360" w:lineRule="auto"/>
        <w:rPr>
          <w:rFonts w:ascii="宋体" w:hAnsi="宋体"/>
          <w:b/>
          <w:color w:val="auto"/>
          <w:sz w:val="32"/>
          <w:szCs w:val="32"/>
          <w:highlight w:val="none"/>
        </w:rPr>
      </w:pPr>
    </w:p>
    <w:p w14:paraId="1AE441EB">
      <w:pPr>
        <w:shd w:val="clear" w:fill="FFFFFF" w:themeFill="background1"/>
        <w:spacing w:line="360" w:lineRule="auto"/>
        <w:rPr>
          <w:rFonts w:ascii="宋体" w:hAnsi="宋体"/>
          <w:b/>
          <w:color w:val="auto"/>
          <w:sz w:val="32"/>
          <w:szCs w:val="32"/>
          <w:highlight w:val="none"/>
        </w:rPr>
      </w:pPr>
    </w:p>
    <w:p w14:paraId="11DA18F0">
      <w:pPr>
        <w:shd w:val="clear" w:fill="FFFFFF" w:themeFill="background1"/>
        <w:tabs>
          <w:tab w:val="left" w:pos="3848"/>
        </w:tabs>
        <w:spacing w:before="101" w:line="380" w:lineRule="auto"/>
        <w:ind w:left="2555" w:right="776" w:hanging="1614"/>
        <w:rPr>
          <w:rFonts w:ascii="宋体" w:hAnsi="宋体" w:cs="宋体"/>
          <w:b/>
          <w:bCs/>
          <w:color w:val="auto"/>
          <w:sz w:val="31"/>
          <w:szCs w:val="31"/>
          <w:highlight w:val="none"/>
        </w:rPr>
      </w:pPr>
      <w:r>
        <w:rPr>
          <w:rFonts w:ascii="宋体" w:hAnsi="宋体" w:cs="宋体"/>
          <w:b/>
          <w:bCs/>
          <w:color w:val="auto"/>
          <w:spacing w:val="-4"/>
          <w:sz w:val="31"/>
          <w:szCs w:val="31"/>
          <w:highlight w:val="none"/>
        </w:rPr>
        <w:t>投标人：</w:t>
      </w:r>
      <w:r>
        <w:rPr>
          <w:rFonts w:ascii="宋体" w:hAnsi="宋体" w:cs="宋体"/>
          <w:b/>
          <w:bCs/>
          <w:color w:val="auto"/>
          <w:spacing w:val="-4"/>
          <w:sz w:val="31"/>
          <w:szCs w:val="31"/>
          <w:highlight w:val="none"/>
          <w:u w:val="single"/>
        </w:rPr>
        <w:t xml:space="preserve">           </w:t>
      </w:r>
      <w:r>
        <w:rPr>
          <w:rFonts w:ascii="宋体" w:hAnsi="宋体" w:cs="宋体"/>
          <w:b/>
          <w:bCs/>
          <w:color w:val="auto"/>
          <w:spacing w:val="-3"/>
          <w:sz w:val="31"/>
          <w:szCs w:val="31"/>
          <w:highlight w:val="none"/>
          <w:u w:val="single"/>
        </w:rPr>
        <w:t xml:space="preserve"> </w:t>
      </w:r>
      <w:r>
        <w:rPr>
          <w:rFonts w:ascii="宋体" w:hAnsi="宋体" w:cs="宋体"/>
          <w:b/>
          <w:bCs/>
          <w:color w:val="auto"/>
          <w:spacing w:val="-2"/>
          <w:sz w:val="31"/>
          <w:szCs w:val="31"/>
          <w:highlight w:val="none"/>
          <w:u w:val="single"/>
        </w:rPr>
        <w:t xml:space="preserve">              </w:t>
      </w:r>
      <w:r>
        <w:rPr>
          <w:rFonts w:ascii="宋体" w:hAnsi="宋体" w:cs="宋体"/>
          <w:b/>
          <w:bCs/>
          <w:color w:val="auto"/>
          <w:spacing w:val="-2"/>
          <w:sz w:val="31"/>
          <w:szCs w:val="31"/>
          <w:highlight w:val="none"/>
        </w:rPr>
        <w:t>(盖单位章)</w:t>
      </w:r>
      <w:r>
        <w:rPr>
          <w:rFonts w:ascii="宋体" w:hAnsi="宋体" w:cs="宋体"/>
          <w:b/>
          <w:bCs/>
          <w:color w:val="auto"/>
          <w:sz w:val="31"/>
          <w:szCs w:val="31"/>
          <w:highlight w:val="none"/>
        </w:rPr>
        <w:t xml:space="preserve"> </w:t>
      </w:r>
    </w:p>
    <w:p w14:paraId="6A083C99">
      <w:pPr>
        <w:shd w:val="clear" w:fill="FFFFFF" w:themeFill="background1"/>
        <w:tabs>
          <w:tab w:val="left" w:pos="3848"/>
        </w:tabs>
        <w:spacing w:before="101" w:line="380" w:lineRule="auto"/>
        <w:ind w:left="2587" w:leftChars="1232" w:right="776" w:firstLine="103" w:firstLineChars="33"/>
        <w:rPr>
          <w:rFonts w:ascii="宋体" w:hAnsi="宋体" w:cs="宋体"/>
          <w:b/>
          <w:bCs/>
          <w:color w:val="auto"/>
          <w:sz w:val="31"/>
          <w:szCs w:val="31"/>
          <w:highlight w:val="none"/>
        </w:rPr>
      </w:pPr>
      <w:r>
        <w:rPr>
          <w:rFonts w:ascii="宋体" w:hAnsi="宋体" w:cs="宋体"/>
          <w:b/>
          <w:bCs/>
          <w:color w:val="auto"/>
          <w:sz w:val="31"/>
          <w:szCs w:val="31"/>
          <w:highlight w:val="none"/>
          <w:u w:val="single"/>
        </w:rPr>
        <w:tab/>
      </w:r>
      <w:r>
        <w:rPr>
          <w:rFonts w:ascii="宋体" w:hAnsi="宋体" w:cs="宋体"/>
          <w:b/>
          <w:bCs/>
          <w:color w:val="auto"/>
          <w:spacing w:val="-2"/>
          <w:sz w:val="31"/>
          <w:szCs w:val="31"/>
          <w:highlight w:val="none"/>
        </w:rPr>
        <w:t>年</w:t>
      </w:r>
      <w:r>
        <w:rPr>
          <w:rFonts w:ascii="宋体" w:hAnsi="宋体" w:cs="宋体"/>
          <w:b/>
          <w:bCs/>
          <w:color w:val="auto"/>
          <w:spacing w:val="-2"/>
          <w:sz w:val="31"/>
          <w:szCs w:val="31"/>
          <w:highlight w:val="none"/>
          <w:u w:val="single"/>
        </w:rPr>
        <w:t xml:space="preserve">   </w:t>
      </w:r>
      <w:r>
        <w:rPr>
          <w:rFonts w:ascii="宋体" w:hAnsi="宋体" w:cs="宋体"/>
          <w:b/>
          <w:bCs/>
          <w:color w:val="auto"/>
          <w:spacing w:val="-1"/>
          <w:sz w:val="31"/>
          <w:szCs w:val="31"/>
          <w:highlight w:val="none"/>
          <w:u w:val="single"/>
        </w:rPr>
        <w:t xml:space="preserve">   </w:t>
      </w:r>
      <w:r>
        <w:rPr>
          <w:rFonts w:ascii="宋体" w:hAnsi="宋体" w:cs="宋体"/>
          <w:b/>
          <w:bCs/>
          <w:color w:val="auto"/>
          <w:spacing w:val="-1"/>
          <w:sz w:val="31"/>
          <w:szCs w:val="31"/>
          <w:highlight w:val="none"/>
        </w:rPr>
        <w:t>月</w:t>
      </w:r>
      <w:r>
        <w:rPr>
          <w:rFonts w:ascii="宋体" w:hAnsi="宋体" w:cs="宋体"/>
          <w:b/>
          <w:bCs/>
          <w:color w:val="auto"/>
          <w:spacing w:val="-1"/>
          <w:sz w:val="31"/>
          <w:szCs w:val="31"/>
          <w:highlight w:val="none"/>
          <w:u w:val="single"/>
        </w:rPr>
        <w:t xml:space="preserve">      </w:t>
      </w:r>
      <w:r>
        <w:rPr>
          <w:rFonts w:ascii="宋体" w:hAnsi="宋体" w:cs="宋体"/>
          <w:b/>
          <w:bCs/>
          <w:color w:val="auto"/>
          <w:spacing w:val="-1"/>
          <w:sz w:val="31"/>
          <w:szCs w:val="31"/>
          <w:highlight w:val="none"/>
        </w:rPr>
        <w:t xml:space="preserve"> 日</w:t>
      </w:r>
    </w:p>
    <w:p w14:paraId="39A494C7">
      <w:pPr>
        <w:shd w:val="clear" w:fill="FFFFFF" w:themeFill="background1"/>
        <w:rPr>
          <w:b/>
          <w:bCs/>
          <w:color w:val="auto"/>
          <w:highlight w:val="none"/>
        </w:rPr>
        <w:sectPr>
          <w:headerReference r:id="rId11" w:type="default"/>
          <w:footerReference r:id="rId12" w:type="default"/>
          <w:pgSz w:w="11900" w:h="16839"/>
          <w:pgMar w:top="947" w:right="1125" w:bottom="1134" w:left="1420" w:header="707" w:footer="974" w:gutter="0"/>
          <w:cols w:space="720" w:num="1"/>
        </w:sectPr>
      </w:pPr>
    </w:p>
    <w:p w14:paraId="5EDF8EDD">
      <w:pPr>
        <w:shd w:val="clear" w:fill="FFFFFF" w:themeFill="background1"/>
        <w:spacing w:line="360" w:lineRule="auto"/>
        <w:ind w:firstLine="4498" w:firstLineChars="1400"/>
        <w:rPr>
          <w:rFonts w:ascii="宋体" w:hAnsi="宋体"/>
          <w:b/>
          <w:color w:val="auto"/>
          <w:sz w:val="32"/>
          <w:szCs w:val="32"/>
          <w:highlight w:val="none"/>
        </w:rPr>
      </w:pPr>
    </w:p>
    <w:p w14:paraId="73862FCA">
      <w:pPr>
        <w:shd w:val="clear" w:fill="FFFFFF" w:themeFill="background1"/>
        <w:spacing w:line="360" w:lineRule="auto"/>
        <w:jc w:val="center"/>
        <w:rPr>
          <w:rFonts w:ascii="宋体" w:hAnsi="宋体"/>
          <w:b/>
          <w:color w:val="auto"/>
          <w:sz w:val="36"/>
          <w:szCs w:val="36"/>
          <w:highlight w:val="none"/>
        </w:rPr>
      </w:pPr>
      <w:r>
        <w:rPr>
          <w:rFonts w:ascii="宋体" w:hAnsi="宋体"/>
          <w:b/>
          <w:color w:val="auto"/>
          <w:sz w:val="32"/>
          <w:szCs w:val="32"/>
          <w:highlight w:val="none"/>
        </w:rPr>
        <w:br w:type="page"/>
      </w:r>
      <w:r>
        <w:rPr>
          <w:rFonts w:hint="eastAsia" w:ascii="宋体" w:hAnsi="宋体"/>
          <w:b/>
          <w:color w:val="auto"/>
          <w:sz w:val="36"/>
          <w:szCs w:val="36"/>
          <w:highlight w:val="none"/>
        </w:rPr>
        <w:t xml:space="preserve">目  </w:t>
      </w:r>
      <w:r>
        <w:rPr>
          <w:rFonts w:hint="eastAsia" w:ascii="宋体" w:hAnsi="宋体"/>
          <w:b/>
          <w:color w:val="auto"/>
          <w:sz w:val="36"/>
          <w:szCs w:val="36"/>
          <w:highlight w:val="none"/>
        </w:rPr>
        <w:tab/>
      </w:r>
      <w:r>
        <w:rPr>
          <w:rFonts w:hint="eastAsia" w:ascii="宋体" w:hAnsi="宋体"/>
          <w:b/>
          <w:color w:val="auto"/>
          <w:sz w:val="36"/>
          <w:szCs w:val="36"/>
          <w:highlight w:val="none"/>
        </w:rPr>
        <w:t>录</w:t>
      </w:r>
    </w:p>
    <w:p w14:paraId="1D6FC92D">
      <w:pPr>
        <w:pStyle w:val="55"/>
        <w:shd w:val="clear" w:fill="FFFFFF" w:themeFill="background1"/>
        <w:rPr>
          <w:color w:val="auto"/>
          <w:highlight w:val="none"/>
        </w:rPr>
      </w:pPr>
    </w:p>
    <w:p w14:paraId="7DBC2328">
      <w:pPr>
        <w:shd w:val="clear" w:fill="FFFFFF" w:themeFill="background1"/>
        <w:spacing w:line="480" w:lineRule="auto"/>
        <w:rPr>
          <w:color w:val="auto"/>
          <w:sz w:val="24"/>
          <w:highlight w:val="none"/>
        </w:rPr>
      </w:pPr>
      <w:r>
        <w:rPr>
          <w:color w:val="auto"/>
          <w:sz w:val="24"/>
          <w:highlight w:val="none"/>
        </w:rPr>
        <w:t>第一信封</w:t>
      </w:r>
      <w:r>
        <w:rPr>
          <w:rFonts w:hint="eastAsia"/>
          <w:color w:val="auto"/>
          <w:sz w:val="24"/>
          <w:highlight w:val="none"/>
        </w:rPr>
        <w:t>（</w:t>
      </w:r>
      <w:r>
        <w:rPr>
          <w:color w:val="auto"/>
          <w:sz w:val="24"/>
          <w:highlight w:val="none"/>
        </w:rPr>
        <w:t>商务及技术文件</w:t>
      </w:r>
      <w:r>
        <w:rPr>
          <w:rFonts w:hint="eastAsia"/>
          <w:color w:val="auto"/>
          <w:sz w:val="24"/>
          <w:highlight w:val="none"/>
        </w:rPr>
        <w:t>）</w:t>
      </w:r>
    </w:p>
    <w:p w14:paraId="646CEF4F">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一、投标函及投标函附录</w:t>
      </w:r>
    </w:p>
    <w:p w14:paraId="7BA691C3">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二、授权委托书或法定代表人身份证明</w:t>
      </w:r>
    </w:p>
    <w:p w14:paraId="1B1A799C">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三、投标保证金</w:t>
      </w:r>
    </w:p>
    <w:p w14:paraId="0001440A">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四、施工组织设计</w:t>
      </w:r>
    </w:p>
    <w:p w14:paraId="2A7BD5E4">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五、项目管理机构</w:t>
      </w:r>
    </w:p>
    <w:p w14:paraId="64F465AB">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六、拟分包项目情况表</w:t>
      </w:r>
    </w:p>
    <w:p w14:paraId="423EB2DB">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七、资格审查资料</w:t>
      </w:r>
    </w:p>
    <w:p w14:paraId="369392A5">
      <w:pPr>
        <w:shd w:val="clear" w:fill="FFFFFF" w:themeFill="background1"/>
        <w:spacing w:line="480" w:lineRule="auto"/>
        <w:rPr>
          <w:rFonts w:cs="Calibri"/>
          <w:color w:val="auto"/>
          <w:sz w:val="24"/>
          <w:highlight w:val="none"/>
        </w:rPr>
      </w:pPr>
      <w:r>
        <w:rPr>
          <w:rFonts w:hint="eastAsia" w:ascii="宋体" w:hAnsi="宋体" w:cs="宋体"/>
          <w:color w:val="auto"/>
          <w:sz w:val="24"/>
          <w:highlight w:val="none"/>
        </w:rPr>
        <w:t>八、其他资料</w:t>
      </w:r>
    </w:p>
    <w:p w14:paraId="17FE895C">
      <w:pPr>
        <w:shd w:val="clear" w:fill="FFFFFF" w:themeFill="background1"/>
        <w:adjustRightInd w:val="0"/>
        <w:snapToGrid w:val="0"/>
        <w:spacing w:line="360" w:lineRule="auto"/>
        <w:jc w:val="center"/>
        <w:rPr>
          <w:rFonts w:ascii="宋体" w:hAnsi="宋体"/>
          <w:b/>
          <w:color w:val="auto"/>
          <w:sz w:val="28"/>
          <w:szCs w:val="28"/>
          <w:highlight w:val="none"/>
        </w:rPr>
      </w:pPr>
      <w:bookmarkStart w:id="1752" w:name="_Toc234382957"/>
      <w:bookmarkEnd w:id="1752"/>
      <w:r>
        <w:rPr>
          <w:rFonts w:hint="eastAsia" w:ascii="宋体" w:hAnsi="宋体"/>
          <w:color w:val="auto"/>
          <w:sz w:val="24"/>
          <w:highlight w:val="none"/>
        </w:rPr>
        <w:br w:type="page"/>
      </w:r>
      <w:r>
        <w:rPr>
          <w:rFonts w:ascii="宋体" w:hAnsi="宋体"/>
          <w:b/>
          <w:color w:val="auto"/>
          <w:sz w:val="28"/>
          <w:szCs w:val="28"/>
          <w:highlight w:val="none"/>
        </w:rPr>
        <w:t>一、投标函及投标函附录</w:t>
      </w:r>
    </w:p>
    <w:p w14:paraId="3BDED5CB">
      <w:pPr>
        <w:shd w:val="clear" w:fill="FFFFFF" w:themeFill="background1"/>
        <w:jc w:val="center"/>
        <w:rPr>
          <w:rFonts w:ascii="宋体" w:hAnsi="宋体"/>
          <w:b/>
          <w:color w:val="auto"/>
          <w:sz w:val="28"/>
          <w:szCs w:val="28"/>
          <w:highlight w:val="none"/>
        </w:rPr>
      </w:pPr>
      <w:bookmarkStart w:id="1753" w:name="_Toc234382958"/>
      <w:bookmarkEnd w:id="1753"/>
      <w:r>
        <w:rPr>
          <w:rFonts w:ascii="宋体" w:hAnsi="宋体"/>
          <w:b/>
          <w:color w:val="auto"/>
          <w:sz w:val="28"/>
          <w:szCs w:val="28"/>
          <w:highlight w:val="none"/>
        </w:rPr>
        <w:t>（一）投  标  函</w:t>
      </w:r>
    </w:p>
    <w:p w14:paraId="3D6E9EA8">
      <w:pPr>
        <w:shd w:val="clear" w:fill="FFFFFF" w:themeFill="background1"/>
        <w:spacing w:line="360" w:lineRule="exact"/>
        <w:rPr>
          <w:rFonts w:ascii="宋体" w:hAnsi="宋体"/>
          <w:color w:val="auto"/>
          <w:sz w:val="24"/>
          <w:highlight w:val="none"/>
        </w:rPr>
      </w:pPr>
    </w:p>
    <w:p w14:paraId="027AD148">
      <w:pPr>
        <w:shd w:val="clear" w:fill="FFFFFF" w:themeFill="background1"/>
        <w:spacing w:line="360" w:lineRule="exact"/>
        <w:rPr>
          <w:rFonts w:ascii="宋体" w:hAnsi="宋体"/>
          <w:color w:val="auto"/>
          <w:szCs w:val="21"/>
          <w:highlight w:val="none"/>
          <w:u w:val="single"/>
        </w:rPr>
      </w:pPr>
      <w:r>
        <w:rPr>
          <w:rFonts w:ascii="宋体" w:hAnsi="宋体"/>
          <w:color w:val="auto"/>
          <w:szCs w:val="21"/>
          <w:highlight w:val="none"/>
          <w:u w:val="single"/>
        </w:rPr>
        <w:t>（招标人名称）：</w:t>
      </w:r>
    </w:p>
    <w:p w14:paraId="1A017232">
      <w:pPr>
        <w:shd w:val="clear" w:fill="FFFFFF" w:themeFill="background1"/>
        <w:spacing w:line="360" w:lineRule="exact"/>
        <w:rPr>
          <w:rFonts w:ascii="宋体" w:hAnsi="宋体"/>
          <w:color w:val="auto"/>
          <w:szCs w:val="21"/>
          <w:highlight w:val="none"/>
        </w:rPr>
      </w:pPr>
    </w:p>
    <w:p w14:paraId="669B27FD">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r>
        <w:rPr>
          <w:rFonts w:ascii="宋体" w:hAnsi="宋体"/>
          <w:color w:val="auto"/>
          <w:szCs w:val="21"/>
          <w:highlight w:val="none"/>
          <w:u w:val="single"/>
        </w:rPr>
        <w:t xml:space="preserve">        （项目名称）    </w:t>
      </w:r>
      <w:r>
        <w:rPr>
          <w:rFonts w:hint="eastAsia" w:ascii="宋体" w:hAnsi="宋体"/>
          <w:color w:val="auto"/>
          <w:szCs w:val="21"/>
          <w:highlight w:val="none"/>
        </w:rPr>
        <w:t>施工招标</w:t>
      </w:r>
      <w:r>
        <w:rPr>
          <w:rFonts w:ascii="宋体" w:hAnsi="宋体"/>
          <w:color w:val="auto"/>
          <w:szCs w:val="21"/>
          <w:highlight w:val="none"/>
        </w:rPr>
        <w:t>文件的全部内容（含补遗书第</w:t>
      </w:r>
      <w:r>
        <w:rPr>
          <w:rFonts w:hint="eastAsia" w:ascii="宋体" w:hAnsi="宋体"/>
          <w:color w:val="auto"/>
          <w:szCs w:val="21"/>
          <w:highlight w:val="none"/>
          <w:u w:val="single"/>
        </w:rPr>
        <w:t xml:space="preserve">  </w:t>
      </w:r>
      <w:r>
        <w:rPr>
          <w:rFonts w:ascii="宋体" w:hAnsi="宋体"/>
          <w:color w:val="auto"/>
          <w:szCs w:val="21"/>
          <w:highlight w:val="none"/>
        </w:rPr>
        <w:t>号至第</w:t>
      </w:r>
      <w:r>
        <w:rPr>
          <w:rFonts w:hint="eastAsia" w:ascii="宋体" w:hAnsi="宋体"/>
          <w:color w:val="auto"/>
          <w:szCs w:val="21"/>
          <w:highlight w:val="none"/>
          <w:u w:val="single"/>
        </w:rPr>
        <w:t xml:space="preserve">  </w:t>
      </w:r>
      <w:r>
        <w:rPr>
          <w:rFonts w:ascii="宋体" w:hAnsi="宋体"/>
          <w:color w:val="auto"/>
          <w:szCs w:val="21"/>
          <w:highlight w:val="none"/>
        </w:rPr>
        <w:t>号），在考察工程现场后，</w:t>
      </w:r>
      <w:r>
        <w:rPr>
          <w:rFonts w:hint="eastAsia" w:ascii="宋体" w:hAnsi="宋体"/>
          <w:color w:val="auto"/>
          <w:szCs w:val="21"/>
          <w:highlight w:val="none"/>
        </w:rPr>
        <w:t>愿意以第二个信封</w:t>
      </w:r>
      <w:r>
        <w:rPr>
          <w:rFonts w:ascii="宋体" w:hAnsi="宋体"/>
          <w:color w:val="auto"/>
          <w:szCs w:val="21"/>
          <w:highlight w:val="none"/>
        </w:rPr>
        <w:t xml:space="preserve"> (</w:t>
      </w:r>
      <w:r>
        <w:rPr>
          <w:rFonts w:hint="eastAsia" w:ascii="宋体" w:hAnsi="宋体"/>
          <w:color w:val="auto"/>
          <w:szCs w:val="21"/>
          <w:highlight w:val="none"/>
        </w:rPr>
        <w:t>报价文件</w:t>
      </w:r>
      <w:r>
        <w:rPr>
          <w:rFonts w:ascii="宋体" w:hAnsi="宋体"/>
          <w:color w:val="auto"/>
          <w:szCs w:val="21"/>
          <w:highlight w:val="none"/>
        </w:rPr>
        <w:t xml:space="preserve">) </w:t>
      </w:r>
      <w:r>
        <w:rPr>
          <w:rFonts w:hint="eastAsia" w:ascii="宋体" w:hAnsi="宋体"/>
          <w:color w:val="auto"/>
          <w:szCs w:val="21"/>
          <w:highlight w:val="none"/>
        </w:rPr>
        <w:t>中的投标总报价</w:t>
      </w:r>
      <w:r>
        <w:rPr>
          <w:rFonts w:ascii="宋体" w:hAnsi="宋体"/>
          <w:color w:val="auto"/>
          <w:szCs w:val="21"/>
          <w:highlight w:val="none"/>
        </w:rPr>
        <w:t xml:space="preserve"> (</w:t>
      </w:r>
      <w:r>
        <w:rPr>
          <w:rFonts w:hint="eastAsia" w:ascii="宋体" w:hAnsi="宋体"/>
          <w:color w:val="auto"/>
          <w:szCs w:val="21"/>
          <w:highlight w:val="none"/>
        </w:rPr>
        <w:t>或根据招标文件规定修正核实后确定的另一金额</w:t>
      </w:r>
      <w:r>
        <w:rPr>
          <w:rFonts w:ascii="宋体" w:hAnsi="宋体"/>
          <w:color w:val="auto"/>
          <w:szCs w:val="21"/>
          <w:highlight w:val="none"/>
        </w:rPr>
        <w:t xml:space="preserve">)， </w:t>
      </w:r>
      <w:r>
        <w:rPr>
          <w:rFonts w:hint="eastAsia" w:ascii="宋体" w:hAnsi="宋体"/>
          <w:color w:val="auto"/>
          <w:szCs w:val="21"/>
          <w:highlight w:val="none"/>
        </w:rPr>
        <w:t>按合同约定实施和完成承包工程</w:t>
      </w:r>
      <w:r>
        <w:rPr>
          <w:rFonts w:ascii="宋体" w:hAnsi="宋体"/>
          <w:color w:val="auto"/>
          <w:szCs w:val="21"/>
          <w:highlight w:val="none"/>
        </w:rPr>
        <w:t xml:space="preserve">， </w:t>
      </w:r>
      <w:r>
        <w:rPr>
          <w:rFonts w:hint="eastAsia" w:ascii="宋体" w:hAnsi="宋体"/>
          <w:color w:val="auto"/>
          <w:szCs w:val="21"/>
          <w:highlight w:val="none"/>
        </w:rPr>
        <w:t>修补工程中的任何缺陷。</w:t>
      </w:r>
    </w:p>
    <w:p w14:paraId="607D3246">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我方承诺在招标文件规定的投标有效期内不撤销投标文件。</w:t>
      </w:r>
    </w:p>
    <w:p w14:paraId="048A7A5B">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工程质量</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，安全目标：</w:t>
      </w:r>
      <w:r>
        <w:rPr>
          <w:rFonts w:ascii="宋体" w:hAnsi="宋体"/>
          <w:color w:val="auto"/>
          <w:szCs w:val="21"/>
          <w:highlight w:val="none"/>
          <w:u w:val="single"/>
        </w:rPr>
        <w:t xml:space="preserve">       </w:t>
      </w:r>
      <w:r>
        <w:rPr>
          <w:rFonts w:hint="eastAsia" w:ascii="宋体" w:hAnsi="宋体"/>
          <w:color w:val="auto"/>
          <w:szCs w:val="21"/>
          <w:highlight w:val="none"/>
        </w:rPr>
        <w:t>，工期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日历天。</w:t>
      </w:r>
    </w:p>
    <w:p w14:paraId="21CB98E1">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如我方中标，我方承诺</w:t>
      </w:r>
      <w:r>
        <w:rPr>
          <w:rFonts w:ascii="宋体" w:hAnsi="宋体"/>
          <w:color w:val="auto"/>
          <w:szCs w:val="21"/>
          <w:highlight w:val="none"/>
        </w:rPr>
        <w:t>：</w:t>
      </w:r>
    </w:p>
    <w:p w14:paraId="099FE537">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在收到中标通知书后</w:t>
      </w:r>
      <w:r>
        <w:rPr>
          <w:rFonts w:ascii="宋体" w:hAnsi="宋体"/>
          <w:color w:val="auto"/>
          <w:szCs w:val="21"/>
          <w:highlight w:val="none"/>
        </w:rPr>
        <w:t>，</w:t>
      </w:r>
      <w:r>
        <w:rPr>
          <w:rFonts w:hint="eastAsia" w:ascii="宋体" w:hAnsi="宋体"/>
          <w:color w:val="auto"/>
          <w:szCs w:val="21"/>
          <w:highlight w:val="none"/>
        </w:rPr>
        <w:t>在规定的期限内与你方签订合同；</w:t>
      </w:r>
    </w:p>
    <w:p w14:paraId="79BD5207">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在签订合同时不向你方提出附加条件；</w:t>
      </w:r>
    </w:p>
    <w:p w14:paraId="77D7AA6B">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按照招标文件要求提交履约保证金；</w:t>
      </w:r>
    </w:p>
    <w:p w14:paraId="3443ED00">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在合同约定的期限内完成合同规定的全部义务；</w:t>
      </w:r>
    </w:p>
    <w:p w14:paraId="5FE06FFA">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43B0B735">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5.我方在此声明，所递交的投标文件及有关资料内容完整、真实和准确，且不存在招标文件第二章“投标人须知”第 1.4.3 项和第 1.4.4 项规定的任何一种情形。</w:t>
      </w:r>
    </w:p>
    <w:p w14:paraId="3B7440EA">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我方在此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14:paraId="5039BB3B">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7.我方在此承诺：权利义务满足招标文件规定。</w:t>
      </w:r>
    </w:p>
    <w:p w14:paraId="367CFFAD">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8.在合同协议书正式签署生效之前，本投标函连同你方的中标通知书将构成我们双方之间共同遵守的文件，对双方具有约束力。</w:t>
      </w:r>
    </w:p>
    <w:p w14:paraId="72B3E4AE">
      <w:pPr>
        <w:shd w:val="clear" w:fill="FFFFFF" w:themeFill="background1"/>
        <w:spacing w:line="360" w:lineRule="exact"/>
        <w:rPr>
          <w:rFonts w:ascii="宋体" w:hAnsi="宋体"/>
          <w:color w:val="auto"/>
          <w:szCs w:val="21"/>
          <w:highlight w:val="none"/>
        </w:rPr>
      </w:pPr>
      <w:r>
        <w:rPr>
          <w:rFonts w:hint="eastAsia" w:ascii="宋体" w:hAnsi="宋体"/>
          <w:color w:val="auto"/>
          <w:szCs w:val="21"/>
          <w:highlight w:val="none"/>
        </w:rPr>
        <w:t xml:space="preserve">    9.（其他补充说明）。</w:t>
      </w:r>
    </w:p>
    <w:p w14:paraId="0F36CD10">
      <w:pPr>
        <w:pStyle w:val="16"/>
        <w:shd w:val="clear" w:fill="FFFFFF" w:themeFill="background1"/>
        <w:rPr>
          <w:rFonts w:ascii="宋体" w:hAnsi="宋体"/>
          <w:color w:val="auto"/>
          <w:szCs w:val="21"/>
          <w:highlight w:val="none"/>
        </w:rPr>
      </w:pPr>
    </w:p>
    <w:p w14:paraId="22148557">
      <w:pPr>
        <w:pStyle w:val="16"/>
        <w:shd w:val="clear" w:fill="FFFFFF" w:themeFill="background1"/>
        <w:rPr>
          <w:rFonts w:ascii="宋体" w:hAnsi="宋体"/>
          <w:color w:val="auto"/>
          <w:szCs w:val="21"/>
          <w:highlight w:val="none"/>
        </w:rPr>
      </w:pPr>
    </w:p>
    <w:p w14:paraId="6B4DC208">
      <w:pPr>
        <w:shd w:val="clear" w:fill="FFFFFF" w:themeFill="background1"/>
        <w:tabs>
          <w:tab w:val="left" w:pos="2977"/>
          <w:tab w:val="left" w:pos="3261"/>
        </w:tabs>
        <w:spacing w:line="360" w:lineRule="exact"/>
        <w:rPr>
          <w:rFonts w:ascii="宋体" w:hAnsi="宋体"/>
          <w:color w:val="auto"/>
          <w:szCs w:val="21"/>
          <w:highlight w:val="none"/>
        </w:rPr>
      </w:pPr>
      <w:r>
        <w:rPr>
          <w:rFonts w:ascii="宋体" w:hAnsi="宋体"/>
          <w:color w:val="auto"/>
          <w:szCs w:val="21"/>
          <w:highlight w:val="none"/>
        </w:rPr>
        <w:t>投 标 人：（盖单位章）</w:t>
      </w:r>
    </w:p>
    <w:p w14:paraId="0B10A8D0">
      <w:pPr>
        <w:shd w:val="clear" w:fill="FFFFFF" w:themeFill="background1"/>
        <w:spacing w:line="360" w:lineRule="atLeast"/>
        <w:rPr>
          <w:rFonts w:ascii="宋体" w:hAnsi="宋体"/>
          <w:color w:val="auto"/>
          <w:szCs w:val="21"/>
          <w:highlight w:val="none"/>
        </w:rPr>
      </w:pPr>
      <w:r>
        <w:rPr>
          <w:rFonts w:ascii="宋体" w:hAnsi="宋体"/>
          <w:color w:val="auto"/>
          <w:szCs w:val="21"/>
          <w:highlight w:val="none"/>
        </w:rPr>
        <w:t>法定代表人或其委托代理人：（签字）</w:t>
      </w:r>
    </w:p>
    <w:p w14:paraId="2ECEE6EC">
      <w:pPr>
        <w:shd w:val="clear" w:fill="FFFFFF" w:themeFill="background1"/>
        <w:spacing w:line="360" w:lineRule="atLeast"/>
        <w:rPr>
          <w:rFonts w:ascii="宋体" w:hAnsi="宋体"/>
          <w:color w:val="auto"/>
          <w:szCs w:val="21"/>
          <w:highlight w:val="none"/>
        </w:rPr>
      </w:pPr>
      <w:r>
        <w:rPr>
          <w:rFonts w:ascii="宋体" w:hAnsi="宋体"/>
          <w:color w:val="auto"/>
          <w:szCs w:val="21"/>
          <w:highlight w:val="none"/>
        </w:rPr>
        <w:t>地址：</w:t>
      </w:r>
    </w:p>
    <w:p w14:paraId="22E6EF45">
      <w:pPr>
        <w:shd w:val="clear" w:fill="FFFFFF" w:themeFill="background1"/>
        <w:spacing w:line="360" w:lineRule="atLeast"/>
        <w:rPr>
          <w:rFonts w:ascii="宋体" w:hAnsi="宋体"/>
          <w:color w:val="auto"/>
          <w:szCs w:val="21"/>
          <w:highlight w:val="none"/>
        </w:rPr>
      </w:pPr>
      <w:r>
        <w:rPr>
          <w:rFonts w:ascii="宋体" w:hAnsi="宋体"/>
          <w:color w:val="auto"/>
          <w:szCs w:val="21"/>
          <w:highlight w:val="none"/>
        </w:rPr>
        <w:t>网址：</w:t>
      </w:r>
    </w:p>
    <w:p w14:paraId="60F51D51">
      <w:pPr>
        <w:shd w:val="clear" w:fill="FFFFFF" w:themeFill="background1"/>
        <w:spacing w:line="360" w:lineRule="atLeast"/>
        <w:rPr>
          <w:rFonts w:ascii="宋体" w:hAnsi="宋体"/>
          <w:color w:val="auto"/>
          <w:szCs w:val="21"/>
          <w:highlight w:val="none"/>
        </w:rPr>
      </w:pPr>
      <w:r>
        <w:rPr>
          <w:rFonts w:ascii="宋体" w:hAnsi="宋体"/>
          <w:color w:val="auto"/>
          <w:szCs w:val="21"/>
          <w:highlight w:val="none"/>
        </w:rPr>
        <w:t>电话：</w:t>
      </w:r>
    </w:p>
    <w:p w14:paraId="7976E813">
      <w:pPr>
        <w:shd w:val="clear" w:fill="FFFFFF" w:themeFill="background1"/>
        <w:spacing w:line="360" w:lineRule="exact"/>
        <w:rPr>
          <w:rFonts w:ascii="宋体" w:hAnsi="宋体"/>
          <w:color w:val="auto"/>
          <w:szCs w:val="21"/>
          <w:highlight w:val="none"/>
        </w:rPr>
      </w:pPr>
      <w:r>
        <w:rPr>
          <w:rFonts w:ascii="宋体" w:hAnsi="宋体"/>
          <w:color w:val="auto"/>
          <w:szCs w:val="21"/>
          <w:highlight w:val="none"/>
        </w:rPr>
        <w:t>传真：</w:t>
      </w:r>
    </w:p>
    <w:p w14:paraId="07B89EB2">
      <w:pPr>
        <w:shd w:val="clear" w:fill="FFFFFF" w:themeFill="background1"/>
        <w:spacing w:line="360" w:lineRule="exact"/>
        <w:rPr>
          <w:rFonts w:ascii="宋体" w:hAnsi="宋体"/>
          <w:color w:val="auto"/>
          <w:szCs w:val="21"/>
          <w:highlight w:val="none"/>
        </w:rPr>
      </w:pPr>
      <w:r>
        <w:rPr>
          <w:rFonts w:ascii="宋体" w:hAnsi="宋体"/>
          <w:color w:val="auto"/>
          <w:szCs w:val="21"/>
          <w:highlight w:val="none"/>
        </w:rPr>
        <w:t>邮政编码：</w:t>
      </w:r>
    </w:p>
    <w:p w14:paraId="7DA8D1A0">
      <w:pPr>
        <w:shd w:val="clear" w:fill="FFFFFF" w:themeFill="background1"/>
        <w:spacing w:line="360" w:lineRule="exact"/>
        <w:rPr>
          <w:rFonts w:ascii="宋体" w:hAnsi="宋体"/>
          <w:color w:val="auto"/>
          <w:szCs w:val="21"/>
          <w:highlight w:val="none"/>
        </w:rPr>
      </w:pPr>
    </w:p>
    <w:p w14:paraId="46B96073">
      <w:pPr>
        <w:shd w:val="clear" w:fill="FFFFFF" w:themeFill="background1"/>
        <w:spacing w:line="360" w:lineRule="exact"/>
        <w:ind w:firstLine="3780" w:firstLineChars="1800"/>
        <w:rPr>
          <w:rFonts w:ascii="宋体" w:hAnsi="宋体"/>
          <w:color w:val="auto"/>
          <w:sz w:val="24"/>
          <w:highlight w:val="none"/>
        </w:rPr>
      </w:pP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304F8A0C">
      <w:pPr>
        <w:shd w:val="clear" w:fill="FFFFFF" w:themeFill="background1"/>
        <w:jc w:val="center"/>
        <w:rPr>
          <w:rFonts w:ascii="宋体" w:hAnsi="宋体"/>
          <w:color w:val="auto"/>
          <w:sz w:val="24"/>
          <w:highlight w:val="none"/>
        </w:rPr>
      </w:pPr>
      <w:bookmarkStart w:id="1754" w:name="_Toc234382959"/>
      <w:bookmarkEnd w:id="1754"/>
      <w:r>
        <w:rPr>
          <w:rFonts w:ascii="宋体" w:hAnsi="宋体"/>
          <w:b/>
          <w:color w:val="auto"/>
          <w:sz w:val="28"/>
          <w:szCs w:val="28"/>
          <w:highlight w:val="none"/>
        </w:rPr>
        <w:br w:type="page"/>
      </w:r>
      <w:r>
        <w:rPr>
          <w:rFonts w:ascii="宋体" w:hAnsi="宋体"/>
          <w:b/>
          <w:color w:val="auto"/>
          <w:sz w:val="28"/>
          <w:szCs w:val="28"/>
          <w:highlight w:val="none"/>
        </w:rPr>
        <w:t>（二）投标函附录</w:t>
      </w:r>
    </w:p>
    <w:tbl>
      <w:tblPr>
        <w:tblStyle w:val="43"/>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14:paraId="76C22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65CAAACF">
            <w:pPr>
              <w:shd w:val="clear" w:fill="FFFFFF" w:themeFill="background1"/>
              <w:jc w:val="center"/>
              <w:rPr>
                <w:rFonts w:ascii="Calibri" w:hAnsi="Calibri"/>
                <w:b/>
                <w:color w:val="auto"/>
                <w:szCs w:val="21"/>
                <w:highlight w:val="none"/>
              </w:rPr>
            </w:pPr>
            <w:r>
              <w:rPr>
                <w:rFonts w:ascii="宋体" w:hAnsi="宋体"/>
                <w:b/>
                <w:color w:val="auto"/>
                <w:szCs w:val="21"/>
                <w:highlight w:val="none"/>
              </w:rPr>
              <w:t>序号</w:t>
            </w:r>
          </w:p>
        </w:tc>
        <w:tc>
          <w:tcPr>
            <w:tcW w:w="2693" w:type="dxa"/>
            <w:vAlign w:val="center"/>
          </w:tcPr>
          <w:p w14:paraId="3A8F1AE2">
            <w:pPr>
              <w:shd w:val="clear" w:fill="FFFFFF" w:themeFill="background1"/>
              <w:jc w:val="center"/>
              <w:rPr>
                <w:rFonts w:ascii="Calibri" w:hAnsi="Calibri"/>
                <w:b/>
                <w:color w:val="auto"/>
                <w:szCs w:val="21"/>
                <w:highlight w:val="none"/>
              </w:rPr>
            </w:pPr>
            <w:r>
              <w:rPr>
                <w:rFonts w:ascii="宋体" w:hAnsi="宋体"/>
                <w:b/>
                <w:color w:val="auto"/>
                <w:szCs w:val="21"/>
                <w:highlight w:val="none"/>
              </w:rPr>
              <w:t>条款名称</w:t>
            </w:r>
          </w:p>
        </w:tc>
        <w:tc>
          <w:tcPr>
            <w:tcW w:w="1417" w:type="dxa"/>
            <w:vAlign w:val="center"/>
          </w:tcPr>
          <w:p w14:paraId="149EB7AD">
            <w:pPr>
              <w:shd w:val="clear" w:fill="FFFFFF" w:themeFill="background1"/>
              <w:jc w:val="center"/>
              <w:rPr>
                <w:rFonts w:ascii="Calibri" w:hAnsi="Calibri"/>
                <w:b/>
                <w:color w:val="auto"/>
                <w:szCs w:val="21"/>
                <w:highlight w:val="none"/>
              </w:rPr>
            </w:pPr>
            <w:r>
              <w:rPr>
                <w:rFonts w:ascii="宋体" w:hAnsi="宋体"/>
                <w:b/>
                <w:color w:val="auto"/>
                <w:szCs w:val="21"/>
                <w:highlight w:val="none"/>
              </w:rPr>
              <w:t>合同条目号</w:t>
            </w:r>
          </w:p>
        </w:tc>
        <w:tc>
          <w:tcPr>
            <w:tcW w:w="3686" w:type="dxa"/>
            <w:vAlign w:val="center"/>
          </w:tcPr>
          <w:p w14:paraId="6710DB3F">
            <w:pPr>
              <w:shd w:val="clear" w:fill="FFFFFF" w:themeFill="background1"/>
              <w:jc w:val="center"/>
              <w:rPr>
                <w:rFonts w:ascii="Calibri" w:hAnsi="Calibri"/>
                <w:b/>
                <w:color w:val="auto"/>
                <w:szCs w:val="21"/>
                <w:highlight w:val="none"/>
              </w:rPr>
            </w:pPr>
            <w:r>
              <w:rPr>
                <w:rFonts w:ascii="宋体" w:hAnsi="宋体"/>
                <w:b/>
                <w:color w:val="auto"/>
                <w:szCs w:val="21"/>
                <w:highlight w:val="none"/>
              </w:rPr>
              <w:t>约定内容</w:t>
            </w:r>
          </w:p>
        </w:tc>
        <w:tc>
          <w:tcPr>
            <w:tcW w:w="1190" w:type="dxa"/>
            <w:vAlign w:val="center"/>
          </w:tcPr>
          <w:p w14:paraId="2988D82F">
            <w:pPr>
              <w:shd w:val="clear" w:fill="FFFFFF" w:themeFill="background1"/>
              <w:jc w:val="center"/>
              <w:rPr>
                <w:rFonts w:ascii="Calibri" w:hAnsi="Calibri"/>
                <w:b/>
                <w:color w:val="auto"/>
                <w:szCs w:val="21"/>
                <w:highlight w:val="none"/>
              </w:rPr>
            </w:pPr>
            <w:r>
              <w:rPr>
                <w:rFonts w:ascii="宋体" w:hAnsi="宋体"/>
                <w:b/>
                <w:color w:val="auto"/>
                <w:szCs w:val="21"/>
                <w:highlight w:val="none"/>
              </w:rPr>
              <w:t>备注</w:t>
            </w:r>
          </w:p>
        </w:tc>
      </w:tr>
      <w:tr w14:paraId="12058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F7CDB3C">
            <w:pPr>
              <w:shd w:val="clear" w:fill="FFFFFF" w:themeFill="background1"/>
              <w:jc w:val="center"/>
              <w:rPr>
                <w:rFonts w:ascii="Calibri" w:hAnsi="Calibri"/>
                <w:color w:val="auto"/>
                <w:szCs w:val="21"/>
                <w:highlight w:val="none"/>
              </w:rPr>
            </w:pPr>
            <w:r>
              <w:rPr>
                <w:rFonts w:ascii="宋体" w:hAnsi="宋体"/>
                <w:color w:val="auto"/>
                <w:szCs w:val="21"/>
                <w:highlight w:val="none"/>
              </w:rPr>
              <w:t>1</w:t>
            </w:r>
          </w:p>
        </w:tc>
        <w:tc>
          <w:tcPr>
            <w:tcW w:w="2693" w:type="dxa"/>
            <w:vAlign w:val="center"/>
          </w:tcPr>
          <w:p w14:paraId="752CB85F">
            <w:pPr>
              <w:shd w:val="clear" w:fill="FFFFFF" w:themeFill="background1"/>
              <w:jc w:val="center"/>
              <w:rPr>
                <w:rFonts w:ascii="Calibri" w:hAnsi="Calibri"/>
                <w:color w:val="auto"/>
                <w:szCs w:val="21"/>
                <w:highlight w:val="none"/>
              </w:rPr>
            </w:pPr>
            <w:r>
              <w:rPr>
                <w:rFonts w:ascii="宋体" w:hAnsi="宋体"/>
                <w:color w:val="auto"/>
                <w:szCs w:val="21"/>
                <w:highlight w:val="none"/>
              </w:rPr>
              <w:t>缺陷责任期</w:t>
            </w:r>
          </w:p>
        </w:tc>
        <w:tc>
          <w:tcPr>
            <w:tcW w:w="1417" w:type="dxa"/>
            <w:vAlign w:val="center"/>
          </w:tcPr>
          <w:p w14:paraId="267556A1">
            <w:pPr>
              <w:shd w:val="clear" w:fill="FFFFFF" w:themeFill="background1"/>
              <w:jc w:val="center"/>
              <w:rPr>
                <w:rFonts w:ascii="Calibri" w:hAnsi="Calibri"/>
                <w:color w:val="auto"/>
                <w:szCs w:val="21"/>
                <w:highlight w:val="none"/>
              </w:rPr>
            </w:pPr>
            <w:r>
              <w:rPr>
                <w:rFonts w:ascii="宋体" w:hAnsi="宋体"/>
                <w:color w:val="auto"/>
                <w:szCs w:val="21"/>
                <w:highlight w:val="none"/>
              </w:rPr>
              <w:t>1.1.4.5</w:t>
            </w:r>
          </w:p>
        </w:tc>
        <w:tc>
          <w:tcPr>
            <w:tcW w:w="3686" w:type="dxa"/>
            <w:vAlign w:val="center"/>
          </w:tcPr>
          <w:p w14:paraId="1DFE2319">
            <w:pPr>
              <w:shd w:val="clear" w:fill="FFFFFF" w:themeFill="background1"/>
              <w:rPr>
                <w:rFonts w:ascii="Calibri" w:hAnsi="Calibri"/>
                <w:color w:val="auto"/>
                <w:szCs w:val="21"/>
                <w:highlight w:val="none"/>
              </w:rPr>
            </w:pPr>
            <w:r>
              <w:rPr>
                <w:rFonts w:ascii="宋体" w:hAnsi="宋体"/>
                <w:color w:val="auto"/>
                <w:szCs w:val="21"/>
                <w:highlight w:val="none"/>
              </w:rPr>
              <w:t>自实际</w:t>
            </w:r>
            <w:r>
              <w:rPr>
                <w:rFonts w:hint="eastAsia" w:ascii="宋体" w:hAnsi="宋体"/>
                <w:color w:val="auto"/>
                <w:szCs w:val="21"/>
                <w:highlight w:val="none"/>
              </w:rPr>
              <w:t>交工</w:t>
            </w:r>
            <w:r>
              <w:rPr>
                <w:rFonts w:ascii="宋体" w:hAnsi="宋体"/>
                <w:color w:val="auto"/>
                <w:szCs w:val="21"/>
                <w:highlight w:val="none"/>
              </w:rPr>
              <w:t>日期起计算</w:t>
            </w:r>
            <w:r>
              <w:rPr>
                <w:rFonts w:hint="eastAsia" w:ascii="宋体" w:hAnsi="宋体"/>
                <w:color w:val="auto"/>
                <w:szCs w:val="21"/>
                <w:highlight w:val="none"/>
                <w:u w:val="single"/>
              </w:rPr>
              <w:t>12</w:t>
            </w:r>
            <w:r>
              <w:rPr>
                <w:rFonts w:hint="eastAsia" w:ascii="宋体" w:hAnsi="宋体"/>
                <w:color w:val="auto"/>
                <w:szCs w:val="21"/>
                <w:highlight w:val="none"/>
              </w:rPr>
              <w:t>个月</w:t>
            </w:r>
          </w:p>
        </w:tc>
        <w:tc>
          <w:tcPr>
            <w:tcW w:w="1190" w:type="dxa"/>
            <w:vAlign w:val="center"/>
          </w:tcPr>
          <w:p w14:paraId="61757F96">
            <w:pPr>
              <w:shd w:val="clear" w:fill="FFFFFF" w:themeFill="background1"/>
              <w:jc w:val="center"/>
              <w:rPr>
                <w:rFonts w:ascii="Calibri" w:hAnsi="Calibri"/>
                <w:color w:val="auto"/>
                <w:szCs w:val="21"/>
                <w:highlight w:val="none"/>
              </w:rPr>
            </w:pPr>
          </w:p>
        </w:tc>
      </w:tr>
      <w:tr w14:paraId="482F0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11AAC54">
            <w:pPr>
              <w:shd w:val="clear" w:fill="FFFFFF" w:themeFill="background1"/>
              <w:jc w:val="center"/>
              <w:rPr>
                <w:rFonts w:ascii="Calibri" w:hAnsi="Calibri"/>
                <w:color w:val="auto"/>
                <w:szCs w:val="21"/>
                <w:highlight w:val="none"/>
              </w:rPr>
            </w:pPr>
            <w:r>
              <w:rPr>
                <w:rFonts w:ascii="宋体" w:hAnsi="宋体"/>
                <w:color w:val="auto"/>
                <w:szCs w:val="21"/>
                <w:highlight w:val="none"/>
              </w:rPr>
              <w:t>2</w:t>
            </w:r>
          </w:p>
        </w:tc>
        <w:tc>
          <w:tcPr>
            <w:tcW w:w="2693" w:type="dxa"/>
            <w:vAlign w:val="center"/>
          </w:tcPr>
          <w:p w14:paraId="243CB6C7">
            <w:pPr>
              <w:shd w:val="clear" w:fill="FFFFFF" w:themeFill="background1"/>
              <w:jc w:val="center"/>
              <w:rPr>
                <w:rFonts w:ascii="Calibri" w:hAnsi="Calibri"/>
                <w:color w:val="auto"/>
                <w:szCs w:val="21"/>
                <w:highlight w:val="none"/>
              </w:rPr>
            </w:pPr>
            <w:r>
              <w:rPr>
                <w:rFonts w:ascii="宋体" w:hAnsi="宋体"/>
                <w:color w:val="auto"/>
                <w:szCs w:val="21"/>
                <w:highlight w:val="none"/>
              </w:rPr>
              <w:t>逾期交工违约金</w:t>
            </w:r>
          </w:p>
        </w:tc>
        <w:tc>
          <w:tcPr>
            <w:tcW w:w="1417" w:type="dxa"/>
            <w:vAlign w:val="center"/>
          </w:tcPr>
          <w:p w14:paraId="3F91B385">
            <w:pPr>
              <w:shd w:val="clear" w:fill="FFFFFF" w:themeFill="background1"/>
              <w:jc w:val="center"/>
              <w:rPr>
                <w:rFonts w:ascii="Calibri" w:hAnsi="Calibri"/>
                <w:color w:val="auto"/>
                <w:szCs w:val="21"/>
                <w:highlight w:val="none"/>
              </w:rPr>
            </w:pPr>
            <w:r>
              <w:rPr>
                <w:rFonts w:ascii="宋体" w:hAnsi="宋体"/>
                <w:color w:val="auto"/>
                <w:szCs w:val="21"/>
                <w:highlight w:val="none"/>
              </w:rPr>
              <w:t>11.5</w:t>
            </w:r>
            <w:r>
              <w:rPr>
                <w:rFonts w:hint="eastAsia" w:ascii="宋体" w:hAnsi="宋体"/>
                <w:color w:val="auto"/>
                <w:szCs w:val="21"/>
                <w:highlight w:val="none"/>
              </w:rPr>
              <w:t>（3）</w:t>
            </w:r>
          </w:p>
        </w:tc>
        <w:tc>
          <w:tcPr>
            <w:tcW w:w="3686" w:type="dxa"/>
            <w:vAlign w:val="center"/>
          </w:tcPr>
          <w:p w14:paraId="54A0BB26">
            <w:pPr>
              <w:shd w:val="clear" w:fill="FFFFFF" w:themeFill="background1"/>
              <w:jc w:val="left"/>
              <w:rPr>
                <w:rFonts w:ascii="Calibri" w:hAnsi="Calibri"/>
                <w:color w:val="auto"/>
                <w:szCs w:val="21"/>
                <w:highlight w:val="none"/>
              </w:rPr>
            </w:pPr>
            <w:r>
              <w:rPr>
                <w:rFonts w:hint="eastAsia" w:ascii="宋体" w:hAnsi="宋体"/>
                <w:color w:val="auto"/>
                <w:szCs w:val="21"/>
                <w:highlight w:val="none"/>
                <w:u w:val="single"/>
              </w:rPr>
              <w:t>1000元/天</w:t>
            </w:r>
          </w:p>
        </w:tc>
        <w:tc>
          <w:tcPr>
            <w:tcW w:w="1190" w:type="dxa"/>
            <w:vAlign w:val="center"/>
          </w:tcPr>
          <w:p w14:paraId="42C7736A">
            <w:pPr>
              <w:shd w:val="clear" w:fill="FFFFFF" w:themeFill="background1"/>
              <w:jc w:val="center"/>
              <w:rPr>
                <w:rFonts w:ascii="Calibri" w:hAnsi="Calibri"/>
                <w:color w:val="auto"/>
                <w:szCs w:val="21"/>
                <w:highlight w:val="none"/>
              </w:rPr>
            </w:pPr>
          </w:p>
        </w:tc>
      </w:tr>
      <w:tr w14:paraId="5EF26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4A111D2">
            <w:pPr>
              <w:shd w:val="clear" w:fill="FFFFFF" w:themeFill="background1"/>
              <w:jc w:val="center"/>
              <w:rPr>
                <w:rFonts w:ascii="Calibri" w:hAnsi="Calibri"/>
                <w:color w:val="auto"/>
                <w:szCs w:val="21"/>
                <w:highlight w:val="none"/>
              </w:rPr>
            </w:pPr>
            <w:r>
              <w:rPr>
                <w:rFonts w:ascii="宋体" w:hAnsi="宋体"/>
                <w:color w:val="auto"/>
                <w:szCs w:val="21"/>
                <w:highlight w:val="none"/>
              </w:rPr>
              <w:t>3</w:t>
            </w:r>
          </w:p>
        </w:tc>
        <w:tc>
          <w:tcPr>
            <w:tcW w:w="2693" w:type="dxa"/>
            <w:vAlign w:val="center"/>
          </w:tcPr>
          <w:p w14:paraId="707DF9EC">
            <w:pPr>
              <w:shd w:val="clear" w:fill="FFFFFF" w:themeFill="background1"/>
              <w:jc w:val="center"/>
              <w:rPr>
                <w:rFonts w:ascii="Calibri" w:hAnsi="Calibri"/>
                <w:color w:val="auto"/>
                <w:szCs w:val="21"/>
                <w:highlight w:val="none"/>
              </w:rPr>
            </w:pPr>
            <w:r>
              <w:rPr>
                <w:rFonts w:ascii="宋体" w:hAnsi="宋体"/>
                <w:color w:val="auto"/>
                <w:szCs w:val="21"/>
                <w:highlight w:val="none"/>
              </w:rPr>
              <w:t>逾期交工违约金限额</w:t>
            </w:r>
          </w:p>
        </w:tc>
        <w:tc>
          <w:tcPr>
            <w:tcW w:w="1417" w:type="dxa"/>
            <w:vAlign w:val="center"/>
          </w:tcPr>
          <w:p w14:paraId="623AF4C2">
            <w:pPr>
              <w:shd w:val="clear" w:fill="FFFFFF" w:themeFill="background1"/>
              <w:jc w:val="center"/>
              <w:rPr>
                <w:rFonts w:ascii="Calibri" w:hAnsi="Calibri"/>
                <w:color w:val="auto"/>
                <w:szCs w:val="21"/>
                <w:highlight w:val="none"/>
              </w:rPr>
            </w:pPr>
            <w:r>
              <w:rPr>
                <w:rFonts w:ascii="宋体" w:hAnsi="宋体"/>
                <w:color w:val="auto"/>
                <w:szCs w:val="21"/>
                <w:highlight w:val="none"/>
              </w:rPr>
              <w:t>11.5</w:t>
            </w:r>
            <w:r>
              <w:rPr>
                <w:rFonts w:hint="eastAsia" w:ascii="宋体" w:hAnsi="宋体"/>
                <w:color w:val="auto"/>
                <w:szCs w:val="21"/>
                <w:highlight w:val="none"/>
              </w:rPr>
              <w:t>（3）</w:t>
            </w:r>
          </w:p>
        </w:tc>
        <w:tc>
          <w:tcPr>
            <w:tcW w:w="3686" w:type="dxa"/>
            <w:vAlign w:val="center"/>
          </w:tcPr>
          <w:p w14:paraId="1FDD2CD1">
            <w:pPr>
              <w:shd w:val="clear" w:fill="FFFFFF" w:themeFill="background1"/>
              <w:rPr>
                <w:rFonts w:ascii="Calibri" w:hAnsi="Calibri"/>
                <w:color w:val="auto"/>
                <w:szCs w:val="21"/>
                <w:highlight w:val="none"/>
              </w:rPr>
            </w:pPr>
            <w:r>
              <w:rPr>
                <w:rFonts w:ascii="宋体" w:hAnsi="宋体"/>
                <w:color w:val="auto"/>
                <w:szCs w:val="21"/>
                <w:highlight w:val="none"/>
                <w:u w:val="single"/>
              </w:rPr>
              <w:t xml:space="preserve"> 10 </w:t>
            </w:r>
            <w:r>
              <w:rPr>
                <w:rFonts w:ascii="宋体" w:hAnsi="宋体"/>
                <w:color w:val="auto"/>
                <w:szCs w:val="21"/>
                <w:highlight w:val="none"/>
              </w:rPr>
              <w:t>%签约合同价</w:t>
            </w:r>
          </w:p>
        </w:tc>
        <w:tc>
          <w:tcPr>
            <w:tcW w:w="1190" w:type="dxa"/>
            <w:vAlign w:val="center"/>
          </w:tcPr>
          <w:p w14:paraId="660906BE">
            <w:pPr>
              <w:shd w:val="clear" w:fill="FFFFFF" w:themeFill="background1"/>
              <w:jc w:val="center"/>
              <w:rPr>
                <w:rFonts w:ascii="Calibri" w:hAnsi="Calibri"/>
                <w:color w:val="auto"/>
                <w:szCs w:val="21"/>
                <w:highlight w:val="none"/>
              </w:rPr>
            </w:pPr>
          </w:p>
        </w:tc>
      </w:tr>
      <w:tr w14:paraId="5C11E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6A792FD3">
            <w:pPr>
              <w:shd w:val="clear" w:fill="FFFFFF" w:themeFill="background1"/>
              <w:jc w:val="center"/>
              <w:rPr>
                <w:rFonts w:ascii="Calibri" w:hAnsi="Calibri"/>
                <w:color w:val="auto"/>
                <w:szCs w:val="21"/>
                <w:highlight w:val="none"/>
              </w:rPr>
            </w:pPr>
            <w:r>
              <w:rPr>
                <w:rFonts w:ascii="宋体" w:hAnsi="宋体"/>
                <w:color w:val="auto"/>
                <w:szCs w:val="21"/>
                <w:highlight w:val="none"/>
              </w:rPr>
              <w:t>4</w:t>
            </w:r>
          </w:p>
        </w:tc>
        <w:tc>
          <w:tcPr>
            <w:tcW w:w="2693" w:type="dxa"/>
            <w:vAlign w:val="center"/>
          </w:tcPr>
          <w:p w14:paraId="2B8CC4F6">
            <w:pPr>
              <w:shd w:val="clear" w:fill="FFFFFF" w:themeFill="background1"/>
              <w:jc w:val="center"/>
              <w:rPr>
                <w:rFonts w:ascii="Calibri" w:hAnsi="Calibri"/>
                <w:color w:val="auto"/>
                <w:szCs w:val="21"/>
                <w:highlight w:val="none"/>
              </w:rPr>
            </w:pPr>
            <w:r>
              <w:rPr>
                <w:rFonts w:ascii="宋体" w:hAnsi="宋体"/>
                <w:color w:val="auto"/>
                <w:szCs w:val="21"/>
                <w:highlight w:val="none"/>
              </w:rPr>
              <w:t>提前交工的奖金</w:t>
            </w:r>
          </w:p>
        </w:tc>
        <w:tc>
          <w:tcPr>
            <w:tcW w:w="1417" w:type="dxa"/>
            <w:vAlign w:val="center"/>
          </w:tcPr>
          <w:p w14:paraId="74F17138">
            <w:pPr>
              <w:shd w:val="clear" w:fill="FFFFFF" w:themeFill="background1"/>
              <w:jc w:val="center"/>
              <w:rPr>
                <w:rFonts w:ascii="Calibri" w:hAnsi="Calibri"/>
                <w:color w:val="auto"/>
                <w:szCs w:val="21"/>
                <w:highlight w:val="none"/>
              </w:rPr>
            </w:pPr>
            <w:r>
              <w:rPr>
                <w:rFonts w:ascii="宋体" w:hAnsi="宋体"/>
                <w:color w:val="auto"/>
                <w:szCs w:val="21"/>
                <w:highlight w:val="none"/>
              </w:rPr>
              <w:t>11.6</w:t>
            </w:r>
          </w:p>
        </w:tc>
        <w:tc>
          <w:tcPr>
            <w:tcW w:w="3686" w:type="dxa"/>
            <w:vAlign w:val="center"/>
          </w:tcPr>
          <w:p w14:paraId="706D81F9">
            <w:pPr>
              <w:shd w:val="clear" w:fill="FFFFFF" w:themeFill="background1"/>
              <w:rPr>
                <w:rFonts w:ascii="Calibri" w:hAnsi="Calibri"/>
                <w:color w:val="auto"/>
                <w:szCs w:val="21"/>
                <w:highlight w:val="none"/>
              </w:rPr>
            </w:pPr>
            <w:r>
              <w:rPr>
                <w:rFonts w:hint="eastAsia" w:ascii="宋体" w:hAnsi="宋体"/>
                <w:color w:val="auto"/>
                <w:szCs w:val="21"/>
                <w:highlight w:val="none"/>
                <w:u w:val="single"/>
              </w:rPr>
              <w:t>0</w:t>
            </w:r>
            <w:r>
              <w:rPr>
                <w:rFonts w:hint="eastAsia" w:ascii="宋体" w:hAnsi="宋体"/>
                <w:color w:val="auto"/>
                <w:szCs w:val="21"/>
                <w:highlight w:val="none"/>
              </w:rPr>
              <w:t>元/天</w:t>
            </w:r>
          </w:p>
        </w:tc>
        <w:tc>
          <w:tcPr>
            <w:tcW w:w="1190" w:type="dxa"/>
            <w:vAlign w:val="center"/>
          </w:tcPr>
          <w:p w14:paraId="23B68837">
            <w:pPr>
              <w:shd w:val="clear" w:fill="FFFFFF" w:themeFill="background1"/>
              <w:jc w:val="center"/>
              <w:rPr>
                <w:rFonts w:ascii="Calibri" w:hAnsi="Calibri"/>
                <w:color w:val="auto"/>
                <w:szCs w:val="21"/>
                <w:highlight w:val="none"/>
              </w:rPr>
            </w:pPr>
          </w:p>
        </w:tc>
      </w:tr>
      <w:tr w14:paraId="581A4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765B967">
            <w:pPr>
              <w:shd w:val="clear" w:fill="FFFFFF" w:themeFill="background1"/>
              <w:jc w:val="center"/>
              <w:rPr>
                <w:rFonts w:ascii="Calibri" w:hAnsi="Calibri"/>
                <w:color w:val="auto"/>
                <w:szCs w:val="21"/>
                <w:highlight w:val="none"/>
              </w:rPr>
            </w:pPr>
            <w:r>
              <w:rPr>
                <w:rFonts w:ascii="宋体" w:hAnsi="宋体"/>
                <w:color w:val="auto"/>
                <w:szCs w:val="21"/>
                <w:highlight w:val="none"/>
              </w:rPr>
              <w:t>5</w:t>
            </w:r>
          </w:p>
        </w:tc>
        <w:tc>
          <w:tcPr>
            <w:tcW w:w="2693" w:type="dxa"/>
            <w:vAlign w:val="center"/>
          </w:tcPr>
          <w:p w14:paraId="467962A1">
            <w:pPr>
              <w:shd w:val="clear" w:fill="FFFFFF" w:themeFill="background1"/>
              <w:jc w:val="center"/>
              <w:rPr>
                <w:rFonts w:ascii="Calibri" w:hAnsi="Calibri"/>
                <w:color w:val="auto"/>
                <w:szCs w:val="21"/>
                <w:highlight w:val="none"/>
              </w:rPr>
            </w:pPr>
            <w:r>
              <w:rPr>
                <w:rFonts w:ascii="宋体" w:hAnsi="宋体"/>
                <w:color w:val="auto"/>
                <w:szCs w:val="21"/>
                <w:highlight w:val="none"/>
              </w:rPr>
              <w:t>提前交工的奖金限额</w:t>
            </w:r>
          </w:p>
        </w:tc>
        <w:tc>
          <w:tcPr>
            <w:tcW w:w="1417" w:type="dxa"/>
            <w:vAlign w:val="center"/>
          </w:tcPr>
          <w:p w14:paraId="454ADC7F">
            <w:pPr>
              <w:shd w:val="clear" w:fill="FFFFFF" w:themeFill="background1"/>
              <w:jc w:val="center"/>
              <w:rPr>
                <w:rFonts w:ascii="Calibri" w:hAnsi="Calibri"/>
                <w:color w:val="auto"/>
                <w:szCs w:val="21"/>
                <w:highlight w:val="none"/>
              </w:rPr>
            </w:pPr>
            <w:r>
              <w:rPr>
                <w:rFonts w:ascii="宋体" w:hAnsi="宋体"/>
                <w:color w:val="auto"/>
                <w:szCs w:val="21"/>
                <w:highlight w:val="none"/>
              </w:rPr>
              <w:t>11.6</w:t>
            </w:r>
          </w:p>
        </w:tc>
        <w:tc>
          <w:tcPr>
            <w:tcW w:w="3686" w:type="dxa"/>
            <w:vAlign w:val="center"/>
          </w:tcPr>
          <w:p w14:paraId="3A97404C">
            <w:pPr>
              <w:shd w:val="clear" w:fill="FFFFFF" w:themeFill="background1"/>
              <w:ind w:firstLine="25" w:firstLineChars="12"/>
              <w:rPr>
                <w:rFonts w:ascii="Calibri" w:hAnsi="Calibri"/>
                <w:color w:val="auto"/>
                <w:szCs w:val="21"/>
                <w:highlight w:val="none"/>
              </w:rPr>
            </w:pPr>
            <w:r>
              <w:rPr>
                <w:rFonts w:hint="eastAsia" w:ascii="宋体" w:hAnsi="宋体"/>
                <w:color w:val="auto"/>
                <w:szCs w:val="21"/>
                <w:highlight w:val="none"/>
                <w:u w:val="single"/>
              </w:rPr>
              <w:t>0</w:t>
            </w:r>
            <w:r>
              <w:rPr>
                <w:rFonts w:hint="eastAsia" w:ascii="宋体" w:hAnsi="宋体"/>
                <w:color w:val="auto"/>
                <w:szCs w:val="21"/>
                <w:highlight w:val="none"/>
              </w:rPr>
              <w:t>%签约合同价</w:t>
            </w:r>
          </w:p>
        </w:tc>
        <w:tc>
          <w:tcPr>
            <w:tcW w:w="1190" w:type="dxa"/>
            <w:vAlign w:val="center"/>
          </w:tcPr>
          <w:p w14:paraId="3DC59423">
            <w:pPr>
              <w:shd w:val="clear" w:fill="FFFFFF" w:themeFill="background1"/>
              <w:jc w:val="center"/>
              <w:rPr>
                <w:rFonts w:ascii="Calibri" w:hAnsi="Calibri"/>
                <w:color w:val="auto"/>
                <w:szCs w:val="21"/>
                <w:highlight w:val="none"/>
              </w:rPr>
            </w:pPr>
          </w:p>
        </w:tc>
      </w:tr>
      <w:tr w14:paraId="27974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45F76E4">
            <w:pPr>
              <w:shd w:val="clear" w:fill="FFFFFF" w:themeFill="background1"/>
              <w:jc w:val="center"/>
              <w:rPr>
                <w:rFonts w:ascii="宋体" w:hAnsi="宋体"/>
                <w:color w:val="auto"/>
                <w:szCs w:val="21"/>
                <w:highlight w:val="none"/>
              </w:rPr>
            </w:pPr>
            <w:r>
              <w:rPr>
                <w:rFonts w:hint="eastAsia" w:ascii="宋体" w:hAnsi="宋体"/>
                <w:color w:val="auto"/>
                <w:szCs w:val="21"/>
                <w:highlight w:val="none"/>
              </w:rPr>
              <w:t>6</w:t>
            </w:r>
          </w:p>
        </w:tc>
        <w:tc>
          <w:tcPr>
            <w:tcW w:w="2693" w:type="dxa"/>
            <w:vAlign w:val="center"/>
          </w:tcPr>
          <w:p w14:paraId="7FA151DD">
            <w:pPr>
              <w:shd w:val="clear" w:fill="FFFFFF" w:themeFill="background1"/>
              <w:jc w:val="center"/>
              <w:rPr>
                <w:rFonts w:ascii="Calibri" w:hAnsi="Calibri"/>
                <w:color w:val="auto"/>
                <w:szCs w:val="21"/>
                <w:highlight w:val="none"/>
              </w:rPr>
            </w:pPr>
            <w:r>
              <w:rPr>
                <w:rFonts w:ascii="宋体" w:hAnsi="宋体"/>
                <w:color w:val="auto"/>
                <w:szCs w:val="21"/>
                <w:highlight w:val="none"/>
              </w:rPr>
              <w:t>因物价波动引起的价格调整</w:t>
            </w:r>
          </w:p>
        </w:tc>
        <w:tc>
          <w:tcPr>
            <w:tcW w:w="1417" w:type="dxa"/>
            <w:vAlign w:val="center"/>
          </w:tcPr>
          <w:p w14:paraId="4A6A4ECC">
            <w:pPr>
              <w:shd w:val="clear" w:fill="FFFFFF" w:themeFill="background1"/>
              <w:jc w:val="center"/>
              <w:rPr>
                <w:rFonts w:ascii="宋体" w:hAnsi="宋体"/>
                <w:color w:val="auto"/>
                <w:szCs w:val="21"/>
                <w:highlight w:val="none"/>
              </w:rPr>
            </w:pPr>
            <w:r>
              <w:rPr>
                <w:rFonts w:ascii="宋体" w:hAnsi="宋体"/>
                <w:color w:val="auto"/>
                <w:szCs w:val="21"/>
                <w:highlight w:val="none"/>
              </w:rPr>
              <w:t>16.1</w:t>
            </w:r>
          </w:p>
        </w:tc>
        <w:tc>
          <w:tcPr>
            <w:tcW w:w="3686" w:type="dxa"/>
            <w:vAlign w:val="center"/>
          </w:tcPr>
          <w:p w14:paraId="2013EB12">
            <w:pPr>
              <w:shd w:val="clear" w:fill="FFFFFF" w:themeFill="background1"/>
              <w:spacing w:line="320" w:lineRule="exact"/>
              <w:rPr>
                <w:rFonts w:ascii="宋体" w:hAnsi="宋体"/>
                <w:color w:val="auto"/>
                <w:szCs w:val="21"/>
                <w:highlight w:val="none"/>
              </w:rPr>
            </w:pPr>
            <w:r>
              <w:rPr>
                <w:rFonts w:ascii="宋体" w:hAnsi="宋体"/>
                <w:color w:val="auto"/>
                <w:sz w:val="24"/>
                <w:highlight w:val="none"/>
              </w:rPr>
              <w:t>□</w:t>
            </w:r>
            <w:r>
              <w:rPr>
                <w:rFonts w:hint="eastAsia" w:ascii="宋体" w:hAnsi="宋体"/>
                <w:color w:val="auto"/>
                <w:szCs w:val="21"/>
                <w:highlight w:val="none"/>
              </w:rPr>
              <w:t>因物价波动引起的价格调整按照第16.1项约定的原则处理</w:t>
            </w:r>
          </w:p>
          <w:p w14:paraId="36BDABD9">
            <w:pPr>
              <w:shd w:val="clear" w:fill="FFFFFF" w:themeFill="background1"/>
              <w:rPr>
                <w:rFonts w:ascii="宋体" w:hAnsi="宋体"/>
                <w:color w:val="auto"/>
                <w:szCs w:val="21"/>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hint="eastAsia" w:ascii="宋体" w:hAnsi="宋体"/>
                <w:color w:val="auto"/>
                <w:szCs w:val="21"/>
                <w:highlight w:val="none"/>
              </w:rPr>
              <w:t>合同期内不调价</w:t>
            </w:r>
          </w:p>
        </w:tc>
        <w:tc>
          <w:tcPr>
            <w:tcW w:w="1190" w:type="dxa"/>
            <w:vAlign w:val="center"/>
          </w:tcPr>
          <w:p w14:paraId="581EBD79">
            <w:pPr>
              <w:shd w:val="clear" w:fill="FFFFFF" w:themeFill="background1"/>
              <w:jc w:val="center"/>
              <w:rPr>
                <w:rFonts w:ascii="宋体" w:hAnsi="宋体"/>
                <w:color w:val="auto"/>
                <w:szCs w:val="21"/>
                <w:highlight w:val="none"/>
              </w:rPr>
            </w:pPr>
          </w:p>
        </w:tc>
      </w:tr>
      <w:tr w14:paraId="6CEDE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6203BB3">
            <w:pPr>
              <w:shd w:val="clear" w:fill="FFFFFF" w:themeFill="background1"/>
              <w:jc w:val="center"/>
              <w:rPr>
                <w:rFonts w:ascii="Calibri" w:hAnsi="Calibri"/>
                <w:color w:val="auto"/>
                <w:szCs w:val="21"/>
                <w:highlight w:val="none"/>
              </w:rPr>
            </w:pPr>
            <w:r>
              <w:rPr>
                <w:rFonts w:ascii="宋体" w:hAnsi="宋体"/>
                <w:color w:val="auto"/>
                <w:szCs w:val="21"/>
                <w:highlight w:val="none"/>
              </w:rPr>
              <w:t>7</w:t>
            </w:r>
          </w:p>
        </w:tc>
        <w:tc>
          <w:tcPr>
            <w:tcW w:w="2693" w:type="dxa"/>
            <w:vAlign w:val="center"/>
          </w:tcPr>
          <w:p w14:paraId="4BB75595">
            <w:pPr>
              <w:shd w:val="clear" w:fill="FFFFFF" w:themeFill="background1"/>
              <w:jc w:val="center"/>
              <w:rPr>
                <w:rFonts w:ascii="Calibri" w:hAnsi="Calibri"/>
                <w:color w:val="auto"/>
                <w:szCs w:val="21"/>
                <w:highlight w:val="none"/>
              </w:rPr>
            </w:pPr>
            <w:r>
              <w:rPr>
                <w:rFonts w:ascii="宋体" w:hAnsi="宋体"/>
                <w:color w:val="auto"/>
                <w:szCs w:val="21"/>
                <w:highlight w:val="none"/>
              </w:rPr>
              <w:t>开工预付款金额</w:t>
            </w:r>
          </w:p>
        </w:tc>
        <w:tc>
          <w:tcPr>
            <w:tcW w:w="1417" w:type="dxa"/>
            <w:vAlign w:val="center"/>
          </w:tcPr>
          <w:p w14:paraId="2740DADE">
            <w:pPr>
              <w:shd w:val="clear" w:fill="FFFFFF" w:themeFill="background1"/>
              <w:jc w:val="center"/>
              <w:rPr>
                <w:rFonts w:ascii="Calibri" w:hAnsi="Calibri"/>
                <w:color w:val="auto"/>
                <w:szCs w:val="21"/>
                <w:highlight w:val="none"/>
              </w:rPr>
            </w:pPr>
            <w:r>
              <w:rPr>
                <w:rFonts w:ascii="宋体" w:hAnsi="宋体"/>
                <w:color w:val="auto"/>
                <w:szCs w:val="21"/>
                <w:highlight w:val="none"/>
              </w:rPr>
              <w:t>17.2.1</w:t>
            </w:r>
            <w:r>
              <w:rPr>
                <w:rFonts w:hint="eastAsia" w:ascii="宋体" w:hAnsi="宋体"/>
                <w:color w:val="auto"/>
                <w:szCs w:val="21"/>
                <w:highlight w:val="none"/>
              </w:rPr>
              <w:t>（1）</w:t>
            </w:r>
          </w:p>
        </w:tc>
        <w:tc>
          <w:tcPr>
            <w:tcW w:w="3686" w:type="dxa"/>
            <w:vAlign w:val="center"/>
          </w:tcPr>
          <w:p w14:paraId="588A770A">
            <w:pPr>
              <w:shd w:val="clear" w:fill="FFFFFF" w:themeFill="background1"/>
              <w:ind w:firstLine="25" w:firstLineChars="12"/>
              <w:rPr>
                <w:rFonts w:ascii="宋体" w:hAnsi="宋体"/>
                <w:color w:val="auto"/>
                <w:szCs w:val="21"/>
                <w:highlight w:val="none"/>
              </w:rPr>
            </w:pPr>
            <w:r>
              <w:rPr>
                <w:rFonts w:hint="eastAsia" w:ascii="宋体" w:hAnsi="宋体"/>
                <w:color w:val="auto"/>
                <w:szCs w:val="21"/>
                <w:highlight w:val="none"/>
                <w:u w:val="single"/>
              </w:rPr>
              <w:t>30</w:t>
            </w:r>
            <w:r>
              <w:rPr>
                <w:rFonts w:hint="eastAsia" w:ascii="宋体" w:hAnsi="宋体"/>
                <w:color w:val="auto"/>
                <w:szCs w:val="21"/>
                <w:highlight w:val="none"/>
              </w:rPr>
              <w:t>%签约合同价</w:t>
            </w:r>
          </w:p>
        </w:tc>
        <w:tc>
          <w:tcPr>
            <w:tcW w:w="1190" w:type="dxa"/>
            <w:vAlign w:val="center"/>
          </w:tcPr>
          <w:p w14:paraId="371A8885">
            <w:pPr>
              <w:shd w:val="clear" w:fill="FFFFFF" w:themeFill="background1"/>
              <w:jc w:val="center"/>
              <w:rPr>
                <w:rFonts w:ascii="Calibri" w:hAnsi="Calibri"/>
                <w:color w:val="auto"/>
                <w:szCs w:val="21"/>
                <w:highlight w:val="none"/>
              </w:rPr>
            </w:pPr>
          </w:p>
        </w:tc>
      </w:tr>
      <w:tr w14:paraId="007F5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60C67D0B">
            <w:pPr>
              <w:shd w:val="clear" w:fill="FFFFFF" w:themeFill="background1"/>
              <w:jc w:val="center"/>
              <w:rPr>
                <w:rFonts w:ascii="Calibri" w:hAnsi="Calibri"/>
                <w:color w:val="auto"/>
                <w:szCs w:val="21"/>
                <w:highlight w:val="none"/>
              </w:rPr>
            </w:pPr>
            <w:r>
              <w:rPr>
                <w:rFonts w:ascii="宋体" w:hAnsi="宋体"/>
                <w:color w:val="auto"/>
                <w:szCs w:val="21"/>
                <w:highlight w:val="none"/>
              </w:rPr>
              <w:t>8</w:t>
            </w:r>
          </w:p>
        </w:tc>
        <w:tc>
          <w:tcPr>
            <w:tcW w:w="2693" w:type="dxa"/>
            <w:vAlign w:val="center"/>
          </w:tcPr>
          <w:p w14:paraId="00F445BD">
            <w:pPr>
              <w:shd w:val="clear" w:fill="FFFFFF" w:themeFill="background1"/>
              <w:jc w:val="center"/>
              <w:rPr>
                <w:rFonts w:ascii="Calibri" w:hAnsi="Calibri"/>
                <w:color w:val="auto"/>
                <w:szCs w:val="21"/>
                <w:highlight w:val="none"/>
              </w:rPr>
            </w:pPr>
            <w:r>
              <w:rPr>
                <w:rFonts w:ascii="宋体" w:hAnsi="宋体"/>
                <w:color w:val="auto"/>
                <w:szCs w:val="21"/>
                <w:highlight w:val="none"/>
              </w:rPr>
              <w:t>材料、设备预付款比例</w:t>
            </w:r>
          </w:p>
        </w:tc>
        <w:tc>
          <w:tcPr>
            <w:tcW w:w="1417" w:type="dxa"/>
            <w:vAlign w:val="center"/>
          </w:tcPr>
          <w:p w14:paraId="0D6BB6B6">
            <w:pPr>
              <w:shd w:val="clear" w:fill="FFFFFF" w:themeFill="background1"/>
              <w:jc w:val="center"/>
              <w:rPr>
                <w:rFonts w:ascii="Calibri" w:hAnsi="Calibri"/>
                <w:color w:val="auto"/>
                <w:szCs w:val="21"/>
                <w:highlight w:val="none"/>
              </w:rPr>
            </w:pPr>
            <w:r>
              <w:rPr>
                <w:rFonts w:ascii="宋体" w:hAnsi="宋体"/>
                <w:color w:val="auto"/>
                <w:szCs w:val="21"/>
                <w:highlight w:val="none"/>
              </w:rPr>
              <w:t>17.2.1</w:t>
            </w:r>
            <w:r>
              <w:rPr>
                <w:rFonts w:hint="eastAsia" w:ascii="宋体" w:hAnsi="宋体"/>
                <w:color w:val="auto"/>
                <w:szCs w:val="21"/>
                <w:highlight w:val="none"/>
              </w:rPr>
              <w:t>（2）</w:t>
            </w:r>
          </w:p>
        </w:tc>
        <w:tc>
          <w:tcPr>
            <w:tcW w:w="3686" w:type="dxa"/>
            <w:vAlign w:val="center"/>
          </w:tcPr>
          <w:p w14:paraId="31372801">
            <w:pPr>
              <w:shd w:val="clear" w:fill="FFFFFF" w:themeFill="background1"/>
              <w:ind w:firstLine="25" w:firstLineChars="12"/>
              <w:rPr>
                <w:rFonts w:ascii="Calibri" w:hAnsi="Calibri"/>
                <w:color w:val="auto"/>
                <w:szCs w:val="21"/>
                <w:highlight w:val="none"/>
              </w:rPr>
            </w:pPr>
            <w:r>
              <w:rPr>
                <w:rFonts w:hint="eastAsia" w:ascii="宋体" w:hAnsi="宋体"/>
                <w:color w:val="auto"/>
                <w:szCs w:val="21"/>
                <w:highlight w:val="none"/>
                <w:u w:val="single"/>
              </w:rPr>
              <w:t xml:space="preserve">  / </w:t>
            </w:r>
            <w:r>
              <w:rPr>
                <w:rFonts w:hint="eastAsia" w:ascii="宋体" w:hAnsi="宋体"/>
                <w:color w:val="auto"/>
                <w:szCs w:val="21"/>
                <w:highlight w:val="none"/>
              </w:rPr>
              <w:t>等主要材料、设备单据所列费用的</w:t>
            </w:r>
            <w:r>
              <w:rPr>
                <w:rFonts w:hint="eastAsia" w:ascii="宋体" w:hAnsi="宋体"/>
                <w:color w:val="auto"/>
                <w:szCs w:val="21"/>
                <w:highlight w:val="none"/>
                <w:u w:val="single"/>
              </w:rPr>
              <w:t>0</w:t>
            </w:r>
            <w:r>
              <w:rPr>
                <w:rFonts w:hint="eastAsia" w:ascii="宋体" w:hAnsi="宋体"/>
                <w:color w:val="auto"/>
                <w:szCs w:val="21"/>
                <w:highlight w:val="none"/>
              </w:rPr>
              <w:t xml:space="preserve"> %</w:t>
            </w:r>
          </w:p>
        </w:tc>
        <w:tc>
          <w:tcPr>
            <w:tcW w:w="1190" w:type="dxa"/>
            <w:vAlign w:val="center"/>
          </w:tcPr>
          <w:p w14:paraId="3B5014D6">
            <w:pPr>
              <w:shd w:val="clear" w:fill="FFFFFF" w:themeFill="background1"/>
              <w:jc w:val="center"/>
              <w:rPr>
                <w:rFonts w:ascii="Calibri" w:hAnsi="Calibri"/>
                <w:color w:val="auto"/>
                <w:szCs w:val="21"/>
                <w:highlight w:val="none"/>
              </w:rPr>
            </w:pPr>
          </w:p>
        </w:tc>
      </w:tr>
      <w:tr w14:paraId="4D73A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B8EDD12">
            <w:pPr>
              <w:shd w:val="clear" w:fill="FFFFFF" w:themeFill="background1"/>
              <w:jc w:val="center"/>
              <w:rPr>
                <w:rFonts w:ascii="Calibri" w:hAnsi="Calibri"/>
                <w:color w:val="auto"/>
                <w:szCs w:val="21"/>
                <w:highlight w:val="none"/>
              </w:rPr>
            </w:pPr>
            <w:r>
              <w:rPr>
                <w:rFonts w:ascii="宋体" w:hAnsi="宋体"/>
                <w:color w:val="auto"/>
                <w:szCs w:val="21"/>
                <w:highlight w:val="none"/>
              </w:rPr>
              <w:t>9</w:t>
            </w:r>
          </w:p>
        </w:tc>
        <w:tc>
          <w:tcPr>
            <w:tcW w:w="2693" w:type="dxa"/>
            <w:vAlign w:val="center"/>
          </w:tcPr>
          <w:p w14:paraId="3E0BA182">
            <w:pPr>
              <w:shd w:val="clear" w:fill="FFFFFF" w:themeFill="background1"/>
              <w:jc w:val="center"/>
              <w:rPr>
                <w:rFonts w:ascii="Calibri" w:hAnsi="Calibri"/>
                <w:color w:val="auto"/>
                <w:szCs w:val="21"/>
                <w:highlight w:val="none"/>
              </w:rPr>
            </w:pPr>
            <w:r>
              <w:rPr>
                <w:rFonts w:ascii="宋体" w:hAnsi="宋体"/>
                <w:color w:val="auto"/>
                <w:szCs w:val="21"/>
                <w:highlight w:val="none"/>
              </w:rPr>
              <w:t>进度付款证书最低限额</w:t>
            </w:r>
          </w:p>
        </w:tc>
        <w:tc>
          <w:tcPr>
            <w:tcW w:w="1417" w:type="dxa"/>
            <w:vAlign w:val="center"/>
          </w:tcPr>
          <w:p w14:paraId="782ED4D0">
            <w:pPr>
              <w:shd w:val="clear" w:fill="FFFFFF" w:themeFill="background1"/>
              <w:jc w:val="center"/>
              <w:rPr>
                <w:rFonts w:ascii="Calibri" w:hAnsi="Calibri"/>
                <w:color w:val="auto"/>
                <w:szCs w:val="21"/>
                <w:highlight w:val="none"/>
              </w:rPr>
            </w:pPr>
            <w:r>
              <w:rPr>
                <w:rFonts w:ascii="宋体" w:hAnsi="宋体"/>
                <w:color w:val="auto"/>
                <w:szCs w:val="21"/>
                <w:highlight w:val="none"/>
              </w:rPr>
              <w:t>17.3.3(1)</w:t>
            </w:r>
          </w:p>
        </w:tc>
        <w:tc>
          <w:tcPr>
            <w:tcW w:w="3686" w:type="dxa"/>
            <w:vAlign w:val="center"/>
          </w:tcPr>
          <w:p w14:paraId="722CCD92">
            <w:pPr>
              <w:shd w:val="clear" w:fill="FFFFFF" w:themeFill="background1"/>
              <w:rPr>
                <w:rFonts w:ascii="Calibri" w:hAnsi="Calibri"/>
                <w:color w:val="auto"/>
                <w:szCs w:val="21"/>
                <w:highlight w:val="none"/>
              </w:rPr>
            </w:pPr>
            <w:r>
              <w:rPr>
                <w:rFonts w:hint="eastAsia" w:ascii="宋体" w:hAnsi="宋体"/>
                <w:color w:val="auto"/>
                <w:szCs w:val="21"/>
                <w:highlight w:val="none"/>
                <w:u w:val="single"/>
                <w:lang w:val="en-US" w:eastAsia="zh-CN"/>
              </w:rPr>
              <w:t>4</w:t>
            </w:r>
            <w:r>
              <w:rPr>
                <w:rFonts w:ascii="宋体" w:hAnsi="宋体"/>
                <w:color w:val="auto"/>
                <w:szCs w:val="21"/>
                <w:highlight w:val="none"/>
              </w:rPr>
              <w:t>万元</w:t>
            </w:r>
          </w:p>
        </w:tc>
        <w:tc>
          <w:tcPr>
            <w:tcW w:w="1190" w:type="dxa"/>
            <w:vAlign w:val="center"/>
          </w:tcPr>
          <w:p w14:paraId="00D3E287">
            <w:pPr>
              <w:shd w:val="clear" w:fill="FFFFFF" w:themeFill="background1"/>
              <w:jc w:val="center"/>
              <w:rPr>
                <w:rFonts w:ascii="Calibri" w:hAnsi="Calibri"/>
                <w:color w:val="auto"/>
                <w:szCs w:val="21"/>
                <w:highlight w:val="none"/>
              </w:rPr>
            </w:pPr>
          </w:p>
        </w:tc>
      </w:tr>
      <w:tr w14:paraId="6876B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364A82A">
            <w:pPr>
              <w:shd w:val="clear" w:fill="FFFFFF" w:themeFill="background1"/>
              <w:jc w:val="center"/>
              <w:rPr>
                <w:rFonts w:ascii="Calibri" w:hAnsi="Calibri"/>
                <w:color w:val="auto"/>
                <w:szCs w:val="21"/>
                <w:highlight w:val="none"/>
              </w:rPr>
            </w:pPr>
            <w:r>
              <w:rPr>
                <w:rFonts w:ascii="宋体" w:hAnsi="宋体"/>
                <w:color w:val="auto"/>
                <w:szCs w:val="21"/>
                <w:highlight w:val="none"/>
              </w:rPr>
              <w:t>10</w:t>
            </w:r>
          </w:p>
        </w:tc>
        <w:tc>
          <w:tcPr>
            <w:tcW w:w="2693" w:type="dxa"/>
            <w:vAlign w:val="center"/>
          </w:tcPr>
          <w:p w14:paraId="1089922F">
            <w:pPr>
              <w:shd w:val="clear" w:fill="FFFFFF" w:themeFill="background1"/>
              <w:jc w:val="center"/>
              <w:rPr>
                <w:rFonts w:ascii="Calibri" w:hAnsi="Calibri"/>
                <w:color w:val="auto"/>
                <w:szCs w:val="21"/>
                <w:highlight w:val="none"/>
              </w:rPr>
            </w:pPr>
            <w:r>
              <w:rPr>
                <w:rFonts w:ascii="宋体" w:hAnsi="宋体"/>
                <w:color w:val="auto"/>
                <w:szCs w:val="21"/>
                <w:highlight w:val="none"/>
              </w:rPr>
              <w:t>逾期付款违约金的利率</w:t>
            </w:r>
          </w:p>
        </w:tc>
        <w:tc>
          <w:tcPr>
            <w:tcW w:w="1417" w:type="dxa"/>
            <w:vAlign w:val="center"/>
          </w:tcPr>
          <w:p w14:paraId="01711137">
            <w:pPr>
              <w:shd w:val="clear" w:fill="FFFFFF" w:themeFill="background1"/>
              <w:jc w:val="center"/>
              <w:rPr>
                <w:rFonts w:ascii="Calibri" w:hAnsi="Calibri"/>
                <w:color w:val="auto"/>
                <w:szCs w:val="21"/>
                <w:highlight w:val="none"/>
              </w:rPr>
            </w:pPr>
            <w:r>
              <w:rPr>
                <w:rFonts w:ascii="宋体" w:hAnsi="宋体"/>
                <w:color w:val="auto"/>
                <w:szCs w:val="21"/>
                <w:highlight w:val="none"/>
              </w:rPr>
              <w:t>17.3.3(2)</w:t>
            </w:r>
          </w:p>
        </w:tc>
        <w:tc>
          <w:tcPr>
            <w:tcW w:w="3686" w:type="dxa"/>
            <w:vAlign w:val="center"/>
          </w:tcPr>
          <w:p w14:paraId="4D61BDA0">
            <w:pPr>
              <w:shd w:val="clear" w:fill="FFFFFF" w:themeFill="background1"/>
              <w:rPr>
                <w:rFonts w:ascii="Calibri" w:hAnsi="Calibri"/>
                <w:color w:val="auto"/>
                <w:szCs w:val="21"/>
                <w:highlight w:val="none"/>
              </w:rPr>
            </w:pPr>
            <w:r>
              <w:rPr>
                <w:rFonts w:hint="eastAsia" w:ascii="宋体" w:hAnsi="宋体"/>
                <w:color w:val="auto"/>
                <w:szCs w:val="21"/>
                <w:highlight w:val="none"/>
                <w:u w:val="single"/>
              </w:rPr>
              <w:t xml:space="preserve">  / ‰/天 </w:t>
            </w:r>
          </w:p>
        </w:tc>
        <w:tc>
          <w:tcPr>
            <w:tcW w:w="1190" w:type="dxa"/>
            <w:vAlign w:val="center"/>
          </w:tcPr>
          <w:p w14:paraId="51B465DB">
            <w:pPr>
              <w:shd w:val="clear" w:fill="FFFFFF" w:themeFill="background1"/>
              <w:jc w:val="center"/>
              <w:rPr>
                <w:rFonts w:ascii="Calibri" w:hAnsi="Calibri"/>
                <w:color w:val="auto"/>
                <w:szCs w:val="21"/>
                <w:highlight w:val="none"/>
              </w:rPr>
            </w:pPr>
          </w:p>
        </w:tc>
      </w:tr>
      <w:tr w14:paraId="43884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53" w:type="dxa"/>
            <w:vAlign w:val="center"/>
          </w:tcPr>
          <w:p w14:paraId="40A99084">
            <w:pPr>
              <w:shd w:val="clear" w:fill="FFFFFF" w:themeFill="background1"/>
              <w:jc w:val="center"/>
              <w:rPr>
                <w:rFonts w:ascii="宋体" w:hAnsi="宋体"/>
                <w:color w:val="auto"/>
                <w:szCs w:val="21"/>
                <w:highlight w:val="none"/>
              </w:rPr>
            </w:pPr>
            <w:r>
              <w:rPr>
                <w:rFonts w:hint="eastAsia" w:ascii="宋体" w:hAnsi="宋体"/>
                <w:color w:val="auto"/>
                <w:szCs w:val="21"/>
                <w:highlight w:val="none"/>
              </w:rPr>
              <w:t>11</w:t>
            </w:r>
          </w:p>
        </w:tc>
        <w:tc>
          <w:tcPr>
            <w:tcW w:w="2693" w:type="dxa"/>
            <w:vAlign w:val="center"/>
          </w:tcPr>
          <w:p w14:paraId="7C79C13A">
            <w:pPr>
              <w:shd w:val="clear" w:fill="FFFFFF" w:themeFill="background1"/>
              <w:jc w:val="center"/>
              <w:rPr>
                <w:rFonts w:ascii="宋体" w:hAnsi="宋体"/>
                <w:color w:val="auto"/>
                <w:szCs w:val="21"/>
                <w:highlight w:val="none"/>
              </w:rPr>
            </w:pPr>
            <w:r>
              <w:rPr>
                <w:rFonts w:ascii="宋体" w:hAnsi="宋体"/>
                <w:color w:val="auto"/>
                <w:szCs w:val="21"/>
                <w:highlight w:val="none"/>
              </w:rPr>
              <w:t>质量保证金</w:t>
            </w:r>
            <w:r>
              <w:rPr>
                <w:rFonts w:hint="eastAsia" w:ascii="宋体" w:hAnsi="宋体"/>
                <w:color w:val="auto"/>
                <w:szCs w:val="21"/>
                <w:highlight w:val="none"/>
              </w:rPr>
              <w:t>限额</w:t>
            </w:r>
          </w:p>
        </w:tc>
        <w:tc>
          <w:tcPr>
            <w:tcW w:w="1417" w:type="dxa"/>
            <w:vAlign w:val="center"/>
          </w:tcPr>
          <w:p w14:paraId="3EC2685B">
            <w:pPr>
              <w:shd w:val="clear" w:fill="FFFFFF" w:themeFill="background1"/>
              <w:jc w:val="center"/>
              <w:rPr>
                <w:rFonts w:ascii="Calibri" w:hAnsi="Calibri"/>
                <w:color w:val="auto"/>
                <w:szCs w:val="21"/>
                <w:highlight w:val="none"/>
              </w:rPr>
            </w:pPr>
            <w:r>
              <w:rPr>
                <w:rFonts w:ascii="宋体" w:hAnsi="宋体"/>
                <w:color w:val="auto"/>
                <w:szCs w:val="21"/>
                <w:highlight w:val="none"/>
              </w:rPr>
              <w:t>17.4.1</w:t>
            </w:r>
          </w:p>
        </w:tc>
        <w:tc>
          <w:tcPr>
            <w:tcW w:w="3686" w:type="dxa"/>
            <w:vAlign w:val="center"/>
          </w:tcPr>
          <w:p w14:paraId="521DC067">
            <w:pPr>
              <w:shd w:val="clear" w:fill="FFFFFF" w:themeFill="background1"/>
              <w:rPr>
                <w:rFonts w:ascii="Calibri" w:hAnsi="Calibri"/>
                <w:color w:val="auto"/>
                <w:szCs w:val="21"/>
                <w:highlight w:val="none"/>
              </w:rPr>
            </w:pPr>
            <w:r>
              <w:rPr>
                <w:rFonts w:hint="eastAsia" w:ascii="宋体" w:hAnsi="宋体"/>
                <w:color w:val="auto"/>
                <w:szCs w:val="21"/>
                <w:highlight w:val="none"/>
                <w:u w:val="single"/>
              </w:rPr>
              <w:t xml:space="preserve"> 3 </w:t>
            </w:r>
            <w:r>
              <w:rPr>
                <w:rFonts w:hint="eastAsia" w:ascii="宋体" w:hAnsi="宋体"/>
                <w:color w:val="auto"/>
                <w:szCs w:val="21"/>
                <w:highlight w:val="none"/>
              </w:rPr>
              <w:t>%合同价格</w:t>
            </w:r>
          </w:p>
        </w:tc>
        <w:tc>
          <w:tcPr>
            <w:tcW w:w="1190" w:type="dxa"/>
            <w:vAlign w:val="center"/>
          </w:tcPr>
          <w:p w14:paraId="747B7CAC">
            <w:pPr>
              <w:shd w:val="clear" w:fill="FFFFFF" w:themeFill="background1"/>
              <w:jc w:val="center"/>
              <w:rPr>
                <w:rFonts w:ascii="Calibri" w:hAnsi="Calibri"/>
                <w:color w:val="auto"/>
                <w:szCs w:val="21"/>
                <w:highlight w:val="none"/>
              </w:rPr>
            </w:pPr>
          </w:p>
        </w:tc>
      </w:tr>
      <w:tr w14:paraId="0364D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15CE5B2">
            <w:pPr>
              <w:shd w:val="clear" w:fill="FFFFFF" w:themeFill="background1"/>
              <w:jc w:val="center"/>
              <w:rPr>
                <w:rFonts w:ascii="Calibri" w:hAnsi="Calibri"/>
                <w:color w:val="auto"/>
                <w:szCs w:val="21"/>
                <w:highlight w:val="none"/>
              </w:rPr>
            </w:pPr>
            <w:r>
              <w:rPr>
                <w:rFonts w:ascii="宋体" w:hAnsi="宋体"/>
                <w:color w:val="auto"/>
                <w:szCs w:val="21"/>
                <w:highlight w:val="none"/>
              </w:rPr>
              <w:t>12</w:t>
            </w:r>
          </w:p>
        </w:tc>
        <w:tc>
          <w:tcPr>
            <w:tcW w:w="2693" w:type="dxa"/>
            <w:vAlign w:val="center"/>
          </w:tcPr>
          <w:p w14:paraId="3699B06B">
            <w:pPr>
              <w:shd w:val="clear" w:fill="FFFFFF" w:themeFill="background1"/>
              <w:jc w:val="center"/>
              <w:rPr>
                <w:rFonts w:ascii="Calibri" w:hAnsi="Calibri"/>
                <w:color w:val="auto"/>
                <w:szCs w:val="21"/>
                <w:highlight w:val="none"/>
              </w:rPr>
            </w:pPr>
            <w:r>
              <w:rPr>
                <w:rFonts w:ascii="宋体" w:hAnsi="宋体"/>
                <w:color w:val="auto"/>
                <w:szCs w:val="21"/>
                <w:highlight w:val="none"/>
              </w:rPr>
              <w:t>保修期</w:t>
            </w:r>
          </w:p>
        </w:tc>
        <w:tc>
          <w:tcPr>
            <w:tcW w:w="1417" w:type="dxa"/>
            <w:vAlign w:val="center"/>
          </w:tcPr>
          <w:p w14:paraId="7CC47534">
            <w:pPr>
              <w:shd w:val="clear" w:fill="FFFFFF" w:themeFill="background1"/>
              <w:jc w:val="center"/>
              <w:rPr>
                <w:rFonts w:ascii="Calibri" w:hAnsi="Calibri"/>
                <w:color w:val="auto"/>
                <w:szCs w:val="21"/>
                <w:highlight w:val="none"/>
              </w:rPr>
            </w:pPr>
            <w:r>
              <w:rPr>
                <w:rFonts w:ascii="宋体" w:hAnsi="宋体"/>
                <w:color w:val="auto"/>
                <w:szCs w:val="21"/>
                <w:highlight w:val="none"/>
              </w:rPr>
              <w:t>19.7</w:t>
            </w:r>
          </w:p>
        </w:tc>
        <w:tc>
          <w:tcPr>
            <w:tcW w:w="3686" w:type="dxa"/>
            <w:vAlign w:val="center"/>
          </w:tcPr>
          <w:p w14:paraId="66E81858">
            <w:pPr>
              <w:shd w:val="clear" w:fill="FFFFFF" w:themeFill="background1"/>
              <w:rPr>
                <w:rFonts w:ascii="Calibri" w:hAnsi="Calibri"/>
                <w:color w:val="auto"/>
                <w:szCs w:val="21"/>
                <w:highlight w:val="none"/>
              </w:rPr>
            </w:pPr>
            <w:r>
              <w:rPr>
                <w:rFonts w:hint="eastAsia" w:ascii="宋体" w:hAnsi="宋体"/>
                <w:color w:val="auto"/>
                <w:szCs w:val="21"/>
                <w:highlight w:val="none"/>
              </w:rPr>
              <w:t>自本项目实际交工日期之日起计算</w:t>
            </w:r>
            <w:r>
              <w:rPr>
                <w:rFonts w:hint="eastAsia" w:ascii="宋体" w:hAnsi="宋体"/>
                <w:color w:val="auto"/>
                <w:szCs w:val="21"/>
                <w:highlight w:val="none"/>
                <w:u w:val="single"/>
              </w:rPr>
              <w:t>1年</w:t>
            </w:r>
            <w:r>
              <w:rPr>
                <w:rFonts w:hint="eastAsia" w:ascii="宋体" w:hAnsi="宋体"/>
                <w:color w:val="auto"/>
                <w:szCs w:val="21"/>
                <w:highlight w:val="none"/>
              </w:rPr>
              <w:t>。</w:t>
            </w:r>
          </w:p>
        </w:tc>
        <w:tc>
          <w:tcPr>
            <w:tcW w:w="1190" w:type="dxa"/>
            <w:vAlign w:val="center"/>
          </w:tcPr>
          <w:p w14:paraId="3B973EE7">
            <w:pPr>
              <w:shd w:val="clear" w:fill="FFFFFF" w:themeFill="background1"/>
              <w:jc w:val="center"/>
              <w:rPr>
                <w:rFonts w:ascii="Calibri" w:hAnsi="Calibri"/>
                <w:color w:val="auto"/>
                <w:szCs w:val="21"/>
                <w:highlight w:val="none"/>
              </w:rPr>
            </w:pPr>
          </w:p>
        </w:tc>
      </w:tr>
    </w:tbl>
    <w:p w14:paraId="5F9EC5FE">
      <w:pPr>
        <w:shd w:val="clear" w:fill="FFFFFF" w:themeFill="background1"/>
        <w:spacing w:line="500" w:lineRule="exact"/>
        <w:ind w:right="480" w:firstLine="3480" w:firstLineChars="1450"/>
        <w:rPr>
          <w:rFonts w:ascii="宋体" w:hAnsi="宋体"/>
          <w:color w:val="auto"/>
          <w:sz w:val="24"/>
          <w:highlight w:val="none"/>
        </w:rPr>
      </w:pPr>
    </w:p>
    <w:p w14:paraId="2D234D7E">
      <w:pPr>
        <w:shd w:val="clear" w:fill="FFFFFF" w:themeFill="background1"/>
        <w:spacing w:line="500" w:lineRule="exact"/>
        <w:ind w:right="480" w:firstLine="3480" w:firstLineChars="1450"/>
        <w:rPr>
          <w:rFonts w:ascii="宋体" w:hAnsi="宋体"/>
          <w:color w:val="auto"/>
          <w:sz w:val="24"/>
          <w:highlight w:val="none"/>
        </w:rPr>
      </w:pPr>
    </w:p>
    <w:p w14:paraId="29C08B1B">
      <w:pPr>
        <w:shd w:val="clear" w:fill="FFFFFF" w:themeFill="background1"/>
        <w:spacing w:line="500" w:lineRule="exact"/>
        <w:ind w:right="480" w:firstLine="3480" w:firstLineChars="1450"/>
        <w:rPr>
          <w:rFonts w:ascii="宋体" w:hAnsi="宋体"/>
          <w:color w:val="auto"/>
          <w:sz w:val="24"/>
          <w:highlight w:val="none"/>
        </w:rPr>
      </w:pPr>
    </w:p>
    <w:p w14:paraId="5286D690">
      <w:pPr>
        <w:shd w:val="clear" w:fill="FFFFFF" w:themeFill="background1"/>
        <w:spacing w:line="500" w:lineRule="exact"/>
        <w:ind w:right="480"/>
        <w:rPr>
          <w:rFonts w:ascii="宋体" w:hAnsi="宋体"/>
          <w:color w:val="auto"/>
          <w:sz w:val="24"/>
          <w:highlight w:val="none"/>
        </w:rPr>
      </w:pPr>
    </w:p>
    <w:p w14:paraId="2E8702E6">
      <w:pPr>
        <w:shd w:val="clear" w:fill="FFFFFF" w:themeFill="background1"/>
        <w:jc w:val="center"/>
        <w:rPr>
          <w:rFonts w:ascii="宋体" w:hAnsi="宋体"/>
          <w:color w:val="auto"/>
          <w:sz w:val="28"/>
          <w:szCs w:val="28"/>
          <w:highlight w:val="none"/>
        </w:rPr>
      </w:pPr>
      <w:bookmarkStart w:id="1755" w:name="_Toc234382961"/>
      <w:bookmarkEnd w:id="1755"/>
      <w:r>
        <w:rPr>
          <w:rFonts w:ascii="宋体" w:hAnsi="宋体"/>
          <w:b/>
          <w:color w:val="auto"/>
          <w:sz w:val="28"/>
          <w:szCs w:val="28"/>
          <w:highlight w:val="none"/>
        </w:rPr>
        <w:br w:type="page"/>
      </w:r>
      <w:r>
        <w:rPr>
          <w:rFonts w:ascii="宋体" w:hAnsi="宋体"/>
          <w:b/>
          <w:color w:val="auto"/>
          <w:sz w:val="28"/>
          <w:szCs w:val="28"/>
          <w:highlight w:val="none"/>
        </w:rPr>
        <w:t>二、授权委托书</w:t>
      </w:r>
      <w:r>
        <w:rPr>
          <w:rFonts w:hint="eastAsia" w:ascii="宋体" w:hAnsi="宋体"/>
          <w:b/>
          <w:color w:val="auto"/>
          <w:sz w:val="28"/>
          <w:szCs w:val="28"/>
          <w:highlight w:val="none"/>
        </w:rPr>
        <w:t>或</w:t>
      </w:r>
      <w:r>
        <w:rPr>
          <w:rFonts w:ascii="宋体" w:hAnsi="宋体"/>
          <w:b/>
          <w:color w:val="auto"/>
          <w:sz w:val="28"/>
          <w:szCs w:val="28"/>
          <w:highlight w:val="none"/>
        </w:rPr>
        <w:t>法定代表人身份证明</w:t>
      </w:r>
    </w:p>
    <w:p w14:paraId="163C3DD2">
      <w:pPr>
        <w:shd w:val="clear" w:fill="FFFFFF" w:themeFill="background1"/>
        <w:jc w:val="center"/>
        <w:rPr>
          <w:rFonts w:ascii="宋体" w:hAnsi="宋体"/>
          <w:color w:val="auto"/>
          <w:highlight w:val="none"/>
        </w:rPr>
      </w:pPr>
    </w:p>
    <w:p w14:paraId="2D618156">
      <w:pPr>
        <w:shd w:val="clear" w:fill="FFFFFF" w:themeFill="background1"/>
        <w:jc w:val="center"/>
        <w:rPr>
          <w:rFonts w:ascii="宋体" w:hAnsi="宋体"/>
          <w:b/>
          <w:color w:val="auto"/>
          <w:sz w:val="32"/>
          <w:szCs w:val="32"/>
          <w:highlight w:val="none"/>
        </w:rPr>
      </w:pPr>
      <w:r>
        <w:rPr>
          <w:rFonts w:ascii="宋体" w:hAnsi="宋体"/>
          <w:b/>
          <w:bCs/>
          <w:color w:val="auto"/>
          <w:kern w:val="44"/>
          <w:sz w:val="28"/>
          <w:szCs w:val="28"/>
          <w:highlight w:val="none"/>
        </w:rPr>
        <w:t>（</w:t>
      </w:r>
      <w:r>
        <w:rPr>
          <w:rFonts w:hint="eastAsia" w:ascii="宋体" w:hAnsi="宋体"/>
          <w:b/>
          <w:bCs/>
          <w:color w:val="auto"/>
          <w:kern w:val="44"/>
          <w:sz w:val="28"/>
          <w:szCs w:val="28"/>
          <w:highlight w:val="none"/>
        </w:rPr>
        <w:t>一</w:t>
      </w:r>
      <w:r>
        <w:rPr>
          <w:rFonts w:ascii="宋体" w:hAnsi="宋体"/>
          <w:b/>
          <w:bCs/>
          <w:color w:val="auto"/>
          <w:kern w:val="44"/>
          <w:sz w:val="28"/>
          <w:szCs w:val="28"/>
          <w:highlight w:val="none"/>
        </w:rPr>
        <w:t>）授权委托书</w:t>
      </w:r>
    </w:p>
    <w:p w14:paraId="57E269E1">
      <w:pPr>
        <w:shd w:val="clear" w:fill="FFFFFF" w:themeFill="background1"/>
        <w:spacing w:line="500" w:lineRule="exact"/>
        <w:rPr>
          <w:rFonts w:ascii="宋体" w:hAnsi="宋体"/>
          <w:color w:val="auto"/>
          <w:sz w:val="24"/>
          <w:highlight w:val="none"/>
        </w:rPr>
      </w:pPr>
    </w:p>
    <w:p w14:paraId="394C55BA">
      <w:pPr>
        <w:shd w:val="clear" w:fill="FFFFFF" w:themeFill="background1"/>
        <w:spacing w:line="500" w:lineRule="exact"/>
        <w:ind w:firstLine="480" w:firstLineChars="200"/>
        <w:rPr>
          <w:rFonts w:ascii="宋体" w:hAnsi="宋体"/>
          <w:color w:val="auto"/>
          <w:sz w:val="24"/>
          <w:highlight w:val="none"/>
        </w:rPr>
      </w:pPr>
      <w:r>
        <w:rPr>
          <w:rFonts w:ascii="宋体" w:hAnsi="宋体"/>
          <w:color w:val="auto"/>
          <w:sz w:val="24"/>
          <w:highlight w:val="none"/>
        </w:rPr>
        <w:t>本人</w:t>
      </w:r>
      <w:r>
        <w:rPr>
          <w:rFonts w:ascii="宋体" w:hAnsi="宋体"/>
          <w:color w:val="auto"/>
          <w:sz w:val="24"/>
          <w:highlight w:val="none"/>
          <w:u w:val="single"/>
        </w:rPr>
        <w:t>（姓名）</w:t>
      </w:r>
      <w:r>
        <w:rPr>
          <w:rFonts w:ascii="宋体" w:hAnsi="宋体"/>
          <w:color w:val="auto"/>
          <w:sz w:val="24"/>
          <w:highlight w:val="none"/>
        </w:rPr>
        <w:t>系</w:t>
      </w:r>
      <w:r>
        <w:rPr>
          <w:rFonts w:ascii="宋体" w:hAnsi="宋体"/>
          <w:color w:val="auto"/>
          <w:sz w:val="24"/>
          <w:highlight w:val="none"/>
          <w:u w:val="single"/>
        </w:rPr>
        <w:t>（投标人名称）</w:t>
      </w:r>
      <w:r>
        <w:rPr>
          <w:rFonts w:ascii="宋体" w:hAnsi="宋体"/>
          <w:color w:val="auto"/>
          <w:sz w:val="24"/>
          <w:highlight w:val="none"/>
        </w:rPr>
        <w:t>的法定代表人，现委托</w:t>
      </w:r>
      <w:r>
        <w:rPr>
          <w:rFonts w:ascii="宋体" w:hAnsi="宋体"/>
          <w:color w:val="auto"/>
          <w:sz w:val="24"/>
          <w:highlight w:val="none"/>
          <w:u w:val="single"/>
        </w:rPr>
        <w:t>（姓名）</w:t>
      </w:r>
      <w:r>
        <w:rPr>
          <w:rFonts w:ascii="宋体" w:hAnsi="宋体"/>
          <w:color w:val="auto"/>
          <w:sz w:val="24"/>
          <w:highlight w:val="none"/>
        </w:rPr>
        <w:t>为我方代理人。代理人根据授权，以我方名义签署、澄清</w:t>
      </w:r>
      <w:r>
        <w:rPr>
          <w:rFonts w:hint="eastAsia" w:ascii="宋体" w:hAnsi="宋体"/>
          <w:color w:val="auto"/>
          <w:sz w:val="24"/>
          <w:highlight w:val="none"/>
        </w:rPr>
        <w:t>确认</w:t>
      </w:r>
      <w:r>
        <w:rPr>
          <w:rFonts w:ascii="宋体" w:hAnsi="宋体"/>
          <w:color w:val="auto"/>
          <w:sz w:val="24"/>
          <w:highlight w:val="none"/>
        </w:rPr>
        <w:t>、递交、撤回、修改</w:t>
      </w:r>
      <w:r>
        <w:rPr>
          <w:rFonts w:ascii="宋体" w:hAnsi="宋体"/>
          <w:color w:val="auto"/>
          <w:sz w:val="24"/>
          <w:highlight w:val="none"/>
          <w:u w:val="single"/>
        </w:rPr>
        <w:t xml:space="preserve">   （项目名称）     </w:t>
      </w:r>
      <w:r>
        <w:rPr>
          <w:rFonts w:hint="eastAsia" w:ascii="宋体" w:hAnsi="宋体"/>
          <w:color w:val="auto"/>
          <w:sz w:val="24"/>
          <w:highlight w:val="none"/>
        </w:rPr>
        <w:t>施工</w:t>
      </w:r>
      <w:r>
        <w:rPr>
          <w:rFonts w:ascii="宋体" w:hAnsi="宋体"/>
          <w:color w:val="auto"/>
          <w:sz w:val="24"/>
          <w:highlight w:val="none"/>
        </w:rPr>
        <w:t>投标文件、签订合同和处理有关事宜，其法律后果由我方承担。</w:t>
      </w:r>
    </w:p>
    <w:p w14:paraId="490B6005">
      <w:pPr>
        <w:shd w:val="clear" w:fill="FFFFFF" w:themeFill="background1"/>
        <w:snapToGrid w:val="0"/>
        <w:spacing w:line="440" w:lineRule="exact"/>
        <w:ind w:firstLine="480" w:firstLineChars="200"/>
        <w:rPr>
          <w:rFonts w:hAnsi="宋体" w:cs="宋体"/>
          <w:color w:val="auto"/>
          <w:szCs w:val="21"/>
          <w:highlight w:val="none"/>
        </w:rPr>
      </w:pPr>
      <w:r>
        <w:rPr>
          <w:rFonts w:ascii="宋体" w:hAnsi="宋体"/>
          <w:color w:val="auto"/>
          <w:sz w:val="24"/>
          <w:highlight w:val="none"/>
        </w:rPr>
        <w:t>委托期限：</w:t>
      </w:r>
      <w:r>
        <w:rPr>
          <w:rFonts w:hint="eastAsia" w:ascii="宋体" w:hAnsi="宋体"/>
          <w:color w:val="auto"/>
          <w:sz w:val="24"/>
          <w:highlight w:val="none"/>
        </w:rPr>
        <w:t>自本委托书签署之日起至投标有效期期满。</w:t>
      </w:r>
    </w:p>
    <w:p w14:paraId="34F73718">
      <w:pPr>
        <w:shd w:val="clear" w:fill="FFFFFF" w:themeFill="background1"/>
        <w:spacing w:line="500" w:lineRule="exact"/>
        <w:ind w:firstLine="480" w:firstLineChars="200"/>
        <w:rPr>
          <w:rFonts w:ascii="宋体" w:hAnsi="宋体"/>
          <w:color w:val="auto"/>
          <w:sz w:val="24"/>
          <w:highlight w:val="none"/>
        </w:rPr>
      </w:pPr>
      <w:r>
        <w:rPr>
          <w:rFonts w:ascii="宋体" w:hAnsi="宋体"/>
          <w:color w:val="auto"/>
          <w:sz w:val="24"/>
          <w:highlight w:val="none"/>
        </w:rPr>
        <w:t>代理人无转委托权。</w:t>
      </w:r>
    </w:p>
    <w:p w14:paraId="5D53656E">
      <w:pPr>
        <w:shd w:val="clear" w:fill="FFFFFF" w:themeFill="background1"/>
        <w:spacing w:line="500" w:lineRule="exact"/>
        <w:ind w:firstLine="480" w:firstLineChars="200"/>
        <w:rPr>
          <w:rFonts w:ascii="宋体" w:hAnsi="宋体"/>
          <w:color w:val="auto"/>
          <w:sz w:val="24"/>
          <w:highlight w:val="none"/>
        </w:rPr>
      </w:pPr>
    </w:p>
    <w:p w14:paraId="52BB2475">
      <w:pPr>
        <w:shd w:val="clear" w:fill="FFFFFF" w:themeFill="background1"/>
        <w:spacing w:line="500" w:lineRule="exact"/>
        <w:ind w:firstLine="480" w:firstLineChars="200"/>
        <w:rPr>
          <w:rFonts w:ascii="宋体" w:hAnsi="宋体"/>
          <w:color w:val="auto"/>
          <w:sz w:val="24"/>
          <w:highlight w:val="none"/>
        </w:rPr>
      </w:pPr>
      <w:r>
        <w:rPr>
          <w:rFonts w:hint="eastAsia" w:ascii="宋体" w:hAnsi="宋体"/>
          <w:color w:val="auto"/>
          <w:sz w:val="24"/>
          <w:highlight w:val="none"/>
        </w:rPr>
        <w:t>附：法定代表人身份证复印件及委托代理人身份证复印件。</w:t>
      </w:r>
    </w:p>
    <w:p w14:paraId="68D6DE71">
      <w:pPr>
        <w:shd w:val="clear" w:fill="FFFFFF" w:themeFill="background1"/>
        <w:spacing w:line="500" w:lineRule="exact"/>
        <w:rPr>
          <w:rFonts w:ascii="宋体" w:hAnsi="宋体"/>
          <w:color w:val="auto"/>
          <w:sz w:val="24"/>
          <w:highlight w:val="none"/>
        </w:rPr>
      </w:pPr>
    </w:p>
    <w:p w14:paraId="0761B9F9">
      <w:pPr>
        <w:shd w:val="clear" w:fill="FFFFFF" w:themeFill="background1"/>
        <w:spacing w:line="500" w:lineRule="exact"/>
        <w:ind w:firstLine="3840" w:firstLineChars="1600"/>
        <w:rPr>
          <w:rFonts w:ascii="宋体" w:hAnsi="宋体"/>
          <w:color w:val="auto"/>
          <w:sz w:val="24"/>
          <w:highlight w:val="none"/>
        </w:rPr>
      </w:pPr>
      <w:r>
        <w:rPr>
          <w:rFonts w:ascii="宋体" w:hAnsi="宋体"/>
          <w:color w:val="auto"/>
          <w:kern w:val="0"/>
          <w:sz w:val="24"/>
          <w:highlight w:val="none"/>
        </w:rPr>
        <w:t>投  标  人</w:t>
      </w:r>
      <w:r>
        <w:rPr>
          <w:rFonts w:ascii="宋体" w:hAnsi="宋体"/>
          <w:color w:val="auto"/>
          <w:sz w:val="24"/>
          <w:highlight w:val="none"/>
        </w:rPr>
        <w:t>：（盖单位章）</w:t>
      </w:r>
    </w:p>
    <w:p w14:paraId="650B7751">
      <w:pPr>
        <w:shd w:val="clear" w:fill="FFFFFF" w:themeFill="background1"/>
        <w:spacing w:line="500" w:lineRule="exact"/>
        <w:rPr>
          <w:rFonts w:ascii="宋体" w:hAnsi="宋体"/>
          <w:color w:val="auto"/>
          <w:sz w:val="24"/>
          <w:highlight w:val="none"/>
        </w:rPr>
      </w:pPr>
      <w:r>
        <w:rPr>
          <w:rFonts w:ascii="宋体" w:hAnsi="宋体"/>
          <w:color w:val="auto"/>
          <w:sz w:val="24"/>
          <w:highlight w:val="none"/>
        </w:rPr>
        <w:t xml:space="preserve">                                法定代表人：（签字）</w:t>
      </w:r>
    </w:p>
    <w:p w14:paraId="23C240A8">
      <w:pPr>
        <w:shd w:val="clear" w:fill="FFFFFF" w:themeFill="background1"/>
        <w:spacing w:line="500" w:lineRule="exact"/>
        <w:rPr>
          <w:rFonts w:ascii="宋体" w:hAnsi="宋体"/>
          <w:color w:val="auto"/>
          <w:sz w:val="24"/>
          <w:highlight w:val="none"/>
          <w:u w:val="single"/>
        </w:rPr>
      </w:pPr>
      <w:r>
        <w:rPr>
          <w:rFonts w:ascii="宋体" w:hAnsi="宋体"/>
          <w:color w:val="auto"/>
          <w:sz w:val="24"/>
          <w:highlight w:val="none"/>
        </w:rPr>
        <w:t xml:space="preserve">                                身份证号码：</w:t>
      </w:r>
    </w:p>
    <w:p w14:paraId="4966875D">
      <w:pPr>
        <w:shd w:val="clear" w:fill="FFFFFF" w:themeFill="background1"/>
        <w:spacing w:line="500" w:lineRule="exact"/>
        <w:ind w:firstLine="3840" w:firstLineChars="1600"/>
        <w:rPr>
          <w:rFonts w:ascii="宋体" w:hAnsi="宋体"/>
          <w:color w:val="auto"/>
          <w:sz w:val="24"/>
          <w:highlight w:val="none"/>
        </w:rPr>
      </w:pPr>
      <w:r>
        <w:rPr>
          <w:rFonts w:ascii="宋体" w:hAnsi="宋体"/>
          <w:color w:val="auto"/>
          <w:sz w:val="24"/>
          <w:highlight w:val="none"/>
        </w:rPr>
        <w:t>委托代理人：（签字）</w:t>
      </w:r>
    </w:p>
    <w:p w14:paraId="44E274F0">
      <w:pPr>
        <w:shd w:val="clear" w:fill="FFFFFF" w:themeFill="background1"/>
        <w:spacing w:line="500" w:lineRule="exact"/>
        <w:rPr>
          <w:rFonts w:ascii="宋体" w:hAnsi="宋体"/>
          <w:color w:val="auto"/>
          <w:sz w:val="24"/>
          <w:highlight w:val="none"/>
        </w:rPr>
      </w:pPr>
      <w:r>
        <w:rPr>
          <w:rFonts w:ascii="宋体" w:hAnsi="宋体"/>
          <w:color w:val="auto"/>
          <w:sz w:val="24"/>
          <w:highlight w:val="none"/>
        </w:rPr>
        <w:t xml:space="preserve">                                身份证号码：</w:t>
      </w:r>
    </w:p>
    <w:p w14:paraId="163429E7">
      <w:pPr>
        <w:shd w:val="clear" w:fill="FFFFFF" w:themeFill="background1"/>
        <w:spacing w:line="500" w:lineRule="exact"/>
        <w:rPr>
          <w:rFonts w:ascii="宋体" w:hAnsi="宋体"/>
          <w:color w:val="auto"/>
          <w:sz w:val="24"/>
          <w:highlight w:val="none"/>
        </w:rPr>
      </w:pPr>
    </w:p>
    <w:p w14:paraId="0FB85ABE">
      <w:pPr>
        <w:shd w:val="clear" w:fill="FFFFFF" w:themeFill="background1"/>
        <w:spacing w:line="500" w:lineRule="exact"/>
        <w:jc w:val="center"/>
        <w:rPr>
          <w:rFonts w:ascii="宋体" w:hAnsi="宋体"/>
          <w:color w:val="auto"/>
          <w:sz w:val="24"/>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14:paraId="515E4432">
      <w:pPr>
        <w:shd w:val="clear" w:fill="FFFFFF" w:themeFill="background1"/>
        <w:spacing w:line="500" w:lineRule="exact"/>
        <w:rPr>
          <w:rFonts w:ascii="宋体" w:hAnsi="宋体"/>
          <w:color w:val="auto"/>
          <w:sz w:val="24"/>
          <w:highlight w:val="none"/>
        </w:rPr>
      </w:pPr>
    </w:p>
    <w:p w14:paraId="4D05A010">
      <w:pPr>
        <w:shd w:val="clear" w:fill="FFFFFF" w:themeFill="background1"/>
        <w:rPr>
          <w:rFonts w:ascii="宋体" w:hAnsi="宋体"/>
          <w:color w:val="auto"/>
          <w:sz w:val="24"/>
          <w:highlight w:val="none"/>
        </w:rPr>
      </w:pPr>
    </w:p>
    <w:p w14:paraId="21427521">
      <w:pPr>
        <w:shd w:val="clear" w:fill="FFFFFF" w:themeFill="background1"/>
        <w:spacing w:line="400" w:lineRule="exact"/>
        <w:rPr>
          <w:rFonts w:ascii="宋体" w:hAnsi="宋体"/>
          <w:color w:val="auto"/>
          <w:sz w:val="24"/>
          <w:highlight w:val="none"/>
        </w:rPr>
      </w:pPr>
    </w:p>
    <w:p w14:paraId="48BD604D">
      <w:pPr>
        <w:shd w:val="clear" w:fill="FFFFFF" w:themeFill="background1"/>
        <w:spacing w:line="400" w:lineRule="exact"/>
        <w:rPr>
          <w:rFonts w:ascii="宋体" w:hAnsi="宋体"/>
          <w:color w:val="auto"/>
          <w:sz w:val="24"/>
          <w:highlight w:val="none"/>
        </w:rPr>
      </w:pPr>
    </w:p>
    <w:p w14:paraId="46412C91">
      <w:pPr>
        <w:pStyle w:val="55"/>
        <w:shd w:val="clear" w:fill="FFFFFF" w:themeFill="background1"/>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注：1. 法定代表人和委托代理人必须在授权书上亲笔签名，不得使用印章、签名章或其他电子制版签名；如果由投标人的委托代理人签署投标文件，则不需提交（二）法定代表人身份证明。</w:t>
      </w:r>
    </w:p>
    <w:p w14:paraId="63D84A71">
      <w:pPr>
        <w:pStyle w:val="55"/>
        <w:shd w:val="clear" w:fill="FFFFFF" w:themeFill="background1"/>
        <w:rPr>
          <w:color w:val="auto"/>
          <w:highlight w:val="none"/>
        </w:rPr>
      </w:pPr>
      <w:r>
        <w:rPr>
          <w:rFonts w:hint="eastAsia" w:ascii="宋体" w:hAnsi="宋体"/>
          <w:b/>
          <w:color w:val="auto"/>
          <w:highlight w:val="none"/>
        </w:rPr>
        <w:br w:type="page"/>
      </w:r>
    </w:p>
    <w:p w14:paraId="30E99CF4">
      <w:pPr>
        <w:shd w:val="clear" w:fill="FFFFFF" w:themeFill="background1"/>
        <w:jc w:val="center"/>
        <w:rPr>
          <w:rFonts w:ascii="宋体" w:hAnsi="宋体"/>
          <w:color w:val="auto"/>
          <w:highlight w:val="none"/>
        </w:rPr>
      </w:pPr>
    </w:p>
    <w:p w14:paraId="67EFE10A">
      <w:pPr>
        <w:shd w:val="clear" w:fill="FFFFFF" w:themeFill="background1"/>
        <w:jc w:val="center"/>
        <w:rPr>
          <w:rFonts w:ascii="宋体" w:hAnsi="宋体"/>
          <w:color w:val="auto"/>
          <w:highlight w:val="none"/>
        </w:rPr>
      </w:pPr>
    </w:p>
    <w:p w14:paraId="7D34FFC6">
      <w:pPr>
        <w:shd w:val="clear" w:fill="FFFFFF" w:themeFill="background1"/>
        <w:spacing w:line="360" w:lineRule="auto"/>
        <w:ind w:firstLine="560" w:firstLineChars="200"/>
        <w:jc w:val="center"/>
        <w:rPr>
          <w:rFonts w:ascii="宋体" w:hAnsi="宋体" w:cs="宋体"/>
          <w:b/>
          <w:color w:val="auto"/>
          <w:sz w:val="32"/>
          <w:szCs w:val="32"/>
          <w:highlight w:val="none"/>
        </w:rPr>
      </w:pPr>
      <w:bookmarkStart w:id="1756" w:name="_Toc453057211"/>
      <w:bookmarkEnd w:id="1756"/>
      <w:r>
        <w:rPr>
          <w:rFonts w:hint="eastAsia" w:ascii="宋体" w:hAnsi="宋体" w:cs="宋体"/>
          <w:color w:val="auto"/>
          <w:sz w:val="28"/>
          <w:szCs w:val="28"/>
          <w:highlight w:val="none"/>
        </w:rPr>
        <w:t>（二）</w:t>
      </w:r>
      <w:r>
        <w:rPr>
          <w:rFonts w:hint="eastAsia" w:ascii="宋体" w:hAnsi="宋体" w:cs="宋体"/>
          <w:color w:val="auto"/>
          <w:sz w:val="28"/>
          <w:highlight w:val="none"/>
        </w:rPr>
        <w:t>法定代表人身份证明</w:t>
      </w:r>
    </w:p>
    <w:p w14:paraId="60097F0A">
      <w:pPr>
        <w:shd w:val="clear" w:fill="FFFFFF" w:themeFill="background1"/>
        <w:spacing w:line="500" w:lineRule="exact"/>
        <w:rPr>
          <w:rFonts w:ascii="宋体" w:hAnsi="宋体" w:cs="宋体"/>
          <w:color w:val="auto"/>
          <w:sz w:val="24"/>
          <w:highlight w:val="none"/>
        </w:rPr>
      </w:pPr>
    </w:p>
    <w:p w14:paraId="7BECA5CC">
      <w:pPr>
        <w:shd w:val="clear" w:fill="FFFFFF" w:themeFill="background1"/>
        <w:spacing w:line="360" w:lineRule="auto"/>
        <w:ind w:firstLine="480" w:firstLineChars="200"/>
        <w:rPr>
          <w:rFonts w:ascii="宋体" w:hAnsi="宋体" w:cs="宋体"/>
          <w:color w:val="auto"/>
          <w:sz w:val="24"/>
          <w:highlight w:val="none"/>
        </w:rPr>
      </w:pPr>
    </w:p>
    <w:p w14:paraId="6903AC87">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w:t>
      </w:r>
    </w:p>
    <w:p w14:paraId="09287246">
      <w:pPr>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（法定代表人亲笔签名）</w:t>
      </w:r>
      <w:r>
        <w:rPr>
          <w:rFonts w:hint="eastAsia" w:ascii="宋体" w:hAnsi="宋体" w:cs="宋体"/>
          <w:color w:val="auto"/>
          <w:sz w:val="24"/>
          <w:highlight w:val="none"/>
        </w:rPr>
        <w:tab/>
      </w:r>
      <w:r>
        <w:rPr>
          <w:rFonts w:hint="eastAsia" w:ascii="宋体" w:hAnsi="宋体" w:cs="宋体"/>
          <w:color w:val="auto"/>
          <w:sz w:val="24"/>
          <w:highlight w:val="none"/>
        </w:rPr>
        <w:t>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19FC9E33">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1CF451CC">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3CC16D10">
      <w:pPr>
        <w:shd w:val="clear" w:fill="FFFFFF" w:themeFill="background1"/>
        <w:spacing w:line="360" w:lineRule="auto"/>
        <w:rPr>
          <w:rFonts w:ascii="宋体" w:hAnsi="宋体" w:cs="宋体"/>
          <w:color w:val="auto"/>
          <w:sz w:val="24"/>
          <w:highlight w:val="none"/>
        </w:rPr>
      </w:pPr>
    </w:p>
    <w:p w14:paraId="29F9E569">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2333E952">
      <w:pPr>
        <w:pStyle w:val="16"/>
        <w:shd w:val="clear" w:fill="FFFFFF" w:themeFill="background1"/>
        <w:rPr>
          <w:rFonts w:ascii="宋体" w:hAnsi="宋体" w:cs="宋体"/>
          <w:color w:val="auto"/>
          <w:sz w:val="20"/>
          <w:highlight w:val="none"/>
        </w:rPr>
      </w:pPr>
    </w:p>
    <w:p w14:paraId="2E4F2B93">
      <w:pPr>
        <w:pStyle w:val="16"/>
        <w:shd w:val="clear" w:fill="FFFFFF" w:themeFill="background1"/>
        <w:spacing w:before="3"/>
        <w:rPr>
          <w:rFonts w:ascii="宋体" w:hAnsi="宋体" w:cs="宋体"/>
          <w:color w:val="auto"/>
          <w:sz w:val="28"/>
          <w:highlight w:val="none"/>
        </w:rPr>
      </w:pPr>
    </w:p>
    <w:p w14:paraId="5310B4F8">
      <w:pPr>
        <w:shd w:val="clear" w:fill="FFFFFF" w:themeFill="background1"/>
        <w:tabs>
          <w:tab w:val="left" w:pos="6918"/>
        </w:tabs>
        <w:spacing w:before="75"/>
        <w:ind w:left="4398"/>
        <w:jc w:val="left"/>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ab/>
      </w:r>
      <w:r>
        <w:rPr>
          <w:rFonts w:hint="eastAsia" w:ascii="宋体" w:hAnsi="宋体" w:cs="宋体"/>
          <w:color w:val="auto"/>
          <w:sz w:val="24"/>
          <w:highlight w:val="none"/>
        </w:rPr>
        <w:t>（盖单位章）</w:t>
      </w:r>
    </w:p>
    <w:p w14:paraId="5632DD70">
      <w:pPr>
        <w:shd w:val="clear" w:fill="FFFFFF" w:themeFill="background1"/>
        <w:tabs>
          <w:tab w:val="left" w:pos="6558"/>
          <w:tab w:val="left" w:pos="7278"/>
          <w:tab w:val="left" w:pos="7998"/>
        </w:tabs>
        <w:spacing w:before="113"/>
        <w:ind w:left="5598"/>
        <w:jc w:val="left"/>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792BD99D">
      <w:pPr>
        <w:shd w:val="clear" w:fill="FFFFFF" w:themeFill="background1"/>
        <w:spacing w:line="500" w:lineRule="exact"/>
        <w:rPr>
          <w:rFonts w:ascii="宋体" w:hAnsi="宋体" w:cs="宋体"/>
          <w:color w:val="auto"/>
          <w:sz w:val="24"/>
          <w:highlight w:val="none"/>
        </w:rPr>
      </w:pPr>
    </w:p>
    <w:p w14:paraId="68BD1A57">
      <w:pPr>
        <w:shd w:val="clear" w:fill="FFFFFF" w:themeFill="background1"/>
        <w:spacing w:line="500" w:lineRule="exact"/>
        <w:rPr>
          <w:rFonts w:ascii="宋体" w:hAnsi="宋体" w:cs="宋体"/>
          <w:color w:val="auto"/>
          <w:sz w:val="24"/>
          <w:highlight w:val="none"/>
        </w:rPr>
      </w:pPr>
    </w:p>
    <w:p w14:paraId="20917C33">
      <w:pPr>
        <w:shd w:val="clear" w:fill="FFFFFF" w:themeFill="background1"/>
        <w:rPr>
          <w:rFonts w:ascii="宋体" w:hAnsi="宋体" w:cs="宋体"/>
          <w:color w:val="auto"/>
          <w:sz w:val="24"/>
          <w:highlight w:val="none"/>
        </w:rPr>
      </w:pPr>
    </w:p>
    <w:p w14:paraId="1E359F41">
      <w:pPr>
        <w:shd w:val="clear" w:fill="FFFFFF" w:themeFill="background1"/>
        <w:jc w:val="center"/>
        <w:rPr>
          <w:rFonts w:ascii="宋体" w:hAnsi="宋体"/>
          <w:b/>
          <w:color w:val="auto"/>
          <w:sz w:val="28"/>
          <w:szCs w:val="28"/>
          <w:highlight w:val="none"/>
        </w:rPr>
      </w:pPr>
      <w:r>
        <w:rPr>
          <w:rFonts w:hint="eastAsia" w:ascii="宋体" w:hAnsi="宋体" w:cs="宋体"/>
          <w:color w:val="auto"/>
          <w:highlight w:val="none"/>
        </w:rPr>
        <w:t>注：法定代表人的签字必须是亲笔签名，不得使用印章、签名章或其他电子制版签名代替。</w:t>
      </w:r>
    </w:p>
    <w:p w14:paraId="7024B1E9">
      <w:pPr>
        <w:shd w:val="clear" w:fill="FFFFFF" w:themeFill="background1"/>
        <w:jc w:val="center"/>
        <w:rPr>
          <w:rFonts w:ascii="宋体" w:hAnsi="宋体"/>
          <w:b/>
          <w:color w:val="auto"/>
          <w:sz w:val="28"/>
          <w:szCs w:val="28"/>
          <w:highlight w:val="none"/>
        </w:rPr>
      </w:pPr>
    </w:p>
    <w:p w14:paraId="10CD4D04">
      <w:pPr>
        <w:shd w:val="clear" w:fill="FFFFFF" w:themeFill="background1"/>
        <w:jc w:val="center"/>
        <w:rPr>
          <w:rFonts w:ascii="宋体" w:hAnsi="宋体"/>
          <w:b/>
          <w:color w:val="auto"/>
          <w:sz w:val="28"/>
          <w:szCs w:val="28"/>
          <w:highlight w:val="none"/>
        </w:rPr>
      </w:pPr>
    </w:p>
    <w:p w14:paraId="14B8D8BF">
      <w:pPr>
        <w:shd w:val="clear" w:fill="FFFFFF" w:themeFill="background1"/>
        <w:jc w:val="center"/>
        <w:rPr>
          <w:rFonts w:ascii="宋体" w:hAnsi="宋体"/>
          <w:b/>
          <w:color w:val="auto"/>
          <w:sz w:val="28"/>
          <w:szCs w:val="28"/>
          <w:highlight w:val="none"/>
        </w:rPr>
      </w:pPr>
    </w:p>
    <w:p w14:paraId="69EFD4F5">
      <w:pPr>
        <w:shd w:val="clear" w:fill="FFFFFF" w:themeFill="background1"/>
        <w:jc w:val="center"/>
        <w:rPr>
          <w:rFonts w:ascii="宋体" w:hAnsi="宋体"/>
          <w:b/>
          <w:color w:val="auto"/>
          <w:sz w:val="28"/>
          <w:szCs w:val="28"/>
          <w:highlight w:val="none"/>
        </w:rPr>
      </w:pPr>
    </w:p>
    <w:p w14:paraId="2FD5A1EC">
      <w:pPr>
        <w:shd w:val="clear" w:fill="FFFFFF" w:themeFill="background1"/>
        <w:jc w:val="center"/>
        <w:rPr>
          <w:rFonts w:ascii="宋体" w:hAnsi="宋体"/>
          <w:b/>
          <w:color w:val="auto"/>
          <w:sz w:val="28"/>
          <w:szCs w:val="28"/>
          <w:highlight w:val="none"/>
        </w:rPr>
      </w:pPr>
    </w:p>
    <w:p w14:paraId="5EAD2DC1">
      <w:pPr>
        <w:shd w:val="clear" w:fill="FFFFFF" w:themeFill="background1"/>
        <w:jc w:val="center"/>
        <w:rPr>
          <w:rFonts w:ascii="宋体" w:hAnsi="宋体"/>
          <w:b/>
          <w:color w:val="auto"/>
          <w:sz w:val="28"/>
          <w:szCs w:val="28"/>
          <w:highlight w:val="none"/>
        </w:rPr>
      </w:pPr>
    </w:p>
    <w:p w14:paraId="6D258A75">
      <w:pPr>
        <w:shd w:val="clear" w:fill="FFFFFF" w:themeFill="background1"/>
        <w:jc w:val="center"/>
        <w:rPr>
          <w:rFonts w:ascii="宋体" w:hAnsi="宋体"/>
          <w:b/>
          <w:color w:val="auto"/>
          <w:sz w:val="28"/>
          <w:szCs w:val="28"/>
          <w:highlight w:val="none"/>
        </w:rPr>
      </w:pPr>
    </w:p>
    <w:p w14:paraId="28C0F15C">
      <w:pPr>
        <w:shd w:val="clear" w:fill="FFFFFF" w:themeFill="background1"/>
        <w:jc w:val="center"/>
        <w:rPr>
          <w:rFonts w:ascii="宋体" w:hAnsi="宋体"/>
          <w:b/>
          <w:color w:val="auto"/>
          <w:sz w:val="28"/>
          <w:szCs w:val="28"/>
          <w:highlight w:val="none"/>
        </w:rPr>
      </w:pPr>
    </w:p>
    <w:p w14:paraId="5A3C9EB7">
      <w:pPr>
        <w:shd w:val="clear" w:fill="FFFFFF" w:themeFill="background1"/>
        <w:jc w:val="center"/>
        <w:rPr>
          <w:rFonts w:ascii="宋体" w:hAnsi="宋体"/>
          <w:b/>
          <w:color w:val="auto"/>
          <w:sz w:val="28"/>
          <w:szCs w:val="28"/>
          <w:highlight w:val="none"/>
        </w:rPr>
      </w:pPr>
    </w:p>
    <w:p w14:paraId="096B0A5B">
      <w:pPr>
        <w:shd w:val="clear" w:fill="FFFFFF" w:themeFill="background1"/>
        <w:jc w:val="center"/>
        <w:rPr>
          <w:rFonts w:ascii="宋体" w:hAnsi="宋体"/>
          <w:b/>
          <w:color w:val="auto"/>
          <w:sz w:val="28"/>
          <w:szCs w:val="28"/>
          <w:highlight w:val="none"/>
        </w:rPr>
      </w:pPr>
    </w:p>
    <w:p w14:paraId="22673BEF">
      <w:pPr>
        <w:shd w:val="clear" w:fill="FFFFFF" w:themeFill="background1"/>
        <w:jc w:val="center"/>
        <w:rPr>
          <w:rFonts w:hint="eastAsia" w:ascii="宋体" w:hAnsi="宋体"/>
          <w:b/>
          <w:color w:val="auto"/>
          <w:sz w:val="28"/>
          <w:szCs w:val="28"/>
          <w:highlight w:val="none"/>
        </w:rPr>
      </w:pPr>
    </w:p>
    <w:p w14:paraId="6B78658B">
      <w:pPr>
        <w:shd w:val="clear" w:fill="FFFFFF" w:themeFill="background1"/>
        <w:jc w:val="center"/>
        <w:rPr>
          <w:rFonts w:hint="eastAsia" w:ascii="宋体" w:hAnsi="宋体"/>
          <w:b/>
          <w:color w:val="auto"/>
          <w:sz w:val="28"/>
          <w:szCs w:val="28"/>
          <w:highlight w:val="none"/>
        </w:rPr>
      </w:pPr>
    </w:p>
    <w:p w14:paraId="5843DEF3">
      <w:pPr>
        <w:shd w:val="clear" w:fill="FFFFFF" w:themeFill="background1"/>
        <w:jc w:val="center"/>
        <w:rPr>
          <w:rFonts w:hint="eastAsia" w:ascii="宋体" w:hAnsi="宋体"/>
          <w:b/>
          <w:color w:val="auto"/>
          <w:sz w:val="28"/>
          <w:szCs w:val="28"/>
          <w:highlight w:val="none"/>
        </w:rPr>
      </w:pPr>
    </w:p>
    <w:p w14:paraId="242228A7">
      <w:pPr>
        <w:shd w:val="clear" w:fill="FFFFFF" w:themeFill="background1"/>
        <w:jc w:val="center"/>
        <w:rPr>
          <w:rFonts w:hint="eastAsia" w:ascii="宋体" w:hAnsi="宋体"/>
          <w:b/>
          <w:color w:val="auto"/>
          <w:sz w:val="28"/>
          <w:szCs w:val="28"/>
          <w:highlight w:val="none"/>
        </w:rPr>
      </w:pPr>
    </w:p>
    <w:p w14:paraId="4795561B">
      <w:pPr>
        <w:shd w:val="clear" w:fill="FFFFFF" w:themeFill="background1"/>
        <w:jc w:val="center"/>
        <w:rPr>
          <w:rFonts w:hint="eastAsia" w:ascii="宋体" w:hAnsi="宋体"/>
          <w:b/>
          <w:color w:val="auto"/>
          <w:sz w:val="28"/>
          <w:szCs w:val="28"/>
          <w:highlight w:val="none"/>
        </w:rPr>
      </w:pPr>
    </w:p>
    <w:p w14:paraId="3DB5B132">
      <w:pPr>
        <w:shd w:val="clear" w:fill="FFFFFF" w:themeFill="background1"/>
        <w:jc w:val="center"/>
        <w:rPr>
          <w:rFonts w:hint="eastAsia" w:ascii="宋体" w:hAnsi="宋体"/>
          <w:b/>
          <w:color w:val="auto"/>
          <w:sz w:val="28"/>
          <w:szCs w:val="28"/>
          <w:highlight w:val="none"/>
        </w:rPr>
      </w:pPr>
    </w:p>
    <w:p w14:paraId="278B9D59">
      <w:pPr>
        <w:shd w:val="clear" w:fill="FFFFFF" w:themeFill="background1"/>
        <w:jc w:val="center"/>
        <w:rPr>
          <w:rFonts w:hint="eastAsia" w:ascii="宋体" w:hAnsi="宋体"/>
          <w:b/>
          <w:color w:val="auto"/>
          <w:sz w:val="28"/>
          <w:szCs w:val="28"/>
          <w:highlight w:val="none"/>
        </w:rPr>
      </w:pPr>
    </w:p>
    <w:p w14:paraId="149E33A6">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三、投标保证金</w:t>
      </w:r>
    </w:p>
    <w:p w14:paraId="6098873D">
      <w:pPr>
        <w:shd w:val="clear" w:fill="FFFFFF" w:themeFill="background1"/>
        <w:spacing w:line="360" w:lineRule="auto"/>
        <w:ind w:firstLine="480" w:firstLineChars="200"/>
        <w:rPr>
          <w:rFonts w:ascii="宋体" w:hAnsi="宋体" w:cs="宋体"/>
          <w:color w:val="auto"/>
          <w:kern w:val="0"/>
          <w:sz w:val="24"/>
          <w:highlight w:val="none"/>
          <w:lang w:val="zh-CN"/>
        </w:rPr>
      </w:pPr>
    </w:p>
    <w:p w14:paraId="5B36656D">
      <w:pPr>
        <w:pStyle w:val="16"/>
        <w:keepNext w:val="0"/>
        <w:keepLines w:val="0"/>
        <w:pageBreakBefore w:val="0"/>
        <w:widowControl w:val="0"/>
        <w:kinsoku/>
        <w:wordWrap/>
        <w:overflowPunct/>
        <w:topLinePunct w:val="0"/>
        <w:autoSpaceDE/>
        <w:autoSpaceDN/>
        <w:bidi w:val="0"/>
        <w:adjustRightInd/>
        <w:snapToGrid/>
        <w:spacing w:after="0" w:afterLines="0"/>
        <w:ind w:left="0" w:leftChars="0" w:right="420" w:rightChars="200" w:firstLine="683" w:firstLineChars="200"/>
        <w:textAlignment w:val="auto"/>
        <w:rPr>
          <w:rFonts w:ascii="黑体"/>
          <w:b/>
          <w:color w:val="auto"/>
          <w:sz w:val="34"/>
          <w:highlight w:val="none"/>
        </w:rPr>
      </w:pPr>
    </w:p>
    <w:p w14:paraId="527F31AF">
      <w:pPr>
        <w:pStyle w:val="16"/>
        <w:keepNext w:val="0"/>
        <w:keepLines w:val="0"/>
        <w:pageBreakBefore w:val="0"/>
        <w:widowControl w:val="0"/>
        <w:kinsoku/>
        <w:wordWrap/>
        <w:overflowPunct/>
        <w:topLinePunct w:val="0"/>
        <w:autoSpaceDE/>
        <w:autoSpaceDN/>
        <w:bidi w:val="0"/>
        <w:adjustRightInd/>
        <w:snapToGrid/>
        <w:spacing w:after="0" w:afterLines="0" w:line="312" w:lineRule="auto"/>
        <w:ind w:left="0" w:leftChars="0" w:right="420" w:rightChars="20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若采用</w:t>
      </w:r>
      <w:r>
        <w:rPr>
          <w:rFonts w:hint="eastAsia" w:ascii="宋体" w:hAnsi="宋体" w:eastAsia="宋体" w:cs="宋体"/>
          <w:color w:val="auto"/>
          <w:spacing w:val="-2"/>
          <w:sz w:val="24"/>
          <w:szCs w:val="24"/>
          <w:highlight w:val="none"/>
          <w:u w:val="single"/>
        </w:rPr>
        <w:t>现金或支票</w:t>
      </w:r>
      <w:r>
        <w:rPr>
          <w:rFonts w:hint="eastAsia" w:ascii="宋体" w:hAnsi="宋体" w:eastAsia="宋体" w:cs="宋体"/>
          <w:color w:val="auto"/>
          <w:spacing w:val="-2"/>
          <w:sz w:val="24"/>
          <w:szCs w:val="24"/>
          <w:highlight w:val="none"/>
        </w:rPr>
        <w:t>，投标人应在此提供汇款等相关凭证的复印件。</w:t>
      </w:r>
    </w:p>
    <w:p w14:paraId="7E6BCA14">
      <w:pPr>
        <w:pStyle w:val="16"/>
        <w:keepNext w:val="0"/>
        <w:keepLines w:val="0"/>
        <w:pageBreakBefore w:val="0"/>
        <w:widowControl w:val="0"/>
        <w:kinsoku/>
        <w:wordWrap/>
        <w:overflowPunct/>
        <w:topLinePunct w:val="0"/>
        <w:autoSpaceDE/>
        <w:autoSpaceDN/>
        <w:bidi w:val="0"/>
        <w:adjustRightInd/>
        <w:snapToGrid/>
        <w:spacing w:after="0" w:afterLines="0" w:line="312" w:lineRule="auto"/>
        <w:ind w:left="0" w:leftChars="0" w:right="420" w:rightChars="20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如采用银行保函，银行保函复印件装订在投标文件中，格式如下。</w:t>
      </w:r>
    </w:p>
    <w:p w14:paraId="796FF28A">
      <w:pPr>
        <w:pStyle w:val="16"/>
        <w:keepNext w:val="0"/>
        <w:keepLines w:val="0"/>
        <w:pageBreakBefore w:val="0"/>
        <w:widowControl w:val="0"/>
        <w:kinsoku/>
        <w:wordWrap/>
        <w:overflowPunct/>
        <w:topLinePunct w:val="0"/>
        <w:autoSpaceDE/>
        <w:autoSpaceDN/>
        <w:bidi w:val="0"/>
        <w:adjustRightInd/>
        <w:snapToGrid/>
        <w:spacing w:after="0" w:afterLines="0" w:line="312" w:lineRule="auto"/>
        <w:ind w:left="0" w:leftChars="0" w:right="420" w:rightChars="20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如采用其他形式提交，应满足须知前附表 </w:t>
      </w:r>
      <w:r>
        <w:rPr>
          <w:rFonts w:hint="eastAsia" w:ascii="宋体" w:hAnsi="宋体" w:eastAsia="宋体" w:cs="宋体"/>
          <w:color w:val="auto"/>
          <w:sz w:val="24"/>
          <w:szCs w:val="24"/>
          <w:highlight w:val="none"/>
        </w:rPr>
        <w:t>3.4.1</w:t>
      </w:r>
      <w:r>
        <w:rPr>
          <w:rFonts w:hint="eastAsia" w:ascii="宋体" w:hAnsi="宋体" w:eastAsia="宋体" w:cs="宋体"/>
          <w:color w:val="auto"/>
          <w:spacing w:val="-5"/>
          <w:sz w:val="24"/>
          <w:szCs w:val="24"/>
          <w:highlight w:val="none"/>
        </w:rPr>
        <w:t xml:space="preserve"> 项的规定。</w:t>
      </w:r>
    </w:p>
    <w:p w14:paraId="4068CC44">
      <w:pPr>
        <w:pStyle w:val="16"/>
        <w:keepNext w:val="0"/>
        <w:keepLines w:val="0"/>
        <w:pageBreakBefore w:val="0"/>
        <w:widowControl w:val="0"/>
        <w:kinsoku/>
        <w:wordWrap/>
        <w:overflowPunct/>
        <w:topLinePunct w:val="0"/>
        <w:autoSpaceDE/>
        <w:autoSpaceDN/>
        <w:bidi w:val="0"/>
        <w:adjustRightInd/>
        <w:snapToGrid/>
        <w:spacing w:after="0" w:afterLines="0"/>
        <w:ind w:left="0" w:leftChars="0" w:right="420" w:rightChars="200" w:firstLine="480" w:firstLineChars="200"/>
        <w:textAlignment w:val="auto"/>
        <w:rPr>
          <w:rFonts w:hint="eastAsia" w:ascii="宋体" w:hAnsi="宋体" w:eastAsia="宋体" w:cs="宋体"/>
          <w:color w:val="auto"/>
          <w:sz w:val="24"/>
          <w:szCs w:val="24"/>
          <w:highlight w:val="none"/>
        </w:rPr>
      </w:pPr>
    </w:p>
    <w:p w14:paraId="57431258">
      <w:pPr>
        <w:pStyle w:val="119"/>
        <w:keepNext w:val="0"/>
        <w:keepLines w:val="0"/>
        <w:pageBreakBefore w:val="0"/>
        <w:widowControl w:val="0"/>
        <w:kinsoku/>
        <w:wordWrap/>
        <w:overflowPunct/>
        <w:topLinePunct w:val="0"/>
        <w:autoSpaceDE/>
        <w:autoSpaceDN/>
        <w:bidi w:val="0"/>
        <w:adjustRightInd/>
        <w:snapToGrid/>
        <w:spacing w:before="0"/>
        <w:ind w:left="0" w:leftChars="0" w:right="420" w:rightChars="200" w:firstLine="458"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5"/>
          <w:sz w:val="24"/>
          <w:szCs w:val="24"/>
          <w:highlight w:val="none"/>
        </w:rPr>
        <w:t>投标银行保函格</w:t>
      </w:r>
      <w:r>
        <w:rPr>
          <w:rFonts w:hint="eastAsia" w:ascii="宋体" w:hAnsi="宋体" w:eastAsia="宋体" w:cs="宋体"/>
          <w:color w:val="auto"/>
          <w:spacing w:val="-10"/>
          <w:w w:val="95"/>
          <w:sz w:val="24"/>
          <w:szCs w:val="24"/>
          <w:highlight w:val="none"/>
        </w:rPr>
        <w:t>式</w:t>
      </w:r>
    </w:p>
    <w:p w14:paraId="6725C3B5">
      <w:pPr>
        <w:pStyle w:val="16"/>
        <w:keepNext w:val="0"/>
        <w:keepLines w:val="0"/>
        <w:pageBreakBefore w:val="0"/>
        <w:widowControl w:val="0"/>
        <w:kinsoku/>
        <w:wordWrap/>
        <w:overflowPunct/>
        <w:topLinePunct w:val="0"/>
        <w:autoSpaceDE/>
        <w:autoSpaceDN/>
        <w:bidi w:val="0"/>
        <w:adjustRightInd/>
        <w:snapToGrid/>
        <w:spacing w:after="0" w:afterLines="0"/>
        <w:ind w:left="0" w:leftChars="0" w:right="420" w:rightChars="200" w:firstLine="482" w:firstLineChars="200"/>
        <w:textAlignment w:val="auto"/>
        <w:rPr>
          <w:rFonts w:hint="eastAsia" w:ascii="宋体" w:hAnsi="宋体" w:eastAsia="宋体" w:cs="宋体"/>
          <w:b/>
          <w:color w:val="auto"/>
          <w:sz w:val="24"/>
          <w:szCs w:val="24"/>
          <w:highlight w:val="none"/>
        </w:rPr>
      </w:pPr>
    </w:p>
    <w:p w14:paraId="59553D76">
      <w:pPr>
        <w:pStyle w:val="16"/>
        <w:keepNext w:val="0"/>
        <w:keepLines w:val="0"/>
        <w:pageBreakBefore w:val="0"/>
        <w:widowControl w:val="0"/>
        <w:tabs>
          <w:tab w:val="left" w:pos="2335"/>
        </w:tabs>
        <w:kinsoku/>
        <w:wordWrap/>
        <w:overflowPunct/>
        <w:topLinePunct w:val="0"/>
        <w:autoSpaceDE/>
        <w:autoSpaceDN/>
        <w:bidi w:val="0"/>
        <w:adjustRightInd/>
        <w:snapToGrid/>
        <w:spacing w:after="0" w:afterLines="0"/>
        <w:ind w:right="420" w:righ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（招标人名称</w:t>
      </w:r>
      <w:r>
        <w:rPr>
          <w:rFonts w:hint="eastAsia" w:ascii="宋体" w:hAnsi="宋体" w:eastAsia="宋体" w:cs="宋体"/>
          <w:color w:val="auto"/>
          <w:spacing w:val="-5"/>
          <w:sz w:val="24"/>
          <w:szCs w:val="24"/>
          <w:highlight w:val="none"/>
        </w:rPr>
        <w:t>）：</w:t>
      </w:r>
    </w:p>
    <w:p w14:paraId="35F69FF8">
      <w:pPr>
        <w:pStyle w:val="16"/>
        <w:keepNext w:val="0"/>
        <w:keepLines w:val="0"/>
        <w:pageBreakBefore w:val="0"/>
        <w:widowControl w:val="0"/>
        <w:tabs>
          <w:tab w:val="left" w:pos="2335"/>
          <w:tab w:val="left" w:pos="2695"/>
          <w:tab w:val="left" w:pos="6535"/>
          <w:tab w:val="left" w:pos="7735"/>
          <w:tab w:val="left" w:pos="8935"/>
        </w:tabs>
        <w:kinsoku/>
        <w:wordWrap/>
        <w:overflowPunct/>
        <w:topLinePunct w:val="0"/>
        <w:autoSpaceDE/>
        <w:autoSpaceDN/>
        <w:bidi w:val="0"/>
        <w:adjustRightInd/>
        <w:snapToGrid/>
        <w:spacing w:after="0" w:afterLines="0" w:line="364" w:lineRule="auto"/>
        <w:ind w:left="0" w:leftChars="0" w:right="420" w:rightChars="200" w:firstLine="45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鉴于</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2"/>
          <w:sz w:val="24"/>
          <w:szCs w:val="24"/>
          <w:highlight w:val="none"/>
        </w:rPr>
        <w:t>（投标人名称）（以下称“投标人”）于</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pacing w:val="80"/>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pacing w:val="80"/>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pacing w:val="-6"/>
          <w:sz w:val="24"/>
          <w:szCs w:val="24"/>
          <w:highlight w:val="none"/>
        </w:rPr>
        <w:t>参加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6"/>
          <w:sz w:val="24"/>
          <w:szCs w:val="24"/>
          <w:highlight w:val="none"/>
        </w:rPr>
        <w:t>（担</w:t>
      </w:r>
      <w:r>
        <w:rPr>
          <w:rFonts w:hint="eastAsia" w:ascii="宋体" w:hAnsi="宋体" w:eastAsia="宋体" w:cs="宋体"/>
          <w:color w:val="auto"/>
          <w:sz w:val="24"/>
          <w:szCs w:val="24"/>
          <w:highlight w:val="none"/>
        </w:rPr>
        <w:t>保人名称，以下简称“我方”）无条件地、不可撤销地保证： 若投标人在投标有效期内撤销投标文件，中标后无正当理由不与招标人订立合同</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在签订合同时向招标人提出附加条件</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不按照招标文件要求提交履约保证金</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或者发生招标文件明确规定可以不予退还投标 保证金的其他情形，我方承担保证责任。收到你方书面通知后，我方在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7</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日内向你方无条件支付人民币（大写）</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6"/>
          <w:sz w:val="24"/>
          <w:szCs w:val="24"/>
          <w:highlight w:val="none"/>
        </w:rPr>
        <w:t>元。</w:t>
      </w:r>
    </w:p>
    <w:p w14:paraId="16A87362">
      <w:pPr>
        <w:pStyle w:val="16"/>
        <w:keepNext w:val="0"/>
        <w:keepLines w:val="0"/>
        <w:pageBreakBefore w:val="0"/>
        <w:widowControl w:val="0"/>
        <w:kinsoku/>
        <w:wordWrap/>
        <w:overflowPunct/>
        <w:topLinePunct w:val="0"/>
        <w:autoSpaceDE/>
        <w:autoSpaceDN/>
        <w:bidi w:val="0"/>
        <w:adjustRightInd/>
        <w:snapToGrid/>
        <w:spacing w:after="0" w:afterLines="0" w:line="364" w:lineRule="auto"/>
        <w:ind w:left="0" w:leftChars="0" w:right="420" w:rightChars="200" w:firstLine="63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8"/>
          <w:sz w:val="24"/>
          <w:szCs w:val="24"/>
          <w:highlight w:val="none"/>
        </w:rPr>
        <w:t>本保函在投标有效期或经延长的投标有效期内保持有效</w:t>
      </w:r>
      <w:r>
        <w:rPr>
          <w:rFonts w:hint="eastAsia" w:ascii="宋体" w:hAnsi="宋体" w:eastAsia="宋体" w:cs="宋体"/>
          <w:color w:val="auto"/>
          <w:spacing w:val="12"/>
          <w:sz w:val="24"/>
          <w:szCs w:val="24"/>
          <w:highlight w:val="none"/>
        </w:rPr>
        <w:t>。要求我方承担</w:t>
      </w:r>
      <w:r>
        <w:rPr>
          <w:rFonts w:hint="eastAsia" w:ascii="宋体" w:hAnsi="宋体" w:eastAsia="宋体" w:cs="宋体"/>
          <w:color w:val="auto"/>
          <w:spacing w:val="36"/>
          <w:sz w:val="24"/>
          <w:szCs w:val="24"/>
          <w:highlight w:val="none"/>
        </w:rPr>
        <w:t>保证责任的通知应在上述期限内送达我方。你方延长投标有效期的决定，</w:t>
      </w:r>
      <w:r>
        <w:rPr>
          <w:rFonts w:hint="eastAsia" w:ascii="宋体" w:hAnsi="宋体" w:eastAsia="宋体" w:cs="宋体"/>
          <w:color w:val="auto"/>
          <w:spacing w:val="30"/>
          <w:sz w:val="24"/>
          <w:szCs w:val="24"/>
          <w:highlight w:val="none"/>
        </w:rPr>
        <w:t>应通知我方。</w:t>
      </w:r>
    </w:p>
    <w:p w14:paraId="62B3444A">
      <w:pPr>
        <w:pStyle w:val="16"/>
        <w:keepNext w:val="0"/>
        <w:keepLines w:val="0"/>
        <w:pageBreakBefore w:val="0"/>
        <w:widowControl w:val="0"/>
        <w:kinsoku/>
        <w:wordWrap/>
        <w:overflowPunct/>
        <w:topLinePunct w:val="0"/>
        <w:autoSpaceDE/>
        <w:autoSpaceDN/>
        <w:bidi w:val="0"/>
        <w:adjustRightInd/>
        <w:snapToGrid/>
        <w:spacing w:after="0" w:afterLines="0"/>
        <w:ind w:left="0" w:leftChars="0" w:right="420" w:rightChars="200" w:firstLine="480" w:firstLineChars="200"/>
        <w:textAlignment w:val="auto"/>
        <w:rPr>
          <w:rFonts w:hint="eastAsia" w:ascii="宋体" w:hAnsi="宋体" w:eastAsia="宋体" w:cs="宋体"/>
          <w:color w:val="auto"/>
          <w:sz w:val="24"/>
          <w:szCs w:val="24"/>
          <w:highlight w:val="none"/>
        </w:rPr>
      </w:pPr>
    </w:p>
    <w:p w14:paraId="1AB3957E">
      <w:pPr>
        <w:pStyle w:val="16"/>
        <w:keepNext w:val="0"/>
        <w:keepLines w:val="0"/>
        <w:pageBreakBefore w:val="0"/>
        <w:widowControl w:val="0"/>
        <w:tabs>
          <w:tab w:val="left" w:pos="7495"/>
          <w:tab w:val="left" w:pos="7975"/>
          <w:tab w:val="left" w:pos="8995"/>
        </w:tabs>
        <w:kinsoku/>
        <w:wordWrap/>
        <w:overflowPunct/>
        <w:topLinePunct w:val="0"/>
        <w:autoSpaceDE/>
        <w:autoSpaceDN/>
        <w:bidi w:val="0"/>
        <w:adjustRightInd/>
        <w:snapToGrid/>
        <w:spacing w:after="0" w:afterLines="0" w:line="364" w:lineRule="auto"/>
        <w:ind w:left="0" w:leftChars="0" w:right="420" w:rightChars="200" w:firstLine="472" w:firstLineChars="200"/>
        <w:jc w:val="righ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担保人名称：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（盖单位章）</w:t>
      </w:r>
    </w:p>
    <w:p w14:paraId="06D3B777">
      <w:pPr>
        <w:pStyle w:val="16"/>
        <w:keepNext w:val="0"/>
        <w:keepLines w:val="0"/>
        <w:pageBreakBefore w:val="0"/>
        <w:widowControl w:val="0"/>
        <w:tabs>
          <w:tab w:val="left" w:pos="7495"/>
          <w:tab w:val="left" w:pos="7975"/>
          <w:tab w:val="left" w:pos="8995"/>
        </w:tabs>
        <w:kinsoku/>
        <w:wordWrap/>
        <w:overflowPunct/>
        <w:topLinePunct w:val="0"/>
        <w:autoSpaceDE/>
        <w:autoSpaceDN/>
        <w:bidi w:val="0"/>
        <w:adjustRightInd/>
        <w:snapToGrid/>
        <w:spacing w:after="0" w:afterLines="0" w:line="364" w:lineRule="auto"/>
        <w:ind w:left="0" w:leftChars="0" w:right="420" w:rightChars="200" w:firstLine="472" w:firstLineChars="200"/>
        <w:jc w:val="righ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2"/>
          <w:sz w:val="24"/>
          <w:szCs w:val="24"/>
          <w:highlight w:val="none"/>
        </w:rPr>
        <w:t>法定代表人或其委托代理人：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（签字）</w:t>
      </w:r>
    </w:p>
    <w:p w14:paraId="3FD72B2A">
      <w:pPr>
        <w:pStyle w:val="16"/>
        <w:keepNext w:val="0"/>
        <w:keepLines w:val="0"/>
        <w:pageBreakBefore w:val="0"/>
        <w:widowControl w:val="0"/>
        <w:tabs>
          <w:tab w:val="left" w:pos="7495"/>
          <w:tab w:val="left" w:pos="7975"/>
          <w:tab w:val="left" w:pos="8995"/>
        </w:tabs>
        <w:kinsoku/>
        <w:wordWrap w:val="0"/>
        <w:overflowPunct/>
        <w:topLinePunct w:val="0"/>
        <w:autoSpaceDE/>
        <w:autoSpaceDN/>
        <w:bidi w:val="0"/>
        <w:adjustRightInd/>
        <w:snapToGrid/>
        <w:spacing w:after="0" w:afterLines="0" w:line="364" w:lineRule="auto"/>
        <w:ind w:left="0" w:leftChars="0" w:right="420" w:rightChars="200" w:firstLine="472" w:firstLineChars="200"/>
        <w:jc w:val="righ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地 址：</w:t>
      </w:r>
      <w:r>
        <w:rPr>
          <w:rFonts w:hint="eastAsia" w:ascii="宋体" w:hAnsi="宋体" w:eastAsia="宋体" w:cs="宋体"/>
          <w:color w:val="auto"/>
          <w:spacing w:val="-2"/>
          <w:sz w:val="24"/>
          <w:szCs w:val="24"/>
          <w:highlight w:val="none"/>
          <w:u w:val="single"/>
          <w:lang w:val="en-US" w:eastAsia="zh-CN"/>
        </w:rPr>
        <w:t xml:space="preserve">                                      </w:t>
      </w:r>
    </w:p>
    <w:p w14:paraId="13BDC922">
      <w:pPr>
        <w:pStyle w:val="16"/>
        <w:keepNext w:val="0"/>
        <w:keepLines w:val="0"/>
        <w:pageBreakBefore w:val="0"/>
        <w:widowControl w:val="0"/>
        <w:tabs>
          <w:tab w:val="left" w:pos="7495"/>
          <w:tab w:val="left" w:pos="7975"/>
          <w:tab w:val="left" w:pos="8995"/>
        </w:tabs>
        <w:kinsoku/>
        <w:wordWrap w:val="0"/>
        <w:overflowPunct/>
        <w:topLinePunct w:val="0"/>
        <w:autoSpaceDE/>
        <w:autoSpaceDN/>
        <w:bidi w:val="0"/>
        <w:adjustRightInd/>
        <w:snapToGrid/>
        <w:spacing w:after="0" w:afterLines="0" w:line="364" w:lineRule="auto"/>
        <w:ind w:left="0" w:leftChars="0" w:right="420" w:rightChars="200" w:firstLine="472"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邮政编码：</w:t>
      </w:r>
      <w:r>
        <w:rPr>
          <w:rFonts w:hint="eastAsia" w:ascii="宋体" w:hAnsi="宋体" w:eastAsia="宋体" w:cs="宋体"/>
          <w:color w:val="auto"/>
          <w:sz w:val="24"/>
          <w:szCs w:val="24"/>
          <w:highlight w:val="none"/>
          <w:u w:val="single"/>
          <w:lang w:val="en-US" w:eastAsia="zh-CN"/>
        </w:rPr>
        <w:t xml:space="preserve">                                  </w:t>
      </w:r>
    </w:p>
    <w:p w14:paraId="796CC805">
      <w:pPr>
        <w:pStyle w:val="16"/>
        <w:keepNext w:val="0"/>
        <w:keepLines w:val="0"/>
        <w:pageBreakBefore w:val="0"/>
        <w:widowControl w:val="0"/>
        <w:kinsoku/>
        <w:wordWrap w:val="0"/>
        <w:overflowPunct/>
        <w:topLinePunct w:val="0"/>
        <w:autoSpaceDE/>
        <w:autoSpaceDN/>
        <w:bidi w:val="0"/>
        <w:adjustRightInd/>
        <w:snapToGrid/>
        <w:spacing w:after="0" w:afterLines="0" w:line="364" w:lineRule="auto"/>
        <w:ind w:left="0" w:leftChars="0" w:right="420" w:rightChars="200" w:firstLine="480" w:firstLineChars="200"/>
        <w:jc w:val="righ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w:t>
      </w:r>
    </w:p>
    <w:p w14:paraId="5CF4522A">
      <w:pPr>
        <w:pStyle w:val="16"/>
        <w:keepNext w:val="0"/>
        <w:keepLines w:val="0"/>
        <w:pageBreakBefore w:val="0"/>
        <w:widowControl w:val="0"/>
        <w:tabs>
          <w:tab w:val="left" w:pos="7495"/>
          <w:tab w:val="left" w:pos="7975"/>
          <w:tab w:val="left" w:pos="8995"/>
        </w:tabs>
        <w:kinsoku/>
        <w:wordWrap w:val="0"/>
        <w:overflowPunct/>
        <w:topLinePunct w:val="0"/>
        <w:autoSpaceDE/>
        <w:autoSpaceDN/>
        <w:bidi w:val="0"/>
        <w:adjustRightInd/>
        <w:snapToGrid/>
        <w:spacing w:after="0" w:afterLines="0" w:line="364" w:lineRule="auto"/>
        <w:ind w:left="0" w:leftChars="0" w:right="420" w:rightChars="200"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w:t>
      </w:r>
      <w:r>
        <w:rPr>
          <w:rFonts w:hint="eastAsia" w:ascii="宋体" w:hAnsi="宋体" w:eastAsia="宋体" w:cs="宋体"/>
          <w:color w:val="auto"/>
          <w:spacing w:val="60"/>
          <w:w w:val="150"/>
          <w:sz w:val="24"/>
          <w:szCs w:val="24"/>
          <w:highlight w:val="none"/>
        </w:rPr>
        <w:t xml:space="preserve">  </w:t>
      </w:r>
      <w:r>
        <w:rPr>
          <w:rFonts w:hint="eastAsia" w:ascii="宋体" w:hAnsi="宋体" w:eastAsia="宋体" w:cs="宋体"/>
          <w:color w:val="auto"/>
          <w:sz w:val="24"/>
          <w:szCs w:val="24"/>
          <w:highlight w:val="none"/>
        </w:rPr>
        <w:t>真</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004DADCF">
      <w:pPr>
        <w:pStyle w:val="16"/>
        <w:keepNext w:val="0"/>
        <w:keepLines w:val="0"/>
        <w:pageBreakBefore w:val="0"/>
        <w:widowControl w:val="0"/>
        <w:tabs>
          <w:tab w:val="left" w:pos="7255"/>
          <w:tab w:val="left" w:pos="7975"/>
          <w:tab w:val="left" w:pos="8695"/>
        </w:tabs>
        <w:kinsoku/>
        <w:wordWrap/>
        <w:overflowPunct/>
        <w:topLinePunct w:val="0"/>
        <w:autoSpaceDE/>
        <w:autoSpaceDN/>
        <w:bidi w:val="0"/>
        <w:adjustRightInd/>
        <w:snapToGrid/>
        <w:spacing w:after="0" w:afterLines="0" w:line="304" w:lineRule="exact"/>
        <w:ind w:left="0" w:leftChars="0" w:right="420" w:rightChars="20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rPr>
        <w:t>日</w:t>
      </w:r>
    </w:p>
    <w:p w14:paraId="771F8E70">
      <w:pPr>
        <w:pStyle w:val="16"/>
        <w:keepNext w:val="0"/>
        <w:keepLines w:val="0"/>
        <w:pageBreakBefore w:val="0"/>
        <w:widowControl w:val="0"/>
        <w:kinsoku/>
        <w:wordWrap/>
        <w:overflowPunct/>
        <w:topLinePunct w:val="0"/>
        <w:autoSpaceDE/>
        <w:autoSpaceDN/>
        <w:bidi w:val="0"/>
        <w:adjustRightInd/>
        <w:snapToGrid/>
        <w:spacing w:after="0" w:afterLines="0"/>
        <w:ind w:left="0" w:leftChars="0" w:right="420" w:rightChars="200" w:firstLine="480" w:firstLineChars="200"/>
        <w:textAlignment w:val="auto"/>
        <w:rPr>
          <w:rFonts w:hint="eastAsia" w:ascii="宋体" w:hAnsi="宋体" w:eastAsia="宋体" w:cs="宋体"/>
          <w:color w:val="auto"/>
          <w:sz w:val="24"/>
          <w:szCs w:val="24"/>
          <w:highlight w:val="none"/>
        </w:rPr>
      </w:pPr>
    </w:p>
    <w:p w14:paraId="5D3EA53A">
      <w:pPr>
        <w:pStyle w:val="16"/>
        <w:keepNext w:val="0"/>
        <w:keepLines w:val="0"/>
        <w:pageBreakBefore w:val="0"/>
        <w:widowControl w:val="0"/>
        <w:kinsoku/>
        <w:wordWrap/>
        <w:overflowPunct/>
        <w:topLinePunct w:val="0"/>
        <w:autoSpaceDE/>
        <w:autoSpaceDN/>
        <w:bidi w:val="0"/>
        <w:adjustRightInd/>
        <w:snapToGrid/>
        <w:spacing w:after="0" w:afterLines="0"/>
        <w:ind w:left="0" w:leftChars="0" w:right="420" w:rightChars="200" w:firstLine="480" w:firstLineChars="200"/>
        <w:textAlignment w:val="auto"/>
        <w:rPr>
          <w:rFonts w:hint="eastAsia" w:ascii="宋体" w:hAnsi="宋体" w:eastAsia="宋体" w:cs="宋体"/>
          <w:color w:val="auto"/>
          <w:sz w:val="24"/>
          <w:szCs w:val="24"/>
          <w:highlight w:val="none"/>
        </w:rPr>
      </w:pPr>
    </w:p>
    <w:p w14:paraId="02C374C9">
      <w:pPr>
        <w:keepNext w:val="0"/>
        <w:keepLines w:val="0"/>
        <w:pageBreakBefore w:val="0"/>
        <w:widowControl w:val="0"/>
        <w:kinsoku/>
        <w:wordWrap/>
        <w:overflowPunct/>
        <w:topLinePunct w:val="0"/>
        <w:autoSpaceDE/>
        <w:autoSpaceDN/>
        <w:bidi w:val="0"/>
        <w:adjustRightInd/>
        <w:snapToGrid/>
        <w:spacing w:line="242" w:lineRule="auto"/>
        <w:ind w:left="0" w:leftChars="0" w:right="420" w:rightChars="200" w:firstLine="470" w:firstLineChars="200"/>
        <w:jc w:val="both"/>
        <w:textAlignment w:val="auto"/>
        <w:rPr>
          <w:color w:val="auto"/>
          <w:sz w:val="21"/>
          <w:highlight w:val="none"/>
        </w:rPr>
        <w:sectPr>
          <w:pgSz w:w="11900" w:h="16840"/>
          <w:pgMar w:top="1320" w:right="820" w:bottom="1160" w:left="1000" w:header="700" w:footer="972" w:gutter="0"/>
          <w:cols w:space="720" w:num="1"/>
        </w:sectPr>
      </w:pPr>
      <w:r>
        <w:rPr>
          <w:rFonts w:hint="eastAsia" w:ascii="宋体" w:hAnsi="宋体" w:eastAsia="宋体" w:cs="宋体"/>
          <w:color w:val="auto"/>
          <w:spacing w:val="-1"/>
          <w:w w:val="99"/>
          <w:sz w:val="24"/>
          <w:szCs w:val="24"/>
          <w:highlight w:val="none"/>
        </w:rPr>
        <w:t>注：本保函格式只作为参考，投标人可根据当地银行及相关规定的格式填写，但主要内容须与本保函内容原则上保持一致。如：“本保函在投标有效期或经延长的投标有效期内保持有效”可改为本</w:t>
      </w:r>
      <w:r>
        <w:rPr>
          <w:rFonts w:hint="eastAsia" w:ascii="宋体" w:hAnsi="宋体" w:eastAsia="宋体" w:cs="宋体"/>
          <w:color w:val="auto"/>
          <w:w w:val="99"/>
          <w:sz w:val="24"/>
          <w:szCs w:val="24"/>
          <w:highlight w:val="none"/>
        </w:rPr>
        <w:t>保函自</w:t>
      </w: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w w:val="99"/>
          <w:sz w:val="24"/>
          <w:szCs w:val="24"/>
          <w:highlight w:val="none"/>
          <w:u w:val="single"/>
        </w:rPr>
        <w:t>（生效日期</w:t>
      </w:r>
      <w:r>
        <w:rPr>
          <w:rFonts w:hint="eastAsia" w:ascii="宋体" w:hAnsi="宋体" w:eastAsia="宋体" w:cs="宋体"/>
          <w:color w:val="auto"/>
          <w:spacing w:val="2"/>
          <w:w w:val="99"/>
          <w:sz w:val="24"/>
          <w:szCs w:val="24"/>
          <w:highlight w:val="none"/>
          <w:u w:val="single"/>
        </w:rPr>
        <w:t>）</w:t>
      </w:r>
      <w:r>
        <w:rPr>
          <w:rFonts w:hint="eastAsia" w:ascii="宋体" w:hAnsi="宋体" w:eastAsia="宋体" w:cs="宋体"/>
          <w:color w:val="auto"/>
          <w:spacing w:val="-1"/>
          <w:w w:val="99"/>
          <w:sz w:val="24"/>
          <w:szCs w:val="24"/>
          <w:highlight w:val="none"/>
        </w:rPr>
        <w:t>之日起生效，至</w:t>
      </w: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w w:val="99"/>
          <w:sz w:val="24"/>
          <w:szCs w:val="24"/>
          <w:highlight w:val="none"/>
          <w:u w:val="single"/>
        </w:rPr>
        <w:t>（失效日期</w:t>
      </w:r>
      <w:r>
        <w:rPr>
          <w:rFonts w:hint="eastAsia" w:ascii="宋体" w:hAnsi="宋体" w:eastAsia="宋体" w:cs="宋体"/>
          <w:color w:val="auto"/>
          <w:spacing w:val="2"/>
          <w:w w:val="99"/>
          <w:sz w:val="24"/>
          <w:szCs w:val="24"/>
          <w:highlight w:val="none"/>
          <w:u w:val="single"/>
        </w:rPr>
        <w:t>）</w:t>
      </w:r>
      <w:r>
        <w:rPr>
          <w:rFonts w:hint="eastAsia" w:ascii="宋体" w:hAnsi="宋体" w:eastAsia="宋体" w:cs="宋体"/>
          <w:color w:val="auto"/>
          <w:spacing w:val="-1"/>
          <w:w w:val="99"/>
          <w:sz w:val="24"/>
          <w:szCs w:val="24"/>
          <w:highlight w:val="none"/>
        </w:rPr>
        <w:t>之日失效。</w:t>
      </w:r>
    </w:p>
    <w:p w14:paraId="2CD8503E">
      <w:pPr>
        <w:shd w:val="clear" w:fill="FFFFFF" w:themeFill="background1"/>
        <w:jc w:val="both"/>
        <w:rPr>
          <w:rFonts w:ascii="宋体" w:hAnsi="宋体"/>
          <w:b/>
          <w:color w:val="auto"/>
          <w:sz w:val="28"/>
          <w:szCs w:val="28"/>
          <w:highlight w:val="none"/>
        </w:rPr>
      </w:pPr>
      <w:bookmarkStart w:id="1757" w:name="_Toc453057237"/>
      <w:bookmarkStart w:id="1758" w:name="_Toc451261419"/>
      <w:bookmarkStart w:id="1759" w:name="_Toc24192"/>
    </w:p>
    <w:p w14:paraId="08828517">
      <w:pPr>
        <w:numPr>
          <w:ilvl w:val="0"/>
          <w:numId w:val="28"/>
        </w:num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施工组织设计</w:t>
      </w:r>
    </w:p>
    <w:p w14:paraId="4866B4DB">
      <w:pPr>
        <w:shd w:val="clear" w:fill="FFFFFF" w:themeFill="background1"/>
        <w:spacing w:line="480" w:lineRule="auto"/>
        <w:ind w:right="263" w:firstLine="560" w:firstLineChars="200"/>
        <w:rPr>
          <w:color w:val="auto"/>
          <w:sz w:val="28"/>
          <w:highlight w:val="none"/>
        </w:rPr>
      </w:pPr>
    </w:p>
    <w:p w14:paraId="3767E71F">
      <w:pPr>
        <w:shd w:val="clear" w:fill="FFFFFF" w:themeFill="background1"/>
        <w:spacing w:before="66" w:line="379" w:lineRule="auto"/>
        <w:ind w:left="7" w:right="382" w:firstLine="420"/>
        <w:rPr>
          <w:rFonts w:ascii="宋体" w:hAnsi="宋体" w:cs="宋体"/>
          <w:color w:val="auto"/>
          <w:spacing w:val="16"/>
          <w:sz w:val="24"/>
          <w:highlight w:val="none"/>
        </w:rPr>
      </w:pPr>
      <w:r>
        <w:rPr>
          <w:rFonts w:hint="eastAsia" w:ascii="宋体" w:hAnsi="宋体" w:cs="宋体"/>
          <w:color w:val="auto"/>
          <w:spacing w:val="16"/>
          <w:sz w:val="24"/>
          <w:highlight w:val="none"/>
        </w:rPr>
        <w:t>投标人应按以下要点编制施工组织设计（文字宜精炼、内容具有针对性）：</w:t>
      </w:r>
    </w:p>
    <w:p w14:paraId="46732BCC">
      <w:pPr>
        <w:shd w:val="clear" w:fill="FFFFFF" w:themeFill="background1"/>
        <w:spacing w:before="66" w:line="379" w:lineRule="auto"/>
        <w:ind w:left="7" w:right="382" w:firstLine="420"/>
        <w:rPr>
          <w:rFonts w:ascii="宋体" w:hAnsi="宋体" w:cs="宋体"/>
          <w:color w:val="auto"/>
          <w:spacing w:val="16"/>
          <w:sz w:val="24"/>
          <w:highlight w:val="none"/>
        </w:rPr>
      </w:pPr>
      <w:r>
        <w:rPr>
          <w:rFonts w:hint="eastAsia" w:ascii="宋体" w:hAnsi="宋体" w:cs="宋体"/>
          <w:color w:val="auto"/>
          <w:spacing w:val="16"/>
          <w:sz w:val="24"/>
          <w:highlight w:val="none"/>
        </w:rPr>
        <w:t>（1）总体施工组织布置及规划；</w:t>
      </w:r>
    </w:p>
    <w:p w14:paraId="18297245">
      <w:pPr>
        <w:shd w:val="clear" w:fill="FFFFFF" w:themeFill="background1"/>
        <w:spacing w:before="66" w:line="379" w:lineRule="auto"/>
        <w:ind w:left="7" w:right="382" w:firstLine="420"/>
        <w:rPr>
          <w:rFonts w:ascii="宋体" w:hAnsi="宋体" w:cs="宋体"/>
          <w:color w:val="auto"/>
          <w:spacing w:val="16"/>
          <w:sz w:val="24"/>
          <w:highlight w:val="none"/>
        </w:rPr>
      </w:pPr>
      <w:r>
        <w:rPr>
          <w:rFonts w:hint="eastAsia" w:ascii="宋体" w:hAnsi="宋体" w:cs="宋体"/>
          <w:color w:val="auto"/>
          <w:spacing w:val="16"/>
          <w:sz w:val="24"/>
          <w:highlight w:val="none"/>
        </w:rPr>
        <w:t>（2）重点、难点和关键工程的施工方案与技术措施；</w:t>
      </w:r>
    </w:p>
    <w:p w14:paraId="04BBEA7C">
      <w:pPr>
        <w:shd w:val="clear" w:fill="FFFFFF" w:themeFill="background1"/>
        <w:spacing w:before="66" w:line="379" w:lineRule="auto"/>
        <w:ind w:left="7" w:right="382" w:firstLine="420"/>
        <w:rPr>
          <w:rFonts w:ascii="宋体" w:hAnsi="宋体" w:cs="宋体"/>
          <w:color w:val="auto"/>
          <w:spacing w:val="16"/>
          <w:sz w:val="24"/>
          <w:highlight w:val="none"/>
        </w:rPr>
      </w:pPr>
      <w:r>
        <w:rPr>
          <w:rFonts w:hint="eastAsia" w:ascii="宋体" w:hAnsi="宋体" w:cs="宋体"/>
          <w:color w:val="auto"/>
          <w:spacing w:val="16"/>
          <w:sz w:val="24"/>
          <w:highlight w:val="none"/>
        </w:rPr>
        <w:t>（3）工期、质量、安全、环保水保、文明施工保证措施</w:t>
      </w:r>
    </w:p>
    <w:p w14:paraId="56D52F0E">
      <w:pPr>
        <w:shd w:val="clear" w:fill="FFFFFF" w:themeFill="background1"/>
        <w:spacing w:before="66" w:line="379" w:lineRule="auto"/>
        <w:ind w:left="7" w:right="382" w:firstLine="420"/>
        <w:rPr>
          <w:rFonts w:ascii="宋体" w:hAnsi="宋体" w:cs="宋体"/>
          <w:color w:val="auto"/>
          <w:spacing w:val="16"/>
          <w:sz w:val="20"/>
          <w:szCs w:val="20"/>
          <w:highlight w:val="none"/>
        </w:rPr>
      </w:pPr>
    </w:p>
    <w:p w14:paraId="7A32304A">
      <w:pPr>
        <w:shd w:val="clear" w:fill="FFFFFF" w:themeFill="background1"/>
        <w:spacing w:before="66" w:line="379" w:lineRule="auto"/>
        <w:ind w:left="7" w:right="382" w:firstLine="420"/>
        <w:rPr>
          <w:rFonts w:ascii="宋体" w:hAnsi="宋体" w:cs="宋体"/>
          <w:color w:val="auto"/>
          <w:spacing w:val="16"/>
          <w:sz w:val="20"/>
          <w:szCs w:val="20"/>
          <w:highlight w:val="none"/>
        </w:rPr>
      </w:pPr>
    </w:p>
    <w:p w14:paraId="5699D404">
      <w:pPr>
        <w:shd w:val="clear" w:fill="FFFFFF" w:themeFill="background1"/>
        <w:spacing w:before="66" w:line="379" w:lineRule="auto"/>
        <w:ind w:left="7" w:right="382" w:firstLine="420"/>
        <w:rPr>
          <w:rFonts w:ascii="宋体" w:hAnsi="宋体" w:cs="宋体"/>
          <w:color w:val="auto"/>
          <w:spacing w:val="16"/>
          <w:sz w:val="20"/>
          <w:szCs w:val="20"/>
          <w:highlight w:val="none"/>
        </w:rPr>
      </w:pPr>
    </w:p>
    <w:p w14:paraId="68FCC297">
      <w:pPr>
        <w:shd w:val="clear" w:fill="FFFFFF" w:themeFill="background1"/>
        <w:spacing w:before="66" w:line="379" w:lineRule="auto"/>
        <w:ind w:left="7" w:right="382" w:firstLine="420"/>
        <w:rPr>
          <w:rFonts w:ascii="宋体" w:hAnsi="宋体" w:cs="宋体"/>
          <w:color w:val="auto"/>
          <w:spacing w:val="16"/>
          <w:sz w:val="20"/>
          <w:szCs w:val="20"/>
          <w:highlight w:val="none"/>
        </w:rPr>
      </w:pPr>
    </w:p>
    <w:p w14:paraId="7834FF0F">
      <w:pPr>
        <w:shd w:val="clear" w:fill="FFFFFF" w:themeFill="background1"/>
        <w:rPr>
          <w:rFonts w:ascii="宋体" w:hAnsi="宋体" w:cs="宋体"/>
          <w:color w:val="auto"/>
          <w:spacing w:val="9"/>
          <w:sz w:val="20"/>
          <w:szCs w:val="20"/>
          <w:highlight w:val="none"/>
        </w:rPr>
      </w:pPr>
      <w:r>
        <w:rPr>
          <w:rFonts w:ascii="宋体" w:hAnsi="宋体" w:cs="宋体"/>
          <w:color w:val="auto"/>
          <w:spacing w:val="9"/>
          <w:sz w:val="20"/>
          <w:szCs w:val="20"/>
          <w:highlight w:val="none"/>
        </w:rPr>
        <w:br w:type="page"/>
      </w:r>
    </w:p>
    <w:p w14:paraId="215BD131">
      <w:pPr>
        <w:shd w:val="clear" w:fill="FFFFFF" w:themeFill="background1"/>
        <w:spacing w:before="66" w:line="379" w:lineRule="auto"/>
        <w:ind w:left="7" w:right="382" w:firstLine="420"/>
        <w:rPr>
          <w:rFonts w:ascii="宋体" w:hAnsi="宋体" w:cs="宋体"/>
          <w:color w:val="auto"/>
          <w:spacing w:val="9"/>
          <w:sz w:val="20"/>
          <w:szCs w:val="20"/>
          <w:highlight w:val="none"/>
        </w:rPr>
      </w:pPr>
    </w:p>
    <w:p w14:paraId="1E0FEBFF">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五、项目管理机构</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63219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9356" w:type="dxa"/>
          </w:tcPr>
          <w:p w14:paraId="609A40A2">
            <w:pPr>
              <w:shd w:val="clear" w:fill="FFFFFF" w:themeFill="background1"/>
              <w:rPr>
                <w:rFonts w:ascii="宋体" w:hAnsi="宋体" w:cs="宋体"/>
                <w:color w:val="auto"/>
                <w:szCs w:val="21"/>
                <w:highlight w:val="none"/>
              </w:rPr>
            </w:pPr>
          </w:p>
          <w:p w14:paraId="6AA24588">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拟为承包本标段工程设立的组织机构以框图方式表示。</w:t>
            </w:r>
          </w:p>
        </w:tc>
      </w:tr>
      <w:tr w14:paraId="6C96A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356" w:type="dxa"/>
          </w:tcPr>
          <w:p w14:paraId="60A48E1C">
            <w:pPr>
              <w:shd w:val="clear" w:fill="FFFFFF" w:themeFill="background1"/>
              <w:rPr>
                <w:rFonts w:ascii="宋体" w:hAnsi="宋体" w:cs="宋体"/>
                <w:color w:val="auto"/>
                <w:szCs w:val="21"/>
                <w:highlight w:val="none"/>
              </w:rPr>
            </w:pPr>
          </w:p>
          <w:p w14:paraId="78D7B20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说明</w:t>
            </w:r>
          </w:p>
        </w:tc>
      </w:tr>
    </w:tbl>
    <w:p w14:paraId="687361EE">
      <w:pPr>
        <w:pStyle w:val="55"/>
        <w:shd w:val="clear" w:fill="FFFFFF" w:themeFill="background1"/>
        <w:ind w:left="15" w:leftChars="7" w:firstLine="403" w:firstLineChars="168"/>
        <w:rPr>
          <w:rFonts w:ascii="宋体" w:hAnsi="宋体" w:cs="宋体"/>
          <w:color w:val="auto"/>
          <w:sz w:val="24"/>
          <w:szCs w:val="24"/>
          <w:highlight w:val="none"/>
        </w:rPr>
        <w:sectPr>
          <w:headerReference r:id="rId13" w:type="default"/>
          <w:footerReference r:id="rId14" w:type="default"/>
          <w:footnotePr>
            <w:numFmt w:val="decimalEnclosedCircleChinese"/>
          </w:footnotePr>
          <w:pgSz w:w="11906" w:h="16838"/>
          <w:pgMar w:top="1038" w:right="924" w:bottom="936" w:left="1418" w:header="624" w:footer="590" w:gutter="0"/>
          <w:cols w:space="720" w:num="1"/>
          <w:docGrid w:type="lines" w:linePitch="312" w:charSpace="0"/>
        </w:sectPr>
      </w:pPr>
    </w:p>
    <w:p w14:paraId="054920F1">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六、拟分包项目情况表</w:t>
      </w:r>
    </w:p>
    <w:tbl>
      <w:tblPr>
        <w:tblStyle w:val="43"/>
        <w:tblW w:w="9638" w:type="dxa"/>
        <w:tblInd w:w="1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14:paraId="04D035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410" w:type="dxa"/>
            <w:tcBorders>
              <w:bottom w:val="single" w:color="000000" w:sz="6" w:space="0"/>
              <w:right w:val="single" w:color="000000" w:sz="6" w:space="0"/>
            </w:tcBorders>
          </w:tcPr>
          <w:p w14:paraId="1D8E46B4">
            <w:pPr>
              <w:pStyle w:val="80"/>
              <w:shd w:val="clear" w:fill="FFFFFF" w:themeFill="background1"/>
              <w:spacing w:before="46" w:line="242" w:lineRule="auto"/>
              <w:ind w:left="964" w:right="461" w:hanging="480"/>
              <w:rPr>
                <w:rFonts w:ascii="宋体" w:hAnsi="宋体" w:cs="宋体"/>
                <w:color w:val="auto"/>
                <w:sz w:val="24"/>
                <w:highlight w:val="none"/>
              </w:rPr>
            </w:pPr>
            <w:r>
              <w:rPr>
                <w:rFonts w:hint="eastAsia" w:ascii="宋体" w:hAnsi="宋体" w:cs="宋体"/>
                <w:color w:val="auto"/>
                <w:sz w:val="24"/>
                <w:highlight w:val="none"/>
              </w:rPr>
              <w:t>拟分包的工程项目</w:t>
            </w:r>
          </w:p>
        </w:tc>
        <w:tc>
          <w:tcPr>
            <w:tcW w:w="2409" w:type="dxa"/>
            <w:tcBorders>
              <w:left w:val="single" w:color="000000" w:sz="6" w:space="0"/>
              <w:bottom w:val="single" w:color="000000" w:sz="6" w:space="0"/>
              <w:right w:val="single" w:color="000000" w:sz="6" w:space="0"/>
            </w:tcBorders>
          </w:tcPr>
          <w:p w14:paraId="7904D539">
            <w:pPr>
              <w:pStyle w:val="80"/>
              <w:shd w:val="clear" w:fill="FFFFFF" w:themeFill="background1"/>
              <w:spacing w:before="201"/>
              <w:ind w:left="491"/>
              <w:rPr>
                <w:rFonts w:ascii="宋体" w:hAnsi="宋体" w:cs="宋体"/>
                <w:color w:val="auto"/>
                <w:sz w:val="24"/>
                <w:highlight w:val="none"/>
              </w:rPr>
            </w:pPr>
            <w:r>
              <w:rPr>
                <w:rFonts w:hint="eastAsia" w:ascii="宋体" w:hAnsi="宋体" w:cs="宋体"/>
                <w:color w:val="auto"/>
                <w:sz w:val="24"/>
                <w:highlight w:val="none"/>
              </w:rPr>
              <w:t>主要工程内容</w:t>
            </w:r>
          </w:p>
        </w:tc>
        <w:tc>
          <w:tcPr>
            <w:tcW w:w="2409" w:type="dxa"/>
            <w:tcBorders>
              <w:left w:val="single" w:color="000000" w:sz="6" w:space="0"/>
              <w:bottom w:val="single" w:color="000000" w:sz="6" w:space="0"/>
              <w:right w:val="single" w:color="000000" w:sz="6" w:space="0"/>
            </w:tcBorders>
          </w:tcPr>
          <w:p w14:paraId="49E9E526">
            <w:pPr>
              <w:pStyle w:val="80"/>
              <w:shd w:val="clear" w:fill="FFFFFF" w:themeFill="background1"/>
              <w:spacing w:before="201"/>
              <w:ind w:left="253"/>
              <w:rPr>
                <w:rFonts w:ascii="宋体" w:hAnsi="宋体" w:cs="宋体"/>
                <w:color w:val="auto"/>
                <w:sz w:val="24"/>
                <w:highlight w:val="none"/>
              </w:rPr>
            </w:pPr>
            <w:r>
              <w:rPr>
                <w:rFonts w:hint="eastAsia" w:ascii="宋体" w:hAnsi="宋体" w:cs="宋体"/>
                <w:color w:val="auto"/>
                <w:sz w:val="24"/>
                <w:highlight w:val="none"/>
              </w:rPr>
              <w:t>预计造价（万元）</w:t>
            </w:r>
          </w:p>
        </w:tc>
        <w:tc>
          <w:tcPr>
            <w:tcW w:w="2410" w:type="dxa"/>
            <w:tcBorders>
              <w:left w:val="single" w:color="000000" w:sz="6" w:space="0"/>
              <w:bottom w:val="single" w:color="000000" w:sz="6" w:space="0"/>
            </w:tcBorders>
          </w:tcPr>
          <w:p w14:paraId="6EEA745F">
            <w:pPr>
              <w:pStyle w:val="80"/>
              <w:shd w:val="clear" w:fill="FFFFFF" w:themeFill="background1"/>
              <w:spacing w:before="201"/>
              <w:ind w:left="130" w:right="91"/>
              <w:jc w:val="center"/>
              <w:rPr>
                <w:rFonts w:ascii="宋体" w:hAnsi="宋体" w:cs="宋体"/>
                <w:color w:val="auto"/>
                <w:sz w:val="24"/>
                <w:highlight w:val="none"/>
              </w:rPr>
            </w:pPr>
            <w:r>
              <w:rPr>
                <w:rFonts w:hint="eastAsia" w:ascii="宋体" w:hAnsi="宋体" w:cs="宋体"/>
                <w:color w:val="auto"/>
                <w:sz w:val="24"/>
                <w:highlight w:val="none"/>
              </w:rPr>
              <w:t>备注</w:t>
            </w:r>
          </w:p>
        </w:tc>
      </w:tr>
      <w:tr w14:paraId="7468EB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10" w:type="dxa"/>
            <w:tcBorders>
              <w:top w:val="single" w:color="000000" w:sz="6" w:space="0"/>
              <w:bottom w:val="single" w:color="000000" w:sz="6" w:space="0"/>
              <w:right w:val="single" w:color="000000" w:sz="6" w:space="0"/>
            </w:tcBorders>
          </w:tcPr>
          <w:p w14:paraId="121E2B98">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551BFC37">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8F71DFD">
            <w:pPr>
              <w:pStyle w:val="80"/>
              <w:shd w:val="clear" w:fill="FFFFFF" w:themeFill="background1"/>
              <w:rPr>
                <w:rFonts w:ascii="宋体" w:hAnsi="宋体" w:cs="宋体"/>
                <w:color w:val="auto"/>
                <w:sz w:val="20"/>
                <w:highlight w:val="none"/>
              </w:rPr>
            </w:pPr>
          </w:p>
        </w:tc>
        <w:tc>
          <w:tcPr>
            <w:tcW w:w="2410" w:type="dxa"/>
            <w:vMerge w:val="restart"/>
            <w:tcBorders>
              <w:top w:val="single" w:color="000000" w:sz="6" w:space="0"/>
              <w:left w:val="single" w:color="000000" w:sz="6" w:space="0"/>
            </w:tcBorders>
          </w:tcPr>
          <w:p w14:paraId="4CDA3D18">
            <w:pPr>
              <w:pStyle w:val="80"/>
              <w:shd w:val="clear" w:fill="FFFFFF" w:themeFill="background1"/>
              <w:rPr>
                <w:rFonts w:ascii="宋体" w:hAnsi="宋体" w:cs="宋体"/>
                <w:color w:val="auto"/>
                <w:sz w:val="24"/>
                <w:highlight w:val="none"/>
              </w:rPr>
            </w:pPr>
          </w:p>
          <w:p w14:paraId="12FB29C3">
            <w:pPr>
              <w:pStyle w:val="80"/>
              <w:shd w:val="clear" w:fill="FFFFFF" w:themeFill="background1"/>
              <w:rPr>
                <w:rFonts w:ascii="宋体" w:hAnsi="宋体" w:cs="宋体"/>
                <w:color w:val="auto"/>
                <w:sz w:val="24"/>
                <w:highlight w:val="none"/>
              </w:rPr>
            </w:pPr>
          </w:p>
          <w:p w14:paraId="2DF21FC9">
            <w:pPr>
              <w:pStyle w:val="80"/>
              <w:shd w:val="clear" w:fill="FFFFFF" w:themeFill="background1"/>
              <w:rPr>
                <w:rFonts w:ascii="宋体" w:hAnsi="宋体" w:cs="宋体"/>
                <w:color w:val="auto"/>
                <w:sz w:val="24"/>
                <w:highlight w:val="none"/>
              </w:rPr>
            </w:pPr>
          </w:p>
          <w:p w14:paraId="0489F919">
            <w:pPr>
              <w:pStyle w:val="80"/>
              <w:shd w:val="clear" w:fill="FFFFFF" w:themeFill="background1"/>
              <w:rPr>
                <w:rFonts w:ascii="宋体" w:hAnsi="宋体" w:cs="宋体"/>
                <w:color w:val="auto"/>
                <w:sz w:val="24"/>
                <w:highlight w:val="none"/>
              </w:rPr>
            </w:pPr>
          </w:p>
          <w:p w14:paraId="5D97FAB0">
            <w:pPr>
              <w:pStyle w:val="80"/>
              <w:shd w:val="clear" w:fill="FFFFFF" w:themeFill="background1"/>
              <w:rPr>
                <w:rFonts w:ascii="宋体" w:hAnsi="宋体" w:cs="宋体"/>
                <w:color w:val="auto"/>
                <w:sz w:val="24"/>
                <w:highlight w:val="none"/>
              </w:rPr>
            </w:pPr>
          </w:p>
          <w:p w14:paraId="6C330C05">
            <w:pPr>
              <w:pStyle w:val="80"/>
              <w:shd w:val="clear" w:fill="FFFFFF" w:themeFill="background1"/>
              <w:rPr>
                <w:rFonts w:ascii="宋体" w:hAnsi="宋体" w:cs="宋体"/>
                <w:color w:val="auto"/>
                <w:sz w:val="24"/>
                <w:highlight w:val="none"/>
              </w:rPr>
            </w:pPr>
          </w:p>
          <w:p w14:paraId="1DC3130D">
            <w:pPr>
              <w:pStyle w:val="80"/>
              <w:shd w:val="clear" w:fill="FFFFFF" w:themeFill="background1"/>
              <w:rPr>
                <w:rFonts w:ascii="宋体" w:hAnsi="宋体" w:cs="宋体"/>
                <w:color w:val="auto"/>
                <w:sz w:val="24"/>
                <w:highlight w:val="none"/>
              </w:rPr>
            </w:pPr>
          </w:p>
          <w:p w14:paraId="0CD153C9">
            <w:pPr>
              <w:pStyle w:val="80"/>
              <w:shd w:val="clear" w:fill="FFFFFF" w:themeFill="background1"/>
              <w:rPr>
                <w:rFonts w:ascii="宋体" w:hAnsi="宋体" w:cs="宋体"/>
                <w:color w:val="auto"/>
                <w:sz w:val="24"/>
                <w:highlight w:val="none"/>
              </w:rPr>
            </w:pPr>
          </w:p>
          <w:p w14:paraId="7815A87D">
            <w:pPr>
              <w:pStyle w:val="80"/>
              <w:shd w:val="clear" w:fill="FFFFFF" w:themeFill="background1"/>
              <w:rPr>
                <w:rFonts w:ascii="宋体" w:hAnsi="宋体" w:cs="宋体"/>
                <w:color w:val="auto"/>
                <w:sz w:val="24"/>
                <w:highlight w:val="none"/>
              </w:rPr>
            </w:pPr>
          </w:p>
          <w:p w14:paraId="788A4B03">
            <w:pPr>
              <w:pStyle w:val="80"/>
              <w:shd w:val="clear" w:fill="FFFFFF" w:themeFill="background1"/>
              <w:rPr>
                <w:rFonts w:ascii="宋体" w:hAnsi="宋体" w:cs="宋体"/>
                <w:color w:val="auto"/>
                <w:sz w:val="24"/>
                <w:highlight w:val="none"/>
              </w:rPr>
            </w:pPr>
          </w:p>
          <w:p w14:paraId="18BAC7E5">
            <w:pPr>
              <w:pStyle w:val="80"/>
              <w:shd w:val="clear" w:fill="FFFFFF" w:themeFill="background1"/>
              <w:rPr>
                <w:rFonts w:ascii="宋体" w:hAnsi="宋体" w:cs="宋体"/>
                <w:color w:val="auto"/>
                <w:sz w:val="24"/>
                <w:highlight w:val="none"/>
              </w:rPr>
            </w:pPr>
          </w:p>
          <w:p w14:paraId="07291A93">
            <w:pPr>
              <w:pStyle w:val="80"/>
              <w:shd w:val="clear" w:fill="FFFFFF" w:themeFill="background1"/>
              <w:rPr>
                <w:rFonts w:ascii="宋体" w:hAnsi="宋体" w:cs="宋体"/>
                <w:color w:val="auto"/>
                <w:sz w:val="24"/>
                <w:highlight w:val="none"/>
              </w:rPr>
            </w:pPr>
          </w:p>
          <w:p w14:paraId="07806C8C">
            <w:pPr>
              <w:pStyle w:val="80"/>
              <w:shd w:val="clear" w:fill="FFFFFF" w:themeFill="background1"/>
              <w:spacing w:before="1"/>
              <w:rPr>
                <w:rFonts w:ascii="宋体" w:hAnsi="宋体" w:cs="宋体"/>
                <w:color w:val="auto"/>
                <w:sz w:val="29"/>
                <w:highlight w:val="none"/>
              </w:rPr>
            </w:pPr>
          </w:p>
          <w:p w14:paraId="54A4AC0C">
            <w:pPr>
              <w:pStyle w:val="80"/>
              <w:shd w:val="clear" w:fill="FFFFFF" w:themeFill="background1"/>
              <w:spacing w:line="242" w:lineRule="auto"/>
              <w:ind w:left="133" w:right="91"/>
              <w:jc w:val="center"/>
              <w:rPr>
                <w:rFonts w:ascii="宋体" w:hAnsi="宋体" w:cs="宋体"/>
                <w:color w:val="auto"/>
                <w:sz w:val="24"/>
                <w:highlight w:val="none"/>
              </w:rPr>
            </w:pPr>
            <w:r>
              <w:rPr>
                <w:rFonts w:hint="eastAsia" w:ascii="宋体" w:hAnsi="宋体" w:cs="宋体"/>
                <w:color w:val="auto"/>
                <w:sz w:val="24"/>
                <w:highlight w:val="none"/>
              </w:rPr>
              <w:t>注：若无分包计划， 则投标人应在本表填写“无”。</w:t>
            </w:r>
          </w:p>
        </w:tc>
      </w:tr>
      <w:tr w14:paraId="68961E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72DE5751">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3B2BEEF">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7AA50D0">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11630FC6">
            <w:pPr>
              <w:shd w:val="clear" w:fill="FFFFFF" w:themeFill="background1"/>
              <w:rPr>
                <w:rFonts w:ascii="宋体" w:hAnsi="宋体" w:cs="宋体"/>
                <w:color w:val="auto"/>
                <w:sz w:val="2"/>
                <w:szCs w:val="2"/>
                <w:highlight w:val="none"/>
              </w:rPr>
            </w:pPr>
          </w:p>
        </w:tc>
      </w:tr>
      <w:tr w14:paraId="2ABC15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3264AC22">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9F2B391">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A732247">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4637441F">
            <w:pPr>
              <w:shd w:val="clear" w:fill="FFFFFF" w:themeFill="background1"/>
              <w:rPr>
                <w:rFonts w:ascii="宋体" w:hAnsi="宋体" w:cs="宋体"/>
                <w:color w:val="auto"/>
                <w:sz w:val="2"/>
                <w:szCs w:val="2"/>
                <w:highlight w:val="none"/>
              </w:rPr>
            </w:pPr>
          </w:p>
        </w:tc>
      </w:tr>
      <w:tr w14:paraId="6A0B49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02B191CD">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2896443">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46F66FF">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3E739119">
            <w:pPr>
              <w:shd w:val="clear" w:fill="FFFFFF" w:themeFill="background1"/>
              <w:rPr>
                <w:rFonts w:ascii="宋体" w:hAnsi="宋体" w:cs="宋体"/>
                <w:color w:val="auto"/>
                <w:sz w:val="2"/>
                <w:szCs w:val="2"/>
                <w:highlight w:val="none"/>
              </w:rPr>
            </w:pPr>
          </w:p>
        </w:tc>
      </w:tr>
      <w:tr w14:paraId="6894C6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701309BB">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5EF90F94">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8B7C50B">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72BAACD8">
            <w:pPr>
              <w:shd w:val="clear" w:fill="FFFFFF" w:themeFill="background1"/>
              <w:rPr>
                <w:rFonts w:ascii="宋体" w:hAnsi="宋体" w:cs="宋体"/>
                <w:color w:val="auto"/>
                <w:sz w:val="2"/>
                <w:szCs w:val="2"/>
                <w:highlight w:val="none"/>
              </w:rPr>
            </w:pPr>
          </w:p>
        </w:tc>
      </w:tr>
      <w:tr w14:paraId="7E9E7E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422D0C8A">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D4C6B7D">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E95ED69">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4BC5699C">
            <w:pPr>
              <w:shd w:val="clear" w:fill="FFFFFF" w:themeFill="background1"/>
              <w:rPr>
                <w:rFonts w:ascii="宋体" w:hAnsi="宋体" w:cs="宋体"/>
                <w:color w:val="auto"/>
                <w:sz w:val="2"/>
                <w:szCs w:val="2"/>
                <w:highlight w:val="none"/>
              </w:rPr>
            </w:pPr>
          </w:p>
        </w:tc>
      </w:tr>
      <w:tr w14:paraId="6C85FD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7E8FAE09">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D5A4AF4">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469CD45">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760A72CC">
            <w:pPr>
              <w:shd w:val="clear" w:fill="FFFFFF" w:themeFill="background1"/>
              <w:rPr>
                <w:rFonts w:ascii="宋体" w:hAnsi="宋体" w:cs="宋体"/>
                <w:color w:val="auto"/>
                <w:sz w:val="2"/>
                <w:szCs w:val="2"/>
                <w:highlight w:val="none"/>
              </w:rPr>
            </w:pPr>
          </w:p>
        </w:tc>
      </w:tr>
      <w:tr w14:paraId="30E82D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14DDDA88">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E07E1F4">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5CCB286A">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1F32B724">
            <w:pPr>
              <w:shd w:val="clear" w:fill="FFFFFF" w:themeFill="background1"/>
              <w:rPr>
                <w:rFonts w:ascii="宋体" w:hAnsi="宋体" w:cs="宋体"/>
                <w:color w:val="auto"/>
                <w:sz w:val="2"/>
                <w:szCs w:val="2"/>
                <w:highlight w:val="none"/>
              </w:rPr>
            </w:pPr>
          </w:p>
        </w:tc>
      </w:tr>
      <w:tr w14:paraId="202585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49746F62">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B4C2EE0">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650788E">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3CA73803">
            <w:pPr>
              <w:shd w:val="clear" w:fill="FFFFFF" w:themeFill="background1"/>
              <w:rPr>
                <w:rFonts w:ascii="宋体" w:hAnsi="宋体" w:cs="宋体"/>
                <w:color w:val="auto"/>
                <w:sz w:val="2"/>
                <w:szCs w:val="2"/>
                <w:highlight w:val="none"/>
              </w:rPr>
            </w:pPr>
          </w:p>
        </w:tc>
      </w:tr>
      <w:tr w14:paraId="37AFCD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030FAFCC">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9D1B1A2">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9FC9722">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2F4681EE">
            <w:pPr>
              <w:shd w:val="clear" w:fill="FFFFFF" w:themeFill="background1"/>
              <w:rPr>
                <w:rFonts w:ascii="宋体" w:hAnsi="宋体" w:cs="宋体"/>
                <w:color w:val="auto"/>
                <w:sz w:val="2"/>
                <w:szCs w:val="2"/>
                <w:highlight w:val="none"/>
              </w:rPr>
            </w:pPr>
          </w:p>
        </w:tc>
      </w:tr>
      <w:tr w14:paraId="4B2547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2CF79F0E">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5A95193">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41F1E14">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126A067A">
            <w:pPr>
              <w:shd w:val="clear" w:fill="FFFFFF" w:themeFill="background1"/>
              <w:rPr>
                <w:rFonts w:ascii="宋体" w:hAnsi="宋体" w:cs="宋体"/>
                <w:color w:val="auto"/>
                <w:sz w:val="2"/>
                <w:szCs w:val="2"/>
                <w:highlight w:val="none"/>
              </w:rPr>
            </w:pPr>
          </w:p>
        </w:tc>
      </w:tr>
      <w:tr w14:paraId="2CDB28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544B3FC6">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47A9C30">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C7739C3">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5EE0F7A9">
            <w:pPr>
              <w:shd w:val="clear" w:fill="FFFFFF" w:themeFill="background1"/>
              <w:rPr>
                <w:rFonts w:ascii="宋体" w:hAnsi="宋体" w:cs="宋体"/>
                <w:color w:val="auto"/>
                <w:sz w:val="2"/>
                <w:szCs w:val="2"/>
                <w:highlight w:val="none"/>
              </w:rPr>
            </w:pPr>
          </w:p>
        </w:tc>
      </w:tr>
      <w:tr w14:paraId="0B61FA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3621D928">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BB5531A">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1F176AA">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31B6BA07">
            <w:pPr>
              <w:shd w:val="clear" w:fill="FFFFFF" w:themeFill="background1"/>
              <w:rPr>
                <w:rFonts w:ascii="宋体" w:hAnsi="宋体" w:cs="宋体"/>
                <w:color w:val="auto"/>
                <w:sz w:val="2"/>
                <w:szCs w:val="2"/>
                <w:highlight w:val="none"/>
              </w:rPr>
            </w:pPr>
          </w:p>
        </w:tc>
      </w:tr>
      <w:tr w14:paraId="163DEA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35933F37">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B4B973F">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0094F4D">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264971AE">
            <w:pPr>
              <w:shd w:val="clear" w:fill="FFFFFF" w:themeFill="background1"/>
              <w:rPr>
                <w:rFonts w:ascii="宋体" w:hAnsi="宋体" w:cs="宋体"/>
                <w:color w:val="auto"/>
                <w:sz w:val="2"/>
                <w:szCs w:val="2"/>
                <w:highlight w:val="none"/>
              </w:rPr>
            </w:pPr>
          </w:p>
        </w:tc>
      </w:tr>
      <w:tr w14:paraId="6CC39D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23235035">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25DEA7D">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5310CBE">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52E40942">
            <w:pPr>
              <w:shd w:val="clear" w:fill="FFFFFF" w:themeFill="background1"/>
              <w:rPr>
                <w:rFonts w:ascii="宋体" w:hAnsi="宋体" w:cs="宋体"/>
                <w:color w:val="auto"/>
                <w:sz w:val="2"/>
                <w:szCs w:val="2"/>
                <w:highlight w:val="none"/>
              </w:rPr>
            </w:pPr>
          </w:p>
        </w:tc>
      </w:tr>
      <w:tr w14:paraId="2D2857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819" w:type="dxa"/>
            <w:gridSpan w:val="2"/>
            <w:tcBorders>
              <w:top w:val="single" w:color="000000" w:sz="6" w:space="0"/>
              <w:right w:val="single" w:color="000000" w:sz="6" w:space="0"/>
            </w:tcBorders>
          </w:tcPr>
          <w:p w14:paraId="0F9AAF11">
            <w:pPr>
              <w:pStyle w:val="80"/>
              <w:shd w:val="clear" w:fill="FFFFFF" w:themeFill="background1"/>
              <w:spacing w:before="140"/>
              <w:ind w:left="1109"/>
              <w:rPr>
                <w:rFonts w:ascii="宋体" w:hAnsi="宋体" w:cs="宋体"/>
                <w:color w:val="auto"/>
                <w:sz w:val="20"/>
                <w:highlight w:val="none"/>
              </w:rPr>
            </w:pPr>
            <w:r>
              <w:rPr>
                <w:rFonts w:hint="eastAsia" w:ascii="宋体" w:hAnsi="宋体" w:cs="宋体"/>
                <w:color w:val="auto"/>
                <w:sz w:val="24"/>
                <w:highlight w:val="none"/>
              </w:rPr>
              <w:t>拟分包工程造价合计（万元）</w:t>
            </w:r>
          </w:p>
        </w:tc>
        <w:tc>
          <w:tcPr>
            <w:tcW w:w="2409" w:type="dxa"/>
            <w:tcBorders>
              <w:top w:val="single" w:color="000000" w:sz="6" w:space="0"/>
              <w:left w:val="single" w:color="000000" w:sz="6" w:space="0"/>
              <w:right w:val="single" w:color="000000" w:sz="6" w:space="0"/>
            </w:tcBorders>
          </w:tcPr>
          <w:p w14:paraId="581DB7D6">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24FFF77F">
            <w:pPr>
              <w:shd w:val="clear" w:fill="FFFFFF" w:themeFill="background1"/>
              <w:rPr>
                <w:rFonts w:ascii="宋体" w:hAnsi="宋体" w:cs="宋体"/>
                <w:color w:val="auto"/>
                <w:sz w:val="2"/>
                <w:szCs w:val="2"/>
                <w:highlight w:val="none"/>
              </w:rPr>
            </w:pPr>
          </w:p>
        </w:tc>
      </w:tr>
    </w:tbl>
    <w:p w14:paraId="4C58DAC9">
      <w:pPr>
        <w:pStyle w:val="16"/>
        <w:shd w:val="clear" w:fill="FFFFFF" w:themeFill="background1"/>
        <w:spacing w:before="4"/>
        <w:rPr>
          <w:rFonts w:ascii="宋体" w:hAnsi="宋体" w:cs="宋体"/>
          <w:color w:val="auto"/>
          <w:sz w:val="24"/>
          <w:highlight w:val="none"/>
        </w:rPr>
      </w:pPr>
    </w:p>
    <w:p w14:paraId="0ABEAE14">
      <w:pPr>
        <w:pStyle w:val="16"/>
        <w:shd w:val="clear" w:fill="FFFFFF" w:themeFill="background1"/>
        <w:spacing w:before="2"/>
        <w:rPr>
          <w:rFonts w:ascii="宋体" w:hAnsi="宋体" w:cs="宋体"/>
          <w:color w:val="auto"/>
          <w:sz w:val="24"/>
          <w:highlight w:val="none"/>
        </w:rPr>
      </w:pPr>
      <w:r>
        <w:rPr>
          <w:rFonts w:hint="eastAsia" w:ascii="宋体" w:hAnsi="宋体" w:cs="宋体"/>
          <w:color w:val="auto"/>
          <w:sz w:val="24"/>
          <w:highlight w:val="none"/>
        </w:rPr>
        <w:t>注：1、若投标人中标须按本招标文件的约定执行。</w:t>
      </w:r>
    </w:p>
    <w:p w14:paraId="7889D133">
      <w:pPr>
        <w:pStyle w:val="16"/>
        <w:shd w:val="clear" w:fill="FFFFFF" w:themeFill="background1"/>
        <w:spacing w:before="2"/>
        <w:ind w:firstLine="480" w:firstLineChars="200"/>
        <w:rPr>
          <w:rFonts w:ascii="宋体" w:hAnsi="宋体" w:cs="宋体"/>
          <w:color w:val="auto"/>
          <w:sz w:val="24"/>
          <w:highlight w:val="none"/>
        </w:rPr>
      </w:pPr>
      <w:r>
        <w:rPr>
          <w:rFonts w:hint="eastAsia" w:ascii="宋体" w:hAnsi="宋体" w:cs="宋体"/>
          <w:color w:val="auto"/>
          <w:sz w:val="24"/>
          <w:highlight w:val="none"/>
        </w:rPr>
        <w:t>2、本表填写的造价不属于投标报价的内容。</w:t>
      </w:r>
    </w:p>
    <w:p w14:paraId="669B4DC0">
      <w:pPr>
        <w:pStyle w:val="16"/>
        <w:shd w:val="clear" w:fill="FFFFFF" w:themeFill="background1"/>
        <w:spacing w:before="2"/>
        <w:ind w:firstLine="480" w:firstLineChars="200"/>
        <w:rPr>
          <w:rFonts w:ascii="宋体" w:hAnsi="宋体" w:cs="宋体"/>
          <w:color w:val="auto"/>
          <w:sz w:val="24"/>
          <w:highlight w:val="none"/>
        </w:rPr>
      </w:pPr>
      <w:r>
        <w:rPr>
          <w:rFonts w:hint="eastAsia" w:ascii="宋体" w:hAnsi="宋体" w:cs="宋体"/>
          <w:color w:val="auto"/>
          <w:sz w:val="24"/>
          <w:highlight w:val="none"/>
        </w:rPr>
        <w:t>3、如投标人不具备拟分包工程所需的某专项工程相应资质或投标人如有分包计划，应符合招标文件第二章“投标人须知” 第 1.11 款规定，且按本表的要求填写。</w:t>
      </w:r>
    </w:p>
    <w:p w14:paraId="79C1B226">
      <w:pPr>
        <w:shd w:val="clear" w:fill="FFFFFF" w:themeFill="background1"/>
        <w:jc w:val="center"/>
        <w:rPr>
          <w:rFonts w:ascii="宋体" w:hAnsi="宋体" w:cs="宋体"/>
          <w:b/>
          <w:color w:val="auto"/>
          <w:sz w:val="28"/>
          <w:szCs w:val="28"/>
          <w:highlight w:val="none"/>
        </w:rPr>
        <w:sectPr>
          <w:footnotePr>
            <w:numFmt w:val="decimalEnclosedCircleChinese"/>
          </w:footnotePr>
          <w:pgSz w:w="11906" w:h="16838"/>
          <w:pgMar w:top="1038" w:right="924" w:bottom="936" w:left="1418" w:header="624" w:footer="590" w:gutter="0"/>
          <w:cols w:space="720" w:num="1"/>
          <w:docGrid w:type="lines" w:linePitch="312" w:charSpace="0"/>
        </w:sectPr>
      </w:pPr>
    </w:p>
    <w:p w14:paraId="312B7398">
      <w:pPr>
        <w:numPr>
          <w:ilvl w:val="0"/>
          <w:numId w:val="29"/>
        </w:num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资格审查资料</w:t>
      </w:r>
    </w:p>
    <w:p w14:paraId="5F2CB367">
      <w:pPr>
        <w:pStyle w:val="55"/>
        <w:shd w:val="clear" w:fill="FFFFFF" w:themeFill="background1"/>
        <w:ind w:firstLine="0"/>
        <w:rPr>
          <w:color w:val="auto"/>
          <w:highlight w:val="none"/>
        </w:rPr>
      </w:pPr>
    </w:p>
    <w:p w14:paraId="7D30A2F6">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(一)投标人基本情况表</w:t>
      </w:r>
    </w:p>
    <w:p w14:paraId="73890159">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(二)投标人企业组织机构框图</w:t>
      </w:r>
    </w:p>
    <w:p w14:paraId="1730D531">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(三)近年财务状况表</w:t>
      </w:r>
    </w:p>
    <w:p w14:paraId="6D1461CC">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 近年完成的类似项目情况表</w:t>
      </w:r>
    </w:p>
    <w:p w14:paraId="375D816B">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(四)-1完成的类似项目情况表</w:t>
      </w:r>
    </w:p>
    <w:p w14:paraId="5BCED81E">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(四)-2 完成的类似项目情况汇总表</w:t>
      </w:r>
    </w:p>
    <w:p w14:paraId="3DE2AE2A">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（五）投标人的信誉情况表</w:t>
      </w:r>
    </w:p>
    <w:p w14:paraId="1097A8CE">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（六）拟委任的项目经理和项目总工情况表</w:t>
      </w:r>
    </w:p>
    <w:p w14:paraId="1379864E">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（六）-1 拟委任的项目经理和项目总工汇总表</w:t>
      </w:r>
    </w:p>
    <w:p w14:paraId="105B9765">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（六）-2拟委任的项目经理和项目总工资历表</w:t>
      </w:r>
    </w:p>
    <w:p w14:paraId="297E6E8C">
      <w:pPr>
        <w:shd w:val="clear" w:fill="FFFFFF" w:themeFill="background1"/>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2015095A">
      <w:pPr>
        <w:shd w:val="clear" w:fill="FFFFFF" w:themeFill="background1"/>
        <w:jc w:val="center"/>
        <w:rPr>
          <w:rFonts w:ascii="宋体" w:hAnsi="宋体" w:cs="宋体"/>
          <w:b/>
          <w:color w:val="auto"/>
          <w:sz w:val="24"/>
          <w:highlight w:val="none"/>
        </w:rPr>
      </w:pPr>
    </w:p>
    <w:p w14:paraId="24522311">
      <w:pPr>
        <w:shd w:val="clear" w:fill="FFFFFF" w:themeFill="background1"/>
        <w:jc w:val="center"/>
        <w:rPr>
          <w:rFonts w:ascii="宋体" w:hAnsi="宋体" w:cs="宋体"/>
          <w:b/>
          <w:color w:val="auto"/>
          <w:sz w:val="24"/>
          <w:highlight w:val="none"/>
        </w:rPr>
      </w:pPr>
      <w:r>
        <w:rPr>
          <w:rFonts w:hint="eastAsia" w:ascii="宋体" w:hAnsi="宋体" w:cs="宋体"/>
          <w:b/>
          <w:color w:val="auto"/>
          <w:sz w:val="24"/>
          <w:highlight w:val="none"/>
        </w:rPr>
        <w:t>（一）投标人基本情况表</w:t>
      </w:r>
    </w:p>
    <w:tbl>
      <w:tblPr>
        <w:tblStyle w:val="43"/>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111"/>
        <w:gridCol w:w="852"/>
        <w:gridCol w:w="868"/>
        <w:gridCol w:w="755"/>
        <w:gridCol w:w="1302"/>
        <w:gridCol w:w="322"/>
        <w:gridCol w:w="892"/>
        <w:gridCol w:w="1025"/>
      </w:tblGrid>
      <w:tr w14:paraId="426FB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8673BD0">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722438AF">
            <w:pPr>
              <w:shd w:val="clear" w:fill="FFFFFF" w:themeFill="background1"/>
              <w:topLinePunct/>
              <w:spacing w:line="320" w:lineRule="exact"/>
              <w:jc w:val="center"/>
              <w:rPr>
                <w:rFonts w:ascii="宋体" w:hAnsi="宋体" w:cs="宋体"/>
                <w:color w:val="auto"/>
                <w:sz w:val="24"/>
                <w:highlight w:val="none"/>
              </w:rPr>
            </w:pPr>
          </w:p>
        </w:tc>
      </w:tr>
      <w:tr w14:paraId="6C41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B1192B1">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586" w:type="dxa"/>
            <w:gridSpan w:val="4"/>
            <w:tcBorders>
              <w:top w:val="single" w:color="auto" w:sz="4" w:space="0"/>
              <w:left w:val="single" w:color="auto" w:sz="4" w:space="0"/>
              <w:bottom w:val="single" w:color="auto" w:sz="4" w:space="0"/>
              <w:right w:val="single" w:color="auto" w:sz="4" w:space="0"/>
            </w:tcBorders>
            <w:vAlign w:val="center"/>
          </w:tcPr>
          <w:p w14:paraId="1808F6C1">
            <w:pPr>
              <w:shd w:val="clear" w:fill="FFFFFF" w:themeFill="background1"/>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16C2B725">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704633BF">
            <w:pPr>
              <w:shd w:val="clear" w:fill="FFFFFF" w:themeFill="background1"/>
              <w:topLinePunct/>
              <w:spacing w:line="320" w:lineRule="exact"/>
              <w:jc w:val="center"/>
              <w:rPr>
                <w:rFonts w:ascii="宋体" w:hAnsi="宋体" w:cs="宋体"/>
                <w:color w:val="auto"/>
                <w:sz w:val="24"/>
                <w:highlight w:val="none"/>
              </w:rPr>
            </w:pPr>
          </w:p>
        </w:tc>
      </w:tr>
      <w:tr w14:paraId="52C05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restart"/>
            <w:tcBorders>
              <w:top w:val="single" w:color="auto" w:sz="4" w:space="0"/>
              <w:left w:val="single" w:color="auto" w:sz="4" w:space="0"/>
              <w:bottom w:val="single" w:color="auto" w:sz="4" w:space="0"/>
              <w:right w:val="single" w:color="auto" w:sz="4" w:space="0"/>
            </w:tcBorders>
            <w:vAlign w:val="center"/>
          </w:tcPr>
          <w:p w14:paraId="69883E4B">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14:paraId="1421CAA4">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0504F199">
            <w:pPr>
              <w:shd w:val="clear" w:fill="FFFFFF" w:themeFill="background1"/>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5C511D43">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 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75C00E90">
            <w:pPr>
              <w:shd w:val="clear" w:fill="FFFFFF" w:themeFill="background1"/>
              <w:topLinePunct/>
              <w:spacing w:line="320" w:lineRule="exact"/>
              <w:jc w:val="center"/>
              <w:rPr>
                <w:rFonts w:ascii="宋体" w:hAnsi="宋体" w:cs="宋体"/>
                <w:color w:val="auto"/>
                <w:sz w:val="24"/>
                <w:highlight w:val="none"/>
              </w:rPr>
            </w:pPr>
          </w:p>
        </w:tc>
      </w:tr>
      <w:tr w14:paraId="11044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continue"/>
            <w:tcBorders>
              <w:top w:val="single" w:color="auto" w:sz="4" w:space="0"/>
              <w:left w:val="single" w:color="auto" w:sz="4" w:space="0"/>
              <w:bottom w:val="single" w:color="auto" w:sz="4" w:space="0"/>
              <w:right w:val="single" w:color="auto" w:sz="4" w:space="0"/>
            </w:tcBorders>
            <w:vAlign w:val="center"/>
          </w:tcPr>
          <w:p w14:paraId="0DFF3242">
            <w:pPr>
              <w:shd w:val="clear" w:fill="FFFFFF" w:themeFill="background1"/>
              <w:topLinePunct/>
              <w:spacing w:line="320" w:lineRule="exact"/>
              <w:jc w:val="center"/>
              <w:rPr>
                <w:rFonts w:ascii="宋体" w:hAnsi="宋体" w:cs="宋体"/>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5E84A036">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2DAE970A">
            <w:pPr>
              <w:shd w:val="clear" w:fill="FFFFFF" w:themeFill="background1"/>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62E5C752">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12725306">
            <w:pPr>
              <w:shd w:val="clear" w:fill="FFFFFF" w:themeFill="background1"/>
              <w:topLinePunct/>
              <w:spacing w:line="320" w:lineRule="exact"/>
              <w:jc w:val="center"/>
              <w:rPr>
                <w:rFonts w:ascii="宋体" w:hAnsi="宋体" w:cs="宋体"/>
                <w:color w:val="auto"/>
                <w:sz w:val="24"/>
                <w:highlight w:val="none"/>
              </w:rPr>
            </w:pPr>
          </w:p>
        </w:tc>
      </w:tr>
      <w:tr w14:paraId="51D9F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03716685">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14:paraId="411D2244">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5DA1284A">
            <w:pPr>
              <w:shd w:val="clear" w:fill="FFFFFF" w:themeFill="background1"/>
              <w:topLinePunct/>
              <w:spacing w:line="320" w:lineRule="exact"/>
              <w:jc w:val="center"/>
              <w:rPr>
                <w:rFonts w:ascii="宋体" w:hAnsi="宋体" w:cs="宋体"/>
                <w:color w:val="auto"/>
                <w:sz w:val="24"/>
                <w:highlight w:val="none"/>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16455EA2">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2040B68C">
            <w:pPr>
              <w:shd w:val="clear" w:fill="FFFFFF" w:themeFill="background1"/>
              <w:topLinePunct/>
              <w:spacing w:line="320" w:lineRule="exact"/>
              <w:jc w:val="center"/>
              <w:rPr>
                <w:rFonts w:ascii="宋体" w:hAnsi="宋体" w:cs="宋体"/>
                <w:color w:val="auto"/>
                <w:sz w:val="24"/>
                <w:highlight w:val="none"/>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31AF7C40">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0B2C6FED">
            <w:pPr>
              <w:shd w:val="clear" w:fill="FFFFFF" w:themeFill="background1"/>
              <w:topLinePunct/>
              <w:spacing w:line="320" w:lineRule="exact"/>
              <w:jc w:val="center"/>
              <w:rPr>
                <w:rFonts w:ascii="宋体" w:hAnsi="宋体" w:cs="宋体"/>
                <w:color w:val="auto"/>
                <w:sz w:val="24"/>
                <w:highlight w:val="none"/>
              </w:rPr>
            </w:pPr>
          </w:p>
        </w:tc>
      </w:tr>
      <w:tr w14:paraId="1F3D2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02AE311A">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14:paraId="2745B94A">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1293EE18">
            <w:pPr>
              <w:shd w:val="clear" w:fill="FFFFFF" w:themeFill="background1"/>
              <w:topLinePunct/>
              <w:spacing w:line="320" w:lineRule="exact"/>
              <w:jc w:val="center"/>
              <w:rPr>
                <w:rFonts w:ascii="宋体" w:hAnsi="宋体" w:cs="宋体"/>
                <w:color w:val="auto"/>
                <w:sz w:val="24"/>
                <w:highlight w:val="none"/>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40A12CC2">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0F8B5E22">
            <w:pPr>
              <w:shd w:val="clear" w:fill="FFFFFF" w:themeFill="background1"/>
              <w:topLinePunct/>
              <w:spacing w:line="320" w:lineRule="exact"/>
              <w:jc w:val="center"/>
              <w:rPr>
                <w:rFonts w:ascii="宋体" w:hAnsi="宋体" w:cs="宋体"/>
                <w:color w:val="auto"/>
                <w:sz w:val="24"/>
                <w:highlight w:val="none"/>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20A809A7">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58855023">
            <w:pPr>
              <w:shd w:val="clear" w:fill="FFFFFF" w:themeFill="background1"/>
              <w:topLinePunct/>
              <w:spacing w:line="320" w:lineRule="exact"/>
              <w:jc w:val="center"/>
              <w:rPr>
                <w:rFonts w:ascii="宋体" w:hAnsi="宋体" w:cs="宋体"/>
                <w:color w:val="auto"/>
                <w:sz w:val="24"/>
                <w:highlight w:val="none"/>
              </w:rPr>
            </w:pPr>
          </w:p>
        </w:tc>
      </w:tr>
      <w:tr w14:paraId="74B99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D6BB7AF">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营业执照号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20AFB5F">
            <w:pPr>
              <w:shd w:val="clear" w:fill="FFFFFF" w:themeFill="background1"/>
              <w:topLinePunct/>
              <w:spacing w:line="320" w:lineRule="exact"/>
              <w:jc w:val="center"/>
              <w:rPr>
                <w:rFonts w:ascii="宋体" w:hAnsi="宋体" w:cs="宋体"/>
                <w:color w:val="auto"/>
                <w:sz w:val="24"/>
                <w:highlight w:val="none"/>
              </w:rPr>
            </w:pPr>
          </w:p>
        </w:tc>
        <w:tc>
          <w:tcPr>
            <w:tcW w:w="5164" w:type="dxa"/>
            <w:gridSpan w:val="6"/>
            <w:tcBorders>
              <w:top w:val="single" w:color="auto" w:sz="4" w:space="0"/>
              <w:left w:val="single" w:color="auto" w:sz="4" w:space="0"/>
              <w:bottom w:val="single" w:color="auto" w:sz="4" w:space="0"/>
              <w:right w:val="single" w:color="auto" w:sz="4" w:space="0"/>
            </w:tcBorders>
            <w:vAlign w:val="center"/>
          </w:tcPr>
          <w:p w14:paraId="34981850">
            <w:pPr>
              <w:shd w:val="clear" w:fill="FFFFFF" w:themeFill="background1"/>
              <w:topLinePunct/>
              <w:spacing w:line="3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员工总人数：</w:t>
            </w:r>
          </w:p>
        </w:tc>
      </w:tr>
      <w:tr w14:paraId="0F0FD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E3AC3CC">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2FEC8FAB">
            <w:pPr>
              <w:shd w:val="clear" w:fill="FFFFFF" w:themeFill="background1"/>
              <w:topLinePunct/>
              <w:spacing w:line="320" w:lineRule="exact"/>
              <w:jc w:val="center"/>
              <w:rPr>
                <w:rFonts w:ascii="宋体" w:hAnsi="宋体" w:cs="宋体"/>
                <w:color w:val="auto"/>
                <w:sz w:val="24"/>
                <w:highlight w:val="none"/>
              </w:rPr>
            </w:pPr>
          </w:p>
        </w:tc>
        <w:tc>
          <w:tcPr>
            <w:tcW w:w="868" w:type="dxa"/>
            <w:vMerge w:val="restart"/>
            <w:tcBorders>
              <w:top w:val="single" w:color="auto" w:sz="4" w:space="0"/>
              <w:left w:val="single" w:color="auto" w:sz="4" w:space="0"/>
              <w:bottom w:val="single" w:color="auto" w:sz="4" w:space="0"/>
              <w:right w:val="single" w:color="auto" w:sz="4" w:space="0"/>
            </w:tcBorders>
            <w:vAlign w:val="center"/>
          </w:tcPr>
          <w:p w14:paraId="28FC3FF6">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其</w:t>
            </w:r>
          </w:p>
          <w:p w14:paraId="036DB941">
            <w:pPr>
              <w:shd w:val="clear" w:fill="FFFFFF" w:themeFill="background1"/>
              <w:topLinePunct/>
              <w:spacing w:line="320" w:lineRule="exact"/>
              <w:jc w:val="center"/>
              <w:rPr>
                <w:rFonts w:ascii="宋体" w:hAnsi="宋体" w:cs="宋体"/>
                <w:color w:val="auto"/>
                <w:sz w:val="24"/>
                <w:highlight w:val="none"/>
              </w:rPr>
            </w:pPr>
          </w:p>
          <w:p w14:paraId="5C872CE4">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中</w:t>
            </w: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0FB09C7B">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70316B87">
            <w:pPr>
              <w:shd w:val="clear" w:fill="FFFFFF" w:themeFill="background1"/>
              <w:topLinePunct/>
              <w:spacing w:line="320" w:lineRule="exact"/>
              <w:jc w:val="center"/>
              <w:rPr>
                <w:rFonts w:ascii="宋体" w:hAnsi="宋体" w:cs="宋体"/>
                <w:color w:val="auto"/>
                <w:sz w:val="24"/>
                <w:highlight w:val="none"/>
              </w:rPr>
            </w:pPr>
          </w:p>
        </w:tc>
      </w:tr>
      <w:tr w14:paraId="420D5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06F908DA">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1A1570E4">
            <w:pPr>
              <w:shd w:val="clear" w:fill="FFFFFF" w:themeFill="background1"/>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77C54CA9">
            <w:pPr>
              <w:shd w:val="clear" w:fill="FFFFFF" w:themeFill="background1"/>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7171B4A0">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高级职称人员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1EC192E6">
            <w:pPr>
              <w:shd w:val="clear" w:fill="FFFFFF" w:themeFill="background1"/>
              <w:topLinePunct/>
              <w:spacing w:line="320" w:lineRule="exact"/>
              <w:jc w:val="center"/>
              <w:rPr>
                <w:rFonts w:ascii="宋体" w:hAnsi="宋体" w:cs="宋体"/>
                <w:color w:val="auto"/>
                <w:sz w:val="24"/>
                <w:highlight w:val="none"/>
              </w:rPr>
            </w:pPr>
          </w:p>
        </w:tc>
      </w:tr>
      <w:tr w14:paraId="137EE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4F1B939">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1ACA2A2F">
            <w:pPr>
              <w:shd w:val="clear" w:fill="FFFFFF" w:themeFill="background1"/>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66748E8D">
            <w:pPr>
              <w:shd w:val="clear" w:fill="FFFFFF" w:themeFill="background1"/>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4823420F">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中级职称人员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257B3882">
            <w:pPr>
              <w:shd w:val="clear" w:fill="FFFFFF" w:themeFill="background1"/>
              <w:topLinePunct/>
              <w:spacing w:line="320" w:lineRule="exact"/>
              <w:jc w:val="center"/>
              <w:rPr>
                <w:rFonts w:ascii="宋体" w:hAnsi="宋体" w:cs="宋体"/>
                <w:color w:val="auto"/>
                <w:sz w:val="24"/>
                <w:highlight w:val="none"/>
              </w:rPr>
            </w:pPr>
          </w:p>
        </w:tc>
      </w:tr>
      <w:tr w14:paraId="692D6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433CB20">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基本账户开户银行</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177CCC3">
            <w:pPr>
              <w:shd w:val="clear" w:fill="FFFFFF" w:themeFill="background1"/>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32E2564B">
            <w:pPr>
              <w:shd w:val="clear" w:fill="FFFFFF" w:themeFill="background1"/>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58744DC3">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初级职称人员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1F377615">
            <w:pPr>
              <w:shd w:val="clear" w:fill="FFFFFF" w:themeFill="background1"/>
              <w:topLinePunct/>
              <w:spacing w:line="320" w:lineRule="exact"/>
              <w:jc w:val="center"/>
              <w:rPr>
                <w:rFonts w:ascii="宋体" w:hAnsi="宋体" w:cs="宋体"/>
                <w:color w:val="auto"/>
                <w:sz w:val="24"/>
                <w:highlight w:val="none"/>
              </w:rPr>
            </w:pPr>
          </w:p>
        </w:tc>
      </w:tr>
      <w:tr w14:paraId="65637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5C7982E">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基本账户银行账号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112B08EC">
            <w:pPr>
              <w:shd w:val="clear" w:fill="FFFFFF" w:themeFill="background1"/>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3B61B13E">
            <w:pPr>
              <w:shd w:val="clear" w:fill="FFFFFF" w:themeFill="background1"/>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63F0A1A8">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  工</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1EB9700F">
            <w:pPr>
              <w:shd w:val="clear" w:fill="FFFFFF" w:themeFill="background1"/>
              <w:topLinePunct/>
              <w:spacing w:line="320" w:lineRule="exact"/>
              <w:jc w:val="center"/>
              <w:rPr>
                <w:rFonts w:ascii="宋体" w:hAnsi="宋体" w:cs="宋体"/>
                <w:color w:val="auto"/>
                <w:sz w:val="24"/>
                <w:highlight w:val="none"/>
              </w:rPr>
            </w:pPr>
          </w:p>
        </w:tc>
      </w:tr>
      <w:tr w14:paraId="13C2E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237" w:type="dxa"/>
            <w:tcBorders>
              <w:top w:val="single" w:color="auto" w:sz="4" w:space="0"/>
              <w:left w:val="single" w:color="auto" w:sz="4" w:space="0"/>
              <w:right w:val="single" w:color="auto" w:sz="4" w:space="0"/>
            </w:tcBorders>
            <w:vAlign w:val="center"/>
          </w:tcPr>
          <w:p w14:paraId="4CD49ACF">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46D70EA5">
            <w:pPr>
              <w:shd w:val="clear" w:fill="FFFFFF" w:themeFill="background1"/>
              <w:topLinePunct/>
              <w:spacing w:line="320" w:lineRule="exact"/>
              <w:jc w:val="center"/>
              <w:rPr>
                <w:rFonts w:ascii="宋体" w:hAnsi="宋体" w:cs="宋体"/>
                <w:color w:val="auto"/>
                <w:sz w:val="24"/>
                <w:highlight w:val="none"/>
              </w:rPr>
            </w:pPr>
          </w:p>
        </w:tc>
      </w:tr>
      <w:tr w14:paraId="527A4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237" w:type="dxa"/>
            <w:tcBorders>
              <w:top w:val="single" w:color="auto" w:sz="4" w:space="0"/>
              <w:left w:val="single" w:color="auto" w:sz="4" w:space="0"/>
              <w:right w:val="single" w:color="auto" w:sz="4" w:space="0"/>
            </w:tcBorders>
            <w:vAlign w:val="center"/>
          </w:tcPr>
          <w:p w14:paraId="48A3C739">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投标人关联企业</w:t>
            </w:r>
          </w:p>
          <w:p w14:paraId="5033BBDF">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情况</w:t>
            </w:r>
          </w:p>
        </w:tc>
        <w:tc>
          <w:tcPr>
            <w:tcW w:w="7127" w:type="dxa"/>
            <w:gridSpan w:val="8"/>
            <w:tcBorders>
              <w:top w:val="single" w:color="auto" w:sz="4" w:space="0"/>
              <w:left w:val="single" w:color="auto" w:sz="4" w:space="0"/>
              <w:right w:val="single" w:color="auto" w:sz="4" w:space="0"/>
            </w:tcBorders>
            <w:vAlign w:val="center"/>
          </w:tcPr>
          <w:p w14:paraId="6559D5B8">
            <w:pPr>
              <w:pStyle w:val="59"/>
              <w:shd w:val="clear" w:fill="FFFFFF" w:themeFill="background1"/>
              <w:jc w:val="left"/>
              <w:rPr>
                <w:rFonts w:ascii="宋体" w:hAnsi="宋体" w:cs="宋体"/>
                <w:color w:val="auto"/>
                <w:highlight w:val="none"/>
              </w:rPr>
            </w:pPr>
            <w:r>
              <w:rPr>
                <w:rFonts w:hint="eastAsia" w:ascii="宋体" w:hAnsi="宋体" w:cs="宋体"/>
                <w:color w:val="auto"/>
                <w:highlight w:val="none"/>
              </w:rPr>
              <w:t>投标人应提供关联企业情况，包括：</w:t>
            </w:r>
          </w:p>
          <w:p w14:paraId="43BC8E28">
            <w:pPr>
              <w:pStyle w:val="59"/>
              <w:shd w:val="clear" w:fill="FFFFFF" w:themeFill="background1"/>
              <w:jc w:val="left"/>
              <w:rPr>
                <w:rFonts w:ascii="宋体" w:hAnsi="宋体" w:cs="宋体"/>
                <w:color w:val="auto"/>
                <w:highlight w:val="none"/>
              </w:rPr>
            </w:pPr>
            <w:r>
              <w:rPr>
                <w:rFonts w:hint="eastAsia" w:ascii="宋体" w:hAnsi="宋体" w:cs="宋体"/>
                <w:color w:val="auto"/>
                <w:highlight w:val="none"/>
              </w:rPr>
              <w:t>（1）投标人的所有股东名称及相应股权（出资额）比例；如投标人为上市公司，投标人应提供股权占公司股份总数</w:t>
            </w:r>
            <w:r>
              <w:rPr>
                <w:rFonts w:hint="eastAsia" w:ascii="宋体" w:hAnsi="宋体" w:cs="宋体"/>
                <w:color w:val="auto"/>
                <w:highlight w:val="none"/>
                <w:u w:val="single"/>
              </w:rPr>
              <w:t xml:space="preserve">    %</w:t>
            </w:r>
            <w:r>
              <w:rPr>
                <w:rFonts w:hint="eastAsia" w:ascii="宋体" w:hAnsi="宋体" w:cs="宋体"/>
                <w:color w:val="auto"/>
                <w:highlight w:val="none"/>
              </w:rPr>
              <w:t>以上的所有股东名称及相应股权比例；</w:t>
            </w:r>
          </w:p>
          <w:p w14:paraId="539E7ADE">
            <w:pPr>
              <w:pStyle w:val="59"/>
              <w:shd w:val="clear" w:fill="FFFFFF" w:themeFill="background1"/>
              <w:jc w:val="left"/>
              <w:rPr>
                <w:rFonts w:ascii="宋体" w:hAnsi="宋体" w:cs="宋体"/>
                <w:color w:val="auto"/>
                <w:highlight w:val="none"/>
              </w:rPr>
            </w:pPr>
            <w:r>
              <w:rPr>
                <w:rFonts w:hint="eastAsia" w:ascii="宋体" w:hAnsi="宋体" w:cs="宋体"/>
                <w:color w:val="auto"/>
                <w:highlight w:val="none"/>
              </w:rPr>
              <w:t>（2）投标人投资（控股）或管理的下属企业名称、持有股权（出资额）比例；</w:t>
            </w:r>
          </w:p>
          <w:p w14:paraId="3E864F38">
            <w:pPr>
              <w:pStyle w:val="59"/>
              <w:shd w:val="clear" w:fill="FFFFFF" w:themeFill="background1"/>
              <w:jc w:val="left"/>
              <w:rPr>
                <w:rFonts w:ascii="宋体" w:hAnsi="宋体" w:cs="宋体"/>
                <w:color w:val="auto"/>
                <w:highlight w:val="none"/>
              </w:rPr>
            </w:pPr>
            <w:r>
              <w:rPr>
                <w:rFonts w:hint="eastAsia" w:ascii="宋体" w:hAnsi="宋体" w:cs="宋体"/>
                <w:color w:val="auto"/>
                <w:highlight w:val="none"/>
              </w:rPr>
              <w:t>（3）与投标人单位负责人（即法定代表人）为同一人的其他单位名称。</w:t>
            </w:r>
          </w:p>
        </w:tc>
      </w:tr>
      <w:tr w14:paraId="173EC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2237" w:type="dxa"/>
            <w:tcBorders>
              <w:top w:val="single" w:color="auto" w:sz="4" w:space="0"/>
              <w:left w:val="single" w:color="auto" w:sz="4" w:space="0"/>
              <w:bottom w:val="single" w:color="auto" w:sz="4" w:space="0"/>
              <w:right w:val="single" w:color="auto" w:sz="4" w:space="0"/>
            </w:tcBorders>
            <w:vAlign w:val="center"/>
          </w:tcPr>
          <w:p w14:paraId="079E8C63">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5494D58E">
            <w:pPr>
              <w:shd w:val="clear" w:fill="FFFFFF" w:themeFill="background1"/>
              <w:topLinePunct/>
              <w:spacing w:line="320" w:lineRule="exact"/>
              <w:jc w:val="center"/>
              <w:rPr>
                <w:rFonts w:ascii="宋体" w:hAnsi="宋体" w:cs="宋体"/>
                <w:color w:val="auto"/>
                <w:sz w:val="24"/>
                <w:highlight w:val="none"/>
              </w:rPr>
            </w:pPr>
          </w:p>
        </w:tc>
      </w:tr>
    </w:tbl>
    <w:p w14:paraId="6065FD93">
      <w:pPr>
        <w:shd w:val="clear" w:fill="FFFFFF" w:themeFill="background1"/>
        <w:spacing w:line="400" w:lineRule="exact"/>
        <w:ind w:left="720" w:hanging="720" w:hangingChars="300"/>
        <w:rPr>
          <w:rFonts w:ascii="宋体" w:hAnsi="宋体" w:cs="宋体"/>
          <w:color w:val="auto"/>
          <w:sz w:val="24"/>
          <w:highlight w:val="none"/>
        </w:rPr>
      </w:pPr>
      <w:r>
        <w:rPr>
          <w:rFonts w:hint="eastAsia" w:ascii="宋体" w:hAnsi="宋体" w:cs="宋体"/>
          <w:color w:val="auto"/>
          <w:sz w:val="24"/>
          <w:highlight w:val="none"/>
        </w:rPr>
        <w:t>注：1. 投标人应根据招标文件第二章“投标人须知”第3.5.1项的要求在本表后附相关证明材料。</w:t>
      </w:r>
    </w:p>
    <w:p w14:paraId="64326276">
      <w:pPr>
        <w:shd w:val="clear" w:fill="FFFFFF" w:themeFill="background1"/>
        <w:spacing w:line="400" w:lineRule="exact"/>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2.上述信息如经调查核实未如实填写的，按提供虚假材料对待。</w:t>
      </w:r>
    </w:p>
    <w:p w14:paraId="26A71B76">
      <w:pPr>
        <w:shd w:val="clear" w:fill="FFFFFF" w:themeFill="background1"/>
        <w:jc w:val="center"/>
        <w:rPr>
          <w:rFonts w:ascii="宋体" w:hAnsi="宋体" w:cs="宋体"/>
          <w:b/>
          <w:color w:val="auto"/>
          <w:sz w:val="28"/>
          <w:szCs w:val="28"/>
          <w:highlight w:val="none"/>
        </w:rPr>
      </w:pPr>
      <w:bookmarkStart w:id="1760" w:name="_Toc238804116"/>
      <w:bookmarkEnd w:id="1760"/>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（二）投标人企业组织机构框图</w:t>
      </w:r>
    </w:p>
    <w:p w14:paraId="42A933B9">
      <w:pPr>
        <w:shd w:val="clear" w:fill="FFFFFF" w:themeFill="background1"/>
        <w:spacing w:line="400" w:lineRule="exact"/>
        <w:rPr>
          <w:rFonts w:ascii="宋体" w:hAnsi="宋体" w:cs="宋体"/>
          <w:color w:val="auto"/>
          <w:highlight w:val="none"/>
        </w:rPr>
      </w:pPr>
    </w:p>
    <w:tbl>
      <w:tblPr>
        <w:tblStyle w:val="43"/>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14:paraId="5FC43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6" w:hRule="atLeast"/>
        </w:trPr>
        <w:tc>
          <w:tcPr>
            <w:tcW w:w="9356" w:type="dxa"/>
            <w:tcBorders>
              <w:top w:val="single" w:color="auto" w:sz="4" w:space="0"/>
              <w:left w:val="single" w:color="auto" w:sz="4" w:space="0"/>
              <w:bottom w:val="single" w:color="auto" w:sz="4" w:space="0"/>
              <w:right w:val="single" w:color="auto" w:sz="4" w:space="0"/>
            </w:tcBorders>
          </w:tcPr>
          <w:p w14:paraId="7F5AD6E6">
            <w:pPr>
              <w:shd w:val="clear" w:fill="FFFFFF" w:themeFill="background1"/>
              <w:topLinePunct/>
              <w:spacing w:line="320" w:lineRule="exact"/>
              <w:rPr>
                <w:rFonts w:ascii="宋体" w:hAnsi="宋体" w:cs="宋体"/>
                <w:color w:val="auto"/>
                <w:sz w:val="24"/>
                <w:highlight w:val="none"/>
              </w:rPr>
            </w:pPr>
            <w:r>
              <w:rPr>
                <w:rFonts w:hint="eastAsia" w:ascii="宋体" w:hAnsi="宋体" w:cs="宋体"/>
                <w:color w:val="auto"/>
                <w:sz w:val="24"/>
                <w:highlight w:val="none"/>
              </w:rPr>
              <w:t>以框图方式表示</w:t>
            </w:r>
          </w:p>
        </w:tc>
      </w:tr>
      <w:tr w14:paraId="5506E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356" w:type="dxa"/>
            <w:tcBorders>
              <w:top w:val="single" w:color="auto" w:sz="4" w:space="0"/>
              <w:left w:val="single" w:color="auto" w:sz="4" w:space="0"/>
              <w:right w:val="single" w:color="auto" w:sz="4" w:space="0"/>
            </w:tcBorders>
          </w:tcPr>
          <w:p w14:paraId="2CC8C0D3">
            <w:pPr>
              <w:shd w:val="clear" w:fill="FFFFFF" w:themeFill="background1"/>
              <w:topLinePunct/>
              <w:spacing w:line="320" w:lineRule="exact"/>
              <w:rPr>
                <w:rFonts w:ascii="宋体" w:hAnsi="宋体" w:cs="宋体"/>
                <w:color w:val="auto"/>
                <w:sz w:val="24"/>
                <w:highlight w:val="none"/>
              </w:rPr>
            </w:pPr>
            <w:r>
              <w:rPr>
                <w:rFonts w:hint="eastAsia" w:ascii="宋体" w:hAnsi="宋体" w:cs="宋体"/>
                <w:color w:val="auto"/>
                <w:sz w:val="24"/>
                <w:highlight w:val="none"/>
              </w:rPr>
              <w:t>说明</w:t>
            </w:r>
          </w:p>
        </w:tc>
      </w:tr>
    </w:tbl>
    <w:p w14:paraId="4984394C">
      <w:pPr>
        <w:shd w:val="clear" w:fill="FFFFFF" w:themeFill="background1"/>
        <w:jc w:val="center"/>
        <w:rPr>
          <w:rFonts w:ascii="宋体" w:hAnsi="宋体" w:cs="宋体"/>
          <w:b/>
          <w:color w:val="auto"/>
          <w:sz w:val="28"/>
          <w:szCs w:val="28"/>
          <w:highlight w:val="none"/>
        </w:rPr>
      </w:pPr>
      <w:bookmarkStart w:id="1761" w:name="_Toc238804117"/>
      <w:bookmarkEnd w:id="1761"/>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（三）近年财务状况表</w:t>
      </w:r>
    </w:p>
    <w:tbl>
      <w:tblPr>
        <w:tblStyle w:val="43"/>
        <w:tblW w:w="931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276"/>
        <w:gridCol w:w="1730"/>
        <w:gridCol w:w="1672"/>
        <w:gridCol w:w="1701"/>
      </w:tblGrid>
      <w:tr w14:paraId="6B104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96D0473">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项目或指标</w:t>
            </w:r>
          </w:p>
        </w:tc>
        <w:tc>
          <w:tcPr>
            <w:tcW w:w="1276" w:type="dxa"/>
          </w:tcPr>
          <w:p w14:paraId="772EAE78">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30" w:type="dxa"/>
          </w:tcPr>
          <w:p w14:paraId="5AB87F77">
            <w:pPr>
              <w:shd w:val="clear" w:fill="FFFFFF" w:themeFill="background1"/>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c>
          <w:tcPr>
            <w:tcW w:w="1672" w:type="dxa"/>
          </w:tcPr>
          <w:p w14:paraId="469AC13F">
            <w:pPr>
              <w:shd w:val="clear" w:fill="FFFFFF" w:themeFill="background1"/>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c>
          <w:tcPr>
            <w:tcW w:w="1701" w:type="dxa"/>
          </w:tcPr>
          <w:p w14:paraId="62948B39">
            <w:pPr>
              <w:shd w:val="clear" w:fill="FFFFFF" w:themeFill="background1"/>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r>
      <w:tr w14:paraId="73A53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B4D0113">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一、注册资金</w:t>
            </w:r>
          </w:p>
        </w:tc>
        <w:tc>
          <w:tcPr>
            <w:tcW w:w="1276" w:type="dxa"/>
          </w:tcPr>
          <w:p w14:paraId="182783AF">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208CEF09">
            <w:pPr>
              <w:shd w:val="clear" w:fill="FFFFFF" w:themeFill="background1"/>
              <w:spacing w:line="400" w:lineRule="exact"/>
              <w:rPr>
                <w:rFonts w:ascii="宋体" w:hAnsi="宋体" w:cs="宋体"/>
                <w:color w:val="auto"/>
                <w:sz w:val="24"/>
                <w:highlight w:val="none"/>
              </w:rPr>
            </w:pPr>
          </w:p>
        </w:tc>
        <w:tc>
          <w:tcPr>
            <w:tcW w:w="1672" w:type="dxa"/>
          </w:tcPr>
          <w:p w14:paraId="53B81AB0">
            <w:pPr>
              <w:shd w:val="clear" w:fill="FFFFFF" w:themeFill="background1"/>
              <w:spacing w:line="400" w:lineRule="exact"/>
              <w:rPr>
                <w:rFonts w:ascii="宋体" w:hAnsi="宋体" w:cs="宋体"/>
                <w:color w:val="auto"/>
                <w:sz w:val="24"/>
                <w:highlight w:val="none"/>
              </w:rPr>
            </w:pPr>
          </w:p>
        </w:tc>
        <w:tc>
          <w:tcPr>
            <w:tcW w:w="1701" w:type="dxa"/>
          </w:tcPr>
          <w:p w14:paraId="3F1418CD">
            <w:pPr>
              <w:shd w:val="clear" w:fill="FFFFFF" w:themeFill="background1"/>
              <w:spacing w:line="400" w:lineRule="exact"/>
              <w:rPr>
                <w:rFonts w:ascii="宋体" w:hAnsi="宋体" w:cs="宋体"/>
                <w:color w:val="auto"/>
                <w:sz w:val="24"/>
                <w:highlight w:val="none"/>
              </w:rPr>
            </w:pPr>
          </w:p>
        </w:tc>
      </w:tr>
      <w:tr w14:paraId="7CE93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068400A">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二、净资产</w:t>
            </w:r>
          </w:p>
        </w:tc>
        <w:tc>
          <w:tcPr>
            <w:tcW w:w="1276" w:type="dxa"/>
          </w:tcPr>
          <w:p w14:paraId="272C40F7">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717CE19E">
            <w:pPr>
              <w:shd w:val="clear" w:fill="FFFFFF" w:themeFill="background1"/>
              <w:spacing w:line="400" w:lineRule="exact"/>
              <w:rPr>
                <w:rFonts w:ascii="宋体" w:hAnsi="宋体" w:cs="宋体"/>
                <w:color w:val="auto"/>
                <w:sz w:val="24"/>
                <w:highlight w:val="none"/>
              </w:rPr>
            </w:pPr>
          </w:p>
        </w:tc>
        <w:tc>
          <w:tcPr>
            <w:tcW w:w="1672" w:type="dxa"/>
          </w:tcPr>
          <w:p w14:paraId="2131D6F1">
            <w:pPr>
              <w:shd w:val="clear" w:fill="FFFFFF" w:themeFill="background1"/>
              <w:spacing w:line="400" w:lineRule="exact"/>
              <w:rPr>
                <w:rFonts w:ascii="宋体" w:hAnsi="宋体" w:cs="宋体"/>
                <w:color w:val="auto"/>
                <w:sz w:val="24"/>
                <w:highlight w:val="none"/>
              </w:rPr>
            </w:pPr>
          </w:p>
        </w:tc>
        <w:tc>
          <w:tcPr>
            <w:tcW w:w="1701" w:type="dxa"/>
          </w:tcPr>
          <w:p w14:paraId="7FB746D9">
            <w:pPr>
              <w:shd w:val="clear" w:fill="FFFFFF" w:themeFill="background1"/>
              <w:spacing w:line="400" w:lineRule="exact"/>
              <w:rPr>
                <w:rFonts w:ascii="宋体" w:hAnsi="宋体" w:cs="宋体"/>
                <w:color w:val="auto"/>
                <w:sz w:val="24"/>
                <w:highlight w:val="none"/>
              </w:rPr>
            </w:pPr>
          </w:p>
        </w:tc>
      </w:tr>
      <w:tr w14:paraId="4FF93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FB079E8">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三、总资产</w:t>
            </w:r>
          </w:p>
        </w:tc>
        <w:tc>
          <w:tcPr>
            <w:tcW w:w="1276" w:type="dxa"/>
          </w:tcPr>
          <w:p w14:paraId="1206CE16">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3B8A637C">
            <w:pPr>
              <w:shd w:val="clear" w:fill="FFFFFF" w:themeFill="background1"/>
              <w:spacing w:line="400" w:lineRule="exact"/>
              <w:rPr>
                <w:rFonts w:ascii="宋体" w:hAnsi="宋体" w:cs="宋体"/>
                <w:color w:val="auto"/>
                <w:sz w:val="24"/>
                <w:highlight w:val="none"/>
              </w:rPr>
            </w:pPr>
          </w:p>
        </w:tc>
        <w:tc>
          <w:tcPr>
            <w:tcW w:w="1672" w:type="dxa"/>
          </w:tcPr>
          <w:p w14:paraId="0191E51E">
            <w:pPr>
              <w:shd w:val="clear" w:fill="FFFFFF" w:themeFill="background1"/>
              <w:spacing w:line="400" w:lineRule="exact"/>
              <w:rPr>
                <w:rFonts w:ascii="宋体" w:hAnsi="宋体" w:cs="宋体"/>
                <w:color w:val="auto"/>
                <w:sz w:val="24"/>
                <w:highlight w:val="none"/>
              </w:rPr>
            </w:pPr>
          </w:p>
        </w:tc>
        <w:tc>
          <w:tcPr>
            <w:tcW w:w="1701" w:type="dxa"/>
          </w:tcPr>
          <w:p w14:paraId="0BDC41D8">
            <w:pPr>
              <w:shd w:val="clear" w:fill="FFFFFF" w:themeFill="background1"/>
              <w:spacing w:line="400" w:lineRule="exact"/>
              <w:rPr>
                <w:rFonts w:ascii="宋体" w:hAnsi="宋体" w:cs="宋体"/>
                <w:color w:val="auto"/>
                <w:sz w:val="24"/>
                <w:highlight w:val="none"/>
              </w:rPr>
            </w:pPr>
          </w:p>
        </w:tc>
      </w:tr>
      <w:tr w14:paraId="09DC1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88500A9">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四、固定资产</w:t>
            </w:r>
          </w:p>
        </w:tc>
        <w:tc>
          <w:tcPr>
            <w:tcW w:w="1276" w:type="dxa"/>
          </w:tcPr>
          <w:p w14:paraId="1866C914">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1E114866">
            <w:pPr>
              <w:shd w:val="clear" w:fill="FFFFFF" w:themeFill="background1"/>
              <w:spacing w:line="400" w:lineRule="exact"/>
              <w:rPr>
                <w:rFonts w:ascii="宋体" w:hAnsi="宋体" w:cs="宋体"/>
                <w:color w:val="auto"/>
                <w:sz w:val="24"/>
                <w:highlight w:val="none"/>
              </w:rPr>
            </w:pPr>
          </w:p>
        </w:tc>
        <w:tc>
          <w:tcPr>
            <w:tcW w:w="1672" w:type="dxa"/>
          </w:tcPr>
          <w:p w14:paraId="70D23F73">
            <w:pPr>
              <w:shd w:val="clear" w:fill="FFFFFF" w:themeFill="background1"/>
              <w:spacing w:line="400" w:lineRule="exact"/>
              <w:rPr>
                <w:rFonts w:ascii="宋体" w:hAnsi="宋体" w:cs="宋体"/>
                <w:color w:val="auto"/>
                <w:sz w:val="24"/>
                <w:highlight w:val="none"/>
              </w:rPr>
            </w:pPr>
          </w:p>
        </w:tc>
        <w:tc>
          <w:tcPr>
            <w:tcW w:w="1701" w:type="dxa"/>
          </w:tcPr>
          <w:p w14:paraId="58BC29E8">
            <w:pPr>
              <w:shd w:val="clear" w:fill="FFFFFF" w:themeFill="background1"/>
              <w:spacing w:line="400" w:lineRule="exact"/>
              <w:rPr>
                <w:rFonts w:ascii="宋体" w:hAnsi="宋体" w:cs="宋体"/>
                <w:color w:val="auto"/>
                <w:sz w:val="24"/>
                <w:highlight w:val="none"/>
              </w:rPr>
            </w:pPr>
          </w:p>
        </w:tc>
      </w:tr>
      <w:tr w14:paraId="071EA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32E9864">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五、流动资产</w:t>
            </w:r>
          </w:p>
        </w:tc>
        <w:tc>
          <w:tcPr>
            <w:tcW w:w="1276" w:type="dxa"/>
          </w:tcPr>
          <w:p w14:paraId="2CE53FB1">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44B87FCB">
            <w:pPr>
              <w:shd w:val="clear" w:fill="FFFFFF" w:themeFill="background1"/>
              <w:spacing w:line="400" w:lineRule="exact"/>
              <w:rPr>
                <w:rFonts w:ascii="宋体" w:hAnsi="宋体" w:cs="宋体"/>
                <w:color w:val="auto"/>
                <w:sz w:val="24"/>
                <w:highlight w:val="none"/>
              </w:rPr>
            </w:pPr>
          </w:p>
        </w:tc>
        <w:tc>
          <w:tcPr>
            <w:tcW w:w="1672" w:type="dxa"/>
          </w:tcPr>
          <w:p w14:paraId="521B2411">
            <w:pPr>
              <w:shd w:val="clear" w:fill="FFFFFF" w:themeFill="background1"/>
              <w:spacing w:line="400" w:lineRule="exact"/>
              <w:rPr>
                <w:rFonts w:ascii="宋体" w:hAnsi="宋体" w:cs="宋体"/>
                <w:color w:val="auto"/>
                <w:sz w:val="24"/>
                <w:highlight w:val="none"/>
              </w:rPr>
            </w:pPr>
          </w:p>
        </w:tc>
        <w:tc>
          <w:tcPr>
            <w:tcW w:w="1701" w:type="dxa"/>
          </w:tcPr>
          <w:p w14:paraId="4C0CFC77">
            <w:pPr>
              <w:shd w:val="clear" w:fill="FFFFFF" w:themeFill="background1"/>
              <w:spacing w:line="400" w:lineRule="exact"/>
              <w:rPr>
                <w:rFonts w:ascii="宋体" w:hAnsi="宋体" w:cs="宋体"/>
                <w:color w:val="auto"/>
                <w:sz w:val="24"/>
                <w:highlight w:val="none"/>
              </w:rPr>
            </w:pPr>
          </w:p>
        </w:tc>
      </w:tr>
      <w:tr w14:paraId="12C98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E13CD96">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六、流动负债</w:t>
            </w:r>
          </w:p>
        </w:tc>
        <w:tc>
          <w:tcPr>
            <w:tcW w:w="1276" w:type="dxa"/>
          </w:tcPr>
          <w:p w14:paraId="20C7FFB4">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144289F5">
            <w:pPr>
              <w:shd w:val="clear" w:fill="FFFFFF" w:themeFill="background1"/>
              <w:spacing w:line="400" w:lineRule="exact"/>
              <w:rPr>
                <w:rFonts w:ascii="宋体" w:hAnsi="宋体" w:cs="宋体"/>
                <w:color w:val="auto"/>
                <w:sz w:val="24"/>
                <w:highlight w:val="none"/>
              </w:rPr>
            </w:pPr>
          </w:p>
        </w:tc>
        <w:tc>
          <w:tcPr>
            <w:tcW w:w="1672" w:type="dxa"/>
          </w:tcPr>
          <w:p w14:paraId="693FC790">
            <w:pPr>
              <w:shd w:val="clear" w:fill="FFFFFF" w:themeFill="background1"/>
              <w:spacing w:line="400" w:lineRule="exact"/>
              <w:rPr>
                <w:rFonts w:ascii="宋体" w:hAnsi="宋体" w:cs="宋体"/>
                <w:color w:val="auto"/>
                <w:sz w:val="24"/>
                <w:highlight w:val="none"/>
              </w:rPr>
            </w:pPr>
          </w:p>
        </w:tc>
        <w:tc>
          <w:tcPr>
            <w:tcW w:w="1701" w:type="dxa"/>
          </w:tcPr>
          <w:p w14:paraId="71201239">
            <w:pPr>
              <w:shd w:val="clear" w:fill="FFFFFF" w:themeFill="background1"/>
              <w:spacing w:line="400" w:lineRule="exact"/>
              <w:rPr>
                <w:rFonts w:ascii="宋体" w:hAnsi="宋体" w:cs="宋体"/>
                <w:color w:val="auto"/>
                <w:sz w:val="24"/>
                <w:highlight w:val="none"/>
              </w:rPr>
            </w:pPr>
          </w:p>
        </w:tc>
      </w:tr>
      <w:tr w14:paraId="7802E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A89CB88">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七、负债合计</w:t>
            </w:r>
          </w:p>
        </w:tc>
        <w:tc>
          <w:tcPr>
            <w:tcW w:w="1276" w:type="dxa"/>
          </w:tcPr>
          <w:p w14:paraId="1819CACD">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708D9FF1">
            <w:pPr>
              <w:shd w:val="clear" w:fill="FFFFFF" w:themeFill="background1"/>
              <w:spacing w:line="400" w:lineRule="exact"/>
              <w:rPr>
                <w:rFonts w:ascii="宋体" w:hAnsi="宋体" w:cs="宋体"/>
                <w:color w:val="auto"/>
                <w:sz w:val="24"/>
                <w:highlight w:val="none"/>
              </w:rPr>
            </w:pPr>
          </w:p>
        </w:tc>
        <w:tc>
          <w:tcPr>
            <w:tcW w:w="1672" w:type="dxa"/>
          </w:tcPr>
          <w:p w14:paraId="2B70B2BD">
            <w:pPr>
              <w:shd w:val="clear" w:fill="FFFFFF" w:themeFill="background1"/>
              <w:spacing w:line="400" w:lineRule="exact"/>
              <w:rPr>
                <w:rFonts w:ascii="宋体" w:hAnsi="宋体" w:cs="宋体"/>
                <w:color w:val="auto"/>
                <w:sz w:val="24"/>
                <w:highlight w:val="none"/>
              </w:rPr>
            </w:pPr>
          </w:p>
        </w:tc>
        <w:tc>
          <w:tcPr>
            <w:tcW w:w="1701" w:type="dxa"/>
          </w:tcPr>
          <w:p w14:paraId="60CAE3EC">
            <w:pPr>
              <w:shd w:val="clear" w:fill="FFFFFF" w:themeFill="background1"/>
              <w:spacing w:line="400" w:lineRule="exact"/>
              <w:rPr>
                <w:rFonts w:ascii="宋体" w:hAnsi="宋体" w:cs="宋体"/>
                <w:color w:val="auto"/>
                <w:sz w:val="24"/>
                <w:highlight w:val="none"/>
              </w:rPr>
            </w:pPr>
          </w:p>
        </w:tc>
      </w:tr>
      <w:tr w14:paraId="102FF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7DC5ED0">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八、营业收入</w:t>
            </w:r>
          </w:p>
        </w:tc>
        <w:tc>
          <w:tcPr>
            <w:tcW w:w="1276" w:type="dxa"/>
          </w:tcPr>
          <w:p w14:paraId="36951FE4">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6604CF3B">
            <w:pPr>
              <w:shd w:val="clear" w:fill="FFFFFF" w:themeFill="background1"/>
              <w:spacing w:line="400" w:lineRule="exact"/>
              <w:rPr>
                <w:rFonts w:ascii="宋体" w:hAnsi="宋体" w:cs="宋体"/>
                <w:color w:val="auto"/>
                <w:sz w:val="24"/>
                <w:highlight w:val="none"/>
              </w:rPr>
            </w:pPr>
          </w:p>
        </w:tc>
        <w:tc>
          <w:tcPr>
            <w:tcW w:w="1672" w:type="dxa"/>
          </w:tcPr>
          <w:p w14:paraId="6B205415">
            <w:pPr>
              <w:shd w:val="clear" w:fill="FFFFFF" w:themeFill="background1"/>
              <w:spacing w:line="400" w:lineRule="exact"/>
              <w:rPr>
                <w:rFonts w:ascii="宋体" w:hAnsi="宋体" w:cs="宋体"/>
                <w:color w:val="auto"/>
                <w:sz w:val="24"/>
                <w:highlight w:val="none"/>
              </w:rPr>
            </w:pPr>
          </w:p>
        </w:tc>
        <w:tc>
          <w:tcPr>
            <w:tcW w:w="1701" w:type="dxa"/>
          </w:tcPr>
          <w:p w14:paraId="66BCABD5">
            <w:pPr>
              <w:shd w:val="clear" w:fill="FFFFFF" w:themeFill="background1"/>
              <w:spacing w:line="400" w:lineRule="exact"/>
              <w:rPr>
                <w:rFonts w:ascii="宋体" w:hAnsi="宋体" w:cs="宋体"/>
                <w:color w:val="auto"/>
                <w:sz w:val="24"/>
                <w:highlight w:val="none"/>
              </w:rPr>
            </w:pPr>
          </w:p>
        </w:tc>
      </w:tr>
      <w:tr w14:paraId="4CC5F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4A13BB2">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九、净利润</w:t>
            </w:r>
          </w:p>
        </w:tc>
        <w:tc>
          <w:tcPr>
            <w:tcW w:w="1276" w:type="dxa"/>
          </w:tcPr>
          <w:p w14:paraId="69A4152A">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136CCFC9">
            <w:pPr>
              <w:shd w:val="clear" w:fill="FFFFFF" w:themeFill="background1"/>
              <w:spacing w:line="400" w:lineRule="exact"/>
              <w:rPr>
                <w:rFonts w:ascii="宋体" w:hAnsi="宋体" w:cs="宋体"/>
                <w:color w:val="auto"/>
                <w:sz w:val="24"/>
                <w:highlight w:val="none"/>
              </w:rPr>
            </w:pPr>
          </w:p>
        </w:tc>
        <w:tc>
          <w:tcPr>
            <w:tcW w:w="1672" w:type="dxa"/>
          </w:tcPr>
          <w:p w14:paraId="14AD7AF8">
            <w:pPr>
              <w:shd w:val="clear" w:fill="FFFFFF" w:themeFill="background1"/>
              <w:spacing w:line="400" w:lineRule="exact"/>
              <w:rPr>
                <w:rFonts w:ascii="宋体" w:hAnsi="宋体" w:cs="宋体"/>
                <w:color w:val="auto"/>
                <w:sz w:val="24"/>
                <w:highlight w:val="none"/>
              </w:rPr>
            </w:pPr>
          </w:p>
        </w:tc>
        <w:tc>
          <w:tcPr>
            <w:tcW w:w="1701" w:type="dxa"/>
          </w:tcPr>
          <w:p w14:paraId="27372926">
            <w:pPr>
              <w:shd w:val="clear" w:fill="FFFFFF" w:themeFill="background1"/>
              <w:spacing w:line="400" w:lineRule="exact"/>
              <w:rPr>
                <w:rFonts w:ascii="宋体" w:hAnsi="宋体" w:cs="宋体"/>
                <w:color w:val="auto"/>
                <w:sz w:val="24"/>
                <w:highlight w:val="none"/>
              </w:rPr>
            </w:pPr>
          </w:p>
        </w:tc>
      </w:tr>
      <w:tr w14:paraId="2E744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104336D">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十、现金流量净额</w:t>
            </w:r>
          </w:p>
        </w:tc>
        <w:tc>
          <w:tcPr>
            <w:tcW w:w="1276" w:type="dxa"/>
          </w:tcPr>
          <w:p w14:paraId="21945BA3">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775B277F">
            <w:pPr>
              <w:shd w:val="clear" w:fill="FFFFFF" w:themeFill="background1"/>
              <w:spacing w:line="400" w:lineRule="exact"/>
              <w:rPr>
                <w:rFonts w:ascii="宋体" w:hAnsi="宋体" w:cs="宋体"/>
                <w:color w:val="auto"/>
                <w:sz w:val="24"/>
                <w:highlight w:val="none"/>
              </w:rPr>
            </w:pPr>
          </w:p>
        </w:tc>
        <w:tc>
          <w:tcPr>
            <w:tcW w:w="1672" w:type="dxa"/>
          </w:tcPr>
          <w:p w14:paraId="34219276">
            <w:pPr>
              <w:shd w:val="clear" w:fill="FFFFFF" w:themeFill="background1"/>
              <w:spacing w:line="400" w:lineRule="exact"/>
              <w:rPr>
                <w:rFonts w:ascii="宋体" w:hAnsi="宋体" w:cs="宋体"/>
                <w:color w:val="auto"/>
                <w:sz w:val="24"/>
                <w:highlight w:val="none"/>
              </w:rPr>
            </w:pPr>
          </w:p>
        </w:tc>
        <w:tc>
          <w:tcPr>
            <w:tcW w:w="1701" w:type="dxa"/>
          </w:tcPr>
          <w:p w14:paraId="1057BFBD">
            <w:pPr>
              <w:shd w:val="clear" w:fill="FFFFFF" w:themeFill="background1"/>
              <w:spacing w:line="400" w:lineRule="exact"/>
              <w:rPr>
                <w:rFonts w:ascii="宋体" w:hAnsi="宋体" w:cs="宋体"/>
                <w:color w:val="auto"/>
                <w:sz w:val="24"/>
                <w:highlight w:val="none"/>
              </w:rPr>
            </w:pPr>
          </w:p>
        </w:tc>
      </w:tr>
      <w:tr w14:paraId="24F4E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0A4A133">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十一、主要财务指标</w:t>
            </w:r>
          </w:p>
        </w:tc>
        <w:tc>
          <w:tcPr>
            <w:tcW w:w="1276" w:type="dxa"/>
          </w:tcPr>
          <w:p w14:paraId="16F3D757">
            <w:pPr>
              <w:shd w:val="clear" w:fill="FFFFFF" w:themeFill="background1"/>
              <w:spacing w:line="400" w:lineRule="exact"/>
              <w:jc w:val="center"/>
              <w:rPr>
                <w:rFonts w:ascii="宋体" w:hAnsi="宋体" w:cs="宋体"/>
                <w:color w:val="auto"/>
                <w:sz w:val="24"/>
                <w:highlight w:val="none"/>
              </w:rPr>
            </w:pPr>
          </w:p>
        </w:tc>
        <w:tc>
          <w:tcPr>
            <w:tcW w:w="1730" w:type="dxa"/>
          </w:tcPr>
          <w:p w14:paraId="61BF1F38">
            <w:pPr>
              <w:shd w:val="clear" w:fill="FFFFFF" w:themeFill="background1"/>
              <w:spacing w:line="400" w:lineRule="exact"/>
              <w:rPr>
                <w:rFonts w:ascii="宋体" w:hAnsi="宋体" w:cs="宋体"/>
                <w:color w:val="auto"/>
                <w:sz w:val="24"/>
                <w:highlight w:val="none"/>
              </w:rPr>
            </w:pPr>
          </w:p>
        </w:tc>
        <w:tc>
          <w:tcPr>
            <w:tcW w:w="1672" w:type="dxa"/>
          </w:tcPr>
          <w:p w14:paraId="003CF83C">
            <w:pPr>
              <w:shd w:val="clear" w:fill="FFFFFF" w:themeFill="background1"/>
              <w:spacing w:line="400" w:lineRule="exact"/>
              <w:rPr>
                <w:rFonts w:ascii="宋体" w:hAnsi="宋体" w:cs="宋体"/>
                <w:color w:val="auto"/>
                <w:sz w:val="24"/>
                <w:highlight w:val="none"/>
              </w:rPr>
            </w:pPr>
          </w:p>
        </w:tc>
        <w:tc>
          <w:tcPr>
            <w:tcW w:w="1701" w:type="dxa"/>
          </w:tcPr>
          <w:p w14:paraId="429D88DA">
            <w:pPr>
              <w:shd w:val="clear" w:fill="FFFFFF" w:themeFill="background1"/>
              <w:spacing w:line="400" w:lineRule="exact"/>
              <w:rPr>
                <w:rFonts w:ascii="宋体" w:hAnsi="宋体" w:cs="宋体"/>
                <w:color w:val="auto"/>
                <w:sz w:val="24"/>
                <w:highlight w:val="none"/>
              </w:rPr>
            </w:pPr>
          </w:p>
        </w:tc>
      </w:tr>
      <w:tr w14:paraId="76BAD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E37D48C">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1.净资产收益率</w:t>
            </w:r>
          </w:p>
        </w:tc>
        <w:tc>
          <w:tcPr>
            <w:tcW w:w="1276" w:type="dxa"/>
          </w:tcPr>
          <w:p w14:paraId="2FB00189">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6E294055">
            <w:pPr>
              <w:shd w:val="clear" w:fill="FFFFFF" w:themeFill="background1"/>
              <w:spacing w:line="400" w:lineRule="exact"/>
              <w:rPr>
                <w:rFonts w:ascii="宋体" w:hAnsi="宋体" w:cs="宋体"/>
                <w:color w:val="auto"/>
                <w:sz w:val="24"/>
                <w:highlight w:val="none"/>
              </w:rPr>
            </w:pPr>
          </w:p>
        </w:tc>
        <w:tc>
          <w:tcPr>
            <w:tcW w:w="1672" w:type="dxa"/>
          </w:tcPr>
          <w:p w14:paraId="6930BC14">
            <w:pPr>
              <w:shd w:val="clear" w:fill="FFFFFF" w:themeFill="background1"/>
              <w:spacing w:line="400" w:lineRule="exact"/>
              <w:rPr>
                <w:rFonts w:ascii="宋体" w:hAnsi="宋体" w:cs="宋体"/>
                <w:color w:val="auto"/>
                <w:sz w:val="24"/>
                <w:highlight w:val="none"/>
              </w:rPr>
            </w:pPr>
          </w:p>
        </w:tc>
        <w:tc>
          <w:tcPr>
            <w:tcW w:w="1701" w:type="dxa"/>
          </w:tcPr>
          <w:p w14:paraId="097D0787">
            <w:pPr>
              <w:shd w:val="clear" w:fill="FFFFFF" w:themeFill="background1"/>
              <w:spacing w:line="400" w:lineRule="exact"/>
              <w:rPr>
                <w:rFonts w:ascii="宋体" w:hAnsi="宋体" w:cs="宋体"/>
                <w:color w:val="auto"/>
                <w:sz w:val="24"/>
                <w:highlight w:val="none"/>
              </w:rPr>
            </w:pPr>
          </w:p>
        </w:tc>
      </w:tr>
      <w:tr w14:paraId="43155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BF14749">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2.总资产报酬率</w:t>
            </w:r>
          </w:p>
        </w:tc>
        <w:tc>
          <w:tcPr>
            <w:tcW w:w="1276" w:type="dxa"/>
          </w:tcPr>
          <w:p w14:paraId="3C300AEF">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36A6E1DC">
            <w:pPr>
              <w:shd w:val="clear" w:fill="FFFFFF" w:themeFill="background1"/>
              <w:spacing w:line="400" w:lineRule="exact"/>
              <w:rPr>
                <w:rFonts w:ascii="宋体" w:hAnsi="宋体" w:cs="宋体"/>
                <w:color w:val="auto"/>
                <w:sz w:val="24"/>
                <w:highlight w:val="none"/>
              </w:rPr>
            </w:pPr>
          </w:p>
        </w:tc>
        <w:tc>
          <w:tcPr>
            <w:tcW w:w="1672" w:type="dxa"/>
          </w:tcPr>
          <w:p w14:paraId="219F428A">
            <w:pPr>
              <w:shd w:val="clear" w:fill="FFFFFF" w:themeFill="background1"/>
              <w:spacing w:line="400" w:lineRule="exact"/>
              <w:rPr>
                <w:rFonts w:ascii="宋体" w:hAnsi="宋体" w:cs="宋体"/>
                <w:color w:val="auto"/>
                <w:sz w:val="24"/>
                <w:highlight w:val="none"/>
              </w:rPr>
            </w:pPr>
          </w:p>
        </w:tc>
        <w:tc>
          <w:tcPr>
            <w:tcW w:w="1701" w:type="dxa"/>
          </w:tcPr>
          <w:p w14:paraId="1496D86A">
            <w:pPr>
              <w:shd w:val="clear" w:fill="FFFFFF" w:themeFill="background1"/>
              <w:spacing w:line="400" w:lineRule="exact"/>
              <w:rPr>
                <w:rFonts w:ascii="宋体" w:hAnsi="宋体" w:cs="宋体"/>
                <w:color w:val="auto"/>
                <w:sz w:val="24"/>
                <w:highlight w:val="none"/>
              </w:rPr>
            </w:pPr>
          </w:p>
        </w:tc>
      </w:tr>
      <w:tr w14:paraId="3A626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4706689">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3.主营业务利润率</w:t>
            </w:r>
          </w:p>
        </w:tc>
        <w:tc>
          <w:tcPr>
            <w:tcW w:w="1276" w:type="dxa"/>
          </w:tcPr>
          <w:p w14:paraId="6C4DD80F">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328A32D0">
            <w:pPr>
              <w:shd w:val="clear" w:fill="FFFFFF" w:themeFill="background1"/>
              <w:spacing w:line="400" w:lineRule="exact"/>
              <w:rPr>
                <w:rFonts w:ascii="宋体" w:hAnsi="宋体" w:cs="宋体"/>
                <w:color w:val="auto"/>
                <w:sz w:val="24"/>
                <w:highlight w:val="none"/>
              </w:rPr>
            </w:pPr>
          </w:p>
        </w:tc>
        <w:tc>
          <w:tcPr>
            <w:tcW w:w="1672" w:type="dxa"/>
          </w:tcPr>
          <w:p w14:paraId="1C7E260D">
            <w:pPr>
              <w:shd w:val="clear" w:fill="FFFFFF" w:themeFill="background1"/>
              <w:spacing w:line="400" w:lineRule="exact"/>
              <w:rPr>
                <w:rFonts w:ascii="宋体" w:hAnsi="宋体" w:cs="宋体"/>
                <w:color w:val="auto"/>
                <w:sz w:val="24"/>
                <w:highlight w:val="none"/>
              </w:rPr>
            </w:pPr>
          </w:p>
        </w:tc>
        <w:tc>
          <w:tcPr>
            <w:tcW w:w="1701" w:type="dxa"/>
          </w:tcPr>
          <w:p w14:paraId="531B8C66">
            <w:pPr>
              <w:shd w:val="clear" w:fill="FFFFFF" w:themeFill="background1"/>
              <w:spacing w:line="400" w:lineRule="exact"/>
              <w:rPr>
                <w:rFonts w:ascii="宋体" w:hAnsi="宋体" w:cs="宋体"/>
                <w:color w:val="auto"/>
                <w:sz w:val="24"/>
                <w:highlight w:val="none"/>
              </w:rPr>
            </w:pPr>
          </w:p>
        </w:tc>
      </w:tr>
      <w:tr w14:paraId="59C13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AF69137">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4.资产负债率</w:t>
            </w:r>
          </w:p>
        </w:tc>
        <w:tc>
          <w:tcPr>
            <w:tcW w:w="1276" w:type="dxa"/>
          </w:tcPr>
          <w:p w14:paraId="06EBE771">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11D19F57">
            <w:pPr>
              <w:shd w:val="clear" w:fill="FFFFFF" w:themeFill="background1"/>
              <w:spacing w:line="400" w:lineRule="exact"/>
              <w:rPr>
                <w:rFonts w:ascii="宋体" w:hAnsi="宋体" w:cs="宋体"/>
                <w:color w:val="auto"/>
                <w:sz w:val="24"/>
                <w:highlight w:val="none"/>
              </w:rPr>
            </w:pPr>
          </w:p>
        </w:tc>
        <w:tc>
          <w:tcPr>
            <w:tcW w:w="1672" w:type="dxa"/>
          </w:tcPr>
          <w:p w14:paraId="7FC5BBB4">
            <w:pPr>
              <w:shd w:val="clear" w:fill="FFFFFF" w:themeFill="background1"/>
              <w:spacing w:line="400" w:lineRule="exact"/>
              <w:rPr>
                <w:rFonts w:ascii="宋体" w:hAnsi="宋体" w:cs="宋体"/>
                <w:color w:val="auto"/>
                <w:sz w:val="24"/>
                <w:highlight w:val="none"/>
              </w:rPr>
            </w:pPr>
          </w:p>
        </w:tc>
        <w:tc>
          <w:tcPr>
            <w:tcW w:w="1701" w:type="dxa"/>
          </w:tcPr>
          <w:p w14:paraId="3CD4B1AB">
            <w:pPr>
              <w:shd w:val="clear" w:fill="FFFFFF" w:themeFill="background1"/>
              <w:spacing w:line="400" w:lineRule="exact"/>
              <w:rPr>
                <w:rFonts w:ascii="宋体" w:hAnsi="宋体" w:cs="宋体"/>
                <w:color w:val="auto"/>
                <w:sz w:val="24"/>
                <w:highlight w:val="none"/>
              </w:rPr>
            </w:pPr>
          </w:p>
        </w:tc>
      </w:tr>
      <w:tr w14:paraId="1D8C9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0884B34">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5.流动比率</w:t>
            </w:r>
          </w:p>
        </w:tc>
        <w:tc>
          <w:tcPr>
            <w:tcW w:w="1276" w:type="dxa"/>
          </w:tcPr>
          <w:p w14:paraId="2A970F27">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00B0EB17">
            <w:pPr>
              <w:shd w:val="clear" w:fill="FFFFFF" w:themeFill="background1"/>
              <w:spacing w:line="400" w:lineRule="exact"/>
              <w:rPr>
                <w:rFonts w:ascii="宋体" w:hAnsi="宋体" w:cs="宋体"/>
                <w:color w:val="auto"/>
                <w:sz w:val="24"/>
                <w:highlight w:val="none"/>
              </w:rPr>
            </w:pPr>
          </w:p>
        </w:tc>
        <w:tc>
          <w:tcPr>
            <w:tcW w:w="1672" w:type="dxa"/>
          </w:tcPr>
          <w:p w14:paraId="688FE6DC">
            <w:pPr>
              <w:shd w:val="clear" w:fill="FFFFFF" w:themeFill="background1"/>
              <w:spacing w:line="400" w:lineRule="exact"/>
              <w:rPr>
                <w:rFonts w:ascii="宋体" w:hAnsi="宋体" w:cs="宋体"/>
                <w:color w:val="auto"/>
                <w:sz w:val="24"/>
                <w:highlight w:val="none"/>
              </w:rPr>
            </w:pPr>
          </w:p>
        </w:tc>
        <w:tc>
          <w:tcPr>
            <w:tcW w:w="1701" w:type="dxa"/>
          </w:tcPr>
          <w:p w14:paraId="75269705">
            <w:pPr>
              <w:shd w:val="clear" w:fill="FFFFFF" w:themeFill="background1"/>
              <w:spacing w:line="400" w:lineRule="exact"/>
              <w:rPr>
                <w:rFonts w:ascii="宋体" w:hAnsi="宋体" w:cs="宋体"/>
                <w:color w:val="auto"/>
                <w:sz w:val="24"/>
                <w:highlight w:val="none"/>
              </w:rPr>
            </w:pPr>
          </w:p>
        </w:tc>
      </w:tr>
      <w:tr w14:paraId="3A6C2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B796AC1">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6.速动比率</w:t>
            </w:r>
          </w:p>
        </w:tc>
        <w:tc>
          <w:tcPr>
            <w:tcW w:w="1276" w:type="dxa"/>
          </w:tcPr>
          <w:p w14:paraId="4157B6B0">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394A2EC6">
            <w:pPr>
              <w:shd w:val="clear" w:fill="FFFFFF" w:themeFill="background1"/>
              <w:spacing w:line="400" w:lineRule="exact"/>
              <w:rPr>
                <w:rFonts w:ascii="宋体" w:hAnsi="宋体" w:cs="宋体"/>
                <w:color w:val="auto"/>
                <w:sz w:val="24"/>
                <w:highlight w:val="none"/>
              </w:rPr>
            </w:pPr>
          </w:p>
        </w:tc>
        <w:tc>
          <w:tcPr>
            <w:tcW w:w="1672" w:type="dxa"/>
          </w:tcPr>
          <w:p w14:paraId="6305AD88">
            <w:pPr>
              <w:shd w:val="clear" w:fill="FFFFFF" w:themeFill="background1"/>
              <w:spacing w:line="400" w:lineRule="exact"/>
              <w:rPr>
                <w:rFonts w:ascii="宋体" w:hAnsi="宋体" w:cs="宋体"/>
                <w:color w:val="auto"/>
                <w:sz w:val="24"/>
                <w:highlight w:val="none"/>
              </w:rPr>
            </w:pPr>
          </w:p>
        </w:tc>
        <w:tc>
          <w:tcPr>
            <w:tcW w:w="1701" w:type="dxa"/>
          </w:tcPr>
          <w:p w14:paraId="6B4F1932">
            <w:pPr>
              <w:shd w:val="clear" w:fill="FFFFFF" w:themeFill="background1"/>
              <w:spacing w:line="400" w:lineRule="exact"/>
              <w:rPr>
                <w:rFonts w:ascii="宋体" w:hAnsi="宋体" w:cs="宋体"/>
                <w:color w:val="auto"/>
                <w:sz w:val="24"/>
                <w:highlight w:val="none"/>
              </w:rPr>
            </w:pPr>
          </w:p>
        </w:tc>
      </w:tr>
      <w:tr w14:paraId="4291B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078BFE0">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近三个年度的年平均营业总收入</w:t>
            </w:r>
          </w:p>
        </w:tc>
        <w:tc>
          <w:tcPr>
            <w:tcW w:w="1276" w:type="dxa"/>
            <w:vAlign w:val="center"/>
          </w:tcPr>
          <w:p w14:paraId="3CD8FC09">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5103" w:type="dxa"/>
            <w:gridSpan w:val="3"/>
          </w:tcPr>
          <w:p w14:paraId="596F4885">
            <w:pPr>
              <w:shd w:val="clear" w:fill="FFFFFF" w:themeFill="background1"/>
              <w:spacing w:line="400" w:lineRule="exact"/>
              <w:rPr>
                <w:rFonts w:ascii="宋体" w:hAnsi="宋体" w:cs="宋体"/>
                <w:color w:val="auto"/>
                <w:sz w:val="24"/>
                <w:highlight w:val="none"/>
              </w:rPr>
            </w:pPr>
          </w:p>
        </w:tc>
      </w:tr>
      <w:tr w14:paraId="195A6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24D16FC">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最新年度具有的营运资金（流动资产-流动负债）</w:t>
            </w:r>
          </w:p>
        </w:tc>
        <w:tc>
          <w:tcPr>
            <w:tcW w:w="1276" w:type="dxa"/>
            <w:vAlign w:val="center"/>
          </w:tcPr>
          <w:p w14:paraId="4BF3E584">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5103" w:type="dxa"/>
            <w:gridSpan w:val="3"/>
          </w:tcPr>
          <w:p w14:paraId="1DEB2C35">
            <w:pPr>
              <w:shd w:val="clear" w:fill="FFFFFF" w:themeFill="background1"/>
              <w:spacing w:line="400" w:lineRule="exact"/>
              <w:rPr>
                <w:rFonts w:ascii="宋体" w:hAnsi="宋体" w:cs="宋体"/>
                <w:color w:val="auto"/>
                <w:sz w:val="24"/>
                <w:highlight w:val="none"/>
              </w:rPr>
            </w:pPr>
          </w:p>
        </w:tc>
      </w:tr>
    </w:tbl>
    <w:p w14:paraId="1F436E99">
      <w:pPr>
        <w:shd w:val="clear" w:fill="FFFFFF" w:themeFill="background1"/>
        <w:ind w:left="810" w:leftChars="100" w:hanging="600" w:hangingChars="250"/>
        <w:jc w:val="left"/>
        <w:rPr>
          <w:rFonts w:ascii="宋体" w:hAnsi="宋体" w:cs="宋体"/>
          <w:color w:val="auto"/>
          <w:sz w:val="24"/>
          <w:highlight w:val="none"/>
        </w:rPr>
      </w:pPr>
      <w:r>
        <w:rPr>
          <w:rFonts w:hint="eastAsia" w:ascii="宋体" w:hAnsi="宋体" w:cs="宋体"/>
          <w:color w:val="auto"/>
          <w:sz w:val="24"/>
          <w:highlight w:val="none"/>
        </w:rPr>
        <w:t>注：1. 投标人应根据招标文件第二章“投标人须知”第 3.5.2 项的要求在本表后附相关证明材料。</w:t>
      </w:r>
    </w:p>
    <w:p w14:paraId="61BA010A">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1F52E0AD">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(四) 近年完成的类似项目情况表</w:t>
      </w:r>
    </w:p>
    <w:p w14:paraId="033471EB">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（四）</w:t>
      </w:r>
      <w:r>
        <w:rPr>
          <w:rFonts w:hint="eastAsia" w:ascii="宋体" w:hAnsi="宋体" w:cs="宋体"/>
          <w:b/>
          <w:bCs/>
          <w:color w:val="auto"/>
          <w:sz w:val="28"/>
          <w:szCs w:val="28"/>
          <w:highlight w:val="none"/>
        </w:rPr>
        <w:t>-1完成的类似项目情况表</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554"/>
      </w:tblGrid>
      <w:tr w14:paraId="2CF39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28E9E48">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序    号</w:t>
            </w:r>
          </w:p>
        </w:tc>
        <w:tc>
          <w:tcPr>
            <w:tcW w:w="6554" w:type="dxa"/>
            <w:vAlign w:val="center"/>
          </w:tcPr>
          <w:p w14:paraId="6356C74A">
            <w:pPr>
              <w:shd w:val="clear" w:fill="FFFFFF" w:themeFill="background1"/>
              <w:spacing w:line="400" w:lineRule="exact"/>
              <w:jc w:val="center"/>
              <w:rPr>
                <w:rFonts w:ascii="宋体" w:hAnsi="宋体" w:cs="宋体"/>
                <w:color w:val="auto"/>
                <w:sz w:val="24"/>
                <w:highlight w:val="none"/>
              </w:rPr>
            </w:pPr>
          </w:p>
        </w:tc>
      </w:tr>
      <w:tr w14:paraId="70894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1B31197B">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554" w:type="dxa"/>
            <w:vAlign w:val="center"/>
          </w:tcPr>
          <w:p w14:paraId="32F657FE">
            <w:pPr>
              <w:shd w:val="clear" w:fill="FFFFFF" w:themeFill="background1"/>
              <w:spacing w:line="400" w:lineRule="exact"/>
              <w:jc w:val="center"/>
              <w:rPr>
                <w:rFonts w:ascii="宋体" w:hAnsi="宋体" w:cs="宋体"/>
                <w:color w:val="auto"/>
                <w:sz w:val="24"/>
                <w:highlight w:val="none"/>
              </w:rPr>
            </w:pPr>
          </w:p>
        </w:tc>
      </w:tr>
      <w:tr w14:paraId="392C5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9C80ED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554" w:type="dxa"/>
            <w:vAlign w:val="center"/>
          </w:tcPr>
          <w:p w14:paraId="010E5527">
            <w:pPr>
              <w:shd w:val="clear" w:fill="FFFFFF" w:themeFill="background1"/>
              <w:spacing w:line="400" w:lineRule="exact"/>
              <w:jc w:val="center"/>
              <w:rPr>
                <w:rFonts w:ascii="宋体" w:hAnsi="宋体" w:cs="宋体"/>
                <w:color w:val="auto"/>
                <w:sz w:val="24"/>
                <w:highlight w:val="none"/>
              </w:rPr>
            </w:pPr>
          </w:p>
        </w:tc>
      </w:tr>
      <w:tr w14:paraId="77319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82DC658">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554" w:type="dxa"/>
            <w:vAlign w:val="center"/>
          </w:tcPr>
          <w:p w14:paraId="6655E499">
            <w:pPr>
              <w:shd w:val="clear" w:fill="FFFFFF" w:themeFill="background1"/>
              <w:spacing w:line="400" w:lineRule="exact"/>
              <w:jc w:val="center"/>
              <w:rPr>
                <w:rFonts w:ascii="宋体" w:hAnsi="宋体" w:cs="宋体"/>
                <w:color w:val="auto"/>
                <w:sz w:val="24"/>
                <w:highlight w:val="none"/>
              </w:rPr>
            </w:pPr>
          </w:p>
        </w:tc>
      </w:tr>
      <w:tr w14:paraId="78B4A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231C3ED">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554" w:type="dxa"/>
            <w:vAlign w:val="center"/>
          </w:tcPr>
          <w:p w14:paraId="77B6134E">
            <w:pPr>
              <w:shd w:val="clear" w:fill="FFFFFF" w:themeFill="background1"/>
              <w:spacing w:line="400" w:lineRule="exact"/>
              <w:jc w:val="center"/>
              <w:rPr>
                <w:rFonts w:ascii="宋体" w:hAnsi="宋体" w:cs="宋体"/>
                <w:color w:val="auto"/>
                <w:sz w:val="24"/>
                <w:highlight w:val="none"/>
              </w:rPr>
            </w:pPr>
          </w:p>
        </w:tc>
      </w:tr>
      <w:tr w14:paraId="0F7FB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8375394">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554" w:type="dxa"/>
            <w:vAlign w:val="center"/>
          </w:tcPr>
          <w:p w14:paraId="32F82B23">
            <w:pPr>
              <w:shd w:val="clear" w:fill="FFFFFF" w:themeFill="background1"/>
              <w:spacing w:line="400" w:lineRule="exact"/>
              <w:jc w:val="center"/>
              <w:rPr>
                <w:rFonts w:ascii="宋体" w:hAnsi="宋体" w:cs="宋体"/>
                <w:color w:val="auto"/>
                <w:sz w:val="24"/>
                <w:highlight w:val="none"/>
              </w:rPr>
            </w:pPr>
          </w:p>
        </w:tc>
      </w:tr>
      <w:tr w14:paraId="70478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4D38456">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554" w:type="dxa"/>
            <w:vAlign w:val="center"/>
          </w:tcPr>
          <w:p w14:paraId="0AF8E9AC">
            <w:pPr>
              <w:shd w:val="clear" w:fill="FFFFFF" w:themeFill="background1"/>
              <w:spacing w:line="400" w:lineRule="exact"/>
              <w:jc w:val="center"/>
              <w:rPr>
                <w:rFonts w:ascii="宋体" w:hAnsi="宋体" w:cs="宋体"/>
                <w:color w:val="auto"/>
                <w:sz w:val="24"/>
                <w:highlight w:val="none"/>
              </w:rPr>
            </w:pPr>
          </w:p>
        </w:tc>
      </w:tr>
      <w:tr w14:paraId="4E6BE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F1E3001">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554" w:type="dxa"/>
            <w:vAlign w:val="center"/>
          </w:tcPr>
          <w:p w14:paraId="3A8FB874">
            <w:pPr>
              <w:shd w:val="clear" w:fill="FFFFFF" w:themeFill="background1"/>
              <w:spacing w:line="400" w:lineRule="exact"/>
              <w:jc w:val="center"/>
              <w:rPr>
                <w:rFonts w:ascii="宋体" w:hAnsi="宋体" w:cs="宋体"/>
                <w:color w:val="auto"/>
                <w:sz w:val="24"/>
                <w:highlight w:val="none"/>
              </w:rPr>
            </w:pPr>
          </w:p>
        </w:tc>
      </w:tr>
      <w:tr w14:paraId="004F7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3DDCFA4">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交工（或一次性竣</w:t>
            </w:r>
          </w:p>
          <w:p w14:paraId="7B0FB917">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工）日期</w:t>
            </w:r>
          </w:p>
        </w:tc>
        <w:tc>
          <w:tcPr>
            <w:tcW w:w="6554" w:type="dxa"/>
            <w:vAlign w:val="center"/>
          </w:tcPr>
          <w:p w14:paraId="5A25AFCD">
            <w:pPr>
              <w:shd w:val="clear" w:fill="FFFFFF" w:themeFill="background1"/>
              <w:spacing w:line="400" w:lineRule="exact"/>
              <w:jc w:val="center"/>
              <w:rPr>
                <w:rFonts w:ascii="宋体" w:hAnsi="宋体" w:cs="宋体"/>
                <w:color w:val="auto"/>
                <w:sz w:val="24"/>
                <w:highlight w:val="none"/>
              </w:rPr>
            </w:pPr>
          </w:p>
        </w:tc>
      </w:tr>
      <w:tr w14:paraId="1A629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D5709F6">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554" w:type="dxa"/>
            <w:vAlign w:val="center"/>
          </w:tcPr>
          <w:p w14:paraId="5C3B34B6">
            <w:pPr>
              <w:shd w:val="clear" w:fill="FFFFFF" w:themeFill="background1"/>
              <w:spacing w:line="400" w:lineRule="exact"/>
              <w:jc w:val="center"/>
              <w:rPr>
                <w:rFonts w:ascii="宋体" w:hAnsi="宋体" w:cs="宋体"/>
                <w:color w:val="auto"/>
                <w:sz w:val="24"/>
                <w:highlight w:val="none"/>
              </w:rPr>
            </w:pPr>
          </w:p>
        </w:tc>
      </w:tr>
      <w:tr w14:paraId="47624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FE7D3D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工程质量评分（或</w:t>
            </w:r>
          </w:p>
          <w:p w14:paraId="621DA019">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等级）</w:t>
            </w:r>
          </w:p>
        </w:tc>
        <w:tc>
          <w:tcPr>
            <w:tcW w:w="6554" w:type="dxa"/>
            <w:vAlign w:val="center"/>
          </w:tcPr>
          <w:p w14:paraId="5661EB11">
            <w:pPr>
              <w:shd w:val="clear" w:fill="FFFFFF" w:themeFill="background1"/>
              <w:spacing w:line="400" w:lineRule="exact"/>
              <w:jc w:val="center"/>
              <w:rPr>
                <w:rFonts w:ascii="宋体" w:hAnsi="宋体" w:cs="宋体"/>
                <w:color w:val="auto"/>
                <w:sz w:val="24"/>
                <w:highlight w:val="none"/>
              </w:rPr>
            </w:pPr>
          </w:p>
        </w:tc>
      </w:tr>
      <w:tr w14:paraId="4D0AE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0582498">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554" w:type="dxa"/>
            <w:vAlign w:val="center"/>
          </w:tcPr>
          <w:p w14:paraId="7DCE89E9">
            <w:pPr>
              <w:shd w:val="clear" w:fill="FFFFFF" w:themeFill="background1"/>
              <w:spacing w:line="400" w:lineRule="exact"/>
              <w:jc w:val="center"/>
              <w:rPr>
                <w:rFonts w:ascii="宋体" w:hAnsi="宋体" w:cs="宋体"/>
                <w:color w:val="auto"/>
                <w:sz w:val="24"/>
                <w:highlight w:val="none"/>
              </w:rPr>
            </w:pPr>
          </w:p>
        </w:tc>
      </w:tr>
      <w:tr w14:paraId="63196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E3EE13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项目总工</w:t>
            </w:r>
          </w:p>
        </w:tc>
        <w:tc>
          <w:tcPr>
            <w:tcW w:w="6554" w:type="dxa"/>
            <w:vAlign w:val="center"/>
          </w:tcPr>
          <w:p w14:paraId="2CBB5D2E">
            <w:pPr>
              <w:shd w:val="clear" w:fill="FFFFFF" w:themeFill="background1"/>
              <w:spacing w:line="400" w:lineRule="exact"/>
              <w:jc w:val="center"/>
              <w:rPr>
                <w:rFonts w:ascii="宋体" w:hAnsi="宋体" w:cs="宋体"/>
                <w:color w:val="auto"/>
                <w:sz w:val="24"/>
                <w:highlight w:val="none"/>
              </w:rPr>
            </w:pPr>
          </w:p>
        </w:tc>
      </w:tr>
      <w:tr w14:paraId="3ACF0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3411C13">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554" w:type="dxa"/>
            <w:vAlign w:val="center"/>
          </w:tcPr>
          <w:p w14:paraId="4006222C">
            <w:pPr>
              <w:shd w:val="clear" w:fill="FFFFFF" w:themeFill="background1"/>
              <w:spacing w:line="400" w:lineRule="exact"/>
              <w:jc w:val="center"/>
              <w:rPr>
                <w:rFonts w:ascii="宋体" w:hAnsi="宋体" w:cs="宋体"/>
                <w:color w:val="auto"/>
                <w:sz w:val="24"/>
                <w:highlight w:val="none"/>
              </w:rPr>
            </w:pPr>
          </w:p>
        </w:tc>
      </w:tr>
      <w:tr w14:paraId="5C49E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802" w:type="dxa"/>
            <w:vAlign w:val="center"/>
          </w:tcPr>
          <w:p w14:paraId="057BD877">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554" w:type="dxa"/>
            <w:vAlign w:val="center"/>
          </w:tcPr>
          <w:p w14:paraId="77E3D9B1">
            <w:pPr>
              <w:shd w:val="clear" w:fill="FFFFFF" w:themeFill="background1"/>
              <w:spacing w:line="400" w:lineRule="exact"/>
              <w:jc w:val="center"/>
              <w:rPr>
                <w:rFonts w:ascii="宋体" w:hAnsi="宋体" w:cs="宋体"/>
                <w:color w:val="auto"/>
                <w:sz w:val="24"/>
                <w:highlight w:val="none"/>
              </w:rPr>
            </w:pPr>
          </w:p>
        </w:tc>
      </w:tr>
      <w:tr w14:paraId="37197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9457C56">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554" w:type="dxa"/>
            <w:vAlign w:val="center"/>
          </w:tcPr>
          <w:p w14:paraId="7A5F84B4">
            <w:pPr>
              <w:shd w:val="clear" w:fill="FFFFFF" w:themeFill="background1"/>
              <w:spacing w:line="400" w:lineRule="exact"/>
              <w:jc w:val="center"/>
              <w:rPr>
                <w:rFonts w:ascii="宋体" w:hAnsi="宋体" w:cs="宋体"/>
                <w:color w:val="auto"/>
                <w:sz w:val="24"/>
                <w:highlight w:val="none"/>
              </w:rPr>
            </w:pPr>
          </w:p>
        </w:tc>
      </w:tr>
    </w:tbl>
    <w:p w14:paraId="132DFD19">
      <w:pPr>
        <w:pStyle w:val="59"/>
        <w:shd w:val="clear" w:fill="FFFFFF" w:themeFill="background1"/>
        <w:rPr>
          <w:rFonts w:ascii="宋体" w:hAnsi="宋体" w:cs="宋体"/>
          <w:color w:val="auto"/>
          <w:highlight w:val="none"/>
        </w:rPr>
      </w:pPr>
      <w:r>
        <w:rPr>
          <w:rFonts w:hint="eastAsia" w:ascii="宋体" w:hAnsi="宋体" w:cs="宋体"/>
          <w:color w:val="auto"/>
          <w:highlight w:val="none"/>
        </w:rPr>
        <w:t>注：1.每张表格只填写一个项目，并标明序号。</w:t>
      </w:r>
    </w:p>
    <w:p w14:paraId="07E72228">
      <w:pPr>
        <w:pStyle w:val="59"/>
        <w:shd w:val="clear" w:fill="FFFFFF" w:themeFill="background1"/>
        <w:ind w:firstLine="480" w:firstLineChars="200"/>
        <w:rPr>
          <w:rFonts w:ascii="宋体" w:hAnsi="宋体" w:cs="宋体"/>
          <w:color w:val="auto"/>
          <w:highlight w:val="none"/>
        </w:rPr>
      </w:pPr>
      <w:r>
        <w:rPr>
          <w:rFonts w:hint="eastAsia" w:ascii="宋体" w:hAnsi="宋体" w:cs="宋体"/>
          <w:color w:val="auto"/>
          <w:highlight w:val="none"/>
        </w:rPr>
        <w:t>2. 投标人应根据招标文件第二章“投标人须知”第 3.5.3 项的要求在本表后附相关证明材料。</w:t>
      </w:r>
    </w:p>
    <w:p w14:paraId="671C355D">
      <w:pPr>
        <w:pStyle w:val="59"/>
        <w:shd w:val="clear" w:fill="FFFFFF" w:themeFill="background1"/>
        <w:ind w:firstLine="562" w:firstLineChars="200"/>
        <w:rPr>
          <w:rFonts w:ascii="宋体" w:hAnsi="宋体" w:cs="宋体"/>
          <w:b/>
          <w:color w:val="auto"/>
          <w:sz w:val="28"/>
          <w:szCs w:val="28"/>
          <w:highlight w:val="none"/>
        </w:rPr>
        <w:sectPr>
          <w:footnotePr>
            <w:numFmt w:val="decimalEnclosedCircleChinese"/>
          </w:footnotePr>
          <w:pgSz w:w="11906" w:h="16838"/>
          <w:pgMar w:top="1038" w:right="924" w:bottom="936" w:left="1418" w:header="624" w:footer="590" w:gutter="0"/>
          <w:cols w:space="720" w:num="1"/>
          <w:docGrid w:type="lines" w:linePitch="312" w:charSpace="0"/>
        </w:sectPr>
      </w:pPr>
    </w:p>
    <w:p w14:paraId="54EDC5B4">
      <w:pPr>
        <w:shd w:val="clear" w:fill="FFFFFF" w:themeFill="background1"/>
        <w:jc w:val="center"/>
        <w:rPr>
          <w:rFonts w:ascii="宋体" w:hAnsi="宋体" w:cs="宋体"/>
          <w:b/>
          <w:bCs/>
          <w:color w:val="auto"/>
          <w:sz w:val="28"/>
          <w:szCs w:val="28"/>
          <w:highlight w:val="none"/>
        </w:rPr>
      </w:pPr>
      <w:r>
        <w:rPr>
          <w:rFonts w:hint="eastAsia" w:ascii="宋体" w:hAnsi="宋体" w:cs="宋体"/>
          <w:b/>
          <w:color w:val="auto"/>
          <w:sz w:val="28"/>
          <w:szCs w:val="28"/>
          <w:highlight w:val="none"/>
        </w:rPr>
        <w:t>（四）-2 完成的类似项目情况汇总表</w:t>
      </w:r>
    </w:p>
    <w:tbl>
      <w:tblPr>
        <w:tblStyle w:val="4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064"/>
        <w:gridCol w:w="1286"/>
        <w:gridCol w:w="1286"/>
        <w:gridCol w:w="936"/>
        <w:gridCol w:w="1034"/>
        <w:gridCol w:w="936"/>
        <w:gridCol w:w="978"/>
        <w:gridCol w:w="805"/>
        <w:gridCol w:w="805"/>
      </w:tblGrid>
      <w:tr w14:paraId="55356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B9F798A">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序号</w:t>
            </w:r>
          </w:p>
        </w:tc>
        <w:tc>
          <w:tcPr>
            <w:tcW w:w="1064" w:type="dxa"/>
            <w:vAlign w:val="center"/>
          </w:tcPr>
          <w:p w14:paraId="200DFABD">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项目</w:t>
            </w:r>
          </w:p>
          <w:p w14:paraId="74715BFA">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名称</w:t>
            </w:r>
          </w:p>
        </w:tc>
        <w:tc>
          <w:tcPr>
            <w:tcW w:w="1286" w:type="dxa"/>
            <w:vAlign w:val="center"/>
          </w:tcPr>
          <w:p w14:paraId="05D7F34C">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路基桥涵里程</w:t>
            </w:r>
          </w:p>
          <w:p w14:paraId="6242D2BA">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（km）</w:t>
            </w:r>
          </w:p>
        </w:tc>
        <w:tc>
          <w:tcPr>
            <w:tcW w:w="1286" w:type="dxa"/>
            <w:vAlign w:val="center"/>
          </w:tcPr>
          <w:p w14:paraId="6F1EC5A1">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路面类型及里程（km）</w:t>
            </w:r>
          </w:p>
        </w:tc>
        <w:tc>
          <w:tcPr>
            <w:tcW w:w="936" w:type="dxa"/>
            <w:vAlign w:val="center"/>
          </w:tcPr>
          <w:p w14:paraId="19ACE96B">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大桥（座）</w:t>
            </w:r>
          </w:p>
        </w:tc>
        <w:tc>
          <w:tcPr>
            <w:tcW w:w="1034" w:type="dxa"/>
            <w:vAlign w:val="center"/>
          </w:tcPr>
          <w:p w14:paraId="75E48927">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特大桥</w:t>
            </w:r>
          </w:p>
          <w:p w14:paraId="0C2E19B0">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（座）</w:t>
            </w:r>
          </w:p>
        </w:tc>
        <w:tc>
          <w:tcPr>
            <w:tcW w:w="936" w:type="dxa"/>
            <w:vAlign w:val="center"/>
          </w:tcPr>
          <w:p w14:paraId="7682DD8A">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长隧道</w:t>
            </w:r>
          </w:p>
          <w:p w14:paraId="78AA0D6F">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（座）</w:t>
            </w:r>
          </w:p>
        </w:tc>
        <w:tc>
          <w:tcPr>
            <w:tcW w:w="978" w:type="dxa"/>
            <w:vAlign w:val="center"/>
          </w:tcPr>
          <w:p w14:paraId="77EDA5D4">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特长隧道（座）</w:t>
            </w:r>
          </w:p>
        </w:tc>
        <w:tc>
          <w:tcPr>
            <w:tcW w:w="805" w:type="dxa"/>
            <w:vAlign w:val="center"/>
          </w:tcPr>
          <w:p w14:paraId="7CB866A0">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w:t>
            </w:r>
          </w:p>
        </w:tc>
        <w:tc>
          <w:tcPr>
            <w:tcW w:w="805" w:type="dxa"/>
            <w:vAlign w:val="center"/>
          </w:tcPr>
          <w:p w14:paraId="192DE3E6">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备注</w:t>
            </w:r>
          </w:p>
        </w:tc>
      </w:tr>
      <w:tr w14:paraId="6CB44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5DA19913">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1</w:t>
            </w:r>
          </w:p>
        </w:tc>
        <w:tc>
          <w:tcPr>
            <w:tcW w:w="1064" w:type="dxa"/>
            <w:vAlign w:val="center"/>
          </w:tcPr>
          <w:p w14:paraId="16F9A34C">
            <w:pPr>
              <w:pStyle w:val="59"/>
              <w:shd w:val="clear" w:fill="FFFFFF" w:themeFill="background1"/>
              <w:jc w:val="center"/>
              <w:rPr>
                <w:rFonts w:ascii="宋体" w:hAnsi="宋体" w:cs="宋体"/>
                <w:color w:val="auto"/>
                <w:highlight w:val="none"/>
              </w:rPr>
            </w:pPr>
          </w:p>
        </w:tc>
        <w:tc>
          <w:tcPr>
            <w:tcW w:w="1286" w:type="dxa"/>
          </w:tcPr>
          <w:p w14:paraId="6191F660">
            <w:pPr>
              <w:pStyle w:val="59"/>
              <w:shd w:val="clear" w:fill="FFFFFF" w:themeFill="background1"/>
              <w:jc w:val="center"/>
              <w:rPr>
                <w:rFonts w:ascii="宋体" w:hAnsi="宋体" w:cs="宋体"/>
                <w:color w:val="auto"/>
                <w:highlight w:val="none"/>
              </w:rPr>
            </w:pPr>
          </w:p>
        </w:tc>
        <w:tc>
          <w:tcPr>
            <w:tcW w:w="1286" w:type="dxa"/>
          </w:tcPr>
          <w:p w14:paraId="25DAD3F4">
            <w:pPr>
              <w:pStyle w:val="59"/>
              <w:shd w:val="clear" w:fill="FFFFFF" w:themeFill="background1"/>
              <w:jc w:val="center"/>
              <w:rPr>
                <w:rFonts w:ascii="宋体" w:hAnsi="宋体" w:cs="宋体"/>
                <w:color w:val="auto"/>
                <w:highlight w:val="none"/>
              </w:rPr>
            </w:pPr>
          </w:p>
        </w:tc>
        <w:tc>
          <w:tcPr>
            <w:tcW w:w="936" w:type="dxa"/>
          </w:tcPr>
          <w:p w14:paraId="3E486D76">
            <w:pPr>
              <w:pStyle w:val="59"/>
              <w:shd w:val="clear" w:fill="FFFFFF" w:themeFill="background1"/>
              <w:jc w:val="center"/>
              <w:rPr>
                <w:rFonts w:ascii="宋体" w:hAnsi="宋体" w:cs="宋体"/>
                <w:color w:val="auto"/>
                <w:highlight w:val="none"/>
              </w:rPr>
            </w:pPr>
          </w:p>
        </w:tc>
        <w:tc>
          <w:tcPr>
            <w:tcW w:w="1034" w:type="dxa"/>
          </w:tcPr>
          <w:p w14:paraId="3E620AEE">
            <w:pPr>
              <w:pStyle w:val="59"/>
              <w:shd w:val="clear" w:fill="FFFFFF" w:themeFill="background1"/>
              <w:jc w:val="center"/>
              <w:rPr>
                <w:rFonts w:ascii="宋体" w:hAnsi="宋体" w:cs="宋体"/>
                <w:color w:val="auto"/>
                <w:highlight w:val="none"/>
              </w:rPr>
            </w:pPr>
          </w:p>
        </w:tc>
        <w:tc>
          <w:tcPr>
            <w:tcW w:w="936" w:type="dxa"/>
          </w:tcPr>
          <w:p w14:paraId="3350A2B2">
            <w:pPr>
              <w:pStyle w:val="59"/>
              <w:shd w:val="clear" w:fill="FFFFFF" w:themeFill="background1"/>
              <w:jc w:val="center"/>
              <w:rPr>
                <w:rFonts w:ascii="宋体" w:hAnsi="宋体" w:cs="宋体"/>
                <w:color w:val="auto"/>
                <w:highlight w:val="none"/>
              </w:rPr>
            </w:pPr>
          </w:p>
        </w:tc>
        <w:tc>
          <w:tcPr>
            <w:tcW w:w="978" w:type="dxa"/>
          </w:tcPr>
          <w:p w14:paraId="28C6F16C">
            <w:pPr>
              <w:pStyle w:val="59"/>
              <w:shd w:val="clear" w:fill="FFFFFF" w:themeFill="background1"/>
              <w:jc w:val="center"/>
              <w:rPr>
                <w:rFonts w:ascii="宋体" w:hAnsi="宋体" w:cs="宋体"/>
                <w:color w:val="auto"/>
                <w:highlight w:val="none"/>
              </w:rPr>
            </w:pPr>
          </w:p>
        </w:tc>
        <w:tc>
          <w:tcPr>
            <w:tcW w:w="805" w:type="dxa"/>
          </w:tcPr>
          <w:p w14:paraId="4A61174D">
            <w:pPr>
              <w:pStyle w:val="59"/>
              <w:shd w:val="clear" w:fill="FFFFFF" w:themeFill="background1"/>
              <w:jc w:val="center"/>
              <w:rPr>
                <w:rFonts w:ascii="宋体" w:hAnsi="宋体" w:cs="宋体"/>
                <w:color w:val="auto"/>
                <w:highlight w:val="none"/>
              </w:rPr>
            </w:pPr>
          </w:p>
        </w:tc>
        <w:tc>
          <w:tcPr>
            <w:tcW w:w="805" w:type="dxa"/>
          </w:tcPr>
          <w:p w14:paraId="46A8D53C">
            <w:pPr>
              <w:pStyle w:val="59"/>
              <w:shd w:val="clear" w:fill="FFFFFF" w:themeFill="background1"/>
              <w:jc w:val="center"/>
              <w:rPr>
                <w:rFonts w:ascii="宋体" w:hAnsi="宋体" w:cs="宋体"/>
                <w:color w:val="auto"/>
                <w:highlight w:val="none"/>
              </w:rPr>
            </w:pPr>
          </w:p>
        </w:tc>
      </w:tr>
      <w:tr w14:paraId="00A1E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563A2AC7">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2</w:t>
            </w:r>
          </w:p>
        </w:tc>
        <w:tc>
          <w:tcPr>
            <w:tcW w:w="1064" w:type="dxa"/>
            <w:vAlign w:val="center"/>
          </w:tcPr>
          <w:p w14:paraId="3B913ACD">
            <w:pPr>
              <w:pStyle w:val="59"/>
              <w:shd w:val="clear" w:fill="FFFFFF" w:themeFill="background1"/>
              <w:jc w:val="center"/>
              <w:rPr>
                <w:rFonts w:ascii="宋体" w:hAnsi="宋体" w:cs="宋体"/>
                <w:color w:val="auto"/>
                <w:highlight w:val="none"/>
              </w:rPr>
            </w:pPr>
          </w:p>
        </w:tc>
        <w:tc>
          <w:tcPr>
            <w:tcW w:w="1286" w:type="dxa"/>
          </w:tcPr>
          <w:p w14:paraId="665E032F">
            <w:pPr>
              <w:pStyle w:val="59"/>
              <w:shd w:val="clear" w:fill="FFFFFF" w:themeFill="background1"/>
              <w:jc w:val="center"/>
              <w:rPr>
                <w:rFonts w:ascii="宋体" w:hAnsi="宋体" w:cs="宋体"/>
                <w:color w:val="auto"/>
                <w:highlight w:val="none"/>
              </w:rPr>
            </w:pPr>
          </w:p>
        </w:tc>
        <w:tc>
          <w:tcPr>
            <w:tcW w:w="1286" w:type="dxa"/>
          </w:tcPr>
          <w:p w14:paraId="2D3569AF">
            <w:pPr>
              <w:pStyle w:val="59"/>
              <w:shd w:val="clear" w:fill="FFFFFF" w:themeFill="background1"/>
              <w:jc w:val="center"/>
              <w:rPr>
                <w:rFonts w:ascii="宋体" w:hAnsi="宋体" w:cs="宋体"/>
                <w:color w:val="auto"/>
                <w:highlight w:val="none"/>
              </w:rPr>
            </w:pPr>
          </w:p>
        </w:tc>
        <w:tc>
          <w:tcPr>
            <w:tcW w:w="936" w:type="dxa"/>
          </w:tcPr>
          <w:p w14:paraId="3316BD95">
            <w:pPr>
              <w:pStyle w:val="59"/>
              <w:shd w:val="clear" w:fill="FFFFFF" w:themeFill="background1"/>
              <w:jc w:val="center"/>
              <w:rPr>
                <w:rFonts w:ascii="宋体" w:hAnsi="宋体" w:cs="宋体"/>
                <w:color w:val="auto"/>
                <w:highlight w:val="none"/>
              </w:rPr>
            </w:pPr>
          </w:p>
        </w:tc>
        <w:tc>
          <w:tcPr>
            <w:tcW w:w="1034" w:type="dxa"/>
          </w:tcPr>
          <w:p w14:paraId="7C3E0B9A">
            <w:pPr>
              <w:pStyle w:val="59"/>
              <w:shd w:val="clear" w:fill="FFFFFF" w:themeFill="background1"/>
              <w:jc w:val="center"/>
              <w:rPr>
                <w:rFonts w:ascii="宋体" w:hAnsi="宋体" w:cs="宋体"/>
                <w:color w:val="auto"/>
                <w:highlight w:val="none"/>
              </w:rPr>
            </w:pPr>
          </w:p>
        </w:tc>
        <w:tc>
          <w:tcPr>
            <w:tcW w:w="936" w:type="dxa"/>
          </w:tcPr>
          <w:p w14:paraId="765E178B">
            <w:pPr>
              <w:pStyle w:val="59"/>
              <w:shd w:val="clear" w:fill="FFFFFF" w:themeFill="background1"/>
              <w:jc w:val="center"/>
              <w:rPr>
                <w:rFonts w:ascii="宋体" w:hAnsi="宋体" w:cs="宋体"/>
                <w:color w:val="auto"/>
                <w:highlight w:val="none"/>
              </w:rPr>
            </w:pPr>
          </w:p>
        </w:tc>
        <w:tc>
          <w:tcPr>
            <w:tcW w:w="978" w:type="dxa"/>
          </w:tcPr>
          <w:p w14:paraId="60328247">
            <w:pPr>
              <w:pStyle w:val="59"/>
              <w:shd w:val="clear" w:fill="FFFFFF" w:themeFill="background1"/>
              <w:jc w:val="center"/>
              <w:rPr>
                <w:rFonts w:ascii="宋体" w:hAnsi="宋体" w:cs="宋体"/>
                <w:color w:val="auto"/>
                <w:highlight w:val="none"/>
              </w:rPr>
            </w:pPr>
          </w:p>
        </w:tc>
        <w:tc>
          <w:tcPr>
            <w:tcW w:w="805" w:type="dxa"/>
          </w:tcPr>
          <w:p w14:paraId="693CF6BC">
            <w:pPr>
              <w:pStyle w:val="59"/>
              <w:shd w:val="clear" w:fill="FFFFFF" w:themeFill="background1"/>
              <w:jc w:val="center"/>
              <w:rPr>
                <w:rFonts w:ascii="宋体" w:hAnsi="宋体" w:cs="宋体"/>
                <w:color w:val="auto"/>
                <w:highlight w:val="none"/>
              </w:rPr>
            </w:pPr>
          </w:p>
        </w:tc>
        <w:tc>
          <w:tcPr>
            <w:tcW w:w="805" w:type="dxa"/>
          </w:tcPr>
          <w:p w14:paraId="687A10AE">
            <w:pPr>
              <w:pStyle w:val="59"/>
              <w:shd w:val="clear" w:fill="FFFFFF" w:themeFill="background1"/>
              <w:jc w:val="center"/>
              <w:rPr>
                <w:rFonts w:ascii="宋体" w:hAnsi="宋体" w:cs="宋体"/>
                <w:color w:val="auto"/>
                <w:highlight w:val="none"/>
              </w:rPr>
            </w:pPr>
          </w:p>
        </w:tc>
      </w:tr>
      <w:tr w14:paraId="02D28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5BA12722">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3</w:t>
            </w:r>
          </w:p>
        </w:tc>
        <w:tc>
          <w:tcPr>
            <w:tcW w:w="1064" w:type="dxa"/>
            <w:vAlign w:val="center"/>
          </w:tcPr>
          <w:p w14:paraId="3CECEEEE">
            <w:pPr>
              <w:pStyle w:val="59"/>
              <w:shd w:val="clear" w:fill="FFFFFF" w:themeFill="background1"/>
              <w:jc w:val="center"/>
              <w:rPr>
                <w:rFonts w:ascii="宋体" w:hAnsi="宋体" w:cs="宋体"/>
                <w:color w:val="auto"/>
                <w:highlight w:val="none"/>
              </w:rPr>
            </w:pPr>
          </w:p>
        </w:tc>
        <w:tc>
          <w:tcPr>
            <w:tcW w:w="1286" w:type="dxa"/>
          </w:tcPr>
          <w:p w14:paraId="767CA916">
            <w:pPr>
              <w:pStyle w:val="59"/>
              <w:shd w:val="clear" w:fill="FFFFFF" w:themeFill="background1"/>
              <w:jc w:val="center"/>
              <w:rPr>
                <w:rFonts w:ascii="宋体" w:hAnsi="宋体" w:cs="宋体"/>
                <w:color w:val="auto"/>
                <w:highlight w:val="none"/>
              </w:rPr>
            </w:pPr>
          </w:p>
        </w:tc>
        <w:tc>
          <w:tcPr>
            <w:tcW w:w="1286" w:type="dxa"/>
          </w:tcPr>
          <w:p w14:paraId="56942D31">
            <w:pPr>
              <w:pStyle w:val="59"/>
              <w:shd w:val="clear" w:fill="FFFFFF" w:themeFill="background1"/>
              <w:jc w:val="center"/>
              <w:rPr>
                <w:rFonts w:ascii="宋体" w:hAnsi="宋体" w:cs="宋体"/>
                <w:color w:val="auto"/>
                <w:highlight w:val="none"/>
              </w:rPr>
            </w:pPr>
          </w:p>
        </w:tc>
        <w:tc>
          <w:tcPr>
            <w:tcW w:w="936" w:type="dxa"/>
          </w:tcPr>
          <w:p w14:paraId="0611ECEA">
            <w:pPr>
              <w:pStyle w:val="59"/>
              <w:shd w:val="clear" w:fill="FFFFFF" w:themeFill="background1"/>
              <w:jc w:val="center"/>
              <w:rPr>
                <w:rFonts w:ascii="宋体" w:hAnsi="宋体" w:cs="宋体"/>
                <w:color w:val="auto"/>
                <w:highlight w:val="none"/>
              </w:rPr>
            </w:pPr>
          </w:p>
        </w:tc>
        <w:tc>
          <w:tcPr>
            <w:tcW w:w="1034" w:type="dxa"/>
          </w:tcPr>
          <w:p w14:paraId="290B370B">
            <w:pPr>
              <w:pStyle w:val="59"/>
              <w:shd w:val="clear" w:fill="FFFFFF" w:themeFill="background1"/>
              <w:jc w:val="center"/>
              <w:rPr>
                <w:rFonts w:ascii="宋体" w:hAnsi="宋体" w:cs="宋体"/>
                <w:color w:val="auto"/>
                <w:highlight w:val="none"/>
              </w:rPr>
            </w:pPr>
          </w:p>
        </w:tc>
        <w:tc>
          <w:tcPr>
            <w:tcW w:w="936" w:type="dxa"/>
          </w:tcPr>
          <w:p w14:paraId="6E72FE24">
            <w:pPr>
              <w:pStyle w:val="59"/>
              <w:shd w:val="clear" w:fill="FFFFFF" w:themeFill="background1"/>
              <w:jc w:val="center"/>
              <w:rPr>
                <w:rFonts w:ascii="宋体" w:hAnsi="宋体" w:cs="宋体"/>
                <w:color w:val="auto"/>
                <w:highlight w:val="none"/>
              </w:rPr>
            </w:pPr>
          </w:p>
        </w:tc>
        <w:tc>
          <w:tcPr>
            <w:tcW w:w="978" w:type="dxa"/>
          </w:tcPr>
          <w:p w14:paraId="197415A1">
            <w:pPr>
              <w:pStyle w:val="59"/>
              <w:shd w:val="clear" w:fill="FFFFFF" w:themeFill="background1"/>
              <w:jc w:val="center"/>
              <w:rPr>
                <w:rFonts w:ascii="宋体" w:hAnsi="宋体" w:cs="宋体"/>
                <w:color w:val="auto"/>
                <w:highlight w:val="none"/>
              </w:rPr>
            </w:pPr>
          </w:p>
        </w:tc>
        <w:tc>
          <w:tcPr>
            <w:tcW w:w="805" w:type="dxa"/>
          </w:tcPr>
          <w:p w14:paraId="03609DBB">
            <w:pPr>
              <w:pStyle w:val="59"/>
              <w:shd w:val="clear" w:fill="FFFFFF" w:themeFill="background1"/>
              <w:jc w:val="center"/>
              <w:rPr>
                <w:rFonts w:ascii="宋体" w:hAnsi="宋体" w:cs="宋体"/>
                <w:color w:val="auto"/>
                <w:highlight w:val="none"/>
              </w:rPr>
            </w:pPr>
          </w:p>
        </w:tc>
        <w:tc>
          <w:tcPr>
            <w:tcW w:w="805" w:type="dxa"/>
          </w:tcPr>
          <w:p w14:paraId="34FE1D9B">
            <w:pPr>
              <w:pStyle w:val="59"/>
              <w:shd w:val="clear" w:fill="FFFFFF" w:themeFill="background1"/>
              <w:jc w:val="center"/>
              <w:rPr>
                <w:rFonts w:ascii="宋体" w:hAnsi="宋体" w:cs="宋体"/>
                <w:color w:val="auto"/>
                <w:highlight w:val="none"/>
              </w:rPr>
            </w:pPr>
          </w:p>
        </w:tc>
      </w:tr>
      <w:tr w14:paraId="2BB2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6015E47">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4</w:t>
            </w:r>
          </w:p>
        </w:tc>
        <w:tc>
          <w:tcPr>
            <w:tcW w:w="1064" w:type="dxa"/>
            <w:vAlign w:val="center"/>
          </w:tcPr>
          <w:p w14:paraId="742976DF">
            <w:pPr>
              <w:pStyle w:val="59"/>
              <w:shd w:val="clear" w:fill="FFFFFF" w:themeFill="background1"/>
              <w:jc w:val="center"/>
              <w:rPr>
                <w:rFonts w:ascii="宋体" w:hAnsi="宋体" w:cs="宋体"/>
                <w:color w:val="auto"/>
                <w:highlight w:val="none"/>
              </w:rPr>
            </w:pPr>
          </w:p>
        </w:tc>
        <w:tc>
          <w:tcPr>
            <w:tcW w:w="1286" w:type="dxa"/>
          </w:tcPr>
          <w:p w14:paraId="0C8D2DFB">
            <w:pPr>
              <w:pStyle w:val="59"/>
              <w:shd w:val="clear" w:fill="FFFFFF" w:themeFill="background1"/>
              <w:jc w:val="center"/>
              <w:rPr>
                <w:rFonts w:ascii="宋体" w:hAnsi="宋体" w:cs="宋体"/>
                <w:color w:val="auto"/>
                <w:highlight w:val="none"/>
              </w:rPr>
            </w:pPr>
          </w:p>
        </w:tc>
        <w:tc>
          <w:tcPr>
            <w:tcW w:w="1286" w:type="dxa"/>
          </w:tcPr>
          <w:p w14:paraId="37665D05">
            <w:pPr>
              <w:pStyle w:val="59"/>
              <w:shd w:val="clear" w:fill="FFFFFF" w:themeFill="background1"/>
              <w:jc w:val="center"/>
              <w:rPr>
                <w:rFonts w:ascii="宋体" w:hAnsi="宋体" w:cs="宋体"/>
                <w:color w:val="auto"/>
                <w:highlight w:val="none"/>
              </w:rPr>
            </w:pPr>
          </w:p>
        </w:tc>
        <w:tc>
          <w:tcPr>
            <w:tcW w:w="936" w:type="dxa"/>
          </w:tcPr>
          <w:p w14:paraId="0D27E947">
            <w:pPr>
              <w:pStyle w:val="59"/>
              <w:shd w:val="clear" w:fill="FFFFFF" w:themeFill="background1"/>
              <w:jc w:val="center"/>
              <w:rPr>
                <w:rFonts w:ascii="宋体" w:hAnsi="宋体" w:cs="宋体"/>
                <w:color w:val="auto"/>
                <w:highlight w:val="none"/>
              </w:rPr>
            </w:pPr>
          </w:p>
        </w:tc>
        <w:tc>
          <w:tcPr>
            <w:tcW w:w="1034" w:type="dxa"/>
          </w:tcPr>
          <w:p w14:paraId="6FE00FB9">
            <w:pPr>
              <w:pStyle w:val="59"/>
              <w:shd w:val="clear" w:fill="FFFFFF" w:themeFill="background1"/>
              <w:jc w:val="center"/>
              <w:rPr>
                <w:rFonts w:ascii="宋体" w:hAnsi="宋体" w:cs="宋体"/>
                <w:color w:val="auto"/>
                <w:highlight w:val="none"/>
              </w:rPr>
            </w:pPr>
          </w:p>
        </w:tc>
        <w:tc>
          <w:tcPr>
            <w:tcW w:w="936" w:type="dxa"/>
          </w:tcPr>
          <w:p w14:paraId="42E7FAE0">
            <w:pPr>
              <w:pStyle w:val="59"/>
              <w:shd w:val="clear" w:fill="FFFFFF" w:themeFill="background1"/>
              <w:jc w:val="center"/>
              <w:rPr>
                <w:rFonts w:ascii="宋体" w:hAnsi="宋体" w:cs="宋体"/>
                <w:color w:val="auto"/>
                <w:highlight w:val="none"/>
              </w:rPr>
            </w:pPr>
          </w:p>
        </w:tc>
        <w:tc>
          <w:tcPr>
            <w:tcW w:w="978" w:type="dxa"/>
          </w:tcPr>
          <w:p w14:paraId="38EE63C2">
            <w:pPr>
              <w:pStyle w:val="59"/>
              <w:shd w:val="clear" w:fill="FFFFFF" w:themeFill="background1"/>
              <w:jc w:val="center"/>
              <w:rPr>
                <w:rFonts w:ascii="宋体" w:hAnsi="宋体" w:cs="宋体"/>
                <w:color w:val="auto"/>
                <w:highlight w:val="none"/>
              </w:rPr>
            </w:pPr>
          </w:p>
        </w:tc>
        <w:tc>
          <w:tcPr>
            <w:tcW w:w="805" w:type="dxa"/>
          </w:tcPr>
          <w:p w14:paraId="3FD4B307">
            <w:pPr>
              <w:pStyle w:val="59"/>
              <w:shd w:val="clear" w:fill="FFFFFF" w:themeFill="background1"/>
              <w:jc w:val="center"/>
              <w:rPr>
                <w:rFonts w:ascii="宋体" w:hAnsi="宋体" w:cs="宋体"/>
                <w:color w:val="auto"/>
                <w:highlight w:val="none"/>
              </w:rPr>
            </w:pPr>
          </w:p>
        </w:tc>
        <w:tc>
          <w:tcPr>
            <w:tcW w:w="805" w:type="dxa"/>
          </w:tcPr>
          <w:p w14:paraId="40688DC2">
            <w:pPr>
              <w:pStyle w:val="59"/>
              <w:shd w:val="clear" w:fill="FFFFFF" w:themeFill="background1"/>
              <w:jc w:val="center"/>
              <w:rPr>
                <w:rFonts w:ascii="宋体" w:hAnsi="宋体" w:cs="宋体"/>
                <w:color w:val="auto"/>
                <w:highlight w:val="none"/>
              </w:rPr>
            </w:pPr>
          </w:p>
        </w:tc>
      </w:tr>
      <w:tr w14:paraId="399F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763CE8B7">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5</w:t>
            </w:r>
          </w:p>
        </w:tc>
        <w:tc>
          <w:tcPr>
            <w:tcW w:w="1064" w:type="dxa"/>
            <w:vAlign w:val="center"/>
          </w:tcPr>
          <w:p w14:paraId="147B27E2">
            <w:pPr>
              <w:pStyle w:val="59"/>
              <w:shd w:val="clear" w:fill="FFFFFF" w:themeFill="background1"/>
              <w:jc w:val="center"/>
              <w:rPr>
                <w:rFonts w:ascii="宋体" w:hAnsi="宋体" w:cs="宋体"/>
                <w:color w:val="auto"/>
                <w:highlight w:val="none"/>
              </w:rPr>
            </w:pPr>
          </w:p>
        </w:tc>
        <w:tc>
          <w:tcPr>
            <w:tcW w:w="1286" w:type="dxa"/>
          </w:tcPr>
          <w:p w14:paraId="2B0B501A">
            <w:pPr>
              <w:pStyle w:val="59"/>
              <w:shd w:val="clear" w:fill="FFFFFF" w:themeFill="background1"/>
              <w:jc w:val="center"/>
              <w:rPr>
                <w:rFonts w:ascii="宋体" w:hAnsi="宋体" w:cs="宋体"/>
                <w:color w:val="auto"/>
                <w:highlight w:val="none"/>
              </w:rPr>
            </w:pPr>
          </w:p>
        </w:tc>
        <w:tc>
          <w:tcPr>
            <w:tcW w:w="1286" w:type="dxa"/>
          </w:tcPr>
          <w:p w14:paraId="1FA30074">
            <w:pPr>
              <w:pStyle w:val="59"/>
              <w:shd w:val="clear" w:fill="FFFFFF" w:themeFill="background1"/>
              <w:jc w:val="center"/>
              <w:rPr>
                <w:rFonts w:ascii="宋体" w:hAnsi="宋体" w:cs="宋体"/>
                <w:color w:val="auto"/>
                <w:highlight w:val="none"/>
              </w:rPr>
            </w:pPr>
          </w:p>
        </w:tc>
        <w:tc>
          <w:tcPr>
            <w:tcW w:w="936" w:type="dxa"/>
          </w:tcPr>
          <w:p w14:paraId="3B1307A6">
            <w:pPr>
              <w:pStyle w:val="59"/>
              <w:shd w:val="clear" w:fill="FFFFFF" w:themeFill="background1"/>
              <w:jc w:val="center"/>
              <w:rPr>
                <w:rFonts w:ascii="宋体" w:hAnsi="宋体" w:cs="宋体"/>
                <w:color w:val="auto"/>
                <w:highlight w:val="none"/>
              </w:rPr>
            </w:pPr>
          </w:p>
        </w:tc>
        <w:tc>
          <w:tcPr>
            <w:tcW w:w="1034" w:type="dxa"/>
          </w:tcPr>
          <w:p w14:paraId="04D14BDF">
            <w:pPr>
              <w:pStyle w:val="59"/>
              <w:shd w:val="clear" w:fill="FFFFFF" w:themeFill="background1"/>
              <w:jc w:val="center"/>
              <w:rPr>
                <w:rFonts w:ascii="宋体" w:hAnsi="宋体" w:cs="宋体"/>
                <w:color w:val="auto"/>
                <w:highlight w:val="none"/>
              </w:rPr>
            </w:pPr>
          </w:p>
        </w:tc>
        <w:tc>
          <w:tcPr>
            <w:tcW w:w="936" w:type="dxa"/>
          </w:tcPr>
          <w:p w14:paraId="711D87C2">
            <w:pPr>
              <w:pStyle w:val="59"/>
              <w:shd w:val="clear" w:fill="FFFFFF" w:themeFill="background1"/>
              <w:jc w:val="center"/>
              <w:rPr>
                <w:rFonts w:ascii="宋体" w:hAnsi="宋体" w:cs="宋体"/>
                <w:color w:val="auto"/>
                <w:highlight w:val="none"/>
              </w:rPr>
            </w:pPr>
          </w:p>
        </w:tc>
        <w:tc>
          <w:tcPr>
            <w:tcW w:w="978" w:type="dxa"/>
          </w:tcPr>
          <w:p w14:paraId="07F740C9">
            <w:pPr>
              <w:pStyle w:val="59"/>
              <w:shd w:val="clear" w:fill="FFFFFF" w:themeFill="background1"/>
              <w:jc w:val="center"/>
              <w:rPr>
                <w:rFonts w:ascii="宋体" w:hAnsi="宋体" w:cs="宋体"/>
                <w:color w:val="auto"/>
                <w:highlight w:val="none"/>
              </w:rPr>
            </w:pPr>
          </w:p>
        </w:tc>
        <w:tc>
          <w:tcPr>
            <w:tcW w:w="805" w:type="dxa"/>
          </w:tcPr>
          <w:p w14:paraId="517AA2F3">
            <w:pPr>
              <w:pStyle w:val="59"/>
              <w:shd w:val="clear" w:fill="FFFFFF" w:themeFill="background1"/>
              <w:jc w:val="center"/>
              <w:rPr>
                <w:rFonts w:ascii="宋体" w:hAnsi="宋体" w:cs="宋体"/>
                <w:color w:val="auto"/>
                <w:highlight w:val="none"/>
              </w:rPr>
            </w:pPr>
          </w:p>
        </w:tc>
        <w:tc>
          <w:tcPr>
            <w:tcW w:w="805" w:type="dxa"/>
          </w:tcPr>
          <w:p w14:paraId="12144B80">
            <w:pPr>
              <w:pStyle w:val="59"/>
              <w:shd w:val="clear" w:fill="FFFFFF" w:themeFill="background1"/>
              <w:jc w:val="center"/>
              <w:rPr>
                <w:rFonts w:ascii="宋体" w:hAnsi="宋体" w:cs="宋体"/>
                <w:color w:val="auto"/>
                <w:highlight w:val="none"/>
              </w:rPr>
            </w:pPr>
          </w:p>
        </w:tc>
      </w:tr>
      <w:tr w14:paraId="5EAB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884E2DD">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6</w:t>
            </w:r>
          </w:p>
        </w:tc>
        <w:tc>
          <w:tcPr>
            <w:tcW w:w="1064" w:type="dxa"/>
            <w:vAlign w:val="center"/>
          </w:tcPr>
          <w:p w14:paraId="31254A76">
            <w:pPr>
              <w:pStyle w:val="59"/>
              <w:shd w:val="clear" w:fill="FFFFFF" w:themeFill="background1"/>
              <w:jc w:val="center"/>
              <w:rPr>
                <w:rFonts w:ascii="宋体" w:hAnsi="宋体" w:cs="宋体"/>
                <w:color w:val="auto"/>
                <w:highlight w:val="none"/>
              </w:rPr>
            </w:pPr>
          </w:p>
        </w:tc>
        <w:tc>
          <w:tcPr>
            <w:tcW w:w="1286" w:type="dxa"/>
          </w:tcPr>
          <w:p w14:paraId="24AB720C">
            <w:pPr>
              <w:pStyle w:val="59"/>
              <w:shd w:val="clear" w:fill="FFFFFF" w:themeFill="background1"/>
              <w:jc w:val="center"/>
              <w:rPr>
                <w:rFonts w:ascii="宋体" w:hAnsi="宋体" w:cs="宋体"/>
                <w:color w:val="auto"/>
                <w:highlight w:val="none"/>
              </w:rPr>
            </w:pPr>
          </w:p>
        </w:tc>
        <w:tc>
          <w:tcPr>
            <w:tcW w:w="1286" w:type="dxa"/>
          </w:tcPr>
          <w:p w14:paraId="3E6A2E61">
            <w:pPr>
              <w:pStyle w:val="59"/>
              <w:shd w:val="clear" w:fill="FFFFFF" w:themeFill="background1"/>
              <w:jc w:val="center"/>
              <w:rPr>
                <w:rFonts w:ascii="宋体" w:hAnsi="宋体" w:cs="宋体"/>
                <w:color w:val="auto"/>
                <w:highlight w:val="none"/>
              </w:rPr>
            </w:pPr>
          </w:p>
        </w:tc>
        <w:tc>
          <w:tcPr>
            <w:tcW w:w="936" w:type="dxa"/>
          </w:tcPr>
          <w:p w14:paraId="38D9B9F3">
            <w:pPr>
              <w:pStyle w:val="59"/>
              <w:shd w:val="clear" w:fill="FFFFFF" w:themeFill="background1"/>
              <w:jc w:val="center"/>
              <w:rPr>
                <w:rFonts w:ascii="宋体" w:hAnsi="宋体" w:cs="宋体"/>
                <w:color w:val="auto"/>
                <w:highlight w:val="none"/>
              </w:rPr>
            </w:pPr>
          </w:p>
        </w:tc>
        <w:tc>
          <w:tcPr>
            <w:tcW w:w="1034" w:type="dxa"/>
          </w:tcPr>
          <w:p w14:paraId="53E11FC8">
            <w:pPr>
              <w:pStyle w:val="59"/>
              <w:shd w:val="clear" w:fill="FFFFFF" w:themeFill="background1"/>
              <w:jc w:val="center"/>
              <w:rPr>
                <w:rFonts w:ascii="宋体" w:hAnsi="宋体" w:cs="宋体"/>
                <w:color w:val="auto"/>
                <w:highlight w:val="none"/>
              </w:rPr>
            </w:pPr>
          </w:p>
        </w:tc>
        <w:tc>
          <w:tcPr>
            <w:tcW w:w="936" w:type="dxa"/>
          </w:tcPr>
          <w:p w14:paraId="7A5F24EA">
            <w:pPr>
              <w:pStyle w:val="59"/>
              <w:shd w:val="clear" w:fill="FFFFFF" w:themeFill="background1"/>
              <w:jc w:val="center"/>
              <w:rPr>
                <w:rFonts w:ascii="宋体" w:hAnsi="宋体" w:cs="宋体"/>
                <w:color w:val="auto"/>
                <w:highlight w:val="none"/>
              </w:rPr>
            </w:pPr>
          </w:p>
        </w:tc>
        <w:tc>
          <w:tcPr>
            <w:tcW w:w="978" w:type="dxa"/>
          </w:tcPr>
          <w:p w14:paraId="1CF5535F">
            <w:pPr>
              <w:pStyle w:val="59"/>
              <w:shd w:val="clear" w:fill="FFFFFF" w:themeFill="background1"/>
              <w:jc w:val="center"/>
              <w:rPr>
                <w:rFonts w:ascii="宋体" w:hAnsi="宋体" w:cs="宋体"/>
                <w:color w:val="auto"/>
                <w:highlight w:val="none"/>
              </w:rPr>
            </w:pPr>
          </w:p>
        </w:tc>
        <w:tc>
          <w:tcPr>
            <w:tcW w:w="805" w:type="dxa"/>
          </w:tcPr>
          <w:p w14:paraId="49075BB7">
            <w:pPr>
              <w:pStyle w:val="59"/>
              <w:shd w:val="clear" w:fill="FFFFFF" w:themeFill="background1"/>
              <w:jc w:val="center"/>
              <w:rPr>
                <w:rFonts w:ascii="宋体" w:hAnsi="宋体" w:cs="宋体"/>
                <w:color w:val="auto"/>
                <w:highlight w:val="none"/>
              </w:rPr>
            </w:pPr>
          </w:p>
        </w:tc>
        <w:tc>
          <w:tcPr>
            <w:tcW w:w="805" w:type="dxa"/>
          </w:tcPr>
          <w:p w14:paraId="44E34612">
            <w:pPr>
              <w:pStyle w:val="59"/>
              <w:shd w:val="clear" w:fill="FFFFFF" w:themeFill="background1"/>
              <w:jc w:val="center"/>
              <w:rPr>
                <w:rFonts w:ascii="宋体" w:hAnsi="宋体" w:cs="宋体"/>
                <w:color w:val="auto"/>
                <w:highlight w:val="none"/>
              </w:rPr>
            </w:pPr>
          </w:p>
        </w:tc>
      </w:tr>
      <w:tr w14:paraId="22AE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41EE7516">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7</w:t>
            </w:r>
          </w:p>
        </w:tc>
        <w:tc>
          <w:tcPr>
            <w:tcW w:w="1064" w:type="dxa"/>
            <w:vAlign w:val="center"/>
          </w:tcPr>
          <w:p w14:paraId="78B4EFD7">
            <w:pPr>
              <w:pStyle w:val="59"/>
              <w:shd w:val="clear" w:fill="FFFFFF" w:themeFill="background1"/>
              <w:jc w:val="center"/>
              <w:rPr>
                <w:rFonts w:ascii="宋体" w:hAnsi="宋体" w:cs="宋体"/>
                <w:color w:val="auto"/>
                <w:highlight w:val="none"/>
              </w:rPr>
            </w:pPr>
          </w:p>
        </w:tc>
        <w:tc>
          <w:tcPr>
            <w:tcW w:w="1286" w:type="dxa"/>
          </w:tcPr>
          <w:p w14:paraId="39E4D1DF">
            <w:pPr>
              <w:pStyle w:val="59"/>
              <w:shd w:val="clear" w:fill="FFFFFF" w:themeFill="background1"/>
              <w:jc w:val="center"/>
              <w:rPr>
                <w:rFonts w:ascii="宋体" w:hAnsi="宋体" w:cs="宋体"/>
                <w:color w:val="auto"/>
                <w:highlight w:val="none"/>
              </w:rPr>
            </w:pPr>
          </w:p>
        </w:tc>
        <w:tc>
          <w:tcPr>
            <w:tcW w:w="1286" w:type="dxa"/>
          </w:tcPr>
          <w:p w14:paraId="48EBA339">
            <w:pPr>
              <w:pStyle w:val="59"/>
              <w:shd w:val="clear" w:fill="FFFFFF" w:themeFill="background1"/>
              <w:jc w:val="center"/>
              <w:rPr>
                <w:rFonts w:ascii="宋体" w:hAnsi="宋体" w:cs="宋体"/>
                <w:color w:val="auto"/>
                <w:highlight w:val="none"/>
              </w:rPr>
            </w:pPr>
          </w:p>
        </w:tc>
        <w:tc>
          <w:tcPr>
            <w:tcW w:w="936" w:type="dxa"/>
          </w:tcPr>
          <w:p w14:paraId="1E3526A4">
            <w:pPr>
              <w:pStyle w:val="59"/>
              <w:shd w:val="clear" w:fill="FFFFFF" w:themeFill="background1"/>
              <w:jc w:val="center"/>
              <w:rPr>
                <w:rFonts w:ascii="宋体" w:hAnsi="宋体" w:cs="宋体"/>
                <w:color w:val="auto"/>
                <w:highlight w:val="none"/>
              </w:rPr>
            </w:pPr>
          </w:p>
        </w:tc>
        <w:tc>
          <w:tcPr>
            <w:tcW w:w="1034" w:type="dxa"/>
          </w:tcPr>
          <w:p w14:paraId="38551197">
            <w:pPr>
              <w:pStyle w:val="59"/>
              <w:shd w:val="clear" w:fill="FFFFFF" w:themeFill="background1"/>
              <w:jc w:val="center"/>
              <w:rPr>
                <w:rFonts w:ascii="宋体" w:hAnsi="宋体" w:cs="宋体"/>
                <w:color w:val="auto"/>
                <w:highlight w:val="none"/>
              </w:rPr>
            </w:pPr>
          </w:p>
        </w:tc>
        <w:tc>
          <w:tcPr>
            <w:tcW w:w="936" w:type="dxa"/>
          </w:tcPr>
          <w:p w14:paraId="25749FB7">
            <w:pPr>
              <w:pStyle w:val="59"/>
              <w:shd w:val="clear" w:fill="FFFFFF" w:themeFill="background1"/>
              <w:jc w:val="center"/>
              <w:rPr>
                <w:rFonts w:ascii="宋体" w:hAnsi="宋体" w:cs="宋体"/>
                <w:color w:val="auto"/>
                <w:highlight w:val="none"/>
              </w:rPr>
            </w:pPr>
          </w:p>
        </w:tc>
        <w:tc>
          <w:tcPr>
            <w:tcW w:w="978" w:type="dxa"/>
          </w:tcPr>
          <w:p w14:paraId="0636AA2D">
            <w:pPr>
              <w:pStyle w:val="59"/>
              <w:shd w:val="clear" w:fill="FFFFFF" w:themeFill="background1"/>
              <w:jc w:val="center"/>
              <w:rPr>
                <w:rFonts w:ascii="宋体" w:hAnsi="宋体" w:cs="宋体"/>
                <w:color w:val="auto"/>
                <w:highlight w:val="none"/>
              </w:rPr>
            </w:pPr>
          </w:p>
        </w:tc>
        <w:tc>
          <w:tcPr>
            <w:tcW w:w="805" w:type="dxa"/>
          </w:tcPr>
          <w:p w14:paraId="71B084D4">
            <w:pPr>
              <w:pStyle w:val="59"/>
              <w:shd w:val="clear" w:fill="FFFFFF" w:themeFill="background1"/>
              <w:jc w:val="center"/>
              <w:rPr>
                <w:rFonts w:ascii="宋体" w:hAnsi="宋体" w:cs="宋体"/>
                <w:color w:val="auto"/>
                <w:highlight w:val="none"/>
              </w:rPr>
            </w:pPr>
          </w:p>
        </w:tc>
        <w:tc>
          <w:tcPr>
            <w:tcW w:w="805" w:type="dxa"/>
          </w:tcPr>
          <w:p w14:paraId="3D410513">
            <w:pPr>
              <w:pStyle w:val="59"/>
              <w:shd w:val="clear" w:fill="FFFFFF" w:themeFill="background1"/>
              <w:jc w:val="center"/>
              <w:rPr>
                <w:rFonts w:ascii="宋体" w:hAnsi="宋体" w:cs="宋体"/>
                <w:color w:val="auto"/>
                <w:highlight w:val="none"/>
              </w:rPr>
            </w:pPr>
          </w:p>
        </w:tc>
      </w:tr>
      <w:tr w14:paraId="3B76A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79EC18C7">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w:t>
            </w:r>
          </w:p>
        </w:tc>
        <w:tc>
          <w:tcPr>
            <w:tcW w:w="1064" w:type="dxa"/>
            <w:vAlign w:val="center"/>
          </w:tcPr>
          <w:p w14:paraId="20E1A3F8">
            <w:pPr>
              <w:pStyle w:val="59"/>
              <w:shd w:val="clear" w:fill="FFFFFF" w:themeFill="background1"/>
              <w:jc w:val="center"/>
              <w:rPr>
                <w:rFonts w:ascii="宋体" w:hAnsi="宋体" w:cs="宋体"/>
                <w:color w:val="auto"/>
                <w:highlight w:val="none"/>
              </w:rPr>
            </w:pPr>
          </w:p>
        </w:tc>
        <w:tc>
          <w:tcPr>
            <w:tcW w:w="1286" w:type="dxa"/>
          </w:tcPr>
          <w:p w14:paraId="1C6CCAD3">
            <w:pPr>
              <w:pStyle w:val="59"/>
              <w:shd w:val="clear" w:fill="FFFFFF" w:themeFill="background1"/>
              <w:jc w:val="center"/>
              <w:rPr>
                <w:rFonts w:ascii="宋体" w:hAnsi="宋体" w:cs="宋体"/>
                <w:color w:val="auto"/>
                <w:highlight w:val="none"/>
              </w:rPr>
            </w:pPr>
          </w:p>
        </w:tc>
        <w:tc>
          <w:tcPr>
            <w:tcW w:w="1286" w:type="dxa"/>
          </w:tcPr>
          <w:p w14:paraId="11EB8CCB">
            <w:pPr>
              <w:pStyle w:val="59"/>
              <w:shd w:val="clear" w:fill="FFFFFF" w:themeFill="background1"/>
              <w:jc w:val="center"/>
              <w:rPr>
                <w:rFonts w:ascii="宋体" w:hAnsi="宋体" w:cs="宋体"/>
                <w:color w:val="auto"/>
                <w:highlight w:val="none"/>
              </w:rPr>
            </w:pPr>
          </w:p>
        </w:tc>
        <w:tc>
          <w:tcPr>
            <w:tcW w:w="936" w:type="dxa"/>
          </w:tcPr>
          <w:p w14:paraId="600C80D9">
            <w:pPr>
              <w:pStyle w:val="59"/>
              <w:shd w:val="clear" w:fill="FFFFFF" w:themeFill="background1"/>
              <w:jc w:val="center"/>
              <w:rPr>
                <w:rFonts w:ascii="宋体" w:hAnsi="宋体" w:cs="宋体"/>
                <w:color w:val="auto"/>
                <w:highlight w:val="none"/>
              </w:rPr>
            </w:pPr>
          </w:p>
        </w:tc>
        <w:tc>
          <w:tcPr>
            <w:tcW w:w="1034" w:type="dxa"/>
          </w:tcPr>
          <w:p w14:paraId="182EB17E">
            <w:pPr>
              <w:pStyle w:val="59"/>
              <w:shd w:val="clear" w:fill="FFFFFF" w:themeFill="background1"/>
              <w:jc w:val="center"/>
              <w:rPr>
                <w:rFonts w:ascii="宋体" w:hAnsi="宋体" w:cs="宋体"/>
                <w:color w:val="auto"/>
                <w:highlight w:val="none"/>
              </w:rPr>
            </w:pPr>
          </w:p>
        </w:tc>
        <w:tc>
          <w:tcPr>
            <w:tcW w:w="936" w:type="dxa"/>
          </w:tcPr>
          <w:p w14:paraId="15DE577B">
            <w:pPr>
              <w:pStyle w:val="59"/>
              <w:shd w:val="clear" w:fill="FFFFFF" w:themeFill="background1"/>
              <w:jc w:val="center"/>
              <w:rPr>
                <w:rFonts w:ascii="宋体" w:hAnsi="宋体" w:cs="宋体"/>
                <w:color w:val="auto"/>
                <w:highlight w:val="none"/>
              </w:rPr>
            </w:pPr>
          </w:p>
        </w:tc>
        <w:tc>
          <w:tcPr>
            <w:tcW w:w="978" w:type="dxa"/>
          </w:tcPr>
          <w:p w14:paraId="1B86C854">
            <w:pPr>
              <w:pStyle w:val="59"/>
              <w:shd w:val="clear" w:fill="FFFFFF" w:themeFill="background1"/>
              <w:jc w:val="center"/>
              <w:rPr>
                <w:rFonts w:ascii="宋体" w:hAnsi="宋体" w:cs="宋体"/>
                <w:color w:val="auto"/>
                <w:highlight w:val="none"/>
              </w:rPr>
            </w:pPr>
          </w:p>
        </w:tc>
        <w:tc>
          <w:tcPr>
            <w:tcW w:w="805" w:type="dxa"/>
          </w:tcPr>
          <w:p w14:paraId="7CB1AA34">
            <w:pPr>
              <w:pStyle w:val="59"/>
              <w:shd w:val="clear" w:fill="FFFFFF" w:themeFill="background1"/>
              <w:jc w:val="center"/>
              <w:rPr>
                <w:rFonts w:ascii="宋体" w:hAnsi="宋体" w:cs="宋体"/>
                <w:color w:val="auto"/>
                <w:highlight w:val="none"/>
              </w:rPr>
            </w:pPr>
          </w:p>
        </w:tc>
        <w:tc>
          <w:tcPr>
            <w:tcW w:w="805" w:type="dxa"/>
          </w:tcPr>
          <w:p w14:paraId="64710B0A">
            <w:pPr>
              <w:pStyle w:val="59"/>
              <w:shd w:val="clear" w:fill="FFFFFF" w:themeFill="background1"/>
              <w:jc w:val="center"/>
              <w:rPr>
                <w:rFonts w:ascii="宋体" w:hAnsi="宋体" w:cs="宋体"/>
                <w:color w:val="auto"/>
                <w:highlight w:val="none"/>
              </w:rPr>
            </w:pPr>
          </w:p>
        </w:tc>
      </w:tr>
      <w:tr w14:paraId="1376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8" w:type="dxa"/>
            <w:gridSpan w:val="2"/>
            <w:vAlign w:val="center"/>
          </w:tcPr>
          <w:p w14:paraId="03A5E97E">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业绩合计</w:t>
            </w:r>
          </w:p>
        </w:tc>
        <w:tc>
          <w:tcPr>
            <w:tcW w:w="1286" w:type="dxa"/>
          </w:tcPr>
          <w:p w14:paraId="0F125068">
            <w:pPr>
              <w:pStyle w:val="59"/>
              <w:shd w:val="clear" w:fill="FFFFFF" w:themeFill="background1"/>
              <w:jc w:val="center"/>
              <w:rPr>
                <w:rFonts w:ascii="宋体" w:hAnsi="宋体" w:cs="宋体"/>
                <w:color w:val="auto"/>
                <w:highlight w:val="none"/>
              </w:rPr>
            </w:pPr>
          </w:p>
        </w:tc>
        <w:tc>
          <w:tcPr>
            <w:tcW w:w="1286" w:type="dxa"/>
          </w:tcPr>
          <w:p w14:paraId="3DB52800">
            <w:pPr>
              <w:pStyle w:val="59"/>
              <w:shd w:val="clear" w:fill="FFFFFF" w:themeFill="background1"/>
              <w:jc w:val="center"/>
              <w:rPr>
                <w:rFonts w:ascii="宋体" w:hAnsi="宋体" w:cs="宋体"/>
                <w:color w:val="auto"/>
                <w:highlight w:val="none"/>
              </w:rPr>
            </w:pPr>
          </w:p>
        </w:tc>
        <w:tc>
          <w:tcPr>
            <w:tcW w:w="936" w:type="dxa"/>
          </w:tcPr>
          <w:p w14:paraId="1E1FA19B">
            <w:pPr>
              <w:pStyle w:val="59"/>
              <w:shd w:val="clear" w:fill="FFFFFF" w:themeFill="background1"/>
              <w:jc w:val="center"/>
              <w:rPr>
                <w:rFonts w:ascii="宋体" w:hAnsi="宋体" w:cs="宋体"/>
                <w:color w:val="auto"/>
                <w:highlight w:val="none"/>
              </w:rPr>
            </w:pPr>
          </w:p>
        </w:tc>
        <w:tc>
          <w:tcPr>
            <w:tcW w:w="1034" w:type="dxa"/>
          </w:tcPr>
          <w:p w14:paraId="2624CF64">
            <w:pPr>
              <w:pStyle w:val="59"/>
              <w:shd w:val="clear" w:fill="FFFFFF" w:themeFill="background1"/>
              <w:jc w:val="center"/>
              <w:rPr>
                <w:rFonts w:ascii="宋体" w:hAnsi="宋体" w:cs="宋体"/>
                <w:color w:val="auto"/>
                <w:highlight w:val="none"/>
              </w:rPr>
            </w:pPr>
          </w:p>
        </w:tc>
        <w:tc>
          <w:tcPr>
            <w:tcW w:w="936" w:type="dxa"/>
          </w:tcPr>
          <w:p w14:paraId="7134EAFB">
            <w:pPr>
              <w:pStyle w:val="59"/>
              <w:shd w:val="clear" w:fill="FFFFFF" w:themeFill="background1"/>
              <w:jc w:val="center"/>
              <w:rPr>
                <w:rFonts w:ascii="宋体" w:hAnsi="宋体" w:cs="宋体"/>
                <w:color w:val="auto"/>
                <w:highlight w:val="none"/>
              </w:rPr>
            </w:pPr>
          </w:p>
        </w:tc>
        <w:tc>
          <w:tcPr>
            <w:tcW w:w="978" w:type="dxa"/>
          </w:tcPr>
          <w:p w14:paraId="15B6A787">
            <w:pPr>
              <w:pStyle w:val="59"/>
              <w:shd w:val="clear" w:fill="FFFFFF" w:themeFill="background1"/>
              <w:jc w:val="center"/>
              <w:rPr>
                <w:rFonts w:ascii="宋体" w:hAnsi="宋体" w:cs="宋体"/>
                <w:color w:val="auto"/>
                <w:highlight w:val="none"/>
              </w:rPr>
            </w:pPr>
          </w:p>
        </w:tc>
        <w:tc>
          <w:tcPr>
            <w:tcW w:w="805" w:type="dxa"/>
          </w:tcPr>
          <w:p w14:paraId="335841B4">
            <w:pPr>
              <w:pStyle w:val="59"/>
              <w:shd w:val="clear" w:fill="FFFFFF" w:themeFill="background1"/>
              <w:jc w:val="center"/>
              <w:rPr>
                <w:rFonts w:ascii="宋体" w:hAnsi="宋体" w:cs="宋体"/>
                <w:color w:val="auto"/>
                <w:highlight w:val="none"/>
              </w:rPr>
            </w:pPr>
          </w:p>
        </w:tc>
        <w:tc>
          <w:tcPr>
            <w:tcW w:w="805" w:type="dxa"/>
          </w:tcPr>
          <w:p w14:paraId="4EEEDC6C">
            <w:pPr>
              <w:pStyle w:val="59"/>
              <w:shd w:val="clear" w:fill="FFFFFF" w:themeFill="background1"/>
              <w:jc w:val="center"/>
              <w:rPr>
                <w:rFonts w:ascii="宋体" w:hAnsi="宋体" w:cs="宋体"/>
                <w:color w:val="auto"/>
                <w:highlight w:val="none"/>
              </w:rPr>
            </w:pPr>
          </w:p>
        </w:tc>
      </w:tr>
    </w:tbl>
    <w:p w14:paraId="2212F2E8">
      <w:pPr>
        <w:shd w:val="clear" w:fill="FFFFFF" w:themeFill="background1"/>
        <w:spacing w:line="360" w:lineRule="auto"/>
        <w:ind w:left="621" w:leftChars="-13" w:hanging="648" w:hangingChars="309"/>
        <w:rPr>
          <w:rFonts w:ascii="宋体" w:hAnsi="宋体" w:cs="宋体"/>
          <w:color w:val="auto"/>
          <w:sz w:val="24"/>
          <w:highlight w:val="none"/>
        </w:rPr>
      </w:pPr>
      <w:r>
        <w:rPr>
          <w:rFonts w:hint="eastAsia" w:ascii="宋体" w:hAnsi="宋体" w:cs="宋体"/>
          <w:color w:val="auto"/>
          <w:highlight w:val="none"/>
        </w:rPr>
        <w:t>注：业绩要求应符合投标人须知前附表 3.5.3、10.6 及 10.7 款的要求。</w:t>
      </w:r>
    </w:p>
    <w:p w14:paraId="2647C134">
      <w:pPr>
        <w:shd w:val="clear" w:fill="FFFFFF" w:themeFill="background1"/>
        <w:jc w:val="center"/>
        <w:rPr>
          <w:rFonts w:ascii="宋体" w:hAnsi="宋体" w:cs="宋体"/>
          <w:b/>
          <w:color w:val="auto"/>
          <w:sz w:val="28"/>
          <w:szCs w:val="28"/>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（五）投标人的信誉情况表</w:t>
      </w:r>
    </w:p>
    <w:p w14:paraId="38DEC6C2">
      <w:pPr>
        <w:shd w:val="clear" w:fill="FFFFFF" w:themeFill="background1"/>
        <w:spacing w:line="300" w:lineRule="exact"/>
        <w:rPr>
          <w:rFonts w:ascii="宋体" w:hAnsi="宋体" w:cs="宋体"/>
          <w:color w:val="auto"/>
          <w:sz w:val="24"/>
          <w:highlight w:val="none"/>
        </w:rPr>
      </w:pPr>
    </w:p>
    <w:tbl>
      <w:tblPr>
        <w:tblStyle w:val="4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gridCol w:w="4890"/>
      </w:tblGrid>
      <w:tr w14:paraId="0BC1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890" w:type="dxa"/>
            <w:vAlign w:val="center"/>
          </w:tcPr>
          <w:p w14:paraId="14E5152D">
            <w:pPr>
              <w:shd w:val="clear" w:fill="FFFFFF" w:themeFill="background1"/>
              <w:spacing w:line="300" w:lineRule="exact"/>
              <w:jc w:val="center"/>
              <w:rPr>
                <w:rFonts w:ascii="宋体" w:hAnsi="宋体" w:cs="宋体"/>
                <w:color w:val="auto"/>
                <w:sz w:val="24"/>
                <w:highlight w:val="none"/>
              </w:rPr>
            </w:pPr>
            <w:r>
              <w:rPr>
                <w:rFonts w:hint="eastAsia" w:ascii="宋体" w:hAnsi="宋体" w:cs="宋体"/>
                <w:color w:val="auto"/>
                <w:sz w:val="24"/>
                <w:highlight w:val="none"/>
              </w:rPr>
              <w:t>项  目</w:t>
            </w:r>
          </w:p>
        </w:tc>
        <w:tc>
          <w:tcPr>
            <w:tcW w:w="4890" w:type="dxa"/>
            <w:vAlign w:val="center"/>
          </w:tcPr>
          <w:p w14:paraId="1ED850E1">
            <w:pPr>
              <w:shd w:val="clear" w:fill="FFFFFF" w:themeFill="background1"/>
              <w:spacing w:line="300" w:lineRule="exact"/>
              <w:jc w:val="center"/>
              <w:rPr>
                <w:rFonts w:ascii="宋体" w:hAnsi="宋体" w:cs="宋体"/>
                <w:color w:val="auto"/>
                <w:sz w:val="24"/>
                <w:highlight w:val="none"/>
              </w:rPr>
            </w:pPr>
            <w:r>
              <w:rPr>
                <w:rFonts w:hint="eastAsia" w:ascii="宋体" w:hAnsi="宋体" w:cs="宋体"/>
                <w:color w:val="auto"/>
                <w:sz w:val="24"/>
                <w:highlight w:val="none"/>
              </w:rPr>
              <w:t>投标人情况说明</w:t>
            </w:r>
          </w:p>
        </w:tc>
      </w:tr>
      <w:tr w14:paraId="07E0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90" w:type="dxa"/>
            <w:vAlign w:val="center"/>
          </w:tcPr>
          <w:p w14:paraId="3D5FD4B8">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（1）在最新年度广东省公路工程从业单位（施工单位）信用评价（含无最新年度而上一年度有信用评价）中，信用等级被评为 D 级；初次进入广东省的投标人，在最新年度的全国公路从业单位（施工单位）信用评价结果中被评为 D 级；</w:t>
            </w:r>
          </w:p>
        </w:tc>
        <w:tc>
          <w:tcPr>
            <w:tcW w:w="4890" w:type="dxa"/>
            <w:vAlign w:val="center"/>
          </w:tcPr>
          <w:p w14:paraId="4D63E37F">
            <w:pPr>
              <w:shd w:val="clear" w:fill="FFFFFF" w:themeFill="background1"/>
              <w:spacing w:line="300" w:lineRule="exact"/>
              <w:jc w:val="center"/>
              <w:rPr>
                <w:rFonts w:ascii="宋体" w:hAnsi="宋体" w:cs="宋体"/>
                <w:color w:val="auto"/>
                <w:sz w:val="24"/>
                <w:highlight w:val="none"/>
              </w:rPr>
            </w:pPr>
          </w:p>
        </w:tc>
      </w:tr>
      <w:tr w14:paraId="665C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890" w:type="dxa"/>
            <w:vAlign w:val="center"/>
          </w:tcPr>
          <w:p w14:paraId="72A9E636">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（2）被省级及以上交通运输主管部门取消招标项目所在地的投标资格且处于有效期内；</w:t>
            </w:r>
          </w:p>
        </w:tc>
        <w:tc>
          <w:tcPr>
            <w:tcW w:w="4890" w:type="dxa"/>
            <w:vAlign w:val="center"/>
          </w:tcPr>
          <w:p w14:paraId="693B36DA">
            <w:pPr>
              <w:shd w:val="clear" w:fill="FFFFFF" w:themeFill="background1"/>
              <w:spacing w:line="300" w:lineRule="exact"/>
              <w:jc w:val="center"/>
              <w:rPr>
                <w:rFonts w:ascii="宋体" w:hAnsi="宋体" w:cs="宋体"/>
                <w:color w:val="auto"/>
                <w:sz w:val="24"/>
                <w:highlight w:val="none"/>
              </w:rPr>
            </w:pPr>
          </w:p>
        </w:tc>
      </w:tr>
      <w:tr w14:paraId="6BD9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90" w:type="dxa"/>
            <w:vAlign w:val="center"/>
          </w:tcPr>
          <w:p w14:paraId="4F26CCDE">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（3）被责令停业，暂扣或吊销执照，或吊销资质证书；</w:t>
            </w:r>
          </w:p>
        </w:tc>
        <w:tc>
          <w:tcPr>
            <w:tcW w:w="4890" w:type="dxa"/>
            <w:vAlign w:val="center"/>
          </w:tcPr>
          <w:p w14:paraId="70A1345C">
            <w:pPr>
              <w:shd w:val="clear" w:fill="FFFFFF" w:themeFill="background1"/>
              <w:spacing w:line="300" w:lineRule="exact"/>
              <w:jc w:val="center"/>
              <w:rPr>
                <w:rFonts w:ascii="宋体" w:hAnsi="宋体" w:cs="宋体"/>
                <w:color w:val="auto"/>
                <w:sz w:val="24"/>
                <w:highlight w:val="none"/>
              </w:rPr>
            </w:pPr>
          </w:p>
        </w:tc>
      </w:tr>
      <w:tr w14:paraId="0965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400411A6">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（4）进入清算程序，或被宣告破产，或其他丧失履约能力的情形；</w:t>
            </w:r>
          </w:p>
        </w:tc>
        <w:tc>
          <w:tcPr>
            <w:tcW w:w="4890" w:type="dxa"/>
            <w:vAlign w:val="center"/>
          </w:tcPr>
          <w:p w14:paraId="4ABCF34D">
            <w:pPr>
              <w:shd w:val="clear" w:fill="FFFFFF" w:themeFill="background1"/>
              <w:spacing w:line="300" w:lineRule="exact"/>
              <w:jc w:val="center"/>
              <w:rPr>
                <w:rFonts w:ascii="宋体" w:hAnsi="宋体" w:cs="宋体"/>
                <w:color w:val="auto"/>
                <w:sz w:val="24"/>
                <w:highlight w:val="none"/>
              </w:rPr>
            </w:pPr>
          </w:p>
        </w:tc>
      </w:tr>
      <w:tr w14:paraId="2A69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90" w:type="dxa"/>
            <w:vAlign w:val="center"/>
          </w:tcPr>
          <w:p w14:paraId="71BFBC22">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（5）在国家企业信用信息公示系统中被列入严重违法失信企业名单；</w:t>
            </w:r>
          </w:p>
        </w:tc>
        <w:tc>
          <w:tcPr>
            <w:tcW w:w="4890" w:type="dxa"/>
            <w:vAlign w:val="center"/>
          </w:tcPr>
          <w:p w14:paraId="7F0DD33A">
            <w:pPr>
              <w:shd w:val="clear" w:fill="FFFFFF" w:themeFill="background1"/>
              <w:spacing w:line="300" w:lineRule="exact"/>
              <w:jc w:val="center"/>
              <w:rPr>
                <w:rFonts w:ascii="宋体" w:hAnsi="宋体" w:cs="宋体"/>
                <w:color w:val="auto"/>
                <w:sz w:val="24"/>
                <w:highlight w:val="none"/>
              </w:rPr>
            </w:pPr>
          </w:p>
        </w:tc>
      </w:tr>
      <w:tr w14:paraId="6633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890" w:type="dxa"/>
            <w:vAlign w:val="center"/>
          </w:tcPr>
          <w:p w14:paraId="1470A4E8">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（6）在“信用中国”网站中被列入失信被执行人名单；</w:t>
            </w:r>
          </w:p>
        </w:tc>
        <w:tc>
          <w:tcPr>
            <w:tcW w:w="4890" w:type="dxa"/>
            <w:vAlign w:val="center"/>
          </w:tcPr>
          <w:p w14:paraId="1FAA46D3">
            <w:pPr>
              <w:shd w:val="clear" w:fill="FFFFFF" w:themeFill="background1"/>
              <w:spacing w:line="300" w:lineRule="exact"/>
              <w:jc w:val="center"/>
              <w:rPr>
                <w:rFonts w:ascii="宋体" w:hAnsi="宋体" w:cs="宋体"/>
                <w:color w:val="auto"/>
                <w:sz w:val="24"/>
                <w:highlight w:val="none"/>
              </w:rPr>
            </w:pPr>
          </w:p>
        </w:tc>
      </w:tr>
      <w:tr w14:paraId="2FC7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0" w:type="dxa"/>
            <w:vAlign w:val="center"/>
          </w:tcPr>
          <w:p w14:paraId="40C89ECB">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（7）投标人及其法定代表人、拟委任的项目经理（以及备选人，如有）、项目总工（以及备选人，如有）在近三年内有行贿犯罪行为的（以投标人投标函中的承诺为准）；</w:t>
            </w:r>
          </w:p>
        </w:tc>
        <w:tc>
          <w:tcPr>
            <w:tcW w:w="4890" w:type="dxa"/>
            <w:vAlign w:val="center"/>
          </w:tcPr>
          <w:p w14:paraId="7451FF96">
            <w:pPr>
              <w:shd w:val="clear" w:fill="FFFFFF" w:themeFill="background1"/>
              <w:spacing w:line="300" w:lineRule="exact"/>
              <w:jc w:val="center"/>
              <w:rPr>
                <w:rFonts w:ascii="宋体" w:hAnsi="宋体" w:cs="宋体"/>
                <w:color w:val="auto"/>
                <w:sz w:val="24"/>
                <w:highlight w:val="none"/>
              </w:rPr>
            </w:pPr>
          </w:p>
        </w:tc>
      </w:tr>
      <w:tr w14:paraId="050C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890" w:type="dxa"/>
            <w:vAlign w:val="center"/>
          </w:tcPr>
          <w:p w14:paraId="6F519B48">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（8）法律法规或投标人须知前附表规定的其他情形。</w:t>
            </w:r>
          </w:p>
        </w:tc>
        <w:tc>
          <w:tcPr>
            <w:tcW w:w="4890" w:type="dxa"/>
            <w:vAlign w:val="center"/>
          </w:tcPr>
          <w:p w14:paraId="740E76C0">
            <w:pPr>
              <w:shd w:val="clear" w:fill="FFFFFF" w:themeFill="background1"/>
              <w:spacing w:line="300" w:lineRule="exact"/>
              <w:jc w:val="center"/>
              <w:rPr>
                <w:rFonts w:ascii="宋体" w:hAnsi="宋体" w:cs="宋体"/>
                <w:color w:val="auto"/>
                <w:sz w:val="24"/>
                <w:highlight w:val="none"/>
              </w:rPr>
            </w:pPr>
          </w:p>
        </w:tc>
      </w:tr>
      <w:tr w14:paraId="3974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294CCD8E">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w:t>
            </w:r>
          </w:p>
        </w:tc>
        <w:tc>
          <w:tcPr>
            <w:tcW w:w="4890" w:type="dxa"/>
            <w:vAlign w:val="center"/>
          </w:tcPr>
          <w:p w14:paraId="2B86A6D2">
            <w:pPr>
              <w:shd w:val="clear" w:fill="FFFFFF" w:themeFill="background1"/>
              <w:spacing w:line="300" w:lineRule="exact"/>
              <w:jc w:val="center"/>
              <w:rPr>
                <w:rFonts w:ascii="宋体" w:hAnsi="宋体" w:cs="宋体"/>
                <w:color w:val="auto"/>
                <w:sz w:val="24"/>
                <w:highlight w:val="none"/>
              </w:rPr>
            </w:pPr>
          </w:p>
        </w:tc>
      </w:tr>
    </w:tbl>
    <w:p w14:paraId="3B5E0973">
      <w:pPr>
        <w:shd w:val="clear" w:fill="FFFFFF" w:themeFill="background1"/>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注：1.投标人应按照招标文件第二章“投标人须知”前附表附录 4 和“投标人须知”第</w:t>
      </w:r>
    </w:p>
    <w:p w14:paraId="6C8F87DD">
      <w:pPr>
        <w:shd w:val="clear" w:fill="FFFFFF" w:themeFill="background1"/>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1.4.4 条款号中的各项规定，逐条说明其信誉情况。</w:t>
      </w:r>
    </w:p>
    <w:p w14:paraId="700EB6D1">
      <w:pPr>
        <w:shd w:val="clear" w:fill="FFFFFF" w:themeFill="background1"/>
        <w:spacing w:line="360" w:lineRule="auto"/>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2.投标人应根据招标文件第二章“投标人须知”第 3.5.4 项的要求在本表后附相关</w:t>
      </w:r>
    </w:p>
    <w:p w14:paraId="6A454BD2">
      <w:pPr>
        <w:shd w:val="clear" w:fill="FFFFFF" w:themeFill="background1"/>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证明材料。</w:t>
      </w:r>
    </w:p>
    <w:p w14:paraId="2521247C">
      <w:pPr>
        <w:shd w:val="clear" w:fill="FFFFFF" w:themeFill="background1"/>
        <w:spacing w:line="360" w:lineRule="auto"/>
        <w:ind w:left="719" w:leftChars="228" w:hanging="240" w:hangingChars="100"/>
        <w:rPr>
          <w:rFonts w:ascii="宋体" w:hAnsi="宋体" w:cs="宋体"/>
          <w:color w:val="auto"/>
          <w:sz w:val="24"/>
          <w:highlight w:val="none"/>
        </w:rPr>
      </w:pPr>
    </w:p>
    <w:p w14:paraId="3D30BF10">
      <w:pPr>
        <w:shd w:val="clear" w:fill="FFFFFF" w:themeFill="background1"/>
        <w:spacing w:line="360" w:lineRule="auto"/>
        <w:ind w:left="643" w:leftChars="226" w:hanging="168" w:hangingChars="70"/>
        <w:rPr>
          <w:rFonts w:ascii="宋体" w:hAnsi="宋体" w:cs="宋体"/>
          <w:color w:val="auto"/>
          <w:sz w:val="24"/>
          <w:highlight w:val="none"/>
        </w:rPr>
      </w:pPr>
    </w:p>
    <w:p w14:paraId="5F247953">
      <w:pPr>
        <w:shd w:val="clear" w:fill="FFFFFF" w:themeFill="background1"/>
        <w:spacing w:line="300" w:lineRule="exact"/>
        <w:rPr>
          <w:rFonts w:ascii="宋体" w:hAnsi="宋体" w:cs="宋体"/>
          <w:color w:val="auto"/>
          <w:sz w:val="24"/>
          <w:highlight w:val="none"/>
        </w:rPr>
        <w:sectPr>
          <w:footerReference r:id="rId16" w:type="first"/>
          <w:footerReference r:id="rId15" w:type="default"/>
          <w:footnotePr>
            <w:numFmt w:val="decimalEnclosedCircleChinese"/>
          </w:footnotePr>
          <w:pgSz w:w="11906" w:h="16838"/>
          <w:pgMar w:top="1038" w:right="924" w:bottom="936" w:left="1418" w:header="624" w:footer="590" w:gutter="0"/>
          <w:cols w:space="720" w:num="1"/>
          <w:docGrid w:type="lines" w:linePitch="312" w:charSpace="0"/>
        </w:sectPr>
      </w:pPr>
    </w:p>
    <w:p w14:paraId="315CA699">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（六）拟委任的项目经理和项目总工情况表</w:t>
      </w:r>
    </w:p>
    <w:p w14:paraId="6F102B08">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（六）-1拟委任的项目经理和项目总工汇总表</w:t>
      </w:r>
    </w:p>
    <w:p w14:paraId="0B475115">
      <w:pPr>
        <w:pStyle w:val="55"/>
        <w:shd w:val="clear" w:fill="FFFFFF" w:themeFill="background1"/>
        <w:rPr>
          <w:rFonts w:ascii="宋体" w:hAnsi="宋体" w:cs="宋体"/>
          <w:b/>
          <w:color w:val="auto"/>
          <w:highlight w:val="none"/>
        </w:rPr>
      </w:pP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7"/>
        <w:gridCol w:w="1397"/>
        <w:gridCol w:w="1397"/>
        <w:gridCol w:w="1398"/>
      </w:tblGrid>
      <w:tr w14:paraId="457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270847FC">
            <w:pPr>
              <w:shd w:val="clear" w:fill="FFFFFF" w:themeFill="background1"/>
              <w:jc w:val="center"/>
              <w:rPr>
                <w:color w:val="auto"/>
                <w:sz w:val="24"/>
                <w:highlight w:val="none"/>
              </w:rPr>
            </w:pPr>
            <w:r>
              <w:rPr>
                <w:rFonts w:hint="eastAsia"/>
                <w:color w:val="auto"/>
                <w:sz w:val="24"/>
                <w:highlight w:val="none"/>
              </w:rPr>
              <w:t>姓名</w:t>
            </w:r>
          </w:p>
        </w:tc>
        <w:tc>
          <w:tcPr>
            <w:tcW w:w="1397" w:type="dxa"/>
            <w:vAlign w:val="center"/>
          </w:tcPr>
          <w:p w14:paraId="72B24271">
            <w:pPr>
              <w:shd w:val="clear" w:fill="FFFFFF" w:themeFill="background1"/>
              <w:jc w:val="center"/>
              <w:rPr>
                <w:color w:val="auto"/>
                <w:sz w:val="24"/>
                <w:highlight w:val="none"/>
              </w:rPr>
            </w:pPr>
            <w:r>
              <w:rPr>
                <w:rFonts w:hint="eastAsia"/>
                <w:color w:val="auto"/>
                <w:sz w:val="24"/>
                <w:highlight w:val="none"/>
              </w:rPr>
              <w:t>年龄</w:t>
            </w:r>
          </w:p>
        </w:tc>
        <w:tc>
          <w:tcPr>
            <w:tcW w:w="1397" w:type="dxa"/>
            <w:vAlign w:val="center"/>
          </w:tcPr>
          <w:p w14:paraId="7BF22BCF">
            <w:pPr>
              <w:shd w:val="clear" w:fill="FFFFFF" w:themeFill="background1"/>
              <w:jc w:val="center"/>
              <w:rPr>
                <w:color w:val="auto"/>
                <w:sz w:val="24"/>
                <w:highlight w:val="none"/>
              </w:rPr>
            </w:pPr>
            <w:r>
              <w:rPr>
                <w:rFonts w:hint="eastAsia"/>
                <w:color w:val="auto"/>
                <w:sz w:val="24"/>
                <w:highlight w:val="none"/>
              </w:rPr>
              <w:t>拟在本项目中担任的职务</w:t>
            </w:r>
          </w:p>
        </w:tc>
        <w:tc>
          <w:tcPr>
            <w:tcW w:w="1397" w:type="dxa"/>
            <w:vAlign w:val="center"/>
          </w:tcPr>
          <w:p w14:paraId="65117771">
            <w:pPr>
              <w:shd w:val="clear" w:fill="FFFFFF" w:themeFill="background1"/>
              <w:jc w:val="center"/>
              <w:rPr>
                <w:color w:val="auto"/>
                <w:sz w:val="24"/>
                <w:highlight w:val="none"/>
              </w:rPr>
            </w:pPr>
            <w:r>
              <w:rPr>
                <w:rFonts w:hint="eastAsia"/>
                <w:color w:val="auto"/>
                <w:sz w:val="24"/>
                <w:highlight w:val="none"/>
              </w:rPr>
              <w:t>技术</w:t>
            </w:r>
          </w:p>
          <w:p w14:paraId="417EFD85">
            <w:pPr>
              <w:shd w:val="clear" w:fill="FFFFFF" w:themeFill="background1"/>
              <w:jc w:val="center"/>
              <w:rPr>
                <w:color w:val="auto"/>
                <w:sz w:val="24"/>
                <w:highlight w:val="none"/>
              </w:rPr>
            </w:pPr>
            <w:r>
              <w:rPr>
                <w:rFonts w:hint="eastAsia"/>
                <w:color w:val="auto"/>
                <w:sz w:val="24"/>
                <w:highlight w:val="none"/>
              </w:rPr>
              <w:t>职称</w:t>
            </w:r>
          </w:p>
        </w:tc>
        <w:tc>
          <w:tcPr>
            <w:tcW w:w="1397" w:type="dxa"/>
            <w:vAlign w:val="center"/>
          </w:tcPr>
          <w:p w14:paraId="7EB81427">
            <w:pPr>
              <w:shd w:val="clear" w:fill="FFFFFF" w:themeFill="background1"/>
              <w:jc w:val="center"/>
              <w:rPr>
                <w:color w:val="auto"/>
                <w:sz w:val="24"/>
                <w:highlight w:val="none"/>
              </w:rPr>
            </w:pPr>
            <w:r>
              <w:rPr>
                <w:rFonts w:hint="eastAsia"/>
                <w:color w:val="auto"/>
                <w:sz w:val="24"/>
                <w:highlight w:val="none"/>
              </w:rPr>
              <w:t>建造师类别及注册号</w:t>
            </w:r>
          </w:p>
        </w:tc>
        <w:tc>
          <w:tcPr>
            <w:tcW w:w="1397" w:type="dxa"/>
            <w:vAlign w:val="center"/>
          </w:tcPr>
          <w:p w14:paraId="109105CA">
            <w:pPr>
              <w:shd w:val="clear" w:fill="FFFFFF" w:themeFill="background1"/>
              <w:jc w:val="center"/>
              <w:rPr>
                <w:color w:val="auto"/>
                <w:sz w:val="24"/>
                <w:highlight w:val="none"/>
              </w:rPr>
            </w:pPr>
            <w:r>
              <w:rPr>
                <w:rFonts w:hint="eastAsia"/>
                <w:color w:val="auto"/>
                <w:sz w:val="24"/>
                <w:highlight w:val="none"/>
              </w:rPr>
              <w:t>累计对应岗位的工作年限（月）</w:t>
            </w:r>
          </w:p>
        </w:tc>
        <w:tc>
          <w:tcPr>
            <w:tcW w:w="1398" w:type="dxa"/>
            <w:vAlign w:val="center"/>
          </w:tcPr>
          <w:p w14:paraId="3B271580">
            <w:pPr>
              <w:shd w:val="clear" w:fill="FFFFFF" w:themeFill="background1"/>
              <w:jc w:val="center"/>
              <w:rPr>
                <w:color w:val="auto"/>
                <w:sz w:val="24"/>
                <w:highlight w:val="none"/>
              </w:rPr>
            </w:pPr>
            <w:r>
              <w:rPr>
                <w:rFonts w:hint="eastAsia"/>
                <w:color w:val="auto"/>
                <w:sz w:val="24"/>
                <w:highlight w:val="none"/>
              </w:rPr>
              <w:t>备注</w:t>
            </w:r>
          </w:p>
        </w:tc>
      </w:tr>
      <w:tr w14:paraId="1659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26C59CA3">
            <w:pPr>
              <w:pStyle w:val="55"/>
              <w:shd w:val="clear" w:fill="FFFFFF" w:themeFill="background1"/>
              <w:rPr>
                <w:rFonts w:ascii="宋体" w:hAnsi="宋体" w:cs="宋体"/>
                <w:b/>
                <w:color w:val="auto"/>
                <w:highlight w:val="none"/>
              </w:rPr>
            </w:pPr>
          </w:p>
        </w:tc>
        <w:tc>
          <w:tcPr>
            <w:tcW w:w="1397" w:type="dxa"/>
          </w:tcPr>
          <w:p w14:paraId="186DBEB9">
            <w:pPr>
              <w:pStyle w:val="55"/>
              <w:shd w:val="clear" w:fill="FFFFFF" w:themeFill="background1"/>
              <w:rPr>
                <w:rFonts w:ascii="宋体" w:hAnsi="宋体" w:cs="宋体"/>
                <w:b/>
                <w:color w:val="auto"/>
                <w:highlight w:val="none"/>
              </w:rPr>
            </w:pPr>
          </w:p>
        </w:tc>
        <w:tc>
          <w:tcPr>
            <w:tcW w:w="1397" w:type="dxa"/>
          </w:tcPr>
          <w:p w14:paraId="77D4BA93">
            <w:pPr>
              <w:pStyle w:val="55"/>
              <w:shd w:val="clear" w:fill="FFFFFF" w:themeFill="background1"/>
              <w:rPr>
                <w:rFonts w:ascii="宋体" w:hAnsi="宋体" w:cs="宋体"/>
                <w:b/>
                <w:color w:val="auto"/>
                <w:highlight w:val="none"/>
              </w:rPr>
            </w:pPr>
          </w:p>
        </w:tc>
        <w:tc>
          <w:tcPr>
            <w:tcW w:w="1397" w:type="dxa"/>
          </w:tcPr>
          <w:p w14:paraId="73FC3F6B">
            <w:pPr>
              <w:pStyle w:val="55"/>
              <w:shd w:val="clear" w:fill="FFFFFF" w:themeFill="background1"/>
              <w:rPr>
                <w:rFonts w:ascii="宋体" w:hAnsi="宋体" w:cs="宋体"/>
                <w:b/>
                <w:color w:val="auto"/>
                <w:highlight w:val="none"/>
              </w:rPr>
            </w:pPr>
          </w:p>
        </w:tc>
        <w:tc>
          <w:tcPr>
            <w:tcW w:w="1397" w:type="dxa"/>
          </w:tcPr>
          <w:p w14:paraId="3F059D24">
            <w:pPr>
              <w:pStyle w:val="55"/>
              <w:shd w:val="clear" w:fill="FFFFFF" w:themeFill="background1"/>
              <w:rPr>
                <w:rFonts w:ascii="宋体" w:hAnsi="宋体" w:cs="宋体"/>
                <w:b/>
                <w:color w:val="auto"/>
                <w:highlight w:val="none"/>
              </w:rPr>
            </w:pPr>
          </w:p>
        </w:tc>
        <w:tc>
          <w:tcPr>
            <w:tcW w:w="1397" w:type="dxa"/>
          </w:tcPr>
          <w:p w14:paraId="7198F2D1">
            <w:pPr>
              <w:pStyle w:val="55"/>
              <w:shd w:val="clear" w:fill="FFFFFF" w:themeFill="background1"/>
              <w:rPr>
                <w:rFonts w:ascii="宋体" w:hAnsi="宋体" w:cs="宋体"/>
                <w:b/>
                <w:color w:val="auto"/>
                <w:highlight w:val="none"/>
              </w:rPr>
            </w:pPr>
          </w:p>
        </w:tc>
        <w:tc>
          <w:tcPr>
            <w:tcW w:w="1398" w:type="dxa"/>
          </w:tcPr>
          <w:p w14:paraId="50583EC7">
            <w:pPr>
              <w:pStyle w:val="55"/>
              <w:shd w:val="clear" w:fill="FFFFFF" w:themeFill="background1"/>
              <w:rPr>
                <w:rFonts w:ascii="宋体" w:hAnsi="宋体" w:cs="宋体"/>
                <w:b/>
                <w:color w:val="auto"/>
                <w:highlight w:val="none"/>
              </w:rPr>
            </w:pPr>
          </w:p>
        </w:tc>
      </w:tr>
      <w:tr w14:paraId="2FE0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11EEF260">
            <w:pPr>
              <w:pStyle w:val="55"/>
              <w:shd w:val="clear" w:fill="FFFFFF" w:themeFill="background1"/>
              <w:rPr>
                <w:rFonts w:ascii="宋体" w:hAnsi="宋体" w:cs="宋体"/>
                <w:b/>
                <w:color w:val="auto"/>
                <w:highlight w:val="none"/>
              </w:rPr>
            </w:pPr>
          </w:p>
        </w:tc>
        <w:tc>
          <w:tcPr>
            <w:tcW w:w="1397" w:type="dxa"/>
          </w:tcPr>
          <w:p w14:paraId="795B6AB4">
            <w:pPr>
              <w:pStyle w:val="55"/>
              <w:shd w:val="clear" w:fill="FFFFFF" w:themeFill="background1"/>
              <w:rPr>
                <w:rFonts w:ascii="宋体" w:hAnsi="宋体" w:cs="宋体"/>
                <w:b/>
                <w:color w:val="auto"/>
                <w:highlight w:val="none"/>
              </w:rPr>
            </w:pPr>
          </w:p>
        </w:tc>
        <w:tc>
          <w:tcPr>
            <w:tcW w:w="1397" w:type="dxa"/>
          </w:tcPr>
          <w:p w14:paraId="34F6B918">
            <w:pPr>
              <w:pStyle w:val="55"/>
              <w:shd w:val="clear" w:fill="FFFFFF" w:themeFill="background1"/>
              <w:rPr>
                <w:rFonts w:ascii="宋体" w:hAnsi="宋体" w:cs="宋体"/>
                <w:b/>
                <w:color w:val="auto"/>
                <w:highlight w:val="none"/>
              </w:rPr>
            </w:pPr>
          </w:p>
        </w:tc>
        <w:tc>
          <w:tcPr>
            <w:tcW w:w="1397" w:type="dxa"/>
          </w:tcPr>
          <w:p w14:paraId="76476CBC">
            <w:pPr>
              <w:pStyle w:val="55"/>
              <w:shd w:val="clear" w:fill="FFFFFF" w:themeFill="background1"/>
              <w:rPr>
                <w:rFonts w:ascii="宋体" w:hAnsi="宋体" w:cs="宋体"/>
                <w:b/>
                <w:color w:val="auto"/>
                <w:highlight w:val="none"/>
              </w:rPr>
            </w:pPr>
          </w:p>
        </w:tc>
        <w:tc>
          <w:tcPr>
            <w:tcW w:w="1397" w:type="dxa"/>
          </w:tcPr>
          <w:p w14:paraId="4B7B13F8">
            <w:pPr>
              <w:pStyle w:val="55"/>
              <w:shd w:val="clear" w:fill="FFFFFF" w:themeFill="background1"/>
              <w:rPr>
                <w:rFonts w:ascii="宋体" w:hAnsi="宋体" w:cs="宋体"/>
                <w:b/>
                <w:color w:val="auto"/>
                <w:highlight w:val="none"/>
              </w:rPr>
            </w:pPr>
          </w:p>
        </w:tc>
        <w:tc>
          <w:tcPr>
            <w:tcW w:w="1397" w:type="dxa"/>
          </w:tcPr>
          <w:p w14:paraId="4F8F751C">
            <w:pPr>
              <w:pStyle w:val="55"/>
              <w:shd w:val="clear" w:fill="FFFFFF" w:themeFill="background1"/>
              <w:rPr>
                <w:rFonts w:ascii="宋体" w:hAnsi="宋体" w:cs="宋体"/>
                <w:b/>
                <w:color w:val="auto"/>
                <w:highlight w:val="none"/>
              </w:rPr>
            </w:pPr>
          </w:p>
        </w:tc>
        <w:tc>
          <w:tcPr>
            <w:tcW w:w="1398" w:type="dxa"/>
          </w:tcPr>
          <w:p w14:paraId="552B0DEC">
            <w:pPr>
              <w:pStyle w:val="55"/>
              <w:shd w:val="clear" w:fill="FFFFFF" w:themeFill="background1"/>
              <w:rPr>
                <w:rFonts w:ascii="宋体" w:hAnsi="宋体" w:cs="宋体"/>
                <w:b/>
                <w:color w:val="auto"/>
                <w:highlight w:val="none"/>
              </w:rPr>
            </w:pPr>
          </w:p>
        </w:tc>
      </w:tr>
      <w:tr w14:paraId="072F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1A286529">
            <w:pPr>
              <w:pStyle w:val="55"/>
              <w:shd w:val="clear" w:fill="FFFFFF" w:themeFill="background1"/>
              <w:rPr>
                <w:rFonts w:ascii="宋体" w:hAnsi="宋体" w:cs="宋体"/>
                <w:b/>
                <w:color w:val="auto"/>
                <w:highlight w:val="none"/>
              </w:rPr>
            </w:pPr>
          </w:p>
        </w:tc>
        <w:tc>
          <w:tcPr>
            <w:tcW w:w="1397" w:type="dxa"/>
          </w:tcPr>
          <w:p w14:paraId="0BF1E398">
            <w:pPr>
              <w:pStyle w:val="55"/>
              <w:shd w:val="clear" w:fill="FFFFFF" w:themeFill="background1"/>
              <w:rPr>
                <w:rFonts w:ascii="宋体" w:hAnsi="宋体" w:cs="宋体"/>
                <w:b/>
                <w:color w:val="auto"/>
                <w:highlight w:val="none"/>
              </w:rPr>
            </w:pPr>
          </w:p>
        </w:tc>
        <w:tc>
          <w:tcPr>
            <w:tcW w:w="1397" w:type="dxa"/>
          </w:tcPr>
          <w:p w14:paraId="3DBA68C9">
            <w:pPr>
              <w:pStyle w:val="55"/>
              <w:shd w:val="clear" w:fill="FFFFFF" w:themeFill="background1"/>
              <w:rPr>
                <w:rFonts w:ascii="宋体" w:hAnsi="宋体" w:cs="宋体"/>
                <w:b/>
                <w:color w:val="auto"/>
                <w:highlight w:val="none"/>
              </w:rPr>
            </w:pPr>
          </w:p>
        </w:tc>
        <w:tc>
          <w:tcPr>
            <w:tcW w:w="1397" w:type="dxa"/>
          </w:tcPr>
          <w:p w14:paraId="7DDD9D5C">
            <w:pPr>
              <w:pStyle w:val="55"/>
              <w:shd w:val="clear" w:fill="FFFFFF" w:themeFill="background1"/>
              <w:rPr>
                <w:rFonts w:ascii="宋体" w:hAnsi="宋体" w:cs="宋体"/>
                <w:b/>
                <w:color w:val="auto"/>
                <w:highlight w:val="none"/>
              </w:rPr>
            </w:pPr>
          </w:p>
        </w:tc>
        <w:tc>
          <w:tcPr>
            <w:tcW w:w="1397" w:type="dxa"/>
          </w:tcPr>
          <w:p w14:paraId="541D1B8D">
            <w:pPr>
              <w:pStyle w:val="55"/>
              <w:shd w:val="clear" w:fill="FFFFFF" w:themeFill="background1"/>
              <w:rPr>
                <w:rFonts w:ascii="宋体" w:hAnsi="宋体" w:cs="宋体"/>
                <w:b/>
                <w:color w:val="auto"/>
                <w:highlight w:val="none"/>
              </w:rPr>
            </w:pPr>
          </w:p>
        </w:tc>
        <w:tc>
          <w:tcPr>
            <w:tcW w:w="1397" w:type="dxa"/>
          </w:tcPr>
          <w:p w14:paraId="21349711">
            <w:pPr>
              <w:pStyle w:val="55"/>
              <w:shd w:val="clear" w:fill="FFFFFF" w:themeFill="background1"/>
              <w:rPr>
                <w:rFonts w:ascii="宋体" w:hAnsi="宋体" w:cs="宋体"/>
                <w:b/>
                <w:color w:val="auto"/>
                <w:highlight w:val="none"/>
              </w:rPr>
            </w:pPr>
          </w:p>
        </w:tc>
        <w:tc>
          <w:tcPr>
            <w:tcW w:w="1398" w:type="dxa"/>
          </w:tcPr>
          <w:p w14:paraId="2233E0D7">
            <w:pPr>
              <w:pStyle w:val="55"/>
              <w:shd w:val="clear" w:fill="FFFFFF" w:themeFill="background1"/>
              <w:rPr>
                <w:rFonts w:ascii="宋体" w:hAnsi="宋体" w:cs="宋体"/>
                <w:b/>
                <w:color w:val="auto"/>
                <w:highlight w:val="none"/>
              </w:rPr>
            </w:pPr>
          </w:p>
        </w:tc>
      </w:tr>
      <w:tr w14:paraId="4587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1F6C2D05">
            <w:pPr>
              <w:pStyle w:val="55"/>
              <w:shd w:val="clear" w:fill="FFFFFF" w:themeFill="background1"/>
              <w:rPr>
                <w:rFonts w:ascii="宋体" w:hAnsi="宋体" w:cs="宋体"/>
                <w:b/>
                <w:color w:val="auto"/>
                <w:highlight w:val="none"/>
              </w:rPr>
            </w:pPr>
          </w:p>
        </w:tc>
        <w:tc>
          <w:tcPr>
            <w:tcW w:w="1397" w:type="dxa"/>
          </w:tcPr>
          <w:p w14:paraId="3BCC1168">
            <w:pPr>
              <w:pStyle w:val="55"/>
              <w:shd w:val="clear" w:fill="FFFFFF" w:themeFill="background1"/>
              <w:rPr>
                <w:rFonts w:ascii="宋体" w:hAnsi="宋体" w:cs="宋体"/>
                <w:b/>
                <w:color w:val="auto"/>
                <w:highlight w:val="none"/>
              </w:rPr>
            </w:pPr>
          </w:p>
        </w:tc>
        <w:tc>
          <w:tcPr>
            <w:tcW w:w="1397" w:type="dxa"/>
          </w:tcPr>
          <w:p w14:paraId="0CEDD0C4">
            <w:pPr>
              <w:pStyle w:val="55"/>
              <w:shd w:val="clear" w:fill="FFFFFF" w:themeFill="background1"/>
              <w:rPr>
                <w:rFonts w:ascii="宋体" w:hAnsi="宋体" w:cs="宋体"/>
                <w:b/>
                <w:color w:val="auto"/>
                <w:highlight w:val="none"/>
              </w:rPr>
            </w:pPr>
          </w:p>
        </w:tc>
        <w:tc>
          <w:tcPr>
            <w:tcW w:w="1397" w:type="dxa"/>
          </w:tcPr>
          <w:p w14:paraId="04D5D10C">
            <w:pPr>
              <w:pStyle w:val="55"/>
              <w:shd w:val="clear" w:fill="FFFFFF" w:themeFill="background1"/>
              <w:rPr>
                <w:rFonts w:ascii="宋体" w:hAnsi="宋体" w:cs="宋体"/>
                <w:b/>
                <w:color w:val="auto"/>
                <w:highlight w:val="none"/>
              </w:rPr>
            </w:pPr>
          </w:p>
        </w:tc>
        <w:tc>
          <w:tcPr>
            <w:tcW w:w="1397" w:type="dxa"/>
          </w:tcPr>
          <w:p w14:paraId="04FF4EE1">
            <w:pPr>
              <w:pStyle w:val="55"/>
              <w:shd w:val="clear" w:fill="FFFFFF" w:themeFill="background1"/>
              <w:rPr>
                <w:rFonts w:ascii="宋体" w:hAnsi="宋体" w:cs="宋体"/>
                <w:b/>
                <w:color w:val="auto"/>
                <w:highlight w:val="none"/>
              </w:rPr>
            </w:pPr>
          </w:p>
        </w:tc>
        <w:tc>
          <w:tcPr>
            <w:tcW w:w="1397" w:type="dxa"/>
          </w:tcPr>
          <w:p w14:paraId="4A715492">
            <w:pPr>
              <w:pStyle w:val="55"/>
              <w:shd w:val="clear" w:fill="FFFFFF" w:themeFill="background1"/>
              <w:rPr>
                <w:rFonts w:ascii="宋体" w:hAnsi="宋体" w:cs="宋体"/>
                <w:b/>
                <w:color w:val="auto"/>
                <w:highlight w:val="none"/>
              </w:rPr>
            </w:pPr>
          </w:p>
        </w:tc>
        <w:tc>
          <w:tcPr>
            <w:tcW w:w="1398" w:type="dxa"/>
          </w:tcPr>
          <w:p w14:paraId="54A80F97">
            <w:pPr>
              <w:pStyle w:val="55"/>
              <w:shd w:val="clear" w:fill="FFFFFF" w:themeFill="background1"/>
              <w:rPr>
                <w:rFonts w:ascii="宋体" w:hAnsi="宋体" w:cs="宋体"/>
                <w:b/>
                <w:color w:val="auto"/>
                <w:highlight w:val="none"/>
              </w:rPr>
            </w:pPr>
          </w:p>
        </w:tc>
      </w:tr>
      <w:tr w14:paraId="7F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2F1EC794">
            <w:pPr>
              <w:pStyle w:val="55"/>
              <w:shd w:val="clear" w:fill="FFFFFF" w:themeFill="background1"/>
              <w:rPr>
                <w:rFonts w:ascii="宋体" w:hAnsi="宋体" w:cs="宋体"/>
                <w:b/>
                <w:color w:val="auto"/>
                <w:highlight w:val="none"/>
              </w:rPr>
            </w:pPr>
          </w:p>
        </w:tc>
        <w:tc>
          <w:tcPr>
            <w:tcW w:w="1397" w:type="dxa"/>
          </w:tcPr>
          <w:p w14:paraId="11ACFF29">
            <w:pPr>
              <w:pStyle w:val="55"/>
              <w:shd w:val="clear" w:fill="FFFFFF" w:themeFill="background1"/>
              <w:rPr>
                <w:rFonts w:ascii="宋体" w:hAnsi="宋体" w:cs="宋体"/>
                <w:b/>
                <w:color w:val="auto"/>
                <w:highlight w:val="none"/>
              </w:rPr>
            </w:pPr>
          </w:p>
        </w:tc>
        <w:tc>
          <w:tcPr>
            <w:tcW w:w="1397" w:type="dxa"/>
          </w:tcPr>
          <w:p w14:paraId="2755890B">
            <w:pPr>
              <w:pStyle w:val="55"/>
              <w:shd w:val="clear" w:fill="FFFFFF" w:themeFill="background1"/>
              <w:rPr>
                <w:rFonts w:ascii="宋体" w:hAnsi="宋体" w:cs="宋体"/>
                <w:b/>
                <w:color w:val="auto"/>
                <w:highlight w:val="none"/>
              </w:rPr>
            </w:pPr>
          </w:p>
        </w:tc>
        <w:tc>
          <w:tcPr>
            <w:tcW w:w="1397" w:type="dxa"/>
          </w:tcPr>
          <w:p w14:paraId="27A0D714">
            <w:pPr>
              <w:pStyle w:val="55"/>
              <w:shd w:val="clear" w:fill="FFFFFF" w:themeFill="background1"/>
              <w:rPr>
                <w:rFonts w:ascii="宋体" w:hAnsi="宋体" w:cs="宋体"/>
                <w:b/>
                <w:color w:val="auto"/>
                <w:highlight w:val="none"/>
              </w:rPr>
            </w:pPr>
          </w:p>
        </w:tc>
        <w:tc>
          <w:tcPr>
            <w:tcW w:w="1397" w:type="dxa"/>
          </w:tcPr>
          <w:p w14:paraId="0C80610F">
            <w:pPr>
              <w:pStyle w:val="55"/>
              <w:shd w:val="clear" w:fill="FFFFFF" w:themeFill="background1"/>
              <w:rPr>
                <w:rFonts w:ascii="宋体" w:hAnsi="宋体" w:cs="宋体"/>
                <w:b/>
                <w:color w:val="auto"/>
                <w:highlight w:val="none"/>
              </w:rPr>
            </w:pPr>
          </w:p>
        </w:tc>
        <w:tc>
          <w:tcPr>
            <w:tcW w:w="1397" w:type="dxa"/>
          </w:tcPr>
          <w:p w14:paraId="3BF9E730">
            <w:pPr>
              <w:pStyle w:val="55"/>
              <w:shd w:val="clear" w:fill="FFFFFF" w:themeFill="background1"/>
              <w:rPr>
                <w:rFonts w:ascii="宋体" w:hAnsi="宋体" w:cs="宋体"/>
                <w:b/>
                <w:color w:val="auto"/>
                <w:highlight w:val="none"/>
              </w:rPr>
            </w:pPr>
          </w:p>
        </w:tc>
        <w:tc>
          <w:tcPr>
            <w:tcW w:w="1398" w:type="dxa"/>
          </w:tcPr>
          <w:p w14:paraId="2BDE84E4">
            <w:pPr>
              <w:pStyle w:val="55"/>
              <w:shd w:val="clear" w:fill="FFFFFF" w:themeFill="background1"/>
              <w:rPr>
                <w:rFonts w:ascii="宋体" w:hAnsi="宋体" w:cs="宋体"/>
                <w:b/>
                <w:color w:val="auto"/>
                <w:highlight w:val="none"/>
              </w:rPr>
            </w:pPr>
          </w:p>
        </w:tc>
      </w:tr>
    </w:tbl>
    <w:p w14:paraId="45024F3C">
      <w:pPr>
        <w:pStyle w:val="55"/>
        <w:shd w:val="clear" w:fill="FFFFFF" w:themeFill="background1"/>
        <w:rPr>
          <w:rFonts w:ascii="宋体" w:hAnsi="宋体" w:cs="宋体"/>
          <w:b/>
          <w:color w:val="auto"/>
          <w:highlight w:val="none"/>
        </w:rPr>
        <w:sectPr>
          <w:pgSz w:w="11906" w:h="16838"/>
          <w:pgMar w:top="1276" w:right="924" w:bottom="935" w:left="1418" w:header="624" w:footer="590" w:gutter="0"/>
          <w:cols w:space="720" w:num="1"/>
          <w:docGrid w:type="lines" w:linePitch="312" w:charSpace="0"/>
        </w:sectPr>
      </w:pPr>
    </w:p>
    <w:p w14:paraId="07A44EE7">
      <w:pPr>
        <w:pStyle w:val="55"/>
        <w:shd w:val="clear" w:fill="FFFFFF" w:themeFill="background1"/>
        <w:rPr>
          <w:color w:val="auto"/>
          <w:highlight w:val="none"/>
        </w:rPr>
      </w:pPr>
    </w:p>
    <w:p w14:paraId="4ACEDC86">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（六）-2拟委任的项目经理和项目总工资历表</w:t>
      </w:r>
    </w:p>
    <w:tbl>
      <w:tblPr>
        <w:tblStyle w:val="43"/>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400"/>
        <w:gridCol w:w="217"/>
        <w:gridCol w:w="1516"/>
        <w:gridCol w:w="1450"/>
        <w:gridCol w:w="2382"/>
        <w:gridCol w:w="1835"/>
      </w:tblGrid>
      <w:tr w14:paraId="2855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51784396">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姓    名</w:t>
            </w:r>
          </w:p>
        </w:tc>
        <w:tc>
          <w:tcPr>
            <w:tcW w:w="1400" w:type="dxa"/>
            <w:vAlign w:val="center"/>
          </w:tcPr>
          <w:p w14:paraId="52642E71">
            <w:pPr>
              <w:shd w:val="clear" w:fill="FFFFFF" w:themeFill="background1"/>
              <w:jc w:val="center"/>
              <w:rPr>
                <w:rFonts w:ascii="宋体" w:hAnsi="宋体" w:cs="宋体"/>
                <w:bCs/>
                <w:color w:val="auto"/>
                <w:sz w:val="24"/>
                <w:highlight w:val="none"/>
              </w:rPr>
            </w:pPr>
          </w:p>
        </w:tc>
        <w:tc>
          <w:tcPr>
            <w:tcW w:w="1733" w:type="dxa"/>
            <w:gridSpan w:val="2"/>
            <w:vAlign w:val="center"/>
          </w:tcPr>
          <w:p w14:paraId="056A00FD">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年    龄</w:t>
            </w:r>
          </w:p>
        </w:tc>
        <w:tc>
          <w:tcPr>
            <w:tcW w:w="1450" w:type="dxa"/>
            <w:vAlign w:val="center"/>
          </w:tcPr>
          <w:p w14:paraId="0F27079C">
            <w:pPr>
              <w:shd w:val="clear" w:fill="FFFFFF" w:themeFill="background1"/>
              <w:jc w:val="center"/>
              <w:rPr>
                <w:rFonts w:ascii="宋体" w:hAnsi="宋体" w:cs="宋体"/>
                <w:bCs/>
                <w:color w:val="auto"/>
                <w:sz w:val="24"/>
                <w:highlight w:val="none"/>
              </w:rPr>
            </w:pPr>
          </w:p>
        </w:tc>
        <w:tc>
          <w:tcPr>
            <w:tcW w:w="2382" w:type="dxa"/>
            <w:vAlign w:val="center"/>
          </w:tcPr>
          <w:p w14:paraId="4189AA1E">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专    业</w:t>
            </w:r>
          </w:p>
        </w:tc>
        <w:tc>
          <w:tcPr>
            <w:tcW w:w="1835" w:type="dxa"/>
            <w:vAlign w:val="center"/>
          </w:tcPr>
          <w:p w14:paraId="549CD60D">
            <w:pPr>
              <w:shd w:val="clear" w:fill="FFFFFF" w:themeFill="background1"/>
              <w:jc w:val="center"/>
              <w:rPr>
                <w:rFonts w:ascii="宋体" w:hAnsi="宋体" w:cs="宋体"/>
                <w:bCs/>
                <w:color w:val="auto"/>
                <w:sz w:val="24"/>
                <w:highlight w:val="none"/>
              </w:rPr>
            </w:pPr>
          </w:p>
        </w:tc>
      </w:tr>
      <w:tr w14:paraId="4B4E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1F04A9F2">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技术职称</w:t>
            </w:r>
          </w:p>
        </w:tc>
        <w:tc>
          <w:tcPr>
            <w:tcW w:w="1400" w:type="dxa"/>
            <w:vAlign w:val="center"/>
          </w:tcPr>
          <w:p w14:paraId="3D4B4E4B">
            <w:pPr>
              <w:shd w:val="clear" w:fill="FFFFFF" w:themeFill="background1"/>
              <w:jc w:val="center"/>
              <w:rPr>
                <w:rFonts w:ascii="宋体" w:hAnsi="宋体" w:cs="宋体"/>
                <w:bCs/>
                <w:color w:val="auto"/>
                <w:sz w:val="24"/>
                <w:highlight w:val="none"/>
              </w:rPr>
            </w:pPr>
          </w:p>
        </w:tc>
        <w:tc>
          <w:tcPr>
            <w:tcW w:w="1733" w:type="dxa"/>
            <w:gridSpan w:val="2"/>
            <w:vAlign w:val="center"/>
          </w:tcPr>
          <w:p w14:paraId="75712FB6">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学    历</w:t>
            </w:r>
          </w:p>
        </w:tc>
        <w:tc>
          <w:tcPr>
            <w:tcW w:w="1450" w:type="dxa"/>
            <w:vAlign w:val="center"/>
          </w:tcPr>
          <w:p w14:paraId="1ADE3D24">
            <w:pPr>
              <w:shd w:val="clear" w:fill="FFFFFF" w:themeFill="background1"/>
              <w:jc w:val="center"/>
              <w:rPr>
                <w:rFonts w:ascii="宋体" w:hAnsi="宋体" w:cs="宋体"/>
                <w:bCs/>
                <w:color w:val="auto"/>
                <w:sz w:val="24"/>
                <w:highlight w:val="none"/>
              </w:rPr>
            </w:pPr>
          </w:p>
        </w:tc>
        <w:tc>
          <w:tcPr>
            <w:tcW w:w="2382" w:type="dxa"/>
            <w:vAlign w:val="center"/>
          </w:tcPr>
          <w:p w14:paraId="6DA8437F">
            <w:pPr>
              <w:shd w:val="clear" w:fill="FFFFFF" w:themeFill="background1"/>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拟在本标段</w:t>
            </w:r>
          </w:p>
          <w:p w14:paraId="4E974B40">
            <w:pPr>
              <w:shd w:val="clear" w:fill="FFFFFF" w:themeFill="background1"/>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工程任职</w:t>
            </w:r>
          </w:p>
        </w:tc>
        <w:tc>
          <w:tcPr>
            <w:tcW w:w="1835" w:type="dxa"/>
            <w:vAlign w:val="center"/>
          </w:tcPr>
          <w:p w14:paraId="35A6995A">
            <w:pPr>
              <w:shd w:val="clear" w:fill="FFFFFF" w:themeFill="background1"/>
              <w:jc w:val="center"/>
              <w:rPr>
                <w:rFonts w:ascii="宋体" w:hAnsi="宋体" w:cs="宋体"/>
                <w:bCs/>
                <w:color w:val="auto"/>
                <w:sz w:val="24"/>
                <w:highlight w:val="none"/>
              </w:rPr>
            </w:pPr>
          </w:p>
        </w:tc>
      </w:tr>
      <w:tr w14:paraId="2A3A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078AB5EB">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工作年限</w:t>
            </w:r>
          </w:p>
        </w:tc>
        <w:tc>
          <w:tcPr>
            <w:tcW w:w="4583" w:type="dxa"/>
            <w:gridSpan w:val="4"/>
            <w:vAlign w:val="center"/>
          </w:tcPr>
          <w:p w14:paraId="2554C1E0">
            <w:pPr>
              <w:shd w:val="clear" w:fill="FFFFFF" w:themeFill="background1"/>
              <w:jc w:val="center"/>
              <w:rPr>
                <w:rFonts w:ascii="宋体" w:hAnsi="宋体" w:cs="宋体"/>
                <w:bCs/>
                <w:color w:val="auto"/>
                <w:sz w:val="24"/>
                <w:highlight w:val="none"/>
              </w:rPr>
            </w:pPr>
          </w:p>
        </w:tc>
        <w:tc>
          <w:tcPr>
            <w:tcW w:w="2382" w:type="dxa"/>
            <w:vAlign w:val="center"/>
          </w:tcPr>
          <w:p w14:paraId="74AD722E">
            <w:pPr>
              <w:shd w:val="clear" w:fill="FFFFFF" w:themeFill="background1"/>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类似施工经验年限</w:t>
            </w:r>
          </w:p>
        </w:tc>
        <w:tc>
          <w:tcPr>
            <w:tcW w:w="1835" w:type="dxa"/>
            <w:vAlign w:val="center"/>
          </w:tcPr>
          <w:p w14:paraId="0E085DC8">
            <w:pPr>
              <w:shd w:val="clear" w:fill="FFFFFF" w:themeFill="background1"/>
              <w:jc w:val="center"/>
              <w:rPr>
                <w:rFonts w:ascii="宋体" w:hAnsi="宋体" w:cs="宋体"/>
                <w:bCs/>
                <w:color w:val="auto"/>
                <w:sz w:val="24"/>
                <w:highlight w:val="none"/>
              </w:rPr>
            </w:pPr>
          </w:p>
        </w:tc>
      </w:tr>
      <w:tr w14:paraId="612F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bottom"/>
          </w:tcPr>
          <w:p w14:paraId="4670137E">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毕业学校</w:t>
            </w:r>
          </w:p>
        </w:tc>
        <w:tc>
          <w:tcPr>
            <w:tcW w:w="8800" w:type="dxa"/>
            <w:gridSpan w:val="6"/>
            <w:vAlign w:val="bottom"/>
          </w:tcPr>
          <w:p w14:paraId="192F47C3">
            <w:pPr>
              <w:shd w:val="clear" w:fill="FFFFFF" w:themeFill="background1"/>
              <w:jc w:val="left"/>
              <w:rPr>
                <w:rFonts w:ascii="宋体" w:hAnsi="宋体" w:cs="宋体"/>
                <w:bCs/>
                <w:color w:val="auto"/>
                <w:sz w:val="24"/>
                <w:highlight w:val="none"/>
                <w:u w:val="single"/>
              </w:rPr>
            </w:pP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月毕业于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学校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专业，学制</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p>
        </w:tc>
      </w:tr>
      <w:tr w14:paraId="6856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0" w:type="dxa"/>
            <w:gridSpan w:val="7"/>
            <w:vAlign w:val="center"/>
          </w:tcPr>
          <w:p w14:paraId="0F9CE4E1">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经          历</w:t>
            </w:r>
          </w:p>
        </w:tc>
      </w:tr>
      <w:tr w14:paraId="0E21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0062FF9B">
            <w:pPr>
              <w:shd w:val="clear" w:fill="FFFFFF" w:themeFill="background1"/>
              <w:spacing w:line="400" w:lineRule="exact"/>
              <w:jc w:val="center"/>
              <w:rPr>
                <w:rFonts w:ascii="宋体" w:hAnsi="宋体" w:cs="宋体"/>
                <w:bCs/>
                <w:color w:val="auto"/>
                <w:sz w:val="24"/>
                <w:highlight w:val="none"/>
                <w:u w:val="single"/>
              </w:rPr>
            </w:pPr>
            <w:r>
              <w:rPr>
                <w:rFonts w:hint="eastAsia" w:ascii="宋体" w:hAnsi="宋体" w:cs="宋体"/>
                <w:bCs/>
                <w:color w:val="auto"/>
                <w:sz w:val="24"/>
                <w:highlight w:val="none"/>
              </w:rPr>
              <w:t>时    间</w:t>
            </w:r>
          </w:p>
        </w:tc>
        <w:tc>
          <w:tcPr>
            <w:tcW w:w="4583" w:type="dxa"/>
            <w:gridSpan w:val="4"/>
            <w:vAlign w:val="center"/>
          </w:tcPr>
          <w:p w14:paraId="0BEA7963">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参加过的类似工程项目名称</w:t>
            </w:r>
          </w:p>
        </w:tc>
        <w:tc>
          <w:tcPr>
            <w:tcW w:w="2382" w:type="dxa"/>
            <w:vAlign w:val="center"/>
          </w:tcPr>
          <w:p w14:paraId="7F0341F5">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担任职务</w:t>
            </w:r>
          </w:p>
        </w:tc>
        <w:tc>
          <w:tcPr>
            <w:tcW w:w="1835" w:type="dxa"/>
            <w:vAlign w:val="center"/>
          </w:tcPr>
          <w:p w14:paraId="00B0FE66">
            <w:pPr>
              <w:shd w:val="clear" w:fill="FFFFFF" w:themeFill="background1"/>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发包人及联系电话</w:t>
            </w:r>
          </w:p>
        </w:tc>
      </w:tr>
      <w:tr w14:paraId="40AD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1A595F5">
            <w:pPr>
              <w:shd w:val="clear" w:fill="FFFFFF" w:themeFill="background1"/>
              <w:tabs>
                <w:tab w:val="left" w:pos="680"/>
              </w:tabs>
              <w:autoSpaceDE w:val="0"/>
              <w:autoSpaceDN w:val="0"/>
              <w:adjustRightInd w:val="0"/>
              <w:spacing w:before="73"/>
              <w:jc w:val="center"/>
              <w:rPr>
                <w:rFonts w:ascii="宋体" w:hAnsi="宋体" w:cs="宋体"/>
                <w:bCs/>
                <w:color w:val="auto"/>
                <w:sz w:val="24"/>
                <w:highlight w:val="none"/>
              </w:rPr>
            </w:pPr>
          </w:p>
        </w:tc>
        <w:tc>
          <w:tcPr>
            <w:tcW w:w="4583" w:type="dxa"/>
            <w:gridSpan w:val="4"/>
            <w:vAlign w:val="center"/>
          </w:tcPr>
          <w:p w14:paraId="563CBAF6">
            <w:pPr>
              <w:shd w:val="clear" w:fill="FFFFFF" w:themeFill="background1"/>
              <w:jc w:val="center"/>
              <w:rPr>
                <w:rFonts w:ascii="宋体" w:hAnsi="宋体" w:cs="宋体"/>
                <w:bCs/>
                <w:color w:val="auto"/>
                <w:sz w:val="24"/>
                <w:highlight w:val="none"/>
              </w:rPr>
            </w:pPr>
          </w:p>
        </w:tc>
        <w:tc>
          <w:tcPr>
            <w:tcW w:w="2382" w:type="dxa"/>
            <w:vAlign w:val="center"/>
          </w:tcPr>
          <w:p w14:paraId="0FEB5317">
            <w:pPr>
              <w:shd w:val="clear" w:fill="FFFFFF" w:themeFill="background1"/>
              <w:jc w:val="center"/>
              <w:rPr>
                <w:rFonts w:ascii="宋体" w:hAnsi="宋体" w:cs="宋体"/>
                <w:bCs/>
                <w:color w:val="auto"/>
                <w:sz w:val="24"/>
                <w:highlight w:val="none"/>
              </w:rPr>
            </w:pPr>
          </w:p>
        </w:tc>
        <w:tc>
          <w:tcPr>
            <w:tcW w:w="1835" w:type="dxa"/>
            <w:vAlign w:val="center"/>
          </w:tcPr>
          <w:p w14:paraId="74EEFE24">
            <w:pPr>
              <w:shd w:val="clear" w:fill="FFFFFF" w:themeFill="background1"/>
              <w:jc w:val="center"/>
              <w:rPr>
                <w:rFonts w:ascii="宋体" w:hAnsi="宋体" w:cs="宋体"/>
                <w:bCs/>
                <w:color w:val="auto"/>
                <w:sz w:val="24"/>
                <w:highlight w:val="none"/>
              </w:rPr>
            </w:pPr>
          </w:p>
        </w:tc>
      </w:tr>
      <w:tr w14:paraId="6633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5F5B92D0">
            <w:pPr>
              <w:shd w:val="clear" w:fill="FFFFFF" w:themeFill="background1"/>
              <w:jc w:val="center"/>
              <w:rPr>
                <w:rFonts w:ascii="宋体" w:hAnsi="宋体" w:cs="宋体"/>
                <w:bCs/>
                <w:color w:val="auto"/>
                <w:sz w:val="24"/>
                <w:highlight w:val="none"/>
              </w:rPr>
            </w:pPr>
          </w:p>
        </w:tc>
        <w:tc>
          <w:tcPr>
            <w:tcW w:w="4583" w:type="dxa"/>
            <w:gridSpan w:val="4"/>
            <w:vAlign w:val="center"/>
          </w:tcPr>
          <w:p w14:paraId="06EA956C">
            <w:pPr>
              <w:shd w:val="clear" w:fill="FFFFFF" w:themeFill="background1"/>
              <w:jc w:val="center"/>
              <w:rPr>
                <w:rFonts w:ascii="宋体" w:hAnsi="宋体" w:cs="宋体"/>
                <w:bCs/>
                <w:color w:val="auto"/>
                <w:sz w:val="24"/>
                <w:highlight w:val="none"/>
              </w:rPr>
            </w:pPr>
          </w:p>
        </w:tc>
        <w:tc>
          <w:tcPr>
            <w:tcW w:w="2382" w:type="dxa"/>
            <w:vAlign w:val="center"/>
          </w:tcPr>
          <w:p w14:paraId="21F063FE">
            <w:pPr>
              <w:shd w:val="clear" w:fill="FFFFFF" w:themeFill="background1"/>
              <w:jc w:val="center"/>
              <w:rPr>
                <w:rFonts w:ascii="宋体" w:hAnsi="宋体" w:cs="宋体"/>
                <w:bCs/>
                <w:color w:val="auto"/>
                <w:sz w:val="24"/>
                <w:highlight w:val="none"/>
              </w:rPr>
            </w:pPr>
          </w:p>
        </w:tc>
        <w:tc>
          <w:tcPr>
            <w:tcW w:w="1835" w:type="dxa"/>
            <w:vAlign w:val="center"/>
          </w:tcPr>
          <w:p w14:paraId="0687EF2F">
            <w:pPr>
              <w:shd w:val="clear" w:fill="FFFFFF" w:themeFill="background1"/>
              <w:jc w:val="center"/>
              <w:rPr>
                <w:rFonts w:ascii="宋体" w:hAnsi="宋体" w:cs="宋体"/>
                <w:bCs/>
                <w:color w:val="auto"/>
                <w:sz w:val="24"/>
                <w:highlight w:val="none"/>
              </w:rPr>
            </w:pPr>
          </w:p>
        </w:tc>
      </w:tr>
      <w:tr w14:paraId="085D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04F5E9A8">
            <w:pPr>
              <w:shd w:val="clear" w:fill="FFFFFF" w:themeFill="background1"/>
              <w:jc w:val="center"/>
              <w:rPr>
                <w:rFonts w:ascii="宋体" w:hAnsi="宋体" w:cs="宋体"/>
                <w:bCs/>
                <w:color w:val="auto"/>
                <w:sz w:val="24"/>
                <w:highlight w:val="none"/>
              </w:rPr>
            </w:pPr>
          </w:p>
        </w:tc>
        <w:tc>
          <w:tcPr>
            <w:tcW w:w="4583" w:type="dxa"/>
            <w:gridSpan w:val="4"/>
            <w:vAlign w:val="center"/>
          </w:tcPr>
          <w:p w14:paraId="79C63D46">
            <w:pPr>
              <w:shd w:val="clear" w:fill="FFFFFF" w:themeFill="background1"/>
              <w:jc w:val="center"/>
              <w:rPr>
                <w:rFonts w:ascii="宋体" w:hAnsi="宋体" w:cs="宋体"/>
                <w:bCs/>
                <w:color w:val="auto"/>
                <w:sz w:val="24"/>
                <w:highlight w:val="none"/>
              </w:rPr>
            </w:pPr>
          </w:p>
        </w:tc>
        <w:tc>
          <w:tcPr>
            <w:tcW w:w="2382" w:type="dxa"/>
            <w:vAlign w:val="center"/>
          </w:tcPr>
          <w:p w14:paraId="5C9FD1DC">
            <w:pPr>
              <w:shd w:val="clear" w:fill="FFFFFF" w:themeFill="background1"/>
              <w:jc w:val="center"/>
              <w:rPr>
                <w:rFonts w:ascii="宋体" w:hAnsi="宋体" w:cs="宋体"/>
                <w:bCs/>
                <w:color w:val="auto"/>
                <w:sz w:val="24"/>
                <w:highlight w:val="none"/>
              </w:rPr>
            </w:pPr>
          </w:p>
        </w:tc>
        <w:tc>
          <w:tcPr>
            <w:tcW w:w="1835" w:type="dxa"/>
            <w:vAlign w:val="center"/>
          </w:tcPr>
          <w:p w14:paraId="6FB5A21B">
            <w:pPr>
              <w:shd w:val="clear" w:fill="FFFFFF" w:themeFill="background1"/>
              <w:jc w:val="center"/>
              <w:rPr>
                <w:rFonts w:ascii="宋体" w:hAnsi="宋体" w:cs="宋体"/>
                <w:bCs/>
                <w:color w:val="auto"/>
                <w:sz w:val="24"/>
                <w:highlight w:val="none"/>
              </w:rPr>
            </w:pPr>
          </w:p>
        </w:tc>
      </w:tr>
      <w:tr w14:paraId="573C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2F803D2A">
            <w:pPr>
              <w:shd w:val="clear" w:fill="FFFFFF" w:themeFill="background1"/>
              <w:spacing w:line="460" w:lineRule="exact"/>
              <w:jc w:val="center"/>
              <w:rPr>
                <w:rFonts w:ascii="宋体" w:hAnsi="宋体" w:cs="宋体"/>
                <w:bCs/>
                <w:color w:val="auto"/>
                <w:sz w:val="24"/>
                <w:highlight w:val="none"/>
              </w:rPr>
            </w:pPr>
          </w:p>
        </w:tc>
        <w:tc>
          <w:tcPr>
            <w:tcW w:w="4583" w:type="dxa"/>
            <w:gridSpan w:val="4"/>
          </w:tcPr>
          <w:p w14:paraId="0586D721">
            <w:pPr>
              <w:shd w:val="clear" w:fill="FFFFFF" w:themeFill="background1"/>
              <w:spacing w:line="460" w:lineRule="exact"/>
              <w:jc w:val="center"/>
              <w:rPr>
                <w:rFonts w:ascii="宋体" w:hAnsi="宋体" w:cs="宋体"/>
                <w:bCs/>
                <w:color w:val="auto"/>
                <w:sz w:val="24"/>
                <w:highlight w:val="none"/>
              </w:rPr>
            </w:pPr>
          </w:p>
        </w:tc>
        <w:tc>
          <w:tcPr>
            <w:tcW w:w="2382" w:type="dxa"/>
          </w:tcPr>
          <w:p w14:paraId="295105D6">
            <w:pPr>
              <w:shd w:val="clear" w:fill="FFFFFF" w:themeFill="background1"/>
              <w:spacing w:line="460" w:lineRule="exact"/>
              <w:jc w:val="center"/>
              <w:rPr>
                <w:rFonts w:ascii="宋体" w:hAnsi="宋体" w:cs="宋体"/>
                <w:bCs/>
                <w:color w:val="auto"/>
                <w:sz w:val="24"/>
                <w:highlight w:val="none"/>
              </w:rPr>
            </w:pPr>
          </w:p>
        </w:tc>
        <w:tc>
          <w:tcPr>
            <w:tcW w:w="1835" w:type="dxa"/>
          </w:tcPr>
          <w:p w14:paraId="5973EC6F">
            <w:pPr>
              <w:shd w:val="clear" w:fill="FFFFFF" w:themeFill="background1"/>
              <w:spacing w:line="460" w:lineRule="exact"/>
              <w:jc w:val="center"/>
              <w:rPr>
                <w:rFonts w:ascii="宋体" w:hAnsi="宋体" w:cs="宋体"/>
                <w:bCs/>
                <w:color w:val="auto"/>
                <w:sz w:val="24"/>
                <w:highlight w:val="none"/>
              </w:rPr>
            </w:pPr>
          </w:p>
        </w:tc>
      </w:tr>
      <w:tr w14:paraId="1B0F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33DB80F3">
            <w:pPr>
              <w:shd w:val="clear" w:fill="FFFFFF" w:themeFill="background1"/>
              <w:spacing w:line="460" w:lineRule="exact"/>
              <w:jc w:val="center"/>
              <w:rPr>
                <w:rFonts w:ascii="宋体" w:hAnsi="宋体" w:cs="宋体"/>
                <w:bCs/>
                <w:color w:val="auto"/>
                <w:sz w:val="24"/>
                <w:highlight w:val="none"/>
              </w:rPr>
            </w:pPr>
          </w:p>
        </w:tc>
        <w:tc>
          <w:tcPr>
            <w:tcW w:w="4583" w:type="dxa"/>
            <w:gridSpan w:val="4"/>
          </w:tcPr>
          <w:p w14:paraId="0FF6EB23">
            <w:pPr>
              <w:shd w:val="clear" w:fill="FFFFFF" w:themeFill="background1"/>
              <w:spacing w:line="460" w:lineRule="exact"/>
              <w:jc w:val="center"/>
              <w:rPr>
                <w:rFonts w:ascii="宋体" w:hAnsi="宋体" w:cs="宋体"/>
                <w:bCs/>
                <w:color w:val="auto"/>
                <w:sz w:val="24"/>
                <w:highlight w:val="none"/>
              </w:rPr>
            </w:pPr>
          </w:p>
        </w:tc>
        <w:tc>
          <w:tcPr>
            <w:tcW w:w="2382" w:type="dxa"/>
          </w:tcPr>
          <w:p w14:paraId="3F7C06C9">
            <w:pPr>
              <w:shd w:val="clear" w:fill="FFFFFF" w:themeFill="background1"/>
              <w:spacing w:line="460" w:lineRule="exact"/>
              <w:jc w:val="center"/>
              <w:rPr>
                <w:rFonts w:ascii="宋体" w:hAnsi="宋体" w:cs="宋体"/>
                <w:bCs/>
                <w:color w:val="auto"/>
                <w:sz w:val="24"/>
                <w:highlight w:val="none"/>
              </w:rPr>
            </w:pPr>
          </w:p>
        </w:tc>
        <w:tc>
          <w:tcPr>
            <w:tcW w:w="1835" w:type="dxa"/>
          </w:tcPr>
          <w:p w14:paraId="56F83D42">
            <w:pPr>
              <w:shd w:val="clear" w:fill="FFFFFF" w:themeFill="background1"/>
              <w:spacing w:line="460" w:lineRule="exact"/>
              <w:jc w:val="center"/>
              <w:rPr>
                <w:rFonts w:ascii="宋体" w:hAnsi="宋体" w:cs="宋体"/>
                <w:bCs/>
                <w:color w:val="auto"/>
                <w:sz w:val="24"/>
                <w:highlight w:val="none"/>
              </w:rPr>
            </w:pPr>
          </w:p>
        </w:tc>
      </w:tr>
      <w:tr w14:paraId="1931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05B881C7">
            <w:pPr>
              <w:shd w:val="clear" w:fill="FFFFFF" w:themeFill="background1"/>
              <w:spacing w:line="460" w:lineRule="exact"/>
              <w:jc w:val="center"/>
              <w:rPr>
                <w:rFonts w:ascii="宋体" w:hAnsi="宋体" w:cs="宋体"/>
                <w:bCs/>
                <w:color w:val="auto"/>
                <w:sz w:val="24"/>
                <w:highlight w:val="none"/>
              </w:rPr>
            </w:pPr>
          </w:p>
        </w:tc>
        <w:tc>
          <w:tcPr>
            <w:tcW w:w="4583" w:type="dxa"/>
            <w:gridSpan w:val="4"/>
          </w:tcPr>
          <w:p w14:paraId="48211A85">
            <w:pPr>
              <w:shd w:val="clear" w:fill="FFFFFF" w:themeFill="background1"/>
              <w:spacing w:line="460" w:lineRule="exact"/>
              <w:jc w:val="center"/>
              <w:rPr>
                <w:rFonts w:ascii="宋体" w:hAnsi="宋体" w:cs="宋体"/>
                <w:bCs/>
                <w:color w:val="auto"/>
                <w:sz w:val="24"/>
                <w:highlight w:val="none"/>
              </w:rPr>
            </w:pPr>
          </w:p>
        </w:tc>
        <w:tc>
          <w:tcPr>
            <w:tcW w:w="2382" w:type="dxa"/>
          </w:tcPr>
          <w:p w14:paraId="267FBDE7">
            <w:pPr>
              <w:shd w:val="clear" w:fill="FFFFFF" w:themeFill="background1"/>
              <w:spacing w:line="460" w:lineRule="exact"/>
              <w:jc w:val="center"/>
              <w:rPr>
                <w:rFonts w:ascii="宋体" w:hAnsi="宋体" w:cs="宋体"/>
                <w:bCs/>
                <w:color w:val="auto"/>
                <w:sz w:val="24"/>
                <w:highlight w:val="none"/>
              </w:rPr>
            </w:pPr>
          </w:p>
        </w:tc>
        <w:tc>
          <w:tcPr>
            <w:tcW w:w="1835" w:type="dxa"/>
          </w:tcPr>
          <w:p w14:paraId="043A816B">
            <w:pPr>
              <w:shd w:val="clear" w:fill="FFFFFF" w:themeFill="background1"/>
              <w:spacing w:line="460" w:lineRule="exact"/>
              <w:jc w:val="center"/>
              <w:rPr>
                <w:rFonts w:ascii="宋体" w:hAnsi="宋体" w:cs="宋体"/>
                <w:bCs/>
                <w:color w:val="auto"/>
                <w:sz w:val="24"/>
                <w:highlight w:val="none"/>
              </w:rPr>
            </w:pPr>
          </w:p>
        </w:tc>
      </w:tr>
      <w:tr w14:paraId="55F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53853B3C">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获奖情况</w:t>
            </w:r>
          </w:p>
        </w:tc>
        <w:tc>
          <w:tcPr>
            <w:tcW w:w="7183" w:type="dxa"/>
            <w:gridSpan w:val="4"/>
          </w:tcPr>
          <w:p w14:paraId="15EF8088">
            <w:pPr>
              <w:shd w:val="clear" w:fill="FFFFFF" w:themeFill="background1"/>
              <w:jc w:val="center"/>
              <w:rPr>
                <w:rFonts w:ascii="宋体" w:hAnsi="宋体" w:cs="宋体"/>
                <w:bCs/>
                <w:color w:val="auto"/>
                <w:sz w:val="24"/>
                <w:highlight w:val="none"/>
              </w:rPr>
            </w:pPr>
          </w:p>
        </w:tc>
      </w:tr>
      <w:tr w14:paraId="2CF8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200" w:type="dxa"/>
            <w:gridSpan w:val="7"/>
            <w:vAlign w:val="center"/>
          </w:tcPr>
          <w:p w14:paraId="1D72B6F1">
            <w:pPr>
              <w:shd w:val="clear" w:fill="FFFFFF" w:themeFill="background1"/>
              <w:spacing w:line="360" w:lineRule="auto"/>
              <w:rPr>
                <w:rFonts w:ascii="宋体" w:hAnsi="宋体" w:cs="宋体"/>
                <w:bCs/>
                <w:color w:val="auto"/>
                <w:sz w:val="24"/>
                <w:highlight w:val="none"/>
              </w:rPr>
            </w:pPr>
            <w:r>
              <w:rPr>
                <w:rFonts w:hint="eastAsia" w:ascii="宋体" w:hAnsi="宋体" w:cs="宋体"/>
                <w:bCs/>
                <w:color w:val="auto"/>
                <w:sz w:val="24"/>
                <w:highlight w:val="none"/>
              </w:rPr>
              <w:t xml:space="preserve">    本人</w:t>
            </w:r>
            <w:r>
              <w:rPr>
                <w:rFonts w:hint="eastAsia" w:ascii="宋体" w:hAnsi="宋体" w:cs="宋体"/>
                <w:bCs/>
                <w:color w:val="auto"/>
                <w:sz w:val="24"/>
                <w:highlight w:val="none"/>
                <w:u w:val="single"/>
              </w:rPr>
              <w:t xml:space="preserve"> （亲笔签字） </w:t>
            </w:r>
            <w:r>
              <w:rPr>
                <w:rFonts w:hint="eastAsia" w:ascii="宋体" w:hAnsi="宋体" w:cs="宋体"/>
                <w:bCs/>
                <w:color w:val="auto"/>
                <w:sz w:val="24"/>
                <w:highlight w:val="none"/>
              </w:rPr>
              <w:t>知晓自己为本项目的</w:t>
            </w:r>
            <w:r>
              <w:rPr>
                <w:rFonts w:hint="eastAsia" w:ascii="宋体" w:hAnsi="宋体" w:cs="宋体"/>
                <w:bCs/>
                <w:color w:val="auto"/>
                <w:sz w:val="24"/>
                <w:highlight w:val="none"/>
                <w:u w:val="single"/>
              </w:rPr>
              <w:t xml:space="preserve"> (填写项目经理或项目总工)</w:t>
            </w:r>
            <w:r>
              <w:rPr>
                <w:rFonts w:hint="eastAsia" w:ascii="宋体" w:hAnsi="宋体" w:cs="宋体"/>
                <w:bCs/>
                <w:color w:val="auto"/>
                <w:sz w:val="24"/>
                <w:highlight w:val="none"/>
              </w:rPr>
              <w:t>，并对其真实性负责。</w:t>
            </w:r>
          </w:p>
        </w:tc>
      </w:tr>
      <w:tr w14:paraId="093B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3FE8836E">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备    注</w:t>
            </w:r>
          </w:p>
        </w:tc>
        <w:tc>
          <w:tcPr>
            <w:tcW w:w="7183" w:type="dxa"/>
            <w:gridSpan w:val="4"/>
          </w:tcPr>
          <w:p w14:paraId="579A0C51">
            <w:pPr>
              <w:shd w:val="clear" w:fill="FFFFFF" w:themeFill="background1"/>
              <w:jc w:val="center"/>
              <w:rPr>
                <w:rFonts w:ascii="宋体" w:hAnsi="宋体" w:cs="宋体"/>
                <w:bCs/>
                <w:color w:val="auto"/>
                <w:sz w:val="24"/>
                <w:highlight w:val="none"/>
              </w:rPr>
            </w:pPr>
          </w:p>
        </w:tc>
      </w:tr>
    </w:tbl>
    <w:p w14:paraId="5795E655">
      <w:pPr>
        <w:shd w:val="clear" w:fill="FFFFFF" w:themeFill="background1"/>
        <w:spacing w:line="400" w:lineRule="exact"/>
        <w:ind w:left="-283" w:leftChars="-135"/>
        <w:rPr>
          <w:rFonts w:ascii="宋体" w:hAnsi="宋体" w:cs="宋体"/>
          <w:color w:val="auto"/>
          <w:sz w:val="24"/>
          <w:highlight w:val="none"/>
        </w:rPr>
      </w:pPr>
      <w:r>
        <w:rPr>
          <w:rFonts w:hint="eastAsia" w:ascii="宋体" w:hAnsi="宋体" w:cs="宋体"/>
          <w:color w:val="auto"/>
          <w:sz w:val="24"/>
          <w:highlight w:val="none"/>
        </w:rPr>
        <w:t>注：1.本表后应填写项目经理（以及备选人，如有）和项目总工（以及备选人，如有）相关情况。</w:t>
      </w:r>
    </w:p>
    <w:p w14:paraId="4182F5B3">
      <w:pPr>
        <w:shd w:val="clear" w:fill="FFFFFF" w:themeFill="background1"/>
        <w:spacing w:line="400" w:lineRule="exact"/>
        <w:ind w:left="-283" w:leftChars="-135" w:firstLine="480" w:firstLineChars="200"/>
        <w:rPr>
          <w:rFonts w:ascii="宋体" w:hAnsi="宋体" w:cs="宋体"/>
          <w:color w:val="auto"/>
          <w:sz w:val="24"/>
          <w:highlight w:val="none"/>
        </w:rPr>
      </w:pPr>
      <w:r>
        <w:rPr>
          <w:rFonts w:hint="eastAsia" w:ascii="宋体" w:hAnsi="宋体" w:cs="宋体"/>
          <w:color w:val="auto"/>
          <w:sz w:val="24"/>
          <w:highlight w:val="none"/>
        </w:rPr>
        <w:t>2.投标人应根据招标文件第二章“投标人须知”第 3.5.5 项的要求在本表后附相关证明材料。</w:t>
      </w:r>
    </w:p>
    <w:bookmarkEnd w:id="1757"/>
    <w:bookmarkEnd w:id="1758"/>
    <w:bookmarkEnd w:id="1759"/>
    <w:p w14:paraId="68484E70">
      <w:pPr>
        <w:shd w:val="clear" w:fill="FFFFFF" w:themeFill="background1"/>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八、其 他 材 料</w:t>
      </w:r>
    </w:p>
    <w:tbl>
      <w:tblPr>
        <w:tblStyle w:val="43"/>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6B8D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tcPr>
          <w:p w14:paraId="0D606A90">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1、 提供“八-1、使用广东省信用评价等级的申请承诺书”。</w:t>
            </w:r>
          </w:p>
          <w:p w14:paraId="05871B18">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2、 提供“八-2、投标人的自评分表”。</w:t>
            </w:r>
          </w:p>
          <w:p w14:paraId="064D0713">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3、 提供最新年度广东省公路工程从业单位（施工单位）信用评价等级（若有），并标识单位所在位置。</w:t>
            </w:r>
          </w:p>
          <w:p w14:paraId="160C8305">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4、 初次进入广东省的，但在最新年度的全国综合评价结果为 C 级或 D 级的，提供最新年度的全国综合评价结果单位查询所在页。</w:t>
            </w:r>
          </w:p>
          <w:p w14:paraId="1084D2E1">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5、 如上一年度有信用评价而最新年度在广东省无信用等级的需提供上一年度的信用评价（若有），并标识单位所在位置。</w:t>
            </w:r>
          </w:p>
          <w:p w14:paraId="0F526B59">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6、详细说明投标人投标文件递交截止日前 1 年内，因公路工程（含附属设施）质量、安全、履约问题或招标投标问题等原因被交通运输部行政处罚、广东省交通运输厅行政处罚或正式约谈、招标项目所在地地级以上市交通运输局行政处罚的文件。</w:t>
            </w:r>
          </w:p>
          <w:p w14:paraId="5D070132">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7、投标人认为需要的其他内容（如体现技术能力的相关证明材料）。</w:t>
            </w:r>
          </w:p>
          <w:p w14:paraId="7D8054C1">
            <w:pPr>
              <w:shd w:val="clear" w:fill="FFFFFF" w:themeFill="background1"/>
              <w:rPr>
                <w:rFonts w:ascii="宋体" w:hAnsi="宋体" w:cs="宋体"/>
                <w:color w:val="auto"/>
                <w:sz w:val="24"/>
                <w:highlight w:val="none"/>
              </w:rPr>
            </w:pPr>
          </w:p>
          <w:p w14:paraId="355AE01F">
            <w:pPr>
              <w:shd w:val="clear" w:fill="FFFFFF" w:themeFill="background1"/>
              <w:spacing w:line="360" w:lineRule="auto"/>
              <w:rPr>
                <w:rFonts w:ascii="宋体" w:hAnsi="宋体" w:cs="宋体"/>
                <w:b/>
                <w:color w:val="auto"/>
                <w:sz w:val="32"/>
                <w:szCs w:val="32"/>
                <w:highlight w:val="none"/>
              </w:rPr>
            </w:pPr>
          </w:p>
          <w:p w14:paraId="7457BF61">
            <w:pPr>
              <w:shd w:val="clear" w:fill="FFFFFF" w:themeFill="background1"/>
              <w:spacing w:line="360" w:lineRule="auto"/>
              <w:rPr>
                <w:rFonts w:ascii="宋体" w:hAnsi="宋体" w:cs="宋体"/>
                <w:bCs/>
                <w:color w:val="auto"/>
                <w:sz w:val="32"/>
                <w:szCs w:val="32"/>
                <w:highlight w:val="none"/>
              </w:rPr>
            </w:pPr>
          </w:p>
          <w:p w14:paraId="451C16CC">
            <w:pPr>
              <w:shd w:val="clear" w:fill="FFFFFF" w:themeFill="background1"/>
              <w:spacing w:line="360" w:lineRule="auto"/>
              <w:rPr>
                <w:rFonts w:ascii="宋体" w:hAnsi="宋体" w:cs="宋体"/>
                <w:bCs/>
                <w:color w:val="auto"/>
                <w:sz w:val="32"/>
                <w:szCs w:val="32"/>
                <w:highlight w:val="none"/>
              </w:rPr>
            </w:pPr>
          </w:p>
        </w:tc>
      </w:tr>
    </w:tbl>
    <w:p w14:paraId="10537B0E">
      <w:pPr>
        <w:pStyle w:val="59"/>
        <w:shd w:val="clear" w:fill="FFFFFF" w:themeFill="background1"/>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0B105FC5">
      <w:pPr>
        <w:pStyle w:val="59"/>
        <w:shd w:val="clear" w:fill="FFFFFF" w:themeFill="background1"/>
        <w:jc w:val="center"/>
        <w:rPr>
          <w:rFonts w:ascii="宋体" w:hAnsi="宋体" w:cs="宋体"/>
          <w:b/>
          <w:bCs/>
          <w:color w:val="auto"/>
          <w:sz w:val="28"/>
          <w:szCs w:val="28"/>
          <w:highlight w:val="none"/>
        </w:rPr>
      </w:pPr>
      <w:r>
        <w:rPr>
          <w:rFonts w:hint="eastAsia" w:ascii="宋体" w:hAnsi="宋体" w:cs="宋体"/>
          <w:b/>
          <w:bCs/>
          <w:color w:val="auto"/>
          <w:highlight w:val="none"/>
        </w:rPr>
        <w:t xml:space="preserve">八-1 </w:t>
      </w:r>
      <w:r>
        <w:rPr>
          <w:rFonts w:hint="eastAsia" w:ascii="宋体" w:hAnsi="宋体" w:cs="宋体"/>
          <w:b/>
          <w:bCs/>
          <w:color w:val="auto"/>
          <w:sz w:val="28"/>
          <w:szCs w:val="28"/>
          <w:highlight w:val="none"/>
        </w:rPr>
        <w:t>使用广东省信用评价等级的申请承诺书</w:t>
      </w:r>
      <w:r>
        <w:rPr>
          <w:rFonts w:hint="eastAsia" w:ascii="宋体" w:hAnsi="宋体"/>
          <w:b/>
          <w:bCs/>
          <w:color w:val="auto"/>
          <w:sz w:val="28"/>
          <w:szCs w:val="28"/>
          <w:highlight w:val="none"/>
        </w:rPr>
        <w:t>（格式）</w:t>
      </w:r>
    </w:p>
    <w:p w14:paraId="241F9D4C">
      <w:pPr>
        <w:shd w:val="clear" w:fill="FFFFFF" w:themeFill="background1"/>
        <w:jc w:val="center"/>
        <w:rPr>
          <w:rFonts w:ascii="宋体" w:hAnsi="宋体"/>
          <w:b/>
          <w:color w:val="auto"/>
          <w:sz w:val="28"/>
          <w:szCs w:val="28"/>
          <w:highlight w:val="none"/>
        </w:rPr>
      </w:pPr>
    </w:p>
    <w:p w14:paraId="7D703820">
      <w:pPr>
        <w:shd w:val="clear" w:fill="FFFFFF" w:themeFill="background1"/>
        <w:spacing w:line="360" w:lineRule="auto"/>
        <w:jc w:val="left"/>
        <w:rPr>
          <w:rFonts w:ascii="宋体" w:hAnsi="宋体"/>
          <w:color w:val="auto"/>
          <w:sz w:val="24"/>
          <w:highlight w:val="none"/>
        </w:rPr>
      </w:pPr>
      <w:r>
        <w:rPr>
          <w:rFonts w:hint="eastAsia" w:ascii="宋体" w:hAnsi="宋体"/>
          <w:color w:val="auto"/>
          <w:sz w:val="24"/>
          <w:highlight w:val="none"/>
        </w:rPr>
        <w:t>致招标人：</w:t>
      </w:r>
      <w:r>
        <w:rPr>
          <w:rFonts w:ascii="宋体" w:hAnsi="宋体"/>
          <w:color w:val="auto"/>
          <w:sz w:val="24"/>
          <w:highlight w:val="none"/>
          <w:u w:val="single"/>
        </w:rPr>
        <w:t>（招标人全称）</w:t>
      </w:r>
    </w:p>
    <w:p w14:paraId="44E786B6">
      <w:pPr>
        <w:shd w:val="clear" w:fill="FFFFFF" w:themeFill="background1"/>
        <w:spacing w:line="360" w:lineRule="auto"/>
        <w:ind w:firstLine="480" w:firstLineChars="200"/>
        <w:jc w:val="left"/>
        <w:rPr>
          <w:rFonts w:ascii="宋体" w:hAnsi="宋体"/>
          <w:color w:val="auto"/>
          <w:sz w:val="24"/>
          <w:highlight w:val="none"/>
        </w:rPr>
      </w:pPr>
      <w:r>
        <w:rPr>
          <w:rFonts w:hint="eastAsia" w:ascii="宋体" w:hAnsi="宋体" w:cs="宋体"/>
          <w:color w:val="auto"/>
          <w:kern w:val="0"/>
          <w:sz w:val="24"/>
          <w:highlight w:val="none"/>
        </w:rPr>
        <w:t>按相关要求，现我单位对使用信用等级申请如下：</w:t>
      </w:r>
    </w:p>
    <w:p w14:paraId="20046C65">
      <w:pPr>
        <w:shd w:val="clear" w:fill="FFFFFF" w:themeFill="background1"/>
        <w:spacing w:line="360" w:lineRule="auto"/>
        <w:ind w:firstLine="480" w:firstLineChars="200"/>
        <w:jc w:val="left"/>
        <w:rPr>
          <w:rFonts w:ascii="宋体" w:hAnsi="宋体"/>
          <w:color w:val="auto"/>
          <w:sz w:val="24"/>
          <w:highlight w:val="none"/>
          <w:u w:val="single"/>
        </w:rPr>
      </w:pPr>
      <w:r>
        <w:rPr>
          <w:rFonts w:ascii="宋体" w:hAnsi="宋体" w:cs="宋体"/>
          <w:color w:val="auto"/>
          <w:kern w:val="0"/>
          <w:sz w:val="24"/>
          <w:highlight w:val="none"/>
        </w:rPr>
        <w:t>一、我单位在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施工招标</w:t>
      </w:r>
      <w:r>
        <w:rPr>
          <w:rFonts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标类/标段）的招标中，</w:t>
      </w:r>
      <w:r>
        <w:rPr>
          <w:rFonts w:ascii="宋体" w:hAnsi="宋体" w:cs="宋体"/>
          <w:b/>
          <w:bCs/>
          <w:color w:val="auto"/>
          <w:kern w:val="0"/>
          <w:sz w:val="24"/>
          <w:highlight w:val="none"/>
        </w:rPr>
        <w:t>第</w:t>
      </w:r>
      <w:r>
        <w:rPr>
          <w:rFonts w:hint="eastAsia" w:ascii="宋体" w:hAnsi="宋体" w:cs="宋体"/>
          <w:b/>
          <w:bCs/>
          <w:color w:val="auto"/>
          <w:kern w:val="0"/>
          <w:sz w:val="24"/>
          <w:highlight w:val="none"/>
          <w:u w:val="single"/>
        </w:rPr>
        <w:t xml:space="preserve">    </w:t>
      </w:r>
      <w:r>
        <w:rPr>
          <w:rFonts w:ascii="宋体" w:hAnsi="宋体" w:cs="宋体"/>
          <w:b/>
          <w:bCs/>
          <w:color w:val="auto"/>
          <w:kern w:val="0"/>
          <w:sz w:val="24"/>
          <w:highlight w:val="none"/>
        </w:rPr>
        <w:t>次使用（或不使用）</w:t>
      </w:r>
      <w:r>
        <w:rPr>
          <w:rFonts w:ascii="宋体" w:hAnsi="宋体" w:cs="宋体"/>
          <w:color w:val="auto"/>
          <w:kern w:val="0"/>
          <w:sz w:val="24"/>
          <w:highlight w:val="none"/>
        </w:rPr>
        <w:t>广东省交通运输厅发布的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rPr>
        <w:t>度信用评价</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等级结果和对应等级分值。</w:t>
      </w:r>
    </w:p>
    <w:p w14:paraId="2C20FCC3">
      <w:pPr>
        <w:shd w:val="clear" w:fill="FFFFFF" w:themeFill="background1"/>
        <w:spacing w:line="360" w:lineRule="auto"/>
        <w:ind w:firstLine="495"/>
        <w:jc w:val="left"/>
        <w:rPr>
          <w:rFonts w:ascii="宋体" w:hAnsi="宋体" w:cs="宋体"/>
          <w:color w:val="auto"/>
          <w:kern w:val="0"/>
          <w:sz w:val="24"/>
          <w:highlight w:val="none"/>
        </w:rPr>
      </w:pPr>
      <w:r>
        <w:rPr>
          <w:rFonts w:ascii="宋体" w:hAnsi="宋体" w:cs="宋体"/>
          <w:color w:val="auto"/>
          <w:kern w:val="0"/>
          <w:sz w:val="24"/>
          <w:highlight w:val="none"/>
        </w:rPr>
        <w:t>二、我单位承诺，在递交本次申请后，我单位将失去一次使用</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等级结果（</w:t>
      </w:r>
      <w:r>
        <w:rPr>
          <w:rFonts w:ascii="宋体" w:hAnsi="宋体" w:cs="宋体"/>
          <w:b/>
          <w:bCs/>
          <w:color w:val="auto"/>
          <w:kern w:val="0"/>
          <w:sz w:val="24"/>
          <w:highlight w:val="none"/>
          <w:u w:val="single"/>
        </w:rPr>
        <w:t>不使用时上述填“/”</w:t>
      </w:r>
      <w:r>
        <w:rPr>
          <w:rFonts w:ascii="宋体" w:hAnsi="宋体" w:cs="宋体"/>
          <w:color w:val="auto"/>
          <w:kern w:val="0"/>
          <w:sz w:val="24"/>
          <w:highlight w:val="none"/>
        </w:rPr>
        <w:t>）参与投标的机会。</w:t>
      </w:r>
      <w:r>
        <w:rPr>
          <w:rFonts w:hint="eastAsia" w:ascii="宋体" w:hAnsi="宋体" w:cs="宋体"/>
          <w:color w:val="auto"/>
          <w:kern w:val="0"/>
          <w:sz w:val="24"/>
          <w:highlight w:val="none"/>
        </w:rPr>
        <w:t>当累计使用超过规定的次数，我单位同意按降低一个信用等级对应分值来认定参与投标评审。</w:t>
      </w:r>
    </w:p>
    <w:p w14:paraId="6CA00B27">
      <w:pPr>
        <w:shd w:val="clear" w:fill="FFFFFF" w:themeFill="background1"/>
        <w:spacing w:line="360" w:lineRule="auto"/>
        <w:ind w:firstLine="495"/>
        <w:jc w:val="left"/>
        <w:rPr>
          <w:rFonts w:ascii="宋体" w:hAnsi="宋体" w:cs="宋体"/>
          <w:color w:val="auto"/>
          <w:kern w:val="0"/>
          <w:sz w:val="24"/>
          <w:highlight w:val="none"/>
        </w:rPr>
      </w:pPr>
      <w:r>
        <w:rPr>
          <w:rFonts w:ascii="宋体" w:hAnsi="宋体" w:cs="宋体"/>
          <w:color w:val="auto"/>
          <w:kern w:val="0"/>
          <w:sz w:val="24"/>
          <w:highlight w:val="none"/>
        </w:rPr>
        <w:t>三、</w:t>
      </w:r>
      <w:r>
        <w:rPr>
          <w:rFonts w:hint="eastAsia" w:ascii="宋体" w:hAnsi="宋体" w:cs="宋体"/>
          <w:color w:val="auto"/>
          <w:kern w:val="0"/>
          <w:sz w:val="24"/>
          <w:highlight w:val="none"/>
        </w:rPr>
        <w:t>如果我单位发生违反规定使用信用等级结果的情形，自愿接受省级交通运输主管部门的处理。</w:t>
      </w:r>
    </w:p>
    <w:p w14:paraId="42932F05">
      <w:pPr>
        <w:shd w:val="clear" w:fill="FFFFFF" w:themeFill="background1"/>
        <w:spacing w:line="360" w:lineRule="auto"/>
        <w:ind w:firstLine="495"/>
        <w:jc w:val="left"/>
        <w:rPr>
          <w:rFonts w:ascii="宋体" w:hAnsi="宋体"/>
          <w:b/>
          <w:color w:val="auto"/>
          <w:sz w:val="24"/>
          <w:highlight w:val="none"/>
          <w:u w:val="single"/>
        </w:rPr>
      </w:pPr>
      <w:r>
        <w:rPr>
          <w:rFonts w:ascii="宋体" w:hAnsi="宋体" w:cs="宋体"/>
          <w:color w:val="auto"/>
          <w:kern w:val="0"/>
          <w:sz w:val="24"/>
          <w:highlight w:val="none"/>
        </w:rPr>
        <w:t>附件：</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单位使用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年度广东省公路工程从业单位信用等级情况汇总表。</w:t>
      </w:r>
    </w:p>
    <w:p w14:paraId="02CCF5F7">
      <w:pPr>
        <w:shd w:val="clear" w:fill="FFFFFF" w:themeFill="background1"/>
        <w:spacing w:line="360" w:lineRule="auto"/>
        <w:ind w:firstLine="480" w:firstLineChars="200"/>
        <w:jc w:val="left"/>
        <w:rPr>
          <w:rFonts w:ascii="宋体" w:hAnsi="宋体" w:cs="宋体"/>
          <w:color w:val="auto"/>
          <w:kern w:val="0"/>
          <w:sz w:val="24"/>
          <w:highlight w:val="none"/>
        </w:rPr>
      </w:pPr>
    </w:p>
    <w:p w14:paraId="57DBC682">
      <w:pPr>
        <w:shd w:val="clear" w:fill="FFFFFF" w:themeFill="background1"/>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特此承诺</w:t>
      </w:r>
    </w:p>
    <w:p w14:paraId="7BE19E71">
      <w:pPr>
        <w:shd w:val="clear" w:fill="FFFFFF" w:themeFill="background1"/>
        <w:spacing w:line="360" w:lineRule="auto"/>
        <w:jc w:val="center"/>
        <w:rPr>
          <w:rFonts w:ascii="宋体" w:hAnsi="宋体" w:cs="宋体"/>
          <w:color w:val="auto"/>
          <w:kern w:val="0"/>
          <w:sz w:val="24"/>
          <w:highlight w:val="none"/>
        </w:rPr>
      </w:pPr>
    </w:p>
    <w:p w14:paraId="6830566A">
      <w:pPr>
        <w:pStyle w:val="55"/>
        <w:shd w:val="clear" w:fill="FFFFFF" w:themeFill="background1"/>
        <w:rPr>
          <w:color w:val="auto"/>
          <w:highlight w:val="none"/>
        </w:rPr>
      </w:pPr>
    </w:p>
    <w:p w14:paraId="4C6BA108">
      <w:pPr>
        <w:shd w:val="clear" w:fill="FFFFFF" w:themeFill="background1"/>
        <w:spacing w:line="360" w:lineRule="auto"/>
        <w:ind w:firstLine="2640" w:firstLineChars="11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投标人（单位全称）：</w:t>
      </w:r>
      <w:r>
        <w:rPr>
          <w:rFonts w:hint="eastAsia" w:ascii="宋体" w:hAnsi="宋体" w:cs="宋体"/>
          <w:color w:val="auto"/>
          <w:kern w:val="0"/>
          <w:sz w:val="24"/>
          <w:highlight w:val="none"/>
          <w:u w:val="single"/>
        </w:rPr>
        <w:t xml:space="preserve">   </w:t>
      </w:r>
    </w:p>
    <w:p w14:paraId="3DD3D69A">
      <w:pPr>
        <w:shd w:val="clear" w:fill="FFFFFF" w:themeFill="background1"/>
        <w:spacing w:line="360" w:lineRule="auto"/>
        <w:ind w:firstLine="2640" w:firstLineChars="1100"/>
        <w:jc w:val="left"/>
        <w:rPr>
          <w:rFonts w:ascii="宋体" w:hAnsi="宋体" w:cs="宋体"/>
          <w:color w:val="auto"/>
          <w:kern w:val="0"/>
          <w:sz w:val="24"/>
          <w:highlight w:val="none"/>
        </w:rPr>
      </w:pPr>
      <w:r>
        <w:rPr>
          <w:rFonts w:hint="eastAsia" w:ascii="宋体" w:hAnsi="宋体" w:cs="宋体"/>
          <w:color w:val="auto"/>
          <w:kern w:val="0"/>
          <w:sz w:val="24"/>
          <w:highlight w:val="none"/>
        </w:rPr>
        <w:t>投标人的法定代表人或其委托代理人签名：</w:t>
      </w:r>
    </w:p>
    <w:p w14:paraId="10E910F3">
      <w:pPr>
        <w:shd w:val="clear" w:fill="FFFFFF" w:themeFill="background1"/>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E91B4E9">
      <w:pPr>
        <w:shd w:val="clear" w:fill="FFFFFF" w:themeFill="background1"/>
        <w:spacing w:line="360" w:lineRule="auto"/>
        <w:jc w:val="right"/>
        <w:rPr>
          <w:rFonts w:ascii="宋体" w:hAnsi="宋体" w:cs="宋体"/>
          <w:color w:val="auto"/>
          <w:kern w:val="0"/>
          <w:sz w:val="24"/>
          <w:highlight w:val="none"/>
        </w:rPr>
      </w:pPr>
    </w:p>
    <w:p w14:paraId="507113A7">
      <w:pPr>
        <w:shd w:val="clear" w:fill="FFFFFF" w:themeFill="background1"/>
        <w:rPr>
          <w:rFonts w:ascii="宋体" w:hAnsi="宋体" w:cs="宋体"/>
          <w:color w:val="auto"/>
          <w:sz w:val="24"/>
          <w:highlight w:val="none"/>
        </w:rPr>
      </w:pPr>
      <w:r>
        <w:rPr>
          <w:rFonts w:hint="eastAsia" w:ascii="宋体" w:hAnsi="宋体" w:cs="宋体"/>
          <w:color w:val="auto"/>
          <w:sz w:val="24"/>
          <w:highlight w:val="none"/>
        </w:rPr>
        <w:t>注：1、AA、A 级信用等级企业必须填写此申请承诺书；选择“使用”时需和附表（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单位使用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年度广东省公路工程从业单位信用等级情况汇总表）一起编入投标文件中。</w:t>
      </w:r>
    </w:p>
    <w:p w14:paraId="5E5846D2">
      <w:pPr>
        <w:shd w:val="clear" w:fill="FFFFFF" w:themeFill="background1"/>
        <w:ind w:firstLine="480" w:firstLineChars="200"/>
        <w:rPr>
          <w:rFonts w:ascii="宋体" w:hAnsi="宋体" w:cs="宋体"/>
          <w:color w:val="auto"/>
          <w:sz w:val="24"/>
          <w:highlight w:val="none"/>
        </w:rPr>
      </w:pPr>
      <w:r>
        <w:rPr>
          <w:rFonts w:hint="eastAsia" w:ascii="宋体" w:hAnsi="宋体" w:cs="宋体"/>
          <w:color w:val="auto"/>
          <w:sz w:val="24"/>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28B6C333">
      <w:pPr>
        <w:shd w:val="clear" w:fill="FFFFFF" w:themeFill="background1"/>
        <w:ind w:firstLine="480" w:firstLineChars="200"/>
        <w:rPr>
          <w:rFonts w:ascii="宋体" w:hAnsi="宋体" w:cs="宋体"/>
          <w:color w:val="auto"/>
          <w:sz w:val="24"/>
          <w:highlight w:val="none"/>
        </w:rPr>
      </w:pPr>
      <w:r>
        <w:rPr>
          <w:rFonts w:hint="eastAsia" w:ascii="宋体" w:hAnsi="宋体" w:cs="宋体"/>
          <w:color w:val="auto"/>
          <w:sz w:val="24"/>
          <w:highlight w:val="none"/>
        </w:rPr>
        <w:t>3、中标候选人公示中，将对所有承诺使用最新年度 AA、A 级投标人的年度信用等级使用情进行公开。</w:t>
      </w:r>
    </w:p>
    <w:p w14:paraId="77DA5CC4">
      <w:pPr>
        <w:shd w:val="clear" w:fill="FFFFFF" w:themeFill="background1"/>
        <w:jc w:val="center"/>
        <w:rPr>
          <w:rFonts w:ascii="宋体" w:hAnsi="宋体" w:cs="宋体"/>
          <w:color w:val="auto"/>
          <w:kern w:val="0"/>
          <w:sz w:val="28"/>
          <w:szCs w:val="28"/>
          <w:highlight w:val="none"/>
        </w:rPr>
      </w:pPr>
    </w:p>
    <w:p w14:paraId="041A05BB">
      <w:pPr>
        <w:shd w:val="clear" w:fill="FFFFFF" w:themeFill="background1"/>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附表：</w:t>
      </w:r>
    </w:p>
    <w:p w14:paraId="4859E420">
      <w:pPr>
        <w:shd w:val="clear" w:fill="FFFFFF" w:themeFill="background1"/>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单位使用</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年度广东省公路工程从业单位</w:t>
      </w:r>
    </w:p>
    <w:p w14:paraId="2FBBD99D">
      <w:pPr>
        <w:shd w:val="clear" w:fill="FFFFFF" w:themeFill="background1"/>
        <w:jc w:val="center"/>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信用等级情况汇总表</w:t>
      </w:r>
    </w:p>
    <w:p w14:paraId="356741E1">
      <w:pPr>
        <w:shd w:val="clear" w:fill="FFFFFF" w:themeFill="background1"/>
        <w:jc w:val="center"/>
        <w:rPr>
          <w:rFonts w:ascii="宋体" w:hAnsi="宋体" w:cs="宋体"/>
          <w:color w:val="auto"/>
          <w:kern w:val="0"/>
          <w:sz w:val="28"/>
          <w:szCs w:val="28"/>
          <w:highlight w:val="none"/>
        </w:rPr>
      </w:pPr>
    </w:p>
    <w:tbl>
      <w:tblPr>
        <w:tblStyle w:val="43"/>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843"/>
        <w:gridCol w:w="1984"/>
        <w:gridCol w:w="2126"/>
        <w:gridCol w:w="1463"/>
      </w:tblGrid>
      <w:tr w14:paraId="6CE9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AFD28B8">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701" w:type="dxa"/>
            <w:vAlign w:val="center"/>
          </w:tcPr>
          <w:p w14:paraId="7238D1C9">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招标人名称</w:t>
            </w:r>
          </w:p>
        </w:tc>
        <w:tc>
          <w:tcPr>
            <w:tcW w:w="1843" w:type="dxa"/>
            <w:vAlign w:val="center"/>
          </w:tcPr>
          <w:p w14:paraId="1C492E71">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标类或（标</w:t>
            </w:r>
          </w:p>
          <w:p w14:paraId="538A8864">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段）名称</w:t>
            </w:r>
          </w:p>
        </w:tc>
        <w:tc>
          <w:tcPr>
            <w:tcW w:w="1984" w:type="dxa"/>
            <w:vAlign w:val="center"/>
          </w:tcPr>
          <w:p w14:paraId="05B88D61">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递交文件时间</w:t>
            </w:r>
          </w:p>
          <w:p w14:paraId="42CEB0E1">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（年月日）</w:t>
            </w:r>
          </w:p>
        </w:tc>
        <w:tc>
          <w:tcPr>
            <w:tcW w:w="2126" w:type="dxa"/>
            <w:vAlign w:val="center"/>
          </w:tcPr>
          <w:p w14:paraId="36EB2508">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使用信用等</w:t>
            </w:r>
          </w:p>
          <w:p w14:paraId="15FE6AA5">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级（AA/A）</w:t>
            </w:r>
          </w:p>
        </w:tc>
        <w:tc>
          <w:tcPr>
            <w:tcW w:w="1463" w:type="dxa"/>
            <w:vAlign w:val="center"/>
          </w:tcPr>
          <w:p w14:paraId="2190205B">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3582C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1231580">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01" w:type="dxa"/>
          </w:tcPr>
          <w:p w14:paraId="71C962CB">
            <w:pPr>
              <w:shd w:val="clear" w:fill="FFFFFF" w:themeFill="background1"/>
              <w:spacing w:line="360" w:lineRule="auto"/>
              <w:jc w:val="center"/>
              <w:rPr>
                <w:rFonts w:ascii="宋体" w:hAnsi="宋体" w:cs="宋体"/>
                <w:color w:val="auto"/>
                <w:kern w:val="0"/>
                <w:sz w:val="24"/>
                <w:highlight w:val="none"/>
              </w:rPr>
            </w:pPr>
          </w:p>
        </w:tc>
        <w:tc>
          <w:tcPr>
            <w:tcW w:w="1843" w:type="dxa"/>
          </w:tcPr>
          <w:p w14:paraId="413B14AA">
            <w:pPr>
              <w:shd w:val="clear" w:fill="FFFFFF" w:themeFill="background1"/>
              <w:spacing w:line="360" w:lineRule="auto"/>
              <w:jc w:val="center"/>
              <w:rPr>
                <w:rFonts w:ascii="宋体" w:hAnsi="宋体" w:cs="宋体"/>
                <w:color w:val="auto"/>
                <w:kern w:val="0"/>
                <w:sz w:val="24"/>
                <w:highlight w:val="none"/>
              </w:rPr>
            </w:pPr>
          </w:p>
        </w:tc>
        <w:tc>
          <w:tcPr>
            <w:tcW w:w="1984" w:type="dxa"/>
          </w:tcPr>
          <w:p w14:paraId="1400270B">
            <w:pPr>
              <w:shd w:val="clear" w:fill="FFFFFF" w:themeFill="background1"/>
              <w:spacing w:line="360" w:lineRule="auto"/>
              <w:jc w:val="center"/>
              <w:rPr>
                <w:rFonts w:ascii="宋体" w:hAnsi="宋体" w:cs="宋体"/>
                <w:color w:val="auto"/>
                <w:kern w:val="0"/>
                <w:sz w:val="24"/>
                <w:highlight w:val="none"/>
              </w:rPr>
            </w:pPr>
          </w:p>
        </w:tc>
        <w:tc>
          <w:tcPr>
            <w:tcW w:w="2126" w:type="dxa"/>
          </w:tcPr>
          <w:p w14:paraId="47F8BFEB">
            <w:pPr>
              <w:shd w:val="clear" w:fill="FFFFFF" w:themeFill="background1"/>
              <w:spacing w:line="360" w:lineRule="auto"/>
              <w:jc w:val="center"/>
              <w:rPr>
                <w:rFonts w:ascii="宋体" w:hAnsi="宋体" w:cs="宋体"/>
                <w:color w:val="auto"/>
                <w:kern w:val="0"/>
                <w:sz w:val="24"/>
                <w:highlight w:val="none"/>
              </w:rPr>
            </w:pPr>
          </w:p>
        </w:tc>
        <w:tc>
          <w:tcPr>
            <w:tcW w:w="1463" w:type="dxa"/>
          </w:tcPr>
          <w:p w14:paraId="0ECE44FD">
            <w:pPr>
              <w:shd w:val="clear" w:fill="FFFFFF" w:themeFill="background1"/>
              <w:spacing w:line="360" w:lineRule="auto"/>
              <w:jc w:val="center"/>
              <w:rPr>
                <w:rFonts w:ascii="宋体" w:hAnsi="宋体" w:cs="宋体"/>
                <w:color w:val="auto"/>
                <w:kern w:val="0"/>
                <w:sz w:val="24"/>
                <w:highlight w:val="none"/>
              </w:rPr>
            </w:pPr>
          </w:p>
        </w:tc>
      </w:tr>
      <w:tr w14:paraId="37EE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55F921D">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01" w:type="dxa"/>
          </w:tcPr>
          <w:p w14:paraId="403CA42C">
            <w:pPr>
              <w:shd w:val="clear" w:fill="FFFFFF" w:themeFill="background1"/>
              <w:spacing w:line="360" w:lineRule="auto"/>
              <w:jc w:val="center"/>
              <w:rPr>
                <w:rFonts w:ascii="宋体" w:hAnsi="宋体" w:cs="宋体"/>
                <w:color w:val="auto"/>
                <w:kern w:val="0"/>
                <w:sz w:val="24"/>
                <w:highlight w:val="none"/>
              </w:rPr>
            </w:pPr>
          </w:p>
        </w:tc>
        <w:tc>
          <w:tcPr>
            <w:tcW w:w="1843" w:type="dxa"/>
          </w:tcPr>
          <w:p w14:paraId="61A0C03F">
            <w:pPr>
              <w:shd w:val="clear" w:fill="FFFFFF" w:themeFill="background1"/>
              <w:spacing w:line="360" w:lineRule="auto"/>
              <w:jc w:val="center"/>
              <w:rPr>
                <w:rFonts w:ascii="宋体" w:hAnsi="宋体" w:cs="宋体"/>
                <w:color w:val="auto"/>
                <w:kern w:val="0"/>
                <w:sz w:val="24"/>
                <w:highlight w:val="none"/>
              </w:rPr>
            </w:pPr>
          </w:p>
        </w:tc>
        <w:tc>
          <w:tcPr>
            <w:tcW w:w="1984" w:type="dxa"/>
          </w:tcPr>
          <w:p w14:paraId="23C3C16B">
            <w:pPr>
              <w:shd w:val="clear" w:fill="FFFFFF" w:themeFill="background1"/>
              <w:spacing w:line="360" w:lineRule="auto"/>
              <w:jc w:val="center"/>
              <w:rPr>
                <w:rFonts w:ascii="宋体" w:hAnsi="宋体" w:cs="宋体"/>
                <w:color w:val="auto"/>
                <w:kern w:val="0"/>
                <w:sz w:val="24"/>
                <w:highlight w:val="none"/>
              </w:rPr>
            </w:pPr>
          </w:p>
        </w:tc>
        <w:tc>
          <w:tcPr>
            <w:tcW w:w="2126" w:type="dxa"/>
          </w:tcPr>
          <w:p w14:paraId="14B0EF00">
            <w:pPr>
              <w:shd w:val="clear" w:fill="FFFFFF" w:themeFill="background1"/>
              <w:spacing w:line="360" w:lineRule="auto"/>
              <w:jc w:val="center"/>
              <w:rPr>
                <w:rFonts w:ascii="宋体" w:hAnsi="宋体" w:cs="宋体"/>
                <w:color w:val="auto"/>
                <w:kern w:val="0"/>
                <w:sz w:val="24"/>
                <w:highlight w:val="none"/>
              </w:rPr>
            </w:pPr>
          </w:p>
        </w:tc>
        <w:tc>
          <w:tcPr>
            <w:tcW w:w="1463" w:type="dxa"/>
          </w:tcPr>
          <w:p w14:paraId="1A4969F1">
            <w:pPr>
              <w:shd w:val="clear" w:fill="FFFFFF" w:themeFill="background1"/>
              <w:spacing w:line="360" w:lineRule="auto"/>
              <w:jc w:val="center"/>
              <w:rPr>
                <w:rFonts w:ascii="宋体" w:hAnsi="宋体" w:cs="宋体"/>
                <w:color w:val="auto"/>
                <w:kern w:val="0"/>
                <w:sz w:val="24"/>
                <w:highlight w:val="none"/>
              </w:rPr>
            </w:pPr>
          </w:p>
        </w:tc>
      </w:tr>
      <w:tr w14:paraId="4B64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24B3302">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01" w:type="dxa"/>
          </w:tcPr>
          <w:p w14:paraId="192E9F35">
            <w:pPr>
              <w:shd w:val="clear" w:fill="FFFFFF" w:themeFill="background1"/>
              <w:spacing w:line="360" w:lineRule="auto"/>
              <w:jc w:val="center"/>
              <w:rPr>
                <w:rFonts w:ascii="宋体" w:hAnsi="宋体" w:cs="宋体"/>
                <w:color w:val="auto"/>
                <w:kern w:val="0"/>
                <w:sz w:val="24"/>
                <w:highlight w:val="none"/>
              </w:rPr>
            </w:pPr>
          </w:p>
        </w:tc>
        <w:tc>
          <w:tcPr>
            <w:tcW w:w="1843" w:type="dxa"/>
          </w:tcPr>
          <w:p w14:paraId="7BE094F5">
            <w:pPr>
              <w:shd w:val="clear" w:fill="FFFFFF" w:themeFill="background1"/>
              <w:spacing w:line="360" w:lineRule="auto"/>
              <w:jc w:val="center"/>
              <w:rPr>
                <w:rFonts w:ascii="宋体" w:hAnsi="宋体" w:cs="宋体"/>
                <w:color w:val="auto"/>
                <w:kern w:val="0"/>
                <w:sz w:val="24"/>
                <w:highlight w:val="none"/>
              </w:rPr>
            </w:pPr>
          </w:p>
        </w:tc>
        <w:tc>
          <w:tcPr>
            <w:tcW w:w="1984" w:type="dxa"/>
          </w:tcPr>
          <w:p w14:paraId="3B07FE35">
            <w:pPr>
              <w:shd w:val="clear" w:fill="FFFFFF" w:themeFill="background1"/>
              <w:spacing w:line="360" w:lineRule="auto"/>
              <w:jc w:val="center"/>
              <w:rPr>
                <w:rFonts w:ascii="宋体" w:hAnsi="宋体" w:cs="宋体"/>
                <w:color w:val="auto"/>
                <w:kern w:val="0"/>
                <w:sz w:val="24"/>
                <w:highlight w:val="none"/>
              </w:rPr>
            </w:pPr>
          </w:p>
        </w:tc>
        <w:tc>
          <w:tcPr>
            <w:tcW w:w="2126" w:type="dxa"/>
          </w:tcPr>
          <w:p w14:paraId="2D893556">
            <w:pPr>
              <w:shd w:val="clear" w:fill="FFFFFF" w:themeFill="background1"/>
              <w:spacing w:line="360" w:lineRule="auto"/>
              <w:jc w:val="center"/>
              <w:rPr>
                <w:rFonts w:ascii="宋体" w:hAnsi="宋体" w:cs="宋体"/>
                <w:color w:val="auto"/>
                <w:kern w:val="0"/>
                <w:sz w:val="24"/>
                <w:highlight w:val="none"/>
              </w:rPr>
            </w:pPr>
          </w:p>
        </w:tc>
        <w:tc>
          <w:tcPr>
            <w:tcW w:w="1463" w:type="dxa"/>
          </w:tcPr>
          <w:p w14:paraId="454ED018">
            <w:pPr>
              <w:shd w:val="clear" w:fill="FFFFFF" w:themeFill="background1"/>
              <w:spacing w:line="360" w:lineRule="auto"/>
              <w:jc w:val="center"/>
              <w:rPr>
                <w:rFonts w:ascii="宋体" w:hAnsi="宋体" w:cs="宋体"/>
                <w:color w:val="auto"/>
                <w:kern w:val="0"/>
                <w:sz w:val="24"/>
                <w:highlight w:val="none"/>
              </w:rPr>
            </w:pPr>
          </w:p>
        </w:tc>
      </w:tr>
      <w:tr w14:paraId="1498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59A3975">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01" w:type="dxa"/>
          </w:tcPr>
          <w:p w14:paraId="1239BD0F">
            <w:pPr>
              <w:shd w:val="clear" w:fill="FFFFFF" w:themeFill="background1"/>
              <w:spacing w:line="360" w:lineRule="auto"/>
              <w:jc w:val="center"/>
              <w:rPr>
                <w:rFonts w:ascii="宋体" w:hAnsi="宋体" w:cs="宋体"/>
                <w:color w:val="auto"/>
                <w:kern w:val="0"/>
                <w:sz w:val="24"/>
                <w:highlight w:val="none"/>
              </w:rPr>
            </w:pPr>
          </w:p>
        </w:tc>
        <w:tc>
          <w:tcPr>
            <w:tcW w:w="1843" w:type="dxa"/>
          </w:tcPr>
          <w:p w14:paraId="674E2A82">
            <w:pPr>
              <w:shd w:val="clear" w:fill="FFFFFF" w:themeFill="background1"/>
              <w:spacing w:line="360" w:lineRule="auto"/>
              <w:jc w:val="center"/>
              <w:rPr>
                <w:rFonts w:ascii="宋体" w:hAnsi="宋体" w:cs="宋体"/>
                <w:color w:val="auto"/>
                <w:kern w:val="0"/>
                <w:sz w:val="24"/>
                <w:highlight w:val="none"/>
              </w:rPr>
            </w:pPr>
          </w:p>
        </w:tc>
        <w:tc>
          <w:tcPr>
            <w:tcW w:w="1984" w:type="dxa"/>
          </w:tcPr>
          <w:p w14:paraId="53E9F52D">
            <w:pPr>
              <w:shd w:val="clear" w:fill="FFFFFF" w:themeFill="background1"/>
              <w:spacing w:line="360" w:lineRule="auto"/>
              <w:jc w:val="center"/>
              <w:rPr>
                <w:rFonts w:ascii="宋体" w:hAnsi="宋体" w:cs="宋体"/>
                <w:color w:val="auto"/>
                <w:kern w:val="0"/>
                <w:sz w:val="24"/>
                <w:highlight w:val="none"/>
              </w:rPr>
            </w:pPr>
          </w:p>
        </w:tc>
        <w:tc>
          <w:tcPr>
            <w:tcW w:w="2126" w:type="dxa"/>
          </w:tcPr>
          <w:p w14:paraId="308883F5">
            <w:pPr>
              <w:shd w:val="clear" w:fill="FFFFFF" w:themeFill="background1"/>
              <w:spacing w:line="360" w:lineRule="auto"/>
              <w:jc w:val="center"/>
              <w:rPr>
                <w:rFonts w:ascii="宋体" w:hAnsi="宋体" w:cs="宋体"/>
                <w:color w:val="auto"/>
                <w:kern w:val="0"/>
                <w:sz w:val="24"/>
                <w:highlight w:val="none"/>
              </w:rPr>
            </w:pPr>
          </w:p>
        </w:tc>
        <w:tc>
          <w:tcPr>
            <w:tcW w:w="1463" w:type="dxa"/>
          </w:tcPr>
          <w:p w14:paraId="10A151F0">
            <w:pPr>
              <w:shd w:val="clear" w:fill="FFFFFF" w:themeFill="background1"/>
              <w:spacing w:line="360" w:lineRule="auto"/>
              <w:jc w:val="center"/>
              <w:rPr>
                <w:rFonts w:ascii="宋体" w:hAnsi="宋体" w:cs="宋体"/>
                <w:color w:val="auto"/>
                <w:kern w:val="0"/>
                <w:sz w:val="24"/>
                <w:highlight w:val="none"/>
              </w:rPr>
            </w:pPr>
          </w:p>
        </w:tc>
      </w:tr>
      <w:tr w14:paraId="299D4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C41EFF9">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701" w:type="dxa"/>
          </w:tcPr>
          <w:p w14:paraId="7A8E0884">
            <w:pPr>
              <w:shd w:val="clear" w:fill="FFFFFF" w:themeFill="background1"/>
              <w:spacing w:line="360" w:lineRule="auto"/>
              <w:jc w:val="center"/>
              <w:rPr>
                <w:rFonts w:ascii="宋体" w:hAnsi="宋体" w:cs="宋体"/>
                <w:color w:val="auto"/>
                <w:kern w:val="0"/>
                <w:sz w:val="24"/>
                <w:highlight w:val="none"/>
              </w:rPr>
            </w:pPr>
          </w:p>
        </w:tc>
        <w:tc>
          <w:tcPr>
            <w:tcW w:w="1843" w:type="dxa"/>
          </w:tcPr>
          <w:p w14:paraId="22A0E356">
            <w:pPr>
              <w:shd w:val="clear" w:fill="FFFFFF" w:themeFill="background1"/>
              <w:spacing w:line="360" w:lineRule="auto"/>
              <w:jc w:val="center"/>
              <w:rPr>
                <w:rFonts w:ascii="宋体" w:hAnsi="宋体" w:cs="宋体"/>
                <w:color w:val="auto"/>
                <w:kern w:val="0"/>
                <w:sz w:val="24"/>
                <w:highlight w:val="none"/>
              </w:rPr>
            </w:pPr>
          </w:p>
        </w:tc>
        <w:tc>
          <w:tcPr>
            <w:tcW w:w="1984" w:type="dxa"/>
          </w:tcPr>
          <w:p w14:paraId="55CAD3FB">
            <w:pPr>
              <w:shd w:val="clear" w:fill="FFFFFF" w:themeFill="background1"/>
              <w:spacing w:line="360" w:lineRule="auto"/>
              <w:jc w:val="center"/>
              <w:rPr>
                <w:rFonts w:ascii="宋体" w:hAnsi="宋体" w:cs="宋体"/>
                <w:color w:val="auto"/>
                <w:kern w:val="0"/>
                <w:sz w:val="24"/>
                <w:highlight w:val="none"/>
              </w:rPr>
            </w:pPr>
          </w:p>
        </w:tc>
        <w:tc>
          <w:tcPr>
            <w:tcW w:w="2126" w:type="dxa"/>
          </w:tcPr>
          <w:p w14:paraId="2302B450">
            <w:pPr>
              <w:shd w:val="clear" w:fill="FFFFFF" w:themeFill="background1"/>
              <w:spacing w:line="360" w:lineRule="auto"/>
              <w:jc w:val="center"/>
              <w:rPr>
                <w:rFonts w:ascii="宋体" w:hAnsi="宋体" w:cs="宋体"/>
                <w:color w:val="auto"/>
                <w:kern w:val="0"/>
                <w:sz w:val="24"/>
                <w:highlight w:val="none"/>
              </w:rPr>
            </w:pPr>
          </w:p>
        </w:tc>
        <w:tc>
          <w:tcPr>
            <w:tcW w:w="1463" w:type="dxa"/>
          </w:tcPr>
          <w:p w14:paraId="7C969A9F">
            <w:pPr>
              <w:shd w:val="clear" w:fill="FFFFFF" w:themeFill="background1"/>
              <w:spacing w:line="360" w:lineRule="auto"/>
              <w:jc w:val="center"/>
              <w:rPr>
                <w:rFonts w:ascii="宋体" w:hAnsi="宋体" w:cs="宋体"/>
                <w:color w:val="auto"/>
                <w:kern w:val="0"/>
                <w:sz w:val="24"/>
                <w:highlight w:val="none"/>
              </w:rPr>
            </w:pPr>
          </w:p>
        </w:tc>
      </w:tr>
      <w:tr w14:paraId="549B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10BDAE2">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701" w:type="dxa"/>
          </w:tcPr>
          <w:p w14:paraId="4EA1F7CE">
            <w:pPr>
              <w:shd w:val="clear" w:fill="FFFFFF" w:themeFill="background1"/>
              <w:spacing w:line="360" w:lineRule="auto"/>
              <w:jc w:val="center"/>
              <w:rPr>
                <w:rFonts w:ascii="宋体" w:hAnsi="宋体" w:cs="宋体"/>
                <w:color w:val="auto"/>
                <w:kern w:val="0"/>
                <w:sz w:val="24"/>
                <w:highlight w:val="none"/>
              </w:rPr>
            </w:pPr>
          </w:p>
        </w:tc>
        <w:tc>
          <w:tcPr>
            <w:tcW w:w="1843" w:type="dxa"/>
          </w:tcPr>
          <w:p w14:paraId="6720296B">
            <w:pPr>
              <w:shd w:val="clear" w:fill="FFFFFF" w:themeFill="background1"/>
              <w:spacing w:line="360" w:lineRule="auto"/>
              <w:jc w:val="center"/>
              <w:rPr>
                <w:rFonts w:ascii="宋体" w:hAnsi="宋体" w:cs="宋体"/>
                <w:color w:val="auto"/>
                <w:kern w:val="0"/>
                <w:sz w:val="24"/>
                <w:highlight w:val="none"/>
              </w:rPr>
            </w:pPr>
          </w:p>
        </w:tc>
        <w:tc>
          <w:tcPr>
            <w:tcW w:w="1984" w:type="dxa"/>
          </w:tcPr>
          <w:p w14:paraId="584E3351">
            <w:pPr>
              <w:shd w:val="clear" w:fill="FFFFFF" w:themeFill="background1"/>
              <w:spacing w:line="360" w:lineRule="auto"/>
              <w:jc w:val="center"/>
              <w:rPr>
                <w:rFonts w:ascii="宋体" w:hAnsi="宋体" w:cs="宋体"/>
                <w:color w:val="auto"/>
                <w:kern w:val="0"/>
                <w:sz w:val="24"/>
                <w:highlight w:val="none"/>
              </w:rPr>
            </w:pPr>
          </w:p>
        </w:tc>
        <w:tc>
          <w:tcPr>
            <w:tcW w:w="2126" w:type="dxa"/>
          </w:tcPr>
          <w:p w14:paraId="6E377847">
            <w:pPr>
              <w:shd w:val="clear" w:fill="FFFFFF" w:themeFill="background1"/>
              <w:spacing w:line="360" w:lineRule="auto"/>
              <w:jc w:val="center"/>
              <w:rPr>
                <w:rFonts w:ascii="宋体" w:hAnsi="宋体" w:cs="宋体"/>
                <w:color w:val="auto"/>
                <w:kern w:val="0"/>
                <w:sz w:val="24"/>
                <w:highlight w:val="none"/>
              </w:rPr>
            </w:pPr>
          </w:p>
        </w:tc>
        <w:tc>
          <w:tcPr>
            <w:tcW w:w="1463" w:type="dxa"/>
          </w:tcPr>
          <w:p w14:paraId="1FFC598C">
            <w:pPr>
              <w:shd w:val="clear" w:fill="FFFFFF" w:themeFill="background1"/>
              <w:spacing w:line="360" w:lineRule="auto"/>
              <w:jc w:val="center"/>
              <w:rPr>
                <w:rFonts w:ascii="宋体" w:hAnsi="宋体" w:cs="宋体"/>
                <w:color w:val="auto"/>
                <w:kern w:val="0"/>
                <w:sz w:val="24"/>
                <w:highlight w:val="none"/>
              </w:rPr>
            </w:pPr>
          </w:p>
        </w:tc>
      </w:tr>
      <w:tr w14:paraId="0B082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11E8F165">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01" w:type="dxa"/>
          </w:tcPr>
          <w:p w14:paraId="4DD41DA1">
            <w:pPr>
              <w:shd w:val="clear" w:fill="FFFFFF" w:themeFill="background1"/>
              <w:spacing w:line="360" w:lineRule="auto"/>
              <w:jc w:val="center"/>
              <w:rPr>
                <w:rFonts w:ascii="宋体" w:hAnsi="宋体" w:cs="宋体"/>
                <w:color w:val="auto"/>
                <w:kern w:val="0"/>
                <w:sz w:val="24"/>
                <w:highlight w:val="none"/>
              </w:rPr>
            </w:pPr>
          </w:p>
        </w:tc>
        <w:tc>
          <w:tcPr>
            <w:tcW w:w="1843" w:type="dxa"/>
          </w:tcPr>
          <w:p w14:paraId="06973BE4">
            <w:pPr>
              <w:shd w:val="clear" w:fill="FFFFFF" w:themeFill="background1"/>
              <w:spacing w:line="360" w:lineRule="auto"/>
              <w:jc w:val="center"/>
              <w:rPr>
                <w:rFonts w:ascii="宋体" w:hAnsi="宋体" w:cs="宋体"/>
                <w:color w:val="auto"/>
                <w:kern w:val="0"/>
                <w:sz w:val="24"/>
                <w:highlight w:val="none"/>
              </w:rPr>
            </w:pPr>
          </w:p>
        </w:tc>
        <w:tc>
          <w:tcPr>
            <w:tcW w:w="1984" w:type="dxa"/>
          </w:tcPr>
          <w:p w14:paraId="34DA2E5A">
            <w:pPr>
              <w:shd w:val="clear" w:fill="FFFFFF" w:themeFill="background1"/>
              <w:spacing w:line="360" w:lineRule="auto"/>
              <w:jc w:val="center"/>
              <w:rPr>
                <w:rFonts w:ascii="宋体" w:hAnsi="宋体" w:cs="宋体"/>
                <w:color w:val="auto"/>
                <w:kern w:val="0"/>
                <w:sz w:val="24"/>
                <w:highlight w:val="none"/>
              </w:rPr>
            </w:pPr>
          </w:p>
        </w:tc>
        <w:tc>
          <w:tcPr>
            <w:tcW w:w="2126" w:type="dxa"/>
          </w:tcPr>
          <w:p w14:paraId="441FAD16">
            <w:pPr>
              <w:shd w:val="clear" w:fill="FFFFFF" w:themeFill="background1"/>
              <w:spacing w:line="360" w:lineRule="auto"/>
              <w:jc w:val="center"/>
              <w:rPr>
                <w:rFonts w:ascii="宋体" w:hAnsi="宋体" w:cs="宋体"/>
                <w:color w:val="auto"/>
                <w:kern w:val="0"/>
                <w:sz w:val="24"/>
                <w:highlight w:val="none"/>
              </w:rPr>
            </w:pPr>
          </w:p>
        </w:tc>
        <w:tc>
          <w:tcPr>
            <w:tcW w:w="1463" w:type="dxa"/>
          </w:tcPr>
          <w:p w14:paraId="098868F4">
            <w:pPr>
              <w:shd w:val="clear" w:fill="FFFFFF" w:themeFill="background1"/>
              <w:spacing w:line="360" w:lineRule="auto"/>
              <w:jc w:val="center"/>
              <w:rPr>
                <w:rFonts w:ascii="宋体" w:hAnsi="宋体" w:cs="宋体"/>
                <w:color w:val="auto"/>
                <w:kern w:val="0"/>
                <w:sz w:val="24"/>
                <w:highlight w:val="none"/>
              </w:rPr>
            </w:pPr>
          </w:p>
        </w:tc>
      </w:tr>
      <w:tr w14:paraId="37A5E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2162585">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701" w:type="dxa"/>
          </w:tcPr>
          <w:p w14:paraId="0264423D">
            <w:pPr>
              <w:shd w:val="clear" w:fill="FFFFFF" w:themeFill="background1"/>
              <w:spacing w:line="360" w:lineRule="auto"/>
              <w:jc w:val="center"/>
              <w:rPr>
                <w:rFonts w:ascii="宋体" w:hAnsi="宋体" w:cs="宋体"/>
                <w:color w:val="auto"/>
                <w:kern w:val="0"/>
                <w:sz w:val="24"/>
                <w:highlight w:val="none"/>
              </w:rPr>
            </w:pPr>
          </w:p>
        </w:tc>
        <w:tc>
          <w:tcPr>
            <w:tcW w:w="1843" w:type="dxa"/>
          </w:tcPr>
          <w:p w14:paraId="5954E658">
            <w:pPr>
              <w:shd w:val="clear" w:fill="FFFFFF" w:themeFill="background1"/>
              <w:spacing w:line="360" w:lineRule="auto"/>
              <w:jc w:val="center"/>
              <w:rPr>
                <w:rFonts w:ascii="宋体" w:hAnsi="宋体" w:cs="宋体"/>
                <w:color w:val="auto"/>
                <w:kern w:val="0"/>
                <w:sz w:val="24"/>
                <w:highlight w:val="none"/>
              </w:rPr>
            </w:pPr>
          </w:p>
        </w:tc>
        <w:tc>
          <w:tcPr>
            <w:tcW w:w="1984" w:type="dxa"/>
          </w:tcPr>
          <w:p w14:paraId="67445F49">
            <w:pPr>
              <w:shd w:val="clear" w:fill="FFFFFF" w:themeFill="background1"/>
              <w:spacing w:line="360" w:lineRule="auto"/>
              <w:jc w:val="center"/>
              <w:rPr>
                <w:rFonts w:ascii="宋体" w:hAnsi="宋体" w:cs="宋体"/>
                <w:color w:val="auto"/>
                <w:kern w:val="0"/>
                <w:sz w:val="24"/>
                <w:highlight w:val="none"/>
              </w:rPr>
            </w:pPr>
          </w:p>
        </w:tc>
        <w:tc>
          <w:tcPr>
            <w:tcW w:w="2126" w:type="dxa"/>
          </w:tcPr>
          <w:p w14:paraId="1C17913F">
            <w:pPr>
              <w:shd w:val="clear" w:fill="FFFFFF" w:themeFill="background1"/>
              <w:spacing w:line="360" w:lineRule="auto"/>
              <w:jc w:val="center"/>
              <w:rPr>
                <w:rFonts w:ascii="宋体" w:hAnsi="宋体" w:cs="宋体"/>
                <w:color w:val="auto"/>
                <w:kern w:val="0"/>
                <w:sz w:val="24"/>
                <w:highlight w:val="none"/>
              </w:rPr>
            </w:pPr>
          </w:p>
        </w:tc>
        <w:tc>
          <w:tcPr>
            <w:tcW w:w="1463" w:type="dxa"/>
          </w:tcPr>
          <w:p w14:paraId="56D17015">
            <w:pPr>
              <w:shd w:val="clear" w:fill="FFFFFF" w:themeFill="background1"/>
              <w:spacing w:line="360" w:lineRule="auto"/>
              <w:jc w:val="center"/>
              <w:rPr>
                <w:rFonts w:ascii="宋体" w:hAnsi="宋体" w:cs="宋体"/>
                <w:color w:val="auto"/>
                <w:kern w:val="0"/>
                <w:sz w:val="24"/>
                <w:highlight w:val="none"/>
              </w:rPr>
            </w:pPr>
          </w:p>
        </w:tc>
      </w:tr>
      <w:tr w14:paraId="216B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30533D6">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701" w:type="dxa"/>
          </w:tcPr>
          <w:p w14:paraId="772F2DD6">
            <w:pPr>
              <w:shd w:val="clear" w:fill="FFFFFF" w:themeFill="background1"/>
              <w:spacing w:line="360" w:lineRule="auto"/>
              <w:jc w:val="center"/>
              <w:rPr>
                <w:rFonts w:ascii="宋体" w:hAnsi="宋体" w:cs="宋体"/>
                <w:color w:val="auto"/>
                <w:kern w:val="0"/>
                <w:sz w:val="24"/>
                <w:highlight w:val="none"/>
              </w:rPr>
            </w:pPr>
          </w:p>
        </w:tc>
        <w:tc>
          <w:tcPr>
            <w:tcW w:w="1843" w:type="dxa"/>
          </w:tcPr>
          <w:p w14:paraId="73C3F94C">
            <w:pPr>
              <w:shd w:val="clear" w:fill="FFFFFF" w:themeFill="background1"/>
              <w:spacing w:line="360" w:lineRule="auto"/>
              <w:jc w:val="center"/>
              <w:rPr>
                <w:rFonts w:ascii="宋体" w:hAnsi="宋体" w:cs="宋体"/>
                <w:color w:val="auto"/>
                <w:kern w:val="0"/>
                <w:sz w:val="24"/>
                <w:highlight w:val="none"/>
              </w:rPr>
            </w:pPr>
          </w:p>
        </w:tc>
        <w:tc>
          <w:tcPr>
            <w:tcW w:w="1984" w:type="dxa"/>
          </w:tcPr>
          <w:p w14:paraId="230D60A4">
            <w:pPr>
              <w:shd w:val="clear" w:fill="FFFFFF" w:themeFill="background1"/>
              <w:spacing w:line="360" w:lineRule="auto"/>
              <w:jc w:val="center"/>
              <w:rPr>
                <w:rFonts w:ascii="宋体" w:hAnsi="宋体" w:cs="宋体"/>
                <w:color w:val="auto"/>
                <w:kern w:val="0"/>
                <w:sz w:val="24"/>
                <w:highlight w:val="none"/>
              </w:rPr>
            </w:pPr>
          </w:p>
        </w:tc>
        <w:tc>
          <w:tcPr>
            <w:tcW w:w="2126" w:type="dxa"/>
          </w:tcPr>
          <w:p w14:paraId="197D1420">
            <w:pPr>
              <w:shd w:val="clear" w:fill="FFFFFF" w:themeFill="background1"/>
              <w:spacing w:line="360" w:lineRule="auto"/>
              <w:jc w:val="center"/>
              <w:rPr>
                <w:rFonts w:ascii="宋体" w:hAnsi="宋体" w:cs="宋体"/>
                <w:color w:val="auto"/>
                <w:kern w:val="0"/>
                <w:sz w:val="24"/>
                <w:highlight w:val="none"/>
              </w:rPr>
            </w:pPr>
          </w:p>
        </w:tc>
        <w:tc>
          <w:tcPr>
            <w:tcW w:w="1463" w:type="dxa"/>
          </w:tcPr>
          <w:p w14:paraId="0392E01C">
            <w:pPr>
              <w:shd w:val="clear" w:fill="FFFFFF" w:themeFill="background1"/>
              <w:spacing w:line="360" w:lineRule="auto"/>
              <w:jc w:val="center"/>
              <w:rPr>
                <w:rFonts w:ascii="宋体" w:hAnsi="宋体" w:cs="宋体"/>
                <w:color w:val="auto"/>
                <w:kern w:val="0"/>
                <w:sz w:val="24"/>
                <w:highlight w:val="none"/>
              </w:rPr>
            </w:pPr>
          </w:p>
        </w:tc>
      </w:tr>
    </w:tbl>
    <w:p w14:paraId="35FF4400">
      <w:pPr>
        <w:shd w:val="clear" w:fill="FFFFFF" w:themeFill="background1"/>
        <w:spacing w:line="360" w:lineRule="auto"/>
        <w:jc w:val="left"/>
        <w:rPr>
          <w:rFonts w:ascii="宋体" w:hAnsi="宋体" w:cs="宋体"/>
          <w:color w:val="auto"/>
          <w:kern w:val="0"/>
          <w:sz w:val="24"/>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color w:val="auto"/>
          <w:kern w:val="0"/>
          <w:sz w:val="24"/>
          <w:highlight w:val="none"/>
        </w:rPr>
        <w:t>备注：应如实填报信用评价等级使用情况。</w:t>
      </w:r>
    </w:p>
    <w:p w14:paraId="2EFC6A92">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八-2、投标人的自评分表</w:t>
      </w:r>
    </w:p>
    <w:p w14:paraId="00424EDA">
      <w:pPr>
        <w:pStyle w:val="59"/>
        <w:shd w:val="clear" w:fill="FFFFFF" w:themeFill="background1"/>
        <w:jc w:val="center"/>
        <w:rPr>
          <w:rFonts w:ascii="宋体" w:hAnsi="宋体" w:cs="宋体"/>
          <w:b/>
          <w:bCs/>
          <w:color w:val="auto"/>
          <w:highlight w:val="none"/>
        </w:rPr>
      </w:pPr>
    </w:p>
    <w:p w14:paraId="104E2DEC">
      <w:pPr>
        <w:pStyle w:val="59"/>
        <w:shd w:val="clear" w:fill="FFFFFF" w:themeFill="background1"/>
        <w:jc w:val="center"/>
        <w:rPr>
          <w:rFonts w:ascii="宋体" w:hAnsi="宋体" w:cs="宋体"/>
          <w:b/>
          <w:bCs/>
          <w:color w:val="auto"/>
          <w:highlight w:val="none"/>
        </w:rPr>
      </w:pPr>
    </w:p>
    <w:tbl>
      <w:tblPr>
        <w:tblStyle w:val="4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48"/>
        <w:gridCol w:w="1408"/>
        <w:gridCol w:w="1408"/>
        <w:gridCol w:w="1408"/>
        <w:gridCol w:w="1408"/>
        <w:gridCol w:w="1408"/>
      </w:tblGrid>
      <w:tr w14:paraId="4EE6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6" w:type="dxa"/>
            <w:vAlign w:val="center"/>
          </w:tcPr>
          <w:p w14:paraId="16BDD70F">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序号</w:t>
            </w:r>
          </w:p>
        </w:tc>
        <w:tc>
          <w:tcPr>
            <w:tcW w:w="1748" w:type="dxa"/>
            <w:vAlign w:val="center"/>
          </w:tcPr>
          <w:p w14:paraId="64A782C1">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评分因素</w:t>
            </w:r>
          </w:p>
        </w:tc>
        <w:tc>
          <w:tcPr>
            <w:tcW w:w="1408" w:type="dxa"/>
            <w:vAlign w:val="center"/>
          </w:tcPr>
          <w:p w14:paraId="56AD94FD">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满分</w:t>
            </w:r>
          </w:p>
        </w:tc>
        <w:tc>
          <w:tcPr>
            <w:tcW w:w="1408" w:type="dxa"/>
            <w:vAlign w:val="center"/>
          </w:tcPr>
          <w:p w14:paraId="1C1333A5">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评分标准</w:t>
            </w:r>
          </w:p>
        </w:tc>
        <w:tc>
          <w:tcPr>
            <w:tcW w:w="1408" w:type="dxa"/>
            <w:vAlign w:val="center"/>
          </w:tcPr>
          <w:p w14:paraId="52CD6DF5">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自评分</w:t>
            </w:r>
          </w:p>
        </w:tc>
        <w:tc>
          <w:tcPr>
            <w:tcW w:w="1408" w:type="dxa"/>
            <w:vAlign w:val="center"/>
          </w:tcPr>
          <w:p w14:paraId="084F7485">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评分情况</w:t>
            </w:r>
          </w:p>
          <w:p w14:paraId="4F5FF0F5">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说明</w:t>
            </w:r>
          </w:p>
        </w:tc>
        <w:tc>
          <w:tcPr>
            <w:tcW w:w="1408" w:type="dxa"/>
            <w:vAlign w:val="center"/>
          </w:tcPr>
          <w:p w14:paraId="7DA44218">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页码索引</w:t>
            </w:r>
          </w:p>
        </w:tc>
      </w:tr>
      <w:tr w14:paraId="309B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6FB1617F">
            <w:pPr>
              <w:pStyle w:val="59"/>
              <w:shd w:val="clear" w:fill="FFFFFF" w:themeFill="background1"/>
              <w:jc w:val="center"/>
              <w:rPr>
                <w:rFonts w:ascii="宋体" w:hAnsi="宋体" w:cs="宋体"/>
                <w:b/>
                <w:bCs/>
                <w:color w:val="auto"/>
                <w:highlight w:val="none"/>
              </w:rPr>
            </w:pPr>
          </w:p>
        </w:tc>
        <w:tc>
          <w:tcPr>
            <w:tcW w:w="1748" w:type="dxa"/>
          </w:tcPr>
          <w:p w14:paraId="56B55EE1">
            <w:pPr>
              <w:pStyle w:val="59"/>
              <w:shd w:val="clear" w:fill="FFFFFF" w:themeFill="background1"/>
              <w:jc w:val="center"/>
              <w:rPr>
                <w:rFonts w:ascii="宋体" w:hAnsi="宋体" w:cs="宋体"/>
                <w:b/>
                <w:bCs/>
                <w:color w:val="auto"/>
                <w:highlight w:val="none"/>
              </w:rPr>
            </w:pPr>
          </w:p>
        </w:tc>
        <w:tc>
          <w:tcPr>
            <w:tcW w:w="1408" w:type="dxa"/>
          </w:tcPr>
          <w:p w14:paraId="3ADBB16A">
            <w:pPr>
              <w:pStyle w:val="59"/>
              <w:shd w:val="clear" w:fill="FFFFFF" w:themeFill="background1"/>
              <w:jc w:val="center"/>
              <w:rPr>
                <w:rFonts w:ascii="宋体" w:hAnsi="宋体" w:cs="宋体"/>
                <w:b/>
                <w:bCs/>
                <w:color w:val="auto"/>
                <w:highlight w:val="none"/>
              </w:rPr>
            </w:pPr>
          </w:p>
        </w:tc>
        <w:tc>
          <w:tcPr>
            <w:tcW w:w="1408" w:type="dxa"/>
          </w:tcPr>
          <w:p w14:paraId="6FB2EB9E">
            <w:pPr>
              <w:pStyle w:val="59"/>
              <w:shd w:val="clear" w:fill="FFFFFF" w:themeFill="background1"/>
              <w:jc w:val="center"/>
              <w:rPr>
                <w:rFonts w:ascii="宋体" w:hAnsi="宋体" w:cs="宋体"/>
                <w:b/>
                <w:bCs/>
                <w:color w:val="auto"/>
                <w:highlight w:val="none"/>
              </w:rPr>
            </w:pPr>
          </w:p>
        </w:tc>
        <w:tc>
          <w:tcPr>
            <w:tcW w:w="1408" w:type="dxa"/>
          </w:tcPr>
          <w:p w14:paraId="1C4C8814">
            <w:pPr>
              <w:pStyle w:val="59"/>
              <w:shd w:val="clear" w:fill="FFFFFF" w:themeFill="background1"/>
              <w:jc w:val="center"/>
              <w:rPr>
                <w:rFonts w:ascii="宋体" w:hAnsi="宋体" w:cs="宋体"/>
                <w:b/>
                <w:bCs/>
                <w:color w:val="auto"/>
                <w:highlight w:val="none"/>
              </w:rPr>
            </w:pPr>
          </w:p>
        </w:tc>
        <w:tc>
          <w:tcPr>
            <w:tcW w:w="1408" w:type="dxa"/>
          </w:tcPr>
          <w:p w14:paraId="73F7E567">
            <w:pPr>
              <w:pStyle w:val="59"/>
              <w:shd w:val="clear" w:fill="FFFFFF" w:themeFill="background1"/>
              <w:jc w:val="center"/>
              <w:rPr>
                <w:rFonts w:ascii="宋体" w:hAnsi="宋体" w:cs="宋体"/>
                <w:b/>
                <w:bCs/>
                <w:color w:val="auto"/>
                <w:highlight w:val="none"/>
              </w:rPr>
            </w:pPr>
          </w:p>
        </w:tc>
        <w:tc>
          <w:tcPr>
            <w:tcW w:w="1408" w:type="dxa"/>
          </w:tcPr>
          <w:p w14:paraId="77FBDFE1">
            <w:pPr>
              <w:pStyle w:val="59"/>
              <w:shd w:val="clear" w:fill="FFFFFF" w:themeFill="background1"/>
              <w:jc w:val="center"/>
              <w:rPr>
                <w:rFonts w:ascii="宋体" w:hAnsi="宋体" w:cs="宋体"/>
                <w:b/>
                <w:bCs/>
                <w:color w:val="auto"/>
                <w:highlight w:val="none"/>
              </w:rPr>
            </w:pPr>
          </w:p>
        </w:tc>
      </w:tr>
      <w:tr w14:paraId="7E6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262A5926">
            <w:pPr>
              <w:pStyle w:val="59"/>
              <w:shd w:val="clear" w:fill="FFFFFF" w:themeFill="background1"/>
              <w:jc w:val="center"/>
              <w:rPr>
                <w:rFonts w:ascii="宋体" w:hAnsi="宋体" w:cs="宋体"/>
                <w:b/>
                <w:bCs/>
                <w:color w:val="auto"/>
                <w:highlight w:val="none"/>
              </w:rPr>
            </w:pPr>
          </w:p>
        </w:tc>
        <w:tc>
          <w:tcPr>
            <w:tcW w:w="1748" w:type="dxa"/>
          </w:tcPr>
          <w:p w14:paraId="4E8F4F44">
            <w:pPr>
              <w:pStyle w:val="59"/>
              <w:shd w:val="clear" w:fill="FFFFFF" w:themeFill="background1"/>
              <w:jc w:val="center"/>
              <w:rPr>
                <w:rFonts w:ascii="宋体" w:hAnsi="宋体" w:cs="宋体"/>
                <w:b/>
                <w:bCs/>
                <w:color w:val="auto"/>
                <w:highlight w:val="none"/>
              </w:rPr>
            </w:pPr>
          </w:p>
        </w:tc>
        <w:tc>
          <w:tcPr>
            <w:tcW w:w="1408" w:type="dxa"/>
          </w:tcPr>
          <w:p w14:paraId="2B9F5DE4">
            <w:pPr>
              <w:pStyle w:val="59"/>
              <w:shd w:val="clear" w:fill="FFFFFF" w:themeFill="background1"/>
              <w:jc w:val="center"/>
              <w:rPr>
                <w:rFonts w:ascii="宋体" w:hAnsi="宋体" w:cs="宋体"/>
                <w:b/>
                <w:bCs/>
                <w:color w:val="auto"/>
                <w:highlight w:val="none"/>
              </w:rPr>
            </w:pPr>
          </w:p>
        </w:tc>
        <w:tc>
          <w:tcPr>
            <w:tcW w:w="1408" w:type="dxa"/>
          </w:tcPr>
          <w:p w14:paraId="0F6E18EA">
            <w:pPr>
              <w:pStyle w:val="59"/>
              <w:shd w:val="clear" w:fill="FFFFFF" w:themeFill="background1"/>
              <w:jc w:val="center"/>
              <w:rPr>
                <w:rFonts w:ascii="宋体" w:hAnsi="宋体" w:cs="宋体"/>
                <w:b/>
                <w:bCs/>
                <w:color w:val="auto"/>
                <w:highlight w:val="none"/>
              </w:rPr>
            </w:pPr>
          </w:p>
        </w:tc>
        <w:tc>
          <w:tcPr>
            <w:tcW w:w="1408" w:type="dxa"/>
          </w:tcPr>
          <w:p w14:paraId="795335CA">
            <w:pPr>
              <w:pStyle w:val="59"/>
              <w:shd w:val="clear" w:fill="FFFFFF" w:themeFill="background1"/>
              <w:jc w:val="center"/>
              <w:rPr>
                <w:rFonts w:ascii="宋体" w:hAnsi="宋体" w:cs="宋体"/>
                <w:b/>
                <w:bCs/>
                <w:color w:val="auto"/>
                <w:highlight w:val="none"/>
              </w:rPr>
            </w:pPr>
          </w:p>
        </w:tc>
        <w:tc>
          <w:tcPr>
            <w:tcW w:w="1408" w:type="dxa"/>
          </w:tcPr>
          <w:p w14:paraId="6A9229CA">
            <w:pPr>
              <w:pStyle w:val="59"/>
              <w:shd w:val="clear" w:fill="FFFFFF" w:themeFill="background1"/>
              <w:jc w:val="center"/>
              <w:rPr>
                <w:rFonts w:ascii="宋体" w:hAnsi="宋体" w:cs="宋体"/>
                <w:b/>
                <w:bCs/>
                <w:color w:val="auto"/>
                <w:highlight w:val="none"/>
              </w:rPr>
            </w:pPr>
          </w:p>
        </w:tc>
        <w:tc>
          <w:tcPr>
            <w:tcW w:w="1408" w:type="dxa"/>
          </w:tcPr>
          <w:p w14:paraId="529645C4">
            <w:pPr>
              <w:pStyle w:val="59"/>
              <w:shd w:val="clear" w:fill="FFFFFF" w:themeFill="background1"/>
              <w:jc w:val="center"/>
              <w:rPr>
                <w:rFonts w:ascii="宋体" w:hAnsi="宋体" w:cs="宋体"/>
                <w:b/>
                <w:bCs/>
                <w:color w:val="auto"/>
                <w:highlight w:val="none"/>
              </w:rPr>
            </w:pPr>
          </w:p>
        </w:tc>
      </w:tr>
      <w:tr w14:paraId="6331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54022F77">
            <w:pPr>
              <w:pStyle w:val="59"/>
              <w:shd w:val="clear" w:fill="FFFFFF" w:themeFill="background1"/>
              <w:jc w:val="center"/>
              <w:rPr>
                <w:rFonts w:ascii="宋体" w:hAnsi="宋体" w:cs="宋体"/>
                <w:b/>
                <w:bCs/>
                <w:color w:val="auto"/>
                <w:highlight w:val="none"/>
              </w:rPr>
            </w:pPr>
          </w:p>
        </w:tc>
        <w:tc>
          <w:tcPr>
            <w:tcW w:w="1748" w:type="dxa"/>
          </w:tcPr>
          <w:p w14:paraId="3A73BE57">
            <w:pPr>
              <w:pStyle w:val="59"/>
              <w:shd w:val="clear" w:fill="FFFFFF" w:themeFill="background1"/>
              <w:jc w:val="center"/>
              <w:rPr>
                <w:rFonts w:ascii="宋体" w:hAnsi="宋体" w:cs="宋体"/>
                <w:b/>
                <w:bCs/>
                <w:color w:val="auto"/>
                <w:highlight w:val="none"/>
              </w:rPr>
            </w:pPr>
          </w:p>
        </w:tc>
        <w:tc>
          <w:tcPr>
            <w:tcW w:w="1408" w:type="dxa"/>
          </w:tcPr>
          <w:p w14:paraId="2140A144">
            <w:pPr>
              <w:pStyle w:val="59"/>
              <w:shd w:val="clear" w:fill="FFFFFF" w:themeFill="background1"/>
              <w:jc w:val="center"/>
              <w:rPr>
                <w:rFonts w:ascii="宋体" w:hAnsi="宋体" w:cs="宋体"/>
                <w:b/>
                <w:bCs/>
                <w:color w:val="auto"/>
                <w:highlight w:val="none"/>
              </w:rPr>
            </w:pPr>
          </w:p>
        </w:tc>
        <w:tc>
          <w:tcPr>
            <w:tcW w:w="1408" w:type="dxa"/>
          </w:tcPr>
          <w:p w14:paraId="238F93E5">
            <w:pPr>
              <w:pStyle w:val="59"/>
              <w:shd w:val="clear" w:fill="FFFFFF" w:themeFill="background1"/>
              <w:jc w:val="center"/>
              <w:rPr>
                <w:rFonts w:ascii="宋体" w:hAnsi="宋体" w:cs="宋体"/>
                <w:b/>
                <w:bCs/>
                <w:color w:val="auto"/>
                <w:highlight w:val="none"/>
              </w:rPr>
            </w:pPr>
          </w:p>
        </w:tc>
        <w:tc>
          <w:tcPr>
            <w:tcW w:w="1408" w:type="dxa"/>
          </w:tcPr>
          <w:p w14:paraId="1E62B857">
            <w:pPr>
              <w:pStyle w:val="59"/>
              <w:shd w:val="clear" w:fill="FFFFFF" w:themeFill="background1"/>
              <w:jc w:val="center"/>
              <w:rPr>
                <w:rFonts w:ascii="宋体" w:hAnsi="宋体" w:cs="宋体"/>
                <w:b/>
                <w:bCs/>
                <w:color w:val="auto"/>
                <w:highlight w:val="none"/>
              </w:rPr>
            </w:pPr>
          </w:p>
        </w:tc>
        <w:tc>
          <w:tcPr>
            <w:tcW w:w="1408" w:type="dxa"/>
          </w:tcPr>
          <w:p w14:paraId="3B6CA986">
            <w:pPr>
              <w:pStyle w:val="59"/>
              <w:shd w:val="clear" w:fill="FFFFFF" w:themeFill="background1"/>
              <w:jc w:val="center"/>
              <w:rPr>
                <w:rFonts w:ascii="宋体" w:hAnsi="宋体" w:cs="宋体"/>
                <w:b/>
                <w:bCs/>
                <w:color w:val="auto"/>
                <w:highlight w:val="none"/>
              </w:rPr>
            </w:pPr>
          </w:p>
        </w:tc>
        <w:tc>
          <w:tcPr>
            <w:tcW w:w="1408" w:type="dxa"/>
          </w:tcPr>
          <w:p w14:paraId="6F8F63A2">
            <w:pPr>
              <w:pStyle w:val="59"/>
              <w:shd w:val="clear" w:fill="FFFFFF" w:themeFill="background1"/>
              <w:jc w:val="center"/>
              <w:rPr>
                <w:rFonts w:ascii="宋体" w:hAnsi="宋体" w:cs="宋体"/>
                <w:b/>
                <w:bCs/>
                <w:color w:val="auto"/>
                <w:highlight w:val="none"/>
              </w:rPr>
            </w:pPr>
          </w:p>
        </w:tc>
      </w:tr>
      <w:tr w14:paraId="504D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 w:hRule="atLeast"/>
        </w:trPr>
        <w:tc>
          <w:tcPr>
            <w:tcW w:w="1066" w:type="dxa"/>
          </w:tcPr>
          <w:p w14:paraId="5DB838C8">
            <w:pPr>
              <w:pStyle w:val="59"/>
              <w:shd w:val="clear" w:fill="FFFFFF" w:themeFill="background1"/>
              <w:jc w:val="center"/>
              <w:rPr>
                <w:rFonts w:ascii="宋体" w:hAnsi="宋体" w:cs="宋体"/>
                <w:b/>
                <w:bCs/>
                <w:color w:val="auto"/>
                <w:highlight w:val="none"/>
              </w:rPr>
            </w:pPr>
          </w:p>
        </w:tc>
        <w:tc>
          <w:tcPr>
            <w:tcW w:w="1748" w:type="dxa"/>
          </w:tcPr>
          <w:p w14:paraId="3848BFF1">
            <w:pPr>
              <w:pStyle w:val="59"/>
              <w:shd w:val="clear" w:fill="FFFFFF" w:themeFill="background1"/>
              <w:jc w:val="center"/>
              <w:rPr>
                <w:rFonts w:ascii="宋体" w:hAnsi="宋体" w:cs="宋体"/>
                <w:b/>
                <w:bCs/>
                <w:color w:val="auto"/>
                <w:highlight w:val="none"/>
              </w:rPr>
            </w:pPr>
          </w:p>
        </w:tc>
        <w:tc>
          <w:tcPr>
            <w:tcW w:w="1408" w:type="dxa"/>
          </w:tcPr>
          <w:p w14:paraId="42B9ADCA">
            <w:pPr>
              <w:pStyle w:val="59"/>
              <w:shd w:val="clear" w:fill="FFFFFF" w:themeFill="background1"/>
              <w:jc w:val="center"/>
              <w:rPr>
                <w:rFonts w:ascii="宋体" w:hAnsi="宋体" w:cs="宋体"/>
                <w:b/>
                <w:bCs/>
                <w:color w:val="auto"/>
                <w:highlight w:val="none"/>
              </w:rPr>
            </w:pPr>
          </w:p>
        </w:tc>
        <w:tc>
          <w:tcPr>
            <w:tcW w:w="1408" w:type="dxa"/>
          </w:tcPr>
          <w:p w14:paraId="3BB7CADA">
            <w:pPr>
              <w:pStyle w:val="59"/>
              <w:shd w:val="clear" w:fill="FFFFFF" w:themeFill="background1"/>
              <w:jc w:val="center"/>
              <w:rPr>
                <w:rFonts w:ascii="宋体" w:hAnsi="宋体" w:cs="宋体"/>
                <w:b/>
                <w:bCs/>
                <w:color w:val="auto"/>
                <w:highlight w:val="none"/>
              </w:rPr>
            </w:pPr>
          </w:p>
        </w:tc>
        <w:tc>
          <w:tcPr>
            <w:tcW w:w="1408" w:type="dxa"/>
          </w:tcPr>
          <w:p w14:paraId="3FE4554D">
            <w:pPr>
              <w:pStyle w:val="59"/>
              <w:shd w:val="clear" w:fill="FFFFFF" w:themeFill="background1"/>
              <w:jc w:val="center"/>
              <w:rPr>
                <w:rFonts w:ascii="宋体" w:hAnsi="宋体" w:cs="宋体"/>
                <w:b/>
                <w:bCs/>
                <w:color w:val="auto"/>
                <w:highlight w:val="none"/>
              </w:rPr>
            </w:pPr>
          </w:p>
        </w:tc>
        <w:tc>
          <w:tcPr>
            <w:tcW w:w="1408" w:type="dxa"/>
          </w:tcPr>
          <w:p w14:paraId="50167EDC">
            <w:pPr>
              <w:pStyle w:val="59"/>
              <w:shd w:val="clear" w:fill="FFFFFF" w:themeFill="background1"/>
              <w:jc w:val="center"/>
              <w:rPr>
                <w:rFonts w:ascii="宋体" w:hAnsi="宋体" w:cs="宋体"/>
                <w:b/>
                <w:bCs/>
                <w:color w:val="auto"/>
                <w:highlight w:val="none"/>
              </w:rPr>
            </w:pPr>
          </w:p>
        </w:tc>
        <w:tc>
          <w:tcPr>
            <w:tcW w:w="1408" w:type="dxa"/>
          </w:tcPr>
          <w:p w14:paraId="46C02E41">
            <w:pPr>
              <w:pStyle w:val="59"/>
              <w:shd w:val="clear" w:fill="FFFFFF" w:themeFill="background1"/>
              <w:jc w:val="center"/>
              <w:rPr>
                <w:rFonts w:ascii="宋体" w:hAnsi="宋体" w:cs="宋体"/>
                <w:b/>
                <w:bCs/>
                <w:color w:val="auto"/>
                <w:highlight w:val="none"/>
              </w:rPr>
            </w:pPr>
          </w:p>
        </w:tc>
      </w:tr>
      <w:tr w14:paraId="1036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7166DBF">
            <w:pPr>
              <w:pStyle w:val="59"/>
              <w:shd w:val="clear" w:fill="FFFFFF" w:themeFill="background1"/>
              <w:jc w:val="center"/>
              <w:rPr>
                <w:rFonts w:ascii="宋体" w:hAnsi="宋体" w:cs="宋体"/>
                <w:b/>
                <w:bCs/>
                <w:color w:val="auto"/>
                <w:highlight w:val="none"/>
              </w:rPr>
            </w:pPr>
          </w:p>
        </w:tc>
        <w:tc>
          <w:tcPr>
            <w:tcW w:w="1748" w:type="dxa"/>
          </w:tcPr>
          <w:p w14:paraId="438A9632">
            <w:pPr>
              <w:pStyle w:val="59"/>
              <w:shd w:val="clear" w:fill="FFFFFF" w:themeFill="background1"/>
              <w:jc w:val="center"/>
              <w:rPr>
                <w:rFonts w:ascii="宋体" w:hAnsi="宋体" w:cs="宋体"/>
                <w:b/>
                <w:bCs/>
                <w:color w:val="auto"/>
                <w:highlight w:val="none"/>
              </w:rPr>
            </w:pPr>
          </w:p>
        </w:tc>
        <w:tc>
          <w:tcPr>
            <w:tcW w:w="1408" w:type="dxa"/>
          </w:tcPr>
          <w:p w14:paraId="0B95FE49">
            <w:pPr>
              <w:pStyle w:val="59"/>
              <w:shd w:val="clear" w:fill="FFFFFF" w:themeFill="background1"/>
              <w:jc w:val="center"/>
              <w:rPr>
                <w:rFonts w:ascii="宋体" w:hAnsi="宋体" w:cs="宋体"/>
                <w:b/>
                <w:bCs/>
                <w:color w:val="auto"/>
                <w:highlight w:val="none"/>
              </w:rPr>
            </w:pPr>
          </w:p>
        </w:tc>
        <w:tc>
          <w:tcPr>
            <w:tcW w:w="1408" w:type="dxa"/>
          </w:tcPr>
          <w:p w14:paraId="41067481">
            <w:pPr>
              <w:pStyle w:val="59"/>
              <w:shd w:val="clear" w:fill="FFFFFF" w:themeFill="background1"/>
              <w:jc w:val="center"/>
              <w:rPr>
                <w:rFonts w:ascii="宋体" w:hAnsi="宋体" w:cs="宋体"/>
                <w:b/>
                <w:bCs/>
                <w:color w:val="auto"/>
                <w:highlight w:val="none"/>
              </w:rPr>
            </w:pPr>
          </w:p>
        </w:tc>
        <w:tc>
          <w:tcPr>
            <w:tcW w:w="1408" w:type="dxa"/>
          </w:tcPr>
          <w:p w14:paraId="6CC3BDC5">
            <w:pPr>
              <w:pStyle w:val="59"/>
              <w:shd w:val="clear" w:fill="FFFFFF" w:themeFill="background1"/>
              <w:jc w:val="center"/>
              <w:rPr>
                <w:rFonts w:ascii="宋体" w:hAnsi="宋体" w:cs="宋体"/>
                <w:b/>
                <w:bCs/>
                <w:color w:val="auto"/>
                <w:highlight w:val="none"/>
              </w:rPr>
            </w:pPr>
          </w:p>
        </w:tc>
        <w:tc>
          <w:tcPr>
            <w:tcW w:w="1408" w:type="dxa"/>
          </w:tcPr>
          <w:p w14:paraId="048674AD">
            <w:pPr>
              <w:pStyle w:val="59"/>
              <w:shd w:val="clear" w:fill="FFFFFF" w:themeFill="background1"/>
              <w:jc w:val="center"/>
              <w:rPr>
                <w:rFonts w:ascii="宋体" w:hAnsi="宋体" w:cs="宋体"/>
                <w:b/>
                <w:bCs/>
                <w:color w:val="auto"/>
                <w:highlight w:val="none"/>
              </w:rPr>
            </w:pPr>
          </w:p>
        </w:tc>
        <w:tc>
          <w:tcPr>
            <w:tcW w:w="1408" w:type="dxa"/>
          </w:tcPr>
          <w:p w14:paraId="7A6FD75B">
            <w:pPr>
              <w:pStyle w:val="59"/>
              <w:shd w:val="clear" w:fill="FFFFFF" w:themeFill="background1"/>
              <w:jc w:val="center"/>
              <w:rPr>
                <w:rFonts w:ascii="宋体" w:hAnsi="宋体" w:cs="宋体"/>
                <w:b/>
                <w:bCs/>
                <w:color w:val="auto"/>
                <w:highlight w:val="none"/>
              </w:rPr>
            </w:pPr>
          </w:p>
        </w:tc>
      </w:tr>
      <w:tr w14:paraId="5023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51DBB62E">
            <w:pPr>
              <w:pStyle w:val="59"/>
              <w:shd w:val="clear" w:fill="FFFFFF" w:themeFill="background1"/>
              <w:jc w:val="center"/>
              <w:rPr>
                <w:rFonts w:ascii="宋体" w:hAnsi="宋体" w:cs="宋体"/>
                <w:b/>
                <w:bCs/>
                <w:color w:val="auto"/>
                <w:highlight w:val="none"/>
              </w:rPr>
            </w:pPr>
          </w:p>
        </w:tc>
        <w:tc>
          <w:tcPr>
            <w:tcW w:w="1748" w:type="dxa"/>
          </w:tcPr>
          <w:p w14:paraId="01A51A04">
            <w:pPr>
              <w:pStyle w:val="59"/>
              <w:shd w:val="clear" w:fill="FFFFFF" w:themeFill="background1"/>
              <w:jc w:val="center"/>
              <w:rPr>
                <w:rFonts w:ascii="宋体" w:hAnsi="宋体" w:cs="宋体"/>
                <w:b/>
                <w:bCs/>
                <w:color w:val="auto"/>
                <w:highlight w:val="none"/>
              </w:rPr>
            </w:pPr>
          </w:p>
        </w:tc>
        <w:tc>
          <w:tcPr>
            <w:tcW w:w="1408" w:type="dxa"/>
          </w:tcPr>
          <w:p w14:paraId="70CCF957">
            <w:pPr>
              <w:pStyle w:val="59"/>
              <w:shd w:val="clear" w:fill="FFFFFF" w:themeFill="background1"/>
              <w:jc w:val="center"/>
              <w:rPr>
                <w:rFonts w:ascii="宋体" w:hAnsi="宋体" w:cs="宋体"/>
                <w:b/>
                <w:bCs/>
                <w:color w:val="auto"/>
                <w:highlight w:val="none"/>
              </w:rPr>
            </w:pPr>
          </w:p>
        </w:tc>
        <w:tc>
          <w:tcPr>
            <w:tcW w:w="1408" w:type="dxa"/>
          </w:tcPr>
          <w:p w14:paraId="427DF9B1">
            <w:pPr>
              <w:pStyle w:val="59"/>
              <w:shd w:val="clear" w:fill="FFFFFF" w:themeFill="background1"/>
              <w:jc w:val="center"/>
              <w:rPr>
                <w:rFonts w:ascii="宋体" w:hAnsi="宋体" w:cs="宋体"/>
                <w:b/>
                <w:bCs/>
                <w:color w:val="auto"/>
                <w:highlight w:val="none"/>
              </w:rPr>
            </w:pPr>
          </w:p>
        </w:tc>
        <w:tc>
          <w:tcPr>
            <w:tcW w:w="1408" w:type="dxa"/>
          </w:tcPr>
          <w:p w14:paraId="47778086">
            <w:pPr>
              <w:pStyle w:val="59"/>
              <w:shd w:val="clear" w:fill="FFFFFF" w:themeFill="background1"/>
              <w:jc w:val="center"/>
              <w:rPr>
                <w:rFonts w:ascii="宋体" w:hAnsi="宋体" w:cs="宋体"/>
                <w:b/>
                <w:bCs/>
                <w:color w:val="auto"/>
                <w:highlight w:val="none"/>
              </w:rPr>
            </w:pPr>
          </w:p>
        </w:tc>
        <w:tc>
          <w:tcPr>
            <w:tcW w:w="1408" w:type="dxa"/>
          </w:tcPr>
          <w:p w14:paraId="1B362976">
            <w:pPr>
              <w:pStyle w:val="59"/>
              <w:shd w:val="clear" w:fill="FFFFFF" w:themeFill="background1"/>
              <w:jc w:val="center"/>
              <w:rPr>
                <w:rFonts w:ascii="宋体" w:hAnsi="宋体" w:cs="宋体"/>
                <w:b/>
                <w:bCs/>
                <w:color w:val="auto"/>
                <w:highlight w:val="none"/>
              </w:rPr>
            </w:pPr>
          </w:p>
        </w:tc>
        <w:tc>
          <w:tcPr>
            <w:tcW w:w="1408" w:type="dxa"/>
          </w:tcPr>
          <w:p w14:paraId="73B3F706">
            <w:pPr>
              <w:pStyle w:val="59"/>
              <w:shd w:val="clear" w:fill="FFFFFF" w:themeFill="background1"/>
              <w:jc w:val="center"/>
              <w:rPr>
                <w:rFonts w:ascii="宋体" w:hAnsi="宋体" w:cs="宋体"/>
                <w:b/>
                <w:bCs/>
                <w:color w:val="auto"/>
                <w:highlight w:val="none"/>
              </w:rPr>
            </w:pPr>
          </w:p>
        </w:tc>
      </w:tr>
      <w:tr w14:paraId="0F49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2BF76031">
            <w:pPr>
              <w:pStyle w:val="59"/>
              <w:shd w:val="clear" w:fill="FFFFFF" w:themeFill="background1"/>
              <w:jc w:val="center"/>
              <w:rPr>
                <w:rFonts w:ascii="宋体" w:hAnsi="宋体" w:cs="宋体"/>
                <w:b/>
                <w:bCs/>
                <w:color w:val="auto"/>
                <w:highlight w:val="none"/>
              </w:rPr>
            </w:pPr>
          </w:p>
        </w:tc>
        <w:tc>
          <w:tcPr>
            <w:tcW w:w="1748" w:type="dxa"/>
          </w:tcPr>
          <w:p w14:paraId="7C8CE46E">
            <w:pPr>
              <w:pStyle w:val="59"/>
              <w:shd w:val="clear" w:fill="FFFFFF" w:themeFill="background1"/>
              <w:jc w:val="center"/>
              <w:rPr>
                <w:rFonts w:ascii="宋体" w:hAnsi="宋体" w:cs="宋体"/>
                <w:b/>
                <w:bCs/>
                <w:color w:val="auto"/>
                <w:highlight w:val="none"/>
              </w:rPr>
            </w:pPr>
          </w:p>
        </w:tc>
        <w:tc>
          <w:tcPr>
            <w:tcW w:w="1408" w:type="dxa"/>
          </w:tcPr>
          <w:p w14:paraId="7DF9F9D1">
            <w:pPr>
              <w:pStyle w:val="59"/>
              <w:shd w:val="clear" w:fill="FFFFFF" w:themeFill="background1"/>
              <w:jc w:val="center"/>
              <w:rPr>
                <w:rFonts w:ascii="宋体" w:hAnsi="宋体" w:cs="宋体"/>
                <w:b/>
                <w:bCs/>
                <w:color w:val="auto"/>
                <w:highlight w:val="none"/>
              </w:rPr>
            </w:pPr>
          </w:p>
        </w:tc>
        <w:tc>
          <w:tcPr>
            <w:tcW w:w="1408" w:type="dxa"/>
          </w:tcPr>
          <w:p w14:paraId="745E0306">
            <w:pPr>
              <w:pStyle w:val="59"/>
              <w:shd w:val="clear" w:fill="FFFFFF" w:themeFill="background1"/>
              <w:jc w:val="center"/>
              <w:rPr>
                <w:rFonts w:ascii="宋体" w:hAnsi="宋体" w:cs="宋体"/>
                <w:b/>
                <w:bCs/>
                <w:color w:val="auto"/>
                <w:highlight w:val="none"/>
              </w:rPr>
            </w:pPr>
          </w:p>
        </w:tc>
        <w:tc>
          <w:tcPr>
            <w:tcW w:w="1408" w:type="dxa"/>
          </w:tcPr>
          <w:p w14:paraId="287D1599">
            <w:pPr>
              <w:pStyle w:val="59"/>
              <w:shd w:val="clear" w:fill="FFFFFF" w:themeFill="background1"/>
              <w:jc w:val="center"/>
              <w:rPr>
                <w:rFonts w:ascii="宋体" w:hAnsi="宋体" w:cs="宋体"/>
                <w:b/>
                <w:bCs/>
                <w:color w:val="auto"/>
                <w:highlight w:val="none"/>
              </w:rPr>
            </w:pPr>
          </w:p>
        </w:tc>
        <w:tc>
          <w:tcPr>
            <w:tcW w:w="1408" w:type="dxa"/>
          </w:tcPr>
          <w:p w14:paraId="6848D75A">
            <w:pPr>
              <w:pStyle w:val="59"/>
              <w:shd w:val="clear" w:fill="FFFFFF" w:themeFill="background1"/>
              <w:jc w:val="center"/>
              <w:rPr>
                <w:rFonts w:ascii="宋体" w:hAnsi="宋体" w:cs="宋体"/>
                <w:b/>
                <w:bCs/>
                <w:color w:val="auto"/>
                <w:highlight w:val="none"/>
              </w:rPr>
            </w:pPr>
          </w:p>
        </w:tc>
        <w:tc>
          <w:tcPr>
            <w:tcW w:w="1408" w:type="dxa"/>
          </w:tcPr>
          <w:p w14:paraId="045CB41A">
            <w:pPr>
              <w:pStyle w:val="59"/>
              <w:shd w:val="clear" w:fill="FFFFFF" w:themeFill="background1"/>
              <w:jc w:val="center"/>
              <w:rPr>
                <w:rFonts w:ascii="宋体" w:hAnsi="宋体" w:cs="宋体"/>
                <w:b/>
                <w:bCs/>
                <w:color w:val="auto"/>
                <w:highlight w:val="none"/>
              </w:rPr>
            </w:pPr>
          </w:p>
        </w:tc>
      </w:tr>
      <w:tr w14:paraId="7BB4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814" w:type="dxa"/>
            <w:gridSpan w:val="2"/>
            <w:vAlign w:val="center"/>
          </w:tcPr>
          <w:p w14:paraId="6C47B09A">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合计</w:t>
            </w:r>
          </w:p>
        </w:tc>
        <w:tc>
          <w:tcPr>
            <w:tcW w:w="1408" w:type="dxa"/>
          </w:tcPr>
          <w:p w14:paraId="1B683FDE">
            <w:pPr>
              <w:pStyle w:val="59"/>
              <w:shd w:val="clear" w:fill="FFFFFF" w:themeFill="background1"/>
              <w:jc w:val="center"/>
              <w:rPr>
                <w:rFonts w:ascii="宋体" w:hAnsi="宋体" w:cs="宋体"/>
                <w:b/>
                <w:bCs/>
                <w:color w:val="auto"/>
                <w:highlight w:val="none"/>
              </w:rPr>
            </w:pPr>
          </w:p>
        </w:tc>
        <w:tc>
          <w:tcPr>
            <w:tcW w:w="1408" w:type="dxa"/>
          </w:tcPr>
          <w:p w14:paraId="376CB426">
            <w:pPr>
              <w:pStyle w:val="59"/>
              <w:shd w:val="clear" w:fill="FFFFFF" w:themeFill="background1"/>
              <w:jc w:val="center"/>
              <w:rPr>
                <w:rFonts w:ascii="宋体" w:hAnsi="宋体" w:cs="宋体"/>
                <w:b/>
                <w:bCs/>
                <w:color w:val="auto"/>
                <w:highlight w:val="none"/>
              </w:rPr>
            </w:pPr>
          </w:p>
        </w:tc>
        <w:tc>
          <w:tcPr>
            <w:tcW w:w="1408" w:type="dxa"/>
          </w:tcPr>
          <w:p w14:paraId="4045F527">
            <w:pPr>
              <w:pStyle w:val="59"/>
              <w:shd w:val="clear" w:fill="FFFFFF" w:themeFill="background1"/>
              <w:jc w:val="center"/>
              <w:rPr>
                <w:rFonts w:ascii="宋体" w:hAnsi="宋体" w:cs="宋体"/>
                <w:b/>
                <w:bCs/>
                <w:color w:val="auto"/>
                <w:highlight w:val="none"/>
              </w:rPr>
            </w:pPr>
          </w:p>
        </w:tc>
        <w:tc>
          <w:tcPr>
            <w:tcW w:w="1408" w:type="dxa"/>
          </w:tcPr>
          <w:p w14:paraId="15F9A28E">
            <w:pPr>
              <w:pStyle w:val="59"/>
              <w:shd w:val="clear" w:fill="FFFFFF" w:themeFill="background1"/>
              <w:jc w:val="center"/>
              <w:rPr>
                <w:rFonts w:ascii="宋体" w:hAnsi="宋体" w:cs="宋体"/>
                <w:b/>
                <w:bCs/>
                <w:color w:val="auto"/>
                <w:highlight w:val="none"/>
              </w:rPr>
            </w:pPr>
          </w:p>
        </w:tc>
        <w:tc>
          <w:tcPr>
            <w:tcW w:w="1408" w:type="dxa"/>
          </w:tcPr>
          <w:p w14:paraId="54FB65A0">
            <w:pPr>
              <w:pStyle w:val="59"/>
              <w:shd w:val="clear" w:fill="FFFFFF" w:themeFill="background1"/>
              <w:jc w:val="center"/>
              <w:rPr>
                <w:rFonts w:ascii="宋体" w:hAnsi="宋体" w:cs="宋体"/>
                <w:b/>
                <w:bCs/>
                <w:color w:val="auto"/>
                <w:highlight w:val="none"/>
              </w:rPr>
            </w:pPr>
          </w:p>
        </w:tc>
      </w:tr>
    </w:tbl>
    <w:p w14:paraId="23382898">
      <w:pPr>
        <w:pStyle w:val="59"/>
        <w:shd w:val="clear" w:fill="FFFFFF" w:themeFill="background1"/>
        <w:jc w:val="left"/>
        <w:rPr>
          <w:rFonts w:ascii="宋体" w:hAnsi="宋体" w:cs="宋体"/>
          <w:b/>
          <w:bCs/>
          <w:color w:val="auto"/>
          <w:highlight w:val="none"/>
        </w:rPr>
      </w:pPr>
    </w:p>
    <w:p w14:paraId="4ABC2A5D">
      <w:pPr>
        <w:pStyle w:val="59"/>
        <w:shd w:val="clear" w:fill="FFFFFF" w:themeFill="background1"/>
        <w:jc w:val="left"/>
        <w:rPr>
          <w:rFonts w:ascii="宋体" w:hAnsi="宋体" w:cs="宋体"/>
          <w:b/>
          <w:bCs/>
          <w:color w:val="auto"/>
          <w:highlight w:val="none"/>
        </w:rPr>
      </w:pPr>
    </w:p>
    <w:p w14:paraId="35367317">
      <w:pPr>
        <w:pStyle w:val="59"/>
        <w:shd w:val="clear" w:fill="FFFFFF" w:themeFill="background1"/>
        <w:jc w:val="left"/>
        <w:rPr>
          <w:rFonts w:ascii="宋体" w:hAnsi="宋体" w:cs="宋体"/>
          <w:b/>
          <w:bCs/>
          <w:color w:val="auto"/>
          <w:highlight w:val="none"/>
        </w:rPr>
      </w:pPr>
    </w:p>
    <w:p w14:paraId="4652673A">
      <w:pPr>
        <w:pStyle w:val="59"/>
        <w:shd w:val="clear" w:fill="FFFFFF" w:themeFill="background1"/>
        <w:spacing w:line="480" w:lineRule="auto"/>
        <w:ind w:firstLine="4096" w:firstLineChars="1700"/>
        <w:jc w:val="left"/>
        <w:rPr>
          <w:rFonts w:ascii="宋体" w:hAnsi="宋体" w:cs="宋体"/>
          <w:b/>
          <w:bCs/>
          <w:color w:val="auto"/>
          <w:highlight w:val="none"/>
        </w:rPr>
      </w:pPr>
      <w:r>
        <w:rPr>
          <w:rFonts w:hint="eastAsia" w:ascii="宋体" w:hAnsi="宋体" w:cs="宋体"/>
          <w:b/>
          <w:bCs/>
          <w:color w:val="auto"/>
          <w:highlight w:val="none"/>
        </w:rPr>
        <w:t xml:space="preserve">投标人： </w:t>
      </w:r>
      <w:r>
        <w:rPr>
          <w:rFonts w:hint="eastAsia" w:ascii="宋体" w:hAnsi="宋体" w:cs="宋体"/>
          <w:b/>
          <w:bCs/>
          <w:color w:val="auto"/>
          <w:highlight w:val="none"/>
          <w:u w:val="single"/>
        </w:rPr>
        <w:t xml:space="preserve">                        </w:t>
      </w:r>
      <w:r>
        <w:rPr>
          <w:rFonts w:hint="eastAsia" w:ascii="宋体" w:hAnsi="宋体" w:cs="宋体"/>
          <w:b/>
          <w:bCs/>
          <w:color w:val="auto"/>
          <w:highlight w:val="none"/>
        </w:rPr>
        <w:t>(盖单位章)</w:t>
      </w:r>
    </w:p>
    <w:p w14:paraId="756D834C">
      <w:pPr>
        <w:pStyle w:val="59"/>
        <w:shd w:val="clear" w:fill="FFFFFF" w:themeFill="background1"/>
        <w:spacing w:line="480" w:lineRule="auto"/>
        <w:ind w:firstLine="4096" w:firstLineChars="1700"/>
        <w:jc w:val="left"/>
        <w:rPr>
          <w:rFonts w:ascii="宋体" w:hAnsi="宋体" w:cs="宋体"/>
          <w:b/>
          <w:bCs/>
          <w:color w:val="auto"/>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b/>
          <w:bCs/>
          <w:color w:val="auto"/>
          <w:highlight w:val="none"/>
        </w:rPr>
        <w:t>法定代表人或其委托代理人：</w:t>
      </w:r>
      <w:r>
        <w:rPr>
          <w:rFonts w:hint="eastAsia" w:ascii="宋体" w:hAnsi="宋体" w:cs="宋体"/>
          <w:b/>
          <w:bCs/>
          <w:color w:val="auto"/>
          <w:highlight w:val="none"/>
          <w:u w:val="single"/>
        </w:rPr>
        <w:t xml:space="preserve">      </w:t>
      </w:r>
      <w:r>
        <w:rPr>
          <w:rFonts w:hint="eastAsia" w:ascii="宋体" w:hAnsi="宋体" w:cs="宋体"/>
          <w:b/>
          <w:bCs/>
          <w:color w:val="auto"/>
          <w:highlight w:val="none"/>
        </w:rPr>
        <w:t>（签字）</w:t>
      </w:r>
    </w:p>
    <w:p w14:paraId="5DCB2598">
      <w:pPr>
        <w:shd w:val="clear" w:fill="FFFFFF" w:themeFill="background1"/>
        <w:spacing w:line="360" w:lineRule="auto"/>
        <w:jc w:val="center"/>
        <w:rPr>
          <w:rFonts w:ascii="宋体" w:hAnsi="宋体"/>
          <w:b/>
          <w:color w:val="auto"/>
          <w:sz w:val="32"/>
          <w:szCs w:val="32"/>
          <w:highlight w:val="none"/>
          <w:u w:val="single"/>
        </w:rPr>
      </w:pPr>
    </w:p>
    <w:p w14:paraId="6A8DB359">
      <w:pPr>
        <w:shd w:val="clear" w:fill="FFFFFF" w:themeFill="background1"/>
        <w:spacing w:line="360" w:lineRule="auto"/>
        <w:jc w:val="center"/>
        <w:rPr>
          <w:rFonts w:ascii="宋体" w:hAnsi="宋体"/>
          <w:b/>
          <w:color w:val="auto"/>
          <w:sz w:val="32"/>
          <w:szCs w:val="32"/>
          <w:highlight w:val="none"/>
          <w:u w:val="single"/>
        </w:rPr>
      </w:pPr>
    </w:p>
    <w:p w14:paraId="3A2DA25A">
      <w:pPr>
        <w:shd w:val="clear" w:fill="FFFFFF" w:themeFill="background1"/>
        <w:spacing w:line="360" w:lineRule="auto"/>
        <w:ind w:firstLine="883" w:firstLineChars="200"/>
        <w:jc w:val="center"/>
        <w:rPr>
          <w:rFonts w:ascii="宋体" w:hAnsi="宋体"/>
          <w:b/>
          <w:color w:val="auto"/>
          <w:sz w:val="44"/>
          <w:szCs w:val="44"/>
          <w:highlight w:val="none"/>
          <w:u w:val="single"/>
        </w:rPr>
      </w:pPr>
      <w:r>
        <w:rPr>
          <w:rFonts w:hint="eastAsia" w:ascii="宋体" w:hAnsi="宋体"/>
          <w:b/>
          <w:color w:val="auto"/>
          <w:sz w:val="44"/>
          <w:szCs w:val="44"/>
          <w:highlight w:val="none"/>
          <w:u w:val="single"/>
        </w:rPr>
        <w:t>广东省</w:t>
      </w:r>
    </w:p>
    <w:p w14:paraId="2CB4E4B6">
      <w:pPr>
        <w:shd w:val="clear" w:fill="FFFFFF" w:themeFill="background1"/>
        <w:spacing w:line="360" w:lineRule="auto"/>
        <w:ind w:firstLine="883" w:firstLineChars="200"/>
        <w:jc w:val="center"/>
        <w:rPr>
          <w:rFonts w:ascii="宋体" w:hAnsi="宋体"/>
          <w:b/>
          <w:color w:val="auto"/>
          <w:sz w:val="44"/>
          <w:szCs w:val="44"/>
          <w:highlight w:val="none"/>
          <w:u w:val="single"/>
        </w:rPr>
      </w:pPr>
    </w:p>
    <w:p w14:paraId="4E6F4D27">
      <w:pPr>
        <w:shd w:val="clear" w:fill="FFFFFF" w:themeFill="background1"/>
        <w:spacing w:line="360" w:lineRule="auto"/>
        <w:jc w:val="center"/>
        <w:rPr>
          <w:rFonts w:ascii="宋体" w:hAnsi="宋体" w:cs="宋体"/>
          <w:b/>
          <w:color w:val="auto"/>
          <w:sz w:val="32"/>
          <w:szCs w:val="32"/>
          <w:highlight w:val="none"/>
        </w:rPr>
      </w:pPr>
      <w:r>
        <w:rPr>
          <w:rFonts w:hint="eastAsia" w:ascii="宋体" w:hAnsi="宋体"/>
          <w:b/>
          <w:color w:val="auto"/>
          <w:sz w:val="44"/>
          <w:szCs w:val="44"/>
          <w:highlight w:val="none"/>
          <w:u w:val="single"/>
        </w:rPr>
        <w:t xml:space="preserve">     </w:t>
      </w:r>
      <w:r>
        <w:rPr>
          <w:rFonts w:ascii="宋体" w:hAnsi="宋体"/>
          <w:b/>
          <w:color w:val="auto"/>
          <w:sz w:val="44"/>
          <w:szCs w:val="44"/>
          <w:highlight w:val="none"/>
          <w:u w:val="single"/>
        </w:rPr>
        <w:t>（项目名称）</w:t>
      </w:r>
      <w:r>
        <w:rPr>
          <w:rFonts w:hint="eastAsia" w:ascii="宋体" w:hAnsi="宋体"/>
          <w:b/>
          <w:color w:val="auto"/>
          <w:sz w:val="44"/>
          <w:szCs w:val="44"/>
          <w:highlight w:val="none"/>
          <w:u w:val="single"/>
        </w:rPr>
        <w:t xml:space="preserve">    </w:t>
      </w:r>
      <w:r>
        <w:rPr>
          <w:rFonts w:hint="eastAsia" w:ascii="宋体" w:hAnsi="宋体"/>
          <w:b/>
          <w:color w:val="auto"/>
          <w:sz w:val="44"/>
          <w:szCs w:val="44"/>
          <w:highlight w:val="none"/>
        </w:rPr>
        <w:t>施工招标</w:t>
      </w:r>
    </w:p>
    <w:p w14:paraId="263AE222">
      <w:pPr>
        <w:shd w:val="clear" w:fill="FFFFFF" w:themeFill="background1"/>
        <w:spacing w:line="360" w:lineRule="auto"/>
        <w:ind w:firstLine="420" w:firstLineChars="200"/>
        <w:rPr>
          <w:rFonts w:ascii="宋体" w:hAnsi="宋体" w:cs="宋体"/>
          <w:color w:val="auto"/>
          <w:szCs w:val="21"/>
          <w:highlight w:val="none"/>
        </w:rPr>
      </w:pPr>
    </w:p>
    <w:p w14:paraId="2FCF83CA">
      <w:pPr>
        <w:shd w:val="clear" w:fill="FFFFFF" w:themeFill="background1"/>
        <w:spacing w:line="360" w:lineRule="auto"/>
        <w:ind w:firstLine="420" w:firstLineChars="200"/>
        <w:rPr>
          <w:rFonts w:ascii="宋体" w:hAnsi="宋体" w:cs="宋体"/>
          <w:color w:val="auto"/>
          <w:szCs w:val="21"/>
          <w:highlight w:val="none"/>
        </w:rPr>
      </w:pPr>
    </w:p>
    <w:p w14:paraId="41D20494">
      <w:pPr>
        <w:shd w:val="clear" w:fill="FFFFFF" w:themeFill="background1"/>
        <w:spacing w:line="360" w:lineRule="auto"/>
        <w:jc w:val="center"/>
        <w:rPr>
          <w:rFonts w:ascii="宋体" w:hAnsi="宋体" w:cs="宋体"/>
          <w:b/>
          <w:color w:val="auto"/>
          <w:sz w:val="52"/>
          <w:szCs w:val="52"/>
          <w:highlight w:val="none"/>
        </w:rPr>
      </w:pPr>
    </w:p>
    <w:p w14:paraId="6D143D6C">
      <w:pPr>
        <w:shd w:val="clear" w:fill="FFFFFF" w:themeFill="background1"/>
        <w:spacing w:line="360" w:lineRule="auto"/>
        <w:jc w:val="center"/>
        <w:rPr>
          <w:rFonts w:ascii="宋体" w:hAnsi="宋体" w:cs="宋体"/>
          <w:b/>
          <w:color w:val="auto"/>
          <w:sz w:val="52"/>
          <w:szCs w:val="52"/>
          <w:highlight w:val="none"/>
        </w:rPr>
      </w:pPr>
    </w:p>
    <w:p w14:paraId="0CCCE395">
      <w:pPr>
        <w:shd w:val="clear" w:fill="FFFFFF" w:themeFill="background1"/>
        <w:jc w:val="center"/>
        <w:rPr>
          <w:rFonts w:ascii="宋体" w:hAnsi="宋体" w:cs="宋体"/>
          <w:color w:val="auto"/>
          <w:sz w:val="52"/>
          <w:szCs w:val="52"/>
          <w:highlight w:val="none"/>
        </w:rPr>
      </w:pPr>
      <w:r>
        <w:rPr>
          <w:rFonts w:hint="eastAsia" w:ascii="宋体" w:hAnsi="宋体" w:cs="宋体"/>
          <w:color w:val="auto"/>
          <w:sz w:val="52"/>
          <w:szCs w:val="52"/>
          <w:highlight w:val="none"/>
        </w:rPr>
        <w:t>投 标 文 件</w:t>
      </w:r>
    </w:p>
    <w:p w14:paraId="380F48DF">
      <w:pPr>
        <w:shd w:val="clear" w:fill="FFFFFF" w:themeFill="background1"/>
        <w:jc w:val="center"/>
        <w:rPr>
          <w:rFonts w:ascii="宋体" w:hAnsi="宋体" w:cs="宋体"/>
          <w:color w:val="auto"/>
          <w:sz w:val="32"/>
          <w:szCs w:val="32"/>
          <w:highlight w:val="none"/>
        </w:rPr>
      </w:pPr>
      <w:r>
        <w:rPr>
          <w:rFonts w:hint="eastAsia" w:ascii="宋体" w:hAnsi="宋体" w:cs="宋体"/>
          <w:color w:val="auto"/>
          <w:sz w:val="32"/>
          <w:szCs w:val="32"/>
          <w:highlight w:val="none"/>
        </w:rPr>
        <w:t>（第二个信封：报价文件）</w:t>
      </w:r>
    </w:p>
    <w:p w14:paraId="63D41163">
      <w:pPr>
        <w:shd w:val="clear" w:fill="FFFFFF" w:themeFill="background1"/>
        <w:jc w:val="center"/>
        <w:rPr>
          <w:rFonts w:ascii="宋体" w:hAnsi="宋体" w:cs="宋体"/>
          <w:color w:val="auto"/>
          <w:sz w:val="44"/>
          <w:szCs w:val="44"/>
          <w:highlight w:val="none"/>
        </w:rPr>
      </w:pPr>
    </w:p>
    <w:p w14:paraId="5ED52A27">
      <w:pPr>
        <w:shd w:val="clear" w:fill="FFFFFF" w:themeFill="background1"/>
        <w:spacing w:line="360" w:lineRule="auto"/>
        <w:rPr>
          <w:rFonts w:ascii="宋体" w:hAnsi="宋体" w:cs="宋体"/>
          <w:b/>
          <w:color w:val="auto"/>
          <w:sz w:val="32"/>
          <w:szCs w:val="32"/>
          <w:highlight w:val="none"/>
        </w:rPr>
      </w:pPr>
    </w:p>
    <w:p w14:paraId="0EF79D17">
      <w:pPr>
        <w:shd w:val="clear" w:fill="FFFFFF" w:themeFill="background1"/>
        <w:spacing w:line="360" w:lineRule="auto"/>
        <w:rPr>
          <w:rFonts w:ascii="宋体" w:hAnsi="宋体" w:cs="宋体"/>
          <w:b/>
          <w:color w:val="auto"/>
          <w:sz w:val="32"/>
          <w:szCs w:val="32"/>
          <w:highlight w:val="none"/>
        </w:rPr>
      </w:pPr>
    </w:p>
    <w:p w14:paraId="5858FFB6">
      <w:pPr>
        <w:shd w:val="clear" w:fill="FFFFFF" w:themeFill="background1"/>
        <w:spacing w:line="360" w:lineRule="auto"/>
        <w:rPr>
          <w:rFonts w:ascii="宋体" w:hAnsi="宋体" w:cs="宋体"/>
          <w:b/>
          <w:color w:val="auto"/>
          <w:sz w:val="32"/>
          <w:szCs w:val="32"/>
          <w:highlight w:val="none"/>
        </w:rPr>
      </w:pPr>
    </w:p>
    <w:p w14:paraId="76B24F73">
      <w:pPr>
        <w:shd w:val="clear" w:fill="FFFFFF" w:themeFill="background1"/>
        <w:spacing w:line="360" w:lineRule="auto"/>
        <w:rPr>
          <w:rFonts w:ascii="宋体" w:hAnsi="宋体" w:cs="宋体"/>
          <w:b/>
          <w:color w:val="auto"/>
          <w:sz w:val="32"/>
          <w:szCs w:val="32"/>
          <w:highlight w:val="none"/>
        </w:rPr>
      </w:pPr>
    </w:p>
    <w:p w14:paraId="061F1F07">
      <w:pPr>
        <w:shd w:val="clear" w:fill="FFFFFF" w:themeFill="background1"/>
        <w:spacing w:line="360" w:lineRule="auto"/>
        <w:rPr>
          <w:rFonts w:ascii="宋体" w:hAnsi="宋体" w:cs="宋体"/>
          <w:b/>
          <w:color w:val="auto"/>
          <w:sz w:val="32"/>
          <w:szCs w:val="32"/>
          <w:highlight w:val="none"/>
        </w:rPr>
      </w:pPr>
    </w:p>
    <w:p w14:paraId="10BFC946">
      <w:pPr>
        <w:shd w:val="clear" w:fill="FFFFFF" w:themeFill="background1"/>
        <w:tabs>
          <w:tab w:val="left" w:pos="3342"/>
        </w:tabs>
        <w:spacing w:before="101" w:line="380" w:lineRule="auto"/>
        <w:ind w:left="2049" w:right="665" w:hanging="1663"/>
        <w:rPr>
          <w:rFonts w:ascii="宋体" w:hAnsi="宋体" w:cs="宋体"/>
          <w:color w:val="auto"/>
          <w:sz w:val="31"/>
          <w:szCs w:val="31"/>
          <w:highlight w:val="none"/>
        </w:rPr>
      </w:pPr>
      <w:r>
        <w:rPr>
          <w:rFonts w:ascii="宋体" w:hAnsi="宋体" w:cs="宋体"/>
          <w:color w:val="auto"/>
          <w:spacing w:val="-8"/>
          <w:sz w:val="31"/>
          <w:szCs w:val="31"/>
          <w:highlight w:val="none"/>
        </w:rPr>
        <w:t>投标人：</w:t>
      </w:r>
      <w:r>
        <w:rPr>
          <w:rFonts w:ascii="宋体" w:hAnsi="宋体" w:cs="宋体"/>
          <w:color w:val="auto"/>
          <w:spacing w:val="-8"/>
          <w:sz w:val="31"/>
          <w:szCs w:val="31"/>
          <w:highlight w:val="none"/>
          <w:u w:val="single"/>
        </w:rPr>
        <w:t xml:space="preserve">    </w:t>
      </w:r>
      <w:r>
        <w:rPr>
          <w:rFonts w:ascii="宋体" w:hAnsi="宋体" w:cs="宋体"/>
          <w:color w:val="auto"/>
          <w:spacing w:val="-6"/>
          <w:sz w:val="31"/>
          <w:szCs w:val="31"/>
          <w:highlight w:val="none"/>
          <w:u w:val="single"/>
        </w:rPr>
        <w:t xml:space="preserve"> </w:t>
      </w:r>
      <w:r>
        <w:rPr>
          <w:rFonts w:ascii="宋体" w:hAnsi="宋体" w:cs="宋体"/>
          <w:color w:val="auto"/>
          <w:spacing w:val="-4"/>
          <w:sz w:val="31"/>
          <w:szCs w:val="31"/>
          <w:highlight w:val="none"/>
          <w:u w:val="single"/>
        </w:rPr>
        <w:t xml:space="preserve">                           </w:t>
      </w:r>
      <w:r>
        <w:rPr>
          <w:rFonts w:ascii="宋体" w:hAnsi="宋体" w:cs="宋体"/>
          <w:color w:val="auto"/>
          <w:spacing w:val="-4"/>
          <w:sz w:val="31"/>
          <w:szCs w:val="31"/>
          <w:highlight w:val="none"/>
        </w:rPr>
        <w:t>(盖单位章)</w:t>
      </w:r>
      <w:r>
        <w:rPr>
          <w:rFonts w:ascii="宋体" w:hAnsi="宋体" w:cs="宋体"/>
          <w:color w:val="auto"/>
          <w:sz w:val="31"/>
          <w:szCs w:val="31"/>
          <w:highlight w:val="none"/>
        </w:rPr>
        <w:t xml:space="preserve"> </w:t>
      </w:r>
    </w:p>
    <w:p w14:paraId="0495FC66">
      <w:pPr>
        <w:shd w:val="clear" w:fill="FFFFFF" w:themeFill="background1"/>
        <w:tabs>
          <w:tab w:val="left" w:pos="3342"/>
        </w:tabs>
        <w:spacing w:before="101" w:line="380" w:lineRule="auto"/>
        <w:ind w:left="2166" w:leftChars="751" w:right="665" w:hanging="589" w:hangingChars="190"/>
        <w:rPr>
          <w:rFonts w:ascii="宋体" w:hAnsi="宋体" w:cs="宋体"/>
          <w:color w:val="auto"/>
          <w:sz w:val="31"/>
          <w:szCs w:val="31"/>
          <w:highlight w:val="none"/>
        </w:rPr>
      </w:pPr>
      <w:r>
        <w:rPr>
          <w:rFonts w:ascii="宋体" w:hAnsi="宋体" w:cs="宋体"/>
          <w:color w:val="auto"/>
          <w:sz w:val="31"/>
          <w:szCs w:val="31"/>
          <w:highlight w:val="none"/>
          <w:u w:val="single"/>
        </w:rPr>
        <w:tab/>
      </w:r>
      <w:r>
        <w:rPr>
          <w:rFonts w:hint="eastAsia" w:ascii="宋体" w:hAnsi="宋体" w:cs="宋体"/>
          <w:color w:val="auto"/>
          <w:sz w:val="31"/>
          <w:szCs w:val="31"/>
          <w:highlight w:val="none"/>
          <w:u w:val="single"/>
        </w:rPr>
        <w:t xml:space="preserve">  </w:t>
      </w:r>
      <w:r>
        <w:rPr>
          <w:rFonts w:ascii="宋体" w:hAnsi="宋体" w:cs="宋体"/>
          <w:color w:val="auto"/>
          <w:spacing w:val="-7"/>
          <w:sz w:val="31"/>
          <w:szCs w:val="31"/>
          <w:highlight w:val="none"/>
        </w:rPr>
        <w:t>年</w:t>
      </w:r>
      <w:r>
        <w:rPr>
          <w:rFonts w:ascii="宋体" w:hAnsi="宋体" w:cs="宋体"/>
          <w:color w:val="auto"/>
          <w:spacing w:val="-7"/>
          <w:sz w:val="31"/>
          <w:szCs w:val="31"/>
          <w:highlight w:val="none"/>
          <w:u w:val="single"/>
        </w:rPr>
        <w:t xml:space="preserve">       </w:t>
      </w:r>
      <w:r>
        <w:rPr>
          <w:rFonts w:ascii="宋体" w:hAnsi="宋体" w:cs="宋体"/>
          <w:color w:val="auto"/>
          <w:spacing w:val="-7"/>
          <w:sz w:val="31"/>
          <w:szCs w:val="31"/>
          <w:highlight w:val="none"/>
        </w:rPr>
        <w:t xml:space="preserve"> 月</w:t>
      </w:r>
      <w:r>
        <w:rPr>
          <w:rFonts w:ascii="宋体" w:hAnsi="宋体" w:cs="宋体"/>
          <w:color w:val="auto"/>
          <w:spacing w:val="-7"/>
          <w:sz w:val="31"/>
          <w:szCs w:val="31"/>
          <w:highlight w:val="none"/>
          <w:u w:val="single"/>
        </w:rPr>
        <w:t xml:space="preserve">        </w:t>
      </w:r>
      <w:r>
        <w:rPr>
          <w:rFonts w:ascii="宋体" w:hAnsi="宋体" w:cs="宋体"/>
          <w:color w:val="auto"/>
          <w:spacing w:val="-5"/>
          <w:sz w:val="31"/>
          <w:szCs w:val="31"/>
          <w:highlight w:val="none"/>
        </w:rPr>
        <w:t>日</w:t>
      </w:r>
    </w:p>
    <w:p w14:paraId="23F9AE23">
      <w:pPr>
        <w:shd w:val="clear" w:fill="FFFFFF" w:themeFill="background1"/>
        <w:rPr>
          <w:color w:val="auto"/>
          <w:highlight w:val="none"/>
        </w:rPr>
        <w:sectPr>
          <w:footerReference r:id="rId17" w:type="default"/>
          <w:pgSz w:w="11900" w:h="16839"/>
          <w:pgMar w:top="947" w:right="1125" w:bottom="1134" w:left="1420" w:header="707" w:footer="974" w:gutter="0"/>
          <w:cols w:space="720" w:num="1"/>
        </w:sectPr>
      </w:pPr>
    </w:p>
    <w:p w14:paraId="29AB6C14">
      <w:pPr>
        <w:shd w:val="clear" w:fill="FFFFFF" w:themeFill="background1"/>
        <w:rPr>
          <w:rFonts w:ascii="宋体" w:hAnsi="宋体"/>
          <w:color w:val="auto"/>
          <w:sz w:val="24"/>
          <w:highlight w:val="none"/>
        </w:rPr>
      </w:pPr>
    </w:p>
    <w:p w14:paraId="736CF9EB">
      <w:pPr>
        <w:shd w:val="clear" w:fill="FFFFFF" w:themeFill="background1"/>
        <w:jc w:val="center"/>
        <w:rPr>
          <w:rFonts w:ascii="宋体" w:hAnsi="宋体"/>
          <w:b/>
          <w:color w:val="auto"/>
          <w:sz w:val="44"/>
          <w:szCs w:val="44"/>
          <w:highlight w:val="none"/>
        </w:rPr>
      </w:pPr>
    </w:p>
    <w:p w14:paraId="58F007B9">
      <w:pPr>
        <w:shd w:val="clear" w:fill="FFFFFF" w:themeFill="background1"/>
        <w:jc w:val="center"/>
        <w:rPr>
          <w:rFonts w:ascii="宋体" w:hAnsi="宋体"/>
          <w:b/>
          <w:color w:val="auto"/>
          <w:sz w:val="44"/>
          <w:szCs w:val="44"/>
          <w:highlight w:val="none"/>
        </w:rPr>
      </w:pPr>
    </w:p>
    <w:p w14:paraId="5CE10F9B">
      <w:pPr>
        <w:shd w:val="clear" w:fill="FFFFFF" w:themeFill="background1"/>
        <w:jc w:val="center"/>
        <w:rPr>
          <w:rFonts w:ascii="宋体" w:hAnsi="宋体"/>
          <w:b/>
          <w:color w:val="auto"/>
          <w:sz w:val="44"/>
          <w:szCs w:val="44"/>
          <w:highlight w:val="none"/>
        </w:rPr>
      </w:pPr>
    </w:p>
    <w:p w14:paraId="518EE187">
      <w:pPr>
        <w:pStyle w:val="55"/>
        <w:shd w:val="clear" w:fill="FFFFFF" w:themeFill="background1"/>
        <w:rPr>
          <w:rFonts w:ascii="宋体" w:hAnsi="宋体"/>
          <w:b/>
          <w:color w:val="auto"/>
          <w:sz w:val="44"/>
          <w:szCs w:val="44"/>
          <w:highlight w:val="none"/>
        </w:rPr>
      </w:pPr>
    </w:p>
    <w:p w14:paraId="1DBEF094">
      <w:pPr>
        <w:pStyle w:val="55"/>
        <w:shd w:val="clear" w:fill="FFFFFF" w:themeFill="background1"/>
        <w:rPr>
          <w:rFonts w:ascii="宋体" w:hAnsi="宋体"/>
          <w:b/>
          <w:color w:val="auto"/>
          <w:sz w:val="44"/>
          <w:szCs w:val="44"/>
          <w:highlight w:val="none"/>
        </w:rPr>
      </w:pPr>
    </w:p>
    <w:p w14:paraId="3C506EDF">
      <w:pPr>
        <w:shd w:val="clear" w:fill="FFFFFF" w:themeFill="background1"/>
        <w:jc w:val="center"/>
        <w:rPr>
          <w:rFonts w:ascii="宋体" w:hAnsi="宋体"/>
          <w:b/>
          <w:color w:val="auto"/>
          <w:sz w:val="44"/>
          <w:szCs w:val="44"/>
          <w:highlight w:val="none"/>
        </w:rPr>
      </w:pPr>
    </w:p>
    <w:p w14:paraId="5A129660">
      <w:pPr>
        <w:shd w:val="clear" w:fill="FFFFFF" w:themeFill="background1"/>
        <w:jc w:val="center"/>
        <w:rPr>
          <w:rFonts w:ascii="宋体" w:hAnsi="宋体"/>
          <w:b/>
          <w:color w:val="auto"/>
          <w:sz w:val="36"/>
          <w:szCs w:val="36"/>
          <w:highlight w:val="none"/>
        </w:rPr>
      </w:pPr>
      <w:r>
        <w:rPr>
          <w:rFonts w:hint="eastAsia" w:ascii="宋体" w:hAnsi="宋体"/>
          <w:b/>
          <w:color w:val="auto"/>
          <w:sz w:val="36"/>
          <w:szCs w:val="36"/>
          <w:highlight w:val="none"/>
        </w:rPr>
        <w:t>目</w:t>
      </w:r>
      <w:r>
        <w:rPr>
          <w:rFonts w:hint="eastAsia" w:ascii="宋体" w:hAnsi="宋体"/>
          <w:b/>
          <w:color w:val="auto"/>
          <w:sz w:val="36"/>
          <w:szCs w:val="36"/>
          <w:highlight w:val="none"/>
        </w:rPr>
        <w:tab/>
      </w:r>
      <w:r>
        <w:rPr>
          <w:rFonts w:hint="eastAsia" w:ascii="宋体" w:hAnsi="宋体"/>
          <w:b/>
          <w:color w:val="auto"/>
          <w:sz w:val="36"/>
          <w:szCs w:val="36"/>
          <w:highlight w:val="none"/>
        </w:rPr>
        <w:t xml:space="preserve">      录</w:t>
      </w:r>
    </w:p>
    <w:p w14:paraId="625094AC">
      <w:pPr>
        <w:pStyle w:val="55"/>
        <w:shd w:val="clear" w:fill="FFFFFF" w:themeFill="background1"/>
        <w:rPr>
          <w:rFonts w:ascii="宋体" w:hAnsi="宋体"/>
          <w:b/>
          <w:color w:val="auto"/>
          <w:sz w:val="36"/>
          <w:szCs w:val="36"/>
          <w:highlight w:val="none"/>
        </w:rPr>
      </w:pPr>
    </w:p>
    <w:p w14:paraId="250FB2BE">
      <w:pPr>
        <w:shd w:val="clear" w:fill="FFFFFF" w:themeFill="background1"/>
        <w:jc w:val="center"/>
        <w:rPr>
          <w:rFonts w:ascii="宋体" w:hAnsi="宋体"/>
          <w:b/>
          <w:bCs/>
          <w:color w:val="auto"/>
          <w:sz w:val="28"/>
          <w:szCs w:val="28"/>
          <w:highlight w:val="none"/>
        </w:rPr>
      </w:pPr>
      <w:r>
        <w:rPr>
          <w:b/>
          <w:bCs/>
          <w:color w:val="auto"/>
          <w:sz w:val="28"/>
          <w:szCs w:val="28"/>
          <w:highlight w:val="none"/>
        </w:rPr>
        <w:t>第二个信封</w:t>
      </w:r>
      <w:r>
        <w:rPr>
          <w:rFonts w:hint="eastAsia"/>
          <w:b/>
          <w:bCs/>
          <w:color w:val="auto"/>
          <w:sz w:val="28"/>
          <w:szCs w:val="28"/>
          <w:highlight w:val="none"/>
        </w:rPr>
        <w:t>（</w:t>
      </w:r>
      <w:r>
        <w:rPr>
          <w:b/>
          <w:bCs/>
          <w:color w:val="auto"/>
          <w:sz w:val="28"/>
          <w:szCs w:val="28"/>
          <w:highlight w:val="none"/>
        </w:rPr>
        <w:t>报价文件</w:t>
      </w:r>
      <w:r>
        <w:rPr>
          <w:rFonts w:hint="eastAsia"/>
          <w:b/>
          <w:bCs/>
          <w:color w:val="auto"/>
          <w:sz w:val="28"/>
          <w:szCs w:val="28"/>
          <w:highlight w:val="none"/>
        </w:rPr>
        <w:t>）</w:t>
      </w:r>
    </w:p>
    <w:p w14:paraId="46449107">
      <w:pPr>
        <w:pStyle w:val="55"/>
        <w:shd w:val="clear" w:fill="FFFFFF" w:themeFill="background1"/>
        <w:rPr>
          <w:rFonts w:ascii="宋体" w:hAnsi="宋体"/>
          <w:b/>
          <w:color w:val="auto"/>
          <w:sz w:val="36"/>
          <w:szCs w:val="36"/>
          <w:highlight w:val="none"/>
        </w:rPr>
      </w:pPr>
    </w:p>
    <w:p w14:paraId="27B14956">
      <w:pPr>
        <w:shd w:val="clear" w:fill="FFFFFF" w:themeFill="background1"/>
        <w:rPr>
          <w:rFonts w:ascii="宋体" w:hAnsi="宋体"/>
          <w:color w:val="auto"/>
          <w:sz w:val="24"/>
          <w:highlight w:val="none"/>
        </w:rPr>
      </w:pPr>
    </w:p>
    <w:p w14:paraId="34337587">
      <w:pPr>
        <w:shd w:val="clear" w:fill="FFFFFF" w:themeFill="background1"/>
        <w:spacing w:line="360" w:lineRule="auto"/>
        <w:rPr>
          <w:rFonts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、投标函</w:t>
      </w:r>
    </w:p>
    <w:p w14:paraId="20B400AB">
      <w:pPr>
        <w:shd w:val="clear" w:fill="FFFFFF" w:themeFill="background1"/>
        <w:spacing w:line="360" w:lineRule="auto"/>
        <w:rPr>
          <w:rFonts w:ascii="宋体" w:hAnsi="宋体"/>
          <w:color w:val="auto"/>
          <w:szCs w:val="21"/>
          <w:highlight w:val="none"/>
        </w:rPr>
      </w:pPr>
      <w:r>
        <w:rPr>
          <w:rFonts w:ascii="宋体" w:hAnsi="宋体"/>
          <w:color w:val="auto"/>
          <w:sz w:val="24"/>
          <w:highlight w:val="none"/>
        </w:rPr>
        <w:t>二、</w:t>
      </w:r>
      <w:r>
        <w:rPr>
          <w:rFonts w:hint="eastAsia" w:ascii="宋体" w:hAnsi="宋体"/>
          <w:color w:val="auto"/>
          <w:sz w:val="24"/>
          <w:highlight w:val="none"/>
        </w:rPr>
        <w:t>已标价工程量清单</w:t>
      </w:r>
    </w:p>
    <w:p w14:paraId="7C18EAF2">
      <w:pPr>
        <w:shd w:val="clear" w:fill="FFFFFF" w:themeFill="background1"/>
        <w:rPr>
          <w:rFonts w:ascii="宋体" w:hAnsi="宋体"/>
          <w:color w:val="auto"/>
          <w:sz w:val="24"/>
          <w:highlight w:val="none"/>
        </w:rPr>
      </w:pPr>
    </w:p>
    <w:p w14:paraId="2E5240A7">
      <w:pPr>
        <w:shd w:val="clear" w:fill="FFFFFF" w:themeFill="background1"/>
        <w:rPr>
          <w:rFonts w:ascii="宋体" w:hAnsi="宋体"/>
          <w:color w:val="auto"/>
          <w:sz w:val="24"/>
          <w:highlight w:val="none"/>
        </w:rPr>
      </w:pPr>
    </w:p>
    <w:p w14:paraId="0110FB02">
      <w:pPr>
        <w:shd w:val="clear" w:fill="FFFFFF" w:themeFill="background1"/>
        <w:jc w:val="center"/>
        <w:rPr>
          <w:rFonts w:ascii="宋体" w:hAnsi="宋体"/>
          <w:color w:val="auto"/>
          <w:sz w:val="24"/>
          <w:highlight w:val="none"/>
        </w:rPr>
      </w:pPr>
      <w:bookmarkStart w:id="1762" w:name="_Toc275856199"/>
      <w:r>
        <w:rPr>
          <w:rFonts w:ascii="宋体" w:hAnsi="宋体"/>
          <w:color w:val="auto"/>
          <w:sz w:val="24"/>
          <w:highlight w:val="none"/>
        </w:rPr>
        <w:br w:type="page"/>
      </w:r>
    </w:p>
    <w:bookmarkEnd w:id="1762"/>
    <w:p w14:paraId="5755DE6F">
      <w:pPr>
        <w:shd w:val="clear" w:fill="FFFFFF" w:themeFill="background1"/>
        <w:jc w:val="center"/>
        <w:rPr>
          <w:rFonts w:ascii="宋体" w:hAnsi="宋体"/>
          <w:b/>
          <w:color w:val="auto"/>
          <w:sz w:val="32"/>
          <w:szCs w:val="32"/>
          <w:highlight w:val="none"/>
        </w:rPr>
      </w:pPr>
      <w:r>
        <w:rPr>
          <w:rFonts w:hint="eastAsia" w:ascii="宋体" w:hAnsi="宋体"/>
          <w:b/>
          <w:color w:val="auto"/>
          <w:sz w:val="32"/>
          <w:szCs w:val="32"/>
          <w:highlight w:val="none"/>
        </w:rPr>
        <w:t>一、投标函</w:t>
      </w:r>
    </w:p>
    <w:p w14:paraId="4AA546BA">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（一）投 标 函</w:t>
      </w:r>
    </w:p>
    <w:p w14:paraId="17433E18">
      <w:pPr>
        <w:shd w:val="clear" w:fill="FFFFFF" w:themeFill="background1"/>
        <w:spacing w:line="360" w:lineRule="exact"/>
        <w:rPr>
          <w:rFonts w:ascii="宋体" w:hAnsi="宋体"/>
          <w:color w:val="auto"/>
          <w:sz w:val="24"/>
          <w:highlight w:val="none"/>
        </w:rPr>
      </w:pPr>
    </w:p>
    <w:p w14:paraId="5B7F628A">
      <w:pPr>
        <w:shd w:val="clear" w:fill="FFFFFF" w:themeFill="background1"/>
        <w:spacing w:line="360" w:lineRule="auto"/>
        <w:rPr>
          <w:rFonts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rPr>
        <w:t>（招标人名称）：</w:t>
      </w:r>
    </w:p>
    <w:p w14:paraId="0B946D98">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1.我方已仔细研究</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施工招标文件的全部内容（含补遗书第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号至第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号），在考察工程现场后，愿意以人民币</w:t>
      </w:r>
      <w:r>
        <w:rPr>
          <w:rFonts w:hint="eastAsia" w:ascii="宋体" w:hAnsi="宋体" w:cs="宋体"/>
          <w:color w:val="auto"/>
          <w:sz w:val="24"/>
          <w:highlight w:val="none"/>
          <w:u w:val="single"/>
        </w:rPr>
        <w:t>（大写）    （</w:t>
      </w:r>
      <w:r>
        <w:rPr>
          <w:rFonts w:ascii="宋体" w:hAnsi="宋体" w:cs="Arial"/>
          <w:color w:val="auto"/>
          <w:sz w:val="24"/>
          <w:highlight w:val="none"/>
          <w:u w:val="single"/>
        </w:rPr>
        <w:t>¥</w:t>
      </w:r>
      <w:r>
        <w:rPr>
          <w:rFonts w:hint="eastAsia" w:ascii="宋体" w:hAnsi="宋体" w:cs="Arial"/>
          <w:color w:val="auto"/>
          <w:sz w:val="24"/>
          <w:highlight w:val="none"/>
          <w:u w:val="single"/>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的投标总报价（或根据招标文件规定修正核实后确定的另一金额，其中，增值税税率为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w:t>
      </w:r>
    </w:p>
    <w:p w14:paraId="40FC9897">
      <w:pPr>
        <w:shd w:val="clear" w:fill="FFFFFF" w:themeFill="background1"/>
        <w:spacing w:line="360" w:lineRule="auto"/>
        <w:rPr>
          <w:rFonts w:ascii="宋体" w:hAnsi="宋体"/>
          <w:color w:val="auto"/>
          <w:sz w:val="24"/>
          <w:highlight w:val="none"/>
        </w:rPr>
      </w:pPr>
      <w:r>
        <w:rPr>
          <w:rFonts w:hint="eastAsia" w:ascii="宋体" w:hAnsi="宋体" w:cs="宋体"/>
          <w:color w:val="auto"/>
          <w:sz w:val="24"/>
          <w:highlight w:val="none"/>
        </w:rPr>
        <w:t xml:space="preserve">    2.在合同协议书正式签署生效之前，本投标函连同你方的中标通知书将构成我们双方之间共同遵守的文件，对双方具有约束力。</w:t>
      </w:r>
    </w:p>
    <w:p w14:paraId="701BFDD6">
      <w:pPr>
        <w:shd w:val="clear" w:fill="FFFFFF" w:themeFill="background1"/>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（其他补充说明）</w:t>
      </w:r>
      <w:r>
        <w:rPr>
          <w:rFonts w:hint="eastAsia" w:ascii="宋体" w:hAnsi="宋体" w:cs="宋体"/>
          <w:color w:val="auto"/>
          <w:sz w:val="24"/>
          <w:highlight w:val="none"/>
        </w:rPr>
        <w:t>。</w:t>
      </w:r>
    </w:p>
    <w:p w14:paraId="43AB3CD1">
      <w:pPr>
        <w:shd w:val="clear" w:fill="FFFFFF" w:themeFill="background1"/>
        <w:spacing w:line="360" w:lineRule="auto"/>
        <w:ind w:firstLine="420" w:firstLineChars="200"/>
        <w:rPr>
          <w:rFonts w:ascii="宋体" w:hAnsi="宋体"/>
          <w:color w:val="auto"/>
          <w:szCs w:val="21"/>
          <w:highlight w:val="none"/>
        </w:rPr>
      </w:pPr>
    </w:p>
    <w:p w14:paraId="70BAE3BD">
      <w:pPr>
        <w:shd w:val="clear" w:fill="FFFFFF" w:themeFill="background1"/>
        <w:spacing w:line="360" w:lineRule="auto"/>
        <w:ind w:firstLine="420" w:firstLineChars="200"/>
        <w:rPr>
          <w:rFonts w:ascii="宋体" w:hAnsi="宋体"/>
          <w:color w:val="auto"/>
          <w:szCs w:val="21"/>
          <w:highlight w:val="none"/>
        </w:rPr>
      </w:pPr>
    </w:p>
    <w:p w14:paraId="48CC790C">
      <w:pPr>
        <w:shd w:val="clear" w:fill="FFFFFF" w:themeFill="background1"/>
        <w:spacing w:line="360" w:lineRule="auto"/>
        <w:ind w:firstLine="420" w:firstLineChars="200"/>
        <w:rPr>
          <w:rFonts w:ascii="宋体" w:hAnsi="宋体"/>
          <w:color w:val="auto"/>
          <w:szCs w:val="21"/>
          <w:highlight w:val="none"/>
        </w:rPr>
      </w:pPr>
    </w:p>
    <w:p w14:paraId="4E24FCE1">
      <w:pPr>
        <w:shd w:val="clear" w:fill="FFFFFF" w:themeFill="background1"/>
        <w:spacing w:line="360" w:lineRule="auto"/>
        <w:rPr>
          <w:rFonts w:ascii="宋体" w:hAnsi="宋体"/>
          <w:color w:val="auto"/>
          <w:szCs w:val="21"/>
          <w:highlight w:val="none"/>
        </w:rPr>
      </w:pPr>
    </w:p>
    <w:p w14:paraId="47DC038F">
      <w:pPr>
        <w:shd w:val="clear" w:fill="FFFFFF" w:themeFill="background1"/>
        <w:tabs>
          <w:tab w:val="left" w:pos="2977"/>
          <w:tab w:val="left" w:pos="3261"/>
        </w:tabs>
        <w:spacing w:line="360" w:lineRule="auto"/>
        <w:rPr>
          <w:rFonts w:ascii="宋体" w:hAnsi="宋体"/>
          <w:color w:val="auto"/>
          <w:szCs w:val="21"/>
          <w:highlight w:val="none"/>
        </w:rPr>
      </w:pPr>
      <w:r>
        <w:rPr>
          <w:rFonts w:ascii="宋体" w:hAnsi="宋体"/>
          <w:color w:val="auto"/>
          <w:szCs w:val="21"/>
          <w:highlight w:val="none"/>
        </w:rPr>
        <w:t>投标人：（盖单位章）</w:t>
      </w:r>
    </w:p>
    <w:p w14:paraId="16A128C3">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法定代表人或其委托代理人：（签字）</w:t>
      </w:r>
    </w:p>
    <w:p w14:paraId="7FE0C54B">
      <w:pPr>
        <w:pStyle w:val="55"/>
        <w:shd w:val="clear" w:fill="FFFFFF" w:themeFill="background1"/>
        <w:spacing w:line="360" w:lineRule="auto"/>
        <w:ind w:firstLine="0"/>
        <w:rPr>
          <w:rFonts w:ascii="宋体" w:hAnsi="宋体"/>
          <w:color w:val="auto"/>
          <w:szCs w:val="21"/>
          <w:highlight w:val="none"/>
        </w:rPr>
      </w:pPr>
      <w:r>
        <w:rPr>
          <w:rFonts w:ascii="宋体" w:hAnsi="宋体" w:cs="Times New Roman"/>
          <w:color w:val="auto"/>
          <w:sz w:val="21"/>
          <w:szCs w:val="21"/>
          <w:highlight w:val="none"/>
        </w:rPr>
        <w:t>地址：</w:t>
      </w:r>
    </w:p>
    <w:p w14:paraId="68C02C9D">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网址：</w:t>
      </w:r>
    </w:p>
    <w:p w14:paraId="3ED86F93">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电话：</w:t>
      </w:r>
    </w:p>
    <w:p w14:paraId="4965E3E7">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传真：</w:t>
      </w:r>
    </w:p>
    <w:p w14:paraId="02881A4C">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邮政编码：</w:t>
      </w:r>
    </w:p>
    <w:p w14:paraId="70CA6853">
      <w:pPr>
        <w:shd w:val="clear" w:fill="FFFFFF" w:themeFill="background1"/>
        <w:spacing w:line="360" w:lineRule="auto"/>
        <w:rPr>
          <w:rFonts w:ascii="宋体" w:hAnsi="宋体"/>
          <w:color w:val="auto"/>
          <w:szCs w:val="21"/>
          <w:highlight w:val="none"/>
        </w:rPr>
      </w:pPr>
    </w:p>
    <w:p w14:paraId="049923CE">
      <w:pPr>
        <w:shd w:val="clear" w:fill="FFFFFF" w:themeFill="background1"/>
        <w:ind w:firstLine="720" w:firstLineChars="300"/>
        <w:rPr>
          <w:rFonts w:ascii="宋体" w:hAnsi="宋体"/>
          <w:color w:val="auto"/>
          <w:szCs w:val="21"/>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14:paraId="3BA7BCA0">
      <w:pPr>
        <w:shd w:val="clear" w:fill="FFFFFF" w:themeFill="background1"/>
        <w:rPr>
          <w:rFonts w:ascii="宋体" w:hAnsi="宋体"/>
          <w:color w:val="auto"/>
          <w:szCs w:val="21"/>
          <w:highlight w:val="none"/>
        </w:rPr>
      </w:pPr>
    </w:p>
    <w:p w14:paraId="7592EACA">
      <w:pPr>
        <w:shd w:val="clear" w:fill="FFFFFF" w:themeFill="background1"/>
        <w:jc w:val="center"/>
        <w:rPr>
          <w:rFonts w:ascii="宋体" w:hAnsi="宋体"/>
          <w:b/>
          <w:color w:val="auto"/>
          <w:sz w:val="28"/>
          <w:szCs w:val="28"/>
          <w:highlight w:val="none"/>
        </w:rPr>
      </w:pPr>
      <w:bookmarkStart w:id="1763" w:name="_Toc275856200"/>
      <w:bookmarkEnd w:id="1763"/>
      <w:r>
        <w:rPr>
          <w:rFonts w:hint="eastAsia" w:ascii="宋体" w:hAnsi="宋体"/>
          <w:color w:val="auto"/>
          <w:szCs w:val="21"/>
          <w:highlight w:val="none"/>
        </w:rPr>
        <w:br w:type="page"/>
      </w:r>
      <w:r>
        <w:rPr>
          <w:rFonts w:hint="eastAsia" w:ascii="宋体" w:hAnsi="宋体"/>
          <w:b/>
          <w:color w:val="auto"/>
          <w:sz w:val="28"/>
          <w:szCs w:val="28"/>
          <w:highlight w:val="none"/>
        </w:rPr>
        <w:t>二</w:t>
      </w:r>
      <w:r>
        <w:rPr>
          <w:rFonts w:ascii="宋体" w:hAnsi="宋体"/>
          <w:b/>
          <w:color w:val="auto"/>
          <w:sz w:val="28"/>
          <w:szCs w:val="28"/>
          <w:highlight w:val="none"/>
        </w:rPr>
        <w:t>、已标价工程量清单</w:t>
      </w:r>
    </w:p>
    <w:p w14:paraId="744DE7B6">
      <w:pPr>
        <w:shd w:val="clear" w:fill="FFFFFF" w:themeFill="background1"/>
        <w:spacing w:line="360" w:lineRule="auto"/>
        <w:rPr>
          <w:rFonts w:ascii="宋体" w:hAnsi="宋体" w:cs="宋体"/>
          <w:color w:val="auto"/>
          <w:sz w:val="24"/>
          <w:highlight w:val="none"/>
        </w:rPr>
      </w:pPr>
    </w:p>
    <w:p w14:paraId="1371D0C1">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工程量清单说明</w:t>
      </w:r>
    </w:p>
    <w:p w14:paraId="341CBB73">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4A0E2334">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1.2本工程量清单应与招标文件中的投标人须知、通用合同条款、专用合同条款、工程量清单计量规则、技术规范及图纸等一起阅读和理解。</w:t>
      </w:r>
    </w:p>
    <w:p w14:paraId="58D7CF7E">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258BBAEB">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7E3DF70E">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对作业和材料的一般说明或规定，未重复写入工程量清单内，在给工程量清单各子目标价前，应参阅第七章“技术规范”的有关内容。</w:t>
      </w:r>
    </w:p>
    <w:p w14:paraId="00E21A25">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工程量清单中所列工程量的变动，丝毫不会降低或影响合同条款的效力，也不免除承包人按规定的标准进行施工和修复缺陷的责任。</w:t>
      </w:r>
    </w:p>
    <w:p w14:paraId="0D3C573E">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图纸中所列的工程数量表及数量汇总表仅是提供资料，不是工程量清单的外延。当图纸与工程量清单所列数量不一致时，以工程量清单所列数量作为报价的依据。</w:t>
      </w:r>
    </w:p>
    <w:p w14:paraId="7972A623">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 xml:space="preserve"> 投标报价说明</w:t>
      </w:r>
    </w:p>
    <w:p w14:paraId="48427CFB">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2.1</w:t>
      </w:r>
      <w:r>
        <w:rPr>
          <w:rFonts w:ascii="宋体" w:hAnsi="宋体"/>
          <w:color w:val="auto"/>
          <w:sz w:val="24"/>
          <w:highlight w:val="none"/>
        </w:rPr>
        <w:t>工程量清单中的每一子目须填入单价或价格，且只允许有一个报价。</w:t>
      </w:r>
    </w:p>
    <w:p w14:paraId="4F6D0433">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2.2</w:t>
      </w:r>
      <w:r>
        <w:rPr>
          <w:rFonts w:ascii="宋体" w:hAnsi="宋体"/>
          <w:color w:val="auto"/>
          <w:sz w:val="24"/>
          <w:highlight w:val="none"/>
        </w:rPr>
        <w:t>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14:paraId="3A51BA9A">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2.3</w:t>
      </w:r>
      <w:r>
        <w:rPr>
          <w:rFonts w:ascii="宋体" w:hAnsi="宋体"/>
          <w:color w:val="auto"/>
          <w:sz w:val="24"/>
          <w:highlight w:val="none"/>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48987779">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2.4</w:t>
      </w:r>
      <w:r>
        <w:rPr>
          <w:rFonts w:ascii="宋体" w:hAnsi="宋体"/>
          <w:color w:val="auto"/>
          <w:sz w:val="24"/>
          <w:highlight w:val="none"/>
        </w:rPr>
        <w:t>符合合同条款规定的全部费用应认为已被计入有标价的工程量清单所列各子目之中，未列子目不予计量的工作，其费用应视为已分摊在本合同工程的有关子目的单价或总额价之中。</w:t>
      </w:r>
    </w:p>
    <w:p w14:paraId="2F282CE0">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承包人用于本合同工程的各类装备的提供、运输、维护、拆卸、拼装等支付的费用，已包括在工程量清单的单价与总额价之中。</w:t>
      </w:r>
    </w:p>
    <w:p w14:paraId="5959D3C0">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2.6</w:t>
      </w:r>
      <w:r>
        <w:rPr>
          <w:rFonts w:ascii="宋体" w:hAnsi="宋体"/>
          <w:color w:val="auto"/>
          <w:sz w:val="24"/>
          <w:highlight w:val="none"/>
        </w:rPr>
        <w:t>工程量清单中各项金额均以人民币(元)结算。</w:t>
      </w:r>
    </w:p>
    <w:p w14:paraId="2956D0AD">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计日工说明</w:t>
      </w:r>
    </w:p>
    <w:p w14:paraId="146F4F8F">
      <w:pPr>
        <w:shd w:val="clear" w:fill="FFFFFF" w:themeFill="background1"/>
        <w:spacing w:line="348" w:lineRule="auto"/>
        <w:ind w:firstLine="480" w:firstLineChars="200"/>
        <w:rPr>
          <w:rFonts w:ascii="宋体" w:hAnsi="宋体"/>
          <w:color w:val="auto"/>
          <w:sz w:val="24"/>
          <w:highlight w:val="none"/>
        </w:rPr>
      </w:pPr>
      <w:r>
        <w:rPr>
          <w:rFonts w:ascii="宋体" w:hAnsi="宋体"/>
          <w:color w:val="auto"/>
          <w:sz w:val="24"/>
          <w:highlight w:val="none"/>
        </w:rPr>
        <w:t>本款不适用。</w:t>
      </w:r>
    </w:p>
    <w:p w14:paraId="32BC030B">
      <w:pPr>
        <w:shd w:val="clear" w:fill="FFFFFF" w:themeFill="background1"/>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 其他说明</w:t>
      </w:r>
    </w:p>
    <w:p w14:paraId="758C14A3">
      <w:pPr>
        <w:shd w:val="clear" w:fill="FFFFFF" w:themeFill="background1"/>
        <w:spacing w:line="348" w:lineRule="auto"/>
        <w:ind w:firstLine="460" w:firstLineChars="200"/>
        <w:rPr>
          <w:rFonts w:ascii="宋体" w:hAnsi="宋体"/>
          <w:color w:val="auto"/>
          <w:spacing w:val="-5"/>
          <w:sz w:val="24"/>
          <w:highlight w:val="none"/>
        </w:rPr>
      </w:pPr>
      <w:r>
        <w:rPr>
          <w:rFonts w:hint="eastAsia" w:ascii="宋体" w:hAnsi="宋体"/>
          <w:color w:val="auto"/>
          <w:spacing w:val="-5"/>
          <w:sz w:val="24"/>
          <w:highlight w:val="none"/>
        </w:rPr>
        <w:t>工程量清单中各个细目的报价与计量支付原则，详见招标文件第七章技术规范的工程量清单计量与支付规则。</w:t>
      </w:r>
    </w:p>
    <w:p w14:paraId="2F2D6085">
      <w:pPr>
        <w:shd w:val="clear" w:fill="FFFFFF" w:themeFill="background1"/>
        <w:spacing w:line="348" w:lineRule="auto"/>
        <w:ind w:firstLine="480" w:firstLineChars="200"/>
        <w:rPr>
          <w:rFonts w:ascii="宋体" w:hAnsi="宋体"/>
          <w:color w:val="auto"/>
          <w:sz w:val="24"/>
          <w:highlight w:val="none"/>
        </w:rPr>
      </w:pPr>
      <w:r>
        <w:rPr>
          <w:rFonts w:hint="eastAsia" w:ascii="宋体" w:hAnsi="宋体" w:cs="宋体"/>
          <w:color w:val="auto"/>
          <w:sz w:val="24"/>
          <w:highlight w:val="none"/>
        </w:rPr>
        <w:t>5.</w:t>
      </w:r>
      <w:r>
        <w:rPr>
          <w:rFonts w:ascii="宋体" w:hAnsi="宋体"/>
          <w:color w:val="auto"/>
          <w:sz w:val="24"/>
          <w:highlight w:val="none"/>
        </w:rPr>
        <w:t xml:space="preserve"> 工程量清单</w:t>
      </w:r>
    </w:p>
    <w:p w14:paraId="6502AAEC">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5.1</w:t>
      </w:r>
      <w:r>
        <w:rPr>
          <w:rFonts w:ascii="宋体" w:hAnsi="宋体"/>
          <w:color w:val="auto"/>
          <w:sz w:val="24"/>
          <w:highlight w:val="none"/>
        </w:rPr>
        <w:t>工程量清单表</w:t>
      </w:r>
    </w:p>
    <w:p w14:paraId="0EC18833">
      <w:pPr>
        <w:shd w:val="clear" w:fill="FFFFFF" w:themeFill="background1"/>
        <w:spacing w:line="348" w:lineRule="auto"/>
        <w:ind w:firstLine="460" w:firstLineChars="200"/>
        <w:rPr>
          <w:rFonts w:ascii="宋体" w:hAnsi="宋体"/>
          <w:color w:val="auto"/>
          <w:spacing w:val="-5"/>
          <w:sz w:val="24"/>
          <w:highlight w:val="none"/>
        </w:rPr>
      </w:pPr>
      <w:r>
        <w:rPr>
          <w:rFonts w:hint="eastAsia" w:ascii="宋体" w:hAnsi="宋体"/>
          <w:color w:val="auto"/>
          <w:spacing w:val="-5"/>
          <w:sz w:val="24"/>
          <w:highlight w:val="none"/>
        </w:rPr>
        <w:t>工程量清单具体应执行《广东省公路工程造价标准化管理指南》（粤交基〔2022〕483 号）及现行的《广东省执行交通运输部&lt;公路工程标准施工招标文件范本&gt;的补充规定》、《广东省公路工程施工招标清单预算管理规程》。如以上文件有修订，本范本则依照最新修订版本执行。</w:t>
      </w:r>
    </w:p>
    <w:p w14:paraId="08CC19C9">
      <w:pPr>
        <w:shd w:val="clear" w:fill="FFFFFF" w:themeFill="background1"/>
        <w:spacing w:line="348" w:lineRule="auto"/>
        <w:rPr>
          <w:rFonts w:ascii="宋体" w:hAnsi="宋体"/>
          <w:color w:val="auto"/>
          <w:spacing w:val="-5"/>
          <w:sz w:val="24"/>
          <w:highlight w:val="none"/>
        </w:rPr>
      </w:pPr>
    </w:p>
    <w:p w14:paraId="7189F450">
      <w:pPr>
        <w:shd w:val="clear" w:fill="FFFFFF" w:themeFill="background1"/>
        <w:spacing w:line="348" w:lineRule="auto"/>
        <w:ind w:firstLine="480" w:firstLineChars="200"/>
        <w:rPr>
          <w:rFonts w:ascii="宋体" w:hAnsi="宋体" w:cs="宋体"/>
          <w:color w:val="auto"/>
          <w:sz w:val="24"/>
          <w:highlight w:val="none"/>
        </w:rPr>
      </w:pPr>
      <w:r>
        <w:rPr>
          <w:rFonts w:ascii="宋体" w:hAnsi="宋体" w:cs="宋体"/>
          <w:color w:val="auto"/>
          <w:sz w:val="24"/>
          <w:highlight w:val="none"/>
        </w:rPr>
        <w:t>备注：</w:t>
      </w:r>
      <w:r>
        <w:rPr>
          <w:rFonts w:hint="eastAsia" w:ascii="宋体" w:hAnsi="宋体" w:cs="宋体"/>
          <w:color w:val="auto"/>
          <w:sz w:val="24"/>
          <w:highlight w:val="none"/>
        </w:rPr>
        <w:t>投标人应按照第五章“工程量清单”的要求逐项填报工程量清单。工程量清单不需要附项目清单、分项清单及单价分析表，但投标人中标后，发包人可要求中标人提交项目清单、分项清单及单价分析表，中标人不得拒绝。</w:t>
      </w:r>
    </w:p>
    <w:p w14:paraId="62CB53B0">
      <w:pPr>
        <w:pStyle w:val="53"/>
        <w:shd w:val="clear" w:fill="FFFFFF" w:themeFill="background1"/>
        <w:rPr>
          <w:rFonts w:ascii="宋体" w:hAnsi="宋体" w:cs="宋体"/>
          <w:color w:val="auto"/>
          <w:sz w:val="24"/>
          <w:highlight w:val="none"/>
        </w:rPr>
      </w:pPr>
    </w:p>
    <w:p w14:paraId="7C03AF38">
      <w:pPr>
        <w:pStyle w:val="53"/>
        <w:shd w:val="clear" w:fill="FFFFFF" w:themeFill="background1"/>
        <w:rPr>
          <w:rFonts w:ascii="宋体" w:hAnsi="宋体" w:cs="宋体"/>
          <w:color w:val="auto"/>
          <w:sz w:val="24"/>
          <w:highlight w:val="none"/>
        </w:rPr>
      </w:pPr>
    </w:p>
    <w:sectPr>
      <w:footerReference r:id="rId19" w:type="first"/>
      <w:footerReference r:id="rId18" w:type="default"/>
      <w:footnotePr>
        <w:numFmt w:val="decimalEnclosedCircleChinese"/>
      </w:footnotePr>
      <w:pgSz w:w="11906" w:h="16838"/>
      <w:pgMar w:top="1038" w:right="924" w:bottom="936" w:left="1418" w:header="624" w:footer="59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BFB8">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04B533D5">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zH&#10;gNQAAAADAQAADwAAAAAAAAABACAAAAAiAAAAZHJzL2Rvd25yZXYueG1sUEsBAhQAFAAAAAgAh07i&#10;QNpBr/XtAQAA0QMAAA4AAAAAAAAAAQAgAAAAIwEAAGRycy9lMm9Eb2MueG1sUEsFBgAAAAAGAAYA&#10;WQEAAIIFAAAAAA==&#10;">
              <v:fill on="f" focussize="0,0"/>
              <v:stroke on="f" weight="1.25pt"/>
              <v:imagedata o:title=""/>
              <o:lock v:ext="edit" aspectratio="f"/>
              <v:textbox inset="0mm,0mm,0mm,0mm" style="mso-fit-shape-to-text:t;">
                <w:txbxContent>
                  <w:p w14:paraId="04B533D5">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F05E">
    <w:pPr>
      <w:pStyle w:val="2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181AB1">
                          <w:pPr>
                            <w:pStyle w:val="27"/>
                          </w:pPr>
                          <w:r>
                            <w:fldChar w:fldCharType="begin"/>
                          </w:r>
                          <w:r>
                            <w:instrText xml:space="preserve"> PAGE  \* MERGEFORMAT </w:instrText>
                          </w:r>
                          <w:r>
                            <w:fldChar w:fldCharType="separate"/>
                          </w:r>
                          <w:r>
                            <w:t>268</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Cqa+MH0QEAAKUDAAAOAAAAAAAAAAEAIAAAACIB&#10;AABkcnMvZTJvRG9jLnhtbFBLBQYAAAAABgAGAFkBAABlBQAAAAA=&#10;">
              <v:fill on="f" focussize="0,0"/>
              <v:stroke on="f" weight="1pt"/>
              <v:imagedata o:title=""/>
              <o:lock v:ext="edit" aspectratio="f"/>
              <v:textbox inset="0mm,0mm,0mm,0mm" style="mso-fit-shape-to-text:t;">
                <w:txbxContent>
                  <w:p w14:paraId="05181AB1">
                    <w:pPr>
                      <w:pStyle w:val="27"/>
                    </w:pPr>
                    <w:r>
                      <w:fldChar w:fldCharType="begin"/>
                    </w:r>
                    <w:r>
                      <w:instrText xml:space="preserve"> PAGE  \* MERGEFORMAT </w:instrText>
                    </w:r>
                    <w:r>
                      <w:fldChar w:fldCharType="separate"/>
                    </w:r>
                    <w:r>
                      <w:t>268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10B45">
    <w:pPr>
      <w:pStyle w:val="27"/>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1FAD">
    <w:pPr>
      <w:spacing w:line="196" w:lineRule="auto"/>
      <w:ind w:left="4382"/>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F8B51">
                          <w:pPr>
                            <w:pStyle w:val="27"/>
                          </w:pPr>
                          <w:r>
                            <w:fldChar w:fldCharType="begin"/>
                          </w:r>
                          <w:r>
                            <w:instrText xml:space="preserve"> PAGE  \* MERGEFORMAT </w:instrText>
                          </w:r>
                          <w:r>
                            <w:fldChar w:fldCharType="separate"/>
                          </w:r>
                          <w:r>
                            <w:t>269</w:t>
                          </w:r>
                          <w:r>
                            <w:fldChar w:fldCharType="end"/>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ud/8IBAACO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YLnf/CAQAAjgMAAA4AAAAAAAAAAQAgAAAAHgEAAGRycy9lMm9Eb2MueG1sUEsF&#10;BgAAAAAGAAYAWQEAAFIFAAAAAA==&#10;">
              <v:fill on="f" focussize="0,0"/>
              <v:stroke on="f"/>
              <v:imagedata o:title=""/>
              <o:lock v:ext="edit" aspectratio="f"/>
              <v:textbox inset="0mm,0mm,0mm,0mm" style="mso-fit-shape-to-text:t;">
                <w:txbxContent>
                  <w:p w14:paraId="0A6F8B51">
                    <w:pPr>
                      <w:pStyle w:val="27"/>
                    </w:pPr>
                    <w:r>
                      <w:fldChar w:fldCharType="begin"/>
                    </w:r>
                    <w:r>
                      <w:instrText xml:space="preserve"> PAGE  \* MERGEFORMAT </w:instrText>
                    </w:r>
                    <w:r>
                      <w:fldChar w:fldCharType="separate"/>
                    </w:r>
                    <w:r>
                      <w:t>269</w:t>
                    </w:r>
                    <w:r>
                      <w:fldChar w:fldCharType="end"/>
                    </w:r>
                  </w:p>
                </w:txbxContent>
              </v:textbox>
            </v:shape>
          </w:pict>
        </mc:Fallback>
      </mc:AlternateContent>
    </w:r>
    <w:r>
      <w:rPr>
        <w:rFonts w:eastAsia="Times New Roman"/>
        <w:spacing w:val="5"/>
        <w:sz w:val="17"/>
        <w:szCs w:val="17"/>
      </w:rPr>
      <w:t>2</w:t>
    </w:r>
    <w:r>
      <w:rPr>
        <w:rFonts w:eastAsia="Times New Roman"/>
        <w:spacing w:val="3"/>
        <w:sz w:val="17"/>
        <w:szCs w:val="17"/>
      </w:rPr>
      <w:t>42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4E4C">
    <w:pPr>
      <w:pStyle w:val="27"/>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BADFA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273</w:t>
                          </w:r>
                          <w:r>
                            <w:rPr>
                              <w:rFonts w:hint="eastAsia"/>
                              <w:sz w:val="18"/>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ifdr9MAAAAFAQAADwAAAAAAAAABACAAAAAiAAAAZHJz&#10;L2Rvd25yZXYueG1sUEsBAhQAFAAAAAgAh07iQOedMwvQAQAApQMAAA4AAAAAAAAAAQAgAAAAIgEA&#10;AGRycy9lMm9Eb2MueG1sUEsFBgAAAAAGAAYAWQEAAGQFAAAAAA==&#10;">
              <v:fill on="f" focussize="0,0"/>
              <v:stroke on="f" weight="1pt"/>
              <v:imagedata o:title=""/>
              <o:lock v:ext="edit" aspectratio="f"/>
              <v:textbox inset="0mm,0mm,0mm,0mm" style="mso-fit-shape-to-text:t;">
                <w:txbxContent>
                  <w:p w14:paraId="1BADFA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273</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88B7">
    <w:pPr>
      <w:pStyle w:val="2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1115060" cy="157480"/>
                      </a:xfrm>
                      <a:prstGeom prst="rect">
                        <a:avLst/>
                      </a:prstGeom>
                      <a:noFill/>
                      <a:ln w="15875">
                        <a:noFill/>
                      </a:ln>
                      <a:effectLst/>
                    </wps:spPr>
                    <wps:txbx>
                      <w:txbxContent>
                        <w:p w14:paraId="44BFB587">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14" o:spid="_x0000_s1026" o:spt="202" type="#_x0000_t202" style="position:absolute;left:0pt;margin-top:-3.75pt;height:12.4pt;width:87.8pt;mso-position-horizontal:center;mso-position-horizontal-relative:margin;mso-wrap-style:none;z-index:251663360;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2JpyzWAAAABgEAAA8AAAAAAAAAAQAgAAAAIgAAAGRycy9kb3ducmV2LnhtbFBLAQIUABQAAAAI&#10;AIdO4kCLgJXs7wEAANMDAAAOAAAAAAAAAAEAIAAAACUBAABkcnMvZTJvRG9jLnhtbFBLBQYAAAAA&#10;BgAGAFkBAACGBQAAAAA=&#10;">
              <v:fill on="f" focussize="0,0"/>
              <v:stroke on="f" weight="1.25pt"/>
              <v:imagedata o:title=""/>
              <o:lock v:ext="edit" aspectratio="f"/>
              <v:textbox inset="0mm,0mm,0mm,0mm" style="mso-fit-shape-to-text:t;">
                <w:txbxContent>
                  <w:p w14:paraId="44BFB587">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0AC32">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7F54303A">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MeA1AAAAAMBAAAPAAAAAAAAAAEAIAAAACIAAABkcnMvZG93bnJldi54bWxQSwECFAAUAAAACACH&#10;TuJAge0wiu8BAADQAwAADgAAAAAAAAABACAAAAAjAQAAZHJzL2Uyb0RvYy54bWxQSwUGAAAAAAYA&#10;BgBZAQAAhAUAAAAA&#10;">
              <v:fill on="f" focussize="0,0"/>
              <v:stroke on="f" weight="1.25pt"/>
              <v:imagedata o:title=""/>
              <o:lock v:ext="edit" aspectratio="f"/>
              <v:textbox inset="0mm,0mm,0mm,0mm" style="mso-fit-shape-to-text:t;">
                <w:txbxContent>
                  <w:p w14:paraId="7F54303A">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43D6">
    <w:pPr>
      <w:pStyle w:val="2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329997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BEj5BM0QEAAKUDAAAOAAAAAAAAAAEAIAAAACIB&#10;AABkcnMvZTJvRG9jLnhtbFBLBQYAAAAABgAGAFkBAABlBQAAAAA=&#10;">
              <v:fill on="f" focussize="0,0"/>
              <v:stroke on="f" weight="1pt"/>
              <v:imagedata o:title=""/>
              <o:lock v:ext="edit" aspectratio="f"/>
              <v:textbox inset="0mm,0mm,0mm,0mm" style="mso-fit-shape-to-text:t;">
                <w:txbxContent>
                  <w:p w14:paraId="2329997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ED11A3">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pe0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OHpe0zAgAAZQQAAA4AAAAAAAAAAQAgAAAAHwEAAGRycy9lMm9Eb2MueG1sUEsF&#10;BgAAAAAGAAYAWQEAAMQFAAAAAA==&#10;">
              <v:fill on="f" focussize="0,0"/>
              <v:stroke on="f" weight="0.5pt"/>
              <v:imagedata o:title=""/>
              <o:lock v:ext="edit" aspectratio="f"/>
              <v:textbox inset="0mm,0mm,0mm,0mm" style="mso-fit-shape-to-text:t;">
                <w:txbxContent>
                  <w:p w14:paraId="15ED11A3">
                    <w:pPr>
                      <w:snapToGrid w:val="0"/>
                      <w:rPr>
                        <w:sz w:val="18"/>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0D97A0D7">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950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MeA1AAAAAMBAAAPAAAAAAAAAAEAIAAAACIAAABkcnMvZG93bnJldi54bWxQSwECFAAUAAAACACH&#10;TuJAk3abV+8BAADRAwAADgAAAAAAAAABACAAAAAjAQAAZHJzL2Uyb0RvYy54bWxQSwUGAAAAAAYA&#10;BgBZAQAAhAUAAAAA&#10;">
              <v:fill on="f" focussize="0,0"/>
              <v:stroke on="f" weight="1.25pt"/>
              <v:imagedata o:title=""/>
              <o:lock v:ext="edit" aspectratio="f"/>
              <v:textbox inset="0mm,0mm,0mm,0mm" style="mso-fit-shape-to-text:t;">
                <w:txbxContent>
                  <w:p w14:paraId="0D97A0D7">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026A">
    <w:pPr>
      <w:pStyle w:val="2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DF8B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H/8c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8f/xzICAABlBAAADgAAAAAAAAABACAAAAAfAQAAZHJzL2Uyb0RvYy54bWxQSwUG&#10;AAAAAAYABgBZAQAAwwUAAAAA&#10;">
              <v:fill on="f" focussize="0,0"/>
              <v:stroke on="f" weight="0.5pt"/>
              <v:imagedata o:title=""/>
              <o:lock v:ext="edit" aspectratio="f"/>
              <v:textbox inset="0mm,0mm,0mm,0mm" style="mso-fit-shape-to-text:t;">
                <w:txbxContent>
                  <w:p w14:paraId="0FEDF8B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2928">
    <w:pPr>
      <w:pStyle w:val="27"/>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B7B640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Dt0oyA0QEAAKUDAAAOAAAAAAAAAAEAIAAAACIB&#10;AABkcnMvZTJvRG9jLnhtbFBLBQYAAAAABgAGAFkBAABlBQAAAAA=&#10;">
              <v:fill on="f" focussize="0,0"/>
              <v:stroke on="f" weight="1pt"/>
              <v:imagedata o:title=""/>
              <o:lock v:ext="edit" aspectratio="f"/>
              <v:textbox inset="0mm,0mm,0mm,0mm" style="mso-fit-shape-to-text:t;">
                <w:txbxContent>
                  <w:p w14:paraId="6B7B640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-11430</wp:posOffset>
              </wp:positionV>
              <wp:extent cx="1143000" cy="29718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15875">
                        <a:noFill/>
                      </a:ln>
                      <a:effectLst/>
                    </wps:spPr>
                    <wps:txbx>
                      <w:txbxContent>
                        <w:p w14:paraId="12002CC8">
                          <w:pPr>
                            <w:pStyle w:val="27"/>
                          </w:pPr>
                        </w:p>
                      </w:txbxContent>
                    </wps:txbx>
                    <wps:bodyPr rot="0" vert="horz" wrap="square" lIns="0" tIns="0" rIns="0" bIns="0" anchor="t" anchorCtr="0"/>
                  </wps:wsp>
                </a:graphicData>
              </a:graphic>
            </wp:anchor>
          </w:drawing>
        </mc:Choice>
        <mc:Fallback>
          <w:pict>
            <v:shape id="文本框 17" o:spid="_x0000_s1026" o:spt="202" type="#_x0000_t202" style="position:absolute;left:0pt;margin-top:-0.9pt;height:23.4pt;width:90pt;mso-position-horizontal:center;mso-position-horizontal-relative:margin;z-index:251664384;mso-width-relative:page;mso-height-relative:page;" filled="f" stroked="f" coordsize="21600,21600" o:gfxdata="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wjZsbVAAAABgEA&#10;AA8AAAAAAAAAAQAgAAAAIgAAAGRycy9kb3ducmV2LnhtbFBLAQIUABQAAAAIAIdO4kBJFhII5AEA&#10;ALoDAAAOAAAAAAAAAAEAIAAAACQBAABkcnMvZTJvRG9jLnhtbFBLBQYAAAAABgAGAFkBAAB6BQAA&#10;AAA=&#10;">
              <v:fill on="f" focussize="0,0"/>
              <v:stroke on="f" weight="1.25pt"/>
              <v:imagedata o:title=""/>
              <o:lock v:ext="edit" aspectratio="f"/>
              <v:textbox inset="0mm,0mm,0mm,0mm">
                <w:txbxContent>
                  <w:p w14:paraId="12002CC8">
                    <w:pPr>
                      <w:pStyle w:val="2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4165">
    <w:pPr>
      <w:pStyle w:val="2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4FC1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60</w:t>
                          </w:r>
                          <w:r>
                            <w:rPr>
                              <w:rFonts w:hint="eastAsia"/>
                              <w:sz w:val="18"/>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3MqidIBAACkAwAADgAAAAAAAAABACAAAAAfAQAA&#10;ZHJzL2Uyb0RvYy54bWxQSwUGAAAAAAYABgBZAQAAYwUAAAAA&#10;">
              <v:fill on="f" focussize="0,0"/>
              <v:stroke on="f" weight="0.5pt"/>
              <v:imagedata o:title=""/>
              <o:lock v:ext="edit" aspectratio="f"/>
              <v:textbox inset="0mm,0mm,0mm,0mm" style="mso-fit-shape-to-text:t;">
                <w:txbxContent>
                  <w:p w14:paraId="5C4FC1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60</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DC5F">
    <w:pPr>
      <w:pStyle w:val="27"/>
      <w:ind w:firstLine="4590" w:firstLineChars="2550"/>
      <w:rPr>
        <w:color w:val="FFFFFF"/>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1BCA4C5">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I4/A&#10;FeoBAADSAwAADgAAAAAAAAABACAAAAAiAQAAZHJzL2Uyb0RvYy54bWxQSwUGAAAAAAYABgBZAQAA&#10;fgUAAAAA&#10;">
              <v:fill on="f" focussize="0,0"/>
              <v:stroke on="f" weight="1.25pt"/>
              <v:imagedata o:title=""/>
              <o:lock v:ext="edit" aspectratio="f"/>
              <v:textbox inset="0mm,0mm,0mm,0mm" style="mso-fit-shape-to-text:t;">
                <w:txbxContent>
                  <w:p w14:paraId="11BCA4C5">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D5FA">
    <w:pPr>
      <w:pStyle w:val="2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380006">
                          <w:pPr>
                            <w:pStyle w:val="27"/>
                          </w:pPr>
                          <w:r>
                            <w:fldChar w:fldCharType="begin"/>
                          </w:r>
                          <w:r>
                            <w:instrText xml:space="preserve"> PAGE  \* MERGEFORMAT </w:instrText>
                          </w:r>
                          <w:r>
                            <w:fldChar w:fldCharType="separate"/>
                          </w:r>
                          <w:r>
                            <w:t>245</w:t>
                          </w:r>
                          <w:r>
                            <w:fldChar w:fldCharType="end"/>
                          </w:r>
                        </w:p>
                      </w:txbxContent>
                    </wps:txbx>
                    <wps:bodyPr wrap="none" lIns="0" tIns="0" rIns="0" bIns="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wgPvTCAQAAjgMAAA4AAAAAAAAAAQAgAAAAHgEAAGRycy9lMm9Eb2MueG1sUEsF&#10;BgAAAAAGAAYAWQEAAFIFAAAAAA==&#10;">
              <v:fill on="f" focussize="0,0"/>
              <v:stroke on="f"/>
              <v:imagedata o:title=""/>
              <o:lock v:ext="edit" aspectratio="f"/>
              <v:textbox inset="0mm,0mm,0mm,0mm" style="mso-fit-shape-to-text:t;">
                <w:txbxContent>
                  <w:p w14:paraId="34380006">
                    <w:pPr>
                      <w:pStyle w:val="27"/>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6929">
    <w:pPr>
      <w:pStyle w:val="2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3EA872C4">
                          <w:pPr>
                            <w:pStyle w:val="27"/>
                          </w:pPr>
                          <w:r>
                            <w:fldChar w:fldCharType="begin"/>
                          </w:r>
                          <w:r>
                            <w:instrText xml:space="preserve"> PAGE  \* MERGEFORMAT </w:instrText>
                          </w:r>
                          <w:r>
                            <w:fldChar w:fldCharType="separate"/>
                          </w:r>
                          <w:r>
                            <w:t>260</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ANrMiI0QEAAKQDAAAOAAAAAAAAAAEAIAAAACIB&#10;AABkcnMvZTJvRG9jLnhtbFBLBQYAAAAABgAGAFkBAABlBQAAAAA=&#10;">
              <v:fill on="f" focussize="0,0"/>
              <v:stroke on="f" weight="1pt"/>
              <v:imagedata o:title=""/>
              <o:lock v:ext="edit" aspectratio="f"/>
              <v:textbox inset="0mm,0mm,0mm,0mm" style="mso-fit-shape-to-text:t;">
                <w:txbxContent>
                  <w:p w14:paraId="3EA872C4">
                    <w:pPr>
                      <w:pStyle w:val="27"/>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DFAA2">
    <w:pPr>
      <w:pStyle w:val="28"/>
      <w:pBdr>
        <w:bottom w:val="none" w:color="auto" w:sz="0" w:space="1"/>
      </w:pBdr>
      <w:tabs>
        <w:tab w:val="left" w:pos="205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FC22">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A071">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56F56"/>
    <w:multiLevelType w:val="singleLevel"/>
    <w:tmpl w:val="B4A56F56"/>
    <w:lvl w:ilvl="0" w:tentative="0">
      <w:start w:val="7"/>
      <w:numFmt w:val="chineseCounting"/>
      <w:suff w:val="nothing"/>
      <w:lvlText w:val="%1、"/>
      <w:lvlJc w:val="left"/>
      <w:rPr>
        <w:rFonts w:hint="eastAsia"/>
      </w:rPr>
    </w:lvl>
  </w:abstractNum>
  <w:abstractNum w:abstractNumId="1">
    <w:nsid w:val="CC52B4EA"/>
    <w:multiLevelType w:val="multilevel"/>
    <w:tmpl w:val="CC52B4EA"/>
    <w:lvl w:ilvl="0" w:tentative="0">
      <w:start w:val="1"/>
      <w:numFmt w:val="decimal"/>
      <w:lvlText w:val="%1."/>
      <w:lvlJc w:val="left"/>
      <w:pPr>
        <w:ind w:left="71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C6B917F"/>
    <w:multiLevelType w:val="singleLevel"/>
    <w:tmpl w:val="CC6B917F"/>
    <w:lvl w:ilvl="0" w:tentative="0">
      <w:start w:val="1"/>
      <w:numFmt w:val="decimal"/>
      <w:suff w:val="nothing"/>
      <w:lvlText w:val="%1）"/>
      <w:lvlJc w:val="left"/>
    </w:lvl>
  </w:abstractNum>
  <w:abstractNum w:abstractNumId="3">
    <w:nsid w:val="E17B46C6"/>
    <w:multiLevelType w:val="singleLevel"/>
    <w:tmpl w:val="E17B46C6"/>
    <w:lvl w:ilvl="0" w:tentative="0">
      <w:start w:val="9"/>
      <w:numFmt w:val="decimal"/>
      <w:lvlText w:val="%1)"/>
      <w:lvlJc w:val="left"/>
      <w:pPr>
        <w:tabs>
          <w:tab w:val="left" w:pos="312"/>
        </w:tabs>
      </w:pPr>
    </w:lvl>
  </w:abstractNum>
  <w:abstractNum w:abstractNumId="4">
    <w:nsid w:val="00000004"/>
    <w:multiLevelType w:val="multilevel"/>
    <w:tmpl w:val="00000004"/>
    <w:lvl w:ilvl="0" w:tentative="0">
      <w:start w:val="1"/>
      <w:numFmt w:val="decimal"/>
      <w:lvlText w:val="（%1）"/>
      <w:lvlJc w:val="left"/>
      <w:pPr>
        <w:tabs>
          <w:tab w:val="left" w:pos="1430"/>
        </w:tabs>
        <w:ind w:left="143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6">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b/>
        <w:i w:val="0"/>
        <w:spacing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suff w:val="space"/>
      <w:lvlText w:val="%2.%3.%4"/>
      <w:lvlJc w:val="left"/>
      <w:pPr>
        <w:ind w:left="284" w:hanging="284"/>
      </w:pPr>
      <w:rPr>
        <w:rFonts w:hint="eastAsia" w:ascii="宋体" w:hAnsi="Times New Roman" w:eastAsia="宋体"/>
        <w:b/>
        <w:i w:val="0"/>
        <w:sz w:val="28"/>
      </w:rPr>
    </w:lvl>
    <w:lvl w:ilvl="4" w:tentative="0">
      <w:start w:val="1"/>
      <w:numFmt w:val="decimal"/>
      <w:suff w:val="space"/>
      <w:lvlText w:val="%2.%3.%4.%5"/>
      <w:lvlJc w:val="left"/>
      <w:pPr>
        <w:ind w:left="284" w:hanging="284"/>
      </w:pPr>
      <w:rPr>
        <w:rFonts w:hint="eastAsia" w:ascii="宋体" w:hAnsi="Times New Roman" w:eastAsia="宋体"/>
        <w:b/>
        <w:i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0000000E"/>
    <w:multiLevelType w:val="singleLevel"/>
    <w:tmpl w:val="0000000E"/>
    <w:lvl w:ilvl="0" w:tentative="0">
      <w:start w:val="1"/>
      <w:numFmt w:val="chineseCounting"/>
      <w:pStyle w:val="12"/>
      <w:suff w:val="space"/>
      <w:lvlText w:val="第%1章"/>
      <w:lvlJc w:val="left"/>
    </w:lvl>
  </w:abstractNum>
  <w:abstractNum w:abstractNumId="8">
    <w:nsid w:val="00000013"/>
    <w:multiLevelType w:val="multilevel"/>
    <w:tmpl w:val="000000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0"/>
    <w:multiLevelType w:val="multilevel"/>
    <w:tmpl w:val="000000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00000024"/>
    <w:multiLevelType w:val="multilevel"/>
    <w:tmpl w:val="00000024"/>
    <w:lvl w:ilvl="0" w:tentative="0">
      <w:start w:val="2"/>
      <w:numFmt w:val="decimal"/>
      <w:lvlText w:val="%1"/>
      <w:lvlJc w:val="left"/>
      <w:pPr>
        <w:tabs>
          <w:tab w:val="left" w:pos="360"/>
        </w:tabs>
        <w:ind w:left="360" w:hanging="360"/>
      </w:pPr>
      <w:rPr>
        <w:rFonts w:hint="default"/>
      </w:rPr>
    </w:lvl>
    <w:lvl w:ilvl="1" w:tentative="0">
      <w:start w:val="5"/>
      <w:numFmt w:val="decimal"/>
      <w:lvlText w:val="%1.%2"/>
      <w:lvlJc w:val="left"/>
      <w:pPr>
        <w:tabs>
          <w:tab w:val="left" w:pos="785"/>
        </w:tabs>
        <w:ind w:left="785" w:hanging="36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1995"/>
        </w:tabs>
        <w:ind w:left="1995" w:hanging="72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205"/>
        </w:tabs>
        <w:ind w:left="3205" w:hanging="108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415"/>
        </w:tabs>
        <w:ind w:left="4415" w:hanging="144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6">
    <w:nsid w:val="04742A9C"/>
    <w:multiLevelType w:val="singleLevel"/>
    <w:tmpl w:val="04742A9C"/>
    <w:lvl w:ilvl="0" w:tentative="0">
      <w:start w:val="4"/>
      <w:numFmt w:val="chineseCounting"/>
      <w:suff w:val="nothing"/>
      <w:lvlText w:val="%1、"/>
      <w:lvlJc w:val="left"/>
      <w:rPr>
        <w:rFonts w:hint="eastAsia"/>
      </w:rPr>
    </w:lvl>
  </w:abstractNum>
  <w:abstractNum w:abstractNumId="17">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69"/>
      <w:suff w:val="space"/>
      <w:lvlText w:val="%2."/>
      <w:lvlJc w:val="left"/>
      <w:pPr>
        <w:tabs>
          <w:tab w:val="left" w:pos="0"/>
        </w:tabs>
        <w:ind w:left="284" w:firstLine="0"/>
      </w:pPr>
      <w:rPr>
        <w:rFonts w:hint="eastAsia" w:ascii="宋体" w:hAnsi="宋体" w:eastAsia="宋体" w:cs="宋体"/>
      </w:rPr>
    </w:lvl>
    <w:lvl w:ilvl="2" w:tentative="0">
      <w:start w:val="1"/>
      <w:numFmt w:val="decimal"/>
      <w:pStyle w:val="71"/>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4059543"/>
    <w:multiLevelType w:val="singleLevel"/>
    <w:tmpl w:val="64059543"/>
    <w:lvl w:ilvl="0" w:tentative="0">
      <w:start w:val="2"/>
      <w:numFmt w:val="decimal"/>
      <w:suff w:val="nothing"/>
      <w:lvlText w:val="%1．"/>
      <w:lvlJc w:val="left"/>
    </w:lvl>
  </w:abstractNum>
  <w:abstractNum w:abstractNumId="19">
    <w:nsid w:val="643377FD"/>
    <w:multiLevelType w:val="singleLevel"/>
    <w:tmpl w:val="643377FD"/>
    <w:lvl w:ilvl="0" w:tentative="0">
      <w:start w:val="1"/>
      <w:numFmt w:val="lowerLetter"/>
      <w:suff w:val="nothing"/>
      <w:lvlText w:val="%1、"/>
      <w:lvlJc w:val="left"/>
    </w:lvl>
  </w:abstractNum>
  <w:abstractNum w:abstractNumId="20">
    <w:nsid w:val="64338314"/>
    <w:multiLevelType w:val="singleLevel"/>
    <w:tmpl w:val="64338314"/>
    <w:lvl w:ilvl="0" w:tentative="0">
      <w:start w:val="2"/>
      <w:numFmt w:val="decimal"/>
      <w:suff w:val="nothing"/>
      <w:lvlText w:val="（%1）"/>
      <w:lvlJc w:val="left"/>
    </w:lvl>
  </w:abstractNum>
  <w:abstractNum w:abstractNumId="21">
    <w:nsid w:val="64338395"/>
    <w:multiLevelType w:val="singleLevel"/>
    <w:tmpl w:val="64338395"/>
    <w:lvl w:ilvl="0" w:tentative="0">
      <w:start w:val="5"/>
      <w:numFmt w:val="decimal"/>
      <w:suff w:val="nothing"/>
      <w:lvlText w:val="（%1）"/>
      <w:lvlJc w:val="left"/>
    </w:lvl>
  </w:abstractNum>
  <w:abstractNum w:abstractNumId="22">
    <w:nsid w:val="643388B3"/>
    <w:multiLevelType w:val="singleLevel"/>
    <w:tmpl w:val="643388B3"/>
    <w:lvl w:ilvl="0" w:tentative="0">
      <w:start w:val="1"/>
      <w:numFmt w:val="decimal"/>
      <w:suff w:val="nothing"/>
      <w:lvlText w:val="（%1）"/>
      <w:lvlJc w:val="left"/>
    </w:lvl>
  </w:abstractNum>
  <w:abstractNum w:abstractNumId="23">
    <w:nsid w:val="643388EF"/>
    <w:multiLevelType w:val="singleLevel"/>
    <w:tmpl w:val="643388EF"/>
    <w:lvl w:ilvl="0" w:tentative="0">
      <w:start w:val="1"/>
      <w:numFmt w:val="decimal"/>
      <w:suff w:val="nothing"/>
      <w:lvlText w:val="（%1）"/>
      <w:lvlJc w:val="left"/>
    </w:lvl>
  </w:abstractNum>
  <w:abstractNum w:abstractNumId="24">
    <w:nsid w:val="64338920"/>
    <w:multiLevelType w:val="singleLevel"/>
    <w:tmpl w:val="64338920"/>
    <w:lvl w:ilvl="0" w:tentative="0">
      <w:start w:val="1"/>
      <w:numFmt w:val="chineseCounting"/>
      <w:suff w:val="nothing"/>
      <w:lvlText w:val="（%1）"/>
      <w:lvlJc w:val="left"/>
    </w:lvl>
  </w:abstractNum>
  <w:abstractNum w:abstractNumId="25">
    <w:nsid w:val="66709935"/>
    <w:multiLevelType w:val="singleLevel"/>
    <w:tmpl w:val="66709935"/>
    <w:lvl w:ilvl="0" w:tentative="0">
      <w:start w:val="8"/>
      <w:numFmt w:val="decimal"/>
      <w:suff w:val="nothing"/>
      <w:lvlText w:val="%1．"/>
      <w:lvlJc w:val="left"/>
    </w:lvl>
  </w:abstractNum>
  <w:abstractNum w:abstractNumId="26">
    <w:nsid w:val="72388122"/>
    <w:multiLevelType w:val="singleLevel"/>
    <w:tmpl w:val="72388122"/>
    <w:lvl w:ilvl="0" w:tentative="0">
      <w:start w:val="11"/>
      <w:numFmt w:val="decimal"/>
      <w:lvlText w:val="%1."/>
      <w:lvlJc w:val="left"/>
      <w:pPr>
        <w:tabs>
          <w:tab w:val="left" w:pos="312"/>
        </w:tabs>
      </w:pPr>
    </w:lvl>
  </w:abstractNum>
  <w:abstractNum w:abstractNumId="27">
    <w:nsid w:val="740654F9"/>
    <w:multiLevelType w:val="singleLevel"/>
    <w:tmpl w:val="740654F9"/>
    <w:lvl w:ilvl="0" w:tentative="0">
      <w:start w:val="1"/>
      <w:numFmt w:val="decimal"/>
      <w:suff w:val="nothing"/>
      <w:lvlText w:val="（%1）"/>
      <w:lvlJc w:val="left"/>
    </w:lvl>
  </w:abstractNum>
  <w:abstractNum w:abstractNumId="28">
    <w:nsid w:val="7F1B7743"/>
    <w:multiLevelType w:val="multilevel"/>
    <w:tmpl w:val="7F1B774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6"/>
  </w:num>
  <w:num w:numId="2">
    <w:abstractNumId w:val="7"/>
  </w:num>
  <w:num w:numId="3">
    <w:abstractNumId w:val="17"/>
  </w:num>
  <w:num w:numId="4">
    <w:abstractNumId w:val="25"/>
  </w:num>
  <w:num w:numId="5">
    <w:abstractNumId w:val="4"/>
  </w:num>
  <w:num w:numId="6">
    <w:abstractNumId w:val="27"/>
  </w:num>
  <w:num w:numId="7">
    <w:abstractNumId w:val="19"/>
  </w:num>
  <w:num w:numId="8">
    <w:abstractNumId w:val="26"/>
  </w:num>
  <w:num w:numId="9">
    <w:abstractNumId w:val="18"/>
  </w:num>
  <w:num w:numId="10">
    <w:abstractNumId w:val="1"/>
  </w:num>
  <w:num w:numId="11">
    <w:abstractNumId w:val="20"/>
  </w:num>
  <w:num w:numId="12">
    <w:abstractNumId w:val="21"/>
  </w:num>
  <w:num w:numId="13">
    <w:abstractNumId w:val="22"/>
  </w:num>
  <w:num w:numId="14">
    <w:abstractNumId w:val="23"/>
  </w:num>
  <w:num w:numId="15">
    <w:abstractNumId w:val="24"/>
  </w:num>
  <w:num w:numId="16">
    <w:abstractNumId w:val="28"/>
  </w:num>
  <w:num w:numId="17">
    <w:abstractNumId w:val="5"/>
  </w:num>
  <w:num w:numId="18">
    <w:abstractNumId w:val="13"/>
  </w:num>
  <w:num w:numId="19">
    <w:abstractNumId w:val="9"/>
  </w:num>
  <w:num w:numId="20">
    <w:abstractNumId w:val="2"/>
  </w:num>
  <w:num w:numId="21">
    <w:abstractNumId w:val="3"/>
  </w:num>
  <w:num w:numId="22">
    <w:abstractNumId w:val="10"/>
  </w:num>
  <w:num w:numId="23">
    <w:abstractNumId w:val="11"/>
  </w:num>
  <w:num w:numId="24">
    <w:abstractNumId w:val="14"/>
  </w:num>
  <w:num w:numId="25">
    <w:abstractNumId w:val="12"/>
  </w:num>
  <w:num w:numId="26">
    <w:abstractNumId w:val="15"/>
  </w:num>
  <w:num w:numId="27">
    <w:abstractNumId w:val="8"/>
  </w:num>
  <w:num w:numId="28">
    <w:abstractNumId w:val="1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DkzMDExZmZlMDNjYzI3MWQ2ZjMwZGUwNGZjNmYifQ=="/>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45E8"/>
    <w:rsid w:val="00015040"/>
    <w:rsid w:val="00015931"/>
    <w:rsid w:val="000171CB"/>
    <w:rsid w:val="0001796D"/>
    <w:rsid w:val="000208BC"/>
    <w:rsid w:val="000209DC"/>
    <w:rsid w:val="00024A69"/>
    <w:rsid w:val="000301DE"/>
    <w:rsid w:val="0003212A"/>
    <w:rsid w:val="000327BC"/>
    <w:rsid w:val="000327CC"/>
    <w:rsid w:val="00034ACB"/>
    <w:rsid w:val="00034B07"/>
    <w:rsid w:val="000373E8"/>
    <w:rsid w:val="000375DC"/>
    <w:rsid w:val="000404B0"/>
    <w:rsid w:val="000409AC"/>
    <w:rsid w:val="00041F75"/>
    <w:rsid w:val="00042B0F"/>
    <w:rsid w:val="000430F3"/>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71D95"/>
    <w:rsid w:val="00073A85"/>
    <w:rsid w:val="0007502F"/>
    <w:rsid w:val="00076847"/>
    <w:rsid w:val="00076AF7"/>
    <w:rsid w:val="000815EB"/>
    <w:rsid w:val="00084446"/>
    <w:rsid w:val="0008573A"/>
    <w:rsid w:val="000866BA"/>
    <w:rsid w:val="000901EA"/>
    <w:rsid w:val="00090C03"/>
    <w:rsid w:val="0009136E"/>
    <w:rsid w:val="00092E73"/>
    <w:rsid w:val="000938F7"/>
    <w:rsid w:val="00094099"/>
    <w:rsid w:val="0009520D"/>
    <w:rsid w:val="000964FA"/>
    <w:rsid w:val="0009724E"/>
    <w:rsid w:val="000A04A7"/>
    <w:rsid w:val="000A13E1"/>
    <w:rsid w:val="000A4773"/>
    <w:rsid w:val="000A4CE5"/>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DA5"/>
    <w:rsid w:val="000D02A0"/>
    <w:rsid w:val="000D0B73"/>
    <w:rsid w:val="000D1897"/>
    <w:rsid w:val="000D4F62"/>
    <w:rsid w:val="000D5747"/>
    <w:rsid w:val="000D5B2F"/>
    <w:rsid w:val="000D7D43"/>
    <w:rsid w:val="000E003D"/>
    <w:rsid w:val="000E0A9A"/>
    <w:rsid w:val="000E1771"/>
    <w:rsid w:val="000E23D1"/>
    <w:rsid w:val="000E28F5"/>
    <w:rsid w:val="000E2FE5"/>
    <w:rsid w:val="000E33A6"/>
    <w:rsid w:val="000E33DA"/>
    <w:rsid w:val="000E432A"/>
    <w:rsid w:val="000E5BEF"/>
    <w:rsid w:val="000E66A5"/>
    <w:rsid w:val="000E7ADB"/>
    <w:rsid w:val="000F01A6"/>
    <w:rsid w:val="000F1FEE"/>
    <w:rsid w:val="000F284D"/>
    <w:rsid w:val="000F2ADD"/>
    <w:rsid w:val="000F2D22"/>
    <w:rsid w:val="000F5CFF"/>
    <w:rsid w:val="001020AF"/>
    <w:rsid w:val="001027FC"/>
    <w:rsid w:val="00102D03"/>
    <w:rsid w:val="00103723"/>
    <w:rsid w:val="00105355"/>
    <w:rsid w:val="00106F86"/>
    <w:rsid w:val="00107AA5"/>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4281"/>
    <w:rsid w:val="00134902"/>
    <w:rsid w:val="00135D3B"/>
    <w:rsid w:val="00136C80"/>
    <w:rsid w:val="00137701"/>
    <w:rsid w:val="001411B2"/>
    <w:rsid w:val="0014138D"/>
    <w:rsid w:val="0014171E"/>
    <w:rsid w:val="00141CEE"/>
    <w:rsid w:val="00141E40"/>
    <w:rsid w:val="001441DD"/>
    <w:rsid w:val="001471E9"/>
    <w:rsid w:val="001477B5"/>
    <w:rsid w:val="00147998"/>
    <w:rsid w:val="0015088B"/>
    <w:rsid w:val="00150E02"/>
    <w:rsid w:val="0015183B"/>
    <w:rsid w:val="00152BDA"/>
    <w:rsid w:val="00154F4C"/>
    <w:rsid w:val="00155AE1"/>
    <w:rsid w:val="00157BED"/>
    <w:rsid w:val="00161306"/>
    <w:rsid w:val="0016186D"/>
    <w:rsid w:val="001646E4"/>
    <w:rsid w:val="00164CCE"/>
    <w:rsid w:val="00166264"/>
    <w:rsid w:val="0016686E"/>
    <w:rsid w:val="001728E2"/>
    <w:rsid w:val="00172A27"/>
    <w:rsid w:val="00172C98"/>
    <w:rsid w:val="001743CA"/>
    <w:rsid w:val="00174703"/>
    <w:rsid w:val="001747D8"/>
    <w:rsid w:val="00177A9F"/>
    <w:rsid w:val="00180BCD"/>
    <w:rsid w:val="001812C0"/>
    <w:rsid w:val="00181693"/>
    <w:rsid w:val="00184128"/>
    <w:rsid w:val="00184E5C"/>
    <w:rsid w:val="00184E71"/>
    <w:rsid w:val="00184FDD"/>
    <w:rsid w:val="00187610"/>
    <w:rsid w:val="001879CA"/>
    <w:rsid w:val="001909A4"/>
    <w:rsid w:val="0019322A"/>
    <w:rsid w:val="001974D3"/>
    <w:rsid w:val="001A394B"/>
    <w:rsid w:val="001A3D34"/>
    <w:rsid w:val="001A4C09"/>
    <w:rsid w:val="001A660B"/>
    <w:rsid w:val="001A719C"/>
    <w:rsid w:val="001A759D"/>
    <w:rsid w:val="001A7A90"/>
    <w:rsid w:val="001B251D"/>
    <w:rsid w:val="001B36A2"/>
    <w:rsid w:val="001B3C99"/>
    <w:rsid w:val="001B4536"/>
    <w:rsid w:val="001B5E91"/>
    <w:rsid w:val="001B60DF"/>
    <w:rsid w:val="001B6335"/>
    <w:rsid w:val="001C125D"/>
    <w:rsid w:val="001C1FD8"/>
    <w:rsid w:val="001C2B43"/>
    <w:rsid w:val="001C469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85"/>
    <w:rsid w:val="001F62C8"/>
    <w:rsid w:val="0020049C"/>
    <w:rsid w:val="00201E35"/>
    <w:rsid w:val="002022FE"/>
    <w:rsid w:val="00203D85"/>
    <w:rsid w:val="002040D5"/>
    <w:rsid w:val="0020505E"/>
    <w:rsid w:val="0020531F"/>
    <w:rsid w:val="00205A20"/>
    <w:rsid w:val="00205FBA"/>
    <w:rsid w:val="0020604E"/>
    <w:rsid w:val="002077CB"/>
    <w:rsid w:val="00207E85"/>
    <w:rsid w:val="002111D6"/>
    <w:rsid w:val="00211CE3"/>
    <w:rsid w:val="00212A88"/>
    <w:rsid w:val="00213BDD"/>
    <w:rsid w:val="0021403D"/>
    <w:rsid w:val="00214C79"/>
    <w:rsid w:val="00214C88"/>
    <w:rsid w:val="00215993"/>
    <w:rsid w:val="002160A2"/>
    <w:rsid w:val="00216336"/>
    <w:rsid w:val="002167B9"/>
    <w:rsid w:val="00217C99"/>
    <w:rsid w:val="00221164"/>
    <w:rsid w:val="0022292E"/>
    <w:rsid w:val="0022463C"/>
    <w:rsid w:val="00224F4D"/>
    <w:rsid w:val="002253EB"/>
    <w:rsid w:val="002276A9"/>
    <w:rsid w:val="00233863"/>
    <w:rsid w:val="00235411"/>
    <w:rsid w:val="00236486"/>
    <w:rsid w:val="00237130"/>
    <w:rsid w:val="002375E6"/>
    <w:rsid w:val="0024010A"/>
    <w:rsid w:val="00240378"/>
    <w:rsid w:val="002404F7"/>
    <w:rsid w:val="002419EE"/>
    <w:rsid w:val="00241F62"/>
    <w:rsid w:val="00242803"/>
    <w:rsid w:val="00243FCB"/>
    <w:rsid w:val="002440FF"/>
    <w:rsid w:val="00245CB2"/>
    <w:rsid w:val="00245D36"/>
    <w:rsid w:val="002469F9"/>
    <w:rsid w:val="00250B23"/>
    <w:rsid w:val="00252EE0"/>
    <w:rsid w:val="00256508"/>
    <w:rsid w:val="002577BF"/>
    <w:rsid w:val="00257EED"/>
    <w:rsid w:val="002603C1"/>
    <w:rsid w:val="002610CB"/>
    <w:rsid w:val="002614CC"/>
    <w:rsid w:val="00261C61"/>
    <w:rsid w:val="00263185"/>
    <w:rsid w:val="00264463"/>
    <w:rsid w:val="002644DE"/>
    <w:rsid w:val="00265CA3"/>
    <w:rsid w:val="002673CB"/>
    <w:rsid w:val="00267477"/>
    <w:rsid w:val="0027060C"/>
    <w:rsid w:val="0027155C"/>
    <w:rsid w:val="00271C1F"/>
    <w:rsid w:val="002722D4"/>
    <w:rsid w:val="002733E2"/>
    <w:rsid w:val="0027378E"/>
    <w:rsid w:val="00273FF6"/>
    <w:rsid w:val="00274DBC"/>
    <w:rsid w:val="0027538C"/>
    <w:rsid w:val="00275B21"/>
    <w:rsid w:val="00280292"/>
    <w:rsid w:val="00280A1A"/>
    <w:rsid w:val="00284768"/>
    <w:rsid w:val="0028742E"/>
    <w:rsid w:val="00287431"/>
    <w:rsid w:val="0028779F"/>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677A"/>
    <w:rsid w:val="002A73F5"/>
    <w:rsid w:val="002A7F5D"/>
    <w:rsid w:val="002B38B8"/>
    <w:rsid w:val="002B3D0C"/>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D7EE2"/>
    <w:rsid w:val="002E0C04"/>
    <w:rsid w:val="002E253D"/>
    <w:rsid w:val="002E2D3F"/>
    <w:rsid w:val="002E427F"/>
    <w:rsid w:val="002E4298"/>
    <w:rsid w:val="002E4E87"/>
    <w:rsid w:val="002E4E8E"/>
    <w:rsid w:val="002E768E"/>
    <w:rsid w:val="002F3C6E"/>
    <w:rsid w:val="002F4D33"/>
    <w:rsid w:val="002F59DC"/>
    <w:rsid w:val="002F5F37"/>
    <w:rsid w:val="002F6265"/>
    <w:rsid w:val="002F6CB9"/>
    <w:rsid w:val="00300FCD"/>
    <w:rsid w:val="00301DF8"/>
    <w:rsid w:val="00302B90"/>
    <w:rsid w:val="003078D2"/>
    <w:rsid w:val="00310B31"/>
    <w:rsid w:val="0031351C"/>
    <w:rsid w:val="003217B4"/>
    <w:rsid w:val="003234BE"/>
    <w:rsid w:val="00323ED7"/>
    <w:rsid w:val="00331189"/>
    <w:rsid w:val="00332789"/>
    <w:rsid w:val="00334E65"/>
    <w:rsid w:val="0033572A"/>
    <w:rsid w:val="00335762"/>
    <w:rsid w:val="00335D2D"/>
    <w:rsid w:val="00336D28"/>
    <w:rsid w:val="003410D7"/>
    <w:rsid w:val="00341347"/>
    <w:rsid w:val="00341EFD"/>
    <w:rsid w:val="0034327B"/>
    <w:rsid w:val="0034415A"/>
    <w:rsid w:val="00345DD6"/>
    <w:rsid w:val="0034765C"/>
    <w:rsid w:val="003510C0"/>
    <w:rsid w:val="003520FE"/>
    <w:rsid w:val="003531FD"/>
    <w:rsid w:val="00355A80"/>
    <w:rsid w:val="00355C7F"/>
    <w:rsid w:val="00356938"/>
    <w:rsid w:val="003571B9"/>
    <w:rsid w:val="00361206"/>
    <w:rsid w:val="00361A85"/>
    <w:rsid w:val="00362B12"/>
    <w:rsid w:val="00362DBA"/>
    <w:rsid w:val="00366E6D"/>
    <w:rsid w:val="00371788"/>
    <w:rsid w:val="00371FC6"/>
    <w:rsid w:val="0037429D"/>
    <w:rsid w:val="00375654"/>
    <w:rsid w:val="00376A9E"/>
    <w:rsid w:val="00376E44"/>
    <w:rsid w:val="00380ED3"/>
    <w:rsid w:val="00381040"/>
    <w:rsid w:val="0038199A"/>
    <w:rsid w:val="00382360"/>
    <w:rsid w:val="003842DC"/>
    <w:rsid w:val="00386CCE"/>
    <w:rsid w:val="003875B7"/>
    <w:rsid w:val="00390491"/>
    <w:rsid w:val="00390EF4"/>
    <w:rsid w:val="003913EE"/>
    <w:rsid w:val="00391A6B"/>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C9A"/>
    <w:rsid w:val="003B5DCC"/>
    <w:rsid w:val="003C182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3B7F"/>
    <w:rsid w:val="003E565C"/>
    <w:rsid w:val="003E5967"/>
    <w:rsid w:val="003E7F5A"/>
    <w:rsid w:val="003F104B"/>
    <w:rsid w:val="003F1298"/>
    <w:rsid w:val="003F170E"/>
    <w:rsid w:val="003F4E37"/>
    <w:rsid w:val="003F5271"/>
    <w:rsid w:val="00400A5B"/>
    <w:rsid w:val="00403AEE"/>
    <w:rsid w:val="00405CE2"/>
    <w:rsid w:val="004065A1"/>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4B2"/>
    <w:rsid w:val="00435BFE"/>
    <w:rsid w:val="004430A4"/>
    <w:rsid w:val="00443189"/>
    <w:rsid w:val="004440C4"/>
    <w:rsid w:val="00444AD7"/>
    <w:rsid w:val="00444CB9"/>
    <w:rsid w:val="00445D18"/>
    <w:rsid w:val="00451AB8"/>
    <w:rsid w:val="004537BA"/>
    <w:rsid w:val="004544B6"/>
    <w:rsid w:val="0045470D"/>
    <w:rsid w:val="00457AF9"/>
    <w:rsid w:val="00462714"/>
    <w:rsid w:val="00463598"/>
    <w:rsid w:val="00464C4C"/>
    <w:rsid w:val="00464CCE"/>
    <w:rsid w:val="00472144"/>
    <w:rsid w:val="00473A0E"/>
    <w:rsid w:val="00473B61"/>
    <w:rsid w:val="004740A8"/>
    <w:rsid w:val="00474F15"/>
    <w:rsid w:val="00480D0F"/>
    <w:rsid w:val="00481180"/>
    <w:rsid w:val="00481793"/>
    <w:rsid w:val="00482711"/>
    <w:rsid w:val="00482CF6"/>
    <w:rsid w:val="00483D07"/>
    <w:rsid w:val="00484D5C"/>
    <w:rsid w:val="00484DE8"/>
    <w:rsid w:val="00485546"/>
    <w:rsid w:val="00486364"/>
    <w:rsid w:val="004874D5"/>
    <w:rsid w:val="00487580"/>
    <w:rsid w:val="00496A24"/>
    <w:rsid w:val="00497298"/>
    <w:rsid w:val="0049782F"/>
    <w:rsid w:val="004A063F"/>
    <w:rsid w:val="004A0B5F"/>
    <w:rsid w:val="004A2184"/>
    <w:rsid w:val="004A3761"/>
    <w:rsid w:val="004A3D2E"/>
    <w:rsid w:val="004A410E"/>
    <w:rsid w:val="004A6092"/>
    <w:rsid w:val="004A6C4E"/>
    <w:rsid w:val="004B0205"/>
    <w:rsid w:val="004B04AE"/>
    <w:rsid w:val="004B3700"/>
    <w:rsid w:val="004B3B4B"/>
    <w:rsid w:val="004B6C42"/>
    <w:rsid w:val="004C000D"/>
    <w:rsid w:val="004C13CA"/>
    <w:rsid w:val="004C1640"/>
    <w:rsid w:val="004C3C58"/>
    <w:rsid w:val="004C5058"/>
    <w:rsid w:val="004C64B4"/>
    <w:rsid w:val="004D1CE8"/>
    <w:rsid w:val="004D3DD0"/>
    <w:rsid w:val="004D4BA4"/>
    <w:rsid w:val="004D64F6"/>
    <w:rsid w:val="004E036E"/>
    <w:rsid w:val="004E3161"/>
    <w:rsid w:val="004E47E7"/>
    <w:rsid w:val="004E60ED"/>
    <w:rsid w:val="004E6924"/>
    <w:rsid w:val="004E72B9"/>
    <w:rsid w:val="004F1CA9"/>
    <w:rsid w:val="004F1F08"/>
    <w:rsid w:val="004F3B38"/>
    <w:rsid w:val="004F486A"/>
    <w:rsid w:val="004F6400"/>
    <w:rsid w:val="004F6CE7"/>
    <w:rsid w:val="004F75EF"/>
    <w:rsid w:val="00501093"/>
    <w:rsid w:val="00502AF4"/>
    <w:rsid w:val="00504845"/>
    <w:rsid w:val="00506059"/>
    <w:rsid w:val="0051037E"/>
    <w:rsid w:val="00512693"/>
    <w:rsid w:val="005126D0"/>
    <w:rsid w:val="0051363B"/>
    <w:rsid w:val="00514D2D"/>
    <w:rsid w:val="00515174"/>
    <w:rsid w:val="00515E93"/>
    <w:rsid w:val="00516166"/>
    <w:rsid w:val="00516FB3"/>
    <w:rsid w:val="00520558"/>
    <w:rsid w:val="00522FF6"/>
    <w:rsid w:val="0052438B"/>
    <w:rsid w:val="00535059"/>
    <w:rsid w:val="00535396"/>
    <w:rsid w:val="0053598F"/>
    <w:rsid w:val="00540158"/>
    <w:rsid w:val="00540A9A"/>
    <w:rsid w:val="00540EFC"/>
    <w:rsid w:val="00542733"/>
    <w:rsid w:val="00542BA4"/>
    <w:rsid w:val="00543769"/>
    <w:rsid w:val="00544A1E"/>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19ED"/>
    <w:rsid w:val="005730AC"/>
    <w:rsid w:val="005748D1"/>
    <w:rsid w:val="0057598B"/>
    <w:rsid w:val="00575C99"/>
    <w:rsid w:val="005762F5"/>
    <w:rsid w:val="005765EF"/>
    <w:rsid w:val="00580FC0"/>
    <w:rsid w:val="00582A21"/>
    <w:rsid w:val="005844FA"/>
    <w:rsid w:val="00590F57"/>
    <w:rsid w:val="00590FAC"/>
    <w:rsid w:val="00591201"/>
    <w:rsid w:val="00591828"/>
    <w:rsid w:val="00592894"/>
    <w:rsid w:val="005933D9"/>
    <w:rsid w:val="00597C67"/>
    <w:rsid w:val="005A006E"/>
    <w:rsid w:val="005A0C43"/>
    <w:rsid w:val="005A21D5"/>
    <w:rsid w:val="005A66AB"/>
    <w:rsid w:val="005B061E"/>
    <w:rsid w:val="005B0FCE"/>
    <w:rsid w:val="005B1A45"/>
    <w:rsid w:val="005C00C0"/>
    <w:rsid w:val="005C0BD1"/>
    <w:rsid w:val="005C1ED1"/>
    <w:rsid w:val="005C267C"/>
    <w:rsid w:val="005C4C29"/>
    <w:rsid w:val="005C5ECE"/>
    <w:rsid w:val="005C7DE6"/>
    <w:rsid w:val="005D03E0"/>
    <w:rsid w:val="005D22D3"/>
    <w:rsid w:val="005D4A02"/>
    <w:rsid w:val="005D66C9"/>
    <w:rsid w:val="005E06CC"/>
    <w:rsid w:val="005E3278"/>
    <w:rsid w:val="005E4675"/>
    <w:rsid w:val="005F01B7"/>
    <w:rsid w:val="005F0640"/>
    <w:rsid w:val="005F212B"/>
    <w:rsid w:val="005F2BC7"/>
    <w:rsid w:val="005F39FA"/>
    <w:rsid w:val="005F3C10"/>
    <w:rsid w:val="005F496B"/>
    <w:rsid w:val="005F4DC9"/>
    <w:rsid w:val="005F5787"/>
    <w:rsid w:val="005F59E7"/>
    <w:rsid w:val="00600C9B"/>
    <w:rsid w:val="00602384"/>
    <w:rsid w:val="006024FA"/>
    <w:rsid w:val="0060333C"/>
    <w:rsid w:val="006033E1"/>
    <w:rsid w:val="00603757"/>
    <w:rsid w:val="00605CC1"/>
    <w:rsid w:val="00612006"/>
    <w:rsid w:val="0061290F"/>
    <w:rsid w:val="00612C6C"/>
    <w:rsid w:val="006134DA"/>
    <w:rsid w:val="00614F2D"/>
    <w:rsid w:val="006150CF"/>
    <w:rsid w:val="006169FF"/>
    <w:rsid w:val="00617357"/>
    <w:rsid w:val="00617650"/>
    <w:rsid w:val="00617B64"/>
    <w:rsid w:val="00617E95"/>
    <w:rsid w:val="00621951"/>
    <w:rsid w:val="0062493F"/>
    <w:rsid w:val="006252AB"/>
    <w:rsid w:val="00625372"/>
    <w:rsid w:val="0063118F"/>
    <w:rsid w:val="00633611"/>
    <w:rsid w:val="00635F76"/>
    <w:rsid w:val="00636D65"/>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2F23"/>
    <w:rsid w:val="00663822"/>
    <w:rsid w:val="00664203"/>
    <w:rsid w:val="0066436D"/>
    <w:rsid w:val="0066475F"/>
    <w:rsid w:val="006658F6"/>
    <w:rsid w:val="00665AD5"/>
    <w:rsid w:val="0067097E"/>
    <w:rsid w:val="00674C5D"/>
    <w:rsid w:val="00675479"/>
    <w:rsid w:val="006755F9"/>
    <w:rsid w:val="00676969"/>
    <w:rsid w:val="006778DC"/>
    <w:rsid w:val="00677AFA"/>
    <w:rsid w:val="00680420"/>
    <w:rsid w:val="00681337"/>
    <w:rsid w:val="00684310"/>
    <w:rsid w:val="00684443"/>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1D93"/>
    <w:rsid w:val="006D3176"/>
    <w:rsid w:val="006D3190"/>
    <w:rsid w:val="006D4294"/>
    <w:rsid w:val="006D4C69"/>
    <w:rsid w:val="006D57AA"/>
    <w:rsid w:val="006D615D"/>
    <w:rsid w:val="006E039C"/>
    <w:rsid w:val="006E1CF9"/>
    <w:rsid w:val="006E2117"/>
    <w:rsid w:val="006E275C"/>
    <w:rsid w:val="006E39C2"/>
    <w:rsid w:val="006E4070"/>
    <w:rsid w:val="006E6ECB"/>
    <w:rsid w:val="006F074E"/>
    <w:rsid w:val="006F2E32"/>
    <w:rsid w:val="006F375E"/>
    <w:rsid w:val="006F4E96"/>
    <w:rsid w:val="006F57D5"/>
    <w:rsid w:val="006F59BE"/>
    <w:rsid w:val="006F6666"/>
    <w:rsid w:val="006F7E4C"/>
    <w:rsid w:val="00700425"/>
    <w:rsid w:val="00702B82"/>
    <w:rsid w:val="00703BEF"/>
    <w:rsid w:val="007042A4"/>
    <w:rsid w:val="0070695A"/>
    <w:rsid w:val="007069C0"/>
    <w:rsid w:val="00711853"/>
    <w:rsid w:val="0071199E"/>
    <w:rsid w:val="007121A2"/>
    <w:rsid w:val="00713720"/>
    <w:rsid w:val="00713BE8"/>
    <w:rsid w:val="00720E49"/>
    <w:rsid w:val="00721C24"/>
    <w:rsid w:val="007222B7"/>
    <w:rsid w:val="00723509"/>
    <w:rsid w:val="00723BFA"/>
    <w:rsid w:val="00723F3B"/>
    <w:rsid w:val="00723F4B"/>
    <w:rsid w:val="00724A4B"/>
    <w:rsid w:val="00724C63"/>
    <w:rsid w:val="007268C7"/>
    <w:rsid w:val="00727D5D"/>
    <w:rsid w:val="00732F61"/>
    <w:rsid w:val="0073380C"/>
    <w:rsid w:val="00734C54"/>
    <w:rsid w:val="00736A02"/>
    <w:rsid w:val="007462A0"/>
    <w:rsid w:val="00750139"/>
    <w:rsid w:val="00750A0E"/>
    <w:rsid w:val="00750F47"/>
    <w:rsid w:val="00751DD1"/>
    <w:rsid w:val="00753141"/>
    <w:rsid w:val="00753281"/>
    <w:rsid w:val="00753428"/>
    <w:rsid w:val="0075400B"/>
    <w:rsid w:val="007556C5"/>
    <w:rsid w:val="00755F3D"/>
    <w:rsid w:val="007626AF"/>
    <w:rsid w:val="007636DD"/>
    <w:rsid w:val="00766582"/>
    <w:rsid w:val="00767C3E"/>
    <w:rsid w:val="00770B0B"/>
    <w:rsid w:val="00775600"/>
    <w:rsid w:val="00775914"/>
    <w:rsid w:val="00776CA4"/>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0EEA"/>
    <w:rsid w:val="007B4931"/>
    <w:rsid w:val="007B6781"/>
    <w:rsid w:val="007C407D"/>
    <w:rsid w:val="007C416E"/>
    <w:rsid w:val="007C4E73"/>
    <w:rsid w:val="007C5824"/>
    <w:rsid w:val="007C5BF2"/>
    <w:rsid w:val="007C6FB1"/>
    <w:rsid w:val="007D1D1B"/>
    <w:rsid w:val="007D25C7"/>
    <w:rsid w:val="007D5978"/>
    <w:rsid w:val="007D7086"/>
    <w:rsid w:val="007D7252"/>
    <w:rsid w:val="007D7C1A"/>
    <w:rsid w:val="007E03E4"/>
    <w:rsid w:val="007E0D8A"/>
    <w:rsid w:val="007E1354"/>
    <w:rsid w:val="007E1D6B"/>
    <w:rsid w:val="007E2C2F"/>
    <w:rsid w:val="007E352C"/>
    <w:rsid w:val="007E4575"/>
    <w:rsid w:val="007E4C49"/>
    <w:rsid w:val="007E531C"/>
    <w:rsid w:val="007E552D"/>
    <w:rsid w:val="007F25AD"/>
    <w:rsid w:val="007F273E"/>
    <w:rsid w:val="007F281B"/>
    <w:rsid w:val="007F3D51"/>
    <w:rsid w:val="007F721F"/>
    <w:rsid w:val="007F7DE3"/>
    <w:rsid w:val="00800450"/>
    <w:rsid w:val="008007AC"/>
    <w:rsid w:val="008011C7"/>
    <w:rsid w:val="00802062"/>
    <w:rsid w:val="0080250D"/>
    <w:rsid w:val="0080289D"/>
    <w:rsid w:val="0080386D"/>
    <w:rsid w:val="00804171"/>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524"/>
    <w:rsid w:val="0082604E"/>
    <w:rsid w:val="00826E2A"/>
    <w:rsid w:val="00831DF1"/>
    <w:rsid w:val="008323FF"/>
    <w:rsid w:val="00833E8B"/>
    <w:rsid w:val="00833F93"/>
    <w:rsid w:val="00834409"/>
    <w:rsid w:val="008400CF"/>
    <w:rsid w:val="008438C9"/>
    <w:rsid w:val="00843C7D"/>
    <w:rsid w:val="00843FD3"/>
    <w:rsid w:val="00846380"/>
    <w:rsid w:val="00846CC6"/>
    <w:rsid w:val="008519D7"/>
    <w:rsid w:val="008522AE"/>
    <w:rsid w:val="00854769"/>
    <w:rsid w:val="00854977"/>
    <w:rsid w:val="008576C6"/>
    <w:rsid w:val="00860B0F"/>
    <w:rsid w:val="00860EB3"/>
    <w:rsid w:val="0086108D"/>
    <w:rsid w:val="00862937"/>
    <w:rsid w:val="00865FC1"/>
    <w:rsid w:val="00873A5A"/>
    <w:rsid w:val="00874560"/>
    <w:rsid w:val="008763B2"/>
    <w:rsid w:val="008810E9"/>
    <w:rsid w:val="008823A1"/>
    <w:rsid w:val="00882664"/>
    <w:rsid w:val="00883460"/>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A7C54"/>
    <w:rsid w:val="008B4239"/>
    <w:rsid w:val="008B4A37"/>
    <w:rsid w:val="008B5983"/>
    <w:rsid w:val="008B5C0D"/>
    <w:rsid w:val="008B7636"/>
    <w:rsid w:val="008B7DD4"/>
    <w:rsid w:val="008C1A07"/>
    <w:rsid w:val="008C1D06"/>
    <w:rsid w:val="008C4005"/>
    <w:rsid w:val="008C49C5"/>
    <w:rsid w:val="008D0CDA"/>
    <w:rsid w:val="008D40E9"/>
    <w:rsid w:val="008D558B"/>
    <w:rsid w:val="008E151C"/>
    <w:rsid w:val="008E2307"/>
    <w:rsid w:val="008E63E0"/>
    <w:rsid w:val="008E713C"/>
    <w:rsid w:val="008F0F30"/>
    <w:rsid w:val="008F2563"/>
    <w:rsid w:val="008F329A"/>
    <w:rsid w:val="008F3D93"/>
    <w:rsid w:val="008F4677"/>
    <w:rsid w:val="008F7E11"/>
    <w:rsid w:val="00900438"/>
    <w:rsid w:val="00900D36"/>
    <w:rsid w:val="00901011"/>
    <w:rsid w:val="0090110D"/>
    <w:rsid w:val="00901C5B"/>
    <w:rsid w:val="00901D62"/>
    <w:rsid w:val="0090392C"/>
    <w:rsid w:val="00906416"/>
    <w:rsid w:val="009103D3"/>
    <w:rsid w:val="00910EE0"/>
    <w:rsid w:val="0091213A"/>
    <w:rsid w:val="009152E5"/>
    <w:rsid w:val="00916B52"/>
    <w:rsid w:val="00916EB9"/>
    <w:rsid w:val="0092033A"/>
    <w:rsid w:val="0092735C"/>
    <w:rsid w:val="00930058"/>
    <w:rsid w:val="00930A61"/>
    <w:rsid w:val="00931C30"/>
    <w:rsid w:val="00932A6F"/>
    <w:rsid w:val="00934319"/>
    <w:rsid w:val="00934928"/>
    <w:rsid w:val="00934AB5"/>
    <w:rsid w:val="00934AE5"/>
    <w:rsid w:val="009354DB"/>
    <w:rsid w:val="009365DC"/>
    <w:rsid w:val="009440EC"/>
    <w:rsid w:val="0094480B"/>
    <w:rsid w:val="00944A0A"/>
    <w:rsid w:val="0094655B"/>
    <w:rsid w:val="0094663A"/>
    <w:rsid w:val="00946725"/>
    <w:rsid w:val="00946B97"/>
    <w:rsid w:val="00946F87"/>
    <w:rsid w:val="00950488"/>
    <w:rsid w:val="00951086"/>
    <w:rsid w:val="009547AC"/>
    <w:rsid w:val="00955A1D"/>
    <w:rsid w:val="0095633F"/>
    <w:rsid w:val="009568A6"/>
    <w:rsid w:val="00956A1C"/>
    <w:rsid w:val="00957A3D"/>
    <w:rsid w:val="00957E94"/>
    <w:rsid w:val="0096229B"/>
    <w:rsid w:val="009629BC"/>
    <w:rsid w:val="00964ECB"/>
    <w:rsid w:val="009677C8"/>
    <w:rsid w:val="0097042A"/>
    <w:rsid w:val="00971634"/>
    <w:rsid w:val="00972358"/>
    <w:rsid w:val="00972526"/>
    <w:rsid w:val="0097259B"/>
    <w:rsid w:val="009738B8"/>
    <w:rsid w:val="00973BBA"/>
    <w:rsid w:val="00974101"/>
    <w:rsid w:val="00974AD6"/>
    <w:rsid w:val="00974B67"/>
    <w:rsid w:val="009758E0"/>
    <w:rsid w:val="00976487"/>
    <w:rsid w:val="009770D4"/>
    <w:rsid w:val="009800D3"/>
    <w:rsid w:val="00980255"/>
    <w:rsid w:val="0098281C"/>
    <w:rsid w:val="00982D39"/>
    <w:rsid w:val="00985E65"/>
    <w:rsid w:val="0098635A"/>
    <w:rsid w:val="0098795C"/>
    <w:rsid w:val="0099010A"/>
    <w:rsid w:val="00991479"/>
    <w:rsid w:val="0099375B"/>
    <w:rsid w:val="0099390E"/>
    <w:rsid w:val="00997785"/>
    <w:rsid w:val="009A085C"/>
    <w:rsid w:val="009A32FB"/>
    <w:rsid w:val="009A3693"/>
    <w:rsid w:val="009A5448"/>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4B5D"/>
    <w:rsid w:val="009E5840"/>
    <w:rsid w:val="009E6C54"/>
    <w:rsid w:val="009E70B3"/>
    <w:rsid w:val="009F1535"/>
    <w:rsid w:val="009F1BE2"/>
    <w:rsid w:val="009F4147"/>
    <w:rsid w:val="009F648C"/>
    <w:rsid w:val="009F742D"/>
    <w:rsid w:val="00A032FC"/>
    <w:rsid w:val="00A05297"/>
    <w:rsid w:val="00A053DE"/>
    <w:rsid w:val="00A06B02"/>
    <w:rsid w:val="00A10443"/>
    <w:rsid w:val="00A12C3E"/>
    <w:rsid w:val="00A12CEC"/>
    <w:rsid w:val="00A139AB"/>
    <w:rsid w:val="00A13C26"/>
    <w:rsid w:val="00A14D57"/>
    <w:rsid w:val="00A15A4B"/>
    <w:rsid w:val="00A17DB4"/>
    <w:rsid w:val="00A24C79"/>
    <w:rsid w:val="00A25DE6"/>
    <w:rsid w:val="00A3127C"/>
    <w:rsid w:val="00A32894"/>
    <w:rsid w:val="00A3346F"/>
    <w:rsid w:val="00A33AEE"/>
    <w:rsid w:val="00A3580F"/>
    <w:rsid w:val="00A358EA"/>
    <w:rsid w:val="00A36539"/>
    <w:rsid w:val="00A40D14"/>
    <w:rsid w:val="00A4276A"/>
    <w:rsid w:val="00A433EF"/>
    <w:rsid w:val="00A43C9C"/>
    <w:rsid w:val="00A43ECF"/>
    <w:rsid w:val="00A44D81"/>
    <w:rsid w:val="00A4543E"/>
    <w:rsid w:val="00A45B85"/>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0A8"/>
    <w:rsid w:val="00A73579"/>
    <w:rsid w:val="00A7425F"/>
    <w:rsid w:val="00A742C6"/>
    <w:rsid w:val="00A74724"/>
    <w:rsid w:val="00A74B05"/>
    <w:rsid w:val="00A75075"/>
    <w:rsid w:val="00A75520"/>
    <w:rsid w:val="00A758A7"/>
    <w:rsid w:val="00A759A7"/>
    <w:rsid w:val="00A76060"/>
    <w:rsid w:val="00A76190"/>
    <w:rsid w:val="00A76B65"/>
    <w:rsid w:val="00A76EF1"/>
    <w:rsid w:val="00A83B71"/>
    <w:rsid w:val="00A849F0"/>
    <w:rsid w:val="00A876FD"/>
    <w:rsid w:val="00A90FD8"/>
    <w:rsid w:val="00A9420B"/>
    <w:rsid w:val="00A94534"/>
    <w:rsid w:val="00A9648B"/>
    <w:rsid w:val="00A97092"/>
    <w:rsid w:val="00A97914"/>
    <w:rsid w:val="00AA0550"/>
    <w:rsid w:val="00AA1CD4"/>
    <w:rsid w:val="00AA24BF"/>
    <w:rsid w:val="00AA2693"/>
    <w:rsid w:val="00AA3EAE"/>
    <w:rsid w:val="00AA4520"/>
    <w:rsid w:val="00AA4609"/>
    <w:rsid w:val="00AA74AB"/>
    <w:rsid w:val="00AB14CA"/>
    <w:rsid w:val="00AB3DB4"/>
    <w:rsid w:val="00AB58A1"/>
    <w:rsid w:val="00AC06B1"/>
    <w:rsid w:val="00AC16E6"/>
    <w:rsid w:val="00AC1DD5"/>
    <w:rsid w:val="00AC2423"/>
    <w:rsid w:val="00AC4518"/>
    <w:rsid w:val="00AC56E8"/>
    <w:rsid w:val="00AC5DBA"/>
    <w:rsid w:val="00AC5FC8"/>
    <w:rsid w:val="00AD0064"/>
    <w:rsid w:val="00AD0B43"/>
    <w:rsid w:val="00AD0BDC"/>
    <w:rsid w:val="00AD21D6"/>
    <w:rsid w:val="00AD361F"/>
    <w:rsid w:val="00AD40F0"/>
    <w:rsid w:val="00AD422A"/>
    <w:rsid w:val="00AD45CE"/>
    <w:rsid w:val="00AD4AF7"/>
    <w:rsid w:val="00AE0070"/>
    <w:rsid w:val="00AE1103"/>
    <w:rsid w:val="00AE15E8"/>
    <w:rsid w:val="00AE3B99"/>
    <w:rsid w:val="00AE3C32"/>
    <w:rsid w:val="00AE5044"/>
    <w:rsid w:val="00AF3FAC"/>
    <w:rsid w:val="00AF5703"/>
    <w:rsid w:val="00AF57A0"/>
    <w:rsid w:val="00AF58AC"/>
    <w:rsid w:val="00AF62AA"/>
    <w:rsid w:val="00AF6DB4"/>
    <w:rsid w:val="00B0011C"/>
    <w:rsid w:val="00B00C2F"/>
    <w:rsid w:val="00B013C0"/>
    <w:rsid w:val="00B01670"/>
    <w:rsid w:val="00B018F1"/>
    <w:rsid w:val="00B07113"/>
    <w:rsid w:val="00B11127"/>
    <w:rsid w:val="00B125C5"/>
    <w:rsid w:val="00B1346A"/>
    <w:rsid w:val="00B135EF"/>
    <w:rsid w:val="00B13F8F"/>
    <w:rsid w:val="00B1474A"/>
    <w:rsid w:val="00B16C1E"/>
    <w:rsid w:val="00B17501"/>
    <w:rsid w:val="00B2122C"/>
    <w:rsid w:val="00B2130E"/>
    <w:rsid w:val="00B2140A"/>
    <w:rsid w:val="00B22255"/>
    <w:rsid w:val="00B2255F"/>
    <w:rsid w:val="00B2330D"/>
    <w:rsid w:val="00B263DD"/>
    <w:rsid w:val="00B30CE7"/>
    <w:rsid w:val="00B3287D"/>
    <w:rsid w:val="00B33056"/>
    <w:rsid w:val="00B33474"/>
    <w:rsid w:val="00B34656"/>
    <w:rsid w:val="00B34C4F"/>
    <w:rsid w:val="00B361CA"/>
    <w:rsid w:val="00B41DD0"/>
    <w:rsid w:val="00B42136"/>
    <w:rsid w:val="00B44586"/>
    <w:rsid w:val="00B45AEA"/>
    <w:rsid w:val="00B5175F"/>
    <w:rsid w:val="00B51BC6"/>
    <w:rsid w:val="00B520E4"/>
    <w:rsid w:val="00B5320A"/>
    <w:rsid w:val="00B54D36"/>
    <w:rsid w:val="00B6108E"/>
    <w:rsid w:val="00B619AB"/>
    <w:rsid w:val="00B61E04"/>
    <w:rsid w:val="00B629D5"/>
    <w:rsid w:val="00B6392B"/>
    <w:rsid w:val="00B64092"/>
    <w:rsid w:val="00B6451F"/>
    <w:rsid w:val="00B64C42"/>
    <w:rsid w:val="00B65EFC"/>
    <w:rsid w:val="00B667EA"/>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4752"/>
    <w:rsid w:val="00B96796"/>
    <w:rsid w:val="00B97B0D"/>
    <w:rsid w:val="00BA0003"/>
    <w:rsid w:val="00BA041E"/>
    <w:rsid w:val="00BA08F9"/>
    <w:rsid w:val="00BA16B5"/>
    <w:rsid w:val="00BA2DE7"/>
    <w:rsid w:val="00BA3B80"/>
    <w:rsid w:val="00BA511A"/>
    <w:rsid w:val="00BA51EB"/>
    <w:rsid w:val="00BA56C0"/>
    <w:rsid w:val="00BA5A5D"/>
    <w:rsid w:val="00BA6642"/>
    <w:rsid w:val="00BA6F55"/>
    <w:rsid w:val="00BB09D5"/>
    <w:rsid w:val="00BB20AA"/>
    <w:rsid w:val="00BB2A7D"/>
    <w:rsid w:val="00BB4260"/>
    <w:rsid w:val="00BB4E73"/>
    <w:rsid w:val="00BB5073"/>
    <w:rsid w:val="00BB5DF0"/>
    <w:rsid w:val="00BB6265"/>
    <w:rsid w:val="00BB7770"/>
    <w:rsid w:val="00BB78B2"/>
    <w:rsid w:val="00BB7D57"/>
    <w:rsid w:val="00BC05A3"/>
    <w:rsid w:val="00BC0990"/>
    <w:rsid w:val="00BC0DFA"/>
    <w:rsid w:val="00BC3580"/>
    <w:rsid w:val="00BC6BE1"/>
    <w:rsid w:val="00BD16BD"/>
    <w:rsid w:val="00BD3739"/>
    <w:rsid w:val="00BD4232"/>
    <w:rsid w:val="00BD524B"/>
    <w:rsid w:val="00BD56FD"/>
    <w:rsid w:val="00BD7800"/>
    <w:rsid w:val="00BE08DA"/>
    <w:rsid w:val="00BE0F6F"/>
    <w:rsid w:val="00BE15E7"/>
    <w:rsid w:val="00BE1726"/>
    <w:rsid w:val="00BE1922"/>
    <w:rsid w:val="00BE2A58"/>
    <w:rsid w:val="00BE357C"/>
    <w:rsid w:val="00BE521C"/>
    <w:rsid w:val="00BE79B8"/>
    <w:rsid w:val="00BF0A82"/>
    <w:rsid w:val="00BF2DB6"/>
    <w:rsid w:val="00BF57B4"/>
    <w:rsid w:val="00BF6057"/>
    <w:rsid w:val="00BF71BF"/>
    <w:rsid w:val="00C006AA"/>
    <w:rsid w:val="00C0531D"/>
    <w:rsid w:val="00C07E2A"/>
    <w:rsid w:val="00C07EEA"/>
    <w:rsid w:val="00C10787"/>
    <w:rsid w:val="00C11588"/>
    <w:rsid w:val="00C128FD"/>
    <w:rsid w:val="00C13D59"/>
    <w:rsid w:val="00C140BB"/>
    <w:rsid w:val="00C150E0"/>
    <w:rsid w:val="00C177D3"/>
    <w:rsid w:val="00C1788E"/>
    <w:rsid w:val="00C20188"/>
    <w:rsid w:val="00C206F8"/>
    <w:rsid w:val="00C21960"/>
    <w:rsid w:val="00C233FC"/>
    <w:rsid w:val="00C23D08"/>
    <w:rsid w:val="00C2712F"/>
    <w:rsid w:val="00C3051F"/>
    <w:rsid w:val="00C34258"/>
    <w:rsid w:val="00C34ACE"/>
    <w:rsid w:val="00C35180"/>
    <w:rsid w:val="00C36BDE"/>
    <w:rsid w:val="00C37035"/>
    <w:rsid w:val="00C37D25"/>
    <w:rsid w:val="00C4147F"/>
    <w:rsid w:val="00C422E6"/>
    <w:rsid w:val="00C42732"/>
    <w:rsid w:val="00C42A55"/>
    <w:rsid w:val="00C452FE"/>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70FF6"/>
    <w:rsid w:val="00C712DB"/>
    <w:rsid w:val="00C736C8"/>
    <w:rsid w:val="00C739D6"/>
    <w:rsid w:val="00C740BB"/>
    <w:rsid w:val="00C764B0"/>
    <w:rsid w:val="00C765A2"/>
    <w:rsid w:val="00C7771E"/>
    <w:rsid w:val="00C81AA5"/>
    <w:rsid w:val="00C825DE"/>
    <w:rsid w:val="00C8379F"/>
    <w:rsid w:val="00C84E92"/>
    <w:rsid w:val="00C858C1"/>
    <w:rsid w:val="00C86BC4"/>
    <w:rsid w:val="00C86E9B"/>
    <w:rsid w:val="00C87A9B"/>
    <w:rsid w:val="00C931B7"/>
    <w:rsid w:val="00C95FC7"/>
    <w:rsid w:val="00C9735C"/>
    <w:rsid w:val="00C97B6C"/>
    <w:rsid w:val="00CA0376"/>
    <w:rsid w:val="00CA04B7"/>
    <w:rsid w:val="00CA0928"/>
    <w:rsid w:val="00CA09B2"/>
    <w:rsid w:val="00CA12FD"/>
    <w:rsid w:val="00CA33DB"/>
    <w:rsid w:val="00CA39FA"/>
    <w:rsid w:val="00CA4231"/>
    <w:rsid w:val="00CA60E9"/>
    <w:rsid w:val="00CA72BF"/>
    <w:rsid w:val="00CA74DA"/>
    <w:rsid w:val="00CB04E8"/>
    <w:rsid w:val="00CB0F54"/>
    <w:rsid w:val="00CB108C"/>
    <w:rsid w:val="00CB15A0"/>
    <w:rsid w:val="00CB22DE"/>
    <w:rsid w:val="00CB41C1"/>
    <w:rsid w:val="00CB4EE1"/>
    <w:rsid w:val="00CB5017"/>
    <w:rsid w:val="00CB6073"/>
    <w:rsid w:val="00CB6FCA"/>
    <w:rsid w:val="00CC014D"/>
    <w:rsid w:val="00CC160C"/>
    <w:rsid w:val="00CC53AA"/>
    <w:rsid w:val="00CC6C5C"/>
    <w:rsid w:val="00CD0575"/>
    <w:rsid w:val="00CD13B5"/>
    <w:rsid w:val="00CD2BDA"/>
    <w:rsid w:val="00CD4194"/>
    <w:rsid w:val="00CD553B"/>
    <w:rsid w:val="00CD6434"/>
    <w:rsid w:val="00CD6A57"/>
    <w:rsid w:val="00CE0BC0"/>
    <w:rsid w:val="00CE1700"/>
    <w:rsid w:val="00CE177D"/>
    <w:rsid w:val="00CE47CF"/>
    <w:rsid w:val="00CE53AE"/>
    <w:rsid w:val="00CE60BC"/>
    <w:rsid w:val="00CF2827"/>
    <w:rsid w:val="00CF44F3"/>
    <w:rsid w:val="00CF5613"/>
    <w:rsid w:val="00CF61C7"/>
    <w:rsid w:val="00CF7DEC"/>
    <w:rsid w:val="00D0303A"/>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097"/>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795E"/>
    <w:rsid w:val="00D82A36"/>
    <w:rsid w:val="00D9032B"/>
    <w:rsid w:val="00D90456"/>
    <w:rsid w:val="00D90771"/>
    <w:rsid w:val="00D90D89"/>
    <w:rsid w:val="00D90F55"/>
    <w:rsid w:val="00D91855"/>
    <w:rsid w:val="00D92253"/>
    <w:rsid w:val="00D9296E"/>
    <w:rsid w:val="00D95C8F"/>
    <w:rsid w:val="00D967C8"/>
    <w:rsid w:val="00D97A81"/>
    <w:rsid w:val="00DA136E"/>
    <w:rsid w:val="00DA17EA"/>
    <w:rsid w:val="00DA2288"/>
    <w:rsid w:val="00DA30F3"/>
    <w:rsid w:val="00DA46E2"/>
    <w:rsid w:val="00DA7E4C"/>
    <w:rsid w:val="00DB0CAE"/>
    <w:rsid w:val="00DB1F99"/>
    <w:rsid w:val="00DB22A2"/>
    <w:rsid w:val="00DB4A34"/>
    <w:rsid w:val="00DB5284"/>
    <w:rsid w:val="00DB5338"/>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20C9B"/>
    <w:rsid w:val="00E2230B"/>
    <w:rsid w:val="00E230E2"/>
    <w:rsid w:val="00E24ECC"/>
    <w:rsid w:val="00E2549F"/>
    <w:rsid w:val="00E25E50"/>
    <w:rsid w:val="00E26A05"/>
    <w:rsid w:val="00E26F2B"/>
    <w:rsid w:val="00E2752E"/>
    <w:rsid w:val="00E32C70"/>
    <w:rsid w:val="00E34DD4"/>
    <w:rsid w:val="00E35F96"/>
    <w:rsid w:val="00E37DA2"/>
    <w:rsid w:val="00E4055D"/>
    <w:rsid w:val="00E407DF"/>
    <w:rsid w:val="00E414F3"/>
    <w:rsid w:val="00E41879"/>
    <w:rsid w:val="00E420A6"/>
    <w:rsid w:val="00E421F7"/>
    <w:rsid w:val="00E42D6F"/>
    <w:rsid w:val="00E45B71"/>
    <w:rsid w:val="00E51670"/>
    <w:rsid w:val="00E520CC"/>
    <w:rsid w:val="00E53188"/>
    <w:rsid w:val="00E565CD"/>
    <w:rsid w:val="00E619A3"/>
    <w:rsid w:val="00E6462D"/>
    <w:rsid w:val="00E64AD3"/>
    <w:rsid w:val="00E66671"/>
    <w:rsid w:val="00E668C1"/>
    <w:rsid w:val="00E70E14"/>
    <w:rsid w:val="00E71E60"/>
    <w:rsid w:val="00E725F7"/>
    <w:rsid w:val="00E758E9"/>
    <w:rsid w:val="00E7609F"/>
    <w:rsid w:val="00E776B6"/>
    <w:rsid w:val="00E800C0"/>
    <w:rsid w:val="00E81211"/>
    <w:rsid w:val="00E81392"/>
    <w:rsid w:val="00E82633"/>
    <w:rsid w:val="00E83232"/>
    <w:rsid w:val="00E84FD2"/>
    <w:rsid w:val="00E851A1"/>
    <w:rsid w:val="00E87466"/>
    <w:rsid w:val="00E87760"/>
    <w:rsid w:val="00E90BB7"/>
    <w:rsid w:val="00E9342A"/>
    <w:rsid w:val="00E94075"/>
    <w:rsid w:val="00E94A0E"/>
    <w:rsid w:val="00E968D0"/>
    <w:rsid w:val="00E978E4"/>
    <w:rsid w:val="00EA0219"/>
    <w:rsid w:val="00EA244F"/>
    <w:rsid w:val="00EA3B22"/>
    <w:rsid w:val="00EA408A"/>
    <w:rsid w:val="00EA4D41"/>
    <w:rsid w:val="00EA5041"/>
    <w:rsid w:val="00EB18BB"/>
    <w:rsid w:val="00EB3DB3"/>
    <w:rsid w:val="00EB4763"/>
    <w:rsid w:val="00EB5A51"/>
    <w:rsid w:val="00EB67D8"/>
    <w:rsid w:val="00EB698E"/>
    <w:rsid w:val="00EC188B"/>
    <w:rsid w:val="00EC31A6"/>
    <w:rsid w:val="00EC33B9"/>
    <w:rsid w:val="00EC3AC2"/>
    <w:rsid w:val="00EC3E40"/>
    <w:rsid w:val="00EC4268"/>
    <w:rsid w:val="00EC4362"/>
    <w:rsid w:val="00EC5493"/>
    <w:rsid w:val="00EC610E"/>
    <w:rsid w:val="00ED022D"/>
    <w:rsid w:val="00ED08F0"/>
    <w:rsid w:val="00ED3AD5"/>
    <w:rsid w:val="00ED3CFA"/>
    <w:rsid w:val="00ED42B4"/>
    <w:rsid w:val="00EE26EA"/>
    <w:rsid w:val="00EE27F6"/>
    <w:rsid w:val="00EE39F3"/>
    <w:rsid w:val="00EE3EEB"/>
    <w:rsid w:val="00EE42F5"/>
    <w:rsid w:val="00EE56FE"/>
    <w:rsid w:val="00EE6398"/>
    <w:rsid w:val="00EF5A24"/>
    <w:rsid w:val="00EF603B"/>
    <w:rsid w:val="00EF656F"/>
    <w:rsid w:val="00F0214D"/>
    <w:rsid w:val="00F03F4D"/>
    <w:rsid w:val="00F05212"/>
    <w:rsid w:val="00F1065D"/>
    <w:rsid w:val="00F1224F"/>
    <w:rsid w:val="00F122AB"/>
    <w:rsid w:val="00F13A78"/>
    <w:rsid w:val="00F1551F"/>
    <w:rsid w:val="00F20B73"/>
    <w:rsid w:val="00F20CBD"/>
    <w:rsid w:val="00F21308"/>
    <w:rsid w:val="00F217C0"/>
    <w:rsid w:val="00F21A54"/>
    <w:rsid w:val="00F22291"/>
    <w:rsid w:val="00F2240F"/>
    <w:rsid w:val="00F2316B"/>
    <w:rsid w:val="00F25500"/>
    <w:rsid w:val="00F26399"/>
    <w:rsid w:val="00F268B6"/>
    <w:rsid w:val="00F274AA"/>
    <w:rsid w:val="00F27C49"/>
    <w:rsid w:val="00F30931"/>
    <w:rsid w:val="00F31E80"/>
    <w:rsid w:val="00F32D94"/>
    <w:rsid w:val="00F331C8"/>
    <w:rsid w:val="00F3446B"/>
    <w:rsid w:val="00F35765"/>
    <w:rsid w:val="00F36541"/>
    <w:rsid w:val="00F37517"/>
    <w:rsid w:val="00F409FC"/>
    <w:rsid w:val="00F40AC3"/>
    <w:rsid w:val="00F41B3D"/>
    <w:rsid w:val="00F41C2F"/>
    <w:rsid w:val="00F426C6"/>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DB0"/>
    <w:rsid w:val="00F807C7"/>
    <w:rsid w:val="00F808C6"/>
    <w:rsid w:val="00F810BB"/>
    <w:rsid w:val="00F815DC"/>
    <w:rsid w:val="00F81B5E"/>
    <w:rsid w:val="00F81DE4"/>
    <w:rsid w:val="00F822B8"/>
    <w:rsid w:val="00F8632E"/>
    <w:rsid w:val="00F867BB"/>
    <w:rsid w:val="00F86D2A"/>
    <w:rsid w:val="00F907EB"/>
    <w:rsid w:val="00F90EFA"/>
    <w:rsid w:val="00F934D7"/>
    <w:rsid w:val="00F9358D"/>
    <w:rsid w:val="00F96D53"/>
    <w:rsid w:val="00F97099"/>
    <w:rsid w:val="00F975D3"/>
    <w:rsid w:val="00F978CD"/>
    <w:rsid w:val="00FA1242"/>
    <w:rsid w:val="00FA1CEB"/>
    <w:rsid w:val="00FA2303"/>
    <w:rsid w:val="00FA3F98"/>
    <w:rsid w:val="00FA4E63"/>
    <w:rsid w:val="00FA548C"/>
    <w:rsid w:val="00FA5B6C"/>
    <w:rsid w:val="00FA6E76"/>
    <w:rsid w:val="00FA7479"/>
    <w:rsid w:val="00FB02B6"/>
    <w:rsid w:val="00FB23E4"/>
    <w:rsid w:val="00FB3BB2"/>
    <w:rsid w:val="00FC01B3"/>
    <w:rsid w:val="00FC03C1"/>
    <w:rsid w:val="00FC06AE"/>
    <w:rsid w:val="00FC27B3"/>
    <w:rsid w:val="00FC2C3E"/>
    <w:rsid w:val="00FC4E5A"/>
    <w:rsid w:val="00FC5386"/>
    <w:rsid w:val="00FC6088"/>
    <w:rsid w:val="00FC7C36"/>
    <w:rsid w:val="00FD06FF"/>
    <w:rsid w:val="00FD3150"/>
    <w:rsid w:val="00FD38E8"/>
    <w:rsid w:val="00FD43CB"/>
    <w:rsid w:val="00FD5076"/>
    <w:rsid w:val="00FD5486"/>
    <w:rsid w:val="00FD5899"/>
    <w:rsid w:val="00FD7175"/>
    <w:rsid w:val="00FE038B"/>
    <w:rsid w:val="00FE09D4"/>
    <w:rsid w:val="00FE114B"/>
    <w:rsid w:val="00FE1D5F"/>
    <w:rsid w:val="00FE3EEF"/>
    <w:rsid w:val="00FE5FB6"/>
    <w:rsid w:val="00FE6F61"/>
    <w:rsid w:val="00FE7DE1"/>
    <w:rsid w:val="00FF088A"/>
    <w:rsid w:val="00FF0967"/>
    <w:rsid w:val="00FF0E8A"/>
    <w:rsid w:val="00FF1A75"/>
    <w:rsid w:val="00FF215C"/>
    <w:rsid w:val="010D765D"/>
    <w:rsid w:val="011428D2"/>
    <w:rsid w:val="011557B2"/>
    <w:rsid w:val="01272A80"/>
    <w:rsid w:val="0138518F"/>
    <w:rsid w:val="013D4B60"/>
    <w:rsid w:val="017E0CD4"/>
    <w:rsid w:val="017E2A82"/>
    <w:rsid w:val="01A6243B"/>
    <w:rsid w:val="01A975FA"/>
    <w:rsid w:val="01B17AD3"/>
    <w:rsid w:val="01C628A7"/>
    <w:rsid w:val="01FF3414"/>
    <w:rsid w:val="020B4B2E"/>
    <w:rsid w:val="0224187C"/>
    <w:rsid w:val="02276623"/>
    <w:rsid w:val="02305C5A"/>
    <w:rsid w:val="023A275E"/>
    <w:rsid w:val="023D61D9"/>
    <w:rsid w:val="024834EF"/>
    <w:rsid w:val="024C396F"/>
    <w:rsid w:val="028247F4"/>
    <w:rsid w:val="02863C9B"/>
    <w:rsid w:val="0288005D"/>
    <w:rsid w:val="02AD361F"/>
    <w:rsid w:val="02DF0FEC"/>
    <w:rsid w:val="02EC325F"/>
    <w:rsid w:val="02EE5F03"/>
    <w:rsid w:val="030435CA"/>
    <w:rsid w:val="0316724E"/>
    <w:rsid w:val="031F6D59"/>
    <w:rsid w:val="034104E4"/>
    <w:rsid w:val="034512CF"/>
    <w:rsid w:val="03630182"/>
    <w:rsid w:val="0369718D"/>
    <w:rsid w:val="036D416B"/>
    <w:rsid w:val="036E7F6D"/>
    <w:rsid w:val="037B07B2"/>
    <w:rsid w:val="039667A2"/>
    <w:rsid w:val="039C6BC9"/>
    <w:rsid w:val="03A91F09"/>
    <w:rsid w:val="03B66504"/>
    <w:rsid w:val="03C42215"/>
    <w:rsid w:val="03D06AB2"/>
    <w:rsid w:val="03D51B83"/>
    <w:rsid w:val="03E43EA8"/>
    <w:rsid w:val="03F238EF"/>
    <w:rsid w:val="03F24DC6"/>
    <w:rsid w:val="03F37758"/>
    <w:rsid w:val="03F509F2"/>
    <w:rsid w:val="03FE70CA"/>
    <w:rsid w:val="04390B08"/>
    <w:rsid w:val="043D6C25"/>
    <w:rsid w:val="044D0E2E"/>
    <w:rsid w:val="04657F2A"/>
    <w:rsid w:val="04673937"/>
    <w:rsid w:val="04697A1A"/>
    <w:rsid w:val="04966335"/>
    <w:rsid w:val="04B02985"/>
    <w:rsid w:val="04B564EB"/>
    <w:rsid w:val="04BC5D9C"/>
    <w:rsid w:val="04D66B2B"/>
    <w:rsid w:val="04E968FD"/>
    <w:rsid w:val="050D470B"/>
    <w:rsid w:val="05103C33"/>
    <w:rsid w:val="05120DCD"/>
    <w:rsid w:val="052727D2"/>
    <w:rsid w:val="053955AF"/>
    <w:rsid w:val="0541626C"/>
    <w:rsid w:val="05512F6C"/>
    <w:rsid w:val="056702C8"/>
    <w:rsid w:val="05682476"/>
    <w:rsid w:val="05780411"/>
    <w:rsid w:val="057D43FA"/>
    <w:rsid w:val="058D2943"/>
    <w:rsid w:val="059102CD"/>
    <w:rsid w:val="05C15431"/>
    <w:rsid w:val="05E01F5E"/>
    <w:rsid w:val="0601352E"/>
    <w:rsid w:val="062A31D9"/>
    <w:rsid w:val="06382080"/>
    <w:rsid w:val="06954AF6"/>
    <w:rsid w:val="0696472A"/>
    <w:rsid w:val="06A21D17"/>
    <w:rsid w:val="06A719C5"/>
    <w:rsid w:val="06B32B01"/>
    <w:rsid w:val="06B45C87"/>
    <w:rsid w:val="06B73083"/>
    <w:rsid w:val="06BA469C"/>
    <w:rsid w:val="06C059F0"/>
    <w:rsid w:val="06D84272"/>
    <w:rsid w:val="06DA3CF9"/>
    <w:rsid w:val="06F53549"/>
    <w:rsid w:val="06FB1C97"/>
    <w:rsid w:val="07351E35"/>
    <w:rsid w:val="07907A6C"/>
    <w:rsid w:val="07923111"/>
    <w:rsid w:val="079408E9"/>
    <w:rsid w:val="07BD5C46"/>
    <w:rsid w:val="07CD3169"/>
    <w:rsid w:val="07D24151"/>
    <w:rsid w:val="07D72C7B"/>
    <w:rsid w:val="07EB22D1"/>
    <w:rsid w:val="08003304"/>
    <w:rsid w:val="08067789"/>
    <w:rsid w:val="0825330C"/>
    <w:rsid w:val="084A1F11"/>
    <w:rsid w:val="084E4E5E"/>
    <w:rsid w:val="084F33CB"/>
    <w:rsid w:val="08500CCB"/>
    <w:rsid w:val="085C4738"/>
    <w:rsid w:val="086B2D25"/>
    <w:rsid w:val="08BB45BC"/>
    <w:rsid w:val="08C173D5"/>
    <w:rsid w:val="08EB4EA1"/>
    <w:rsid w:val="08F63846"/>
    <w:rsid w:val="08FA2F86"/>
    <w:rsid w:val="08FC6C67"/>
    <w:rsid w:val="090175E7"/>
    <w:rsid w:val="09176653"/>
    <w:rsid w:val="09205831"/>
    <w:rsid w:val="093F3C94"/>
    <w:rsid w:val="09493552"/>
    <w:rsid w:val="094A5C8C"/>
    <w:rsid w:val="095A5B83"/>
    <w:rsid w:val="0965293E"/>
    <w:rsid w:val="09736C45"/>
    <w:rsid w:val="097C1E98"/>
    <w:rsid w:val="099077F7"/>
    <w:rsid w:val="09B02E2E"/>
    <w:rsid w:val="09B763F1"/>
    <w:rsid w:val="09BF66C0"/>
    <w:rsid w:val="09C120A6"/>
    <w:rsid w:val="09CB4CD3"/>
    <w:rsid w:val="09D136C7"/>
    <w:rsid w:val="09D45935"/>
    <w:rsid w:val="09DF5ED2"/>
    <w:rsid w:val="0A085E4A"/>
    <w:rsid w:val="0A111F7C"/>
    <w:rsid w:val="0A1C1A19"/>
    <w:rsid w:val="0A481C84"/>
    <w:rsid w:val="0A4843DF"/>
    <w:rsid w:val="0A4C1970"/>
    <w:rsid w:val="0A6A1286"/>
    <w:rsid w:val="0A7361E8"/>
    <w:rsid w:val="0A7553ED"/>
    <w:rsid w:val="0A8A7BC6"/>
    <w:rsid w:val="0A8E519B"/>
    <w:rsid w:val="0A917D7D"/>
    <w:rsid w:val="0A957D67"/>
    <w:rsid w:val="0AA35975"/>
    <w:rsid w:val="0AA96BA7"/>
    <w:rsid w:val="0AD52896"/>
    <w:rsid w:val="0ADC1380"/>
    <w:rsid w:val="0AE47E42"/>
    <w:rsid w:val="0B2428ED"/>
    <w:rsid w:val="0B262E7E"/>
    <w:rsid w:val="0B321B7D"/>
    <w:rsid w:val="0B60746C"/>
    <w:rsid w:val="0B7218AA"/>
    <w:rsid w:val="0B756CA4"/>
    <w:rsid w:val="0B9B3DDB"/>
    <w:rsid w:val="0B9D61FB"/>
    <w:rsid w:val="0BBC0D77"/>
    <w:rsid w:val="0BC31119"/>
    <w:rsid w:val="0BD31C1D"/>
    <w:rsid w:val="0BDB4C3A"/>
    <w:rsid w:val="0BE5635A"/>
    <w:rsid w:val="0C0C564E"/>
    <w:rsid w:val="0C121766"/>
    <w:rsid w:val="0C252478"/>
    <w:rsid w:val="0C3D753B"/>
    <w:rsid w:val="0C623AA6"/>
    <w:rsid w:val="0C654F6B"/>
    <w:rsid w:val="0C803008"/>
    <w:rsid w:val="0C8542F1"/>
    <w:rsid w:val="0C88211D"/>
    <w:rsid w:val="0C9E222B"/>
    <w:rsid w:val="0CCF4ADA"/>
    <w:rsid w:val="0CD41B17"/>
    <w:rsid w:val="0CEB4D54"/>
    <w:rsid w:val="0CF9617A"/>
    <w:rsid w:val="0CFD51A3"/>
    <w:rsid w:val="0D47792E"/>
    <w:rsid w:val="0D6F24EF"/>
    <w:rsid w:val="0D703BC7"/>
    <w:rsid w:val="0D97603C"/>
    <w:rsid w:val="0DA6583B"/>
    <w:rsid w:val="0DBC0E93"/>
    <w:rsid w:val="0DC33667"/>
    <w:rsid w:val="0DED416A"/>
    <w:rsid w:val="0E030797"/>
    <w:rsid w:val="0E0620AA"/>
    <w:rsid w:val="0E1718FF"/>
    <w:rsid w:val="0E305629"/>
    <w:rsid w:val="0E52151F"/>
    <w:rsid w:val="0E5911AE"/>
    <w:rsid w:val="0E75310C"/>
    <w:rsid w:val="0E763D1A"/>
    <w:rsid w:val="0E842585"/>
    <w:rsid w:val="0E8518F4"/>
    <w:rsid w:val="0E966D0C"/>
    <w:rsid w:val="0EB601BD"/>
    <w:rsid w:val="0EC47E38"/>
    <w:rsid w:val="0ED56006"/>
    <w:rsid w:val="0ED85EC8"/>
    <w:rsid w:val="0EEC0897"/>
    <w:rsid w:val="0F052A35"/>
    <w:rsid w:val="0F056591"/>
    <w:rsid w:val="0F0E792B"/>
    <w:rsid w:val="0F2B0C29"/>
    <w:rsid w:val="0F346E76"/>
    <w:rsid w:val="0F652341"/>
    <w:rsid w:val="0F78713B"/>
    <w:rsid w:val="0F8926C1"/>
    <w:rsid w:val="0F8A1812"/>
    <w:rsid w:val="0F9E75F8"/>
    <w:rsid w:val="0FB3423F"/>
    <w:rsid w:val="0FD540C6"/>
    <w:rsid w:val="0FDC721A"/>
    <w:rsid w:val="0FFA025E"/>
    <w:rsid w:val="10061EB8"/>
    <w:rsid w:val="10256796"/>
    <w:rsid w:val="103C1EC8"/>
    <w:rsid w:val="103F5AD3"/>
    <w:rsid w:val="1041184B"/>
    <w:rsid w:val="104B091B"/>
    <w:rsid w:val="105855AB"/>
    <w:rsid w:val="107446C0"/>
    <w:rsid w:val="1086368C"/>
    <w:rsid w:val="108F405E"/>
    <w:rsid w:val="109D078F"/>
    <w:rsid w:val="10A67900"/>
    <w:rsid w:val="10B85FB1"/>
    <w:rsid w:val="10C82F4E"/>
    <w:rsid w:val="10D0776E"/>
    <w:rsid w:val="10EF12A7"/>
    <w:rsid w:val="10EF56FD"/>
    <w:rsid w:val="10F74FC2"/>
    <w:rsid w:val="10F90377"/>
    <w:rsid w:val="110034B4"/>
    <w:rsid w:val="110F36F7"/>
    <w:rsid w:val="11146EB1"/>
    <w:rsid w:val="111C1C2B"/>
    <w:rsid w:val="112703B8"/>
    <w:rsid w:val="11347D0D"/>
    <w:rsid w:val="115B4E23"/>
    <w:rsid w:val="115B5A86"/>
    <w:rsid w:val="115D1DA6"/>
    <w:rsid w:val="11651A69"/>
    <w:rsid w:val="117169C2"/>
    <w:rsid w:val="11757DC9"/>
    <w:rsid w:val="117711F5"/>
    <w:rsid w:val="11773A95"/>
    <w:rsid w:val="11805C0F"/>
    <w:rsid w:val="119B6B11"/>
    <w:rsid w:val="11AB70D0"/>
    <w:rsid w:val="11D53C86"/>
    <w:rsid w:val="11DD55A3"/>
    <w:rsid w:val="11E6296C"/>
    <w:rsid w:val="11EA1D1F"/>
    <w:rsid w:val="11ED7E0F"/>
    <w:rsid w:val="11FF497A"/>
    <w:rsid w:val="12106784"/>
    <w:rsid w:val="12170AB5"/>
    <w:rsid w:val="12293685"/>
    <w:rsid w:val="124342E7"/>
    <w:rsid w:val="12443874"/>
    <w:rsid w:val="12494D8E"/>
    <w:rsid w:val="12633CFA"/>
    <w:rsid w:val="126E56A8"/>
    <w:rsid w:val="127500BF"/>
    <w:rsid w:val="127A580F"/>
    <w:rsid w:val="128B537C"/>
    <w:rsid w:val="12D12D85"/>
    <w:rsid w:val="12D24757"/>
    <w:rsid w:val="12D92CED"/>
    <w:rsid w:val="12E844A3"/>
    <w:rsid w:val="12F519A1"/>
    <w:rsid w:val="12F60BEA"/>
    <w:rsid w:val="12FA3A33"/>
    <w:rsid w:val="12FE1529"/>
    <w:rsid w:val="13001549"/>
    <w:rsid w:val="13033AD5"/>
    <w:rsid w:val="13085C6B"/>
    <w:rsid w:val="131C75ED"/>
    <w:rsid w:val="13294F44"/>
    <w:rsid w:val="1337424A"/>
    <w:rsid w:val="133D279D"/>
    <w:rsid w:val="133F3C27"/>
    <w:rsid w:val="134E4840"/>
    <w:rsid w:val="13581C27"/>
    <w:rsid w:val="13587D14"/>
    <w:rsid w:val="135B70C7"/>
    <w:rsid w:val="13625F4D"/>
    <w:rsid w:val="136B6F2A"/>
    <w:rsid w:val="13712447"/>
    <w:rsid w:val="1378132E"/>
    <w:rsid w:val="13854A5E"/>
    <w:rsid w:val="13877AAA"/>
    <w:rsid w:val="13916E35"/>
    <w:rsid w:val="13B14921"/>
    <w:rsid w:val="13B919E1"/>
    <w:rsid w:val="13BA2040"/>
    <w:rsid w:val="13DD60F3"/>
    <w:rsid w:val="13F70688"/>
    <w:rsid w:val="13FF3637"/>
    <w:rsid w:val="1409109F"/>
    <w:rsid w:val="14191ADB"/>
    <w:rsid w:val="142B3F97"/>
    <w:rsid w:val="14564EA2"/>
    <w:rsid w:val="14616CA9"/>
    <w:rsid w:val="14754DDE"/>
    <w:rsid w:val="1476355A"/>
    <w:rsid w:val="14810258"/>
    <w:rsid w:val="148A5718"/>
    <w:rsid w:val="14A821D5"/>
    <w:rsid w:val="14D37DF5"/>
    <w:rsid w:val="14E835ED"/>
    <w:rsid w:val="1506268B"/>
    <w:rsid w:val="15272F18"/>
    <w:rsid w:val="1529799F"/>
    <w:rsid w:val="15396F94"/>
    <w:rsid w:val="153D13FE"/>
    <w:rsid w:val="154776F1"/>
    <w:rsid w:val="15482C41"/>
    <w:rsid w:val="15974250"/>
    <w:rsid w:val="159E1662"/>
    <w:rsid w:val="15B12FCF"/>
    <w:rsid w:val="15D911DF"/>
    <w:rsid w:val="15DA4B83"/>
    <w:rsid w:val="15ED5A58"/>
    <w:rsid w:val="15EE5FD1"/>
    <w:rsid w:val="15F52D8A"/>
    <w:rsid w:val="1602382A"/>
    <w:rsid w:val="162C6CB2"/>
    <w:rsid w:val="163568A5"/>
    <w:rsid w:val="163F119F"/>
    <w:rsid w:val="16504596"/>
    <w:rsid w:val="16604583"/>
    <w:rsid w:val="166E068F"/>
    <w:rsid w:val="16734728"/>
    <w:rsid w:val="16777ECD"/>
    <w:rsid w:val="16866209"/>
    <w:rsid w:val="1699418F"/>
    <w:rsid w:val="16AF7627"/>
    <w:rsid w:val="16B30809"/>
    <w:rsid w:val="16B32D77"/>
    <w:rsid w:val="16B45AF2"/>
    <w:rsid w:val="16C1304D"/>
    <w:rsid w:val="170D23EB"/>
    <w:rsid w:val="171040E0"/>
    <w:rsid w:val="17195B93"/>
    <w:rsid w:val="17197905"/>
    <w:rsid w:val="17212B98"/>
    <w:rsid w:val="172B2E75"/>
    <w:rsid w:val="174D4177"/>
    <w:rsid w:val="176C5A76"/>
    <w:rsid w:val="17856C06"/>
    <w:rsid w:val="179C4A76"/>
    <w:rsid w:val="179C6471"/>
    <w:rsid w:val="17A10052"/>
    <w:rsid w:val="17BE19D3"/>
    <w:rsid w:val="17C646BB"/>
    <w:rsid w:val="17D22FC7"/>
    <w:rsid w:val="17E551B2"/>
    <w:rsid w:val="17EB59BA"/>
    <w:rsid w:val="17EC44B9"/>
    <w:rsid w:val="17FC2CB3"/>
    <w:rsid w:val="18015D13"/>
    <w:rsid w:val="18032DE8"/>
    <w:rsid w:val="180B47A6"/>
    <w:rsid w:val="18132377"/>
    <w:rsid w:val="181D1C4C"/>
    <w:rsid w:val="18416B0B"/>
    <w:rsid w:val="18420655"/>
    <w:rsid w:val="184F055A"/>
    <w:rsid w:val="18575D65"/>
    <w:rsid w:val="18694749"/>
    <w:rsid w:val="186F023A"/>
    <w:rsid w:val="18711A73"/>
    <w:rsid w:val="187A7FF0"/>
    <w:rsid w:val="1884144D"/>
    <w:rsid w:val="188761F2"/>
    <w:rsid w:val="188931D2"/>
    <w:rsid w:val="188932F1"/>
    <w:rsid w:val="18901D2C"/>
    <w:rsid w:val="18AA4093"/>
    <w:rsid w:val="18B54B84"/>
    <w:rsid w:val="18BB3C2D"/>
    <w:rsid w:val="18BF1EA7"/>
    <w:rsid w:val="18C3639C"/>
    <w:rsid w:val="18C43B6B"/>
    <w:rsid w:val="18D655F1"/>
    <w:rsid w:val="18DE7568"/>
    <w:rsid w:val="18E4469E"/>
    <w:rsid w:val="18E87F50"/>
    <w:rsid w:val="18ED6702"/>
    <w:rsid w:val="18FD4947"/>
    <w:rsid w:val="190A1374"/>
    <w:rsid w:val="190C1BE7"/>
    <w:rsid w:val="193F5973"/>
    <w:rsid w:val="19442A4D"/>
    <w:rsid w:val="19492AEA"/>
    <w:rsid w:val="194D3AC9"/>
    <w:rsid w:val="196855D2"/>
    <w:rsid w:val="19685F9C"/>
    <w:rsid w:val="197762DD"/>
    <w:rsid w:val="197D5C29"/>
    <w:rsid w:val="19965BB4"/>
    <w:rsid w:val="199B7E1F"/>
    <w:rsid w:val="19D96C4F"/>
    <w:rsid w:val="19E81A6C"/>
    <w:rsid w:val="19EB65F6"/>
    <w:rsid w:val="19EF4EF7"/>
    <w:rsid w:val="19F12F16"/>
    <w:rsid w:val="19F418BE"/>
    <w:rsid w:val="1A002777"/>
    <w:rsid w:val="1A0717BC"/>
    <w:rsid w:val="1A1B30B1"/>
    <w:rsid w:val="1A223D60"/>
    <w:rsid w:val="1A2608AF"/>
    <w:rsid w:val="1A361CF4"/>
    <w:rsid w:val="1A385A6D"/>
    <w:rsid w:val="1A473F02"/>
    <w:rsid w:val="1A4C5819"/>
    <w:rsid w:val="1A542F59"/>
    <w:rsid w:val="1A560F87"/>
    <w:rsid w:val="1A6F5C0A"/>
    <w:rsid w:val="1A75281D"/>
    <w:rsid w:val="1A79786D"/>
    <w:rsid w:val="1A807F7F"/>
    <w:rsid w:val="1A872550"/>
    <w:rsid w:val="1A9224D0"/>
    <w:rsid w:val="1AC06D68"/>
    <w:rsid w:val="1B1153AE"/>
    <w:rsid w:val="1B2E7BE8"/>
    <w:rsid w:val="1B32070E"/>
    <w:rsid w:val="1B3404EA"/>
    <w:rsid w:val="1B431208"/>
    <w:rsid w:val="1B651A0F"/>
    <w:rsid w:val="1B65257F"/>
    <w:rsid w:val="1B6D5BEA"/>
    <w:rsid w:val="1B7178E4"/>
    <w:rsid w:val="1B8D5D0B"/>
    <w:rsid w:val="1B990926"/>
    <w:rsid w:val="1BD7136C"/>
    <w:rsid w:val="1BE67190"/>
    <w:rsid w:val="1BE6757E"/>
    <w:rsid w:val="1BEF0C63"/>
    <w:rsid w:val="1C005643"/>
    <w:rsid w:val="1C141D47"/>
    <w:rsid w:val="1C270694"/>
    <w:rsid w:val="1C2F1807"/>
    <w:rsid w:val="1C3103F6"/>
    <w:rsid w:val="1C4155A7"/>
    <w:rsid w:val="1C417326"/>
    <w:rsid w:val="1C531F97"/>
    <w:rsid w:val="1C6074FD"/>
    <w:rsid w:val="1C7550F6"/>
    <w:rsid w:val="1C906479"/>
    <w:rsid w:val="1C962F1E"/>
    <w:rsid w:val="1CBD29F9"/>
    <w:rsid w:val="1CBF2050"/>
    <w:rsid w:val="1CF03102"/>
    <w:rsid w:val="1CF05B1D"/>
    <w:rsid w:val="1CF163A7"/>
    <w:rsid w:val="1CFE4D5B"/>
    <w:rsid w:val="1D035BF9"/>
    <w:rsid w:val="1D0820A6"/>
    <w:rsid w:val="1D136646"/>
    <w:rsid w:val="1D2C2268"/>
    <w:rsid w:val="1D484219"/>
    <w:rsid w:val="1D4E55A7"/>
    <w:rsid w:val="1D551D12"/>
    <w:rsid w:val="1D5D664C"/>
    <w:rsid w:val="1D5E2780"/>
    <w:rsid w:val="1D65543B"/>
    <w:rsid w:val="1D79243E"/>
    <w:rsid w:val="1D813BCE"/>
    <w:rsid w:val="1DA577ED"/>
    <w:rsid w:val="1DBA69FC"/>
    <w:rsid w:val="1DF3112A"/>
    <w:rsid w:val="1DF747CB"/>
    <w:rsid w:val="1E0823F2"/>
    <w:rsid w:val="1E0F11DA"/>
    <w:rsid w:val="1E260E83"/>
    <w:rsid w:val="1E2701AC"/>
    <w:rsid w:val="1E276399"/>
    <w:rsid w:val="1E340C41"/>
    <w:rsid w:val="1E3A3CAF"/>
    <w:rsid w:val="1E4720E7"/>
    <w:rsid w:val="1E4B0FF8"/>
    <w:rsid w:val="1E592A0F"/>
    <w:rsid w:val="1E5D4E56"/>
    <w:rsid w:val="1E6B2139"/>
    <w:rsid w:val="1E7A374E"/>
    <w:rsid w:val="1E7C1C53"/>
    <w:rsid w:val="1E89335F"/>
    <w:rsid w:val="1E8E0351"/>
    <w:rsid w:val="1E924AE7"/>
    <w:rsid w:val="1EAE6E23"/>
    <w:rsid w:val="1ECC0E79"/>
    <w:rsid w:val="1EDA3FAB"/>
    <w:rsid w:val="1EE477A0"/>
    <w:rsid w:val="1EF17ACF"/>
    <w:rsid w:val="1EF46FC2"/>
    <w:rsid w:val="1EF74148"/>
    <w:rsid w:val="1F0B19A2"/>
    <w:rsid w:val="1F0E3240"/>
    <w:rsid w:val="1F1C16B0"/>
    <w:rsid w:val="1F3D59A5"/>
    <w:rsid w:val="1F420031"/>
    <w:rsid w:val="1F4257E9"/>
    <w:rsid w:val="1F6850E2"/>
    <w:rsid w:val="1F6C3A98"/>
    <w:rsid w:val="1F6E0D89"/>
    <w:rsid w:val="1F7D25DA"/>
    <w:rsid w:val="1FA63BE5"/>
    <w:rsid w:val="1FB3239E"/>
    <w:rsid w:val="1FBB0D34"/>
    <w:rsid w:val="1FBB33C8"/>
    <w:rsid w:val="1FC624D8"/>
    <w:rsid w:val="1FCD0DC2"/>
    <w:rsid w:val="1FDC30F1"/>
    <w:rsid w:val="1FE00A4B"/>
    <w:rsid w:val="1FE50445"/>
    <w:rsid w:val="1FFE2851"/>
    <w:rsid w:val="20014FB8"/>
    <w:rsid w:val="201E5705"/>
    <w:rsid w:val="204809D3"/>
    <w:rsid w:val="20505BEE"/>
    <w:rsid w:val="205138AB"/>
    <w:rsid w:val="20683984"/>
    <w:rsid w:val="207F1198"/>
    <w:rsid w:val="2087794C"/>
    <w:rsid w:val="20CC0941"/>
    <w:rsid w:val="20D128F2"/>
    <w:rsid w:val="20E51308"/>
    <w:rsid w:val="20F3093F"/>
    <w:rsid w:val="20F76B2D"/>
    <w:rsid w:val="21016FB2"/>
    <w:rsid w:val="21091931"/>
    <w:rsid w:val="213E2EA1"/>
    <w:rsid w:val="2149055F"/>
    <w:rsid w:val="215F4227"/>
    <w:rsid w:val="216F0F77"/>
    <w:rsid w:val="217336E6"/>
    <w:rsid w:val="2194799D"/>
    <w:rsid w:val="21B909B9"/>
    <w:rsid w:val="21BA2AC2"/>
    <w:rsid w:val="21DC13D3"/>
    <w:rsid w:val="21E21C0E"/>
    <w:rsid w:val="21E53673"/>
    <w:rsid w:val="21F5141A"/>
    <w:rsid w:val="21FB74E7"/>
    <w:rsid w:val="220152DE"/>
    <w:rsid w:val="22122B72"/>
    <w:rsid w:val="22302631"/>
    <w:rsid w:val="223175B2"/>
    <w:rsid w:val="223A312F"/>
    <w:rsid w:val="224D7B7A"/>
    <w:rsid w:val="225059CB"/>
    <w:rsid w:val="22631AF5"/>
    <w:rsid w:val="226A3A35"/>
    <w:rsid w:val="22712C34"/>
    <w:rsid w:val="227C4964"/>
    <w:rsid w:val="229413BA"/>
    <w:rsid w:val="22A86252"/>
    <w:rsid w:val="22AA4925"/>
    <w:rsid w:val="22B642F4"/>
    <w:rsid w:val="22BC02B2"/>
    <w:rsid w:val="22C0677F"/>
    <w:rsid w:val="22DE5F28"/>
    <w:rsid w:val="22E505A2"/>
    <w:rsid w:val="22F866E1"/>
    <w:rsid w:val="230230BC"/>
    <w:rsid w:val="23107AAF"/>
    <w:rsid w:val="231E149A"/>
    <w:rsid w:val="231F6668"/>
    <w:rsid w:val="23362282"/>
    <w:rsid w:val="233E248C"/>
    <w:rsid w:val="234D19E9"/>
    <w:rsid w:val="234F0B1A"/>
    <w:rsid w:val="235B0B5A"/>
    <w:rsid w:val="2372597F"/>
    <w:rsid w:val="2374166C"/>
    <w:rsid w:val="23807611"/>
    <w:rsid w:val="238920BB"/>
    <w:rsid w:val="239A32F4"/>
    <w:rsid w:val="23B2153A"/>
    <w:rsid w:val="23BE1A45"/>
    <w:rsid w:val="23BE276C"/>
    <w:rsid w:val="23C6058D"/>
    <w:rsid w:val="23D76713"/>
    <w:rsid w:val="23DD042B"/>
    <w:rsid w:val="23E17175"/>
    <w:rsid w:val="241F1A4B"/>
    <w:rsid w:val="24206146"/>
    <w:rsid w:val="24223E87"/>
    <w:rsid w:val="24341609"/>
    <w:rsid w:val="243C316D"/>
    <w:rsid w:val="24421B74"/>
    <w:rsid w:val="244301A5"/>
    <w:rsid w:val="24457B3A"/>
    <w:rsid w:val="24506626"/>
    <w:rsid w:val="245406CC"/>
    <w:rsid w:val="248875F1"/>
    <w:rsid w:val="24905AE4"/>
    <w:rsid w:val="249E6E2F"/>
    <w:rsid w:val="24A00DDE"/>
    <w:rsid w:val="24B108F5"/>
    <w:rsid w:val="24C46FB6"/>
    <w:rsid w:val="24DC44D8"/>
    <w:rsid w:val="24F20F0E"/>
    <w:rsid w:val="250332B8"/>
    <w:rsid w:val="25074187"/>
    <w:rsid w:val="25331BC4"/>
    <w:rsid w:val="25373650"/>
    <w:rsid w:val="2558601D"/>
    <w:rsid w:val="259A75DB"/>
    <w:rsid w:val="25BE07F9"/>
    <w:rsid w:val="25BF40E0"/>
    <w:rsid w:val="25CB47A5"/>
    <w:rsid w:val="25E83EE0"/>
    <w:rsid w:val="26087016"/>
    <w:rsid w:val="26543C2E"/>
    <w:rsid w:val="265C4507"/>
    <w:rsid w:val="26605B6C"/>
    <w:rsid w:val="26704790"/>
    <w:rsid w:val="268222D7"/>
    <w:rsid w:val="2685203A"/>
    <w:rsid w:val="26914E82"/>
    <w:rsid w:val="26950AE8"/>
    <w:rsid w:val="26983290"/>
    <w:rsid w:val="269D5F7D"/>
    <w:rsid w:val="26A128C9"/>
    <w:rsid w:val="26FB0253"/>
    <w:rsid w:val="270A569F"/>
    <w:rsid w:val="27133AE9"/>
    <w:rsid w:val="27164841"/>
    <w:rsid w:val="271D04C4"/>
    <w:rsid w:val="272022CB"/>
    <w:rsid w:val="273852FE"/>
    <w:rsid w:val="273F4CB5"/>
    <w:rsid w:val="27460068"/>
    <w:rsid w:val="274B4C71"/>
    <w:rsid w:val="27506C7C"/>
    <w:rsid w:val="2753161C"/>
    <w:rsid w:val="27532138"/>
    <w:rsid w:val="27590D31"/>
    <w:rsid w:val="275D221F"/>
    <w:rsid w:val="27840065"/>
    <w:rsid w:val="278542BB"/>
    <w:rsid w:val="27886D81"/>
    <w:rsid w:val="27C2106B"/>
    <w:rsid w:val="27C54369"/>
    <w:rsid w:val="2811449B"/>
    <w:rsid w:val="285511EC"/>
    <w:rsid w:val="285C6DCA"/>
    <w:rsid w:val="28965D63"/>
    <w:rsid w:val="28B70B59"/>
    <w:rsid w:val="28C50E13"/>
    <w:rsid w:val="290477A4"/>
    <w:rsid w:val="29121862"/>
    <w:rsid w:val="29127DD1"/>
    <w:rsid w:val="29142C02"/>
    <w:rsid w:val="2918110F"/>
    <w:rsid w:val="2919237C"/>
    <w:rsid w:val="29235B3A"/>
    <w:rsid w:val="292C162F"/>
    <w:rsid w:val="293E274E"/>
    <w:rsid w:val="2950368E"/>
    <w:rsid w:val="29594084"/>
    <w:rsid w:val="29843A9B"/>
    <w:rsid w:val="29862A2C"/>
    <w:rsid w:val="29890093"/>
    <w:rsid w:val="298D3BAC"/>
    <w:rsid w:val="298E3718"/>
    <w:rsid w:val="29986A8C"/>
    <w:rsid w:val="29A22F02"/>
    <w:rsid w:val="29AF6857"/>
    <w:rsid w:val="29C82EAF"/>
    <w:rsid w:val="29EB2594"/>
    <w:rsid w:val="29EC5D17"/>
    <w:rsid w:val="29ED1066"/>
    <w:rsid w:val="2A007C29"/>
    <w:rsid w:val="2A043BBD"/>
    <w:rsid w:val="2A0D6D35"/>
    <w:rsid w:val="2A17737B"/>
    <w:rsid w:val="2A2008D8"/>
    <w:rsid w:val="2A214516"/>
    <w:rsid w:val="2A3C5105"/>
    <w:rsid w:val="2A430052"/>
    <w:rsid w:val="2A500BB0"/>
    <w:rsid w:val="2A584D21"/>
    <w:rsid w:val="2A614B6C"/>
    <w:rsid w:val="2A616F93"/>
    <w:rsid w:val="2A64367C"/>
    <w:rsid w:val="2A663F31"/>
    <w:rsid w:val="2A6910D3"/>
    <w:rsid w:val="2A6B0855"/>
    <w:rsid w:val="2A6B54EF"/>
    <w:rsid w:val="2A8F792B"/>
    <w:rsid w:val="2A923A78"/>
    <w:rsid w:val="2A954815"/>
    <w:rsid w:val="2A9807F2"/>
    <w:rsid w:val="2A9C4B34"/>
    <w:rsid w:val="2AA83702"/>
    <w:rsid w:val="2ABC3F27"/>
    <w:rsid w:val="2AD90BA6"/>
    <w:rsid w:val="2AE00186"/>
    <w:rsid w:val="2AF14141"/>
    <w:rsid w:val="2B134799"/>
    <w:rsid w:val="2B20653D"/>
    <w:rsid w:val="2B266F08"/>
    <w:rsid w:val="2B44352B"/>
    <w:rsid w:val="2B587219"/>
    <w:rsid w:val="2B601926"/>
    <w:rsid w:val="2B6835F0"/>
    <w:rsid w:val="2B6A7A50"/>
    <w:rsid w:val="2B6C7799"/>
    <w:rsid w:val="2B7E34FB"/>
    <w:rsid w:val="2B8D23FE"/>
    <w:rsid w:val="2B940739"/>
    <w:rsid w:val="2B954674"/>
    <w:rsid w:val="2B9B119B"/>
    <w:rsid w:val="2BAB173B"/>
    <w:rsid w:val="2BAF4E36"/>
    <w:rsid w:val="2BF95ED1"/>
    <w:rsid w:val="2C016606"/>
    <w:rsid w:val="2C090ED9"/>
    <w:rsid w:val="2C191269"/>
    <w:rsid w:val="2C1D00E0"/>
    <w:rsid w:val="2C1F4CDE"/>
    <w:rsid w:val="2C3F012B"/>
    <w:rsid w:val="2C5405D1"/>
    <w:rsid w:val="2C583D4C"/>
    <w:rsid w:val="2C7E2E47"/>
    <w:rsid w:val="2C7F1DCF"/>
    <w:rsid w:val="2C83526D"/>
    <w:rsid w:val="2C8D7E9A"/>
    <w:rsid w:val="2C992645"/>
    <w:rsid w:val="2C9A590A"/>
    <w:rsid w:val="2CA759EA"/>
    <w:rsid w:val="2CA86A82"/>
    <w:rsid w:val="2CB10CA8"/>
    <w:rsid w:val="2CDA515E"/>
    <w:rsid w:val="2CE37ABA"/>
    <w:rsid w:val="2D4B7B48"/>
    <w:rsid w:val="2D535EA7"/>
    <w:rsid w:val="2D5F5D06"/>
    <w:rsid w:val="2D6B4743"/>
    <w:rsid w:val="2D6C2E14"/>
    <w:rsid w:val="2D766B80"/>
    <w:rsid w:val="2D8044D3"/>
    <w:rsid w:val="2DA12813"/>
    <w:rsid w:val="2DC14B08"/>
    <w:rsid w:val="2DCD0A11"/>
    <w:rsid w:val="2DE84A63"/>
    <w:rsid w:val="2DEB621C"/>
    <w:rsid w:val="2E0E6DB8"/>
    <w:rsid w:val="2E1D2F05"/>
    <w:rsid w:val="2E22169E"/>
    <w:rsid w:val="2E224612"/>
    <w:rsid w:val="2E231110"/>
    <w:rsid w:val="2E30208F"/>
    <w:rsid w:val="2E350E71"/>
    <w:rsid w:val="2E3660F5"/>
    <w:rsid w:val="2E415370"/>
    <w:rsid w:val="2E68632E"/>
    <w:rsid w:val="2E7701B7"/>
    <w:rsid w:val="2E811F00"/>
    <w:rsid w:val="2E823EE8"/>
    <w:rsid w:val="2E930EF9"/>
    <w:rsid w:val="2EB140C2"/>
    <w:rsid w:val="2EB57F44"/>
    <w:rsid w:val="2ED10DA9"/>
    <w:rsid w:val="2ED15B5F"/>
    <w:rsid w:val="2EE221E3"/>
    <w:rsid w:val="2F364819"/>
    <w:rsid w:val="2F642F4F"/>
    <w:rsid w:val="2F7305E4"/>
    <w:rsid w:val="2F803204"/>
    <w:rsid w:val="2FB3060A"/>
    <w:rsid w:val="2FB93134"/>
    <w:rsid w:val="2FC17E5A"/>
    <w:rsid w:val="2FCE5B1E"/>
    <w:rsid w:val="2FD858D0"/>
    <w:rsid w:val="2FDE7753"/>
    <w:rsid w:val="2FEF0361"/>
    <w:rsid w:val="2FF614EE"/>
    <w:rsid w:val="301A2140"/>
    <w:rsid w:val="302A1EA4"/>
    <w:rsid w:val="30436A9A"/>
    <w:rsid w:val="304C34A3"/>
    <w:rsid w:val="30611B3E"/>
    <w:rsid w:val="306959DD"/>
    <w:rsid w:val="306A7DDB"/>
    <w:rsid w:val="307216B2"/>
    <w:rsid w:val="307C26FF"/>
    <w:rsid w:val="30A048EF"/>
    <w:rsid w:val="30A21987"/>
    <w:rsid w:val="30AD5BBE"/>
    <w:rsid w:val="30AD61C5"/>
    <w:rsid w:val="30B12B1F"/>
    <w:rsid w:val="30DA2523"/>
    <w:rsid w:val="30E01C54"/>
    <w:rsid w:val="30FE25A7"/>
    <w:rsid w:val="30FF6E8C"/>
    <w:rsid w:val="31140E1D"/>
    <w:rsid w:val="311F752F"/>
    <w:rsid w:val="31244B45"/>
    <w:rsid w:val="312C4A57"/>
    <w:rsid w:val="312E593C"/>
    <w:rsid w:val="316D52EA"/>
    <w:rsid w:val="31785216"/>
    <w:rsid w:val="318E3088"/>
    <w:rsid w:val="31944A9C"/>
    <w:rsid w:val="31A17F44"/>
    <w:rsid w:val="32096215"/>
    <w:rsid w:val="320E5953"/>
    <w:rsid w:val="322E5409"/>
    <w:rsid w:val="323954D8"/>
    <w:rsid w:val="323B2882"/>
    <w:rsid w:val="323B6B7B"/>
    <w:rsid w:val="3248318A"/>
    <w:rsid w:val="324B5172"/>
    <w:rsid w:val="325C38FB"/>
    <w:rsid w:val="32655415"/>
    <w:rsid w:val="326C7130"/>
    <w:rsid w:val="328161FB"/>
    <w:rsid w:val="329B2319"/>
    <w:rsid w:val="32A93554"/>
    <w:rsid w:val="32D11EE7"/>
    <w:rsid w:val="32F22ABF"/>
    <w:rsid w:val="332A6465"/>
    <w:rsid w:val="33314EDB"/>
    <w:rsid w:val="334A0FC5"/>
    <w:rsid w:val="334C0506"/>
    <w:rsid w:val="335675DB"/>
    <w:rsid w:val="33567C45"/>
    <w:rsid w:val="338036E9"/>
    <w:rsid w:val="338E62A6"/>
    <w:rsid w:val="339252DF"/>
    <w:rsid w:val="3393661B"/>
    <w:rsid w:val="33941379"/>
    <w:rsid w:val="33970F14"/>
    <w:rsid w:val="33A93C7C"/>
    <w:rsid w:val="33AE1321"/>
    <w:rsid w:val="33CB3314"/>
    <w:rsid w:val="33D90146"/>
    <w:rsid w:val="33DA1999"/>
    <w:rsid w:val="33E71C2A"/>
    <w:rsid w:val="33FA5C92"/>
    <w:rsid w:val="341C2288"/>
    <w:rsid w:val="341F37EA"/>
    <w:rsid w:val="343155AF"/>
    <w:rsid w:val="34485A7E"/>
    <w:rsid w:val="34512F0D"/>
    <w:rsid w:val="345B1B40"/>
    <w:rsid w:val="346239BA"/>
    <w:rsid w:val="346425D6"/>
    <w:rsid w:val="346F3383"/>
    <w:rsid w:val="348F7181"/>
    <w:rsid w:val="34BB131C"/>
    <w:rsid w:val="34C854C1"/>
    <w:rsid w:val="34CB0A62"/>
    <w:rsid w:val="34D42007"/>
    <w:rsid w:val="34E14FC2"/>
    <w:rsid w:val="34FC06A8"/>
    <w:rsid w:val="34FD7B87"/>
    <w:rsid w:val="35006F50"/>
    <w:rsid w:val="35155F52"/>
    <w:rsid w:val="35373099"/>
    <w:rsid w:val="353D61D5"/>
    <w:rsid w:val="353F3CFB"/>
    <w:rsid w:val="354155DB"/>
    <w:rsid w:val="354237EC"/>
    <w:rsid w:val="356A456C"/>
    <w:rsid w:val="35765D46"/>
    <w:rsid w:val="359C1008"/>
    <w:rsid w:val="35A2045C"/>
    <w:rsid w:val="35B932C7"/>
    <w:rsid w:val="35D51966"/>
    <w:rsid w:val="35F4580E"/>
    <w:rsid w:val="361D6083"/>
    <w:rsid w:val="363160E8"/>
    <w:rsid w:val="36330CB4"/>
    <w:rsid w:val="364A608C"/>
    <w:rsid w:val="364C21A1"/>
    <w:rsid w:val="368E7F7A"/>
    <w:rsid w:val="36981915"/>
    <w:rsid w:val="36A7267E"/>
    <w:rsid w:val="36C02DE4"/>
    <w:rsid w:val="36C46063"/>
    <w:rsid w:val="36EF0964"/>
    <w:rsid w:val="36FA12C5"/>
    <w:rsid w:val="372E0D47"/>
    <w:rsid w:val="373C1E47"/>
    <w:rsid w:val="37487137"/>
    <w:rsid w:val="374B2E2B"/>
    <w:rsid w:val="374F291D"/>
    <w:rsid w:val="376F784C"/>
    <w:rsid w:val="37753AFC"/>
    <w:rsid w:val="37816E64"/>
    <w:rsid w:val="379E4B3A"/>
    <w:rsid w:val="37AE31C5"/>
    <w:rsid w:val="37E7226A"/>
    <w:rsid w:val="37F708BD"/>
    <w:rsid w:val="37FB44BE"/>
    <w:rsid w:val="37FE3B62"/>
    <w:rsid w:val="3807365F"/>
    <w:rsid w:val="38074CAF"/>
    <w:rsid w:val="38841206"/>
    <w:rsid w:val="38842B21"/>
    <w:rsid w:val="388A0F0C"/>
    <w:rsid w:val="388F1F05"/>
    <w:rsid w:val="389A280A"/>
    <w:rsid w:val="38A5656B"/>
    <w:rsid w:val="38B22A36"/>
    <w:rsid w:val="38B842AB"/>
    <w:rsid w:val="38C200F3"/>
    <w:rsid w:val="38E21299"/>
    <w:rsid w:val="38E82A6A"/>
    <w:rsid w:val="38E91841"/>
    <w:rsid w:val="38EA21D0"/>
    <w:rsid w:val="38ED5E93"/>
    <w:rsid w:val="390031DA"/>
    <w:rsid w:val="39006B5D"/>
    <w:rsid w:val="390B4877"/>
    <w:rsid w:val="391334D5"/>
    <w:rsid w:val="39745EB7"/>
    <w:rsid w:val="398E2379"/>
    <w:rsid w:val="39904FFE"/>
    <w:rsid w:val="39967A4F"/>
    <w:rsid w:val="39A64349"/>
    <w:rsid w:val="39AA21F8"/>
    <w:rsid w:val="39B373A8"/>
    <w:rsid w:val="39C848E7"/>
    <w:rsid w:val="39D32535"/>
    <w:rsid w:val="39D569DC"/>
    <w:rsid w:val="39E60BE9"/>
    <w:rsid w:val="39F66885"/>
    <w:rsid w:val="3A173289"/>
    <w:rsid w:val="3A2002B9"/>
    <w:rsid w:val="3A3404B8"/>
    <w:rsid w:val="3A5969D7"/>
    <w:rsid w:val="3A615D93"/>
    <w:rsid w:val="3A655FB2"/>
    <w:rsid w:val="3A7D0EFD"/>
    <w:rsid w:val="3A8A2CAF"/>
    <w:rsid w:val="3A8C79E3"/>
    <w:rsid w:val="3A98147F"/>
    <w:rsid w:val="3AA8258A"/>
    <w:rsid w:val="3AB00351"/>
    <w:rsid w:val="3AB02FA5"/>
    <w:rsid w:val="3AE6228D"/>
    <w:rsid w:val="3B1E031B"/>
    <w:rsid w:val="3B20012B"/>
    <w:rsid w:val="3B285155"/>
    <w:rsid w:val="3B3A7D13"/>
    <w:rsid w:val="3B3C43AA"/>
    <w:rsid w:val="3B3F279C"/>
    <w:rsid w:val="3B472B34"/>
    <w:rsid w:val="3B567FF1"/>
    <w:rsid w:val="3B5A4D5F"/>
    <w:rsid w:val="3B7558E0"/>
    <w:rsid w:val="3B9F3746"/>
    <w:rsid w:val="3BAF5DD3"/>
    <w:rsid w:val="3BB56AC5"/>
    <w:rsid w:val="3BB64CFB"/>
    <w:rsid w:val="3BCD723F"/>
    <w:rsid w:val="3BE473AB"/>
    <w:rsid w:val="3C101301"/>
    <w:rsid w:val="3C1A63FE"/>
    <w:rsid w:val="3C2A1B75"/>
    <w:rsid w:val="3C455744"/>
    <w:rsid w:val="3C5107B8"/>
    <w:rsid w:val="3C5938F5"/>
    <w:rsid w:val="3C59458E"/>
    <w:rsid w:val="3C5B4AA8"/>
    <w:rsid w:val="3C6A70E9"/>
    <w:rsid w:val="3C6C46B1"/>
    <w:rsid w:val="3C87185B"/>
    <w:rsid w:val="3C9568F7"/>
    <w:rsid w:val="3CBC1F12"/>
    <w:rsid w:val="3CBD1D89"/>
    <w:rsid w:val="3CDD2030"/>
    <w:rsid w:val="3CE942B0"/>
    <w:rsid w:val="3CF47E52"/>
    <w:rsid w:val="3D001E69"/>
    <w:rsid w:val="3D040AF0"/>
    <w:rsid w:val="3D1309DC"/>
    <w:rsid w:val="3D197528"/>
    <w:rsid w:val="3D29054B"/>
    <w:rsid w:val="3D3954D4"/>
    <w:rsid w:val="3D497C25"/>
    <w:rsid w:val="3D4D0ABF"/>
    <w:rsid w:val="3D526936"/>
    <w:rsid w:val="3D5C0FE1"/>
    <w:rsid w:val="3D5D11C3"/>
    <w:rsid w:val="3D75235E"/>
    <w:rsid w:val="3D787C3F"/>
    <w:rsid w:val="3D85696B"/>
    <w:rsid w:val="3D8B21D4"/>
    <w:rsid w:val="3D931F15"/>
    <w:rsid w:val="3D954ED7"/>
    <w:rsid w:val="3DB650F7"/>
    <w:rsid w:val="3DBE1EF0"/>
    <w:rsid w:val="3DD218ED"/>
    <w:rsid w:val="3E1D7988"/>
    <w:rsid w:val="3E2640C3"/>
    <w:rsid w:val="3E2829A7"/>
    <w:rsid w:val="3E3A7756"/>
    <w:rsid w:val="3E3D28CD"/>
    <w:rsid w:val="3E490C82"/>
    <w:rsid w:val="3E5766DA"/>
    <w:rsid w:val="3EA87EB5"/>
    <w:rsid w:val="3EAD5738"/>
    <w:rsid w:val="3EAE43A0"/>
    <w:rsid w:val="3EC82FB3"/>
    <w:rsid w:val="3ECD4126"/>
    <w:rsid w:val="3EF04A2D"/>
    <w:rsid w:val="3EF42816"/>
    <w:rsid w:val="3EF43DA9"/>
    <w:rsid w:val="3EFE3805"/>
    <w:rsid w:val="3F054809"/>
    <w:rsid w:val="3F280936"/>
    <w:rsid w:val="3F340649"/>
    <w:rsid w:val="3F3643C1"/>
    <w:rsid w:val="3F394E34"/>
    <w:rsid w:val="3F5C0D92"/>
    <w:rsid w:val="3F5D31CC"/>
    <w:rsid w:val="3F892368"/>
    <w:rsid w:val="3F937B2C"/>
    <w:rsid w:val="3FA21419"/>
    <w:rsid w:val="3FC65745"/>
    <w:rsid w:val="3FCB1064"/>
    <w:rsid w:val="3FD37A21"/>
    <w:rsid w:val="3FD528D1"/>
    <w:rsid w:val="3FE060DB"/>
    <w:rsid w:val="3FEF7A43"/>
    <w:rsid w:val="3FF72BDD"/>
    <w:rsid w:val="400C1023"/>
    <w:rsid w:val="40122FCF"/>
    <w:rsid w:val="40185875"/>
    <w:rsid w:val="40391D8F"/>
    <w:rsid w:val="4041301D"/>
    <w:rsid w:val="40770E48"/>
    <w:rsid w:val="407B0539"/>
    <w:rsid w:val="407F2D00"/>
    <w:rsid w:val="409107DD"/>
    <w:rsid w:val="40AB5008"/>
    <w:rsid w:val="40D300F5"/>
    <w:rsid w:val="40D979B2"/>
    <w:rsid w:val="40DE01D9"/>
    <w:rsid w:val="40ED0A97"/>
    <w:rsid w:val="40F830F8"/>
    <w:rsid w:val="41021F4C"/>
    <w:rsid w:val="4113523C"/>
    <w:rsid w:val="41144C6A"/>
    <w:rsid w:val="411B73DB"/>
    <w:rsid w:val="4125450C"/>
    <w:rsid w:val="41524DB6"/>
    <w:rsid w:val="415D7063"/>
    <w:rsid w:val="41794ED2"/>
    <w:rsid w:val="418737DA"/>
    <w:rsid w:val="41973F00"/>
    <w:rsid w:val="41A536F9"/>
    <w:rsid w:val="41AC7E24"/>
    <w:rsid w:val="41B95DF1"/>
    <w:rsid w:val="41C41EBD"/>
    <w:rsid w:val="41D854BE"/>
    <w:rsid w:val="420328B9"/>
    <w:rsid w:val="42112457"/>
    <w:rsid w:val="42166241"/>
    <w:rsid w:val="422F5E98"/>
    <w:rsid w:val="42546C14"/>
    <w:rsid w:val="425C6C61"/>
    <w:rsid w:val="427F1BDB"/>
    <w:rsid w:val="428048E1"/>
    <w:rsid w:val="42823509"/>
    <w:rsid w:val="4295155E"/>
    <w:rsid w:val="429A21D8"/>
    <w:rsid w:val="42AD5D08"/>
    <w:rsid w:val="42B2644E"/>
    <w:rsid w:val="42B51F06"/>
    <w:rsid w:val="42CA5FA0"/>
    <w:rsid w:val="43192030"/>
    <w:rsid w:val="43204077"/>
    <w:rsid w:val="43212C92"/>
    <w:rsid w:val="43287DFF"/>
    <w:rsid w:val="432A2749"/>
    <w:rsid w:val="43382DA2"/>
    <w:rsid w:val="437004DF"/>
    <w:rsid w:val="43717A0B"/>
    <w:rsid w:val="43A67007"/>
    <w:rsid w:val="43A86F10"/>
    <w:rsid w:val="43B330A8"/>
    <w:rsid w:val="43CA157C"/>
    <w:rsid w:val="43E721D3"/>
    <w:rsid w:val="43EC32A0"/>
    <w:rsid w:val="43ED075C"/>
    <w:rsid w:val="43F54197"/>
    <w:rsid w:val="440E57F4"/>
    <w:rsid w:val="444609F6"/>
    <w:rsid w:val="446A2412"/>
    <w:rsid w:val="446D2DC8"/>
    <w:rsid w:val="44725AF2"/>
    <w:rsid w:val="449A4B87"/>
    <w:rsid w:val="449A6418"/>
    <w:rsid w:val="44BA4FD7"/>
    <w:rsid w:val="44BE4BBC"/>
    <w:rsid w:val="44BE5822"/>
    <w:rsid w:val="44D42EB9"/>
    <w:rsid w:val="44D51F86"/>
    <w:rsid w:val="44D631F8"/>
    <w:rsid w:val="44E663D7"/>
    <w:rsid w:val="44FD4B3A"/>
    <w:rsid w:val="450E4321"/>
    <w:rsid w:val="451F3201"/>
    <w:rsid w:val="452837C5"/>
    <w:rsid w:val="455D1FCD"/>
    <w:rsid w:val="455F6FCB"/>
    <w:rsid w:val="456F6ED9"/>
    <w:rsid w:val="457D0FE9"/>
    <w:rsid w:val="45844238"/>
    <w:rsid w:val="458539AC"/>
    <w:rsid w:val="458B4DE9"/>
    <w:rsid w:val="45916115"/>
    <w:rsid w:val="4592754D"/>
    <w:rsid w:val="45A02A9B"/>
    <w:rsid w:val="45C71DDB"/>
    <w:rsid w:val="45D60EF0"/>
    <w:rsid w:val="45D87CB9"/>
    <w:rsid w:val="45DA5C79"/>
    <w:rsid w:val="45F33346"/>
    <w:rsid w:val="45F8591F"/>
    <w:rsid w:val="460346FB"/>
    <w:rsid w:val="46466103"/>
    <w:rsid w:val="464E28BD"/>
    <w:rsid w:val="465A0CE8"/>
    <w:rsid w:val="46636835"/>
    <w:rsid w:val="46733DB2"/>
    <w:rsid w:val="46773555"/>
    <w:rsid w:val="46A07194"/>
    <w:rsid w:val="46A95479"/>
    <w:rsid w:val="46AE4DD2"/>
    <w:rsid w:val="46B0341C"/>
    <w:rsid w:val="46B34549"/>
    <w:rsid w:val="46B95A90"/>
    <w:rsid w:val="46BA4959"/>
    <w:rsid w:val="46C31C6E"/>
    <w:rsid w:val="46C73B51"/>
    <w:rsid w:val="46D15EB0"/>
    <w:rsid w:val="46D82400"/>
    <w:rsid w:val="46EF0EC3"/>
    <w:rsid w:val="4710374A"/>
    <w:rsid w:val="4729480B"/>
    <w:rsid w:val="473A2575"/>
    <w:rsid w:val="474B45FC"/>
    <w:rsid w:val="47590C4D"/>
    <w:rsid w:val="4765490F"/>
    <w:rsid w:val="47705BB8"/>
    <w:rsid w:val="47D318F9"/>
    <w:rsid w:val="47E04A28"/>
    <w:rsid w:val="47E744AA"/>
    <w:rsid w:val="47FC77AB"/>
    <w:rsid w:val="480451D0"/>
    <w:rsid w:val="48063D5E"/>
    <w:rsid w:val="48162150"/>
    <w:rsid w:val="48167AE8"/>
    <w:rsid w:val="482A3CF7"/>
    <w:rsid w:val="483738A3"/>
    <w:rsid w:val="48761A95"/>
    <w:rsid w:val="48777F4D"/>
    <w:rsid w:val="488162D3"/>
    <w:rsid w:val="488779FB"/>
    <w:rsid w:val="48887540"/>
    <w:rsid w:val="48A42FAD"/>
    <w:rsid w:val="48D32BDC"/>
    <w:rsid w:val="48E54625"/>
    <w:rsid w:val="48EA66D8"/>
    <w:rsid w:val="48FA6D19"/>
    <w:rsid w:val="4914489A"/>
    <w:rsid w:val="49184DB0"/>
    <w:rsid w:val="491C0184"/>
    <w:rsid w:val="493039E2"/>
    <w:rsid w:val="4947077A"/>
    <w:rsid w:val="494805CB"/>
    <w:rsid w:val="494D6D05"/>
    <w:rsid w:val="49535B70"/>
    <w:rsid w:val="495938AA"/>
    <w:rsid w:val="495B08F6"/>
    <w:rsid w:val="49782884"/>
    <w:rsid w:val="497F0713"/>
    <w:rsid w:val="498A016F"/>
    <w:rsid w:val="49A04CC0"/>
    <w:rsid w:val="49A061BE"/>
    <w:rsid w:val="49A27D5F"/>
    <w:rsid w:val="49A36CE7"/>
    <w:rsid w:val="49A4245E"/>
    <w:rsid w:val="49B1684A"/>
    <w:rsid w:val="49E5749A"/>
    <w:rsid w:val="49F37F0C"/>
    <w:rsid w:val="49FA4639"/>
    <w:rsid w:val="49FE6B2E"/>
    <w:rsid w:val="4A370F44"/>
    <w:rsid w:val="4A772AFC"/>
    <w:rsid w:val="4A834233"/>
    <w:rsid w:val="4B014E39"/>
    <w:rsid w:val="4B04271D"/>
    <w:rsid w:val="4B2A05A0"/>
    <w:rsid w:val="4B3A23F9"/>
    <w:rsid w:val="4B44006C"/>
    <w:rsid w:val="4B4627DA"/>
    <w:rsid w:val="4B716E2D"/>
    <w:rsid w:val="4B863B11"/>
    <w:rsid w:val="4B94369C"/>
    <w:rsid w:val="4B965CB2"/>
    <w:rsid w:val="4BAE5327"/>
    <w:rsid w:val="4BB67896"/>
    <w:rsid w:val="4BD27220"/>
    <w:rsid w:val="4BF2341E"/>
    <w:rsid w:val="4BFA282F"/>
    <w:rsid w:val="4BFB2A5E"/>
    <w:rsid w:val="4BFB556E"/>
    <w:rsid w:val="4C15710C"/>
    <w:rsid w:val="4C1E3C30"/>
    <w:rsid w:val="4C271CF5"/>
    <w:rsid w:val="4C3D6D8F"/>
    <w:rsid w:val="4C51276D"/>
    <w:rsid w:val="4C612351"/>
    <w:rsid w:val="4CA35AB2"/>
    <w:rsid w:val="4CA5064C"/>
    <w:rsid w:val="4CCE2BC8"/>
    <w:rsid w:val="4CCE5C39"/>
    <w:rsid w:val="4CD15548"/>
    <w:rsid w:val="4CD35265"/>
    <w:rsid w:val="4CF15365"/>
    <w:rsid w:val="4D0C12F6"/>
    <w:rsid w:val="4D134C44"/>
    <w:rsid w:val="4D2A6BE7"/>
    <w:rsid w:val="4D4574CF"/>
    <w:rsid w:val="4D494DA1"/>
    <w:rsid w:val="4D4B1038"/>
    <w:rsid w:val="4D4C7C7F"/>
    <w:rsid w:val="4D4D23A2"/>
    <w:rsid w:val="4D5819A6"/>
    <w:rsid w:val="4D637E12"/>
    <w:rsid w:val="4DB4130B"/>
    <w:rsid w:val="4DB50A61"/>
    <w:rsid w:val="4DB528BE"/>
    <w:rsid w:val="4DBA440F"/>
    <w:rsid w:val="4DBF35A7"/>
    <w:rsid w:val="4DD57BC2"/>
    <w:rsid w:val="4DED2BA0"/>
    <w:rsid w:val="4E384E18"/>
    <w:rsid w:val="4E3C59C3"/>
    <w:rsid w:val="4E4A7541"/>
    <w:rsid w:val="4E505B47"/>
    <w:rsid w:val="4E524648"/>
    <w:rsid w:val="4E6A2BCE"/>
    <w:rsid w:val="4E7229C4"/>
    <w:rsid w:val="4E765BA1"/>
    <w:rsid w:val="4E9C79A7"/>
    <w:rsid w:val="4E9D7347"/>
    <w:rsid w:val="4EB42C0C"/>
    <w:rsid w:val="4EC418FE"/>
    <w:rsid w:val="4ED24B8F"/>
    <w:rsid w:val="4EF23C29"/>
    <w:rsid w:val="4EFE38D4"/>
    <w:rsid w:val="4EFE5390"/>
    <w:rsid w:val="4F177F55"/>
    <w:rsid w:val="4F192C84"/>
    <w:rsid w:val="4F1D6A04"/>
    <w:rsid w:val="4F351C75"/>
    <w:rsid w:val="4F371313"/>
    <w:rsid w:val="4F3C40D8"/>
    <w:rsid w:val="4F64497A"/>
    <w:rsid w:val="4F675ED1"/>
    <w:rsid w:val="4FAC1446"/>
    <w:rsid w:val="4FBC4E36"/>
    <w:rsid w:val="4FD318AB"/>
    <w:rsid w:val="4FD87D0C"/>
    <w:rsid w:val="502D2C76"/>
    <w:rsid w:val="504466D4"/>
    <w:rsid w:val="50485D02"/>
    <w:rsid w:val="50593A6B"/>
    <w:rsid w:val="505D33F6"/>
    <w:rsid w:val="506373B6"/>
    <w:rsid w:val="5066262C"/>
    <w:rsid w:val="507A65AB"/>
    <w:rsid w:val="50862061"/>
    <w:rsid w:val="508C2401"/>
    <w:rsid w:val="509C5AEA"/>
    <w:rsid w:val="50AC243E"/>
    <w:rsid w:val="50AD6FAB"/>
    <w:rsid w:val="50E23A41"/>
    <w:rsid w:val="50E96241"/>
    <w:rsid w:val="51095DF3"/>
    <w:rsid w:val="511E4826"/>
    <w:rsid w:val="512548F2"/>
    <w:rsid w:val="512879D2"/>
    <w:rsid w:val="512F31D9"/>
    <w:rsid w:val="513D0E6F"/>
    <w:rsid w:val="514A4F1E"/>
    <w:rsid w:val="514C4457"/>
    <w:rsid w:val="51566FA2"/>
    <w:rsid w:val="517A6384"/>
    <w:rsid w:val="519252C5"/>
    <w:rsid w:val="51A451BA"/>
    <w:rsid w:val="51AF03DA"/>
    <w:rsid w:val="51B05DB2"/>
    <w:rsid w:val="51BF0246"/>
    <w:rsid w:val="51C4517F"/>
    <w:rsid w:val="51C759C9"/>
    <w:rsid w:val="51EB11CD"/>
    <w:rsid w:val="51F8488A"/>
    <w:rsid w:val="52082D3C"/>
    <w:rsid w:val="52222EB5"/>
    <w:rsid w:val="52321763"/>
    <w:rsid w:val="523A1735"/>
    <w:rsid w:val="524A0F73"/>
    <w:rsid w:val="524C41A5"/>
    <w:rsid w:val="52697C55"/>
    <w:rsid w:val="529B31C7"/>
    <w:rsid w:val="52A13B73"/>
    <w:rsid w:val="52A24537"/>
    <w:rsid w:val="52ED6FB1"/>
    <w:rsid w:val="52FB049E"/>
    <w:rsid w:val="52FC6541"/>
    <w:rsid w:val="53016F33"/>
    <w:rsid w:val="53065675"/>
    <w:rsid w:val="533146A8"/>
    <w:rsid w:val="533B3826"/>
    <w:rsid w:val="534A7FE3"/>
    <w:rsid w:val="534F0BAB"/>
    <w:rsid w:val="536F7A4A"/>
    <w:rsid w:val="53A2397B"/>
    <w:rsid w:val="53A771E4"/>
    <w:rsid w:val="53B06C4C"/>
    <w:rsid w:val="53C53E12"/>
    <w:rsid w:val="53C5766A"/>
    <w:rsid w:val="53E421E6"/>
    <w:rsid w:val="53F54A09"/>
    <w:rsid w:val="540061C5"/>
    <w:rsid w:val="54030264"/>
    <w:rsid w:val="540627A3"/>
    <w:rsid w:val="54163097"/>
    <w:rsid w:val="543F11CA"/>
    <w:rsid w:val="544F7544"/>
    <w:rsid w:val="545D3F1C"/>
    <w:rsid w:val="546B4490"/>
    <w:rsid w:val="546C7AF6"/>
    <w:rsid w:val="54753AA5"/>
    <w:rsid w:val="54754BEC"/>
    <w:rsid w:val="54830907"/>
    <w:rsid w:val="54837309"/>
    <w:rsid w:val="54CC31B5"/>
    <w:rsid w:val="54EC025D"/>
    <w:rsid w:val="54F53A05"/>
    <w:rsid w:val="550A2531"/>
    <w:rsid w:val="550C72B7"/>
    <w:rsid w:val="55321795"/>
    <w:rsid w:val="554259E1"/>
    <w:rsid w:val="554B168C"/>
    <w:rsid w:val="55553E18"/>
    <w:rsid w:val="55595E36"/>
    <w:rsid w:val="555F38B9"/>
    <w:rsid w:val="55633C1C"/>
    <w:rsid w:val="556825AC"/>
    <w:rsid w:val="5576055B"/>
    <w:rsid w:val="557E12E2"/>
    <w:rsid w:val="55A501C4"/>
    <w:rsid w:val="55AF7E22"/>
    <w:rsid w:val="55BA66A9"/>
    <w:rsid w:val="55BB0B81"/>
    <w:rsid w:val="55C43A6D"/>
    <w:rsid w:val="55D85898"/>
    <w:rsid w:val="55E87B1A"/>
    <w:rsid w:val="56010B19"/>
    <w:rsid w:val="564505A1"/>
    <w:rsid w:val="564A6B43"/>
    <w:rsid w:val="565C2231"/>
    <w:rsid w:val="565F394E"/>
    <w:rsid w:val="56777FC3"/>
    <w:rsid w:val="568A6C6F"/>
    <w:rsid w:val="56933A4F"/>
    <w:rsid w:val="569B2050"/>
    <w:rsid w:val="56A83D23"/>
    <w:rsid w:val="56C21867"/>
    <w:rsid w:val="57084AE0"/>
    <w:rsid w:val="57164A47"/>
    <w:rsid w:val="571C3D6B"/>
    <w:rsid w:val="571F452A"/>
    <w:rsid w:val="571F7891"/>
    <w:rsid w:val="572343A9"/>
    <w:rsid w:val="572D48DD"/>
    <w:rsid w:val="572D5C52"/>
    <w:rsid w:val="57553846"/>
    <w:rsid w:val="5756180B"/>
    <w:rsid w:val="5762159B"/>
    <w:rsid w:val="577216B2"/>
    <w:rsid w:val="579509C7"/>
    <w:rsid w:val="579D553A"/>
    <w:rsid w:val="57A973C0"/>
    <w:rsid w:val="57AD7AE7"/>
    <w:rsid w:val="57B57363"/>
    <w:rsid w:val="57B62CE2"/>
    <w:rsid w:val="57B92419"/>
    <w:rsid w:val="57BA5086"/>
    <w:rsid w:val="57C10684"/>
    <w:rsid w:val="57C96E3A"/>
    <w:rsid w:val="57CC2F54"/>
    <w:rsid w:val="57CC7219"/>
    <w:rsid w:val="57CF18FE"/>
    <w:rsid w:val="57D369BC"/>
    <w:rsid w:val="57DA7B88"/>
    <w:rsid w:val="57E2382A"/>
    <w:rsid w:val="57E36310"/>
    <w:rsid w:val="57E43CE6"/>
    <w:rsid w:val="58067046"/>
    <w:rsid w:val="580738AF"/>
    <w:rsid w:val="582346FA"/>
    <w:rsid w:val="58277A16"/>
    <w:rsid w:val="58310E71"/>
    <w:rsid w:val="58437985"/>
    <w:rsid w:val="585E590B"/>
    <w:rsid w:val="58B24473"/>
    <w:rsid w:val="58C06DD0"/>
    <w:rsid w:val="58CE6FC1"/>
    <w:rsid w:val="58D13E39"/>
    <w:rsid w:val="58E5035E"/>
    <w:rsid w:val="58FA6008"/>
    <w:rsid w:val="590734FB"/>
    <w:rsid w:val="591907F4"/>
    <w:rsid w:val="59260BAB"/>
    <w:rsid w:val="592F7A5F"/>
    <w:rsid w:val="593836A9"/>
    <w:rsid w:val="594B0F85"/>
    <w:rsid w:val="594F4847"/>
    <w:rsid w:val="59567793"/>
    <w:rsid w:val="595A43BE"/>
    <w:rsid w:val="599B50F5"/>
    <w:rsid w:val="59B14918"/>
    <w:rsid w:val="59C96D08"/>
    <w:rsid w:val="59D61290"/>
    <w:rsid w:val="59DF6694"/>
    <w:rsid w:val="5A0E69B6"/>
    <w:rsid w:val="5A0F163F"/>
    <w:rsid w:val="5A167109"/>
    <w:rsid w:val="5A236E98"/>
    <w:rsid w:val="5A5C23B6"/>
    <w:rsid w:val="5A960290"/>
    <w:rsid w:val="5AAE70AA"/>
    <w:rsid w:val="5ADC2449"/>
    <w:rsid w:val="5AFB40DB"/>
    <w:rsid w:val="5B0A6270"/>
    <w:rsid w:val="5B4A4C11"/>
    <w:rsid w:val="5B4B66A7"/>
    <w:rsid w:val="5B74386F"/>
    <w:rsid w:val="5B881776"/>
    <w:rsid w:val="5B8A5692"/>
    <w:rsid w:val="5B8C30E2"/>
    <w:rsid w:val="5B8F6505"/>
    <w:rsid w:val="5BAD71F7"/>
    <w:rsid w:val="5BB57706"/>
    <w:rsid w:val="5BF46D3E"/>
    <w:rsid w:val="5C012D4D"/>
    <w:rsid w:val="5C2D0EE9"/>
    <w:rsid w:val="5C553C81"/>
    <w:rsid w:val="5C6A19F9"/>
    <w:rsid w:val="5C6B2683"/>
    <w:rsid w:val="5C75274A"/>
    <w:rsid w:val="5C7C6288"/>
    <w:rsid w:val="5C890AEE"/>
    <w:rsid w:val="5C9B365E"/>
    <w:rsid w:val="5CA014D0"/>
    <w:rsid w:val="5CB151DB"/>
    <w:rsid w:val="5CB80C32"/>
    <w:rsid w:val="5CBF734C"/>
    <w:rsid w:val="5CCC1228"/>
    <w:rsid w:val="5CD147E7"/>
    <w:rsid w:val="5CD25402"/>
    <w:rsid w:val="5CE449B3"/>
    <w:rsid w:val="5CE97BA7"/>
    <w:rsid w:val="5CFD7258"/>
    <w:rsid w:val="5D1A4582"/>
    <w:rsid w:val="5D2C7548"/>
    <w:rsid w:val="5D4351CF"/>
    <w:rsid w:val="5DA830AD"/>
    <w:rsid w:val="5DC015C7"/>
    <w:rsid w:val="5DC148FC"/>
    <w:rsid w:val="5DC80482"/>
    <w:rsid w:val="5DD4742E"/>
    <w:rsid w:val="5DE64A71"/>
    <w:rsid w:val="5DE64B7D"/>
    <w:rsid w:val="5E08142B"/>
    <w:rsid w:val="5E0A7679"/>
    <w:rsid w:val="5E253B1C"/>
    <w:rsid w:val="5E254310"/>
    <w:rsid w:val="5E34491B"/>
    <w:rsid w:val="5E5000B4"/>
    <w:rsid w:val="5E52592E"/>
    <w:rsid w:val="5E5D7F21"/>
    <w:rsid w:val="5E714676"/>
    <w:rsid w:val="5E7E6D93"/>
    <w:rsid w:val="5E9E02C7"/>
    <w:rsid w:val="5EA552F2"/>
    <w:rsid w:val="5EBA18C1"/>
    <w:rsid w:val="5EBC0561"/>
    <w:rsid w:val="5EC11B7F"/>
    <w:rsid w:val="5ED0552E"/>
    <w:rsid w:val="5EE43A05"/>
    <w:rsid w:val="5EF4181F"/>
    <w:rsid w:val="5F311F0D"/>
    <w:rsid w:val="5F376D86"/>
    <w:rsid w:val="5F48187B"/>
    <w:rsid w:val="5F571ABE"/>
    <w:rsid w:val="5F7E1A8C"/>
    <w:rsid w:val="5F8B5DFF"/>
    <w:rsid w:val="5F904BC5"/>
    <w:rsid w:val="5FA35296"/>
    <w:rsid w:val="5FA55B60"/>
    <w:rsid w:val="5FAF18FA"/>
    <w:rsid w:val="5FCA2AC0"/>
    <w:rsid w:val="5FCC305F"/>
    <w:rsid w:val="5FE0450C"/>
    <w:rsid w:val="60011A2A"/>
    <w:rsid w:val="60042075"/>
    <w:rsid w:val="602D281F"/>
    <w:rsid w:val="602D3ADF"/>
    <w:rsid w:val="603E2C7E"/>
    <w:rsid w:val="60571300"/>
    <w:rsid w:val="606D72B0"/>
    <w:rsid w:val="6075257A"/>
    <w:rsid w:val="607C7302"/>
    <w:rsid w:val="607D01A8"/>
    <w:rsid w:val="60814B98"/>
    <w:rsid w:val="608647FB"/>
    <w:rsid w:val="60B506D1"/>
    <w:rsid w:val="60BC5C6D"/>
    <w:rsid w:val="60CB69E6"/>
    <w:rsid w:val="60D33784"/>
    <w:rsid w:val="60D57D69"/>
    <w:rsid w:val="60EC35BF"/>
    <w:rsid w:val="60FF065F"/>
    <w:rsid w:val="610120A5"/>
    <w:rsid w:val="61102184"/>
    <w:rsid w:val="61123C94"/>
    <w:rsid w:val="612B4734"/>
    <w:rsid w:val="61711018"/>
    <w:rsid w:val="617F2857"/>
    <w:rsid w:val="61843050"/>
    <w:rsid w:val="61864830"/>
    <w:rsid w:val="61900DCF"/>
    <w:rsid w:val="619A276D"/>
    <w:rsid w:val="61A11B98"/>
    <w:rsid w:val="61AA41D8"/>
    <w:rsid w:val="61AB534D"/>
    <w:rsid w:val="61B4420E"/>
    <w:rsid w:val="61B551C2"/>
    <w:rsid w:val="61BB06B6"/>
    <w:rsid w:val="61C45773"/>
    <w:rsid w:val="61F71336"/>
    <w:rsid w:val="622C3736"/>
    <w:rsid w:val="62314848"/>
    <w:rsid w:val="623E3C23"/>
    <w:rsid w:val="624E31D0"/>
    <w:rsid w:val="62622DFB"/>
    <w:rsid w:val="627363E3"/>
    <w:rsid w:val="62754788"/>
    <w:rsid w:val="627703DF"/>
    <w:rsid w:val="62786AC1"/>
    <w:rsid w:val="62B06379"/>
    <w:rsid w:val="62C06CDE"/>
    <w:rsid w:val="62C14866"/>
    <w:rsid w:val="62C751AC"/>
    <w:rsid w:val="62D548D4"/>
    <w:rsid w:val="62DD052C"/>
    <w:rsid w:val="62E21FE6"/>
    <w:rsid w:val="632D66D7"/>
    <w:rsid w:val="634D2A92"/>
    <w:rsid w:val="635348C2"/>
    <w:rsid w:val="636C18B0"/>
    <w:rsid w:val="637864A7"/>
    <w:rsid w:val="637A5594"/>
    <w:rsid w:val="637F25EE"/>
    <w:rsid w:val="638A4E16"/>
    <w:rsid w:val="63C17E4E"/>
    <w:rsid w:val="63C31359"/>
    <w:rsid w:val="63CE60C7"/>
    <w:rsid w:val="63D211A0"/>
    <w:rsid w:val="63D31079"/>
    <w:rsid w:val="64085FE2"/>
    <w:rsid w:val="640B10C9"/>
    <w:rsid w:val="641205E0"/>
    <w:rsid w:val="641B2B1B"/>
    <w:rsid w:val="64247D10"/>
    <w:rsid w:val="6432186F"/>
    <w:rsid w:val="643423CE"/>
    <w:rsid w:val="64364712"/>
    <w:rsid w:val="64406FC4"/>
    <w:rsid w:val="6445282D"/>
    <w:rsid w:val="644F5CEA"/>
    <w:rsid w:val="645171A5"/>
    <w:rsid w:val="64591E34"/>
    <w:rsid w:val="646E4F44"/>
    <w:rsid w:val="646F086E"/>
    <w:rsid w:val="64915A24"/>
    <w:rsid w:val="64A26B90"/>
    <w:rsid w:val="64AB6568"/>
    <w:rsid w:val="64C30E6C"/>
    <w:rsid w:val="64C33752"/>
    <w:rsid w:val="64D200A7"/>
    <w:rsid w:val="64DB1ED4"/>
    <w:rsid w:val="64DE5BE0"/>
    <w:rsid w:val="64E82BC8"/>
    <w:rsid w:val="65093FB7"/>
    <w:rsid w:val="65183A9D"/>
    <w:rsid w:val="6520139B"/>
    <w:rsid w:val="652354C5"/>
    <w:rsid w:val="6524339F"/>
    <w:rsid w:val="65256C99"/>
    <w:rsid w:val="65355DF9"/>
    <w:rsid w:val="65404DA2"/>
    <w:rsid w:val="65532DA0"/>
    <w:rsid w:val="655D7702"/>
    <w:rsid w:val="65610603"/>
    <w:rsid w:val="656A6EA9"/>
    <w:rsid w:val="657E5DC6"/>
    <w:rsid w:val="65A00B3D"/>
    <w:rsid w:val="65AD581B"/>
    <w:rsid w:val="66061B48"/>
    <w:rsid w:val="662C6A34"/>
    <w:rsid w:val="664277CD"/>
    <w:rsid w:val="66632596"/>
    <w:rsid w:val="6695111E"/>
    <w:rsid w:val="66974E96"/>
    <w:rsid w:val="670F0ED0"/>
    <w:rsid w:val="671543CB"/>
    <w:rsid w:val="671E7669"/>
    <w:rsid w:val="67546F50"/>
    <w:rsid w:val="675B346C"/>
    <w:rsid w:val="676E57FB"/>
    <w:rsid w:val="677C4AF0"/>
    <w:rsid w:val="677C5A1E"/>
    <w:rsid w:val="678C552E"/>
    <w:rsid w:val="67920713"/>
    <w:rsid w:val="67A22C39"/>
    <w:rsid w:val="67A36CA4"/>
    <w:rsid w:val="67B101D9"/>
    <w:rsid w:val="67B32D00"/>
    <w:rsid w:val="67C432B5"/>
    <w:rsid w:val="67C51CD1"/>
    <w:rsid w:val="67CA3576"/>
    <w:rsid w:val="680F708F"/>
    <w:rsid w:val="68245CC5"/>
    <w:rsid w:val="68755B25"/>
    <w:rsid w:val="688431F8"/>
    <w:rsid w:val="689768A9"/>
    <w:rsid w:val="68DA10C7"/>
    <w:rsid w:val="68DE00A5"/>
    <w:rsid w:val="68E414FB"/>
    <w:rsid w:val="69024E7D"/>
    <w:rsid w:val="690422F9"/>
    <w:rsid w:val="691D2949"/>
    <w:rsid w:val="692B3EEB"/>
    <w:rsid w:val="692F4137"/>
    <w:rsid w:val="69511659"/>
    <w:rsid w:val="695F01B3"/>
    <w:rsid w:val="69652819"/>
    <w:rsid w:val="69740E9C"/>
    <w:rsid w:val="697B2A2E"/>
    <w:rsid w:val="698B3B86"/>
    <w:rsid w:val="699464E8"/>
    <w:rsid w:val="6998164F"/>
    <w:rsid w:val="699A7177"/>
    <w:rsid w:val="69A14E6A"/>
    <w:rsid w:val="69AA4EE0"/>
    <w:rsid w:val="69C82FD4"/>
    <w:rsid w:val="69F63CC2"/>
    <w:rsid w:val="69F76F06"/>
    <w:rsid w:val="69F95788"/>
    <w:rsid w:val="6A111A69"/>
    <w:rsid w:val="6A3912BA"/>
    <w:rsid w:val="6A394390"/>
    <w:rsid w:val="6A3B3C33"/>
    <w:rsid w:val="6A3D46F4"/>
    <w:rsid w:val="6A4315BC"/>
    <w:rsid w:val="6A476285"/>
    <w:rsid w:val="6A6A21F1"/>
    <w:rsid w:val="6A9260A0"/>
    <w:rsid w:val="6A937C2D"/>
    <w:rsid w:val="6ABF2745"/>
    <w:rsid w:val="6AC052DF"/>
    <w:rsid w:val="6AC364B9"/>
    <w:rsid w:val="6AE44704"/>
    <w:rsid w:val="6AE54422"/>
    <w:rsid w:val="6AF16CA1"/>
    <w:rsid w:val="6B0A346D"/>
    <w:rsid w:val="6B1C2F58"/>
    <w:rsid w:val="6B2253AA"/>
    <w:rsid w:val="6B286A04"/>
    <w:rsid w:val="6B387157"/>
    <w:rsid w:val="6B465884"/>
    <w:rsid w:val="6B74167C"/>
    <w:rsid w:val="6B8D3D19"/>
    <w:rsid w:val="6B936732"/>
    <w:rsid w:val="6B936945"/>
    <w:rsid w:val="6B96571C"/>
    <w:rsid w:val="6B9F1C3E"/>
    <w:rsid w:val="6BC64C77"/>
    <w:rsid w:val="6BC66E8F"/>
    <w:rsid w:val="6C0F274B"/>
    <w:rsid w:val="6C134FBF"/>
    <w:rsid w:val="6C5F6456"/>
    <w:rsid w:val="6C627CF4"/>
    <w:rsid w:val="6C6A090B"/>
    <w:rsid w:val="6C6D2921"/>
    <w:rsid w:val="6C73344A"/>
    <w:rsid w:val="6C746E94"/>
    <w:rsid w:val="6C7546AC"/>
    <w:rsid w:val="6C8031E6"/>
    <w:rsid w:val="6C8C60E1"/>
    <w:rsid w:val="6C8D4CF2"/>
    <w:rsid w:val="6CBE0C4D"/>
    <w:rsid w:val="6CCB3AEB"/>
    <w:rsid w:val="6CD10828"/>
    <w:rsid w:val="6CFC50C6"/>
    <w:rsid w:val="6D0A63C2"/>
    <w:rsid w:val="6D1024A0"/>
    <w:rsid w:val="6D1A5002"/>
    <w:rsid w:val="6D435C50"/>
    <w:rsid w:val="6D4C602D"/>
    <w:rsid w:val="6D613BD6"/>
    <w:rsid w:val="6D8406BF"/>
    <w:rsid w:val="6D84290A"/>
    <w:rsid w:val="6D8A5D00"/>
    <w:rsid w:val="6D8E6FF3"/>
    <w:rsid w:val="6D943BF5"/>
    <w:rsid w:val="6D9F66CF"/>
    <w:rsid w:val="6DA343EE"/>
    <w:rsid w:val="6DA4704F"/>
    <w:rsid w:val="6DA472EF"/>
    <w:rsid w:val="6DBA33C6"/>
    <w:rsid w:val="6DCC18C9"/>
    <w:rsid w:val="6DDF442E"/>
    <w:rsid w:val="6DE4571A"/>
    <w:rsid w:val="6DF66946"/>
    <w:rsid w:val="6DF91B9E"/>
    <w:rsid w:val="6DFD138C"/>
    <w:rsid w:val="6E071901"/>
    <w:rsid w:val="6E0728D3"/>
    <w:rsid w:val="6E1D791F"/>
    <w:rsid w:val="6E2C6902"/>
    <w:rsid w:val="6E4678CD"/>
    <w:rsid w:val="6E511782"/>
    <w:rsid w:val="6E5813AF"/>
    <w:rsid w:val="6E6E2980"/>
    <w:rsid w:val="6E8F004B"/>
    <w:rsid w:val="6EAC7DB2"/>
    <w:rsid w:val="6EBE1783"/>
    <w:rsid w:val="6ED924EF"/>
    <w:rsid w:val="6EF92F92"/>
    <w:rsid w:val="6F1B634E"/>
    <w:rsid w:val="6F2179F2"/>
    <w:rsid w:val="6F2B2066"/>
    <w:rsid w:val="6F3632F9"/>
    <w:rsid w:val="6F497D22"/>
    <w:rsid w:val="6F50628D"/>
    <w:rsid w:val="6F585DD6"/>
    <w:rsid w:val="6F7B6738"/>
    <w:rsid w:val="6F832748"/>
    <w:rsid w:val="6FC85E76"/>
    <w:rsid w:val="6FD664F7"/>
    <w:rsid w:val="6FD874F0"/>
    <w:rsid w:val="701200B7"/>
    <w:rsid w:val="701B2694"/>
    <w:rsid w:val="70273C3A"/>
    <w:rsid w:val="70333E81"/>
    <w:rsid w:val="70334479"/>
    <w:rsid w:val="706031F7"/>
    <w:rsid w:val="70671D7D"/>
    <w:rsid w:val="706A5BC3"/>
    <w:rsid w:val="707D6FDF"/>
    <w:rsid w:val="70824DD6"/>
    <w:rsid w:val="709065AC"/>
    <w:rsid w:val="70930914"/>
    <w:rsid w:val="70931E99"/>
    <w:rsid w:val="70A35B88"/>
    <w:rsid w:val="70B91B22"/>
    <w:rsid w:val="70DA7C73"/>
    <w:rsid w:val="70DF1913"/>
    <w:rsid w:val="70DF571C"/>
    <w:rsid w:val="70E21403"/>
    <w:rsid w:val="70EC49AE"/>
    <w:rsid w:val="70F21646"/>
    <w:rsid w:val="70FA17E5"/>
    <w:rsid w:val="7102107D"/>
    <w:rsid w:val="71241A1C"/>
    <w:rsid w:val="71466F47"/>
    <w:rsid w:val="71650526"/>
    <w:rsid w:val="716D5171"/>
    <w:rsid w:val="716F2C97"/>
    <w:rsid w:val="71785BF6"/>
    <w:rsid w:val="718017AD"/>
    <w:rsid w:val="71954192"/>
    <w:rsid w:val="71954FDA"/>
    <w:rsid w:val="71A63DB4"/>
    <w:rsid w:val="71A861A9"/>
    <w:rsid w:val="71AD7C63"/>
    <w:rsid w:val="71B22C2F"/>
    <w:rsid w:val="71CE7119"/>
    <w:rsid w:val="71DA1B12"/>
    <w:rsid w:val="71EC253A"/>
    <w:rsid w:val="7212699F"/>
    <w:rsid w:val="72181065"/>
    <w:rsid w:val="7225308B"/>
    <w:rsid w:val="7237359E"/>
    <w:rsid w:val="724C0C12"/>
    <w:rsid w:val="72526028"/>
    <w:rsid w:val="72555A55"/>
    <w:rsid w:val="72586C7B"/>
    <w:rsid w:val="72646574"/>
    <w:rsid w:val="72797CB1"/>
    <w:rsid w:val="72982221"/>
    <w:rsid w:val="72AA4D7A"/>
    <w:rsid w:val="72BD03A7"/>
    <w:rsid w:val="72C14665"/>
    <w:rsid w:val="72D65B7D"/>
    <w:rsid w:val="72FC49FE"/>
    <w:rsid w:val="73086358"/>
    <w:rsid w:val="730D6C0C"/>
    <w:rsid w:val="732D4A53"/>
    <w:rsid w:val="7330362D"/>
    <w:rsid w:val="733851B2"/>
    <w:rsid w:val="733B500C"/>
    <w:rsid w:val="734F204B"/>
    <w:rsid w:val="73770529"/>
    <w:rsid w:val="73800B33"/>
    <w:rsid w:val="73804C5E"/>
    <w:rsid w:val="7381115D"/>
    <w:rsid w:val="738B680C"/>
    <w:rsid w:val="73A57998"/>
    <w:rsid w:val="73C03C7E"/>
    <w:rsid w:val="73C97E80"/>
    <w:rsid w:val="73D81760"/>
    <w:rsid w:val="73E111AC"/>
    <w:rsid w:val="74086509"/>
    <w:rsid w:val="740F250F"/>
    <w:rsid w:val="74323B10"/>
    <w:rsid w:val="7439758C"/>
    <w:rsid w:val="74406B6D"/>
    <w:rsid w:val="74640AAD"/>
    <w:rsid w:val="747E0B22"/>
    <w:rsid w:val="74891470"/>
    <w:rsid w:val="74934EEE"/>
    <w:rsid w:val="74BD3280"/>
    <w:rsid w:val="74FE7006"/>
    <w:rsid w:val="75196DE5"/>
    <w:rsid w:val="7521181E"/>
    <w:rsid w:val="756264EB"/>
    <w:rsid w:val="756579A3"/>
    <w:rsid w:val="758331B5"/>
    <w:rsid w:val="75871421"/>
    <w:rsid w:val="758D7B90"/>
    <w:rsid w:val="758E41ED"/>
    <w:rsid w:val="75A35ED5"/>
    <w:rsid w:val="75A52DA7"/>
    <w:rsid w:val="75BB4E6B"/>
    <w:rsid w:val="75D14529"/>
    <w:rsid w:val="75D719B2"/>
    <w:rsid w:val="75D752AF"/>
    <w:rsid w:val="75DA62B7"/>
    <w:rsid w:val="75E36C9A"/>
    <w:rsid w:val="760B4F58"/>
    <w:rsid w:val="76127425"/>
    <w:rsid w:val="76161FE7"/>
    <w:rsid w:val="7616399E"/>
    <w:rsid w:val="76177D7F"/>
    <w:rsid w:val="76481D09"/>
    <w:rsid w:val="765A4445"/>
    <w:rsid w:val="76665235"/>
    <w:rsid w:val="769C4061"/>
    <w:rsid w:val="769F4581"/>
    <w:rsid w:val="76A66638"/>
    <w:rsid w:val="76AB2C13"/>
    <w:rsid w:val="76B04AD2"/>
    <w:rsid w:val="76B1227C"/>
    <w:rsid w:val="76BF2EA4"/>
    <w:rsid w:val="76DA7E70"/>
    <w:rsid w:val="76FA4CC1"/>
    <w:rsid w:val="770B16B4"/>
    <w:rsid w:val="770F092C"/>
    <w:rsid w:val="771A35DE"/>
    <w:rsid w:val="771D68DA"/>
    <w:rsid w:val="77215189"/>
    <w:rsid w:val="77381D7D"/>
    <w:rsid w:val="77414905"/>
    <w:rsid w:val="774310DC"/>
    <w:rsid w:val="77495D38"/>
    <w:rsid w:val="776369E5"/>
    <w:rsid w:val="777165EE"/>
    <w:rsid w:val="77B5498B"/>
    <w:rsid w:val="77C3048F"/>
    <w:rsid w:val="77CC3857"/>
    <w:rsid w:val="77CE6299"/>
    <w:rsid w:val="77E617D9"/>
    <w:rsid w:val="781420EA"/>
    <w:rsid w:val="78225ACD"/>
    <w:rsid w:val="782B3690"/>
    <w:rsid w:val="78342545"/>
    <w:rsid w:val="784A1D68"/>
    <w:rsid w:val="785E4EE7"/>
    <w:rsid w:val="786C3FC5"/>
    <w:rsid w:val="78B74E51"/>
    <w:rsid w:val="78DA57B9"/>
    <w:rsid w:val="79241281"/>
    <w:rsid w:val="7925066A"/>
    <w:rsid w:val="792C0369"/>
    <w:rsid w:val="793547C6"/>
    <w:rsid w:val="79441595"/>
    <w:rsid w:val="794D6390"/>
    <w:rsid w:val="79542A76"/>
    <w:rsid w:val="79622AB2"/>
    <w:rsid w:val="796D19BF"/>
    <w:rsid w:val="79842B92"/>
    <w:rsid w:val="79981665"/>
    <w:rsid w:val="79B02BFF"/>
    <w:rsid w:val="79B61120"/>
    <w:rsid w:val="79BB3FE5"/>
    <w:rsid w:val="79C30024"/>
    <w:rsid w:val="79D51B05"/>
    <w:rsid w:val="79E87A8A"/>
    <w:rsid w:val="79EB1329"/>
    <w:rsid w:val="7A0615F6"/>
    <w:rsid w:val="7A16135A"/>
    <w:rsid w:val="7A167146"/>
    <w:rsid w:val="7A187C44"/>
    <w:rsid w:val="7A1C2659"/>
    <w:rsid w:val="7A323B65"/>
    <w:rsid w:val="7A481DF0"/>
    <w:rsid w:val="7A5616AF"/>
    <w:rsid w:val="7A6835EA"/>
    <w:rsid w:val="7A7728CB"/>
    <w:rsid w:val="7A8111B2"/>
    <w:rsid w:val="7A84375F"/>
    <w:rsid w:val="7A953818"/>
    <w:rsid w:val="7A957049"/>
    <w:rsid w:val="7A957BAA"/>
    <w:rsid w:val="7AA9197D"/>
    <w:rsid w:val="7AB14634"/>
    <w:rsid w:val="7AB61937"/>
    <w:rsid w:val="7ACF6AF1"/>
    <w:rsid w:val="7AE704B1"/>
    <w:rsid w:val="7AEB45F7"/>
    <w:rsid w:val="7AFD574C"/>
    <w:rsid w:val="7B00756F"/>
    <w:rsid w:val="7B205CC3"/>
    <w:rsid w:val="7B4B600C"/>
    <w:rsid w:val="7B4E115C"/>
    <w:rsid w:val="7B58185E"/>
    <w:rsid w:val="7B6B0973"/>
    <w:rsid w:val="7B6D7075"/>
    <w:rsid w:val="7B832B77"/>
    <w:rsid w:val="7B9A08EC"/>
    <w:rsid w:val="7BA774D1"/>
    <w:rsid w:val="7BBA497F"/>
    <w:rsid w:val="7BBD74D2"/>
    <w:rsid w:val="7BCB1412"/>
    <w:rsid w:val="7BED2FF3"/>
    <w:rsid w:val="7BEF49C3"/>
    <w:rsid w:val="7C1879B2"/>
    <w:rsid w:val="7C365845"/>
    <w:rsid w:val="7C60493E"/>
    <w:rsid w:val="7C7D3800"/>
    <w:rsid w:val="7C7F7D49"/>
    <w:rsid w:val="7CAE09CB"/>
    <w:rsid w:val="7CB8291D"/>
    <w:rsid w:val="7CD03434"/>
    <w:rsid w:val="7CD07BCF"/>
    <w:rsid w:val="7CD47EDB"/>
    <w:rsid w:val="7D086B79"/>
    <w:rsid w:val="7D145441"/>
    <w:rsid w:val="7D175464"/>
    <w:rsid w:val="7D300BC9"/>
    <w:rsid w:val="7D4C2883"/>
    <w:rsid w:val="7D54159C"/>
    <w:rsid w:val="7D5B4A17"/>
    <w:rsid w:val="7D5E440D"/>
    <w:rsid w:val="7D66553F"/>
    <w:rsid w:val="7D796C4C"/>
    <w:rsid w:val="7D8362EE"/>
    <w:rsid w:val="7D882FD3"/>
    <w:rsid w:val="7D8B7BCC"/>
    <w:rsid w:val="7DC10E09"/>
    <w:rsid w:val="7DCB6E8A"/>
    <w:rsid w:val="7DE20FA2"/>
    <w:rsid w:val="7DFE03FA"/>
    <w:rsid w:val="7E105802"/>
    <w:rsid w:val="7E1F77F3"/>
    <w:rsid w:val="7E4F632A"/>
    <w:rsid w:val="7E63122D"/>
    <w:rsid w:val="7E686E19"/>
    <w:rsid w:val="7E706E61"/>
    <w:rsid w:val="7E737A61"/>
    <w:rsid w:val="7E7D54BB"/>
    <w:rsid w:val="7E896F3F"/>
    <w:rsid w:val="7E8A476F"/>
    <w:rsid w:val="7EAC7030"/>
    <w:rsid w:val="7EBB42CC"/>
    <w:rsid w:val="7EBE55CA"/>
    <w:rsid w:val="7ECE0404"/>
    <w:rsid w:val="7EF56987"/>
    <w:rsid w:val="7EFE4F4F"/>
    <w:rsid w:val="7F0C19DE"/>
    <w:rsid w:val="7F1447AA"/>
    <w:rsid w:val="7F343527"/>
    <w:rsid w:val="7F431B5D"/>
    <w:rsid w:val="7F6E0A32"/>
    <w:rsid w:val="7F7B6BEB"/>
    <w:rsid w:val="7FA14E86"/>
    <w:rsid w:val="7FBB179D"/>
    <w:rsid w:val="7FC306CA"/>
    <w:rsid w:val="7FD1331A"/>
    <w:rsid w:val="7FD9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
    <w:autoRedefine/>
    <w:qFormat/>
    <w:uiPriority w:val="0"/>
    <w:pPr>
      <w:keepNext/>
      <w:keepLines/>
      <w:spacing w:line="578" w:lineRule="auto"/>
      <w:outlineLvl w:val="0"/>
    </w:pPr>
    <w:rPr>
      <w:b/>
      <w:bCs/>
      <w:kern w:val="44"/>
      <w:sz w:val="44"/>
      <w:szCs w:val="44"/>
    </w:rPr>
  </w:style>
  <w:style w:type="paragraph" w:styleId="4">
    <w:name w:val="heading 2"/>
    <w:basedOn w:val="1"/>
    <w:next w:val="1"/>
    <w:link w:val="56"/>
    <w:autoRedefine/>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90"/>
    <w:autoRedefine/>
    <w:qFormat/>
    <w:uiPriority w:val="0"/>
    <w:pPr>
      <w:keepNext/>
      <w:keepLines/>
      <w:spacing w:line="416" w:lineRule="auto"/>
      <w:outlineLvl w:val="2"/>
    </w:pPr>
    <w:rPr>
      <w:b/>
      <w:bCs/>
      <w:sz w:val="32"/>
      <w:szCs w:val="32"/>
    </w:rPr>
  </w:style>
  <w:style w:type="paragraph" w:styleId="2">
    <w:name w:val="heading 4"/>
    <w:basedOn w:val="1"/>
    <w:next w:val="1"/>
    <w:link w:val="97"/>
    <w:autoRedefine/>
    <w:qFormat/>
    <w:uiPriority w:val="0"/>
    <w:pPr>
      <w:keepNext/>
      <w:keepLines/>
      <w:spacing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line="372" w:lineRule="auto"/>
      <w:outlineLvl w:val="4"/>
    </w:pPr>
    <w:rPr>
      <w:b/>
      <w:sz w:val="28"/>
    </w:rPr>
  </w:style>
  <w:style w:type="paragraph" w:styleId="7">
    <w:name w:val="heading 6"/>
    <w:basedOn w:val="1"/>
    <w:next w:val="1"/>
    <w:autoRedefine/>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8">
    <w:name w:val="heading 8"/>
    <w:basedOn w:val="1"/>
    <w:next w:val="1"/>
    <w:autoRedefine/>
    <w:qFormat/>
    <w:uiPriority w:val="0"/>
    <w:pPr>
      <w:keepNext/>
      <w:keepLines/>
      <w:numPr>
        <w:ilvl w:val="7"/>
        <w:numId w:val="1"/>
      </w:numPr>
      <w:spacing w:line="312" w:lineRule="auto"/>
      <w:outlineLvl w:val="7"/>
    </w:pPr>
    <w:rPr>
      <w:rFonts w:ascii="Arial" w:hAnsi="Arial" w:eastAsia="黑体"/>
      <w:kern w:val="0"/>
      <w:sz w:val="24"/>
      <w:szCs w:val="20"/>
    </w:rPr>
  </w:style>
  <w:style w:type="paragraph" w:styleId="9">
    <w:name w:val="heading 9"/>
    <w:basedOn w:val="1"/>
    <w:next w:val="1"/>
    <w:autoRedefine/>
    <w:qFormat/>
    <w:uiPriority w:val="0"/>
    <w:pPr>
      <w:ind w:left="438"/>
      <w:outlineLvl w:val="8"/>
    </w:pPr>
    <w:rPr>
      <w:rFonts w:ascii="Noto Sans Mono CJK JP Regular" w:hAnsi="Noto Sans Mono CJK JP Regular" w:eastAsia="Noto Sans Mono CJK JP Regular" w:cs="Noto Sans Mono CJK JP Regular"/>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autoRedefine/>
    <w:qFormat/>
    <w:uiPriority w:val="39"/>
    <w:pPr>
      <w:ind w:left="2520" w:leftChars="1200"/>
    </w:pPr>
    <w:rPr>
      <w:rFonts w:ascii="Calibri" w:hAnsi="Calibri"/>
      <w:szCs w:val="22"/>
    </w:rPr>
  </w:style>
  <w:style w:type="paragraph" w:styleId="11">
    <w:name w:val="Normal Indent"/>
    <w:basedOn w:val="1"/>
    <w:autoRedefine/>
    <w:qFormat/>
    <w:uiPriority w:val="0"/>
    <w:pPr>
      <w:ind w:firstLine="420" w:firstLineChars="200"/>
    </w:pPr>
  </w:style>
  <w:style w:type="paragraph" w:styleId="12">
    <w:name w:val="List Bullet"/>
    <w:basedOn w:val="1"/>
    <w:autoRedefine/>
    <w:qFormat/>
    <w:uiPriority w:val="0"/>
    <w:pPr>
      <w:numPr>
        <w:ilvl w:val="0"/>
        <w:numId w:val="2"/>
      </w:numPr>
      <w:tabs>
        <w:tab w:val="left" w:pos="360"/>
      </w:tabs>
    </w:pPr>
  </w:style>
  <w:style w:type="paragraph" w:styleId="13">
    <w:name w:val="Document Map"/>
    <w:basedOn w:val="1"/>
    <w:autoRedefine/>
    <w:qFormat/>
    <w:uiPriority w:val="0"/>
    <w:pPr>
      <w:shd w:val="clear" w:color="auto" w:fill="000080"/>
    </w:pPr>
  </w:style>
  <w:style w:type="paragraph" w:styleId="14">
    <w:name w:val="annotation text"/>
    <w:basedOn w:val="1"/>
    <w:link w:val="91"/>
    <w:autoRedefine/>
    <w:qFormat/>
    <w:uiPriority w:val="0"/>
    <w:pPr>
      <w:jc w:val="left"/>
    </w:pPr>
  </w:style>
  <w:style w:type="paragraph" w:styleId="15">
    <w:name w:val="Body Text 3"/>
    <w:basedOn w:val="1"/>
    <w:link w:val="92"/>
    <w:autoRedefine/>
    <w:qFormat/>
    <w:uiPriority w:val="0"/>
    <w:rPr>
      <w:rFonts w:ascii="宋体"/>
      <w:sz w:val="24"/>
    </w:rPr>
  </w:style>
  <w:style w:type="paragraph" w:styleId="16">
    <w:name w:val="Body Text"/>
    <w:basedOn w:val="1"/>
    <w:link w:val="94"/>
    <w:autoRedefine/>
    <w:qFormat/>
    <w:uiPriority w:val="0"/>
  </w:style>
  <w:style w:type="paragraph" w:styleId="17">
    <w:name w:val="Body Text Indent"/>
    <w:basedOn w:val="1"/>
    <w:autoRedefine/>
    <w:qFormat/>
    <w:uiPriority w:val="0"/>
    <w:pPr>
      <w:adjustRightInd w:val="0"/>
      <w:spacing w:after="120" w:line="420" w:lineRule="atLeast"/>
      <w:ind w:left="420" w:firstLine="454"/>
    </w:pPr>
    <w:rPr>
      <w:kern w:val="0"/>
      <w:szCs w:val="20"/>
    </w:rPr>
  </w:style>
  <w:style w:type="paragraph" w:styleId="18">
    <w:name w:val="index 4"/>
    <w:basedOn w:val="1"/>
    <w:next w:val="1"/>
    <w:autoRedefine/>
    <w:qFormat/>
    <w:uiPriority w:val="0"/>
    <w:pPr>
      <w:ind w:left="600" w:leftChars="600"/>
    </w:pPr>
  </w:style>
  <w:style w:type="paragraph" w:styleId="19">
    <w:name w:val="toc 5"/>
    <w:basedOn w:val="1"/>
    <w:next w:val="1"/>
    <w:link w:val="87"/>
    <w:autoRedefine/>
    <w:qFormat/>
    <w:uiPriority w:val="39"/>
    <w:pPr>
      <w:ind w:left="1680" w:leftChars="800"/>
    </w:pPr>
    <w:rPr>
      <w:kern w:val="0"/>
      <w:sz w:val="20"/>
      <w:szCs w:val="22"/>
    </w:rPr>
  </w:style>
  <w:style w:type="paragraph" w:styleId="20">
    <w:name w:val="toc 3"/>
    <w:basedOn w:val="1"/>
    <w:next w:val="1"/>
    <w:autoRedefine/>
    <w:qFormat/>
    <w:uiPriority w:val="39"/>
    <w:pPr>
      <w:ind w:left="840" w:leftChars="400"/>
    </w:pPr>
  </w:style>
  <w:style w:type="paragraph" w:styleId="21">
    <w:name w:val="Plain Text"/>
    <w:basedOn w:val="1"/>
    <w:autoRedefine/>
    <w:qFormat/>
    <w:uiPriority w:val="0"/>
    <w:rPr>
      <w:rFonts w:ascii="宋体" w:hAnsi="Courier New"/>
      <w:szCs w:val="20"/>
    </w:rPr>
  </w:style>
  <w:style w:type="paragraph" w:styleId="22">
    <w:name w:val="toc 8"/>
    <w:basedOn w:val="1"/>
    <w:next w:val="1"/>
    <w:autoRedefine/>
    <w:qFormat/>
    <w:uiPriority w:val="39"/>
    <w:pPr>
      <w:ind w:left="2940" w:leftChars="1400"/>
    </w:pPr>
    <w:rPr>
      <w:rFonts w:ascii="Calibri" w:hAnsi="Calibri"/>
      <w:szCs w:val="22"/>
    </w:rPr>
  </w:style>
  <w:style w:type="paragraph" w:styleId="23">
    <w:name w:val="index 3"/>
    <w:basedOn w:val="1"/>
    <w:next w:val="1"/>
    <w:autoRedefine/>
    <w:qFormat/>
    <w:uiPriority w:val="0"/>
    <w:pPr>
      <w:ind w:left="400" w:leftChars="400"/>
    </w:pPr>
  </w:style>
  <w:style w:type="paragraph" w:styleId="24">
    <w:name w:val="Date"/>
    <w:basedOn w:val="1"/>
    <w:next w:val="1"/>
    <w:autoRedefine/>
    <w:qFormat/>
    <w:uiPriority w:val="0"/>
    <w:pPr>
      <w:ind w:left="100" w:leftChars="2500"/>
    </w:pPr>
  </w:style>
  <w:style w:type="paragraph" w:styleId="25">
    <w:name w:val="endnote text"/>
    <w:basedOn w:val="1"/>
    <w:autoRedefine/>
    <w:qFormat/>
    <w:uiPriority w:val="0"/>
    <w:pPr>
      <w:snapToGrid w:val="0"/>
      <w:jc w:val="left"/>
    </w:pPr>
  </w:style>
  <w:style w:type="paragraph" w:styleId="26">
    <w:name w:val="Balloon Text"/>
    <w:basedOn w:val="1"/>
    <w:autoRedefine/>
    <w:qFormat/>
    <w:uiPriority w:val="0"/>
    <w:rPr>
      <w:sz w:val="18"/>
      <w:szCs w:val="18"/>
    </w:rPr>
  </w:style>
  <w:style w:type="paragraph" w:styleId="27">
    <w:name w:val="footer"/>
    <w:basedOn w:val="1"/>
    <w:link w:val="99"/>
    <w:autoRedefine/>
    <w:qFormat/>
    <w:uiPriority w:val="0"/>
    <w:pPr>
      <w:tabs>
        <w:tab w:val="center" w:pos="4153"/>
        <w:tab w:val="right" w:pos="8306"/>
      </w:tabs>
      <w:snapToGrid w:val="0"/>
      <w:jc w:val="left"/>
    </w:pPr>
    <w:rPr>
      <w:sz w:val="18"/>
      <w:szCs w:val="18"/>
    </w:rPr>
  </w:style>
  <w:style w:type="paragraph" w:styleId="2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style>
  <w:style w:type="paragraph" w:styleId="30">
    <w:name w:val="toc 4"/>
    <w:basedOn w:val="1"/>
    <w:next w:val="1"/>
    <w:autoRedefine/>
    <w:qFormat/>
    <w:uiPriority w:val="39"/>
    <w:pPr>
      <w:ind w:left="1260" w:leftChars="600"/>
    </w:pPr>
    <w:rPr>
      <w:rFonts w:ascii="Calibri" w:hAnsi="Calibri"/>
      <w:szCs w:val="22"/>
    </w:rPr>
  </w:style>
  <w:style w:type="paragraph" w:styleId="31">
    <w:name w:val="Subtitle"/>
    <w:basedOn w:val="1"/>
    <w:link w:val="88"/>
    <w:autoRedefine/>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98"/>
    <w:autoRedefine/>
    <w:qFormat/>
    <w:uiPriority w:val="0"/>
    <w:pPr>
      <w:snapToGrid w:val="0"/>
      <w:jc w:val="left"/>
    </w:pPr>
    <w:rPr>
      <w:sz w:val="18"/>
      <w:szCs w:val="18"/>
    </w:rPr>
  </w:style>
  <w:style w:type="paragraph" w:styleId="33">
    <w:name w:val="toc 6"/>
    <w:basedOn w:val="1"/>
    <w:next w:val="1"/>
    <w:autoRedefine/>
    <w:qFormat/>
    <w:uiPriority w:val="39"/>
    <w:pPr>
      <w:ind w:left="2100" w:leftChars="1000"/>
    </w:pPr>
    <w:rPr>
      <w:rFonts w:ascii="Calibri" w:hAnsi="Calibri"/>
      <w:szCs w:val="22"/>
    </w:rPr>
  </w:style>
  <w:style w:type="paragraph" w:styleId="34">
    <w:name w:val="toc 2"/>
    <w:basedOn w:val="1"/>
    <w:next w:val="1"/>
    <w:autoRedefine/>
    <w:qFormat/>
    <w:uiPriority w:val="39"/>
    <w:pPr>
      <w:ind w:left="420" w:leftChars="200"/>
    </w:pPr>
  </w:style>
  <w:style w:type="paragraph" w:styleId="35">
    <w:name w:val="toc 9"/>
    <w:basedOn w:val="1"/>
    <w:next w:val="1"/>
    <w:autoRedefine/>
    <w:qFormat/>
    <w:uiPriority w:val="39"/>
    <w:pPr>
      <w:ind w:left="3360" w:leftChars="1600"/>
    </w:pPr>
    <w:rPr>
      <w:rFonts w:ascii="Calibri" w:hAnsi="Calibri"/>
      <w:szCs w:val="22"/>
    </w:rPr>
  </w:style>
  <w:style w:type="paragraph" w:styleId="36">
    <w:name w:val="Body Text 2"/>
    <w:basedOn w:val="1"/>
    <w:next w:val="16"/>
    <w:autoRedefine/>
    <w:qFormat/>
    <w:uiPriority w:val="0"/>
    <w:pPr>
      <w:spacing w:line="500" w:lineRule="exact"/>
    </w:pPr>
  </w:style>
  <w:style w:type="paragraph" w:styleId="37">
    <w:name w:val="Normal (Web)"/>
    <w:basedOn w:val="1"/>
    <w:autoRedefine/>
    <w:qFormat/>
    <w:uiPriority w:val="0"/>
    <w:rPr>
      <w:sz w:val="24"/>
    </w:rPr>
  </w:style>
  <w:style w:type="paragraph" w:styleId="38">
    <w:name w:val="index 1"/>
    <w:basedOn w:val="1"/>
    <w:next w:val="1"/>
    <w:autoRedefine/>
    <w:qFormat/>
    <w:uiPriority w:val="0"/>
  </w:style>
  <w:style w:type="paragraph" w:styleId="39">
    <w:name w:val="index 2"/>
    <w:basedOn w:val="1"/>
    <w:next w:val="1"/>
    <w:autoRedefine/>
    <w:qFormat/>
    <w:uiPriority w:val="0"/>
    <w:pPr>
      <w:ind w:left="200" w:leftChars="200"/>
    </w:pPr>
  </w:style>
  <w:style w:type="paragraph" w:styleId="40">
    <w:name w:val="Title"/>
    <w:basedOn w:val="1"/>
    <w:autoRedefine/>
    <w:qFormat/>
    <w:uiPriority w:val="0"/>
    <w:pPr>
      <w:adjustRightInd w:val="0"/>
      <w:spacing w:line="420" w:lineRule="atLeast"/>
      <w:jc w:val="center"/>
      <w:outlineLvl w:val="0"/>
    </w:pPr>
    <w:rPr>
      <w:rFonts w:ascii="Arial" w:hAnsi="Arial"/>
      <w:b/>
      <w:kern w:val="0"/>
      <w:sz w:val="32"/>
      <w:szCs w:val="20"/>
    </w:rPr>
  </w:style>
  <w:style w:type="paragraph" w:styleId="41">
    <w:name w:val="annotation subject"/>
    <w:basedOn w:val="14"/>
    <w:next w:val="14"/>
    <w:link w:val="96"/>
    <w:autoRedefine/>
    <w:qFormat/>
    <w:uiPriority w:val="0"/>
    <w:rPr>
      <w:b/>
      <w:bCs/>
    </w:rPr>
  </w:style>
  <w:style w:type="paragraph" w:styleId="42">
    <w:name w:val="Body Text First Indent 2"/>
    <w:basedOn w:val="17"/>
    <w:autoRedefine/>
    <w:qFormat/>
    <w:uiPriority w:val="0"/>
    <w:pPr>
      <w:ind w:left="0" w:firstLine="960" w:firstLineChars="200"/>
    </w:pPr>
    <w:rPr>
      <w:sz w:val="24"/>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autoRedefine/>
    <w:qFormat/>
    <w:uiPriority w:val="22"/>
    <w:rPr>
      <w:b/>
    </w:rPr>
  </w:style>
  <w:style w:type="character" w:styleId="47">
    <w:name w:val="endnote reference"/>
    <w:basedOn w:val="45"/>
    <w:autoRedefine/>
    <w:qFormat/>
    <w:uiPriority w:val="0"/>
    <w:rPr>
      <w:vertAlign w:val="superscript"/>
    </w:rPr>
  </w:style>
  <w:style w:type="character" w:styleId="48">
    <w:name w:val="page number"/>
    <w:basedOn w:val="45"/>
    <w:autoRedefine/>
    <w:qFormat/>
    <w:uiPriority w:val="0"/>
  </w:style>
  <w:style w:type="character" w:styleId="49">
    <w:name w:val="FollowedHyperlink"/>
    <w:basedOn w:val="45"/>
    <w:autoRedefine/>
    <w:qFormat/>
    <w:uiPriority w:val="0"/>
    <w:rPr>
      <w:color w:val="333333"/>
      <w:sz w:val="18"/>
      <w:szCs w:val="18"/>
      <w:u w:val="single"/>
    </w:rPr>
  </w:style>
  <w:style w:type="character" w:styleId="50">
    <w:name w:val="Hyperlink"/>
    <w:basedOn w:val="45"/>
    <w:autoRedefine/>
    <w:qFormat/>
    <w:uiPriority w:val="99"/>
    <w:rPr>
      <w:color w:val="333333"/>
      <w:sz w:val="18"/>
      <w:szCs w:val="18"/>
      <w:u w:val="single"/>
    </w:rPr>
  </w:style>
  <w:style w:type="character" w:styleId="51">
    <w:name w:val="annotation reference"/>
    <w:basedOn w:val="45"/>
    <w:autoRedefine/>
    <w:qFormat/>
    <w:uiPriority w:val="0"/>
    <w:rPr>
      <w:sz w:val="21"/>
      <w:szCs w:val="21"/>
    </w:rPr>
  </w:style>
  <w:style w:type="character" w:styleId="52">
    <w:name w:val="footnote reference"/>
    <w:basedOn w:val="45"/>
    <w:autoRedefine/>
    <w:qFormat/>
    <w:uiPriority w:val="0"/>
    <w:rPr>
      <w:vertAlign w:val="superscript"/>
    </w:rPr>
  </w:style>
  <w:style w:type="paragraph" w:customStyle="1" w:styleId="53">
    <w:name w:val="样式 宋体 行距: 1.5 倍行距"/>
    <w:basedOn w:val="54"/>
    <w:next w:val="1"/>
    <w:autoRedefine/>
    <w:qFormat/>
    <w:uiPriority w:val="0"/>
    <w:pPr>
      <w:jc w:val="center"/>
    </w:pPr>
    <w:rPr>
      <w:b/>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3"/>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正文正"/>
    <w:basedOn w:val="1"/>
    <w:autoRedefine/>
    <w:qFormat/>
    <w:uiPriority w:val="99"/>
    <w:pPr>
      <w:spacing w:line="560" w:lineRule="exact"/>
      <w:ind w:firstLine="561"/>
    </w:pPr>
    <w:rPr>
      <w:rFonts w:ascii="Calibri" w:hAnsi="Calibri" w:cs="Calibri"/>
      <w:sz w:val="28"/>
      <w:szCs w:val="28"/>
    </w:rPr>
  </w:style>
  <w:style w:type="character" w:customStyle="1" w:styleId="56">
    <w:name w:val="标题 2 Char"/>
    <w:basedOn w:val="45"/>
    <w:link w:val="4"/>
    <w:autoRedefine/>
    <w:qFormat/>
    <w:uiPriority w:val="0"/>
    <w:rPr>
      <w:rFonts w:ascii="Arial" w:hAnsi="Arial" w:eastAsia="黑体"/>
      <w:b/>
      <w:bCs/>
      <w:kern w:val="2"/>
      <w:sz w:val="32"/>
      <w:szCs w:val="32"/>
      <w:lang w:val="en-US" w:eastAsia="zh-CN" w:bidi="ar-SA"/>
    </w:rPr>
  </w:style>
  <w:style w:type="paragraph" w:customStyle="1" w:styleId="57">
    <w:name w:val="表格内容"/>
    <w:basedOn w:val="58"/>
    <w:autoRedefine/>
    <w:qFormat/>
    <w:uiPriority w:val="0"/>
    <w:pPr>
      <w:ind w:firstLine="0" w:firstLineChars="0"/>
      <w:jc w:val="center"/>
    </w:pPr>
  </w:style>
  <w:style w:type="paragraph" w:customStyle="1" w:styleId="58">
    <w:name w:val="招标正文"/>
    <w:basedOn w:val="1"/>
    <w:autoRedefine/>
    <w:qFormat/>
    <w:uiPriority w:val="0"/>
    <w:pPr>
      <w:autoSpaceDE w:val="0"/>
      <w:autoSpaceDN w:val="0"/>
      <w:adjustRightInd w:val="0"/>
      <w:ind w:firstLine="480" w:firstLineChars="200"/>
    </w:pPr>
    <w:rPr>
      <w:rFonts w:cs="微软雅黑"/>
      <w:kern w:val="0"/>
      <w:sz w:val="24"/>
    </w:rPr>
  </w:style>
  <w:style w:type="paragraph" w:customStyle="1" w:styleId="59">
    <w:name w:val="条款正文"/>
    <w:basedOn w:val="58"/>
    <w:autoRedefine/>
    <w:qFormat/>
    <w:uiPriority w:val="0"/>
    <w:pPr>
      <w:ind w:firstLine="0" w:firstLineChars="0"/>
    </w:pPr>
  </w:style>
  <w:style w:type="paragraph" w:customStyle="1" w:styleId="60">
    <w:name w:val="_Style 52"/>
    <w:basedOn w:val="1"/>
    <w:autoRedefine/>
    <w:qFormat/>
    <w:uiPriority w:val="0"/>
    <w:pPr>
      <w:pBdr>
        <w:bottom w:val="single" w:color="auto" w:sz="6" w:space="1"/>
      </w:pBdr>
      <w:jc w:val="center"/>
    </w:pPr>
    <w:rPr>
      <w:rFonts w:ascii="Arial"/>
      <w:vanish/>
      <w:sz w:val="16"/>
    </w:rPr>
  </w:style>
  <w:style w:type="paragraph" w:customStyle="1" w:styleId="61">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_0"/>
    <w:basedOn w:val="63"/>
    <w:autoRedefine/>
    <w:qFormat/>
    <w:uiPriority w:val="0"/>
    <w:pPr>
      <w:spacing w:after="120"/>
    </w:pPr>
  </w:style>
  <w:style w:type="paragraph" w:customStyle="1" w:styleId="63">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op_mapdots_left"/>
    <w:basedOn w:val="1"/>
    <w:autoRedefine/>
    <w:qFormat/>
    <w:uiPriority w:val="0"/>
    <w:pPr>
      <w:jc w:val="left"/>
    </w:pPr>
    <w:rPr>
      <w:kern w:val="0"/>
    </w:rPr>
  </w:style>
  <w:style w:type="paragraph" w:customStyle="1" w:styleId="6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66">
    <w:name w:val="正文 New New New New"/>
    <w:autoRedefine/>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67">
    <w:name w:val="样式 标题 3 + (中文) 黑体 小四 非加粗 段前: 7.8 磅 段后: 0 磅 行距: 固定值 20 磅"/>
    <w:basedOn w:val="5"/>
    <w:autoRedefine/>
    <w:qFormat/>
    <w:uiPriority w:val="0"/>
    <w:pPr>
      <w:spacing w:line="400" w:lineRule="exact"/>
    </w:pPr>
    <w:rPr>
      <w:rFonts w:eastAsia="黑体" w:cs="宋体"/>
      <w:b w:val="0"/>
      <w:bCs w:val="0"/>
      <w:sz w:val="24"/>
      <w:szCs w:val="20"/>
    </w:rPr>
  </w:style>
  <w:style w:type="paragraph" w:customStyle="1" w:styleId="68">
    <w:name w:val="正文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1、"/>
    <w:basedOn w:val="4"/>
    <w:autoRedefine/>
    <w:qFormat/>
    <w:uiPriority w:val="0"/>
    <w:pPr>
      <w:numPr>
        <w:ilvl w:val="1"/>
        <w:numId w:val="3"/>
      </w:numPr>
      <w:autoSpaceDE w:val="0"/>
      <w:autoSpaceDN w:val="0"/>
      <w:adjustRightInd w:val="0"/>
      <w:spacing w:beforeLines="50"/>
      <w:jc w:val="left"/>
    </w:pPr>
    <w:rPr>
      <w:rFonts w:ascii="Times New Roman" w:hAnsi="Times New Roman"/>
      <w:kern w:val="0"/>
      <w:sz w:val="24"/>
      <w:szCs w:val="24"/>
    </w:rPr>
  </w:style>
  <w:style w:type="paragraph" w:customStyle="1" w:styleId="70">
    <w:name w:val="_Style 63"/>
    <w:basedOn w:val="1"/>
    <w:autoRedefine/>
    <w:qFormat/>
    <w:uiPriority w:val="0"/>
    <w:pPr>
      <w:pBdr>
        <w:top w:val="single" w:color="auto" w:sz="6" w:space="1"/>
      </w:pBdr>
      <w:jc w:val="center"/>
    </w:pPr>
    <w:rPr>
      <w:rFonts w:ascii="Arial"/>
      <w:vanish/>
      <w:sz w:val="16"/>
    </w:rPr>
  </w:style>
  <w:style w:type="paragraph" w:customStyle="1" w:styleId="71">
    <w:name w:val="标题1.1"/>
    <w:basedOn w:val="58"/>
    <w:next w:val="1"/>
    <w:autoRedefine/>
    <w:qFormat/>
    <w:uiPriority w:val="0"/>
    <w:pPr>
      <w:numPr>
        <w:ilvl w:val="2"/>
        <w:numId w:val="3"/>
      </w:numPr>
      <w:ind w:firstLine="0" w:firstLineChars="0"/>
      <w:outlineLvl w:val="2"/>
    </w:pPr>
    <w:rPr>
      <w:b/>
    </w:rPr>
  </w:style>
  <w:style w:type="paragraph" w:customStyle="1" w:styleId="72">
    <w:name w:val="TOC 标题1"/>
    <w:basedOn w:val="3"/>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73">
    <w:name w:val="正文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p17"/>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75">
    <w:name w:val="小标题"/>
    <w:basedOn w:val="1"/>
    <w:autoRedefine/>
    <w:qFormat/>
    <w:uiPriority w:val="0"/>
    <w:pPr>
      <w:autoSpaceDE w:val="0"/>
      <w:autoSpaceDN w:val="0"/>
      <w:adjustRightInd w:val="0"/>
      <w:jc w:val="center"/>
    </w:pPr>
    <w:rPr>
      <w:rFonts w:ascii="宋体" w:hAnsi="宋体" w:cs="Microsoft JhengHei"/>
      <w:b/>
      <w:kern w:val="0"/>
      <w:sz w:val="28"/>
      <w:szCs w:val="32"/>
    </w:rPr>
  </w:style>
  <w:style w:type="paragraph" w:customStyle="1" w:styleId="76">
    <w:name w:val="Char"/>
    <w:basedOn w:val="13"/>
    <w:autoRedefine/>
    <w:qFormat/>
    <w:uiPriority w:val="0"/>
    <w:rPr>
      <w:rFonts w:ascii="Tahoma" w:hAnsi="Tahoma"/>
      <w:sz w:val="24"/>
    </w:rPr>
  </w:style>
  <w:style w:type="paragraph" w:customStyle="1" w:styleId="77">
    <w:name w:val="列出段落1"/>
    <w:basedOn w:val="1"/>
    <w:autoRedefine/>
    <w:qFormat/>
    <w:uiPriority w:val="1"/>
    <w:pPr>
      <w:ind w:left="424" w:firstLine="480"/>
    </w:pPr>
    <w:rPr>
      <w:rFonts w:ascii="宋体" w:hAnsi="宋体" w:cs="宋体"/>
      <w:lang w:val="zh-CN" w:bidi="zh-CN"/>
    </w:rPr>
  </w:style>
  <w:style w:type="paragraph" w:customStyle="1" w:styleId="78">
    <w:name w:val="样式 标题 2 + Times New Roman 四号 非加粗 段前: 5 磅 段后: 0 磅 行距: 固定值 20..."/>
    <w:basedOn w:val="4"/>
    <w:next w:val="1"/>
    <w:link w:val="85"/>
    <w:autoRedefine/>
    <w:qFormat/>
    <w:uiPriority w:val="0"/>
    <w:pPr>
      <w:spacing w:line="400" w:lineRule="exact"/>
    </w:pPr>
    <w:rPr>
      <w:rFonts w:ascii="Times New Roman" w:hAnsi="Times New Roman" w:eastAsia="宋体"/>
      <w:kern w:val="0"/>
      <w:sz w:val="28"/>
      <w:szCs w:val="20"/>
    </w:rPr>
  </w:style>
  <w:style w:type="paragraph" w:customStyle="1" w:styleId="79">
    <w:name w:val="正文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Table Paragraph"/>
    <w:basedOn w:val="1"/>
    <w:autoRedefine/>
    <w:qFormat/>
    <w:uiPriority w:val="1"/>
  </w:style>
  <w:style w:type="paragraph" w:customStyle="1" w:styleId="81">
    <w:name w:val="p0"/>
    <w:basedOn w:val="1"/>
    <w:autoRedefine/>
    <w:qFormat/>
    <w:uiPriority w:val="0"/>
    <w:pPr>
      <w:widowControl/>
    </w:pPr>
    <w:rPr>
      <w:rFonts w:ascii="Calibri" w:hAnsi="Calibri" w:cs="宋体"/>
      <w:kern w:val="0"/>
      <w:szCs w:val="21"/>
    </w:rPr>
  </w:style>
  <w:style w:type="paragraph" w:customStyle="1" w:styleId="8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p16"/>
    <w:basedOn w:val="1"/>
    <w:autoRedefine/>
    <w:qFormat/>
    <w:uiPriority w:val="0"/>
    <w:pPr>
      <w:widowControl/>
    </w:pPr>
    <w:rPr>
      <w:kern w:val="0"/>
      <w:szCs w:val="21"/>
    </w:rPr>
  </w:style>
  <w:style w:type="paragraph" w:customStyle="1" w:styleId="84">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样式 标题 2 + Times New Roman 四号 非加粗 段前: 5 磅 段后: 0 磅 行距: 固定值 20... Char"/>
    <w:link w:val="78"/>
    <w:autoRedefine/>
    <w:qFormat/>
    <w:uiPriority w:val="0"/>
    <w:rPr>
      <w:rFonts w:ascii="Times New Roman" w:hAnsi="Times New Roman" w:cs="宋体"/>
      <w:b/>
      <w:bCs/>
      <w:sz w:val="28"/>
      <w:szCs w:val="20"/>
    </w:rPr>
  </w:style>
  <w:style w:type="character" w:customStyle="1" w:styleId="86">
    <w:name w:val="标题 1 Char"/>
    <w:link w:val="3"/>
    <w:autoRedefine/>
    <w:qFormat/>
    <w:uiPriority w:val="0"/>
    <w:rPr>
      <w:b/>
      <w:bCs/>
      <w:kern w:val="44"/>
      <w:sz w:val="44"/>
      <w:szCs w:val="44"/>
    </w:rPr>
  </w:style>
  <w:style w:type="character" w:customStyle="1" w:styleId="87">
    <w:name w:val="目录 5 Char"/>
    <w:link w:val="19"/>
    <w:autoRedefine/>
    <w:qFormat/>
    <w:uiPriority w:val="39"/>
    <w:rPr>
      <w:rFonts w:ascii="Calibri" w:hAnsi="Calibri" w:eastAsia="宋体" w:cs="Times New Roman"/>
      <w:szCs w:val="22"/>
    </w:rPr>
  </w:style>
  <w:style w:type="character" w:customStyle="1" w:styleId="88">
    <w:name w:val="副标题 Char"/>
    <w:basedOn w:val="45"/>
    <w:link w:val="31"/>
    <w:autoRedefine/>
    <w:qFormat/>
    <w:uiPriority w:val="0"/>
    <w:rPr>
      <w:rFonts w:ascii="Cambria" w:hAnsi="Cambria" w:cs="Times New Roman"/>
      <w:b/>
      <w:bCs/>
      <w:kern w:val="28"/>
      <w:sz w:val="32"/>
      <w:szCs w:val="32"/>
    </w:rPr>
  </w:style>
  <w:style w:type="character" w:customStyle="1" w:styleId="89">
    <w:name w:val="hover37"/>
    <w:basedOn w:val="45"/>
    <w:autoRedefine/>
    <w:qFormat/>
    <w:uiPriority w:val="0"/>
  </w:style>
  <w:style w:type="character" w:customStyle="1" w:styleId="90">
    <w:name w:val="标题 3 Char"/>
    <w:basedOn w:val="45"/>
    <w:link w:val="5"/>
    <w:autoRedefine/>
    <w:qFormat/>
    <w:uiPriority w:val="0"/>
    <w:rPr>
      <w:rFonts w:eastAsia="宋体"/>
      <w:b/>
      <w:bCs/>
      <w:kern w:val="2"/>
      <w:sz w:val="32"/>
      <w:szCs w:val="32"/>
      <w:lang w:val="en-US" w:eastAsia="zh-CN" w:bidi="ar-SA"/>
    </w:rPr>
  </w:style>
  <w:style w:type="character" w:customStyle="1" w:styleId="91">
    <w:name w:val="批注文字 Char"/>
    <w:basedOn w:val="45"/>
    <w:link w:val="14"/>
    <w:autoRedefine/>
    <w:qFormat/>
    <w:uiPriority w:val="0"/>
    <w:rPr>
      <w:kern w:val="2"/>
      <w:sz w:val="21"/>
      <w:szCs w:val="24"/>
    </w:rPr>
  </w:style>
  <w:style w:type="character" w:customStyle="1" w:styleId="92">
    <w:name w:val="正文文本 3 Char"/>
    <w:basedOn w:val="45"/>
    <w:link w:val="15"/>
    <w:autoRedefine/>
    <w:qFormat/>
    <w:uiPriority w:val="0"/>
    <w:rPr>
      <w:rFonts w:ascii="宋体" w:eastAsia="宋体"/>
      <w:kern w:val="2"/>
      <w:sz w:val="24"/>
      <w:lang w:val="en-US" w:eastAsia="zh-CN" w:bidi="ar-SA"/>
    </w:rPr>
  </w:style>
  <w:style w:type="character" w:customStyle="1" w:styleId="93">
    <w:name w:val="style2"/>
    <w:basedOn w:val="45"/>
    <w:autoRedefine/>
    <w:qFormat/>
    <w:uiPriority w:val="0"/>
  </w:style>
  <w:style w:type="character" w:customStyle="1" w:styleId="94">
    <w:name w:val="正文文本 Char"/>
    <w:basedOn w:val="45"/>
    <w:link w:val="16"/>
    <w:autoRedefine/>
    <w:qFormat/>
    <w:uiPriority w:val="0"/>
    <w:rPr>
      <w:rFonts w:eastAsia="宋体"/>
      <w:kern w:val="2"/>
      <w:sz w:val="21"/>
      <w:szCs w:val="24"/>
      <w:lang w:val="en-US" w:eastAsia="zh-CN" w:bidi="ar-SA"/>
    </w:rPr>
  </w:style>
  <w:style w:type="character" w:customStyle="1" w:styleId="95">
    <w:name w:val="Char Char17"/>
    <w:basedOn w:val="45"/>
    <w:autoRedefine/>
    <w:qFormat/>
    <w:uiPriority w:val="0"/>
    <w:rPr>
      <w:rFonts w:ascii="Times New Roman" w:hAnsi="Times New Roman" w:eastAsia="宋体" w:cs="Times New Roman"/>
      <w:b/>
      <w:bCs/>
      <w:kern w:val="44"/>
      <w:sz w:val="44"/>
      <w:szCs w:val="44"/>
    </w:rPr>
  </w:style>
  <w:style w:type="character" w:customStyle="1" w:styleId="96">
    <w:name w:val="批注主题 Char"/>
    <w:basedOn w:val="91"/>
    <w:link w:val="41"/>
    <w:autoRedefine/>
    <w:qFormat/>
    <w:uiPriority w:val="0"/>
    <w:rPr>
      <w:kern w:val="2"/>
      <w:sz w:val="21"/>
      <w:szCs w:val="24"/>
    </w:rPr>
  </w:style>
  <w:style w:type="character" w:customStyle="1" w:styleId="97">
    <w:name w:val="标题 4 Char"/>
    <w:basedOn w:val="45"/>
    <w:link w:val="2"/>
    <w:autoRedefine/>
    <w:qFormat/>
    <w:uiPriority w:val="0"/>
    <w:rPr>
      <w:rFonts w:ascii="Arial" w:hAnsi="Arial" w:eastAsia="黑体"/>
      <w:b/>
      <w:bCs/>
      <w:kern w:val="2"/>
      <w:sz w:val="28"/>
      <w:szCs w:val="28"/>
      <w:lang w:val="en-US" w:eastAsia="zh-CN" w:bidi="ar-SA"/>
    </w:rPr>
  </w:style>
  <w:style w:type="character" w:customStyle="1" w:styleId="98">
    <w:name w:val="脚注文本 Char"/>
    <w:basedOn w:val="45"/>
    <w:link w:val="32"/>
    <w:autoRedefine/>
    <w:qFormat/>
    <w:uiPriority w:val="0"/>
    <w:rPr>
      <w:kern w:val="2"/>
      <w:sz w:val="18"/>
      <w:szCs w:val="18"/>
    </w:rPr>
  </w:style>
  <w:style w:type="character" w:customStyle="1" w:styleId="99">
    <w:name w:val="页脚 Char"/>
    <w:basedOn w:val="45"/>
    <w:link w:val="27"/>
    <w:autoRedefine/>
    <w:qFormat/>
    <w:uiPriority w:val="0"/>
    <w:rPr>
      <w:kern w:val="2"/>
      <w:sz w:val="18"/>
      <w:szCs w:val="18"/>
    </w:rPr>
  </w:style>
  <w:style w:type="character" w:customStyle="1" w:styleId="100">
    <w:name w:val="页码1"/>
    <w:basedOn w:val="45"/>
    <w:autoRedefine/>
    <w:qFormat/>
    <w:uiPriority w:val="0"/>
  </w:style>
  <w:style w:type="character" w:customStyle="1" w:styleId="101">
    <w:name w:val="hover"/>
    <w:basedOn w:val="45"/>
    <w:autoRedefine/>
    <w:qFormat/>
    <w:uiPriority w:val="0"/>
  </w:style>
  <w:style w:type="paragraph" w:customStyle="1" w:styleId="102">
    <w:name w:val="标题 1 New"/>
    <w:basedOn w:val="68"/>
    <w:link w:val="103"/>
    <w:autoRedefine/>
    <w:qFormat/>
    <w:uiPriority w:val="0"/>
    <w:pPr>
      <w:keepNext/>
      <w:keepLines/>
      <w:spacing w:line="578" w:lineRule="auto"/>
      <w:outlineLvl w:val="0"/>
    </w:pPr>
    <w:rPr>
      <w:b/>
      <w:bCs/>
      <w:kern w:val="44"/>
      <w:sz w:val="44"/>
      <w:szCs w:val="44"/>
    </w:rPr>
  </w:style>
  <w:style w:type="character" w:customStyle="1" w:styleId="103">
    <w:name w:val="标题 1 Char Char New"/>
    <w:link w:val="102"/>
    <w:autoRedefine/>
    <w:qFormat/>
    <w:uiPriority w:val="0"/>
    <w:rPr>
      <w:rFonts w:ascii="Times New Roman" w:hAnsi="Times New Roman"/>
      <w:b/>
      <w:bCs/>
      <w:kern w:val="44"/>
      <w:sz w:val="44"/>
      <w:szCs w:val="44"/>
    </w:rPr>
  </w:style>
  <w:style w:type="paragraph" w:customStyle="1" w:styleId="104">
    <w:name w:val="正文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7">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108">
    <w:name w:val="hover38"/>
    <w:basedOn w:val="45"/>
    <w:autoRedefine/>
    <w:qFormat/>
    <w:uiPriority w:val="0"/>
  </w:style>
  <w:style w:type="paragraph" w:customStyle="1" w:styleId="109">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110">
    <w:name w:val="样式4"/>
    <w:basedOn w:val="1"/>
    <w:autoRedefine/>
    <w:qFormat/>
    <w:uiPriority w:val="0"/>
    <w:pPr>
      <w:spacing w:line="360" w:lineRule="auto"/>
      <w:jc w:val="center"/>
    </w:pPr>
    <w:rPr>
      <w:rFonts w:ascii="宋体" w:hAnsi="宋体"/>
      <w:sz w:val="24"/>
    </w:rPr>
  </w:style>
  <w:style w:type="paragraph" w:customStyle="1" w:styleId="111">
    <w:name w:val="正文文本 New"/>
    <w:basedOn w:val="84"/>
    <w:autoRedefine/>
    <w:qFormat/>
    <w:uiPriority w:val="0"/>
    <w:pPr>
      <w:spacing w:after="120"/>
    </w:pPr>
  </w:style>
  <w:style w:type="paragraph" w:customStyle="1" w:styleId="112">
    <w:name w:val="列出段落2"/>
    <w:basedOn w:val="1"/>
    <w:autoRedefine/>
    <w:unhideWhenUsed/>
    <w:qFormat/>
    <w:uiPriority w:val="99"/>
    <w:pPr>
      <w:ind w:firstLine="420" w:firstLineChars="200"/>
    </w:pPr>
  </w:style>
  <w:style w:type="character" w:customStyle="1" w:styleId="113">
    <w:name w:val="NormalCharacter"/>
    <w:autoRedefine/>
    <w:semiHidden/>
    <w:qFormat/>
    <w:uiPriority w:val="0"/>
  </w:style>
  <w:style w:type="paragraph" w:customStyle="1" w:styleId="114">
    <w:name w:val="列出段落3"/>
    <w:basedOn w:val="1"/>
    <w:autoRedefine/>
    <w:qFormat/>
    <w:uiPriority w:val="1"/>
    <w:pPr>
      <w:ind w:left="424" w:firstLine="480"/>
    </w:pPr>
    <w:rPr>
      <w:rFonts w:ascii="宋体" w:hAnsi="宋体" w:cs="宋体"/>
      <w:lang w:val="zh-CN" w:bidi="zh-CN"/>
    </w:rPr>
  </w:style>
  <w:style w:type="paragraph" w:customStyle="1" w:styleId="115">
    <w:name w:val="标题 41"/>
    <w:basedOn w:val="1"/>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116">
    <w:name w:val="列出段落4"/>
    <w:basedOn w:val="1"/>
    <w:autoRedefine/>
    <w:qFormat/>
    <w:uiPriority w:val="1"/>
    <w:pPr>
      <w:ind w:left="424" w:firstLine="480"/>
    </w:pPr>
    <w:rPr>
      <w:rFonts w:ascii="宋体" w:hAnsi="宋体" w:cs="宋体"/>
      <w:lang w:val="zh-CN" w:bidi="zh-CN"/>
    </w:rPr>
  </w:style>
  <w:style w:type="table" w:customStyle="1" w:styleId="117">
    <w:name w:val="Table Normal"/>
    <w:autoRedefine/>
    <w:semiHidden/>
    <w:unhideWhenUsed/>
    <w:qFormat/>
    <w:uiPriority w:val="0"/>
    <w:tblPr>
      <w:tblCellMar>
        <w:top w:w="0" w:type="dxa"/>
        <w:left w:w="0" w:type="dxa"/>
        <w:bottom w:w="0" w:type="dxa"/>
        <w:right w:w="0" w:type="dxa"/>
      </w:tblCellMar>
    </w:tblPr>
  </w:style>
  <w:style w:type="paragraph" w:customStyle="1" w:styleId="118">
    <w:name w:val="Heading 6"/>
    <w:basedOn w:val="1"/>
    <w:autoRedefine/>
    <w:qFormat/>
    <w:uiPriority w:val="1"/>
    <w:pPr>
      <w:spacing w:before="82"/>
      <w:ind w:left="449" w:right="628"/>
      <w:jc w:val="center"/>
      <w:outlineLvl w:val="6"/>
    </w:pPr>
    <w:rPr>
      <w:rFonts w:ascii="黑体" w:hAnsi="黑体" w:eastAsia="黑体" w:cs="黑体"/>
      <w:b/>
      <w:bCs/>
      <w:sz w:val="36"/>
      <w:szCs w:val="36"/>
    </w:rPr>
  </w:style>
  <w:style w:type="paragraph" w:customStyle="1" w:styleId="119">
    <w:name w:val="Heading 8"/>
    <w:basedOn w:val="1"/>
    <w:autoRedefine/>
    <w:qFormat/>
    <w:uiPriority w:val="1"/>
    <w:pPr>
      <w:spacing w:before="83"/>
      <w:ind w:left="449"/>
      <w:outlineLvl w:val="8"/>
    </w:pPr>
    <w:rPr>
      <w:b/>
      <w:bCs/>
      <w:sz w:val="28"/>
      <w:szCs w:val="28"/>
    </w:rPr>
  </w:style>
  <w:style w:type="paragraph" w:customStyle="1" w:styleId="120">
    <w:name w:val="正文文本 (2)1"/>
    <w:link w:val="121"/>
    <w:autoRedefine/>
    <w:qFormat/>
    <w:uiPriority w:val="0"/>
    <w:pPr>
      <w:shd w:val="clear" w:color="auto" w:fill="FFFFFF"/>
      <w:spacing w:before="300" w:line="439" w:lineRule="exact"/>
      <w:jc w:val="distribute"/>
    </w:pPr>
    <w:rPr>
      <w:rFonts w:ascii="MingLiU" w:hAnsi="Times New Roman" w:eastAsia="MingLiU" w:cs="Times New Roman"/>
      <w:spacing w:val="20"/>
      <w:sz w:val="22"/>
      <w:szCs w:val="22"/>
    </w:rPr>
  </w:style>
  <w:style w:type="character" w:customStyle="1" w:styleId="121">
    <w:name w:val="正文文本 (2)_"/>
    <w:link w:val="120"/>
    <w:autoRedefine/>
    <w:qFormat/>
    <w:locked/>
    <w:uiPriority w:val="99"/>
    <w:rPr>
      <w:rFonts w:ascii="MingLiU" w:eastAsia="MingLiU"/>
      <w:spacing w:val="2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w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274</Pages>
  <Words>8640</Words>
  <Characters>10791</Characters>
  <Lines>1617</Lines>
  <Paragraphs>455</Paragraphs>
  <TotalTime>0</TotalTime>
  <ScaleCrop>false</ScaleCrop>
  <LinksUpToDate>false</LinksUpToDate>
  <CharactersWithSpaces>11479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2010-01-09T16:07:00Z</dcterms:created>
  <dc:creator>微软用户</dc:creator>
  <cp:lastModifiedBy>安东腻腻</cp:lastModifiedBy>
  <cp:lastPrinted>2024-12-30T09:07:00Z</cp:lastPrinted>
  <dcterms:modified xsi:type="dcterms:W3CDTF">2025-10-29T06:47:42Z</dcterms:modified>
  <dc:title>G323线麦屋至乳源县城段路面大修工程施工招标</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02F11B9989664EBAB23A562E03724BD0_13</vt:lpwstr>
  </property>
  <property fmtid="{D5CDD505-2E9C-101B-9397-08002B2CF9AE}" pid="4" name="KSOTemplateDocerSaveRecord">
    <vt:lpwstr>eyJoZGlkIjoiNGE1ZmZhZmQyN2M1YTlhNTcwZTA4MDc5YjA5YThlNzAiLCJ1c2VySWQiOiI1MjI3ODAyMjgifQ==</vt:lpwstr>
  </property>
</Properties>
</file>