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5DA9E">
      <w:pPr>
        <w:pStyle w:val="28"/>
        <w:wordWrap w:val="0"/>
        <w:adjustRightInd w:val="0"/>
        <w:snapToGrid w:val="0"/>
        <w:spacing w:line="360" w:lineRule="auto"/>
        <w:jc w:val="center"/>
        <w:rPr>
          <w:rFonts w:hint="eastAsia" w:eastAsia="宋体"/>
          <w:snapToGrid w:val="0"/>
          <w:color w:val="000000" w:themeColor="text1"/>
          <w:kern w:val="0"/>
          <w:sz w:val="44"/>
          <w:szCs w:val="44"/>
          <w:highlight w:val="none"/>
          <w:u w:val="single"/>
          <w14:textFill>
            <w14:solidFill>
              <w14:schemeClr w14:val="tx1"/>
            </w14:solidFill>
          </w14:textFill>
        </w:rPr>
      </w:pPr>
      <w:bookmarkStart w:id="288" w:name="_GoBack"/>
      <w:r>
        <w:rPr>
          <w:rFonts w:hint="eastAsia" w:eastAsia="宋体"/>
          <w:b/>
          <w:snapToGrid w:val="0"/>
          <w:color w:val="000000" w:themeColor="text1"/>
          <w:kern w:val="0"/>
          <w:sz w:val="44"/>
          <w:szCs w:val="44"/>
          <w:highlight w:val="none"/>
          <w:lang w:eastAsia="zh-CN"/>
          <w14:textFill>
            <w14:solidFill>
              <w14:schemeClr w14:val="tx1"/>
            </w14:solidFill>
          </w14:textFill>
        </w:rPr>
        <w:drawing>
          <wp:inline distT="0" distB="0" distL="114300" distR="114300">
            <wp:extent cx="7037070" cy="8782050"/>
            <wp:effectExtent l="0" t="0" r="3810" b="11430"/>
            <wp:docPr id="2" name="图片 2" descr="招标文件封面3.27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招标文件封面3.27_01"/>
                    <pic:cNvPicPr>
                      <a:picLocks noChangeAspect="1"/>
                    </pic:cNvPicPr>
                  </pic:nvPicPr>
                  <pic:blipFill>
                    <a:blip r:embed="rId9"/>
                    <a:stretch>
                      <a:fillRect/>
                    </a:stretch>
                  </pic:blipFill>
                  <pic:spPr>
                    <a:xfrm>
                      <a:off x="0" y="0"/>
                      <a:ext cx="7037070" cy="8782050"/>
                    </a:xfrm>
                    <a:prstGeom prst="rect">
                      <a:avLst/>
                    </a:prstGeom>
                  </pic:spPr>
                </pic:pic>
              </a:graphicData>
            </a:graphic>
          </wp:inline>
        </w:drawing>
      </w:r>
      <w:bookmarkEnd w:id="288"/>
    </w:p>
    <w:p w14:paraId="1A027CC3">
      <w:pPr>
        <w:pStyle w:val="28"/>
        <w:wordWrap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24121D77">
      <w:pPr>
        <w:pStyle w:val="28"/>
        <w:wordWrap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099266EB">
      <w:pPr>
        <w:pStyle w:val="28"/>
        <w:wordWrap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67B8E997">
      <w:pPr>
        <w:pStyle w:val="7"/>
        <w:rPr>
          <w:color w:val="000000" w:themeColor="text1"/>
          <w:highlight w:val="none"/>
          <w14:textFill>
            <w14:solidFill>
              <w14:schemeClr w14:val="tx1"/>
            </w14:solidFill>
          </w14:textFill>
        </w:rPr>
        <w:sectPr>
          <w:footerReference r:id="rId5" w:type="default"/>
          <w:endnotePr>
            <w:numFmt w:val="decimal"/>
          </w:endnotePr>
          <w:pgSz w:w="11906" w:h="16838"/>
          <w:pgMar w:top="1440" w:right="1080" w:bottom="1440" w:left="1080" w:header="850" w:footer="992" w:gutter="0"/>
          <w:pgNumType w:fmt="decimal" w:start="0"/>
          <w:cols w:space="0" w:num="1"/>
          <w:docGrid w:linePitch="327" w:charSpace="0"/>
        </w:sectPr>
      </w:pPr>
    </w:p>
    <w:sdt>
      <w:sdtPr>
        <w:rPr>
          <w:rFonts w:hAnsi="宋体"/>
          <w:b/>
          <w:bCs/>
          <w:color w:val="000000" w:themeColor="text1"/>
          <w:sz w:val="36"/>
          <w:szCs w:val="32"/>
          <w:highlight w:val="none"/>
          <w14:textFill>
            <w14:solidFill>
              <w14:schemeClr w14:val="tx1"/>
            </w14:solidFill>
          </w14:textFill>
        </w:rPr>
        <w:id w:val="147460104"/>
        <w15:color w:val="DBDBDB"/>
        <w:docPartObj>
          <w:docPartGallery w:val="Table of Contents"/>
          <w:docPartUnique/>
        </w:docPartObj>
      </w:sdtPr>
      <w:sdtEndPr>
        <w:rPr>
          <w:rFonts w:hint="eastAsia" w:hAnsi="宋体" w:cs="宋体"/>
          <w:b/>
          <w:bCs/>
          <w:color w:val="000000" w:themeColor="text1"/>
          <w:sz w:val="24"/>
          <w:szCs w:val="24"/>
          <w:highlight w:val="none"/>
          <w14:textFill>
            <w14:solidFill>
              <w14:schemeClr w14:val="tx1"/>
            </w14:solidFill>
          </w14:textFill>
        </w:rPr>
      </w:sdtEndPr>
      <w:sdtContent>
        <w:p w14:paraId="510547FF">
          <w:pPr>
            <w:spacing w:line="240" w:lineRule="auto"/>
            <w:jc w:val="center"/>
            <w:rPr>
              <w:b/>
              <w:bCs/>
              <w:color w:val="000000" w:themeColor="text1"/>
              <w:sz w:val="44"/>
              <w:szCs w:val="32"/>
              <w:highlight w:val="none"/>
              <w14:textFill>
                <w14:solidFill>
                  <w14:schemeClr w14:val="tx1"/>
                </w14:solidFill>
              </w14:textFill>
            </w:rPr>
          </w:pPr>
          <w:r>
            <w:rPr>
              <w:rFonts w:hAnsi="宋体"/>
              <w:b/>
              <w:bCs/>
              <w:color w:val="000000" w:themeColor="text1"/>
              <w:sz w:val="36"/>
              <w:szCs w:val="32"/>
              <w:highlight w:val="none"/>
              <w14:textFill>
                <w14:solidFill>
                  <w14:schemeClr w14:val="tx1"/>
                </w14:solidFill>
              </w14:textFill>
            </w:rPr>
            <w:t>目</w:t>
          </w:r>
          <w:r>
            <w:rPr>
              <w:rFonts w:hint="eastAsia" w:hAnsi="宋体"/>
              <w:b/>
              <w:bCs/>
              <w:color w:val="000000" w:themeColor="text1"/>
              <w:sz w:val="36"/>
              <w:szCs w:val="32"/>
              <w:highlight w:val="none"/>
              <w14:textFill>
                <w14:solidFill>
                  <w14:schemeClr w14:val="tx1"/>
                </w14:solidFill>
              </w14:textFill>
            </w:rPr>
            <w:t xml:space="preserve">  </w:t>
          </w:r>
          <w:r>
            <w:rPr>
              <w:rFonts w:hAnsi="宋体"/>
              <w:b/>
              <w:bCs/>
              <w:color w:val="000000" w:themeColor="text1"/>
              <w:sz w:val="36"/>
              <w:szCs w:val="32"/>
              <w:highlight w:val="none"/>
              <w14:textFill>
                <w14:solidFill>
                  <w14:schemeClr w14:val="tx1"/>
                </w14:solidFill>
              </w14:textFill>
            </w:rPr>
            <w:t>录</w:t>
          </w:r>
        </w:p>
        <w:p w14:paraId="22EFC7FF">
          <w:pPr>
            <w:pStyle w:val="15"/>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TOC \o "1-3" \h \u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_Toc23893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szCs w:val="22"/>
              <w:highlight w:val="none"/>
              <w14:textFill>
                <w14:solidFill>
                  <w14:schemeClr w14:val="tx1"/>
                </w14:solidFill>
              </w14:textFill>
            </w:rPr>
            <w:t>第一章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A62B6D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_Toc16398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第一节 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3D24AD8">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_Toc29035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D9AF028">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_Toc4136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第三节 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_Toc4136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D8FDCFC">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_Toc7461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snapToGrid w:val="0"/>
              <w:color w:val="000000" w:themeColor="text1"/>
              <w:kern w:val="0"/>
              <w:highlight w:val="none"/>
              <w14:textFill>
                <w14:solidFill>
                  <w14:schemeClr w14:val="tx1"/>
                </w14:solidFill>
              </w14:textFill>
            </w:rPr>
            <w:t>1．项目概况、招标范围和标段划分、投标费用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_Toc7461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4903125">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_Toc30087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2．投标人资格要求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_Toc30087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A85F54C">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_Toc32129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3．获取招标文件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_Toc32129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E92E64">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_Toc17567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17F27D2">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_Toc23254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5．服务标准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_Toc23254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F9D2685">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_Toc31598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6．现场踏勘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_Toc31598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583B3C5">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_Toc15900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7．招标文件的提问和答疑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_Toc15900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4BACCBD">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_Toc24094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8．最高投标限价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66D9C3C">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_Toc1446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9．投标报价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2603F1F">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_Toc31067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10．投标文件的编制要求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A597A10">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_Toc7300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11．电子投标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_Toc7300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96040FA">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_Toc16547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12. 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8E1BCEE">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_Toc21031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13．投标有效期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BD4F6A3">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_Toc28643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14．开标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185D65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_Toc31748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15．评标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949DA8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_Toc6456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16．推荐中标候选人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_Toc6456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EDFF198">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_Toc27582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17．中标候选人公示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_Toc27582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63B9BD5">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_Toc12424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_Toc12424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BFFE88B">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_Toc27524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_Toc27524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F8CB7D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_Toc9012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B214BA9">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_Toc29737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B9BCD8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_Toc17259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9C34B3">
          <w:pPr>
            <w:pStyle w:val="15"/>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_Toc20659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2"/>
              <w:highlight w:val="none"/>
              <w14:textFill>
                <w14:solidFill>
                  <w14:schemeClr w14:val="tx1"/>
                </w14:solidFill>
              </w14:textFill>
            </w:rPr>
            <w:t>第二章 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F676CC1">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_Toc13161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1．中标通知书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6D6AD9A">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_Toc14474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2．中标结果公示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1E00F21">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_Toc31370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3．履约保证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_Toc31370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384EF2B">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_Toc29907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4．合同订立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50D865C">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_Toc26572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5．放弃中标的处理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_Toc26572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3D5D4B6">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_Toc16723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6．分包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_Toc16723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4A3C649">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_Toc21917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7．诚信登记</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0A5DF77">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_Toc19858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8．监理服务期限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65310EA">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_Toc16618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9．项目监理机构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2C9BB1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_Toc10280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10．安全防护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_Toc10280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1838A92">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_Toc30151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11．接受监督</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_Toc30151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5133159">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_Toc27988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12．监理档案移交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_Toc27988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A5FBAA7">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_Toc26146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．不良行为处理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4CC89D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_Toc6980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szCs w:val="24"/>
              <w:highlight w:val="none"/>
              <w14:textFill>
                <w14:solidFill>
                  <w14:schemeClr w14:val="tx1"/>
                </w14:solidFill>
              </w14:textFill>
            </w:rPr>
            <w:t>14</w:t>
          </w:r>
          <w:r>
            <w:rPr>
              <w:rFonts w:hint="eastAsia" w:ascii="宋体" w:hAnsi="宋体" w:cs="宋体"/>
              <w:snapToGrid w:val="0"/>
              <w:color w:val="000000" w:themeColor="text1"/>
              <w:kern w:val="0"/>
              <w:szCs w:val="24"/>
              <w:highlight w:val="none"/>
              <w14:textFill>
                <w14:solidFill>
                  <w14:schemeClr w14:val="tx1"/>
                </w14:solidFill>
              </w14:textFill>
            </w:rPr>
            <w:t>．</w:t>
          </w:r>
          <w:r>
            <w:rPr>
              <w:rFonts w:hint="eastAsia" w:ascii="宋体" w:hAnsi="宋体" w:cs="宋体"/>
              <w:bCs/>
              <w:snapToGrid w:val="0"/>
              <w:color w:val="000000" w:themeColor="text1"/>
              <w:kern w:val="0"/>
              <w:szCs w:val="24"/>
              <w:highlight w:val="none"/>
              <w14:textFill>
                <w14:solidFill>
                  <w14:schemeClr w14:val="tx1"/>
                </w14:solidFill>
              </w14:textFill>
            </w:rPr>
            <w:t>信用评价条款内容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0AA8457">
          <w:pPr>
            <w:pStyle w:val="15"/>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_Toc9067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32"/>
              <w:highlight w:val="none"/>
              <w14:textFill>
                <w14:solidFill>
                  <w14:schemeClr w14:val="tx1"/>
                </w14:solidFill>
              </w14:textFill>
            </w:rPr>
            <w:t>第三章 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157074D">
          <w:pPr>
            <w:pStyle w:val="15"/>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_Toc31250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szCs w:val="22"/>
              <w:highlight w:val="none"/>
              <w14:textFill>
                <w14:solidFill>
                  <w14:schemeClr w14:val="tx1"/>
                </w14:solidFill>
              </w14:textFill>
            </w:rPr>
            <w:t>第四章 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B84703E">
          <w:pPr>
            <w:pStyle w:val="15"/>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_Toc12313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szCs w:val="22"/>
              <w:highlight w:val="none"/>
              <w14:textFill>
                <w14:solidFill>
                  <w14:schemeClr w14:val="tx1"/>
                </w14:solidFill>
              </w14:textFill>
            </w:rPr>
            <w:t>第五章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_Toc12313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E4787DD">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_Toc26178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1F52278">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_Toc7039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格式二 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1E0B23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_Toc4943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格式三 各项承诺一览表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F056C7D">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_Toc18742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088726D">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_Toc25514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D65E90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_Toc25408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格式六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1C79F1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_Toc11609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格式七  总监理工程师任职声明（适用于无任职项目）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_Toc11609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636A1E2">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_Toc4974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格式八 总监理工程师任职声明（适用于有任职项目）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3D37FD7">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_Toc30529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格式九 总监理工程师任职项目情况表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_Toc30529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53721D0">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_Toc8192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w:t>
          </w:r>
          <w:r>
            <w:rPr>
              <w:rFonts w:hint="eastAsia" w:hAnsi="宋体" w:cs="宋体"/>
              <w:bCs/>
              <w:snapToGrid w:val="0"/>
              <w:color w:val="000000" w:themeColor="text1"/>
              <w:kern w:val="0"/>
              <w:szCs w:val="24"/>
              <w:highlight w:val="none"/>
              <w14:textFill>
                <w14:solidFill>
                  <w14:schemeClr w14:val="tx1"/>
                </w14:solidFill>
              </w14:textFill>
            </w:rPr>
            <w:t>十 项目监理机构组成人员汇总表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6AC80AA">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_Toc9678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格式十一  总监理工程师简历表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AC00FF1">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_Toc24119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格式十二  其他拟派人员简历表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05AE3DC">
          <w:pPr>
            <w:pStyle w:val="15"/>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_Toc12936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color w:val="000000" w:themeColor="text1"/>
              <w:kern w:val="44"/>
              <w:szCs w:val="22"/>
              <w:highlight w:val="none"/>
              <w14:textFill>
                <w14:solidFill>
                  <w14:schemeClr w14:val="tx1"/>
                </w14:solidFill>
              </w14:textFill>
            </w:rPr>
            <w:t>第六章 建设工程监理合同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D63ED05">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end"/>
          </w:r>
        </w:p>
      </w:sdtContent>
    </w:sdt>
    <w:p w14:paraId="60786F34">
      <w:pPr>
        <w:rPr>
          <w:rFonts w:hint="eastAsia" w:ascii="Times New Roman"/>
          <w:b/>
          <w:snapToGrid w:val="0"/>
          <w:color w:val="000000" w:themeColor="text1"/>
          <w:sz w:val="32"/>
          <w:szCs w:val="22"/>
          <w:highlight w:val="none"/>
          <w14:textFill>
            <w14:solidFill>
              <w14:schemeClr w14:val="tx1"/>
            </w14:solidFill>
          </w14:textFill>
        </w:rPr>
      </w:pPr>
      <w:r>
        <w:rPr>
          <w:rFonts w:hint="eastAsia" w:ascii="Times New Roman"/>
          <w:b/>
          <w:snapToGrid w:val="0"/>
          <w:color w:val="000000" w:themeColor="text1"/>
          <w:sz w:val="32"/>
          <w:szCs w:val="22"/>
          <w:highlight w:val="none"/>
          <w14:textFill>
            <w14:solidFill>
              <w14:schemeClr w14:val="tx1"/>
            </w14:solidFill>
          </w14:textFill>
        </w:rPr>
        <w:br w:type="page"/>
      </w:r>
    </w:p>
    <w:p w14:paraId="6925CF9B">
      <w:pPr>
        <w:pStyle w:val="3"/>
        <w:keepNext w:val="0"/>
        <w:keepLines w:val="0"/>
        <w:pageBreakBefore w:val="0"/>
        <w:widowControl w:val="0"/>
        <w:kinsoku/>
        <w:wordWrap w:val="0"/>
        <w:overflowPunct/>
        <w:topLinePunct w:val="0"/>
        <w:autoSpaceDE/>
        <w:autoSpaceDN/>
        <w:bidi w:val="0"/>
        <w:snapToGrid w:val="0"/>
        <w:spacing w:line="360" w:lineRule="exact"/>
        <w:jc w:val="center"/>
        <w:rPr>
          <w:rFonts w:ascii="Times New Roman"/>
          <w:b/>
          <w:snapToGrid w:val="0"/>
          <w:color w:val="000000" w:themeColor="text1"/>
          <w:sz w:val="32"/>
          <w:szCs w:val="22"/>
          <w:highlight w:val="none"/>
          <w14:textFill>
            <w14:solidFill>
              <w14:schemeClr w14:val="tx1"/>
            </w14:solidFill>
          </w14:textFill>
        </w:rPr>
      </w:pPr>
      <w:bookmarkStart w:id="0" w:name="_Toc23893"/>
      <w:r>
        <w:rPr>
          <w:rFonts w:hint="eastAsia" w:ascii="Times New Roman"/>
          <w:b/>
          <w:snapToGrid w:val="0"/>
          <w:color w:val="000000" w:themeColor="text1"/>
          <w:sz w:val="32"/>
          <w:szCs w:val="22"/>
          <w:highlight w:val="none"/>
          <w14:textFill>
            <w14:solidFill>
              <w14:schemeClr w14:val="tx1"/>
            </w14:solidFill>
          </w14:textFill>
        </w:rPr>
        <w:t>第一章 投标人须知</w:t>
      </w:r>
      <w:bookmarkEnd w:id="0"/>
    </w:p>
    <w:p w14:paraId="6D32A40B">
      <w:pPr>
        <w:pStyle w:val="4"/>
        <w:keepNext w:val="0"/>
        <w:keepLines w:val="0"/>
        <w:pageBreakBefore w:val="0"/>
        <w:widowControl w:val="0"/>
        <w:kinsoku/>
        <w:wordWrap w:val="0"/>
        <w:overflowPunct/>
        <w:topLinePunct w:val="0"/>
        <w:autoSpaceDE/>
        <w:autoSpaceDN/>
        <w:bidi w:val="0"/>
        <w:snapToGrid w:val="0"/>
        <w:spacing w:before="260" w:after="260" w:line="360" w:lineRule="exact"/>
        <w:jc w:val="both"/>
        <w:rPr>
          <w:rFonts w:ascii="Times New Roman"/>
          <w:b/>
          <w:snapToGrid w:val="0"/>
          <w:color w:val="000000" w:themeColor="text1"/>
          <w:highlight w:val="none"/>
          <w14:textFill>
            <w14:solidFill>
              <w14:schemeClr w14:val="tx1"/>
            </w14:solidFill>
          </w14:textFill>
        </w:rPr>
      </w:pPr>
      <w:bookmarkStart w:id="1" w:name="_Hlt127175444"/>
      <w:bookmarkEnd w:id="1"/>
      <w:bookmarkStart w:id="2" w:name="_Toc16398"/>
      <w:bookmarkStart w:id="3" w:name="_Toc4883"/>
      <w:bookmarkStart w:id="4" w:name="_Hlt120077520"/>
      <w:r>
        <w:rPr>
          <w:rFonts w:hint="eastAsia" w:ascii="Times New Roman"/>
          <w:b/>
          <w:snapToGrid w:val="0"/>
          <w:color w:val="000000" w:themeColor="text1"/>
          <w:highlight w:val="none"/>
          <w14:textFill>
            <w14:solidFill>
              <w14:schemeClr w14:val="tx1"/>
            </w14:solidFill>
          </w14:textFill>
        </w:rPr>
        <w:t>第一节 投标人须知前附表</w:t>
      </w:r>
      <w:bookmarkEnd w:id="2"/>
      <w:bookmarkEnd w:id="3"/>
    </w:p>
    <w:tbl>
      <w:tblPr>
        <w:tblStyle w:val="19"/>
        <w:tblW w:w="9635"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7189"/>
      </w:tblGrid>
      <w:tr w14:paraId="7B3377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23CB9DC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473AE0E4">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内容</w:t>
            </w:r>
          </w:p>
        </w:tc>
        <w:tc>
          <w:tcPr>
            <w:tcW w:w="7189" w:type="dxa"/>
            <w:tcBorders>
              <w:top w:val="single" w:color="auto" w:sz="4" w:space="0"/>
              <w:left w:val="single" w:color="auto" w:sz="4" w:space="0"/>
              <w:bottom w:val="single" w:color="auto" w:sz="4" w:space="0"/>
              <w:right w:val="single" w:color="auto" w:sz="4" w:space="0"/>
            </w:tcBorders>
            <w:vAlign w:val="center"/>
          </w:tcPr>
          <w:p w14:paraId="4927F882">
            <w:pPr>
              <w:keepNext w:val="0"/>
              <w:keepLines w:val="0"/>
              <w:pageBreakBefore w:val="0"/>
              <w:widowControl w:val="0"/>
              <w:tabs>
                <w:tab w:val="left" w:pos="1180"/>
              </w:tabs>
              <w:kinsoku/>
              <w:wordWrap w:val="0"/>
              <w:overflowPunct/>
              <w:topLinePunct w:val="0"/>
              <w:autoSpaceDE/>
              <w:autoSpaceDN/>
              <w:bidi w:val="0"/>
              <w:adjustRightInd w:val="0"/>
              <w:snapToGrid w:val="0"/>
              <w:spacing w:line="36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说明与要求</w:t>
            </w:r>
          </w:p>
        </w:tc>
      </w:tr>
      <w:tr w14:paraId="1E32A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0" w:hRule="exact"/>
        </w:trPr>
        <w:tc>
          <w:tcPr>
            <w:tcW w:w="721" w:type="dxa"/>
            <w:tcBorders>
              <w:top w:val="single" w:color="auto" w:sz="4" w:space="0"/>
              <w:left w:val="single" w:color="auto" w:sz="4" w:space="0"/>
              <w:bottom w:val="single" w:color="auto" w:sz="4" w:space="0"/>
              <w:right w:val="single" w:color="auto" w:sz="4" w:space="0"/>
            </w:tcBorders>
            <w:vAlign w:val="center"/>
          </w:tcPr>
          <w:p w14:paraId="3A50EA2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087DB9B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项目名称</w:t>
            </w:r>
          </w:p>
        </w:tc>
        <w:tc>
          <w:tcPr>
            <w:tcW w:w="7189" w:type="dxa"/>
            <w:tcBorders>
              <w:top w:val="single" w:color="auto" w:sz="4" w:space="0"/>
              <w:left w:val="single" w:color="auto" w:sz="4" w:space="0"/>
              <w:bottom w:val="single" w:color="auto" w:sz="4" w:space="0"/>
              <w:right w:val="single" w:color="auto" w:sz="4" w:space="0"/>
            </w:tcBorders>
            <w:vAlign w:val="center"/>
          </w:tcPr>
          <w:p w14:paraId="56F77614">
            <w:pPr>
              <w:keepNext w:val="0"/>
              <w:keepLines w:val="0"/>
              <w:pageBreakBefore w:val="0"/>
              <w:widowControl w:val="0"/>
              <w:kinsoku/>
              <w:wordWrap w:val="0"/>
              <w:overflowPunct/>
              <w:topLinePunct w:val="0"/>
              <w:autoSpaceDE/>
              <w:autoSpaceDN/>
              <w:bidi w:val="0"/>
              <w:adjustRightInd w:val="0"/>
              <w:snapToGrid w:val="0"/>
              <w:spacing w:line="360" w:lineRule="exact"/>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翁源产业园区产城融合基础设施配套项目（商务中心区配套运动设施）监理</w:t>
            </w:r>
          </w:p>
        </w:tc>
      </w:tr>
      <w:tr w14:paraId="30A9F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762D11C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2329A0A9">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项目业主</w:t>
            </w:r>
          </w:p>
        </w:tc>
        <w:tc>
          <w:tcPr>
            <w:tcW w:w="7189" w:type="dxa"/>
            <w:tcBorders>
              <w:top w:val="single" w:color="auto" w:sz="4" w:space="0"/>
              <w:left w:val="single" w:color="auto" w:sz="4" w:space="0"/>
              <w:bottom w:val="single" w:color="auto" w:sz="4" w:space="0"/>
              <w:right w:val="single" w:color="auto" w:sz="4" w:space="0"/>
            </w:tcBorders>
            <w:vAlign w:val="center"/>
          </w:tcPr>
          <w:p w14:paraId="1C8915D2">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Ansi="宋体" w:cs="宋体"/>
                <w:snapToGrid w:val="0"/>
                <w:color w:val="000000" w:themeColor="text1"/>
                <w:kern w:val="0"/>
                <w:szCs w:val="24"/>
                <w:highlight w:val="none"/>
                <w:lang w:val="en-US" w:eastAsia="zh-CN"/>
                <w14:textFill>
                  <w14:solidFill>
                    <w14:schemeClr w14:val="tx1"/>
                  </w14:solidFill>
                </w14:textFill>
              </w:rPr>
              <w:t>广东翁源经济开发区管理委员会</w:t>
            </w:r>
          </w:p>
        </w:tc>
      </w:tr>
      <w:tr w14:paraId="61C07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5888332B">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7037987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项目批准部门</w:t>
            </w:r>
          </w:p>
        </w:tc>
        <w:tc>
          <w:tcPr>
            <w:tcW w:w="7189" w:type="dxa"/>
            <w:tcBorders>
              <w:top w:val="single" w:color="auto" w:sz="4" w:space="0"/>
              <w:left w:val="single" w:color="auto" w:sz="4" w:space="0"/>
              <w:bottom w:val="single" w:color="auto" w:sz="4" w:space="0"/>
              <w:right w:val="single" w:color="auto" w:sz="4" w:space="0"/>
            </w:tcBorders>
            <w:vAlign w:val="center"/>
          </w:tcPr>
          <w:p w14:paraId="20AA014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翁源县发展和改革局</w:t>
            </w:r>
          </w:p>
        </w:tc>
      </w:tr>
      <w:tr w14:paraId="1E092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22" w:hRule="exact"/>
        </w:trPr>
        <w:tc>
          <w:tcPr>
            <w:tcW w:w="721" w:type="dxa"/>
            <w:tcBorders>
              <w:top w:val="single" w:color="auto" w:sz="4" w:space="0"/>
              <w:left w:val="single" w:color="auto" w:sz="4" w:space="0"/>
              <w:bottom w:val="single" w:color="auto" w:sz="4" w:space="0"/>
              <w:right w:val="single" w:color="auto" w:sz="4" w:space="0"/>
            </w:tcBorders>
            <w:vAlign w:val="center"/>
          </w:tcPr>
          <w:p w14:paraId="76E3697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50B43D8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项目批准文号</w:t>
            </w:r>
          </w:p>
        </w:tc>
        <w:tc>
          <w:tcPr>
            <w:tcW w:w="7189" w:type="dxa"/>
            <w:tcBorders>
              <w:top w:val="single" w:color="auto" w:sz="4" w:space="0"/>
              <w:left w:val="single" w:color="auto" w:sz="4" w:space="0"/>
              <w:bottom w:val="single" w:color="auto" w:sz="4" w:space="0"/>
              <w:right w:val="single" w:color="auto" w:sz="4" w:space="0"/>
            </w:tcBorders>
            <w:vAlign w:val="center"/>
          </w:tcPr>
          <w:p w14:paraId="5B1E2EEC">
            <w:pPr>
              <w:pStyle w:val="31"/>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翁发改投审〔2021〕13号、翁发改投审〔2024〕74号、翁发改投审〔2025〕50号、翁发改投审〔2026〕21号</w:t>
            </w:r>
          </w:p>
        </w:tc>
      </w:tr>
      <w:tr w14:paraId="3BC83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4D830DB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383E88E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项目代码</w:t>
            </w:r>
          </w:p>
        </w:tc>
        <w:tc>
          <w:tcPr>
            <w:tcW w:w="7189" w:type="dxa"/>
            <w:tcBorders>
              <w:top w:val="single" w:color="auto" w:sz="4" w:space="0"/>
              <w:left w:val="single" w:color="auto" w:sz="4" w:space="0"/>
              <w:bottom w:val="single" w:color="auto" w:sz="4" w:space="0"/>
              <w:right w:val="single" w:color="auto" w:sz="4" w:space="0"/>
            </w:tcBorders>
            <w:vAlign w:val="center"/>
          </w:tcPr>
          <w:p w14:paraId="5F601B41">
            <w:pPr>
              <w:pStyle w:val="31"/>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2110-440229-04-01-834756</w:t>
            </w:r>
          </w:p>
        </w:tc>
      </w:tr>
      <w:tr w14:paraId="44FAB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exact"/>
        </w:trPr>
        <w:tc>
          <w:tcPr>
            <w:tcW w:w="721" w:type="dxa"/>
            <w:tcBorders>
              <w:top w:val="single" w:color="auto" w:sz="4" w:space="0"/>
              <w:left w:val="single" w:color="auto" w:sz="4" w:space="0"/>
              <w:bottom w:val="single" w:color="auto" w:sz="4" w:space="0"/>
              <w:right w:val="single" w:color="auto" w:sz="4" w:space="0"/>
            </w:tcBorders>
            <w:vAlign w:val="center"/>
          </w:tcPr>
          <w:p w14:paraId="77CB88B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050B9EE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资金来源</w:t>
            </w:r>
          </w:p>
          <w:p w14:paraId="0F87E6FD">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及出资比例</w:t>
            </w:r>
          </w:p>
        </w:tc>
        <w:tc>
          <w:tcPr>
            <w:tcW w:w="7189" w:type="dxa"/>
            <w:tcBorders>
              <w:top w:val="single" w:color="auto" w:sz="4" w:space="0"/>
              <w:left w:val="single" w:color="auto" w:sz="4" w:space="0"/>
              <w:bottom w:val="single" w:color="auto" w:sz="4" w:space="0"/>
              <w:right w:val="single" w:color="auto" w:sz="4" w:space="0"/>
            </w:tcBorders>
            <w:vAlign w:val="center"/>
          </w:tcPr>
          <w:p w14:paraId="0929128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lang w:val="en-US" w:eastAsia="zh-CN"/>
                <w14:textFill>
                  <w14:solidFill>
                    <w14:schemeClr w14:val="tx1"/>
                  </w14:solidFill>
                </w14:textFill>
              </w:rPr>
              <w:t>地方专项债券和县级财政统筹资金解决</w:t>
            </w:r>
            <w:r>
              <w:rPr>
                <w:rFonts w:hint="eastAsia" w:hAnsi="宋体" w:cs="宋体"/>
                <w:color w:val="000000" w:themeColor="text1"/>
                <w:kern w:val="0"/>
                <w:szCs w:val="24"/>
                <w:highlight w:val="none"/>
                <w14:textFill>
                  <w14:solidFill>
                    <w14:schemeClr w14:val="tx1"/>
                  </w14:solidFill>
                </w14:textFill>
              </w:rPr>
              <w:t>，100%</w:t>
            </w:r>
          </w:p>
        </w:tc>
      </w:tr>
      <w:tr w14:paraId="0DD52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5E33F70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23636C3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tc>
        <w:tc>
          <w:tcPr>
            <w:tcW w:w="7189" w:type="dxa"/>
            <w:tcBorders>
              <w:top w:val="single" w:color="auto" w:sz="4" w:space="0"/>
              <w:left w:val="single" w:color="auto" w:sz="4" w:space="0"/>
              <w:bottom w:val="single" w:color="auto" w:sz="4" w:space="0"/>
              <w:right w:val="single" w:color="auto" w:sz="4" w:space="0"/>
            </w:tcBorders>
            <w:vAlign w:val="center"/>
          </w:tcPr>
          <w:p w14:paraId="03BDF7A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4"/>
                <w:szCs w:val="24"/>
                <w:highlight w:val="none"/>
                <w:lang w:eastAsia="zh-CN"/>
                <w14:textFill>
                  <w14:solidFill>
                    <w14:schemeClr w14:val="tx1"/>
                  </w14:solidFill>
                </w14:textFill>
              </w:rPr>
              <w:t>广东翁源经济开发区管理委员会</w:t>
            </w:r>
          </w:p>
        </w:tc>
      </w:tr>
      <w:tr w14:paraId="3C538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689F140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769C33D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tc>
        <w:tc>
          <w:tcPr>
            <w:tcW w:w="7189" w:type="dxa"/>
            <w:tcBorders>
              <w:top w:val="single" w:color="auto" w:sz="4" w:space="0"/>
              <w:left w:val="single" w:color="auto" w:sz="4" w:space="0"/>
              <w:bottom w:val="single" w:color="auto" w:sz="4" w:space="0"/>
              <w:right w:val="single" w:color="auto" w:sz="4" w:space="0"/>
            </w:tcBorders>
            <w:vAlign w:val="center"/>
          </w:tcPr>
          <w:p w14:paraId="502637B8">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广东爱科工程咨询管理有限公司</w:t>
            </w:r>
          </w:p>
        </w:tc>
      </w:tr>
      <w:tr w14:paraId="16916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62D2671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3B4F631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施工单位</w:t>
            </w:r>
          </w:p>
        </w:tc>
        <w:tc>
          <w:tcPr>
            <w:tcW w:w="7189" w:type="dxa"/>
            <w:tcBorders>
              <w:top w:val="single" w:color="auto" w:sz="4" w:space="0"/>
              <w:left w:val="single" w:color="auto" w:sz="4" w:space="0"/>
              <w:bottom w:val="single" w:color="auto" w:sz="4" w:space="0"/>
              <w:right w:val="single" w:color="auto" w:sz="4" w:space="0"/>
            </w:tcBorders>
            <w:vAlign w:val="center"/>
          </w:tcPr>
          <w:p w14:paraId="74EDF51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待定</w:t>
            </w:r>
          </w:p>
        </w:tc>
      </w:tr>
      <w:tr w14:paraId="398F8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5" w:hRule="exact"/>
        </w:trPr>
        <w:tc>
          <w:tcPr>
            <w:tcW w:w="721" w:type="dxa"/>
            <w:tcBorders>
              <w:top w:val="single" w:color="auto" w:sz="4" w:space="0"/>
              <w:left w:val="single" w:color="auto" w:sz="4" w:space="0"/>
              <w:bottom w:val="single" w:color="auto" w:sz="4" w:space="0"/>
              <w:right w:val="single" w:color="auto" w:sz="4" w:space="0"/>
            </w:tcBorders>
            <w:vAlign w:val="center"/>
          </w:tcPr>
          <w:p w14:paraId="14A626E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39E3EE1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建设地点</w:t>
            </w:r>
          </w:p>
        </w:tc>
        <w:tc>
          <w:tcPr>
            <w:tcW w:w="7189" w:type="dxa"/>
            <w:tcBorders>
              <w:top w:val="single" w:color="auto" w:sz="4" w:space="0"/>
              <w:left w:val="single" w:color="auto" w:sz="4" w:space="0"/>
              <w:bottom w:val="single" w:color="auto" w:sz="4" w:space="0"/>
              <w:right w:val="single" w:color="auto" w:sz="4" w:space="0"/>
            </w:tcBorders>
            <w:vAlign w:val="center"/>
          </w:tcPr>
          <w:p w14:paraId="4DD574D0">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lang w:val="en-US" w:eastAsia="zh-CN"/>
                <w14:textFill>
                  <w14:solidFill>
                    <w14:schemeClr w14:val="tx1"/>
                  </w14:solidFill>
                </w14:textFill>
              </w:rPr>
              <w:t>翁源县翁城镇商务中心区内</w:t>
            </w:r>
          </w:p>
        </w:tc>
      </w:tr>
      <w:tr w14:paraId="08A5B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65" w:hRule="exact"/>
        </w:trPr>
        <w:tc>
          <w:tcPr>
            <w:tcW w:w="721" w:type="dxa"/>
            <w:tcBorders>
              <w:top w:val="single" w:color="auto" w:sz="4" w:space="0"/>
              <w:left w:val="single" w:color="auto" w:sz="4" w:space="0"/>
              <w:bottom w:val="single" w:color="auto" w:sz="4" w:space="0"/>
              <w:right w:val="single" w:color="auto" w:sz="4" w:space="0"/>
            </w:tcBorders>
            <w:vAlign w:val="center"/>
          </w:tcPr>
          <w:p w14:paraId="187C311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435864D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建设内容和规模</w:t>
            </w:r>
          </w:p>
        </w:tc>
        <w:tc>
          <w:tcPr>
            <w:tcW w:w="7189" w:type="dxa"/>
            <w:tcBorders>
              <w:top w:val="single" w:color="auto" w:sz="4" w:space="0"/>
              <w:left w:val="single" w:color="auto" w:sz="4" w:space="0"/>
              <w:bottom w:val="single" w:color="auto" w:sz="4" w:space="0"/>
              <w:right w:val="single" w:color="auto" w:sz="4" w:space="0"/>
            </w:tcBorders>
            <w:vAlign w:val="center"/>
          </w:tcPr>
          <w:p w14:paraId="3827CE5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该项目占地面积约6886平方米，建筑面积约7090平方米，主体建筑为地上二层(高度13.9米),地下一层(高度6.95米)。规划建设有五人制休闲足球场、篮球场、乒乓球场、羽毛球场(兼匹克球场)、室内游泳池、320米塑胶跑道等公共体育设施设备。</w:t>
            </w:r>
          </w:p>
        </w:tc>
      </w:tr>
      <w:tr w14:paraId="23437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03" w:hRule="exact"/>
        </w:trPr>
        <w:tc>
          <w:tcPr>
            <w:tcW w:w="721" w:type="dxa"/>
            <w:tcBorders>
              <w:top w:val="single" w:color="auto" w:sz="4" w:space="0"/>
              <w:left w:val="single" w:color="auto" w:sz="4" w:space="0"/>
              <w:bottom w:val="single" w:color="auto" w:sz="4" w:space="0"/>
              <w:right w:val="single" w:color="auto" w:sz="4" w:space="0"/>
            </w:tcBorders>
            <w:vAlign w:val="center"/>
          </w:tcPr>
          <w:p w14:paraId="4FBFDA0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57069ACE">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项目总投资</w:t>
            </w:r>
          </w:p>
        </w:tc>
        <w:tc>
          <w:tcPr>
            <w:tcW w:w="7189" w:type="dxa"/>
            <w:tcBorders>
              <w:top w:val="single" w:color="auto" w:sz="4" w:space="0"/>
              <w:left w:val="single" w:color="auto" w:sz="4" w:space="0"/>
              <w:bottom w:val="single" w:color="auto" w:sz="4" w:space="0"/>
              <w:right w:val="single" w:color="auto" w:sz="4" w:space="0"/>
            </w:tcBorders>
            <w:vAlign w:val="center"/>
          </w:tcPr>
          <w:p w14:paraId="0323C4D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项目概算总投资7285.23万元,其中工程费用6119.33万元，工程建设其他费用573.03万元，土地费用258.25万元，预备费用334.62万元</w:t>
            </w:r>
            <w:r>
              <w:rPr>
                <w:rFonts w:hint="eastAsia" w:hAnsi="宋体" w:cs="宋体"/>
                <w:snapToGrid w:val="0"/>
                <w:color w:val="000000" w:themeColor="text1"/>
                <w:kern w:val="0"/>
                <w:szCs w:val="24"/>
                <w:highlight w:val="none"/>
                <w:lang w:eastAsia="zh-CN"/>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本次招标的监理费用为61.1933万元。</w:t>
            </w:r>
          </w:p>
        </w:tc>
      </w:tr>
      <w:tr w14:paraId="0A70A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13" w:hRule="exact"/>
        </w:trPr>
        <w:tc>
          <w:tcPr>
            <w:tcW w:w="721" w:type="dxa"/>
            <w:tcBorders>
              <w:top w:val="single" w:color="auto" w:sz="4" w:space="0"/>
              <w:left w:val="single" w:color="auto" w:sz="4" w:space="0"/>
              <w:bottom w:val="single" w:color="auto" w:sz="4" w:space="0"/>
              <w:right w:val="single" w:color="auto" w:sz="4" w:space="0"/>
            </w:tcBorders>
            <w:vAlign w:val="center"/>
          </w:tcPr>
          <w:p w14:paraId="768CF9B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5FF4978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招标范围</w:t>
            </w:r>
          </w:p>
        </w:tc>
        <w:tc>
          <w:tcPr>
            <w:tcW w:w="7189" w:type="dxa"/>
            <w:tcBorders>
              <w:top w:val="single" w:color="auto" w:sz="4" w:space="0"/>
              <w:left w:val="single" w:color="auto" w:sz="4" w:space="0"/>
              <w:bottom w:val="single" w:color="auto" w:sz="4" w:space="0"/>
              <w:right w:val="single" w:color="auto" w:sz="4" w:space="0"/>
            </w:tcBorders>
            <w:vAlign w:val="center"/>
          </w:tcPr>
          <w:p w14:paraId="4FEB957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项目建设施工阶段监理（</w:t>
            </w:r>
            <w:r>
              <w:rPr>
                <w:rFonts w:hint="eastAsia" w:ascii="宋体" w:hAnsi="宋体" w:eastAsia="宋体" w:cs="宋体"/>
                <w:color w:val="000000" w:themeColor="text1"/>
                <w:sz w:val="24"/>
                <w:szCs w:val="24"/>
                <w:highlight w:val="none"/>
                <w14:textFill>
                  <w14:solidFill>
                    <w14:schemeClr w14:val="tx1"/>
                  </w14:solidFill>
                </w14:textFill>
              </w:rPr>
              <w:t>含施工准备阶段、施工阶段、工程竣工验收及结算阶段和缺陷责任保修期阶段的监理</w:t>
            </w:r>
            <w:r>
              <w:rPr>
                <w:rFonts w:hint="eastAsia" w:ascii="宋体" w:hAnsi="宋体" w:eastAsia="宋体" w:cs="宋体"/>
                <w:color w:val="000000" w:themeColor="text1"/>
                <w:sz w:val="24"/>
                <w:szCs w:val="24"/>
                <w:highlight w:val="none"/>
                <w:lang w:eastAsia="zh-CN"/>
                <w14:textFill>
                  <w14:solidFill>
                    <w14:schemeClr w14:val="tx1"/>
                  </w14:solidFill>
                </w14:textFill>
              </w:rPr>
              <w:t>服务</w:t>
            </w:r>
            <w:r>
              <w:rPr>
                <w:rFonts w:hint="eastAsia" w:hAnsi="宋体" w:cs="宋体"/>
                <w:bCs/>
                <w:snapToGrid w:val="0"/>
                <w:color w:val="000000" w:themeColor="text1"/>
                <w:kern w:val="0"/>
                <w:szCs w:val="24"/>
                <w:highlight w:val="none"/>
                <w14:textFill>
                  <w14:solidFill>
                    <w14:schemeClr w14:val="tx1"/>
                  </w14:solidFill>
                </w14:textFill>
              </w:rPr>
              <w:t>）</w:t>
            </w:r>
          </w:p>
        </w:tc>
      </w:tr>
      <w:tr w14:paraId="5D3D6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4" w:hRule="exact"/>
        </w:trPr>
        <w:tc>
          <w:tcPr>
            <w:tcW w:w="721" w:type="dxa"/>
            <w:tcBorders>
              <w:top w:val="single" w:color="auto" w:sz="4" w:space="0"/>
              <w:left w:val="single" w:color="auto" w:sz="4" w:space="0"/>
              <w:bottom w:val="single" w:color="auto" w:sz="4" w:space="0"/>
              <w:right w:val="single" w:color="auto" w:sz="4" w:space="0"/>
            </w:tcBorders>
            <w:vAlign w:val="center"/>
          </w:tcPr>
          <w:p w14:paraId="7366F0B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570DFDD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标段划分</w:t>
            </w:r>
          </w:p>
        </w:tc>
        <w:tc>
          <w:tcPr>
            <w:tcW w:w="7189" w:type="dxa"/>
            <w:tcBorders>
              <w:top w:val="single" w:color="auto" w:sz="4" w:space="0"/>
              <w:left w:val="single" w:color="auto" w:sz="4" w:space="0"/>
              <w:bottom w:val="single" w:color="auto" w:sz="4" w:space="0"/>
              <w:right w:val="single" w:color="auto" w:sz="4" w:space="0"/>
            </w:tcBorders>
            <w:vAlign w:val="center"/>
          </w:tcPr>
          <w:p w14:paraId="5C530F9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本招标项目不划分标段。</w:t>
            </w:r>
          </w:p>
        </w:tc>
      </w:tr>
      <w:tr w14:paraId="5251B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1B062C1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2B9787BE">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投标人资格要求</w:t>
            </w:r>
          </w:p>
        </w:tc>
        <w:tc>
          <w:tcPr>
            <w:tcW w:w="7189" w:type="dxa"/>
            <w:tcBorders>
              <w:top w:val="single" w:color="auto" w:sz="4" w:space="0"/>
              <w:left w:val="single" w:color="auto" w:sz="4" w:space="0"/>
              <w:bottom w:val="single" w:color="auto" w:sz="4" w:space="0"/>
              <w:right w:val="single" w:color="auto" w:sz="4" w:space="0"/>
            </w:tcBorders>
            <w:vAlign w:val="center"/>
          </w:tcPr>
          <w:p w14:paraId="036E0AD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1．本次招标不接受联合体投标。</w:t>
            </w:r>
          </w:p>
          <w:p w14:paraId="3D90B778">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2．资质要求</w:t>
            </w:r>
          </w:p>
          <w:p w14:paraId="5AC871D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2.1 投标人须具备独立法人资格，按国家法律经营。</w:t>
            </w:r>
          </w:p>
          <w:p w14:paraId="66F7FD4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2.2 投标人须具备以下资质之一：</w:t>
            </w:r>
          </w:p>
          <w:p w14:paraId="73BF738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（1）工程监理综合资质；</w:t>
            </w:r>
          </w:p>
          <w:p w14:paraId="3EABBF2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（2）房屋建筑工程专业监理乙级以上（含乙级）资质。</w:t>
            </w:r>
          </w:p>
          <w:p w14:paraId="34C9B61F">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2.3 根据有关文件精神，投标人的相关证书到期的，均按该证书的发证机构相关行业主管部门最新文件执行（如自动顺延或推迟办理延期业务的通知），投标人必须将相关文件附在该证书后面，证明在开标日继续有效。</w:t>
            </w:r>
          </w:p>
          <w:p w14:paraId="60402EC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3．相关人员要求</w:t>
            </w:r>
          </w:p>
          <w:p w14:paraId="23E90B8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3.1 拟派总监理工程师为</w:t>
            </w:r>
            <w:r>
              <w:rPr>
                <w:rFonts w:hint="eastAsia" w:hAnsi="宋体" w:cs="宋体"/>
                <w:color w:val="000000" w:themeColor="text1"/>
                <w:szCs w:val="24"/>
                <w:highlight w:val="none"/>
                <w:u w:val="single"/>
                <w14:textFill>
                  <w14:solidFill>
                    <w14:schemeClr w14:val="tx1"/>
                  </w14:solidFill>
                </w14:textFill>
              </w:rPr>
              <w:t>房屋建筑工程专业</w:t>
            </w:r>
            <w:r>
              <w:rPr>
                <w:rFonts w:hint="eastAsia" w:hAnsi="宋体" w:cs="宋体"/>
                <w:color w:val="000000" w:themeColor="text1"/>
                <w:szCs w:val="24"/>
                <w:highlight w:val="none"/>
                <w14:textFill>
                  <w14:solidFill>
                    <w14:schemeClr w14:val="tx1"/>
                  </w14:solidFill>
                </w14:textFill>
              </w:rPr>
              <w:t>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highlight w:val="none"/>
                <w:u w:val="single"/>
                <w14:textFill>
                  <w14:solidFill>
                    <w14:schemeClr w14:val="tx1"/>
                  </w14:solidFill>
                </w14:textFill>
              </w:rPr>
              <w:t xml:space="preserve"> </w:t>
            </w:r>
            <w:r>
              <w:rPr>
                <w:rFonts w:hint="eastAsia" w:hAnsi="宋体" w:cs="宋体"/>
                <w:color w:val="000000" w:themeColor="text1"/>
                <w:szCs w:val="24"/>
                <w:highlight w:val="none"/>
                <w:u w:val="single"/>
                <w:lang w:val="en-US" w:eastAsia="zh-CN"/>
                <w14:textFill>
                  <w14:solidFill>
                    <w14:schemeClr w14:val="tx1"/>
                  </w14:solidFill>
                </w14:textFill>
              </w:rPr>
              <w:t>1</w:t>
            </w:r>
            <w:r>
              <w:rPr>
                <w:rFonts w:hint="eastAsia" w:hAnsi="宋体" w:cs="宋体"/>
                <w:color w:val="000000" w:themeColor="text1"/>
                <w:szCs w:val="24"/>
                <w:highlight w:val="none"/>
                <w:u w:val="singl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个。</w:t>
            </w:r>
          </w:p>
          <w:p w14:paraId="1DF402D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5865C6A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3.2 投标人与其拟派往本项目监理机构的所有人员之间必须具备合法、唯一的劳动聘用关系。拟派人员中具备注册执业资格的，其注册单位须与投标人保持一致。</w:t>
            </w:r>
          </w:p>
          <w:p w14:paraId="4045DCA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3.3</w:t>
            </w:r>
            <w:r>
              <w:rPr>
                <w:rFonts w:hint="eastAsia" w:hAnsi="宋体" w:cs="宋体"/>
                <w:color w:val="000000" w:themeColor="text1"/>
                <w:szCs w:val="24"/>
                <w:highlight w:val="none"/>
                <w14:textFill>
                  <w14:solidFill>
                    <w14:schemeClr w14:val="tx1"/>
                  </w14:solidFill>
                </w14:textFill>
              </w:rPr>
              <w:t>关于企业和人员资质、资格有效期均按相关行政主管部门最新的文件执行，投标人可将相关文件附在投标文件中。</w:t>
            </w:r>
          </w:p>
          <w:p w14:paraId="75F64FF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4．禁止投标条款</w:t>
            </w:r>
          </w:p>
          <w:p w14:paraId="514E8EC6">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4.1 投标人不得存在下列情形之一：</w:t>
            </w:r>
          </w:p>
          <w:p w14:paraId="6200BE3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（1）为招标人不具有独立法人资格的附属机构（单位）；</w:t>
            </w:r>
          </w:p>
          <w:p w14:paraId="0F18F17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（2）与招标人存在利害关系且可能影响招标公正性；</w:t>
            </w:r>
          </w:p>
          <w:p w14:paraId="162107E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（3）与本招标项目的其他投标人为同一个单位负责人；</w:t>
            </w:r>
          </w:p>
          <w:p w14:paraId="01E5915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（4）与本招标项目的其他投标人存在控股、管理关系；</w:t>
            </w:r>
          </w:p>
          <w:p w14:paraId="3D67AA7C">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（5）为本招标项目的代建人；</w:t>
            </w:r>
          </w:p>
          <w:p w14:paraId="00BDA71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（6）为本招标项目的招标代理机构；</w:t>
            </w:r>
          </w:p>
          <w:p w14:paraId="334C243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（7）与本招标项目的代建人或招标代理机构同为一个法定代表人；</w:t>
            </w:r>
          </w:p>
          <w:p w14:paraId="0301C2C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（8）与本招标项目的代建人或招标代理机构存在控股或参股关系；</w:t>
            </w:r>
          </w:p>
          <w:p w14:paraId="102ADB62">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（9）与本招标项目的</w:t>
            </w:r>
            <w:r>
              <w:rPr>
                <w:rFonts w:hint="eastAsia" w:hAnsi="宋体" w:cs="宋体"/>
                <w:color w:val="000000" w:themeColor="text1"/>
                <w:szCs w:val="24"/>
                <w:highlight w:val="none"/>
                <w:lang w:eastAsia="zh-CN"/>
                <w14:textFill>
                  <w14:solidFill>
                    <w14:schemeClr w14:val="tx1"/>
                  </w14:solidFill>
                </w14:textFill>
              </w:rPr>
              <w:t>施工单位</w:t>
            </w:r>
            <w:r>
              <w:rPr>
                <w:rFonts w:hint="eastAsia" w:hAnsi="宋体" w:cs="宋体"/>
                <w:color w:val="000000" w:themeColor="text1"/>
                <w:szCs w:val="24"/>
                <w:highlight w:val="none"/>
                <w14:textFill>
                  <w14:solidFill>
                    <w14:schemeClr w14:val="tx1"/>
                  </w14:solidFill>
                </w14:textFill>
              </w:rPr>
              <w:t>以及建筑材料、建筑构配件和设备供应商有隶属关系或者其他利害关系；</w:t>
            </w:r>
          </w:p>
          <w:p w14:paraId="212FB23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（10）被依法暂停或者取消投标资格；</w:t>
            </w:r>
          </w:p>
          <w:p w14:paraId="4794B44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（11）被责令停产停业、暂扣或者吊销许可证、暂扣或者吊销执照；</w:t>
            </w:r>
          </w:p>
          <w:p w14:paraId="7C66785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（12）进入清算程序，或被宣告破产，或其他丧失履约能力的情形；</w:t>
            </w:r>
          </w:p>
          <w:p w14:paraId="719F5CF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（13）在最近三年内发生重大监理质量问题（以相关行业主管部门的行政处罚决定或司法机关出具的有关法律文书为准）；</w:t>
            </w:r>
          </w:p>
          <w:p w14:paraId="1EF35C0F">
            <w:pPr>
              <w:keepNext w:val="0"/>
              <w:keepLines w:val="0"/>
              <w:pageBreakBefore w:val="0"/>
              <w:widowControl w:val="0"/>
              <w:kinsoku/>
              <w:wordWrap w:val="0"/>
              <w:overflowPunct/>
              <w:topLinePunct w:val="0"/>
              <w:autoSpaceDE/>
              <w:autoSpaceDN/>
              <w:bidi w:val="0"/>
              <w:adjustRightInd w:val="0"/>
              <w:snapToGrid w:val="0"/>
              <w:spacing w:line="360" w:lineRule="exact"/>
              <w:ind w:firstLine="240" w:firstLineChars="1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sym w:font="Wingdings" w:char="00D8"/>
            </w:r>
            <w:r>
              <w:rPr>
                <w:rFonts w:hint="eastAsia" w:hAnsi="宋体" w:cs="宋体"/>
                <w:color w:val="000000" w:themeColor="text1"/>
                <w:szCs w:val="24"/>
                <w:highlight w:val="none"/>
                <w14:textFill>
                  <w14:solidFill>
                    <w14:schemeClr w14:val="tx1"/>
                  </w14:solidFill>
                </w14:textFill>
              </w:rPr>
              <w:t xml:space="preserve"> （14）</w:t>
            </w:r>
            <w:r>
              <w:rPr>
                <w:rFonts w:hint="eastAsia" w:hAnsi="宋体" w:cs="宋体"/>
                <w:color w:val="000000" w:themeColor="text1"/>
                <w:kern w:val="0"/>
                <w:highlight w:val="none"/>
                <w14:textFill>
                  <w14:solidFill>
                    <w14:schemeClr w14:val="tx1"/>
                  </w14:solidFill>
                </w14:textFill>
              </w:rPr>
              <w:t>被“信用中国”网站（https://www.creditchina.gov.cn）发布的《法人和非法人组织公共信用信息报告》列为严重失信主体名单的</w:t>
            </w:r>
            <w:r>
              <w:rPr>
                <w:rFonts w:hint="eastAsia" w:hAnsi="宋体" w:cs="宋体"/>
                <w:color w:val="000000" w:themeColor="text1"/>
                <w:szCs w:val="24"/>
                <w:highlight w:val="none"/>
                <w14:textFill>
                  <w14:solidFill>
                    <w14:schemeClr w14:val="tx1"/>
                  </w14:solidFill>
                </w14:textFill>
              </w:rPr>
              <w:t>。</w:t>
            </w:r>
          </w:p>
          <w:p w14:paraId="60895D7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4.2 招标人拒绝以下名单中的单位参加本次投标：</w:t>
            </w:r>
          </w:p>
          <w:tbl>
            <w:tblPr>
              <w:tblStyle w:val="19"/>
              <w:tblW w:w="6705"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25"/>
              <w:gridCol w:w="3360"/>
            </w:tblGrid>
            <w:tr w14:paraId="604E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vAlign w:val="center"/>
                </w:tcPr>
                <w:p w14:paraId="7883EB42">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序号</w:t>
                  </w:r>
                </w:p>
              </w:tc>
              <w:tc>
                <w:tcPr>
                  <w:tcW w:w="2625" w:type="dxa"/>
                  <w:vAlign w:val="center"/>
                </w:tcPr>
                <w:p w14:paraId="3757B7C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单位名称</w:t>
                  </w:r>
                </w:p>
              </w:tc>
              <w:tc>
                <w:tcPr>
                  <w:tcW w:w="3360" w:type="dxa"/>
                  <w:vAlign w:val="center"/>
                </w:tcPr>
                <w:p w14:paraId="46F41C5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拒绝原因</w:t>
                  </w:r>
                </w:p>
              </w:tc>
            </w:tr>
            <w:tr w14:paraId="0E71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79EDB5C8">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2625" w:type="dxa"/>
                  <w:vAlign w:val="center"/>
                </w:tcPr>
                <w:p w14:paraId="55DC1130">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广东翁源经济开发区管理委员会</w:t>
                  </w:r>
                </w:p>
              </w:tc>
              <w:tc>
                <w:tcPr>
                  <w:tcW w:w="3360" w:type="dxa"/>
                  <w:vAlign w:val="center"/>
                </w:tcPr>
                <w:p w14:paraId="408241CB">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招标人</w:t>
                  </w:r>
                </w:p>
              </w:tc>
            </w:tr>
            <w:tr w14:paraId="416A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55227F90">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2</w:t>
                  </w:r>
                </w:p>
              </w:tc>
              <w:tc>
                <w:tcPr>
                  <w:tcW w:w="2625" w:type="dxa"/>
                  <w:vAlign w:val="center"/>
                </w:tcPr>
                <w:p w14:paraId="356CBD05">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广东爱科工程咨询管理有限公司</w:t>
                  </w:r>
                </w:p>
              </w:tc>
              <w:tc>
                <w:tcPr>
                  <w:tcW w:w="3360" w:type="dxa"/>
                  <w:vAlign w:val="center"/>
                </w:tcPr>
                <w:p w14:paraId="482935FC">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为本招标项目的招标代理机构</w:t>
                  </w:r>
                </w:p>
              </w:tc>
            </w:tr>
            <w:tr w14:paraId="2D38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39C24301">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3</w:t>
                  </w:r>
                </w:p>
              </w:tc>
              <w:tc>
                <w:tcPr>
                  <w:tcW w:w="2625" w:type="dxa"/>
                  <w:vAlign w:val="center"/>
                </w:tcPr>
                <w:p w14:paraId="77B18543">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福建建盛工程管理有限公司</w:t>
                  </w:r>
                </w:p>
              </w:tc>
              <w:tc>
                <w:tcPr>
                  <w:tcW w:w="3360" w:type="dxa"/>
                  <w:vAlign w:val="center"/>
                </w:tcPr>
                <w:p w14:paraId="48EA1F78">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为本项目的可研编制单位</w:t>
                  </w:r>
                </w:p>
              </w:tc>
            </w:tr>
            <w:tr w14:paraId="7323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6E1E5052">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4</w:t>
                  </w:r>
                </w:p>
              </w:tc>
              <w:tc>
                <w:tcPr>
                  <w:tcW w:w="2625" w:type="dxa"/>
                  <w:vAlign w:val="center"/>
                </w:tcPr>
                <w:p w14:paraId="3871115D">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广东省建筑设计研究院有限公司</w:t>
                  </w:r>
                </w:p>
              </w:tc>
              <w:tc>
                <w:tcPr>
                  <w:tcW w:w="3360" w:type="dxa"/>
                  <w:vAlign w:val="center"/>
                </w:tcPr>
                <w:p w14:paraId="1D308659">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勘察、</w:t>
                  </w:r>
                  <w:r>
                    <w:rPr>
                      <w:rFonts w:hint="eastAsia" w:ascii="宋体" w:hAnsi="宋体" w:cs="宋体"/>
                      <w:color w:val="000000" w:themeColor="text1"/>
                      <w:sz w:val="24"/>
                      <w:highlight w:val="none"/>
                      <w:lang w:eastAsia="zh-CN"/>
                      <w14:textFill>
                        <w14:solidFill>
                          <w14:schemeClr w14:val="tx1"/>
                        </w14:solidFill>
                      </w14:textFill>
                    </w:rPr>
                    <w:t>设计单位</w:t>
                  </w:r>
                </w:p>
              </w:tc>
            </w:tr>
          </w:tbl>
          <w:p w14:paraId="033AA61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5．其他要求</w:t>
            </w:r>
          </w:p>
          <w:p w14:paraId="4A19780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CDFB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5B6AFED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7FF520C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服务期限</w:t>
            </w:r>
          </w:p>
        </w:tc>
        <w:tc>
          <w:tcPr>
            <w:tcW w:w="7189" w:type="dxa"/>
            <w:tcBorders>
              <w:top w:val="single" w:color="auto" w:sz="4" w:space="0"/>
              <w:left w:val="single" w:color="auto" w:sz="4" w:space="0"/>
              <w:bottom w:val="single" w:color="auto" w:sz="4" w:space="0"/>
              <w:right w:val="single" w:color="auto" w:sz="4" w:space="0"/>
            </w:tcBorders>
            <w:vAlign w:val="center"/>
          </w:tcPr>
          <w:p w14:paraId="6D1A802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监理服务期不少于</w:t>
            </w:r>
            <w:r>
              <w:rPr>
                <w:rFonts w:hint="eastAsia" w:hAnsi="宋体" w:cs="宋体"/>
                <w:snapToGrid w:val="0"/>
                <w:color w:val="000000" w:themeColor="text1"/>
                <w:kern w:val="0"/>
                <w:szCs w:val="24"/>
                <w:highlight w:val="none"/>
                <w:lang w:val="en-US" w:eastAsia="zh-CN"/>
                <w14:textFill>
                  <w14:solidFill>
                    <w14:schemeClr w14:val="tx1"/>
                  </w14:solidFill>
                </w14:textFill>
              </w:rPr>
              <w:t>365</w:t>
            </w:r>
            <w:r>
              <w:rPr>
                <w:rFonts w:hint="eastAsia" w:hAnsi="宋体" w:cs="宋体"/>
                <w:snapToGrid w:val="0"/>
                <w:color w:val="000000" w:themeColor="text1"/>
                <w:kern w:val="0"/>
                <w:szCs w:val="24"/>
                <w:highlight w:val="none"/>
                <w:lang w:eastAsia="zh-CN"/>
                <w14:textFill>
                  <w14:solidFill>
                    <w14:schemeClr w14:val="tx1"/>
                  </w14:solidFill>
                </w14:textFill>
              </w:rPr>
              <w:t>日历天。监理服务期</w:t>
            </w:r>
            <w:r>
              <w:rPr>
                <w:rFonts w:hint="eastAsia" w:hAnsi="宋体" w:cs="宋体"/>
                <w:snapToGrid w:val="0"/>
                <w:color w:val="000000" w:themeColor="text1"/>
                <w:kern w:val="0"/>
                <w:szCs w:val="24"/>
                <w:highlight w:val="none"/>
                <w14:textFill>
                  <w14:solidFill>
                    <w14:schemeClr w14:val="tx1"/>
                  </w14:solidFill>
                </w14:textFill>
              </w:rPr>
              <w:t>从监理合同签订之日起计，至本工程缺陷责任保修期结束且本工程结算金额经政府主管部门审定且双方的责任义务履行完毕时止。</w:t>
            </w:r>
          </w:p>
        </w:tc>
      </w:tr>
      <w:tr w14:paraId="247A5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1" w:hRule="atLeast"/>
        </w:trPr>
        <w:tc>
          <w:tcPr>
            <w:tcW w:w="721" w:type="dxa"/>
            <w:tcBorders>
              <w:top w:val="single" w:color="auto" w:sz="4" w:space="0"/>
              <w:left w:val="single" w:color="auto" w:sz="4" w:space="0"/>
              <w:bottom w:val="single" w:color="auto" w:sz="4" w:space="0"/>
              <w:right w:val="single" w:color="auto" w:sz="4" w:space="0"/>
            </w:tcBorders>
            <w:vAlign w:val="center"/>
          </w:tcPr>
          <w:p w14:paraId="0587E94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7534CB1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服务标准</w:t>
            </w:r>
          </w:p>
        </w:tc>
        <w:tc>
          <w:tcPr>
            <w:tcW w:w="7189" w:type="dxa"/>
            <w:tcBorders>
              <w:top w:val="single" w:color="auto" w:sz="4" w:space="0"/>
              <w:left w:val="single" w:color="auto" w:sz="4" w:space="0"/>
              <w:bottom w:val="single" w:color="auto" w:sz="4" w:space="0"/>
              <w:right w:val="single" w:color="auto" w:sz="4" w:space="0"/>
            </w:tcBorders>
            <w:vAlign w:val="center"/>
          </w:tcPr>
          <w:p w14:paraId="080FD52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工程质量达到合格标准。</w:t>
            </w:r>
          </w:p>
        </w:tc>
      </w:tr>
      <w:tr w14:paraId="77C30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1" w:hRule="atLeast"/>
        </w:trPr>
        <w:tc>
          <w:tcPr>
            <w:tcW w:w="721" w:type="dxa"/>
            <w:tcBorders>
              <w:top w:val="single" w:color="auto" w:sz="4" w:space="0"/>
              <w:left w:val="single" w:color="auto" w:sz="4" w:space="0"/>
              <w:bottom w:val="single" w:color="auto" w:sz="4" w:space="0"/>
              <w:right w:val="single" w:color="auto" w:sz="4" w:space="0"/>
            </w:tcBorders>
            <w:vAlign w:val="center"/>
          </w:tcPr>
          <w:p w14:paraId="39F63CE4">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61B313B1">
            <w:pPr>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房屋建筑工程</w:t>
            </w:r>
          </w:p>
          <w:p w14:paraId="61270D1A">
            <w:pPr>
              <w:wordWrap w:val="0"/>
              <w:adjustRightInd w:val="0"/>
              <w:snapToGrid w:val="0"/>
              <w:spacing w:line="360" w:lineRule="exact"/>
              <w:jc w:val="center"/>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绿色建筑标准</w:t>
            </w:r>
          </w:p>
        </w:tc>
        <w:tc>
          <w:tcPr>
            <w:tcW w:w="7189" w:type="dxa"/>
            <w:tcBorders>
              <w:top w:val="single" w:color="auto" w:sz="4" w:space="0"/>
              <w:left w:val="single" w:color="auto" w:sz="4" w:space="0"/>
              <w:bottom w:val="single" w:color="auto" w:sz="4" w:space="0"/>
              <w:right w:val="single" w:color="auto" w:sz="4" w:space="0"/>
            </w:tcBorders>
            <w:vAlign w:val="center"/>
          </w:tcPr>
          <w:p w14:paraId="0EADD006">
            <w:pPr>
              <w:wordWrap w:val="0"/>
              <w:adjustRightInd w:val="0"/>
              <w:snapToGrid w:val="0"/>
              <w:spacing w:line="40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本招标项目</w:t>
            </w:r>
            <w:r>
              <w:rPr>
                <w:rFonts w:hint="eastAsia" w:hAnsi="宋体" w:cs="宋体"/>
                <w:bCs/>
                <w:snapToGrid w:val="0"/>
                <w:color w:val="000000" w:themeColor="text1"/>
                <w:kern w:val="0"/>
                <w:sz w:val="24"/>
                <w:szCs w:val="24"/>
                <w:highlight w:val="none"/>
                <w:lang w:val="en-US" w:eastAsia="zh-CN"/>
                <w14:textFill>
                  <w14:solidFill>
                    <w14:schemeClr w14:val="tx1"/>
                  </w14:solidFill>
                </w14:textFill>
              </w:rPr>
              <w:t>不</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纳入绿色建设实施范围。</w:t>
            </w:r>
          </w:p>
        </w:tc>
      </w:tr>
      <w:tr w14:paraId="2E1C5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721" w:type="dxa"/>
            <w:tcBorders>
              <w:top w:val="single" w:color="auto" w:sz="4" w:space="0"/>
              <w:left w:val="single" w:color="auto" w:sz="4" w:space="0"/>
              <w:bottom w:val="single" w:color="auto" w:sz="4" w:space="0"/>
              <w:right w:val="single" w:color="auto" w:sz="4" w:space="0"/>
            </w:tcBorders>
            <w:vAlign w:val="center"/>
          </w:tcPr>
          <w:p w14:paraId="40287E4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22642A8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最高投标限价</w:t>
            </w:r>
          </w:p>
        </w:tc>
        <w:tc>
          <w:tcPr>
            <w:tcW w:w="7189" w:type="dxa"/>
            <w:tcBorders>
              <w:top w:val="single" w:color="auto" w:sz="4" w:space="0"/>
              <w:left w:val="single" w:color="auto" w:sz="4" w:space="0"/>
              <w:bottom w:val="single" w:color="auto" w:sz="4" w:space="0"/>
              <w:right w:val="single" w:color="auto" w:sz="4" w:space="0"/>
            </w:tcBorders>
            <w:vAlign w:val="center"/>
          </w:tcPr>
          <w:p w14:paraId="64ADF40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详见招标文件“第一章 投标人须知 8 最高投标限价”</w:t>
            </w:r>
          </w:p>
        </w:tc>
      </w:tr>
      <w:tr w14:paraId="7CED1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061A0C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789B50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投标保证金</w:t>
            </w:r>
          </w:p>
        </w:tc>
        <w:tc>
          <w:tcPr>
            <w:tcW w:w="7189" w:type="dxa"/>
            <w:tcBorders>
              <w:top w:val="single" w:color="auto" w:sz="4" w:space="0"/>
              <w:left w:val="single" w:color="auto" w:sz="4" w:space="0"/>
              <w:bottom w:val="single" w:color="auto" w:sz="4" w:space="0"/>
              <w:right w:val="single" w:color="auto" w:sz="4" w:space="0"/>
            </w:tcBorders>
            <w:vAlign w:val="center"/>
          </w:tcPr>
          <w:p w14:paraId="3A268887">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1.投标人须缴纳金额为人民币</w:t>
            </w:r>
            <w:r>
              <w:rPr>
                <w:rFonts w:hint="eastAsia" w:hAnsi="宋体" w:cs="宋体"/>
                <w:color w:val="000000" w:themeColor="text1"/>
                <w:highlight w:val="none"/>
                <w:u w:val="single"/>
                <w:lang w:eastAsia="zh-CN"/>
                <w14:textFill>
                  <w14:solidFill>
                    <w14:schemeClr w14:val="tx1"/>
                  </w14:solidFill>
                </w14:textFill>
              </w:rPr>
              <w:t>10000.00元</w:t>
            </w:r>
            <w:r>
              <w:rPr>
                <w:rFonts w:hint="eastAsia" w:hAnsi="宋体" w:cs="宋体"/>
                <w:color w:val="000000" w:themeColor="text1"/>
                <w:highlight w:val="none"/>
                <w14:textFill>
                  <w14:solidFill>
                    <w14:schemeClr w14:val="tx1"/>
                  </w14:solidFill>
                </w14:textFill>
              </w:rPr>
              <w:t>的投标保证。</w:t>
            </w:r>
          </w:p>
          <w:p w14:paraId="534130FD">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2.投标保证的形式包括投标保证金、投标保证担保、投标保证保险三种，由投标人自主选择。</w:t>
            </w:r>
          </w:p>
          <w:p w14:paraId="3FE27A63">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6786E45E">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3F895184">
            <w:pPr>
              <w:keepNext w:val="0"/>
              <w:keepLines w:val="0"/>
              <w:pageBreakBefore w:val="0"/>
              <w:widowControl w:val="0"/>
              <w:kinsoku/>
              <w:wordWrap w:val="0"/>
              <w:overflowPunct/>
              <w:topLinePunct w:val="0"/>
              <w:autoSpaceDE/>
              <w:autoSpaceDN/>
              <w:bidi w:val="0"/>
              <w:adjustRightInd/>
              <w:snapToGrid w:val="0"/>
              <w:spacing w:line="360" w:lineRule="exact"/>
              <w:ind w:firstLine="480" w:firstLineChars="200"/>
              <w:jc w:val="left"/>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261E0F6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FC01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trPr>
        <w:tc>
          <w:tcPr>
            <w:tcW w:w="721" w:type="dxa"/>
            <w:tcBorders>
              <w:top w:val="single" w:color="auto" w:sz="4" w:space="0"/>
              <w:left w:val="single" w:color="auto" w:sz="4" w:space="0"/>
              <w:bottom w:val="single" w:color="auto" w:sz="4" w:space="0"/>
              <w:right w:val="single" w:color="auto" w:sz="4" w:space="0"/>
            </w:tcBorders>
            <w:vAlign w:val="center"/>
          </w:tcPr>
          <w:p w14:paraId="4CB990AE">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2F7B722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投标有效期</w:t>
            </w:r>
          </w:p>
        </w:tc>
        <w:tc>
          <w:tcPr>
            <w:tcW w:w="7189" w:type="dxa"/>
            <w:tcBorders>
              <w:top w:val="single" w:color="auto" w:sz="4" w:space="0"/>
              <w:left w:val="single" w:color="auto" w:sz="4" w:space="0"/>
              <w:bottom w:val="single" w:color="auto" w:sz="4" w:space="0"/>
              <w:right w:val="single" w:color="auto" w:sz="4" w:space="0"/>
            </w:tcBorders>
            <w:vAlign w:val="center"/>
          </w:tcPr>
          <w:p w14:paraId="77B0AC3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本次招标的投标有效期为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w:t>
            </w:r>
          </w:p>
        </w:tc>
      </w:tr>
      <w:tr w14:paraId="3526E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79" w:hRule="exact"/>
        </w:trPr>
        <w:tc>
          <w:tcPr>
            <w:tcW w:w="721" w:type="dxa"/>
            <w:tcBorders>
              <w:top w:val="single" w:color="auto" w:sz="4" w:space="0"/>
              <w:left w:val="single" w:color="auto" w:sz="4" w:space="0"/>
              <w:bottom w:val="single" w:color="auto" w:sz="4" w:space="0"/>
              <w:right w:val="single" w:color="auto" w:sz="4" w:space="0"/>
            </w:tcBorders>
            <w:vAlign w:val="center"/>
          </w:tcPr>
          <w:p w14:paraId="7D9A3F7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441BCE7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w:t>
            </w:r>
          </w:p>
          <w:p w14:paraId="70C7B6F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组成</w:t>
            </w:r>
          </w:p>
        </w:tc>
        <w:tc>
          <w:tcPr>
            <w:tcW w:w="7189" w:type="dxa"/>
            <w:tcBorders>
              <w:top w:val="single" w:color="auto" w:sz="4" w:space="0"/>
              <w:left w:val="single" w:color="auto" w:sz="4" w:space="0"/>
              <w:bottom w:val="single" w:color="auto" w:sz="4" w:space="0"/>
              <w:right w:val="single" w:color="auto" w:sz="4" w:space="0"/>
            </w:tcBorders>
            <w:vAlign w:val="center"/>
          </w:tcPr>
          <w:p w14:paraId="597DAC5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投标文件包括商务标书、监理大纲两个分册。</w:t>
            </w:r>
          </w:p>
        </w:tc>
      </w:tr>
      <w:tr w14:paraId="0AFF6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trPr>
        <w:tc>
          <w:tcPr>
            <w:tcW w:w="721" w:type="dxa"/>
            <w:tcBorders>
              <w:top w:val="single" w:color="auto" w:sz="4" w:space="0"/>
              <w:left w:val="single" w:color="auto" w:sz="4" w:space="0"/>
              <w:bottom w:val="single" w:color="auto" w:sz="4" w:space="0"/>
              <w:right w:val="single" w:color="auto" w:sz="4" w:space="0"/>
            </w:tcBorders>
            <w:vAlign w:val="center"/>
          </w:tcPr>
          <w:p w14:paraId="3849EF7D">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2CB08CA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评标方法</w:t>
            </w:r>
          </w:p>
        </w:tc>
        <w:tc>
          <w:tcPr>
            <w:tcW w:w="7189" w:type="dxa"/>
            <w:tcBorders>
              <w:top w:val="single" w:color="auto" w:sz="4" w:space="0"/>
              <w:left w:val="single" w:color="auto" w:sz="4" w:space="0"/>
              <w:bottom w:val="single" w:color="auto" w:sz="4" w:space="0"/>
              <w:right w:val="single" w:color="auto" w:sz="4" w:space="0"/>
            </w:tcBorders>
            <w:vAlign w:val="center"/>
          </w:tcPr>
          <w:p w14:paraId="6F555CF0">
            <w:pPr>
              <w:keepNext w:val="0"/>
              <w:keepLines w:val="0"/>
              <w:pageBreakBefore w:val="0"/>
              <w:widowControl w:val="0"/>
              <w:kinsoku/>
              <w:wordWrap w:val="0"/>
              <w:overflowPunct/>
              <w:topLinePunct w:val="0"/>
              <w:autoSpaceDE/>
              <w:autoSpaceDN/>
              <w:bidi w:val="0"/>
              <w:adjustRightInd w:val="0"/>
              <w:snapToGrid w:val="0"/>
              <w:spacing w:line="360" w:lineRule="exac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综合评估法</w:t>
            </w:r>
          </w:p>
        </w:tc>
      </w:tr>
      <w:tr w14:paraId="68010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6325AA5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61DC5E9D">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监理大纲</w:t>
            </w:r>
          </w:p>
          <w:p w14:paraId="0E54C2D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评审方式</w:t>
            </w:r>
          </w:p>
        </w:tc>
        <w:tc>
          <w:tcPr>
            <w:tcW w:w="7189" w:type="dxa"/>
            <w:tcBorders>
              <w:top w:val="single" w:color="auto" w:sz="4" w:space="0"/>
              <w:left w:val="single" w:color="auto" w:sz="4" w:space="0"/>
              <w:bottom w:val="single" w:color="auto" w:sz="4" w:space="0"/>
              <w:right w:val="single" w:color="auto" w:sz="4" w:space="0"/>
            </w:tcBorders>
            <w:vAlign w:val="center"/>
          </w:tcPr>
          <w:p w14:paraId="0F88FFD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本次招标监理大纲</w:t>
            </w:r>
            <w:r>
              <w:rPr>
                <w:rFonts w:hint="eastAsia" w:hAnsi="宋体" w:cs="宋体"/>
                <w:snapToGrid w:val="0"/>
                <w:color w:val="000000" w:themeColor="text1"/>
                <w:kern w:val="0"/>
                <w:szCs w:val="24"/>
                <w:highlight w:val="none"/>
                <w:u w:val="single"/>
                <w14:textFill>
                  <w14:solidFill>
                    <w14:schemeClr w14:val="tx1"/>
                  </w14:solidFill>
                </w14:textFill>
              </w:rPr>
              <w:t xml:space="preserve"> 不采用 </w:t>
            </w:r>
            <w:r>
              <w:rPr>
                <w:rFonts w:hint="eastAsia" w:hAnsi="宋体" w:cs="宋体"/>
                <w:snapToGrid w:val="0"/>
                <w:color w:val="000000" w:themeColor="text1"/>
                <w:kern w:val="0"/>
                <w:szCs w:val="24"/>
                <w:highlight w:val="none"/>
                <w14:textFill>
                  <w14:solidFill>
                    <w14:schemeClr w14:val="tx1"/>
                  </w14:solidFill>
                </w14:textFill>
              </w:rPr>
              <w:t>“暗标”方式进行评审。</w:t>
            </w:r>
          </w:p>
        </w:tc>
      </w:tr>
      <w:tr w14:paraId="060FC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86" w:hRule="atLeast"/>
        </w:trPr>
        <w:tc>
          <w:tcPr>
            <w:tcW w:w="721" w:type="dxa"/>
            <w:tcBorders>
              <w:top w:val="single" w:color="auto" w:sz="4" w:space="0"/>
              <w:left w:val="single" w:color="auto" w:sz="4" w:space="0"/>
              <w:bottom w:val="single" w:color="auto" w:sz="4" w:space="0"/>
              <w:right w:val="single" w:color="auto" w:sz="4" w:space="0"/>
            </w:tcBorders>
            <w:vAlign w:val="center"/>
          </w:tcPr>
          <w:p w14:paraId="63FDF489">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5B5BA04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w:t>
            </w:r>
          </w:p>
        </w:tc>
        <w:tc>
          <w:tcPr>
            <w:tcW w:w="7189" w:type="dxa"/>
            <w:tcBorders>
              <w:top w:val="single" w:color="auto" w:sz="4" w:space="0"/>
              <w:left w:val="single" w:color="auto" w:sz="4" w:space="0"/>
              <w:bottom w:val="single" w:color="auto" w:sz="4" w:space="0"/>
              <w:right w:val="single" w:color="auto" w:sz="4" w:space="0"/>
            </w:tcBorders>
            <w:vAlign w:val="center"/>
          </w:tcPr>
          <w:p w14:paraId="1A03A2C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评标委员会由</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人组成，其中招标人代表</w:t>
            </w:r>
            <w:r>
              <w:rPr>
                <w:rFonts w:hint="eastAsia" w:hAnsi="宋体" w:cs="宋体"/>
                <w:snapToGrid w:val="0"/>
                <w:color w:val="000000" w:themeColor="text1"/>
                <w:kern w:val="0"/>
                <w:szCs w:val="24"/>
                <w:highlight w:val="none"/>
                <w:u w:val="single"/>
                <w14:textFill>
                  <w14:solidFill>
                    <w14:schemeClr w14:val="tx1"/>
                  </w14:solidFill>
                </w14:textFill>
              </w:rPr>
              <w:t xml:space="preserve"> 0 </w:t>
            </w:r>
            <w:r>
              <w:rPr>
                <w:rFonts w:hint="eastAsia" w:hAnsi="宋体" w:cs="宋体"/>
                <w:snapToGrid w:val="0"/>
                <w:color w:val="000000" w:themeColor="text1"/>
                <w:kern w:val="0"/>
                <w:szCs w:val="24"/>
                <w:highlight w:val="none"/>
                <w14:textFill>
                  <w14:solidFill>
                    <w14:schemeClr w14:val="tx1"/>
                  </w14:solidFill>
                </w14:textFill>
              </w:rPr>
              <w:t>人，专家</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hAnsi="宋体" w:cs="宋体"/>
                <w:snapToGrid w:val="0"/>
                <w:color w:val="000000" w:themeColor="text1"/>
                <w:kern w:val="0"/>
                <w:szCs w:val="24"/>
                <w:highlight w:val="none"/>
                <w14:textFill>
                  <w14:solidFill>
                    <w14:schemeClr w14:val="tx1"/>
                  </w14:solidFill>
                </w14:textFill>
              </w:rPr>
              <w:t>中随机抽取，其中技术类专家</w:t>
            </w:r>
            <w:r>
              <w:rPr>
                <w:rFonts w:hint="eastAsia" w:hAnsi="宋体" w:cs="宋体"/>
                <w:snapToGrid w:val="0"/>
                <w:color w:val="000000" w:themeColor="text1"/>
                <w:kern w:val="0"/>
                <w:szCs w:val="24"/>
                <w:highlight w:val="none"/>
                <w:u w:val="single"/>
                <w14:textFill>
                  <w14:solidFill>
                    <w14:schemeClr w14:val="tx1"/>
                  </w14:solidFill>
                </w14:textFill>
              </w:rPr>
              <w:t xml:space="preserve"> 3 </w:t>
            </w:r>
            <w:r>
              <w:rPr>
                <w:rFonts w:hint="eastAsia" w:hAnsi="宋体" w:cs="宋体"/>
                <w:snapToGrid w:val="0"/>
                <w:color w:val="000000" w:themeColor="text1"/>
                <w:kern w:val="0"/>
                <w:szCs w:val="24"/>
                <w:highlight w:val="none"/>
                <w14:textFill>
                  <w14:solidFill>
                    <w14:schemeClr w14:val="tx1"/>
                  </w14:solidFill>
                </w14:textFill>
              </w:rPr>
              <w:t>人，经济类专家</w:t>
            </w:r>
            <w:r>
              <w:rPr>
                <w:rFonts w:hint="eastAsia" w:hAnsi="宋体" w:cs="宋体"/>
                <w:snapToGrid w:val="0"/>
                <w:color w:val="000000" w:themeColor="text1"/>
                <w:kern w:val="0"/>
                <w:szCs w:val="24"/>
                <w:highlight w:val="none"/>
                <w:u w:val="single"/>
                <w14:textFill>
                  <w14:solidFill>
                    <w14:schemeClr w14:val="tx1"/>
                  </w14:solidFill>
                </w14:textFill>
              </w:rPr>
              <w:t xml:space="preserve"> 2 </w:t>
            </w:r>
            <w:r>
              <w:rPr>
                <w:rFonts w:hint="eastAsia" w:hAnsi="宋体" w:cs="宋体"/>
                <w:snapToGrid w:val="0"/>
                <w:color w:val="000000" w:themeColor="text1"/>
                <w:kern w:val="0"/>
                <w:szCs w:val="24"/>
                <w:highlight w:val="none"/>
                <w14:textFill>
                  <w14:solidFill>
                    <w14:schemeClr w14:val="tx1"/>
                  </w14:solidFill>
                </w14:textFill>
              </w:rPr>
              <w:t>人。</w:t>
            </w:r>
          </w:p>
        </w:tc>
      </w:tr>
      <w:tr w14:paraId="0C795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309A2A5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3B97A7B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p w14:paraId="38D4F6D2">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3A8E9377">
            <w:pPr>
              <w:pStyle w:val="32"/>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单位名称：广东翁源经济开发区管理委员会</w:t>
            </w:r>
          </w:p>
          <w:p w14:paraId="57C76F5C">
            <w:pPr>
              <w:pStyle w:val="31"/>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val="zh-CN"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办公地址：</w:t>
            </w:r>
            <w:r>
              <w:rPr>
                <w:rFonts w:hint="eastAsia" w:ascii="宋体" w:hAnsi="宋体" w:cs="宋体"/>
                <w:snapToGrid w:val="0"/>
                <w:color w:val="000000" w:themeColor="text1"/>
                <w:kern w:val="0"/>
                <w:sz w:val="24"/>
                <w:highlight w:val="none"/>
                <w:lang w:eastAsia="zh-CN"/>
                <w14:textFill>
                  <w14:solidFill>
                    <w14:schemeClr w14:val="tx1"/>
                  </w14:solidFill>
                </w14:textFill>
              </w:rPr>
              <w:t>翁源县翁城镇厚源大厦210</w:t>
            </w:r>
          </w:p>
          <w:p w14:paraId="223F4EF6">
            <w:pPr>
              <w:pStyle w:val="32"/>
              <w:keepNext w:val="0"/>
              <w:keepLines w:val="0"/>
              <w:pageBreakBefore w:val="0"/>
              <w:widowControl w:val="0"/>
              <w:kinsoku/>
              <w:overflowPunct/>
              <w:topLinePunct w:val="0"/>
              <w:autoSpaceDE/>
              <w:autoSpaceDN/>
              <w:bidi w:val="0"/>
              <w:spacing w:line="360" w:lineRule="exact"/>
              <w:ind w:firstLine="480" w:firstLineChars="200"/>
              <w:jc w:val="left"/>
              <w:rPr>
                <w:rFonts w:hint="default"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联系人（部门）：</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肖工</w:t>
            </w:r>
          </w:p>
          <w:p w14:paraId="09E5AB8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联系电话：</w:t>
            </w:r>
            <w:r>
              <w:rPr>
                <w:rFonts w:hint="eastAsia" w:hAnsi="宋体" w:cs="宋体"/>
                <w:snapToGrid w:val="0"/>
                <w:color w:val="000000" w:themeColor="text1"/>
                <w:kern w:val="0"/>
                <w:sz w:val="24"/>
                <w:szCs w:val="24"/>
                <w:highlight w:val="none"/>
                <w:lang w:eastAsia="zh-CN"/>
                <w14:textFill>
                  <w14:solidFill>
                    <w14:schemeClr w14:val="tx1"/>
                  </w14:solidFill>
                </w14:textFill>
              </w:rPr>
              <w:t>0751-6928836</w:t>
            </w:r>
          </w:p>
        </w:tc>
      </w:tr>
      <w:tr w14:paraId="5CE6B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721" w:type="dxa"/>
            <w:tcBorders>
              <w:top w:val="single" w:color="auto" w:sz="4" w:space="0"/>
              <w:left w:val="single" w:color="auto" w:sz="4" w:space="0"/>
              <w:bottom w:val="single" w:color="auto" w:sz="4" w:space="0"/>
              <w:right w:val="single" w:color="auto" w:sz="4" w:space="0"/>
            </w:tcBorders>
            <w:vAlign w:val="center"/>
          </w:tcPr>
          <w:p w14:paraId="33A7F9AB">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036A814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p w14:paraId="4881BED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287000D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单位名称：广东爱科工程咨询管理有限公司</w:t>
            </w:r>
          </w:p>
          <w:p w14:paraId="23F8C276">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办公地址：仁化县建设路52号第三层</w:t>
            </w:r>
          </w:p>
          <w:p w14:paraId="10F29D4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联系人(部门)：</w:t>
            </w:r>
            <w:r>
              <w:rPr>
                <w:rFonts w:hint="eastAsia" w:hAnsi="宋体" w:cs="宋体"/>
                <w:snapToGrid w:val="0"/>
                <w:color w:val="000000" w:themeColor="text1"/>
                <w:kern w:val="0"/>
                <w:szCs w:val="24"/>
                <w:highlight w:val="none"/>
                <w:lang w:val="en-US" w:eastAsia="zh-CN"/>
                <w14:textFill>
                  <w14:solidFill>
                    <w14:schemeClr w14:val="tx1"/>
                  </w14:solidFill>
                </w14:textFill>
              </w:rPr>
              <w:t>温工</w:t>
            </w:r>
          </w:p>
          <w:p w14:paraId="4A3F3FA8">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联系电话：13500208871</w:t>
            </w:r>
          </w:p>
        </w:tc>
      </w:tr>
      <w:tr w14:paraId="6ED4D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70" w:hRule="atLeast"/>
        </w:trPr>
        <w:tc>
          <w:tcPr>
            <w:tcW w:w="721" w:type="dxa"/>
            <w:tcBorders>
              <w:top w:val="single" w:color="auto" w:sz="4" w:space="0"/>
              <w:left w:val="single" w:color="auto" w:sz="4" w:space="0"/>
              <w:bottom w:val="single" w:color="auto" w:sz="4" w:space="0"/>
              <w:right w:val="single" w:color="auto" w:sz="4" w:space="0"/>
            </w:tcBorders>
            <w:vAlign w:val="center"/>
          </w:tcPr>
          <w:p w14:paraId="2BF93F89">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68AA267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交易场所</w:t>
            </w:r>
          </w:p>
          <w:p w14:paraId="07046442">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35CCFCF8">
            <w:pPr>
              <w:keepNext w:val="0"/>
              <w:keepLines w:val="0"/>
              <w:pageBreakBefore w:val="0"/>
              <w:widowControl w:val="0"/>
              <w:kinsoku/>
              <w:overflowPunct/>
              <w:topLinePunct w:val="0"/>
              <w:autoSpaceDE/>
              <w:autoSpaceDN/>
              <w:bidi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单位名称：韶关市公共资源交易中心</w:t>
            </w:r>
          </w:p>
          <w:p w14:paraId="422241AB">
            <w:pPr>
              <w:keepNext w:val="0"/>
              <w:keepLines w:val="0"/>
              <w:pageBreakBefore w:val="0"/>
              <w:widowControl w:val="0"/>
              <w:kinsoku/>
              <w:overflowPunct/>
              <w:topLinePunct w:val="0"/>
              <w:autoSpaceDE/>
              <w:autoSpaceDN/>
              <w:bidi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办公地址：翁源县龙仙镇朝阳路63号韶关市公共资源交易中心翁源分中心</w:t>
            </w:r>
          </w:p>
          <w:p w14:paraId="02F4542F">
            <w:pPr>
              <w:keepNext w:val="0"/>
              <w:keepLines w:val="0"/>
              <w:pageBreakBefore w:val="0"/>
              <w:widowControl w:val="0"/>
              <w:kinsoku/>
              <w:overflowPunct/>
              <w:topLinePunct w:val="0"/>
              <w:autoSpaceDE/>
              <w:autoSpaceDN/>
              <w:bidi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 xml:space="preserve">联系人（部门）：工程交易股 </w:t>
            </w:r>
          </w:p>
          <w:p w14:paraId="05495AC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联系电话：0751-2815819</w:t>
            </w:r>
          </w:p>
        </w:tc>
      </w:tr>
      <w:tr w14:paraId="488F8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58" w:hRule="atLeast"/>
        </w:trPr>
        <w:tc>
          <w:tcPr>
            <w:tcW w:w="721" w:type="dxa"/>
            <w:tcBorders>
              <w:top w:val="single" w:color="auto" w:sz="4" w:space="0"/>
              <w:left w:val="single" w:color="auto" w:sz="4" w:space="0"/>
              <w:bottom w:val="single" w:color="auto" w:sz="4" w:space="0"/>
              <w:right w:val="single" w:color="auto" w:sz="4" w:space="0"/>
            </w:tcBorders>
            <w:vAlign w:val="center"/>
          </w:tcPr>
          <w:p w14:paraId="36086C24">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1242C77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行政监督部门</w:t>
            </w:r>
          </w:p>
          <w:p w14:paraId="56BFD09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0E1D9134">
            <w:pPr>
              <w:keepNext w:val="0"/>
              <w:keepLines w:val="0"/>
              <w:pageBreakBefore w:val="0"/>
              <w:widowControl w:val="0"/>
              <w:kinsoku/>
              <w:overflowPunct/>
              <w:topLinePunct w:val="0"/>
              <w:autoSpaceDE/>
              <w:autoSpaceDN/>
              <w:bidi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单位名称：翁源县住房和城乡建设管理局</w:t>
            </w:r>
          </w:p>
          <w:p w14:paraId="5A774017">
            <w:pPr>
              <w:keepNext w:val="0"/>
              <w:keepLines w:val="0"/>
              <w:pageBreakBefore w:val="0"/>
              <w:widowControl w:val="0"/>
              <w:kinsoku/>
              <w:overflowPunct/>
              <w:topLinePunct w:val="0"/>
              <w:autoSpaceDE/>
              <w:autoSpaceDN/>
              <w:bidi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办公地址：翁源县龙仙镇朝阳路186号</w:t>
            </w:r>
          </w:p>
          <w:p w14:paraId="14A7D8E8">
            <w:pPr>
              <w:keepNext w:val="0"/>
              <w:keepLines w:val="0"/>
              <w:pageBreakBefore w:val="0"/>
              <w:widowControl w:val="0"/>
              <w:kinsoku/>
              <w:overflowPunct/>
              <w:topLinePunct w:val="0"/>
              <w:autoSpaceDE/>
              <w:autoSpaceDN/>
              <w:bidi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联系人(部门)：建管股</w:t>
            </w:r>
          </w:p>
          <w:p w14:paraId="1454843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联系电话：0751-2870501 </w:t>
            </w:r>
            <w:r>
              <w:rPr>
                <w:rFonts w:hint="eastAsia" w:hAnsi="宋体" w:cs="宋体"/>
                <w:snapToGrid w:val="0"/>
                <w:color w:val="000000" w:themeColor="text1"/>
                <w:kern w:val="0"/>
                <w:szCs w:val="24"/>
                <w:highlight w:val="none"/>
                <w14:textFill>
                  <w14:solidFill>
                    <w14:schemeClr w14:val="tx1"/>
                  </w14:solidFill>
                </w14:textFill>
              </w:rPr>
              <w:t> </w:t>
            </w:r>
          </w:p>
        </w:tc>
      </w:tr>
      <w:bookmarkEnd w:id="4"/>
      <w:tr w14:paraId="391F8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645" w:hRule="atLeast"/>
        </w:trPr>
        <w:tc>
          <w:tcPr>
            <w:tcW w:w="721" w:type="dxa"/>
            <w:tcBorders>
              <w:top w:val="single" w:color="auto" w:sz="4" w:space="0"/>
              <w:left w:val="single" w:color="auto" w:sz="4" w:space="0"/>
              <w:bottom w:val="single" w:color="auto" w:sz="4" w:space="0"/>
              <w:right w:val="single" w:color="auto" w:sz="4" w:space="0"/>
            </w:tcBorders>
            <w:vAlign w:val="center"/>
          </w:tcPr>
          <w:p w14:paraId="6779891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bookmarkStart w:id="5" w:name="_Toc122859103"/>
            <w:bookmarkStart w:id="6" w:name="_Toc122671103"/>
            <w:bookmarkStart w:id="7" w:name="_Toc122769943"/>
            <w:r>
              <w:rPr>
                <w:rFonts w:hint="eastAsia" w:hAnsi="宋体" w:cs="宋体"/>
                <w:snapToGrid w:val="0"/>
                <w:color w:val="000000" w:themeColor="text1"/>
                <w:kern w:val="0"/>
                <w:szCs w:val="24"/>
                <w:highlight w:val="none"/>
                <w:lang w:val="en-US" w:eastAsia="zh-CN"/>
                <w14:textFill>
                  <w14:solidFill>
                    <w14:schemeClr w14:val="tx1"/>
                  </w14:solidFill>
                </w14:textFill>
              </w:rPr>
              <w:t>30</w:t>
            </w:r>
          </w:p>
        </w:tc>
        <w:tc>
          <w:tcPr>
            <w:tcW w:w="1725" w:type="dxa"/>
            <w:tcBorders>
              <w:top w:val="single" w:color="auto" w:sz="4" w:space="0"/>
              <w:left w:val="single" w:color="auto" w:sz="4" w:space="0"/>
              <w:bottom w:val="single" w:color="auto" w:sz="4" w:space="0"/>
              <w:right w:val="single" w:color="auto" w:sz="4" w:space="0"/>
            </w:tcBorders>
            <w:vAlign w:val="center"/>
          </w:tcPr>
          <w:p w14:paraId="1F8B023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术语</w:t>
            </w:r>
          </w:p>
        </w:tc>
        <w:tc>
          <w:tcPr>
            <w:tcW w:w="7189" w:type="dxa"/>
            <w:tcBorders>
              <w:top w:val="single" w:color="auto" w:sz="4" w:space="0"/>
              <w:left w:val="single" w:color="auto" w:sz="4" w:space="0"/>
              <w:bottom w:val="single" w:color="auto" w:sz="4" w:space="0"/>
              <w:right w:val="single" w:color="auto" w:sz="4" w:space="0"/>
            </w:tcBorders>
            <w:vAlign w:val="center"/>
          </w:tcPr>
          <w:p w14:paraId="187905E9">
            <w:pPr>
              <w:pStyle w:val="8"/>
              <w:keepNext w:val="0"/>
              <w:keepLines w:val="0"/>
              <w:pageBreakBefore w:val="0"/>
              <w:widowControl w:val="0"/>
              <w:kinsoku/>
              <w:overflowPunct/>
              <w:topLinePunct w:val="0"/>
              <w:autoSpaceDE/>
              <w:autoSpaceDN/>
              <w:bidi w:val="0"/>
              <w:spacing w:line="360" w:lineRule="exact"/>
              <w:ind w:firstLine="480" w:firstLineChars="200"/>
              <w:rPr>
                <w:rFonts w:hint="eastAsia" w:ascii="宋体" w:hAnsi="宋体" w:eastAsia="宋体" w:cs="宋体"/>
                <w:color w:val="000000" w:themeColor="text1"/>
                <w:kern w:val="2"/>
                <w:highlight w:val="none"/>
                <w:lang w:eastAsia="zh-CN"/>
                <w14:textFill>
                  <w14:solidFill>
                    <w14:schemeClr w14:val="tx1"/>
                  </w14:solidFill>
                </w14:textFill>
              </w:rPr>
            </w:pPr>
            <w:r>
              <w:rPr>
                <w:rFonts w:hint="eastAsia" w:ascii="宋体" w:hAnsi="宋体" w:eastAsia="宋体" w:cs="宋体"/>
                <w:color w:val="000000" w:themeColor="text1"/>
                <w:kern w:val="2"/>
                <w:highlight w:val="none"/>
                <w:lang w:eastAsia="zh-CN"/>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643E106">
            <w:pPr>
              <w:pStyle w:val="8"/>
              <w:keepNext w:val="0"/>
              <w:keepLines w:val="0"/>
              <w:pageBreakBefore w:val="0"/>
              <w:widowControl w:val="0"/>
              <w:kinsoku/>
              <w:overflowPunct/>
              <w:topLinePunct w:val="0"/>
              <w:autoSpaceDE/>
              <w:autoSpaceDN/>
              <w:bidi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2"/>
                <w:highlight w:val="none"/>
                <w:lang w:eastAsia="zh-CN"/>
                <w14:textFill>
                  <w14:solidFill>
                    <w14:schemeClr w14:val="tx1"/>
                  </w14:solidFill>
                </w14:textFill>
              </w:rPr>
              <w:t>2．“相关服务”是指监理人受委托人的委托，按照合同约定，在勘察、设计、保修等阶段提供的服务活动。</w:t>
            </w:r>
          </w:p>
        </w:tc>
      </w:tr>
      <w:bookmarkEnd w:id="5"/>
      <w:bookmarkEnd w:id="6"/>
      <w:bookmarkEnd w:id="7"/>
      <w:tr w14:paraId="5E04D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520" w:hRule="atLeast"/>
        </w:trPr>
        <w:tc>
          <w:tcPr>
            <w:tcW w:w="721" w:type="dxa"/>
            <w:tcBorders>
              <w:top w:val="single" w:color="auto" w:sz="4" w:space="0"/>
              <w:left w:val="single" w:color="auto" w:sz="4" w:space="0"/>
              <w:bottom w:val="single" w:color="auto" w:sz="4" w:space="0"/>
              <w:right w:val="single" w:color="auto" w:sz="4" w:space="0"/>
            </w:tcBorders>
            <w:vAlign w:val="center"/>
          </w:tcPr>
          <w:p w14:paraId="3251821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w:t>
            </w:r>
            <w:r>
              <w:rPr>
                <w:rFonts w:hint="eastAsia" w:hAnsi="宋体" w:cs="宋体"/>
                <w:snapToGrid w:val="0"/>
                <w:color w:val="000000" w:themeColor="text1"/>
                <w:kern w:val="0"/>
                <w:szCs w:val="24"/>
                <w:highlight w:val="none"/>
                <w:lang w:val="en-US" w:eastAsia="zh-CN"/>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403CCA3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其他费用</w:t>
            </w:r>
          </w:p>
        </w:tc>
        <w:tc>
          <w:tcPr>
            <w:tcW w:w="7189" w:type="dxa"/>
            <w:tcBorders>
              <w:top w:val="single" w:color="auto" w:sz="4" w:space="0"/>
              <w:left w:val="single" w:color="auto" w:sz="4" w:space="0"/>
              <w:bottom w:val="single" w:color="auto" w:sz="4" w:space="0"/>
              <w:right w:val="single" w:color="auto" w:sz="4" w:space="0"/>
            </w:tcBorders>
            <w:vAlign w:val="center"/>
          </w:tcPr>
          <w:p w14:paraId="40B5F053">
            <w:pPr>
              <w:pStyle w:val="8"/>
              <w:keepNext w:val="0"/>
              <w:keepLines w:val="0"/>
              <w:pageBreakBefore w:val="0"/>
              <w:widowControl w:val="0"/>
              <w:kinsoku/>
              <w:overflowPunct/>
              <w:topLinePunct w:val="0"/>
              <w:autoSpaceDE/>
              <w:autoSpaceDN/>
              <w:bidi w:val="0"/>
              <w:spacing w:line="360" w:lineRule="exact"/>
              <w:ind w:firstLine="480" w:firstLineChars="200"/>
              <w:rPr>
                <w:rFonts w:hAnsi="宋体" w:cs="宋体"/>
                <w:snapToGrid w:val="0"/>
                <w:color w:val="000000" w:themeColor="text1"/>
                <w:szCs w:val="24"/>
                <w:highlight w:val="none"/>
                <w14:textFill>
                  <w14:solidFill>
                    <w14:schemeClr w14:val="tx1"/>
                  </w14:solidFill>
                </w14:textFill>
              </w:rPr>
            </w:pPr>
            <w:r>
              <w:rPr>
                <w:rFonts w:hint="eastAsia" w:hAnsi="宋体" w:cs="宋体"/>
                <w:color w:val="000000" w:themeColor="text1"/>
                <w:kern w:val="2"/>
                <w:highlight w:val="none"/>
                <w14:textFill>
                  <w14:solidFill>
                    <w14:schemeClr w14:val="tx1"/>
                  </w14:solidFill>
                </w14:textFill>
              </w:rPr>
              <w:t>本项目的招标代理服务费及评标专家酬劳由中标人支付，由投标人在投标报价时综合考虑在内。招标代理服务费参照</w:t>
            </w:r>
            <w:r>
              <w:rPr>
                <w:rFonts w:hint="eastAsia" w:hAnsi="宋体" w:cs="宋体"/>
                <w:color w:val="000000" w:themeColor="text1"/>
                <w:kern w:val="2"/>
                <w:highlight w:val="none"/>
                <w:lang w:eastAsia="zh-CN"/>
                <w14:textFill>
                  <w14:solidFill>
                    <w14:schemeClr w14:val="tx1"/>
                  </w14:solidFill>
                </w14:textFill>
              </w:rPr>
              <w:t>参照《招标代理服务收费管理暂行办法》计价格[2002]1980号文、《国家发展改革委关于降低部分建设项目收费标准规范收费行为等有关问题的通知》〔2011〕534号文计算服务费用金额</w:t>
            </w:r>
            <w:r>
              <w:rPr>
                <w:rFonts w:hint="eastAsia" w:hAnsi="宋体" w:cs="宋体"/>
                <w:color w:val="000000" w:themeColor="text1"/>
                <w:kern w:val="2"/>
                <w:highlight w:val="none"/>
                <w14:textFill>
                  <w14:solidFill>
                    <w14:schemeClr w14:val="tx1"/>
                  </w14:solidFill>
                </w14:textFill>
              </w:rPr>
              <w:t>。中标人在领取中标通知书前须向招标代理机构一次性支付（评标专家酬劳先由招标代理垫付，以评标结束当日的评标专家酬劳签收表总额为准）。</w:t>
            </w:r>
          </w:p>
        </w:tc>
      </w:tr>
    </w:tbl>
    <w:p w14:paraId="30857AF1">
      <w:pPr>
        <w:pStyle w:val="4"/>
        <w:wordWrap w:val="0"/>
        <w:autoSpaceDE/>
        <w:autoSpaceDN/>
        <w:snapToGrid w:val="0"/>
        <w:spacing w:before="260" w:after="260" w:line="440" w:lineRule="exact"/>
        <w:jc w:val="both"/>
        <w:rPr>
          <w:rFonts w:ascii="Times New Roman"/>
          <w:b/>
          <w:snapToGrid w:val="0"/>
          <w:color w:val="000000" w:themeColor="text1"/>
          <w:highlight w:val="none"/>
          <w14:textFill>
            <w14:solidFill>
              <w14:schemeClr w14:val="tx1"/>
            </w14:solidFill>
          </w14:textFill>
        </w:rPr>
        <w:sectPr>
          <w:footerReference r:id="rId6" w:type="default"/>
          <w:endnotePr>
            <w:numFmt w:val="decimal"/>
          </w:endnotePr>
          <w:pgSz w:w="11906" w:h="16838"/>
          <w:pgMar w:top="1440" w:right="1080" w:bottom="1440" w:left="1080" w:header="850" w:footer="992" w:gutter="0"/>
          <w:pgNumType w:fmt="decimal" w:start="1"/>
          <w:cols w:space="0" w:num="1"/>
          <w:docGrid w:linePitch="327" w:charSpace="0"/>
        </w:sectPr>
      </w:pPr>
    </w:p>
    <w:p w14:paraId="35BA690F">
      <w:pPr>
        <w:pStyle w:val="4"/>
        <w:wordWrap w:val="0"/>
        <w:autoSpaceDE/>
        <w:autoSpaceDN/>
        <w:snapToGrid w:val="0"/>
        <w:spacing w:after="120" w:afterLines="50" w:line="440" w:lineRule="exact"/>
        <w:jc w:val="both"/>
        <w:rPr>
          <w:rFonts w:ascii="Times New Roman"/>
          <w:snapToGrid w:val="0"/>
          <w:color w:val="000000" w:themeColor="text1"/>
          <w:highlight w:val="none"/>
          <w14:textFill>
            <w14:solidFill>
              <w14:schemeClr w14:val="tx1"/>
            </w14:solidFill>
          </w14:textFill>
        </w:rPr>
      </w:pPr>
      <w:bookmarkStart w:id="8" w:name="_Toc714"/>
      <w:bookmarkStart w:id="9" w:name="_Toc29035"/>
      <w:r>
        <w:rPr>
          <w:rFonts w:hint="eastAsia" w:ascii="Times New Roman"/>
          <w:b/>
          <w:snapToGrid w:val="0"/>
          <w:color w:val="000000" w:themeColor="text1"/>
          <w:highlight w:val="none"/>
          <w14:textFill>
            <w14:solidFill>
              <w14:schemeClr w14:val="tx1"/>
            </w14:solidFill>
          </w14:textFill>
        </w:rPr>
        <w:t>第二节 重要事项时间地点一览表</w:t>
      </w:r>
      <w:bookmarkEnd w:id="8"/>
      <w:bookmarkEnd w:id="9"/>
    </w:p>
    <w:tbl>
      <w:tblPr>
        <w:tblStyle w:val="19"/>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11"/>
        <w:gridCol w:w="1472"/>
        <w:gridCol w:w="7296"/>
      </w:tblGrid>
      <w:tr w14:paraId="7DF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60C699C5">
            <w:pPr>
              <w:pStyle w:val="32"/>
              <w:wordWrap w:val="0"/>
              <w:adjustRightInd w:val="0"/>
              <w:snapToGrid w:val="0"/>
              <w:spacing w:after="260" w:line="44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1</w:t>
            </w:r>
          </w:p>
        </w:tc>
        <w:tc>
          <w:tcPr>
            <w:tcW w:w="1472" w:type="dxa"/>
            <w:shd w:val="clear" w:color="auto" w:fill="FFFFFF"/>
            <w:vAlign w:val="center"/>
          </w:tcPr>
          <w:p w14:paraId="6BC2BCAE">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招标公告</w:t>
            </w:r>
          </w:p>
          <w:p w14:paraId="7A0FB4AB">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发布时间</w:t>
            </w:r>
          </w:p>
        </w:tc>
        <w:tc>
          <w:tcPr>
            <w:tcW w:w="7296" w:type="dxa"/>
            <w:shd w:val="clear" w:color="auto" w:fill="FFFFFF"/>
            <w:vAlign w:val="center"/>
          </w:tcPr>
          <w:p w14:paraId="55307005">
            <w:pPr>
              <w:pStyle w:val="18"/>
              <w:spacing w:before="0" w:beforeAutospacing="0" w:after="150" w:afterAutospacing="0" w:line="360" w:lineRule="atLeast"/>
              <w:rPr>
                <w:color w:val="000000" w:themeColor="text1"/>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3</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27</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cs="宋体"/>
                <w:color w:val="auto"/>
                <w:kern w:val="0"/>
                <w:sz w:val="24"/>
                <w:szCs w:val="24"/>
                <w:highlight w:val="none"/>
                <w:u w:val="single"/>
                <w:lang w:val="en-US" w:eastAsia="zh-CN"/>
              </w:rPr>
              <w:t>17</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471D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48177DBB">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1472" w:type="dxa"/>
            <w:shd w:val="clear" w:color="auto" w:fill="FFFFFF"/>
            <w:vAlign w:val="center"/>
          </w:tcPr>
          <w:p w14:paraId="3C4D7E8C">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获取招标文件截止时间</w:t>
            </w:r>
          </w:p>
        </w:tc>
        <w:tc>
          <w:tcPr>
            <w:tcW w:w="7296" w:type="dxa"/>
            <w:shd w:val="clear" w:color="auto" w:fill="FFFFFF"/>
            <w:vAlign w:val="center"/>
          </w:tcPr>
          <w:p w14:paraId="397CB202">
            <w:pPr>
              <w:pStyle w:val="18"/>
              <w:spacing w:before="0" w:beforeAutospacing="0" w:after="150" w:afterAutospacing="0" w:line="360" w:lineRule="atLeast"/>
              <w:rPr>
                <w:color w:val="000000" w:themeColor="text1"/>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17</w:t>
            </w:r>
            <w:r>
              <w:rPr>
                <w:rFonts w:hint="eastAsia" w:ascii="宋体" w:hAnsi="宋体" w:cs="宋体"/>
                <w:color w:val="auto"/>
                <w:kern w:val="0"/>
                <w:sz w:val="24"/>
                <w:szCs w:val="24"/>
                <w:highlight w:val="none"/>
              </w:rPr>
              <w:t>日</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 xml:space="preserve"> </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04D0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610D5F64">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1472" w:type="dxa"/>
            <w:shd w:val="clear" w:color="auto" w:fill="FFFFFF"/>
            <w:vAlign w:val="center"/>
          </w:tcPr>
          <w:p w14:paraId="1AD9B7EF">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网上提问</w:t>
            </w:r>
          </w:p>
          <w:p w14:paraId="5FDDDDEE">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截止时间</w:t>
            </w:r>
          </w:p>
        </w:tc>
        <w:tc>
          <w:tcPr>
            <w:tcW w:w="7296" w:type="dxa"/>
            <w:shd w:val="clear" w:color="auto" w:fill="FFFFFF"/>
            <w:vAlign w:val="center"/>
          </w:tcPr>
          <w:p w14:paraId="02B33C4E">
            <w:pPr>
              <w:pStyle w:val="18"/>
              <w:spacing w:before="0" w:beforeAutospacing="0" w:after="150" w:afterAutospacing="0" w:line="360" w:lineRule="atLeast"/>
              <w:rPr>
                <w:color w:val="000000" w:themeColor="text1"/>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w:t>
            </w:r>
            <w:r>
              <w:rPr>
                <w:rFonts w:hint="eastAsia" w:cs="宋体"/>
                <w:color w:val="auto"/>
                <w:kern w:val="0"/>
                <w:sz w:val="24"/>
                <w:szCs w:val="24"/>
                <w:highlight w:val="none"/>
                <w:u w:val="single"/>
                <w:lang w:val="en-US" w:eastAsia="zh-CN"/>
              </w:rPr>
              <w:t>7</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5221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3B85203A">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1472" w:type="dxa"/>
            <w:shd w:val="clear" w:color="auto" w:fill="FFFFFF"/>
            <w:vAlign w:val="center"/>
          </w:tcPr>
          <w:p w14:paraId="007F0028">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网上答疑</w:t>
            </w:r>
          </w:p>
          <w:p w14:paraId="3B1D83A1">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w:t>
            </w:r>
          </w:p>
        </w:tc>
        <w:tc>
          <w:tcPr>
            <w:tcW w:w="7296" w:type="dxa"/>
            <w:shd w:val="clear" w:color="auto" w:fill="FFFFFF"/>
            <w:vAlign w:val="center"/>
          </w:tcPr>
          <w:p w14:paraId="0EE46CDC">
            <w:pPr>
              <w:pStyle w:val="18"/>
              <w:spacing w:before="0" w:beforeAutospacing="0" w:after="150" w:afterAutospacing="0" w:line="360" w:lineRule="atLeast"/>
              <w:ind w:left="240" w:hanging="240" w:hangingChars="100"/>
              <w:rPr>
                <w:color w:val="000000" w:themeColor="text1"/>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7</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日</w:t>
            </w:r>
            <w:r>
              <w:rPr>
                <w:rFonts w:hint="eastAsia"/>
                <w:color w:val="000000" w:themeColor="text1"/>
                <w:kern w:val="2"/>
                <w:sz w:val="24"/>
                <w:szCs w:val="24"/>
                <w:highlight w:val="none"/>
                <w:u w:val="single"/>
                <w14:textFill>
                  <w14:solidFill>
                    <w14:schemeClr w14:val="tx1"/>
                  </w14:solidFill>
                </w14:textFill>
              </w:rPr>
              <w:t xml:space="preserve">16 </w:t>
            </w:r>
            <w:r>
              <w:rPr>
                <w:rFonts w:hint="eastAsia"/>
                <w:color w:val="000000" w:themeColor="text1"/>
                <w:kern w:val="2"/>
                <w:sz w:val="24"/>
                <w:szCs w:val="24"/>
                <w:highlight w:val="none"/>
                <w14:textFill>
                  <w14:solidFill>
                    <w14:schemeClr w14:val="tx1"/>
                  </w14:solidFill>
                </w14:textFill>
              </w:rPr>
              <w:t>时</w:t>
            </w:r>
            <w:r>
              <w:rPr>
                <w:rFonts w:hint="eastAsia"/>
                <w:color w:val="000000" w:themeColor="text1"/>
                <w:kern w:val="2"/>
                <w:sz w:val="24"/>
                <w:szCs w:val="24"/>
                <w:highlight w:val="none"/>
                <w:u w:val="single"/>
                <w14:textFill>
                  <w14:solidFill>
                    <w14:schemeClr w14:val="tx1"/>
                  </w14:solidFill>
                </w14:textFill>
              </w:rPr>
              <w:t>30</w:t>
            </w:r>
            <w:r>
              <w:rPr>
                <w:rFonts w:hint="eastAsia"/>
                <w:color w:val="000000" w:themeColor="text1"/>
                <w:kern w:val="2"/>
                <w:sz w:val="24"/>
                <w:szCs w:val="24"/>
                <w:highlight w:val="none"/>
                <w14:textFill>
                  <w14:solidFill>
                    <w14:schemeClr w14:val="tx1"/>
                  </w14:solidFill>
                </w14:textFill>
              </w:rPr>
              <w:t>分至</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rPr>
              <w:t>日</w:t>
            </w:r>
            <w:r>
              <w:rPr>
                <w:rFonts w:hint="eastAsia"/>
                <w:color w:val="000000" w:themeColor="text1"/>
                <w:kern w:val="2"/>
                <w:sz w:val="24"/>
                <w:szCs w:val="24"/>
                <w:highlight w:val="none"/>
                <w:u w:val="single"/>
                <w14:textFill>
                  <w14:solidFill>
                    <w14:schemeClr w14:val="tx1"/>
                  </w14:solidFill>
                </w14:textFill>
              </w:rPr>
              <w:t>16</w:t>
            </w:r>
            <w:r>
              <w:rPr>
                <w:rFonts w:hint="eastAsia"/>
                <w:color w:val="000000" w:themeColor="text1"/>
                <w:kern w:val="2"/>
                <w:sz w:val="24"/>
                <w:szCs w:val="24"/>
                <w:highlight w:val="none"/>
                <w14:textFill>
                  <w14:solidFill>
                    <w14:schemeClr w14:val="tx1"/>
                  </w14:solidFill>
                </w14:textFill>
              </w:rPr>
              <w:t>时</w:t>
            </w:r>
            <w:r>
              <w:rPr>
                <w:rFonts w:hint="eastAsia"/>
                <w:color w:val="000000" w:themeColor="text1"/>
                <w:kern w:val="2"/>
                <w:sz w:val="24"/>
                <w:szCs w:val="24"/>
                <w:highlight w:val="none"/>
                <w:u w:val="single"/>
                <w14:textFill>
                  <w14:solidFill>
                    <w14:schemeClr w14:val="tx1"/>
                  </w14:solidFill>
                </w14:textFill>
              </w:rPr>
              <w:t>00</w:t>
            </w:r>
            <w:r>
              <w:rPr>
                <w:rFonts w:hint="eastAsia"/>
                <w:color w:val="000000" w:themeColor="text1"/>
                <w:kern w:val="2"/>
                <w:sz w:val="24"/>
                <w:szCs w:val="24"/>
                <w:highlight w:val="none"/>
                <w14:textFill>
                  <w14:solidFill>
                    <w14:schemeClr w14:val="tx1"/>
                  </w14:solidFill>
                </w14:textFill>
              </w:rPr>
              <w:t>分</w:t>
            </w:r>
          </w:p>
        </w:tc>
      </w:tr>
      <w:tr w14:paraId="1098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20" w:hRule="atLeast"/>
          <w:jc w:val="center"/>
        </w:trPr>
        <w:tc>
          <w:tcPr>
            <w:tcW w:w="411" w:type="dxa"/>
            <w:shd w:val="clear" w:color="auto" w:fill="FFFFFF"/>
            <w:vAlign w:val="center"/>
          </w:tcPr>
          <w:p w14:paraId="625B9A1E">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p>
        </w:tc>
        <w:tc>
          <w:tcPr>
            <w:tcW w:w="1472" w:type="dxa"/>
            <w:shd w:val="clear" w:color="auto" w:fill="FFFFFF"/>
            <w:vAlign w:val="center"/>
          </w:tcPr>
          <w:p w14:paraId="01BAEE19">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投标保证缴</w:t>
            </w:r>
          </w:p>
          <w:p w14:paraId="78AC1A21">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纳截止时间</w:t>
            </w:r>
          </w:p>
        </w:tc>
        <w:tc>
          <w:tcPr>
            <w:tcW w:w="7296" w:type="dxa"/>
            <w:shd w:val="clear" w:color="auto" w:fill="FFFFFF"/>
            <w:vAlign w:val="center"/>
          </w:tcPr>
          <w:p w14:paraId="567B422F">
            <w:pPr>
              <w:pStyle w:val="18"/>
              <w:spacing w:before="0" w:beforeAutospacing="0" w:after="150" w:afterAutospacing="0" w:line="360" w:lineRule="atLeast"/>
              <w:ind w:firstLine="240" w:firstLineChars="1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投标保证金到账截止时间：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rPr>
              <w:t>日</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r>
              <w:rPr>
                <w:rFonts w:hint="eastAsia"/>
                <w:color w:val="000000" w:themeColor="text1"/>
                <w:sz w:val="24"/>
                <w:szCs w:val="24"/>
                <w:highlight w:val="none"/>
                <w14:textFill>
                  <w14:solidFill>
                    <w14:schemeClr w14:val="tx1"/>
                  </w14:solidFill>
                </w14:textFill>
              </w:rPr>
              <w:t>；</w:t>
            </w:r>
          </w:p>
          <w:p w14:paraId="2E6F8E4A">
            <w:pPr>
              <w:pStyle w:val="18"/>
              <w:spacing w:before="0" w:beforeAutospacing="0" w:after="150" w:afterAutospacing="0" w:line="360" w:lineRule="atLeast"/>
              <w:ind w:firstLine="240" w:firstLineChars="1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投标保证担保办理截止时间：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rPr>
              <w:t>日</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r>
              <w:rPr>
                <w:rFonts w:hint="eastAsia"/>
                <w:color w:val="000000" w:themeColor="text1"/>
                <w:sz w:val="24"/>
                <w:szCs w:val="24"/>
                <w:highlight w:val="none"/>
                <w14:textFill>
                  <w14:solidFill>
                    <w14:schemeClr w14:val="tx1"/>
                  </w14:solidFill>
                </w14:textFill>
              </w:rPr>
              <w:t>；</w:t>
            </w:r>
          </w:p>
          <w:p w14:paraId="7936C66D">
            <w:pPr>
              <w:pStyle w:val="18"/>
              <w:spacing w:before="0" w:beforeAutospacing="0" w:after="150" w:afterAutospacing="0" w:line="360" w:lineRule="atLeast"/>
              <w:ind w:firstLine="240" w:firstLineChars="100"/>
              <w:rPr>
                <w:color w:val="000000" w:themeColor="text1"/>
                <w:sz w:val="24"/>
                <w:szCs w:val="24"/>
                <w:highlight w:val="none"/>
                <w14:textFill>
                  <w14:solidFill>
                    <w14:schemeClr w14:val="tx1"/>
                  </w14:solidFill>
                </w14:textFill>
              </w:rPr>
            </w:pPr>
            <w:r>
              <w:rPr>
                <w:rFonts w:hint="eastAsia"/>
                <w:snapToGrid w:val="0"/>
                <w:color w:val="000000" w:themeColor="text1"/>
                <w:sz w:val="24"/>
                <w:szCs w:val="24"/>
                <w:highlight w:val="none"/>
                <w14:textFill>
                  <w14:solidFill>
                    <w14:schemeClr w14:val="tx1"/>
                  </w14:solidFill>
                </w14:textFill>
              </w:rPr>
              <w:t>投标保证保险投保截止时间：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rPr>
              <w:t>日</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r>
              <w:rPr>
                <w:rFonts w:hint="eastAsia"/>
                <w:snapToGrid w:val="0"/>
                <w:color w:val="000000" w:themeColor="text1"/>
                <w:sz w:val="24"/>
                <w:szCs w:val="24"/>
                <w:highlight w:val="none"/>
                <w14:textFill>
                  <w14:solidFill>
                    <w14:schemeClr w14:val="tx1"/>
                  </w14:solidFill>
                </w14:textFill>
              </w:rPr>
              <w:t>。</w:t>
            </w:r>
          </w:p>
        </w:tc>
      </w:tr>
      <w:tr w14:paraId="265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50" w:hRule="atLeast"/>
          <w:jc w:val="center"/>
        </w:trPr>
        <w:tc>
          <w:tcPr>
            <w:tcW w:w="411" w:type="dxa"/>
            <w:shd w:val="clear" w:color="auto" w:fill="FFFFFF"/>
            <w:vAlign w:val="center"/>
          </w:tcPr>
          <w:p w14:paraId="20E40634">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p>
        </w:tc>
        <w:tc>
          <w:tcPr>
            <w:tcW w:w="1472" w:type="dxa"/>
            <w:shd w:val="clear" w:color="auto" w:fill="FFFFFF"/>
            <w:vAlign w:val="center"/>
          </w:tcPr>
          <w:p w14:paraId="06833E62">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电子投标</w:t>
            </w:r>
          </w:p>
          <w:p w14:paraId="6EF623C7">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截止时间</w:t>
            </w:r>
          </w:p>
        </w:tc>
        <w:tc>
          <w:tcPr>
            <w:tcW w:w="7296" w:type="dxa"/>
            <w:shd w:val="clear" w:color="auto" w:fill="FFFFFF"/>
            <w:vAlign w:val="center"/>
          </w:tcPr>
          <w:p w14:paraId="1AA561A7">
            <w:pPr>
              <w:pStyle w:val="18"/>
              <w:spacing w:before="0" w:beforeAutospacing="0" w:after="150" w:afterAutospacing="0" w:line="360" w:lineRule="atLeas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17</w:t>
            </w:r>
            <w:r>
              <w:rPr>
                <w:rFonts w:hint="eastAsia" w:ascii="宋体" w:hAnsi="宋体" w:cs="宋体"/>
                <w:color w:val="auto"/>
                <w:kern w:val="0"/>
                <w:sz w:val="24"/>
                <w:szCs w:val="24"/>
                <w:highlight w:val="none"/>
              </w:rPr>
              <w:t>日</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6940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411" w:type="dxa"/>
            <w:shd w:val="clear" w:color="auto" w:fill="FFFFFF"/>
            <w:vAlign w:val="center"/>
          </w:tcPr>
          <w:p w14:paraId="10943642">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w:t>
            </w:r>
          </w:p>
        </w:tc>
        <w:tc>
          <w:tcPr>
            <w:tcW w:w="1472" w:type="dxa"/>
            <w:shd w:val="clear" w:color="auto" w:fill="FFFFFF"/>
            <w:vAlign w:val="center"/>
          </w:tcPr>
          <w:p w14:paraId="2856814A">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投标相关资料（如有）</w:t>
            </w:r>
          </w:p>
          <w:p w14:paraId="6707072D">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递交时间</w:t>
            </w:r>
          </w:p>
        </w:tc>
        <w:tc>
          <w:tcPr>
            <w:tcW w:w="7296" w:type="dxa"/>
            <w:shd w:val="clear" w:color="auto" w:fill="FFFFFF"/>
            <w:vAlign w:val="center"/>
          </w:tcPr>
          <w:p w14:paraId="2508DD20">
            <w:pPr>
              <w:pStyle w:val="32"/>
              <w:wordWrap w:val="0"/>
              <w:adjustRightInd w:val="0"/>
              <w:snapToGrid w:val="0"/>
              <w:spacing w:line="400" w:lineRule="exact"/>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xml:space="preserve"> </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17</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000000" w:themeColor="text1"/>
                <w:sz w:val="24"/>
                <w:szCs w:val="24"/>
                <w:highlight w:val="none"/>
                <w14:textFill>
                  <w14:solidFill>
                    <w14:schemeClr w14:val="tx1"/>
                  </w14:solidFill>
                </w14:textFill>
              </w:rPr>
              <w:t>至</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17</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 xml:space="preserve">00 </w:t>
            </w:r>
            <w:r>
              <w:rPr>
                <w:rFonts w:hint="eastAsia" w:ascii="宋体" w:hAnsi="宋体" w:cs="宋体"/>
                <w:color w:val="auto"/>
                <w:kern w:val="0"/>
                <w:sz w:val="24"/>
                <w:szCs w:val="24"/>
                <w:highlight w:val="none"/>
              </w:rPr>
              <w:t>分</w:t>
            </w:r>
          </w:p>
        </w:tc>
      </w:tr>
      <w:tr w14:paraId="423E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411" w:type="dxa"/>
            <w:shd w:val="clear" w:color="auto" w:fill="FFFFFF"/>
            <w:vAlign w:val="center"/>
          </w:tcPr>
          <w:p w14:paraId="638BA0E1">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w:t>
            </w:r>
          </w:p>
        </w:tc>
        <w:tc>
          <w:tcPr>
            <w:tcW w:w="1472" w:type="dxa"/>
            <w:shd w:val="clear" w:color="auto" w:fill="FFFFFF"/>
            <w:vAlign w:val="center"/>
          </w:tcPr>
          <w:p w14:paraId="311EBD91">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投标相关资料（如有）</w:t>
            </w:r>
          </w:p>
          <w:p w14:paraId="18A6888A">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递交地点</w:t>
            </w:r>
          </w:p>
        </w:tc>
        <w:tc>
          <w:tcPr>
            <w:tcW w:w="7296" w:type="dxa"/>
            <w:shd w:val="clear" w:color="auto" w:fill="FFFFFF"/>
            <w:vAlign w:val="center"/>
          </w:tcPr>
          <w:p w14:paraId="46AE8CCD">
            <w:pPr>
              <w:pStyle w:val="32"/>
              <w:wordWrap w:val="0"/>
              <w:adjustRightInd w:val="0"/>
              <w:snapToGrid w:val="0"/>
              <w:spacing w:line="400" w:lineRule="exact"/>
              <w:ind w:firstLine="240" w:firstLineChars="1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递交场所：</w:t>
            </w:r>
            <w:r>
              <w:rPr>
                <w:rFonts w:hint="eastAsia" w:ascii="宋体" w:hAnsi="宋体" w:cs="宋体"/>
                <w:color w:val="000000" w:themeColor="text1"/>
                <w:sz w:val="24"/>
                <w:szCs w:val="24"/>
                <w:highlight w:val="none"/>
                <w:u w:val="single"/>
                <w14:textFill>
                  <w14:solidFill>
                    <w14:schemeClr w14:val="tx1"/>
                  </w14:solidFill>
                </w14:textFill>
              </w:rPr>
              <w:t>韶关市公共资源交易中心翁源分中心</w:t>
            </w:r>
            <w:r>
              <w:rPr>
                <w:rFonts w:hint="eastAsia" w:ascii="宋体" w:hAnsi="宋体" w:cs="宋体"/>
                <w:color w:val="000000" w:themeColor="text1"/>
                <w:sz w:val="24"/>
                <w:szCs w:val="24"/>
                <w:highlight w:val="none"/>
                <w14:textFill>
                  <w14:solidFill>
                    <w14:schemeClr w14:val="tx1"/>
                  </w14:solidFill>
                </w14:textFill>
              </w:rPr>
              <w:t>，地址：</w:t>
            </w:r>
            <w:r>
              <w:rPr>
                <w:rFonts w:hint="eastAsia" w:ascii="宋体" w:hAnsi="宋体" w:cs="宋体"/>
                <w:color w:val="000000" w:themeColor="text1"/>
                <w:sz w:val="24"/>
                <w:szCs w:val="24"/>
                <w:highlight w:val="none"/>
                <w:u w:val="single"/>
                <w14:textFill>
                  <w14:solidFill>
                    <w14:schemeClr w14:val="tx1"/>
                  </w14:solidFill>
                </w14:textFill>
              </w:rPr>
              <w:t>翁源县龙仙镇朝阳路63号韶关市公共资源交易中心翁源分中心</w:t>
            </w:r>
            <w:r>
              <w:rPr>
                <w:rFonts w:hint="eastAsia" w:ascii="宋体" w:hAnsi="宋体" w:cs="宋体"/>
                <w:color w:val="000000" w:themeColor="text1"/>
                <w:sz w:val="24"/>
                <w:szCs w:val="24"/>
                <w:highlight w:val="none"/>
                <w14:textFill>
                  <w14:solidFill>
                    <w14:schemeClr w14:val="tx1"/>
                  </w14:solidFill>
                </w14:textFill>
              </w:rPr>
              <w:t>，具体房间号以当日现场通知为准。</w:t>
            </w:r>
          </w:p>
        </w:tc>
      </w:tr>
      <w:tr w14:paraId="45FF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37" w:hRule="atLeast"/>
          <w:jc w:val="center"/>
        </w:trPr>
        <w:tc>
          <w:tcPr>
            <w:tcW w:w="411" w:type="dxa"/>
            <w:shd w:val="clear" w:color="auto" w:fill="FFFFFF"/>
            <w:vAlign w:val="center"/>
          </w:tcPr>
          <w:p w14:paraId="06279585">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w:t>
            </w:r>
          </w:p>
        </w:tc>
        <w:tc>
          <w:tcPr>
            <w:tcW w:w="1472" w:type="dxa"/>
            <w:shd w:val="clear" w:color="auto" w:fill="FFFFFF"/>
            <w:vAlign w:val="center"/>
          </w:tcPr>
          <w:p w14:paraId="68E65455">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开标时间</w:t>
            </w:r>
          </w:p>
        </w:tc>
        <w:tc>
          <w:tcPr>
            <w:tcW w:w="7296" w:type="dxa"/>
            <w:shd w:val="clear" w:color="auto" w:fill="FFFFFF"/>
            <w:vAlign w:val="center"/>
          </w:tcPr>
          <w:p w14:paraId="49E86854">
            <w:pPr>
              <w:pStyle w:val="18"/>
              <w:spacing w:before="0" w:beforeAutospacing="0" w:after="150" w:afterAutospacing="0" w:line="360" w:lineRule="atLeas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cs="宋体"/>
                <w:color w:val="auto"/>
                <w:kern w:val="0"/>
                <w:sz w:val="24"/>
                <w:szCs w:val="24"/>
                <w:highlight w:val="none"/>
                <w:u w:val="single"/>
                <w:lang w:val="en-US" w:eastAsia="zh-CN"/>
              </w:rPr>
              <w:t>4</w:t>
            </w:r>
            <w:r>
              <w:rPr>
                <w:rFonts w:hint="eastAsia" w:ascii="宋体" w:hAnsi="宋体" w:cs="宋体"/>
                <w:color w:val="auto"/>
                <w:kern w:val="0"/>
                <w:sz w:val="24"/>
                <w:szCs w:val="24"/>
                <w:highlight w:val="none"/>
              </w:rPr>
              <w:t>月</w:t>
            </w:r>
            <w:r>
              <w:rPr>
                <w:rFonts w:hint="eastAsia" w:cs="宋体"/>
                <w:color w:val="auto"/>
                <w:kern w:val="0"/>
                <w:sz w:val="24"/>
                <w:szCs w:val="24"/>
                <w:highlight w:val="none"/>
                <w:u w:val="single"/>
                <w:lang w:val="en-US" w:eastAsia="zh-CN"/>
              </w:rPr>
              <w:t>17</w:t>
            </w:r>
            <w:r>
              <w:rPr>
                <w:rFonts w:hint="eastAsia" w:ascii="宋体" w:hAnsi="宋体" w:cs="宋体"/>
                <w:color w:val="auto"/>
                <w:kern w:val="0"/>
                <w:sz w:val="24"/>
                <w:szCs w:val="24"/>
                <w:highlight w:val="none"/>
              </w:rPr>
              <w:t>日</w:t>
            </w:r>
            <w:r>
              <w:rPr>
                <w:rFonts w:hint="eastAsia" w:cs="宋体"/>
                <w:color w:val="auto"/>
                <w:kern w:val="0"/>
                <w:sz w:val="24"/>
                <w:szCs w:val="24"/>
                <w:highlight w:val="none"/>
                <w:u w:val="single"/>
                <w:lang w:val="en-US" w:eastAsia="zh-CN"/>
              </w:rPr>
              <w:t>10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时</w:t>
            </w:r>
            <w:r>
              <w:rPr>
                <w:rFonts w:hint="eastAsia"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1978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85" w:hRule="atLeast"/>
          <w:jc w:val="center"/>
        </w:trPr>
        <w:tc>
          <w:tcPr>
            <w:tcW w:w="411" w:type="dxa"/>
            <w:shd w:val="clear" w:color="auto" w:fill="FFFFFF"/>
            <w:vAlign w:val="center"/>
          </w:tcPr>
          <w:p w14:paraId="40A87280">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p>
        </w:tc>
        <w:tc>
          <w:tcPr>
            <w:tcW w:w="1472" w:type="dxa"/>
            <w:shd w:val="clear" w:color="auto" w:fill="FFFFFF"/>
            <w:vAlign w:val="center"/>
          </w:tcPr>
          <w:p w14:paraId="3EB25A42">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开标地点</w:t>
            </w:r>
          </w:p>
        </w:tc>
        <w:tc>
          <w:tcPr>
            <w:tcW w:w="7296" w:type="dxa"/>
            <w:shd w:val="clear" w:color="auto" w:fill="FFFFFF"/>
            <w:vAlign w:val="center"/>
          </w:tcPr>
          <w:p w14:paraId="14AD92E7">
            <w:pPr>
              <w:pStyle w:val="18"/>
              <w:spacing w:before="0" w:beforeAutospacing="0" w:after="150" w:afterAutospacing="0" w:line="360" w:lineRule="atLeast"/>
              <w:ind w:firstLine="210"/>
              <w:rPr>
                <w:color w:val="000000" w:themeColor="text1"/>
                <w:sz w:val="24"/>
                <w:szCs w:val="24"/>
                <w:highlight w:val="none"/>
                <w14:textFill>
                  <w14:solidFill>
                    <w14:schemeClr w14:val="tx1"/>
                  </w14:solidFill>
                </w14:textFill>
              </w:rPr>
            </w:pPr>
            <w:r>
              <w:rPr>
                <w:rFonts w:hint="eastAsia"/>
                <w:color w:val="000000" w:themeColor="text1"/>
                <w:kern w:val="2"/>
                <w:sz w:val="24"/>
                <w:szCs w:val="24"/>
                <w:highlight w:val="none"/>
                <w14:textFill>
                  <w14:solidFill>
                    <w14:schemeClr w14:val="tx1"/>
                  </w14:solidFill>
                </w14:textFill>
              </w:rPr>
              <w:t>开标场所：</w:t>
            </w:r>
            <w:r>
              <w:rPr>
                <w:rFonts w:hint="eastAsia"/>
                <w:color w:val="000000" w:themeColor="text1"/>
                <w:kern w:val="2"/>
                <w:sz w:val="24"/>
                <w:szCs w:val="24"/>
                <w:highlight w:val="none"/>
                <w:u w:val="single"/>
                <w14:textFill>
                  <w14:solidFill>
                    <w14:schemeClr w14:val="tx1"/>
                  </w14:solidFill>
                </w14:textFill>
              </w:rPr>
              <w:t>韶关市公共资源交易中心翁源分中心</w:t>
            </w:r>
            <w:r>
              <w:rPr>
                <w:rFonts w:hint="eastAsia"/>
                <w:color w:val="000000" w:themeColor="text1"/>
                <w:kern w:val="2"/>
                <w:sz w:val="24"/>
                <w:szCs w:val="24"/>
                <w:highlight w:val="none"/>
                <w14:textFill>
                  <w14:solidFill>
                    <w14:schemeClr w14:val="tx1"/>
                  </w14:solidFill>
                </w14:textFill>
              </w:rPr>
              <w:t>，地址：</w:t>
            </w:r>
            <w:r>
              <w:rPr>
                <w:rFonts w:hint="eastAsia"/>
                <w:color w:val="000000" w:themeColor="text1"/>
                <w:kern w:val="2"/>
                <w:sz w:val="24"/>
                <w:szCs w:val="24"/>
                <w:highlight w:val="none"/>
                <w:u w:val="single"/>
                <w14:textFill>
                  <w14:solidFill>
                    <w14:schemeClr w14:val="tx1"/>
                  </w14:solidFill>
                </w14:textFill>
              </w:rPr>
              <w:t>翁源县龙仙镇朝阳路63号韶关市公共资源交易中心翁源分中心</w:t>
            </w:r>
            <w:r>
              <w:rPr>
                <w:rFonts w:hint="eastAsia"/>
                <w:color w:val="000000" w:themeColor="text1"/>
                <w:kern w:val="2"/>
                <w:sz w:val="24"/>
                <w:szCs w:val="24"/>
                <w:highlight w:val="none"/>
                <w14:textFill>
                  <w14:solidFill>
                    <w14:schemeClr w14:val="tx1"/>
                  </w14:solidFill>
                </w14:textFill>
              </w:rPr>
              <w:t>，具体房间号以当日现场通知为准。</w:t>
            </w:r>
          </w:p>
        </w:tc>
      </w:tr>
      <w:tr w14:paraId="2C43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450" w:hRule="atLeast"/>
          <w:jc w:val="center"/>
        </w:trPr>
        <w:tc>
          <w:tcPr>
            <w:tcW w:w="411" w:type="dxa"/>
            <w:shd w:val="clear" w:color="auto" w:fill="FFFFFF"/>
            <w:vAlign w:val="center"/>
          </w:tcPr>
          <w:p w14:paraId="6E3E97AF">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w:t>
            </w:r>
          </w:p>
        </w:tc>
        <w:tc>
          <w:tcPr>
            <w:tcW w:w="1472" w:type="dxa"/>
            <w:shd w:val="clear" w:color="auto" w:fill="FFFFFF"/>
            <w:vAlign w:val="center"/>
          </w:tcPr>
          <w:p w14:paraId="5B2BB76D">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w:t>
            </w:r>
          </w:p>
        </w:tc>
        <w:tc>
          <w:tcPr>
            <w:tcW w:w="7296" w:type="dxa"/>
            <w:shd w:val="clear" w:color="auto" w:fill="FFFFFF"/>
            <w:vAlign w:val="center"/>
          </w:tcPr>
          <w:p w14:paraId="5AD2BB58">
            <w:pPr>
              <w:pStyle w:val="32"/>
              <w:wordWrap w:val="0"/>
              <w:adjustRightInd w:val="0"/>
              <w:snapToGrid w:val="0"/>
              <w:spacing w:line="400" w:lineRule="exact"/>
              <w:ind w:firstLine="240" w:firstLineChars="1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BA69B6B">
      <w:pPr>
        <w:pStyle w:val="25"/>
        <w:rPr>
          <w:color w:val="000000" w:themeColor="text1"/>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5284301B">
      <w:pPr>
        <w:pStyle w:val="4"/>
        <w:keepNext w:val="0"/>
        <w:keepLines w:val="0"/>
        <w:pageBreakBefore w:val="0"/>
        <w:kinsoku/>
        <w:overflowPunct/>
        <w:topLinePunct w:val="0"/>
        <w:bidi w:val="0"/>
        <w:spacing w:line="400" w:lineRule="exact"/>
        <w:textAlignment w:val="auto"/>
        <w:rPr>
          <w:b/>
          <w:bCs/>
          <w:color w:val="000000" w:themeColor="text1"/>
          <w:highlight w:val="none"/>
          <w14:textFill>
            <w14:solidFill>
              <w14:schemeClr w14:val="tx1"/>
            </w14:solidFill>
          </w14:textFill>
        </w:rPr>
      </w:pPr>
      <w:bookmarkStart w:id="10" w:name="_Hlt87793819"/>
      <w:bookmarkEnd w:id="10"/>
      <w:bookmarkStart w:id="11" w:name="_Toc29916"/>
      <w:bookmarkStart w:id="12" w:name="_Toc4136"/>
      <w:bookmarkStart w:id="13" w:name="_Hlt69698705"/>
      <w:bookmarkStart w:id="14" w:name="_Hlt69698754"/>
      <w:r>
        <w:rPr>
          <w:rFonts w:hint="eastAsia"/>
          <w:b/>
          <w:bCs/>
          <w:color w:val="000000" w:themeColor="text1"/>
          <w:highlight w:val="none"/>
          <w14:textFill>
            <w14:solidFill>
              <w14:schemeClr w14:val="tx1"/>
            </w14:solidFill>
          </w14:textFill>
        </w:rPr>
        <w:t>第三节 投标人须知</w:t>
      </w:r>
      <w:bookmarkStart w:id="15" w:name="_Hlt69669159"/>
      <w:bookmarkEnd w:id="15"/>
      <w:r>
        <w:rPr>
          <w:rFonts w:hint="eastAsia"/>
          <w:b/>
          <w:bCs/>
          <w:color w:val="000000" w:themeColor="text1"/>
          <w:highlight w:val="none"/>
          <w14:textFill>
            <w14:solidFill>
              <w14:schemeClr w14:val="tx1"/>
            </w14:solidFill>
          </w14:textFill>
        </w:rPr>
        <w:t>正文</w:t>
      </w:r>
      <w:bookmarkEnd w:id="11"/>
      <w:bookmarkEnd w:id="12"/>
    </w:p>
    <w:bookmarkEnd w:id="13"/>
    <w:bookmarkEnd w:id="14"/>
    <w:p w14:paraId="52CC6EE9">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ascii="Times New Roman"/>
          <w:b/>
          <w:snapToGrid w:val="0"/>
          <w:color w:val="000000" w:themeColor="text1"/>
          <w:highlight w:val="none"/>
          <w14:textFill>
            <w14:solidFill>
              <w14:schemeClr w14:val="tx1"/>
            </w14:solidFill>
          </w14:textFill>
        </w:rPr>
      </w:pPr>
      <w:r>
        <w:rPr>
          <w:rFonts w:hint="eastAsia" w:hAnsi="宋体" w:cs="宋体"/>
          <w:snapToGrid w:val="0"/>
          <w:color w:val="000000" w:themeColor="text1"/>
          <w:kern w:val="0"/>
          <w:highlight w:val="none"/>
          <w:u w:val="single"/>
          <w:lang w:eastAsia="zh-CN"/>
          <w14:textFill>
            <w14:solidFill>
              <w14:schemeClr w14:val="tx1"/>
            </w14:solidFill>
          </w14:textFill>
        </w:rPr>
        <w:t>翁源产业园区产城融合基础设施配套项目（商务中心区配套运动设施）监理</w:t>
      </w:r>
      <w:r>
        <w:rPr>
          <w:rFonts w:hint="eastAsia" w:hAnsi="宋体" w:cs="宋体"/>
          <w:color w:val="000000" w:themeColor="text1"/>
          <w:kern w:val="0"/>
          <w:szCs w:val="22"/>
          <w:highlight w:val="none"/>
          <w:u w:val="none"/>
          <w14:textFill>
            <w14:solidFill>
              <w14:schemeClr w14:val="tx1"/>
            </w14:solidFill>
          </w14:textFill>
        </w:rPr>
        <w:t>经</w:t>
      </w:r>
      <w:r>
        <w:rPr>
          <w:rFonts w:hint="eastAsia" w:hAnsi="宋体" w:cs="宋体"/>
          <w:color w:val="000000" w:themeColor="text1"/>
          <w:kern w:val="0"/>
          <w:szCs w:val="22"/>
          <w:highlight w:val="none"/>
          <w:u w:val="single"/>
          <w14:textFill>
            <w14:solidFill>
              <w14:schemeClr w14:val="tx1"/>
            </w14:solidFill>
          </w14:textFill>
        </w:rPr>
        <w:t>翁源县发展和改革局</w:t>
      </w:r>
      <w:r>
        <w:rPr>
          <w:rFonts w:ascii="宋体" w:hAnsi="宋体" w:cs="宋体"/>
          <w:color w:val="000000" w:themeColor="text1"/>
          <w:szCs w:val="21"/>
          <w:highlight w:val="none"/>
          <w:u w:val="single"/>
          <w14:textFill>
            <w14:solidFill>
              <w14:schemeClr w14:val="tx1"/>
            </w14:solidFill>
          </w14:textFill>
        </w:rPr>
        <w:t>以</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关于翁源产业园区产城融合基础设施配套项目可行性研究报告的批复</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14:textFill>
            <w14:solidFill>
              <w14:schemeClr w14:val="tx1"/>
            </w14:solidFill>
          </w14:textFill>
        </w:rPr>
        <w:t>翁</w:t>
      </w:r>
      <w:r>
        <w:rPr>
          <w:rFonts w:hint="eastAsia" w:ascii="宋体" w:hAnsi="宋体" w:cs="Calibri"/>
          <w:bCs/>
          <w:color w:val="000000" w:themeColor="text1"/>
          <w:szCs w:val="21"/>
          <w:highlight w:val="none"/>
          <w:u w:val="single"/>
          <w14:textFill>
            <w14:solidFill>
              <w14:schemeClr w14:val="tx1"/>
            </w14:solidFill>
          </w14:textFill>
        </w:rPr>
        <w:t>发改投审〔202</w:t>
      </w:r>
      <w:r>
        <w:rPr>
          <w:rFonts w:hint="eastAsia" w:hAnsi="宋体" w:cs="Calibri"/>
          <w:bCs/>
          <w:color w:val="000000" w:themeColor="text1"/>
          <w:szCs w:val="21"/>
          <w:highlight w:val="none"/>
          <w:u w:val="single"/>
          <w:lang w:val="en-US" w:eastAsia="zh-CN"/>
          <w14:textFill>
            <w14:solidFill>
              <w14:schemeClr w14:val="tx1"/>
            </w14:solidFill>
          </w14:textFill>
        </w:rPr>
        <w:t>1</w:t>
      </w:r>
      <w:r>
        <w:rPr>
          <w:rFonts w:hint="eastAsia" w:ascii="宋体" w:hAnsi="宋体" w:cs="Calibri"/>
          <w:bCs/>
          <w:color w:val="000000" w:themeColor="text1"/>
          <w:szCs w:val="21"/>
          <w:highlight w:val="none"/>
          <w:u w:val="single"/>
          <w14:textFill>
            <w14:solidFill>
              <w14:schemeClr w14:val="tx1"/>
            </w14:solidFill>
          </w14:textFill>
        </w:rPr>
        <w:t>〕</w:t>
      </w:r>
      <w:r>
        <w:rPr>
          <w:rFonts w:hint="eastAsia" w:ascii="宋体" w:hAnsi="宋体" w:cs="Calibri"/>
          <w:bCs/>
          <w:color w:val="000000" w:themeColor="text1"/>
          <w:szCs w:val="21"/>
          <w:highlight w:val="none"/>
          <w:u w:val="single"/>
          <w:lang w:val="en-US" w:eastAsia="zh-CN"/>
          <w14:textFill>
            <w14:solidFill>
              <w14:schemeClr w14:val="tx1"/>
            </w14:solidFill>
          </w14:textFill>
        </w:rPr>
        <w:t>1</w:t>
      </w:r>
      <w:r>
        <w:rPr>
          <w:rFonts w:hint="eastAsia" w:hAnsi="宋体" w:cs="Calibri"/>
          <w:bCs/>
          <w:color w:val="000000" w:themeColor="text1"/>
          <w:szCs w:val="21"/>
          <w:highlight w:val="none"/>
          <w:u w:val="single"/>
          <w:lang w:val="en-US" w:eastAsia="zh-CN"/>
          <w14:textFill>
            <w14:solidFill>
              <w14:schemeClr w14:val="tx1"/>
            </w14:solidFill>
          </w14:textFill>
        </w:rPr>
        <w:t>3</w:t>
      </w:r>
      <w:r>
        <w:rPr>
          <w:rFonts w:hint="eastAsia" w:ascii="宋体" w:hAnsi="宋体" w:cs="Calibri"/>
          <w:bCs/>
          <w:color w:val="000000" w:themeColor="text1"/>
          <w:szCs w:val="21"/>
          <w:highlight w:val="none"/>
          <w:u w:val="single"/>
          <w14:textFill>
            <w14:solidFill>
              <w14:schemeClr w14:val="tx1"/>
            </w14:solidFill>
          </w14:textFill>
        </w:rPr>
        <w:t>号</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翁源县发展和改革局关于翁源产业园区产城融合基础设施配套项目变更的复函</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14:textFill>
            <w14:solidFill>
              <w14:schemeClr w14:val="tx1"/>
            </w14:solidFill>
          </w14:textFill>
        </w:rPr>
        <w:t>翁</w:t>
      </w:r>
      <w:r>
        <w:rPr>
          <w:rFonts w:hint="eastAsia" w:ascii="宋体" w:hAnsi="宋体" w:cs="Calibri"/>
          <w:bCs/>
          <w:color w:val="000000" w:themeColor="text1"/>
          <w:szCs w:val="21"/>
          <w:highlight w:val="none"/>
          <w:u w:val="single"/>
          <w14:textFill>
            <w14:solidFill>
              <w14:schemeClr w14:val="tx1"/>
            </w14:solidFill>
          </w14:textFill>
        </w:rPr>
        <w:t>发改投审〔202</w:t>
      </w:r>
      <w:r>
        <w:rPr>
          <w:rFonts w:hint="eastAsia" w:hAnsi="宋体" w:cs="Calibri"/>
          <w:bCs/>
          <w:color w:val="000000" w:themeColor="text1"/>
          <w:szCs w:val="21"/>
          <w:highlight w:val="none"/>
          <w:u w:val="single"/>
          <w:lang w:val="en-US" w:eastAsia="zh-CN"/>
          <w14:textFill>
            <w14:solidFill>
              <w14:schemeClr w14:val="tx1"/>
            </w14:solidFill>
          </w14:textFill>
        </w:rPr>
        <w:t>4</w:t>
      </w:r>
      <w:r>
        <w:rPr>
          <w:rFonts w:hint="eastAsia" w:ascii="宋体" w:hAnsi="宋体" w:cs="Calibri"/>
          <w:bCs/>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lang w:val="en-US" w:eastAsia="zh-CN"/>
          <w14:textFill>
            <w14:solidFill>
              <w14:schemeClr w14:val="tx1"/>
            </w14:solidFill>
          </w14:textFill>
        </w:rPr>
        <w:t>74</w:t>
      </w:r>
      <w:r>
        <w:rPr>
          <w:rFonts w:hint="eastAsia" w:ascii="宋体" w:hAnsi="宋体" w:cs="Calibri"/>
          <w:bCs/>
          <w:color w:val="000000" w:themeColor="text1"/>
          <w:szCs w:val="21"/>
          <w:highlight w:val="none"/>
          <w:u w:val="single"/>
          <w14:textFill>
            <w14:solidFill>
              <w14:schemeClr w14:val="tx1"/>
            </w14:solidFill>
          </w14:textFill>
        </w:rPr>
        <w:t>号</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lang w:eastAsia="zh-CN"/>
          <w14:textFill>
            <w14:solidFill>
              <w14:schemeClr w14:val="tx1"/>
            </w14:solidFill>
          </w14:textFill>
        </w:rPr>
        <w:t>、《翁源县发展和改革局关于翁源产业园区产城融合基础设施配套项目变更的复函》（</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14:textFill>
            <w14:solidFill>
              <w14:schemeClr w14:val="tx1"/>
            </w14:solidFill>
          </w14:textFill>
        </w:rPr>
        <w:t>翁</w:t>
      </w:r>
      <w:r>
        <w:rPr>
          <w:rFonts w:hint="eastAsia" w:ascii="宋体" w:hAnsi="宋体" w:cs="Calibri"/>
          <w:bCs/>
          <w:color w:val="000000" w:themeColor="text1"/>
          <w:szCs w:val="21"/>
          <w:highlight w:val="none"/>
          <w:u w:val="single"/>
          <w14:textFill>
            <w14:solidFill>
              <w14:schemeClr w14:val="tx1"/>
            </w14:solidFill>
          </w14:textFill>
        </w:rPr>
        <w:t>发改投审〔202</w:t>
      </w:r>
      <w:r>
        <w:rPr>
          <w:rFonts w:hint="eastAsia" w:hAnsi="宋体" w:cs="Calibri"/>
          <w:bCs/>
          <w:color w:val="000000" w:themeColor="text1"/>
          <w:szCs w:val="21"/>
          <w:highlight w:val="none"/>
          <w:u w:val="single"/>
          <w:lang w:val="en-US" w:eastAsia="zh-CN"/>
          <w14:textFill>
            <w14:solidFill>
              <w14:schemeClr w14:val="tx1"/>
            </w14:solidFill>
          </w14:textFill>
        </w:rPr>
        <w:t>5</w:t>
      </w:r>
      <w:r>
        <w:rPr>
          <w:rFonts w:hint="eastAsia" w:ascii="宋体" w:hAnsi="宋体" w:cs="Calibri"/>
          <w:bCs/>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lang w:val="en-US" w:eastAsia="zh-CN"/>
          <w14:textFill>
            <w14:solidFill>
              <w14:schemeClr w14:val="tx1"/>
            </w14:solidFill>
          </w14:textFill>
        </w:rPr>
        <w:t>50</w:t>
      </w:r>
      <w:r>
        <w:rPr>
          <w:rFonts w:hint="eastAsia" w:ascii="宋体" w:hAnsi="宋体" w:cs="Calibri"/>
          <w:bCs/>
          <w:color w:val="000000" w:themeColor="text1"/>
          <w:szCs w:val="21"/>
          <w:highlight w:val="none"/>
          <w:u w:val="single"/>
          <w14:textFill>
            <w14:solidFill>
              <w14:schemeClr w14:val="tx1"/>
            </w14:solidFill>
          </w14:textFill>
        </w:rPr>
        <w:t>号</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lang w:eastAsia="zh-CN"/>
          <w14:textFill>
            <w14:solidFill>
              <w14:schemeClr w14:val="tx1"/>
            </w14:solidFill>
          </w14:textFill>
        </w:rPr>
        <w:t>）</w:t>
      </w:r>
      <w:r>
        <w:rPr>
          <w:rFonts w:hint="eastAsia" w:hAnsi="宋体" w:cs="宋体"/>
          <w:color w:val="000000" w:themeColor="text1"/>
          <w:szCs w:val="21"/>
          <w:highlight w:val="none"/>
          <w:u w:val="single"/>
          <w:lang w:val="en-US" w:eastAsia="zh-CN"/>
          <w14:textFill>
            <w14:solidFill>
              <w14:schemeClr w14:val="tx1"/>
            </w14:solidFill>
          </w14:textFill>
        </w:rPr>
        <w:t>及《翁源县发展和改革局关于翁源产业园区产城融合基础设施配套项目(商务中心区配套运动设施)初步设计概算的批复》</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14:textFill>
            <w14:solidFill>
              <w14:schemeClr w14:val="tx1"/>
            </w14:solidFill>
          </w14:textFill>
        </w:rPr>
        <w:t>翁</w:t>
      </w:r>
      <w:r>
        <w:rPr>
          <w:rFonts w:hint="eastAsia" w:ascii="宋体" w:hAnsi="宋体" w:cs="Calibri"/>
          <w:bCs/>
          <w:color w:val="000000" w:themeColor="text1"/>
          <w:szCs w:val="21"/>
          <w:highlight w:val="none"/>
          <w:u w:val="single"/>
          <w14:textFill>
            <w14:solidFill>
              <w14:schemeClr w14:val="tx1"/>
            </w14:solidFill>
          </w14:textFill>
        </w:rPr>
        <w:t>发改投审〔202</w:t>
      </w:r>
      <w:r>
        <w:rPr>
          <w:rFonts w:hint="eastAsia" w:hAnsi="宋体" w:cs="Calibri"/>
          <w:bCs/>
          <w:color w:val="000000" w:themeColor="text1"/>
          <w:szCs w:val="21"/>
          <w:highlight w:val="none"/>
          <w:u w:val="single"/>
          <w:lang w:val="en-US" w:eastAsia="zh-CN"/>
          <w14:textFill>
            <w14:solidFill>
              <w14:schemeClr w14:val="tx1"/>
            </w14:solidFill>
          </w14:textFill>
        </w:rPr>
        <w:t>6</w:t>
      </w:r>
      <w:r>
        <w:rPr>
          <w:rFonts w:hint="eastAsia" w:ascii="宋体" w:hAnsi="宋体" w:cs="Calibri"/>
          <w:bCs/>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lang w:val="en-US" w:eastAsia="zh-CN"/>
          <w14:textFill>
            <w14:solidFill>
              <w14:schemeClr w14:val="tx1"/>
            </w14:solidFill>
          </w14:textFill>
        </w:rPr>
        <w:t>21</w:t>
      </w:r>
      <w:r>
        <w:rPr>
          <w:rFonts w:hint="eastAsia" w:ascii="宋体" w:hAnsi="宋体" w:cs="Calibri"/>
          <w:bCs/>
          <w:color w:val="000000" w:themeColor="text1"/>
          <w:szCs w:val="21"/>
          <w:highlight w:val="none"/>
          <w:u w:val="single"/>
          <w14:textFill>
            <w14:solidFill>
              <w14:schemeClr w14:val="tx1"/>
            </w14:solidFill>
          </w14:textFill>
        </w:rPr>
        <w:t>号</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none"/>
          <w:lang w:val="en-US" w:eastAsia="zh-CN"/>
          <w14:textFill>
            <w14:solidFill>
              <w14:schemeClr w14:val="tx1"/>
            </w14:solidFill>
          </w14:textFill>
        </w:rPr>
        <w:t>文</w:t>
      </w:r>
      <w:r>
        <w:rPr>
          <w:rFonts w:hint="eastAsia" w:hAnsi="宋体" w:cs="宋体"/>
          <w:color w:val="000000" w:themeColor="text1"/>
          <w:kern w:val="0"/>
          <w:szCs w:val="22"/>
          <w:highlight w:val="none"/>
          <w14:textFill>
            <w14:solidFill>
              <w14:schemeClr w14:val="tx1"/>
            </w14:solidFill>
          </w14:textFill>
        </w:rPr>
        <w:t>批准建设，项目代码为</w:t>
      </w:r>
      <w:r>
        <w:rPr>
          <w:rFonts w:hint="eastAsia" w:hAnsi="宋体" w:cs="宋体"/>
          <w:color w:val="000000" w:themeColor="text1"/>
          <w:kern w:val="0"/>
          <w:szCs w:val="22"/>
          <w:highlight w:val="none"/>
          <w:u w:val="single"/>
          <w:lang w:val="en-US" w:eastAsia="zh-CN"/>
          <w14:textFill>
            <w14:solidFill>
              <w14:schemeClr w14:val="tx1"/>
            </w14:solidFill>
          </w14:textFill>
        </w:rPr>
        <w:t>2110-440229-04-01-834756</w:t>
      </w:r>
      <w:r>
        <w:rPr>
          <w:rFonts w:hint="eastAsia" w:hAnsi="宋体" w:cs="宋体"/>
          <w:color w:val="000000" w:themeColor="text1"/>
          <w:kern w:val="0"/>
          <w:szCs w:val="22"/>
          <w:highlight w:val="none"/>
          <w14:textFill>
            <w14:solidFill>
              <w14:schemeClr w14:val="tx1"/>
            </w14:solidFill>
          </w14:textFill>
        </w:rPr>
        <w:t>。本项目</w:t>
      </w:r>
      <w:r>
        <w:rPr>
          <w:rFonts w:hint="eastAsia" w:hAnsi="宋体" w:cs="宋体"/>
          <w:color w:val="000000" w:themeColor="text1"/>
          <w:kern w:val="0"/>
          <w:szCs w:val="22"/>
          <w:highlight w:val="none"/>
          <w:lang w:val="en-US" w:eastAsia="zh-CN"/>
          <w14:textFill>
            <w14:solidFill>
              <w14:schemeClr w14:val="tx1"/>
            </w14:solidFill>
          </w14:textFill>
        </w:rPr>
        <w:t>业主</w:t>
      </w:r>
      <w:r>
        <w:rPr>
          <w:rFonts w:hint="eastAsia" w:hAnsi="宋体" w:cs="宋体"/>
          <w:color w:val="000000" w:themeColor="text1"/>
          <w:kern w:val="0"/>
          <w:szCs w:val="22"/>
          <w:highlight w:val="none"/>
          <w14:textFill>
            <w14:solidFill>
              <w14:schemeClr w14:val="tx1"/>
            </w14:solidFill>
          </w14:textFill>
        </w:rPr>
        <w:t>为</w:t>
      </w:r>
      <w:r>
        <w:rPr>
          <w:rFonts w:hint="eastAsia" w:hAnsi="宋体" w:cs="宋体"/>
          <w:color w:val="000000" w:themeColor="text1"/>
          <w:kern w:val="0"/>
          <w:sz w:val="24"/>
          <w:szCs w:val="22"/>
          <w:highlight w:val="none"/>
          <w:u w:val="single"/>
          <w:lang w:eastAsia="zh-CN"/>
          <w14:textFill>
            <w14:solidFill>
              <w14:schemeClr w14:val="tx1"/>
            </w14:solidFill>
          </w14:textFill>
        </w:rPr>
        <w:t>广东翁源经济开发区管理委员会</w:t>
      </w:r>
      <w:r>
        <w:rPr>
          <w:rFonts w:hint="eastAsia" w:hAnsi="宋体" w:cs="宋体"/>
          <w:color w:val="000000" w:themeColor="text1"/>
          <w:kern w:val="0"/>
          <w:szCs w:val="22"/>
          <w:highlight w:val="none"/>
          <w14:textFill>
            <w14:solidFill>
              <w14:schemeClr w14:val="tx1"/>
            </w14:solidFill>
          </w14:textFill>
        </w:rPr>
        <w:t>，建设资金来</w:t>
      </w:r>
      <w:r>
        <w:rPr>
          <w:rFonts w:hint="eastAsia" w:hAnsi="宋体" w:cs="宋体"/>
          <w:color w:val="000000" w:themeColor="text1"/>
          <w:kern w:val="0"/>
          <w:szCs w:val="22"/>
          <w:highlight w:val="none"/>
          <w:lang w:val="en-US" w:eastAsia="zh-CN"/>
          <w14:textFill>
            <w14:solidFill>
              <w14:schemeClr w14:val="tx1"/>
            </w14:solidFill>
          </w14:textFill>
        </w:rPr>
        <w:t>源：</w:t>
      </w:r>
      <w:r>
        <w:rPr>
          <w:rFonts w:hint="eastAsia" w:hAnsi="宋体" w:cs="宋体"/>
          <w:color w:val="000000" w:themeColor="text1"/>
          <w:kern w:val="0"/>
          <w:szCs w:val="22"/>
          <w:highlight w:val="none"/>
          <w:u w:val="single"/>
          <w:lang w:val="en-US" w:eastAsia="zh-CN"/>
          <w14:textFill>
            <w14:solidFill>
              <w14:schemeClr w14:val="tx1"/>
            </w14:solidFill>
          </w14:textFill>
        </w:rPr>
        <w:t>地方专项债券和县级财政统筹资金解决</w:t>
      </w:r>
      <w:r>
        <w:rPr>
          <w:rFonts w:hint="eastAsia" w:hAnsi="宋体" w:cs="宋体"/>
          <w:color w:val="000000" w:themeColor="text1"/>
          <w:kern w:val="0"/>
          <w:szCs w:val="22"/>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出资比例为</w:t>
      </w:r>
      <w:r>
        <w:rPr>
          <w:rFonts w:hint="eastAsia" w:hAnsi="宋体" w:cs="宋体"/>
          <w:snapToGrid w:val="0"/>
          <w:color w:val="000000" w:themeColor="text1"/>
          <w:kern w:val="0"/>
          <w:highlight w:val="none"/>
          <w:u w:val="single"/>
          <w14:textFill>
            <w14:solidFill>
              <w14:schemeClr w14:val="tx1"/>
            </w14:solidFill>
          </w14:textFill>
        </w:rPr>
        <w:t>100%</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color w:val="000000" w:themeColor="text1"/>
          <w:kern w:val="0"/>
          <w:szCs w:val="22"/>
          <w:highlight w:val="none"/>
          <w14:textFill>
            <w14:solidFill>
              <w14:schemeClr w14:val="tx1"/>
            </w14:solidFill>
          </w14:textFill>
        </w:rPr>
        <w:t>招标人为</w:t>
      </w:r>
      <w:r>
        <w:rPr>
          <w:rFonts w:hint="eastAsia" w:hAnsi="宋体" w:cs="宋体"/>
          <w:color w:val="000000" w:themeColor="text1"/>
          <w:kern w:val="0"/>
          <w:sz w:val="24"/>
          <w:szCs w:val="22"/>
          <w:highlight w:val="none"/>
          <w:u w:val="single"/>
          <w:lang w:eastAsia="zh-CN"/>
          <w14:textFill>
            <w14:solidFill>
              <w14:schemeClr w14:val="tx1"/>
            </w14:solidFill>
          </w14:textFill>
        </w:rPr>
        <w:t>广东翁源经济开发区管理委员会</w:t>
      </w:r>
      <w:r>
        <w:rPr>
          <w:rFonts w:hint="eastAsia" w:hAnsi="宋体" w:cs="宋体"/>
          <w:color w:val="000000" w:themeColor="text1"/>
          <w:kern w:val="0"/>
          <w:szCs w:val="22"/>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招标代理机构为</w:t>
      </w:r>
      <w:r>
        <w:rPr>
          <w:rFonts w:hint="eastAsia" w:hAnsi="宋体" w:cs="宋体"/>
          <w:snapToGrid w:val="0"/>
          <w:color w:val="000000" w:themeColor="text1"/>
          <w:kern w:val="0"/>
          <w:highlight w:val="none"/>
          <w:u w:val="single"/>
          <w14:textFill>
            <w14:solidFill>
              <w14:schemeClr w14:val="tx1"/>
            </w14:solidFill>
          </w14:textFill>
        </w:rPr>
        <w:t>广东爱科工程咨询管理有限公司</w:t>
      </w:r>
      <w:r>
        <w:rPr>
          <w:rFonts w:hint="eastAsia" w:hAnsi="宋体" w:cs="宋体"/>
          <w:snapToGrid w:val="0"/>
          <w:color w:val="000000" w:themeColor="text1"/>
          <w:kern w:val="0"/>
          <w:highlight w:val="none"/>
          <w14:textFill>
            <w14:solidFill>
              <w14:schemeClr w14:val="tx1"/>
            </w14:solidFill>
          </w14:textFill>
        </w:rPr>
        <w:t>。项目已具备招标条件，现对该项目的</w:t>
      </w:r>
      <w:r>
        <w:rPr>
          <w:rFonts w:hint="eastAsia" w:hAnsi="宋体" w:cs="宋体"/>
          <w:snapToGrid w:val="0"/>
          <w:color w:val="000000" w:themeColor="text1"/>
          <w:kern w:val="0"/>
          <w:highlight w:val="none"/>
          <w:u w:val="single"/>
          <w:lang w:eastAsia="zh-CN"/>
          <w14:textFill>
            <w14:solidFill>
              <w14:schemeClr w14:val="tx1"/>
            </w14:solidFill>
          </w14:textFill>
        </w:rPr>
        <w:t>翁源产业园区产城融合基础设施配套项目（商务中心区配套运动设施）监理</w:t>
      </w:r>
      <w:r>
        <w:rPr>
          <w:rFonts w:hint="eastAsia" w:hAnsi="宋体" w:cs="宋体"/>
          <w:snapToGrid w:val="0"/>
          <w:color w:val="000000" w:themeColor="text1"/>
          <w:kern w:val="0"/>
          <w:highlight w:val="none"/>
          <w14:textFill>
            <w14:solidFill>
              <w14:schemeClr w14:val="tx1"/>
            </w14:solidFill>
          </w14:textFill>
        </w:rPr>
        <w:t>进行公开招标。</w:t>
      </w:r>
      <w:bookmarkStart w:id="16" w:name="_Hlt87948285"/>
      <w:bookmarkEnd w:id="16"/>
      <w:bookmarkStart w:id="17" w:name="_Hlt78795222"/>
      <w:bookmarkEnd w:id="17"/>
      <w:bookmarkStart w:id="18" w:name="_Hlt74474735"/>
      <w:bookmarkEnd w:id="18"/>
      <w:bookmarkStart w:id="19" w:name="_Hlt119991399"/>
      <w:bookmarkEnd w:id="19"/>
      <w:bookmarkStart w:id="20" w:name="_Hlt109358474"/>
      <w:bookmarkEnd w:id="20"/>
    </w:p>
    <w:p w14:paraId="4EECAB24">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outlineLvl w:val="2"/>
        <w:rPr>
          <w:b/>
          <w:bCs/>
          <w:snapToGrid w:val="0"/>
          <w:color w:val="000000" w:themeColor="text1"/>
          <w:kern w:val="0"/>
          <w:sz w:val="24"/>
          <w:highlight w:val="none"/>
          <w14:textFill>
            <w14:solidFill>
              <w14:schemeClr w14:val="tx1"/>
            </w14:solidFill>
          </w14:textFill>
        </w:rPr>
      </w:pPr>
      <w:bookmarkStart w:id="21" w:name="_Toc7461"/>
      <w:r>
        <w:rPr>
          <w:rFonts w:hint="eastAsia"/>
          <w:b/>
          <w:bCs/>
          <w:snapToGrid w:val="0"/>
          <w:color w:val="000000" w:themeColor="text1"/>
          <w:kern w:val="0"/>
          <w:sz w:val="24"/>
          <w:highlight w:val="none"/>
          <w14:textFill>
            <w14:solidFill>
              <w14:schemeClr w14:val="tx1"/>
            </w14:solidFill>
          </w14:textFill>
        </w:rPr>
        <w:t>1．项目概况、招标范围和标段划分、投标费用</w:t>
      </w:r>
      <w:bookmarkEnd w:id="21"/>
    </w:p>
    <w:p w14:paraId="3364302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w:t>
      </w:r>
      <w:r>
        <w:rPr>
          <w:rFonts w:hint="eastAsia" w:ascii="宋体" w:hAnsi="宋体" w:cs="宋体"/>
          <w:snapToGrid w:val="0"/>
          <w:color w:val="000000" w:themeColor="text1"/>
          <w:kern w:val="0"/>
          <w:sz w:val="24"/>
          <w:highlight w:val="none"/>
          <w14:textFill>
            <w14:solidFill>
              <w14:schemeClr w14:val="tx1"/>
            </w14:solidFill>
          </w14:textFill>
        </w:rPr>
        <w:t xml:space="preserve"> 项目概况</w:t>
      </w:r>
    </w:p>
    <w:p w14:paraId="2D3F1B4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hint="default"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 xml:space="preserve"> 建设地点：</w:t>
      </w:r>
      <w:r>
        <w:rPr>
          <w:rFonts w:hint="eastAsia" w:ascii="宋体" w:hAnsi="宋体" w:eastAsia="宋体" w:cs="宋体"/>
          <w:snapToGrid w:val="0"/>
          <w:color w:val="000000" w:themeColor="text1"/>
          <w:kern w:val="0"/>
          <w:sz w:val="24"/>
          <w:highlight w:val="none"/>
          <w:u w:val="none"/>
          <w:lang w:val="en-US" w:eastAsia="zh-CN"/>
          <w14:textFill>
            <w14:solidFill>
              <w14:schemeClr w14:val="tx1"/>
            </w14:solidFill>
          </w14:textFill>
        </w:rPr>
        <w:t>翁源县翁城镇商务中心区内</w:t>
      </w:r>
      <w:r>
        <w:rPr>
          <w:rFonts w:hint="eastAsia" w:ascii="宋体" w:hAnsi="宋体" w:eastAsia="宋体" w:cs="宋体"/>
          <w:snapToGrid w:val="0"/>
          <w:color w:val="000000" w:themeColor="text1"/>
          <w:kern w:val="0"/>
          <w:sz w:val="24"/>
          <w:highlight w:val="none"/>
          <w:u w:val="none"/>
          <w:lang w:eastAsia="zh-CN"/>
          <w14:textFill>
            <w14:solidFill>
              <w14:schemeClr w14:val="tx1"/>
            </w14:solidFill>
          </w14:textFill>
        </w:rPr>
        <w:t>。</w:t>
      </w:r>
    </w:p>
    <w:p w14:paraId="1625FAEC">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1.1.2 </w:t>
      </w:r>
      <w:r>
        <w:rPr>
          <w:rFonts w:hint="eastAsia"/>
          <w:snapToGrid w:val="0"/>
          <w:color w:val="000000" w:themeColor="text1"/>
          <w:kern w:val="0"/>
          <w:sz w:val="24"/>
          <w:highlight w:val="none"/>
          <w14:textFill>
            <w14:solidFill>
              <w14:schemeClr w14:val="tx1"/>
            </w14:solidFill>
          </w14:textFill>
        </w:rPr>
        <w:t>建设内容和规模：</w:t>
      </w:r>
      <w:r>
        <w:rPr>
          <w:rFonts w:hint="eastAsia" w:ascii="宋体" w:hAnsi="宋体" w:cs="宋体"/>
          <w:snapToGrid w:val="0"/>
          <w:color w:val="000000" w:themeColor="text1"/>
          <w:kern w:val="0"/>
          <w:sz w:val="24"/>
          <w:highlight w:val="none"/>
          <w:lang w:val="en-US" w:eastAsia="zh-CN"/>
          <w14:textFill>
            <w14:solidFill>
              <w14:schemeClr w14:val="tx1"/>
            </w14:solidFill>
          </w14:textFill>
        </w:rPr>
        <w:t>该项目占地面积约6886平方米，建筑面积约7090平方米，主体建筑为地上二层(高度13.9米),地下一层(高度6.95米)。规划建设有五人制休闲足球场、篮球场、乒乓球场、羽毛球场(兼匹克球场)、室内游泳池、320米塑胶跑道等公共体育设施设备。</w:t>
      </w:r>
    </w:p>
    <w:p w14:paraId="00D8E67F">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u w:val="singl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1.1.3 </w:t>
      </w:r>
      <w:r>
        <w:rPr>
          <w:rFonts w:hint="eastAsia" w:ascii="宋体" w:hAnsi="宋体" w:cs="宋体"/>
          <w:snapToGrid w:val="0"/>
          <w:color w:val="000000" w:themeColor="text1"/>
          <w:kern w:val="0"/>
          <w:sz w:val="24"/>
          <w:highlight w:val="none"/>
          <w14:textFill>
            <w14:solidFill>
              <w14:schemeClr w14:val="tx1"/>
            </w14:solidFill>
          </w14:textFill>
        </w:rPr>
        <w:t>项目总投资：</w:t>
      </w:r>
      <w:r>
        <w:rPr>
          <w:rFonts w:hint="eastAsia" w:ascii="宋体" w:hAnsi="宋体" w:cs="宋体"/>
          <w:snapToGrid w:val="0"/>
          <w:color w:val="000000" w:themeColor="text1"/>
          <w:kern w:val="0"/>
          <w:sz w:val="24"/>
          <w:highlight w:val="none"/>
          <w:lang w:val="en-US" w:eastAsia="zh-CN"/>
          <w14:textFill>
            <w14:solidFill>
              <w14:schemeClr w14:val="tx1"/>
            </w14:solidFill>
          </w14:textFill>
        </w:rPr>
        <w:t>项目概算总投资7285.23万元,其中工程费用6119.33万元，工程建设其他费用573.03万元，土地费用258.25万元，预备费用334.62万元，本次招标的监理费用为61.1933万元。</w:t>
      </w:r>
    </w:p>
    <w:p w14:paraId="0E9922A3">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 </w:t>
      </w:r>
      <w:r>
        <w:rPr>
          <w:rFonts w:hint="eastAsia" w:ascii="宋体" w:hAnsi="宋体" w:cs="宋体"/>
          <w:snapToGrid w:val="0"/>
          <w:color w:val="000000" w:themeColor="text1"/>
          <w:kern w:val="0"/>
          <w:sz w:val="24"/>
          <w:highlight w:val="none"/>
          <w14:textFill>
            <w14:solidFill>
              <w14:schemeClr w14:val="tx1"/>
            </w14:solidFill>
          </w14:textFill>
        </w:rPr>
        <w:t>招标范围和标段划分</w:t>
      </w:r>
    </w:p>
    <w:p w14:paraId="5F8F23D2">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 xml:space="preserve"> 招标范围</w:t>
      </w:r>
      <w:r>
        <w:rPr>
          <w:rFonts w:hint="eastAsia" w:ascii="宋体" w:hAnsi="宋体" w:cs="宋体"/>
          <w:snapToGrid w:val="0"/>
          <w:color w:val="000000" w:themeColor="text1"/>
          <w:kern w:val="0"/>
          <w:sz w:val="24"/>
          <w:highlight w:val="none"/>
          <w:lang w:eastAsia="zh-CN"/>
          <w14:textFill>
            <w14:solidFill>
              <w14:schemeClr w14:val="tx1"/>
            </w14:solidFill>
          </w14:textFill>
        </w:rPr>
        <w:t>：</w:t>
      </w:r>
      <w:r>
        <w:rPr>
          <w:rFonts w:hint="eastAsia" w:ascii="宋体" w:hAnsi="宋体" w:cs="宋体"/>
          <w:snapToGrid w:val="0"/>
          <w:color w:val="000000" w:themeColor="text1"/>
          <w:kern w:val="0"/>
          <w:sz w:val="24"/>
          <w:highlight w:val="none"/>
          <w14:textFill>
            <w14:solidFill>
              <w14:schemeClr w14:val="tx1"/>
            </w14:solidFill>
          </w14:textFill>
        </w:rPr>
        <w:t>项目建设施工阶段监理（</w:t>
      </w:r>
      <w:r>
        <w:rPr>
          <w:rFonts w:hint="eastAsia" w:ascii="宋体" w:hAnsi="宋体" w:eastAsia="宋体" w:cs="宋体"/>
          <w:color w:val="000000" w:themeColor="text1"/>
          <w:sz w:val="24"/>
          <w:szCs w:val="24"/>
          <w:highlight w:val="none"/>
          <w14:textFill>
            <w14:solidFill>
              <w14:schemeClr w14:val="tx1"/>
            </w14:solidFill>
          </w14:textFill>
        </w:rPr>
        <w:t>含施工准备阶段、施工阶段、工程竣工验收及结算阶段和缺陷责任保修期阶段的监理</w:t>
      </w:r>
      <w:r>
        <w:rPr>
          <w:rFonts w:hint="eastAsia" w:ascii="宋体" w:hAnsi="宋体" w:eastAsia="宋体" w:cs="宋体"/>
          <w:color w:val="000000" w:themeColor="text1"/>
          <w:sz w:val="24"/>
          <w:szCs w:val="24"/>
          <w:highlight w:val="none"/>
          <w:lang w:eastAsia="zh-CN"/>
          <w14:textFill>
            <w14:solidFill>
              <w14:schemeClr w14:val="tx1"/>
            </w14:solidFill>
          </w14:textFill>
        </w:rPr>
        <w:t>服务</w:t>
      </w:r>
      <w:r>
        <w:rPr>
          <w:rFonts w:hint="eastAsia" w:ascii="宋体" w:hAnsi="宋体" w:cs="宋体"/>
          <w:snapToGrid w:val="0"/>
          <w:color w:val="000000" w:themeColor="text1"/>
          <w:kern w:val="0"/>
          <w:sz w:val="24"/>
          <w:highlight w:val="none"/>
          <w14:textFill>
            <w14:solidFill>
              <w14:schemeClr w14:val="tx1"/>
            </w14:solidFill>
          </w14:textFill>
        </w:rPr>
        <w:t>）</w:t>
      </w:r>
    </w:p>
    <w:p w14:paraId="3BE4110B">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1.2.2</w:t>
      </w:r>
      <w:r>
        <w:rPr>
          <w:rFonts w:hint="eastAsia" w:hAnsi="宋体" w:cs="宋体"/>
          <w:snapToGrid w:val="0"/>
          <w:color w:val="000000" w:themeColor="text1"/>
          <w:kern w:val="0"/>
          <w:szCs w:val="24"/>
          <w:highlight w:val="none"/>
          <w14:textFill>
            <w14:solidFill>
              <w14:schemeClr w14:val="tx1"/>
            </w14:solidFill>
          </w14:textFill>
        </w:rPr>
        <w:t xml:space="preserve"> 标段划分：本招标项目不划分标段。</w:t>
      </w:r>
    </w:p>
    <w:p w14:paraId="38839700">
      <w:pPr>
        <w:keepNext w:val="0"/>
        <w:keepLines w:val="0"/>
        <w:pageBreakBefore w:val="0"/>
        <w:kinsoku/>
        <w:wordWrap w:val="0"/>
        <w:overflowPunct/>
        <w:topLinePunct w:val="0"/>
        <w:autoSpaceDE/>
        <w:autoSpaceDN/>
        <w:bidi w:val="0"/>
        <w:adjustRightInd w:val="0"/>
        <w:snapToGrid w:val="0"/>
        <w:spacing w:line="400" w:lineRule="exact"/>
        <w:ind w:firstLine="532" w:firstLineChars="221"/>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 xml:space="preserve"> 投标费用：投标人应承担所有准备和参加投标的相关费用，不论投标结果如何，招标人均无义务和责任承担这些费用。</w:t>
      </w:r>
    </w:p>
    <w:p w14:paraId="2448BA98">
      <w:pPr>
        <w:pStyle w:val="4"/>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22" w:name="_Toc30087"/>
      <w:bookmarkStart w:id="23" w:name="_Toc31795"/>
      <w:r>
        <w:rPr>
          <w:rFonts w:hint="eastAsia" w:hAnsi="宋体" w:cs="宋体"/>
          <w:b/>
          <w:snapToGrid w:val="0"/>
          <w:color w:val="000000" w:themeColor="text1"/>
          <w:szCs w:val="24"/>
          <w:highlight w:val="none"/>
          <w14:textFill>
            <w14:solidFill>
              <w14:schemeClr w14:val="tx1"/>
            </w14:solidFill>
          </w14:textFill>
        </w:rPr>
        <w:t>2．投标人资格要求</w:t>
      </w:r>
      <w:bookmarkEnd w:id="22"/>
      <w:bookmarkEnd w:id="23"/>
      <w:bookmarkStart w:id="24" w:name="_Hlt74496495"/>
      <w:bookmarkEnd w:id="24"/>
    </w:p>
    <w:p w14:paraId="396053B9">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2.1</w:t>
      </w:r>
      <w:r>
        <w:rPr>
          <w:rFonts w:hint="eastAsia" w:ascii="宋体" w:hAnsi="宋体" w:cs="宋体"/>
          <w:snapToGrid w:val="0"/>
          <w:color w:val="000000" w:themeColor="text1"/>
          <w:kern w:val="0"/>
          <w:sz w:val="24"/>
          <w:highlight w:val="none"/>
          <w14:textFill>
            <w14:solidFill>
              <w14:schemeClr w14:val="tx1"/>
            </w14:solidFill>
          </w14:textFill>
        </w:rPr>
        <w:t xml:space="preserve"> 本次招标不接受联合体投标。</w:t>
      </w:r>
    </w:p>
    <w:p w14:paraId="400A4F5A">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w:t>
      </w:r>
      <w:r>
        <w:rPr>
          <w:rFonts w:hint="eastAsia" w:ascii="宋体" w:hAnsi="宋体" w:cs="宋体"/>
          <w:snapToGrid w:val="0"/>
          <w:color w:val="000000" w:themeColor="text1"/>
          <w:kern w:val="0"/>
          <w:sz w:val="24"/>
          <w:highlight w:val="none"/>
          <w14:textFill>
            <w14:solidFill>
              <w14:schemeClr w14:val="tx1"/>
            </w14:solidFill>
          </w14:textFill>
        </w:rPr>
        <w:t xml:space="preserve"> 资格资质要求</w:t>
      </w:r>
    </w:p>
    <w:p w14:paraId="2149145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2.2.1</w:t>
      </w:r>
      <w:r>
        <w:rPr>
          <w:rFonts w:hint="eastAsia" w:ascii="宋体" w:hAnsi="宋体" w:cs="宋体"/>
          <w:snapToGrid w:val="0"/>
          <w:color w:val="000000" w:themeColor="text1"/>
          <w:kern w:val="0"/>
          <w:sz w:val="24"/>
          <w:highlight w:val="none"/>
          <w14:textFill>
            <w14:solidFill>
              <w14:schemeClr w14:val="tx1"/>
            </w14:solidFill>
          </w14:textFill>
        </w:rPr>
        <w:t xml:space="preserve"> 投标人须具备独立法人资格，按国家法律经营。</w:t>
      </w:r>
    </w:p>
    <w:p w14:paraId="2302D839">
      <w:pPr>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2.2.2</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投标人须具备以下资质之一：</w:t>
      </w:r>
    </w:p>
    <w:p w14:paraId="6705689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（1）工程监理综合资质；</w:t>
      </w:r>
    </w:p>
    <w:p w14:paraId="7B74DB0E">
      <w:pPr>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（2）房屋建筑工程专业监理乙级以上（含乙级）资质。</w:t>
      </w:r>
    </w:p>
    <w:p w14:paraId="45398239">
      <w:pPr>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2.2.3</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根据有关文件精神，投标人的相关证书到期的，均按该证书的发证机构相关行业主管部门最新文件执行（如自动顺延或推迟办理延期业务的通知），投标人必须将相关文件附在该证书后面，证明在开标日继续有效。</w:t>
      </w:r>
    </w:p>
    <w:p w14:paraId="71AFAC9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ascii="宋体" w:hAnsi="宋体" w:cs="宋体"/>
          <w:snapToGrid w:val="0"/>
          <w:color w:val="000000" w:themeColor="text1"/>
          <w:kern w:val="0"/>
          <w:sz w:val="24"/>
          <w:highlight w:val="none"/>
          <w14:textFill>
            <w14:solidFill>
              <w14:schemeClr w14:val="tx1"/>
            </w14:solidFill>
          </w14:textFill>
        </w:rPr>
        <w:t xml:space="preserve"> 相关人员要求</w:t>
      </w:r>
    </w:p>
    <w:p w14:paraId="0AC23043">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2.3.1</w:t>
      </w:r>
      <w:r>
        <w:rPr>
          <w:rFonts w:hint="eastAsia" w:ascii="宋体" w:hAnsi="宋体" w:cs="宋体"/>
          <w:snapToGrid w:val="0"/>
          <w:color w:val="000000" w:themeColor="text1"/>
          <w:kern w:val="0"/>
          <w:sz w:val="24"/>
          <w:highlight w:val="none"/>
          <w14:textFill>
            <w14:solidFill>
              <w14:schemeClr w14:val="tx1"/>
            </w14:solidFill>
          </w14:textFill>
        </w:rPr>
        <w:t xml:space="preserve"> 投标人拟派总监理工程师为</w:t>
      </w:r>
      <w:r>
        <w:rPr>
          <w:rFonts w:hint="eastAsia" w:hAnsi="宋体" w:cs="宋体"/>
          <w:color w:val="000000" w:themeColor="text1"/>
          <w:sz w:val="24"/>
          <w:szCs w:val="24"/>
          <w:highlight w:val="none"/>
          <w:u w:val="single"/>
          <w14:textFill>
            <w14:solidFill>
              <w14:schemeClr w14:val="tx1"/>
            </w14:solidFill>
          </w14:textFill>
        </w:rPr>
        <w:t>房屋建筑</w:t>
      </w:r>
      <w:r>
        <w:rPr>
          <w:rFonts w:hint="eastAsia" w:ascii="宋体" w:hAnsi="宋体" w:cs="宋体"/>
          <w:snapToGrid w:val="0"/>
          <w:color w:val="000000" w:themeColor="text1"/>
          <w:kern w:val="0"/>
          <w:sz w:val="24"/>
          <w:highlight w:val="none"/>
          <w:u w:val="single"/>
          <w14:textFill>
            <w14:solidFill>
              <w14:schemeClr w14:val="tx1"/>
            </w14:solidFill>
          </w14:textFill>
        </w:rPr>
        <w:t>工程专业</w:t>
      </w:r>
      <w:r>
        <w:rPr>
          <w:rFonts w:hint="eastAsia" w:ascii="宋体" w:hAnsi="宋体" w:cs="宋体"/>
          <w:snapToGrid w:val="0"/>
          <w:color w:val="000000" w:themeColor="text1"/>
          <w:kern w:val="0"/>
          <w:sz w:val="24"/>
          <w:highlight w:val="none"/>
          <w14:textFill>
            <w14:solidFill>
              <w14:schemeClr w14:val="tx1"/>
            </w14:solidFill>
          </w14:textFill>
        </w:rPr>
        <w:t>注册监理工程师，应持有国家住建部印发的有效注册证书，其担任总监理工程师职务的其他在施（包括已中标未开工、已开工未竣工）建设工程项目不得超过</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highlight w:val="none"/>
          <w:u w:val="single"/>
          <w:lang w:val="en-US" w:eastAsia="zh-CN"/>
          <w14:textFill>
            <w14:solidFill>
              <w14:schemeClr w14:val="tx1"/>
            </w14:solidFill>
          </w14:textFill>
        </w:rPr>
        <w:t>1</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highlight w:val="none"/>
          <w14:textFill>
            <w14:solidFill>
              <w14:schemeClr w14:val="tx1"/>
            </w14:solidFill>
          </w14:textFill>
        </w:rPr>
        <w:t>个。</w:t>
      </w:r>
    </w:p>
    <w:p w14:paraId="66E945CB">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3E92753E">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2.3.2</w:t>
      </w:r>
      <w:r>
        <w:rPr>
          <w:rFonts w:hint="eastAsia" w:ascii="宋体" w:hAnsi="宋体" w:cs="宋体"/>
          <w:snapToGrid w:val="0"/>
          <w:color w:val="000000" w:themeColor="text1"/>
          <w:kern w:val="0"/>
          <w:sz w:val="24"/>
          <w:highlight w:val="none"/>
          <w14:textFill>
            <w14:solidFill>
              <w14:schemeClr w14:val="tx1"/>
            </w14:solidFill>
          </w14:textFill>
        </w:rPr>
        <w:t xml:space="preserve"> 投标人与其拟派往本项目监理机构的所有人员之间必须具备合法、唯一的劳动聘用关系。拟派人员中具备注册执业资格的，其注册单位须与投标人保持一致。</w:t>
      </w:r>
    </w:p>
    <w:p w14:paraId="4B3B5D40">
      <w:pPr>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hAnsi="宋体" w:cs="宋体"/>
          <w:b/>
          <w:bCs/>
          <w:snapToGrid w:val="0"/>
          <w:color w:val="000000" w:themeColor="text1"/>
          <w:kern w:val="0"/>
          <w:sz w:val="24"/>
          <w:highlight w:val="none"/>
          <w:lang w:val="en-US" w:eastAsia="zh-CN"/>
          <w14:textFill>
            <w14:solidFill>
              <w14:schemeClr w14:val="tx1"/>
            </w14:solidFill>
          </w14:textFill>
        </w:rPr>
        <w:t>3</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关于企业和人员资质、资格有效期均按相关行政主管部门最新的文件执行，投标人可将相关文件附在投标文件中。</w:t>
      </w:r>
    </w:p>
    <w:p w14:paraId="631A5D99">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w:t>
      </w:r>
      <w:r>
        <w:rPr>
          <w:rFonts w:hint="eastAsia" w:ascii="宋体" w:hAnsi="宋体" w:cs="宋体"/>
          <w:snapToGrid w:val="0"/>
          <w:color w:val="000000" w:themeColor="text1"/>
          <w:kern w:val="0"/>
          <w:sz w:val="24"/>
          <w:highlight w:val="none"/>
          <w14:textFill>
            <w14:solidFill>
              <w14:schemeClr w14:val="tx1"/>
            </w14:solidFill>
          </w14:textFill>
        </w:rPr>
        <w:t xml:space="preserve"> 禁止投标条款</w:t>
      </w:r>
    </w:p>
    <w:p w14:paraId="555885B4">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2.4.1</w:t>
      </w:r>
      <w:r>
        <w:rPr>
          <w:rFonts w:hint="eastAsia" w:ascii="宋体" w:hAnsi="宋体" w:cs="宋体"/>
          <w:snapToGrid w:val="0"/>
          <w:color w:val="000000" w:themeColor="text1"/>
          <w:kern w:val="0"/>
          <w:sz w:val="24"/>
          <w:highlight w:val="none"/>
          <w14:textFill>
            <w14:solidFill>
              <w14:schemeClr w14:val="tx1"/>
            </w14:solidFill>
          </w14:textFill>
        </w:rPr>
        <w:t xml:space="preserve"> 投标人不得存在下列情形之一：</w:t>
      </w:r>
    </w:p>
    <w:p w14:paraId="1C4D78D9">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（1）为招标人不具有独立法人资格的附属机构（单位）；</w:t>
      </w:r>
    </w:p>
    <w:p w14:paraId="0FF8C1DE">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（2）与招标人存在利害关系且可能影响招标公正性；</w:t>
      </w:r>
    </w:p>
    <w:p w14:paraId="2A094E6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（3）与本招标项目的其他投标人为同一个单位负责人；</w:t>
      </w:r>
    </w:p>
    <w:p w14:paraId="38068CE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（4）与本招标项目的其他投标人存在控股、管理关系；</w:t>
      </w:r>
    </w:p>
    <w:p w14:paraId="06C404B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（5）为本招标项目的代建人；</w:t>
      </w:r>
    </w:p>
    <w:p w14:paraId="5374378A">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（6）为本招标项目的招标代理机构；</w:t>
      </w:r>
    </w:p>
    <w:p w14:paraId="497192F7">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（7）与本招标项目的代建人或招标代理机构同为一个法定代表人；</w:t>
      </w:r>
    </w:p>
    <w:p w14:paraId="2B9AEE81">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（8）与本招标项目的代建人或招标代理机构存在控股或参股关系；</w:t>
      </w:r>
    </w:p>
    <w:p w14:paraId="404FDB41">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（9）与本招标项目的</w:t>
      </w:r>
      <w:r>
        <w:rPr>
          <w:rFonts w:hint="eastAsia" w:ascii="宋体" w:hAnsi="宋体" w:cs="宋体"/>
          <w:snapToGrid w:val="0"/>
          <w:color w:val="000000" w:themeColor="text1"/>
          <w:kern w:val="0"/>
          <w:sz w:val="24"/>
          <w:highlight w:val="none"/>
          <w:lang w:eastAsia="zh-CN"/>
          <w14:textFill>
            <w14:solidFill>
              <w14:schemeClr w14:val="tx1"/>
            </w14:solidFill>
          </w14:textFill>
        </w:rPr>
        <w:t>施工单位</w:t>
      </w:r>
      <w:r>
        <w:rPr>
          <w:rFonts w:hint="eastAsia" w:ascii="宋体" w:hAnsi="宋体" w:cs="宋体"/>
          <w:snapToGrid w:val="0"/>
          <w:color w:val="000000" w:themeColor="text1"/>
          <w:kern w:val="0"/>
          <w:sz w:val="24"/>
          <w:highlight w:val="none"/>
          <w14:textFill>
            <w14:solidFill>
              <w14:schemeClr w14:val="tx1"/>
            </w14:solidFill>
          </w14:textFill>
        </w:rPr>
        <w:t>以及建筑材料、建筑构配件和设备供应商有隶属关系或者其他利害关系；</w:t>
      </w:r>
    </w:p>
    <w:p w14:paraId="471B0069">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（10）被依法暂停或者取消投标资格；</w:t>
      </w:r>
    </w:p>
    <w:p w14:paraId="0F3DC943">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（11）被责令停产停业、暂扣或者吊销许可证、暂扣或者吊销执照；</w:t>
      </w:r>
    </w:p>
    <w:p w14:paraId="18DBB54B">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（12）进入清算程序，或被宣告破产，或其他丧失履约能力的情形；</w:t>
      </w:r>
    </w:p>
    <w:p w14:paraId="4BAD4850">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（13）在最近三年内发生重大监理质量问题（以相关行业主管部门的行政处罚决定或司法机关出具的有关法律文书为准）；</w:t>
      </w:r>
    </w:p>
    <w:p w14:paraId="478169D0">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（14）</w:t>
      </w:r>
      <w:r>
        <w:rPr>
          <w:rFonts w:hint="eastAsia" w:ascii="宋体" w:hAnsi="宋体" w:cs="宋体"/>
          <w:color w:val="000000" w:themeColor="text1"/>
          <w:kern w:val="0"/>
          <w:sz w:val="24"/>
          <w:highlight w:val="none"/>
          <w14:textFill>
            <w14:solidFill>
              <w14:schemeClr w14:val="tx1"/>
            </w14:solidFill>
          </w14:textFill>
        </w:rPr>
        <w:t>被“信用中国”网站（https://www.creditchina.gov.cn）发布的《法人和非法人组织公共信用信息报告》列为严重失信主体名单的</w:t>
      </w:r>
      <w:r>
        <w:rPr>
          <w:rFonts w:hint="eastAsia" w:ascii="宋体" w:hAnsi="宋体" w:cs="宋体"/>
          <w:snapToGrid w:val="0"/>
          <w:color w:val="000000" w:themeColor="text1"/>
          <w:kern w:val="0"/>
          <w:sz w:val="24"/>
          <w:highlight w:val="none"/>
          <w14:textFill>
            <w14:solidFill>
              <w14:schemeClr w14:val="tx1"/>
            </w14:solidFill>
          </w14:textFill>
        </w:rPr>
        <w:t>。</w:t>
      </w:r>
    </w:p>
    <w:p w14:paraId="6EFD8666">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2.4.2</w:t>
      </w:r>
      <w:r>
        <w:rPr>
          <w:rFonts w:hint="eastAsia" w:ascii="宋体" w:hAnsi="宋体" w:cs="宋体"/>
          <w:snapToGrid w:val="0"/>
          <w:color w:val="000000" w:themeColor="text1"/>
          <w:kern w:val="0"/>
          <w:sz w:val="24"/>
          <w:highlight w:val="none"/>
          <w14:textFill>
            <w14:solidFill>
              <w14:schemeClr w14:val="tx1"/>
            </w14:solidFill>
          </w14:textFill>
        </w:rPr>
        <w:t xml:space="preserve"> 招标人拒绝以下名单中的单位参加本次投标：</w:t>
      </w:r>
    </w:p>
    <w:tbl>
      <w:tblPr>
        <w:tblStyle w:val="19"/>
        <w:tblW w:w="8255"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599"/>
        <w:gridCol w:w="3936"/>
      </w:tblGrid>
      <w:tr w14:paraId="1FC4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vAlign w:val="center"/>
          </w:tcPr>
          <w:p w14:paraId="700FAEB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序号</w:t>
            </w:r>
          </w:p>
        </w:tc>
        <w:tc>
          <w:tcPr>
            <w:tcW w:w="3599" w:type="dxa"/>
            <w:vAlign w:val="center"/>
          </w:tcPr>
          <w:p w14:paraId="7B9863B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单位名称</w:t>
            </w:r>
          </w:p>
        </w:tc>
        <w:tc>
          <w:tcPr>
            <w:tcW w:w="3936" w:type="dxa"/>
            <w:vAlign w:val="center"/>
          </w:tcPr>
          <w:p w14:paraId="588BB0B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拒绝原因</w:t>
            </w:r>
          </w:p>
        </w:tc>
      </w:tr>
      <w:tr w14:paraId="0D79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3FCE8F85">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3599" w:type="dxa"/>
            <w:vAlign w:val="center"/>
          </w:tcPr>
          <w:p w14:paraId="126C4F3A">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广东翁源经济开发区管理委员会</w:t>
            </w:r>
          </w:p>
        </w:tc>
        <w:tc>
          <w:tcPr>
            <w:tcW w:w="3936" w:type="dxa"/>
            <w:vAlign w:val="center"/>
          </w:tcPr>
          <w:p w14:paraId="5787FA64">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招标人</w:t>
            </w:r>
          </w:p>
        </w:tc>
      </w:tr>
      <w:tr w14:paraId="198C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5A54A67A">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2</w:t>
            </w:r>
          </w:p>
        </w:tc>
        <w:tc>
          <w:tcPr>
            <w:tcW w:w="3599" w:type="dxa"/>
            <w:vAlign w:val="center"/>
          </w:tcPr>
          <w:p w14:paraId="5AD51645">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广东爱科工程咨询管理有限公司</w:t>
            </w:r>
          </w:p>
        </w:tc>
        <w:tc>
          <w:tcPr>
            <w:tcW w:w="3936" w:type="dxa"/>
            <w:vAlign w:val="center"/>
          </w:tcPr>
          <w:p w14:paraId="04E2317B">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为本招标项目的招标代理机构</w:t>
            </w:r>
          </w:p>
        </w:tc>
      </w:tr>
      <w:tr w14:paraId="6240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0887F2CE">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3</w:t>
            </w:r>
          </w:p>
        </w:tc>
        <w:tc>
          <w:tcPr>
            <w:tcW w:w="3599" w:type="dxa"/>
            <w:vAlign w:val="center"/>
          </w:tcPr>
          <w:p w14:paraId="0B45D419">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福建建盛工程管理有限公司</w:t>
            </w:r>
          </w:p>
        </w:tc>
        <w:tc>
          <w:tcPr>
            <w:tcW w:w="3936" w:type="dxa"/>
            <w:vAlign w:val="center"/>
          </w:tcPr>
          <w:p w14:paraId="6293EAC8">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为本项目的可研编制单位</w:t>
            </w:r>
          </w:p>
        </w:tc>
      </w:tr>
      <w:tr w14:paraId="60E2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19680BBD">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4</w:t>
            </w:r>
          </w:p>
        </w:tc>
        <w:tc>
          <w:tcPr>
            <w:tcW w:w="3599" w:type="dxa"/>
            <w:vAlign w:val="center"/>
          </w:tcPr>
          <w:p w14:paraId="255FBBA2">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广东省建筑设计研究院有限公司</w:t>
            </w:r>
          </w:p>
        </w:tc>
        <w:tc>
          <w:tcPr>
            <w:tcW w:w="3936" w:type="dxa"/>
            <w:vAlign w:val="center"/>
          </w:tcPr>
          <w:p w14:paraId="0990AFD3">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勘察、</w:t>
            </w:r>
            <w:r>
              <w:rPr>
                <w:rFonts w:hint="eastAsia" w:ascii="宋体" w:hAnsi="宋体" w:cs="宋体"/>
                <w:color w:val="000000" w:themeColor="text1"/>
                <w:sz w:val="24"/>
                <w:highlight w:val="none"/>
                <w:lang w:eastAsia="zh-CN"/>
                <w14:textFill>
                  <w14:solidFill>
                    <w14:schemeClr w14:val="tx1"/>
                  </w14:solidFill>
                </w14:textFill>
              </w:rPr>
              <w:t>设计单位</w:t>
            </w:r>
          </w:p>
        </w:tc>
      </w:tr>
    </w:tbl>
    <w:p w14:paraId="4523E1DA">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2.5</w:t>
      </w:r>
      <w:r>
        <w:rPr>
          <w:rFonts w:hint="eastAsia" w:ascii="宋体" w:hAnsi="宋体" w:cs="宋体"/>
          <w:snapToGrid w:val="0"/>
          <w:color w:val="000000" w:themeColor="text1"/>
          <w:kern w:val="0"/>
          <w:sz w:val="24"/>
          <w:highlight w:val="none"/>
          <w14:textFill>
            <w14:solidFill>
              <w14:schemeClr w14:val="tx1"/>
            </w14:solidFill>
          </w14:textFill>
        </w:rPr>
        <w:t xml:space="preserve"> 其他要求</w:t>
      </w:r>
    </w:p>
    <w:p w14:paraId="70D082D7">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15DAD3EF">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outlineLvl w:val="2"/>
        <w:rPr>
          <w:rFonts w:ascii="宋体" w:hAnsi="宋体" w:cs="宋体"/>
          <w:b/>
          <w:bCs/>
          <w:snapToGrid w:val="0"/>
          <w:color w:val="000000" w:themeColor="text1"/>
          <w:kern w:val="0"/>
          <w:sz w:val="24"/>
          <w:highlight w:val="none"/>
          <w14:textFill>
            <w14:solidFill>
              <w14:schemeClr w14:val="tx1"/>
            </w14:solidFill>
          </w14:textFill>
        </w:rPr>
      </w:pPr>
      <w:bookmarkStart w:id="25" w:name="_Toc32129"/>
      <w:r>
        <w:rPr>
          <w:rFonts w:hint="eastAsia" w:ascii="宋体" w:hAnsi="宋体" w:cs="宋体"/>
          <w:b/>
          <w:bCs/>
          <w:snapToGrid w:val="0"/>
          <w:color w:val="000000" w:themeColor="text1"/>
          <w:kern w:val="0"/>
          <w:sz w:val="24"/>
          <w:highlight w:val="none"/>
          <w14:textFill>
            <w14:solidFill>
              <w14:schemeClr w14:val="tx1"/>
            </w14:solidFill>
          </w14:textFill>
        </w:rPr>
        <w:t>3．获取招标文件</w:t>
      </w:r>
      <w:bookmarkEnd w:id="25"/>
    </w:p>
    <w:p w14:paraId="59052DC8">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 xml:space="preserve">3.1 </w:t>
      </w:r>
      <w:r>
        <w:rPr>
          <w:rFonts w:hint="eastAsia" w:ascii="宋体" w:hAnsi="宋体" w:cs="宋体"/>
          <w:color w:val="000000" w:themeColor="text1"/>
          <w:sz w:val="24"/>
          <w:highlight w:val="none"/>
          <w:shd w:val="clear" w:color="auto" w:fill="FFFFFF"/>
          <w14:textFill>
            <w14:solidFill>
              <w14:schemeClr w14:val="tx1"/>
            </w14:solidFill>
          </w14:textFill>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重要事项时间地点一览表”）前完成电子投标。   </w:t>
      </w:r>
    </w:p>
    <w:p w14:paraId="3EB3155D">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629ADDA3">
      <w:pPr>
        <w:pStyle w:val="18"/>
        <w:keepNext w:val="0"/>
        <w:keepLines w:val="0"/>
        <w:pageBreakBefore w:val="0"/>
        <w:kinsoku/>
        <w:overflowPunct/>
        <w:topLinePunct w:val="0"/>
        <w:autoSpaceDE/>
        <w:autoSpaceDN/>
        <w:bidi w:val="0"/>
        <w:spacing w:before="0" w:beforeAutospacing="0" w:after="0" w:afterAutospacing="0" w:line="400" w:lineRule="exact"/>
        <w:ind w:firstLine="480" w:firstLineChars="200"/>
        <w:textAlignment w:val="auto"/>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EE6D475">
      <w:pPr>
        <w:pStyle w:val="18"/>
        <w:keepNext w:val="0"/>
        <w:keepLines w:val="0"/>
        <w:pageBreakBefore w:val="0"/>
        <w:kinsoku/>
        <w:overflowPunct/>
        <w:topLinePunct w:val="0"/>
        <w:autoSpaceDE/>
        <w:autoSpaceDN/>
        <w:bidi w:val="0"/>
        <w:spacing w:before="0" w:beforeAutospacing="0" w:after="0" w:afterAutospacing="0" w:line="400" w:lineRule="exact"/>
        <w:ind w:firstLine="480" w:firstLineChars="200"/>
        <w:textAlignment w:val="auto"/>
        <w:rPr>
          <w:bCs/>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000000" w:themeColor="text1"/>
          <w:highlight w:val="none"/>
          <w14:textFill>
            <w14:solidFill>
              <w14:schemeClr w14:val="tx1"/>
            </w14:solidFill>
          </w14:textFill>
        </w:rPr>
        <w:t xml:space="preserve"> </w:t>
      </w:r>
    </w:p>
    <w:p w14:paraId="021F6908">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已入库企业的有关信息（如单位名称、基本账号、资质、人员等）发生变化的，应及时在建设工程交易系统进行相应变更。投标人未及时变更而造成的损失和后果，由投标人自行承担。</w:t>
      </w:r>
    </w:p>
    <w:p w14:paraId="3FA1A6D6">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 投标保证</w:t>
      </w:r>
    </w:p>
    <w:p w14:paraId="1F87EF3C">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3.3.1 投标人须缴纳金额为人民币</w:t>
      </w:r>
      <w:r>
        <w:rPr>
          <w:rFonts w:hint="eastAsia" w:ascii="宋体" w:hAnsi="宋体" w:cs="宋体"/>
          <w:color w:val="000000" w:themeColor="text1"/>
          <w:sz w:val="24"/>
          <w:highlight w:val="none"/>
          <w:u w:val="single"/>
          <w:shd w:val="clear" w:color="auto" w:fill="FFFFFF"/>
          <w:lang w:eastAsia="zh-CN"/>
          <w14:textFill>
            <w14:solidFill>
              <w14:schemeClr w14:val="tx1"/>
            </w14:solidFill>
          </w14:textFill>
        </w:rPr>
        <w:t>10000.00元</w:t>
      </w:r>
      <w:r>
        <w:rPr>
          <w:rFonts w:hint="eastAsia" w:ascii="宋体" w:hAnsi="宋体" w:cs="宋体"/>
          <w:color w:val="000000" w:themeColor="text1"/>
          <w:sz w:val="24"/>
          <w:highlight w:val="none"/>
          <w:shd w:val="clear" w:color="auto" w:fill="FFFFFF"/>
          <w14:textFill>
            <w14:solidFill>
              <w14:schemeClr w14:val="tx1"/>
            </w14:solidFill>
          </w14:textFill>
        </w:rPr>
        <w:t xml:space="preserve">的投标保证。 </w:t>
      </w:r>
    </w:p>
    <w:p w14:paraId="76E923E0">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3.3.2 投标保证的形式包括投标保证金、投标保证担保、投标保证保险三种，由投标人自主选择。</w:t>
      </w:r>
    </w:p>
    <w:p w14:paraId="1178649C">
      <w:pPr>
        <w:keepNext w:val="0"/>
        <w:keepLines w:val="0"/>
        <w:pageBreakBefore w:val="0"/>
        <w:kinsoku/>
        <w:overflowPunct/>
        <w:topLinePunct w:val="0"/>
        <w:autoSpaceDE/>
        <w:autoSpaceDN/>
        <w:bidi w:val="0"/>
        <w:snapToGrid w:val="0"/>
        <w:spacing w:line="4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599BFA32">
      <w:pPr>
        <w:keepNext w:val="0"/>
        <w:keepLines w:val="0"/>
        <w:pageBreakBefore w:val="0"/>
        <w:kinsoku/>
        <w:overflowPunct/>
        <w:topLinePunct w:val="0"/>
        <w:autoSpaceDE/>
        <w:autoSpaceDN/>
        <w:bidi w:val="0"/>
        <w:snapToGrid w:val="0"/>
        <w:spacing w:line="4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51B47F72">
      <w:pPr>
        <w:keepNext w:val="0"/>
        <w:keepLines w:val="0"/>
        <w:pageBreakBefore w:val="0"/>
        <w:widowControl w:val="0"/>
        <w:kinsoku/>
        <w:wordWrap w:val="0"/>
        <w:overflowPunct/>
        <w:topLinePunct w:val="0"/>
        <w:autoSpaceDE/>
        <w:autoSpaceDN/>
        <w:bidi w:val="0"/>
        <w:adjustRightInd/>
        <w:snapToGrid w:val="0"/>
        <w:spacing w:line="400" w:lineRule="exact"/>
        <w:ind w:firstLine="480" w:firstLineChars="200"/>
        <w:jc w:val="left"/>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23D101EB">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000000" w:themeColor="text1"/>
          <w:sz w:val="24"/>
          <w:highlight w:val="none"/>
          <w14:textFill>
            <w14:solidFill>
              <w14:schemeClr w14:val="tx1"/>
            </w14:solidFill>
          </w14:textFill>
        </w:rPr>
        <w:t>延长</w:t>
      </w:r>
      <w:r>
        <w:rPr>
          <w:rFonts w:hint="eastAsia" w:ascii="宋体" w:hAnsi="宋体" w:cs="宋体"/>
          <w:color w:val="000000" w:themeColor="text1"/>
          <w:sz w:val="24"/>
          <w:highlight w:val="none"/>
          <w14:textFill>
            <w14:solidFill>
              <w14:schemeClr w14:val="tx1"/>
            </w14:solidFill>
          </w14:textFill>
        </w:rPr>
        <w:t>不少于20个日历天。</w:t>
      </w:r>
    </w:p>
    <w:p w14:paraId="526A1C86">
      <w:pPr>
        <w:keepNext w:val="0"/>
        <w:keepLines w:val="0"/>
        <w:pageBreakBefore w:val="0"/>
        <w:tabs>
          <w:tab w:val="left" w:pos="7020"/>
        </w:tabs>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3.4</w:t>
      </w:r>
      <w:r>
        <w:rPr>
          <w:rFonts w:hint="eastAsia" w:hAnsi="宋体" w:cs="宋体"/>
          <w:snapToGrid w:val="0"/>
          <w:color w:val="000000" w:themeColor="text1"/>
          <w:kern w:val="0"/>
          <w:highlight w:val="none"/>
          <w14:textFill>
            <w14:solidFill>
              <w14:schemeClr w14:val="tx1"/>
            </w14:solidFill>
          </w14:textFill>
        </w:rPr>
        <w:t xml:space="preserve"> 若投标人因自身原因未能正确完成获取招标文件、电子投标、缴纳投标保证的，其投标无效。</w:t>
      </w:r>
    </w:p>
    <w:p w14:paraId="5D51BE45">
      <w:pPr>
        <w:keepNext w:val="0"/>
        <w:keepLines w:val="0"/>
        <w:pageBreakBefore w:val="0"/>
        <w:tabs>
          <w:tab w:val="left" w:pos="7020"/>
        </w:tabs>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snapToGrid w:val="0"/>
          <w:color w:val="000000" w:themeColor="text1"/>
          <w:kern w:val="0"/>
          <w:highlight w:val="none"/>
          <w14:textFill>
            <w14:solidFill>
              <w14:schemeClr w14:val="tx1"/>
            </w14:solidFill>
          </w14:textFill>
        </w:rPr>
      </w:pPr>
      <w:bookmarkStart w:id="26" w:name="_Toc17567"/>
      <w:r>
        <w:rPr>
          <w:rFonts w:hint="eastAsia" w:hAnsi="宋体" w:cs="宋体"/>
          <w:b/>
          <w:bCs/>
          <w:snapToGrid w:val="0"/>
          <w:color w:val="000000" w:themeColor="text1"/>
          <w:kern w:val="0"/>
          <w:highlight w:val="none"/>
          <w14:textFill>
            <w14:solidFill>
              <w14:schemeClr w14:val="tx1"/>
            </w14:solidFill>
          </w14:textFill>
        </w:rPr>
        <w:t>4．服务期限</w:t>
      </w:r>
      <w:bookmarkEnd w:id="26"/>
    </w:p>
    <w:p w14:paraId="3A5F96AC">
      <w:pPr>
        <w:keepNext w:val="0"/>
        <w:keepLines w:val="0"/>
        <w:pageBreakBefore w:val="0"/>
        <w:tabs>
          <w:tab w:val="left" w:pos="7020"/>
        </w:tabs>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4.1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snapToGrid w:val="0"/>
          <w:color w:val="000000" w:themeColor="text1"/>
          <w:kern w:val="0"/>
          <w:highlight w:val="none"/>
          <w:lang w:eastAsia="zh-CN"/>
          <w14:textFill>
            <w14:solidFill>
              <w14:schemeClr w14:val="tx1"/>
            </w14:solidFill>
          </w14:textFill>
        </w:rPr>
        <w:t>监理服务期不少于</w:t>
      </w:r>
      <w:r>
        <w:rPr>
          <w:rFonts w:hint="eastAsia" w:hAnsi="宋体" w:cs="宋体"/>
          <w:snapToGrid w:val="0"/>
          <w:color w:val="000000" w:themeColor="text1"/>
          <w:kern w:val="0"/>
          <w:highlight w:val="none"/>
          <w:lang w:val="en-US" w:eastAsia="zh-CN"/>
          <w14:textFill>
            <w14:solidFill>
              <w14:schemeClr w14:val="tx1"/>
            </w14:solidFill>
          </w14:textFill>
        </w:rPr>
        <w:t>365</w:t>
      </w:r>
      <w:r>
        <w:rPr>
          <w:rFonts w:hint="eastAsia" w:hAnsi="宋体" w:cs="宋体"/>
          <w:snapToGrid w:val="0"/>
          <w:color w:val="000000" w:themeColor="text1"/>
          <w:kern w:val="0"/>
          <w:highlight w:val="none"/>
          <w:lang w:eastAsia="zh-CN"/>
          <w14:textFill>
            <w14:solidFill>
              <w14:schemeClr w14:val="tx1"/>
            </w14:solidFill>
          </w14:textFill>
        </w:rPr>
        <w:t>日历天。监理服务期</w:t>
      </w:r>
      <w:r>
        <w:rPr>
          <w:rFonts w:hint="eastAsia" w:hAnsi="宋体" w:cs="宋体"/>
          <w:snapToGrid w:val="0"/>
          <w:color w:val="000000" w:themeColor="text1"/>
          <w:kern w:val="0"/>
          <w:highlight w:val="none"/>
          <w14:textFill>
            <w14:solidFill>
              <w14:schemeClr w14:val="tx1"/>
            </w14:solidFill>
          </w14:textFill>
        </w:rPr>
        <w:t>从监理合同签订之日起计，至本工程缺陷责任保修期结束且本工程结算金额经政府主管部门审定且双方的责任义务履行完毕时止。</w:t>
      </w:r>
    </w:p>
    <w:p w14:paraId="57E57FC3">
      <w:pPr>
        <w:pStyle w:val="4"/>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27" w:name="_Toc10746"/>
      <w:bookmarkStart w:id="28" w:name="_Toc23254"/>
      <w:r>
        <w:rPr>
          <w:rFonts w:hint="eastAsia" w:hAnsi="宋体" w:cs="宋体"/>
          <w:b/>
          <w:snapToGrid w:val="0"/>
          <w:color w:val="000000" w:themeColor="text1"/>
          <w:highlight w:val="none"/>
          <w14:textFill>
            <w14:solidFill>
              <w14:schemeClr w14:val="tx1"/>
            </w14:solidFill>
          </w14:textFill>
        </w:rPr>
        <w:t>5．服务标准</w:t>
      </w:r>
      <w:bookmarkEnd w:id="27"/>
      <w:bookmarkEnd w:id="28"/>
    </w:p>
    <w:p w14:paraId="5AE072B9">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5.1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color w:val="000000" w:themeColor="text1"/>
          <w:szCs w:val="24"/>
          <w:highlight w:val="none"/>
          <w14:textFill>
            <w14:solidFill>
              <w14:schemeClr w14:val="tx1"/>
            </w14:solidFill>
          </w14:textFill>
        </w:rPr>
        <w:t>工程质量达到合格标准。</w:t>
      </w:r>
    </w:p>
    <w:p w14:paraId="054FE7FA">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5.2 根据韶关市人民政府《关于加快推进全市绿色建筑发展工作的通知》（韶府办明电〔2013〕277号）有关规定，本招标项目</w:t>
      </w:r>
      <w:r>
        <w:rPr>
          <w:rFonts w:hint="eastAsia" w:hAnsi="宋体" w:cs="宋体"/>
          <w:color w:val="000000" w:themeColor="text1"/>
          <w:szCs w:val="24"/>
          <w:highlight w:val="none"/>
          <w:lang w:val="en-US" w:eastAsia="zh-CN"/>
          <w14:textFill>
            <w14:solidFill>
              <w14:schemeClr w14:val="tx1"/>
            </w14:solidFill>
          </w14:textFill>
        </w:rPr>
        <w:t>不</w:t>
      </w:r>
      <w:r>
        <w:rPr>
          <w:rFonts w:hint="eastAsia" w:hAnsi="宋体" w:cs="宋体"/>
          <w:color w:val="000000" w:themeColor="text1"/>
          <w:szCs w:val="24"/>
          <w:highlight w:val="none"/>
          <w14:textFill>
            <w14:solidFill>
              <w14:schemeClr w14:val="tx1"/>
            </w14:solidFill>
          </w14:textFill>
        </w:rPr>
        <w:t>纳入绿色建设实施范围。</w:t>
      </w:r>
      <w:r>
        <w:rPr>
          <w:rFonts w:hint="eastAsia" w:hAnsi="宋体" w:cs="宋体"/>
          <w:snapToGrid w:val="0"/>
          <w:color w:val="000000" w:themeColor="text1"/>
          <w:kern w:val="0"/>
          <w:highlight w:val="none"/>
          <w14:textFill>
            <w14:solidFill>
              <w14:schemeClr w14:val="tx1"/>
            </w14:solidFill>
          </w14:textFill>
        </w:rPr>
        <w:t xml:space="preserve"> </w:t>
      </w:r>
    </w:p>
    <w:p w14:paraId="66E065E1">
      <w:pPr>
        <w:pStyle w:val="4"/>
        <w:keepNext w:val="0"/>
        <w:keepLines w:val="0"/>
        <w:pageBreakBefore w:val="0"/>
        <w:kinsoku/>
        <w:wordWrap w:val="0"/>
        <w:overflowPunct/>
        <w:topLinePunct w:val="0"/>
        <w:autoSpaceDE/>
        <w:autoSpaceDN/>
        <w:bidi w:val="0"/>
        <w:snapToGrid w:val="0"/>
        <w:spacing w:line="4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29" w:name="_Toc32757"/>
      <w:bookmarkStart w:id="30" w:name="_Toc31598"/>
      <w:r>
        <w:rPr>
          <w:rFonts w:hint="eastAsia" w:hAnsi="宋体" w:cs="宋体"/>
          <w:b/>
          <w:snapToGrid w:val="0"/>
          <w:color w:val="000000" w:themeColor="text1"/>
          <w:highlight w:val="none"/>
          <w14:textFill>
            <w14:solidFill>
              <w14:schemeClr w14:val="tx1"/>
            </w14:solidFill>
          </w14:textFill>
        </w:rPr>
        <w:t>6．现场踏勘</w:t>
      </w:r>
      <w:bookmarkEnd w:id="29"/>
      <w:bookmarkEnd w:id="30"/>
    </w:p>
    <w:p w14:paraId="0D090578">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6.1</w:t>
      </w:r>
      <w:r>
        <w:rPr>
          <w:rFonts w:hint="eastAsia" w:hAnsi="宋体" w:cs="宋体"/>
          <w:snapToGrid w:val="0"/>
          <w:color w:val="000000" w:themeColor="text1"/>
          <w:kern w:val="0"/>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21E55CE9">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6.2</w:t>
      </w:r>
      <w:r>
        <w:rPr>
          <w:rFonts w:hint="eastAsia" w:hAnsi="宋体" w:cs="宋体"/>
          <w:snapToGrid w:val="0"/>
          <w:color w:val="000000" w:themeColor="text1"/>
          <w:kern w:val="0"/>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70745EA6">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b/>
          <w:snapToGrid w:val="0"/>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6.3</w:t>
      </w:r>
      <w:r>
        <w:rPr>
          <w:rFonts w:hint="eastAsia" w:hAnsi="宋体" w:cs="宋体"/>
          <w:snapToGrid w:val="0"/>
          <w:color w:val="000000" w:themeColor="text1"/>
          <w:kern w:val="0"/>
          <w:highlight w:val="none"/>
          <w14:textFill>
            <w14:solidFill>
              <w14:schemeClr w14:val="tx1"/>
            </w14:solidFill>
          </w14:textFill>
        </w:rPr>
        <w:t xml:space="preserve"> 现场踏勘期间的交通、食宿由投标人自行安排，费用自理。</w:t>
      </w:r>
    </w:p>
    <w:p w14:paraId="31757935">
      <w:pPr>
        <w:pStyle w:val="4"/>
        <w:keepNext w:val="0"/>
        <w:keepLines w:val="0"/>
        <w:pageBreakBefore w:val="0"/>
        <w:kinsoku/>
        <w:wordWrap w:val="0"/>
        <w:overflowPunct/>
        <w:topLinePunct w:val="0"/>
        <w:autoSpaceDE/>
        <w:autoSpaceDN/>
        <w:bidi w:val="0"/>
        <w:snapToGrid w:val="0"/>
        <w:spacing w:line="4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31" w:name="_Toc15900"/>
      <w:bookmarkStart w:id="32" w:name="_Toc8198"/>
      <w:r>
        <w:rPr>
          <w:rFonts w:hint="eastAsia" w:hAnsi="宋体" w:cs="宋体"/>
          <w:b/>
          <w:snapToGrid w:val="0"/>
          <w:color w:val="000000" w:themeColor="text1"/>
          <w:highlight w:val="none"/>
          <w14:textFill>
            <w14:solidFill>
              <w14:schemeClr w14:val="tx1"/>
            </w14:solidFill>
          </w14:textFill>
        </w:rPr>
        <w:t>7．招标文件的提问和答疑</w:t>
      </w:r>
      <w:bookmarkEnd w:id="31"/>
      <w:bookmarkEnd w:id="32"/>
      <w:bookmarkStart w:id="33" w:name="_Hlt74496410"/>
      <w:bookmarkEnd w:id="33"/>
    </w:p>
    <w:p w14:paraId="669C592D">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lang w:bidi="ar"/>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7.1</w:t>
      </w:r>
      <w:r>
        <w:rPr>
          <w:rFonts w:hint="eastAsia" w:hAnsi="宋体" w:cs="宋体"/>
          <w:snapToGrid w:val="0"/>
          <w:color w:val="000000" w:themeColor="text1"/>
          <w:kern w:val="0"/>
          <w:highlight w:val="none"/>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highlight w:val="none"/>
          <w:lang w:bidi="ar"/>
          <w14:textFill>
            <w14:solidFill>
              <w14:schemeClr w14:val="tx1"/>
            </w14:solidFill>
          </w14:textFill>
        </w:rPr>
        <w:t>。</w:t>
      </w:r>
    </w:p>
    <w:p w14:paraId="525C623C">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7.2 </w:t>
      </w:r>
      <w:r>
        <w:rPr>
          <w:rFonts w:hint="eastAsia" w:hAnsi="宋体" w:cs="宋体"/>
          <w:snapToGrid w:val="0"/>
          <w:color w:val="000000" w:themeColor="text1"/>
          <w:kern w:val="0"/>
          <w:highlight w:val="none"/>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CFC882A">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7.3</w:t>
      </w:r>
      <w:r>
        <w:rPr>
          <w:rFonts w:hint="eastAsia" w:hAnsi="宋体" w:cs="宋体"/>
          <w:snapToGrid w:val="0"/>
          <w:color w:val="000000" w:themeColor="text1"/>
          <w:kern w:val="0"/>
          <w:highlight w:val="none"/>
          <w14:textFill>
            <w14:solidFill>
              <w14:schemeClr w14:val="tx1"/>
            </w14:solidFill>
          </w14:textFill>
        </w:rPr>
        <w:t xml:space="preserve"> 招标人对招标文件所作的答疑（或修改）公告，构成招标文件的组成部分。</w:t>
      </w:r>
    </w:p>
    <w:p w14:paraId="06A1ACDE">
      <w:pPr>
        <w:pStyle w:val="4"/>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34" w:name="_Hlt69699188"/>
      <w:bookmarkEnd w:id="34"/>
      <w:bookmarkStart w:id="35" w:name="_Hlt92513711"/>
      <w:bookmarkEnd w:id="35"/>
      <w:bookmarkStart w:id="36" w:name="_Hlt92513715"/>
      <w:bookmarkEnd w:id="36"/>
      <w:bookmarkStart w:id="37" w:name="_Toc23036"/>
      <w:bookmarkStart w:id="38" w:name="_Toc24094"/>
      <w:r>
        <w:rPr>
          <w:rFonts w:hint="eastAsia" w:hAnsi="宋体" w:cs="宋体"/>
          <w:b/>
          <w:snapToGrid w:val="0"/>
          <w:color w:val="000000" w:themeColor="text1"/>
          <w:highlight w:val="none"/>
          <w14:textFill>
            <w14:solidFill>
              <w14:schemeClr w14:val="tx1"/>
            </w14:solidFill>
          </w14:textFill>
        </w:rPr>
        <w:t>8．最高投标限价</w:t>
      </w:r>
      <w:bookmarkEnd w:id="37"/>
      <w:bookmarkEnd w:id="38"/>
    </w:p>
    <w:p w14:paraId="2C00EC44">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8.1</w:t>
      </w:r>
      <w:r>
        <w:rPr>
          <w:rFonts w:hint="eastAsia" w:hAnsi="宋体" w:cs="宋体"/>
          <w:snapToGrid w:val="0"/>
          <w:color w:val="000000" w:themeColor="text1"/>
          <w:kern w:val="0"/>
          <w:highlight w:val="none"/>
          <w14:textFill>
            <w14:solidFill>
              <w14:schemeClr w14:val="tx1"/>
            </w14:solidFill>
          </w14:textFill>
        </w:rPr>
        <w:t xml:space="preserve"> 本招标项目参考以下依据编制最高投标限价：</w:t>
      </w:r>
    </w:p>
    <w:p w14:paraId="7C677BF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（1）项目</w:t>
      </w:r>
      <w:r>
        <w:rPr>
          <w:rFonts w:hint="eastAsia" w:hAnsi="宋体" w:cs="宋体"/>
          <w:snapToGrid w:val="0"/>
          <w:color w:val="000000" w:themeColor="text1"/>
          <w:kern w:val="0"/>
          <w:highlight w:val="none"/>
          <w:u w:val="single"/>
          <w:lang w:val="en-US" w:eastAsia="zh-CN"/>
          <w14:textFill>
            <w14:solidFill>
              <w14:schemeClr w14:val="tx1"/>
            </w14:solidFill>
          </w14:textFill>
        </w:rPr>
        <w:t>概算</w:t>
      </w:r>
      <w:r>
        <w:rPr>
          <w:rFonts w:hint="eastAsia" w:hAnsi="宋体" w:cs="宋体"/>
          <w:snapToGrid w:val="0"/>
          <w:color w:val="000000" w:themeColor="text1"/>
          <w:kern w:val="0"/>
          <w:highlight w:val="none"/>
          <w14:textFill>
            <w14:solidFill>
              <w14:schemeClr w14:val="tx1"/>
            </w14:solidFill>
          </w14:textFill>
        </w:rPr>
        <w:t>总投资；</w:t>
      </w:r>
    </w:p>
    <w:p w14:paraId="291B5D9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（2）《建设工程监理与相关服务收费标准》；</w:t>
      </w:r>
    </w:p>
    <w:p w14:paraId="4EF0175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（3）监理及相关服务内容；</w:t>
      </w:r>
    </w:p>
    <w:p w14:paraId="73711E4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（4）施工现场情况、工程特点；</w:t>
      </w:r>
    </w:p>
    <w:p w14:paraId="1D80C05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（5）项目所在地市场价格。</w:t>
      </w:r>
    </w:p>
    <w:p w14:paraId="0E7D73B3">
      <w:pPr>
        <w:pStyle w:val="25"/>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ascii="宋体" w:hAnsi="宋体" w:cs="宋体"/>
          <w:b w:val="0"/>
          <w:bCs/>
          <w:color w:val="000000" w:themeColor="text1"/>
          <w:sz w:val="24"/>
          <w:highlight w:val="none"/>
          <w14:textFill>
            <w14:solidFill>
              <w14:schemeClr w14:val="tx1"/>
            </w14:solidFill>
          </w14:textFill>
        </w:rPr>
      </w:pPr>
      <w:r>
        <w:rPr>
          <w:rFonts w:hint="eastAsia" w:ascii="宋体" w:hAnsi="宋体" w:cs="宋体"/>
          <w:bCs/>
          <w:snapToGrid w:val="0"/>
          <w:color w:val="000000" w:themeColor="text1"/>
          <w:kern w:val="0"/>
          <w:sz w:val="24"/>
          <w:highlight w:val="none"/>
          <w14:textFill>
            <w14:solidFill>
              <w14:schemeClr w14:val="tx1"/>
            </w14:solidFill>
          </w14:textFill>
        </w:rPr>
        <w:t xml:space="preserve">   8.2</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
          <w:bCs/>
          <w:snapToGrid w:val="0"/>
          <w:color w:val="000000" w:themeColor="text1"/>
          <w:kern w:val="0"/>
          <w:sz w:val="24"/>
          <w:highlight w:val="none"/>
          <w:u w:val="none"/>
          <w:lang w:val="en-US" w:eastAsia="zh-CN" w:bidi="ar-SA"/>
          <w14:textFill>
            <w14:solidFill>
              <w14:schemeClr w14:val="tx1"/>
            </w14:solidFill>
          </w14:textFill>
        </w:rPr>
        <w:t>本次招标最高投标限价为人民币（大写）：</w:t>
      </w:r>
      <w:r>
        <w:rPr>
          <w:rFonts w:hint="eastAsia" w:ascii="宋体" w:hAnsi="宋体" w:cs="宋体"/>
          <w:b/>
          <w:bCs/>
          <w:snapToGrid w:val="0"/>
          <w:color w:val="000000" w:themeColor="text1"/>
          <w:kern w:val="0"/>
          <w:sz w:val="24"/>
          <w:highlight w:val="none"/>
          <w:u w:val="single"/>
          <w:lang w:val="en-US" w:eastAsia="zh-CN" w:bidi="ar-SA"/>
          <w14:textFill>
            <w14:solidFill>
              <w14:schemeClr w14:val="tx1"/>
            </w14:solidFill>
          </w14:textFill>
        </w:rPr>
        <w:t>陆拾壹万壹仟玖佰叁拾叁元</w:t>
      </w:r>
      <w:r>
        <w:rPr>
          <w:rFonts w:hint="eastAsia" w:ascii="宋体" w:hAnsi="宋体" w:eastAsia="宋体" w:cs="宋体"/>
          <w:b/>
          <w:bCs/>
          <w:snapToGrid w:val="0"/>
          <w:color w:val="000000" w:themeColor="text1"/>
          <w:kern w:val="0"/>
          <w:sz w:val="24"/>
          <w:highlight w:val="none"/>
          <w:u w:val="single"/>
          <w:lang w:val="en-US" w:eastAsia="zh-CN" w:bidi="ar-SA"/>
          <w14:textFill>
            <w14:solidFill>
              <w14:schemeClr w14:val="tx1"/>
            </w14:solidFill>
          </w14:textFill>
        </w:rPr>
        <w:t>（￥</w:t>
      </w:r>
      <w:r>
        <w:rPr>
          <w:rFonts w:hint="eastAsia" w:ascii="宋体" w:hAnsi="宋体" w:cs="宋体"/>
          <w:b/>
          <w:bCs/>
          <w:snapToGrid w:val="0"/>
          <w:color w:val="000000" w:themeColor="text1"/>
          <w:kern w:val="0"/>
          <w:sz w:val="24"/>
          <w:highlight w:val="none"/>
          <w:u w:val="single"/>
          <w:lang w:val="en-US" w:eastAsia="zh-CN" w:bidi="ar-SA"/>
          <w14:textFill>
            <w14:solidFill>
              <w14:schemeClr w14:val="tx1"/>
            </w14:solidFill>
          </w14:textFill>
        </w:rPr>
        <w:t>611933</w:t>
      </w:r>
      <w:r>
        <w:rPr>
          <w:rFonts w:hint="eastAsia" w:ascii="宋体" w:hAnsi="宋体" w:eastAsia="宋体" w:cs="宋体"/>
          <w:b/>
          <w:bCs/>
          <w:snapToGrid w:val="0"/>
          <w:color w:val="000000" w:themeColor="text1"/>
          <w:kern w:val="0"/>
          <w:sz w:val="24"/>
          <w:highlight w:val="none"/>
          <w:u w:val="single"/>
          <w:lang w:val="en-US" w:eastAsia="zh-CN" w:bidi="ar-SA"/>
          <w14:textFill>
            <w14:solidFill>
              <w14:schemeClr w14:val="tx1"/>
            </w14:solidFill>
          </w14:textFill>
        </w:rPr>
        <w:t>.00元）</w:t>
      </w:r>
      <w:r>
        <w:rPr>
          <w:rFonts w:hint="eastAsia" w:ascii="宋体" w:hAnsi="宋体" w:eastAsia="宋体" w:cs="宋体"/>
          <w:b/>
          <w:bCs/>
          <w:snapToGrid w:val="0"/>
          <w:color w:val="000000" w:themeColor="text1"/>
          <w:kern w:val="0"/>
          <w:sz w:val="24"/>
          <w:highlight w:val="none"/>
          <w:u w:val="none"/>
          <w:lang w:val="en-US" w:eastAsia="zh-CN" w:bidi="ar-SA"/>
          <w14:textFill>
            <w14:solidFill>
              <w14:schemeClr w14:val="tx1"/>
            </w14:solidFill>
          </w14:textFill>
        </w:rPr>
        <w:t>。监理服务费投标取费费率上限为</w:t>
      </w:r>
      <w:r>
        <w:rPr>
          <w:rFonts w:hint="eastAsia" w:ascii="宋体" w:hAnsi="宋体" w:cs="宋体"/>
          <w:b/>
          <w:bCs/>
          <w:snapToGrid w:val="0"/>
          <w:color w:val="000000" w:themeColor="text1"/>
          <w:kern w:val="0"/>
          <w:sz w:val="24"/>
          <w:highlight w:val="none"/>
          <w:u w:val="single"/>
          <w:lang w:val="en-US" w:eastAsia="zh-CN" w:bidi="ar-SA"/>
          <w14:textFill>
            <w14:solidFill>
              <w14:schemeClr w14:val="tx1"/>
            </w14:solidFill>
          </w14:textFill>
        </w:rPr>
        <w:t>1.000</w:t>
      </w:r>
      <w:r>
        <w:rPr>
          <w:rFonts w:hint="eastAsia" w:ascii="宋体" w:hAnsi="宋体" w:eastAsia="宋体" w:cs="宋体"/>
          <w:b/>
          <w:bCs/>
          <w:snapToGrid w:val="0"/>
          <w:color w:val="000000" w:themeColor="text1"/>
          <w:kern w:val="0"/>
          <w:sz w:val="24"/>
          <w:highlight w:val="none"/>
          <w:u w:val="single"/>
          <w:lang w:val="en-US" w:eastAsia="zh-CN" w:bidi="ar-SA"/>
          <w14:textFill>
            <w14:solidFill>
              <w14:schemeClr w14:val="tx1"/>
            </w14:solidFill>
          </w14:textFill>
        </w:rPr>
        <w:t>%</w:t>
      </w:r>
      <w:r>
        <w:rPr>
          <w:rFonts w:hint="eastAsia" w:ascii="宋体" w:hAnsi="宋体" w:eastAsia="宋体" w:cs="宋体"/>
          <w:b/>
          <w:bCs/>
          <w:snapToGrid w:val="0"/>
          <w:color w:val="000000" w:themeColor="text1"/>
          <w:kern w:val="0"/>
          <w:sz w:val="24"/>
          <w:highlight w:val="none"/>
          <w:u w:val="none"/>
          <w:lang w:val="en-US" w:eastAsia="zh-CN" w:bidi="ar-SA"/>
          <w14:textFill>
            <w14:solidFill>
              <w14:schemeClr w14:val="tx1"/>
            </w14:solidFill>
          </w14:textFill>
        </w:rPr>
        <w:t>。</w:t>
      </w:r>
    </w:p>
    <w:p w14:paraId="0C08338C">
      <w:pPr>
        <w:pStyle w:val="4"/>
        <w:keepNext w:val="0"/>
        <w:keepLines w:val="0"/>
        <w:pageBreakBefore w:val="0"/>
        <w:kinsoku/>
        <w:wordWrap w:val="0"/>
        <w:overflowPunct/>
        <w:topLinePunct w:val="0"/>
        <w:autoSpaceDE/>
        <w:autoSpaceDN/>
        <w:bidi w:val="0"/>
        <w:snapToGrid w:val="0"/>
        <w:spacing w:line="4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39" w:name="_Toc1446"/>
      <w:bookmarkStart w:id="40" w:name="_Toc7437"/>
      <w:r>
        <w:rPr>
          <w:rFonts w:hint="eastAsia" w:hAnsi="宋体" w:cs="宋体"/>
          <w:b/>
          <w:snapToGrid w:val="0"/>
          <w:color w:val="000000" w:themeColor="text1"/>
          <w:highlight w:val="none"/>
          <w14:textFill>
            <w14:solidFill>
              <w14:schemeClr w14:val="tx1"/>
            </w14:solidFill>
          </w14:textFill>
        </w:rPr>
        <w:t>9．投标报价</w:t>
      </w:r>
      <w:bookmarkEnd w:id="39"/>
      <w:bookmarkEnd w:id="40"/>
      <w:bookmarkStart w:id="41" w:name="_Hlt74498519"/>
      <w:bookmarkEnd w:id="41"/>
    </w:p>
    <w:p w14:paraId="29D01F5F">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9.1</w:t>
      </w:r>
      <w:r>
        <w:rPr>
          <w:rFonts w:hint="eastAsia" w:hAnsi="宋体" w:cs="宋体"/>
          <w:snapToGrid w:val="0"/>
          <w:color w:val="000000" w:themeColor="text1"/>
          <w:kern w:val="0"/>
          <w:highlight w:val="none"/>
          <w14:textFill>
            <w14:solidFill>
              <w14:schemeClr w14:val="tx1"/>
            </w14:solidFill>
          </w14:textFill>
        </w:rPr>
        <w:t xml:space="preserve"> 本次招标采用填报</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投标报价及取费费率 </w:t>
      </w:r>
      <w:r>
        <w:rPr>
          <w:rFonts w:hint="eastAsia" w:ascii="Times New Roman"/>
          <w:snapToGrid w:val="0"/>
          <w:color w:val="000000" w:themeColor="text1"/>
          <w:kern w:val="0"/>
          <w:highlight w:val="none"/>
          <w14:textFill>
            <w14:solidFill>
              <w14:schemeClr w14:val="tx1"/>
            </w14:solidFill>
          </w14:textFill>
        </w:rPr>
        <w:t>的方式进行报价</w:t>
      </w:r>
      <w:r>
        <w:rPr>
          <w:rFonts w:hint="eastAsia" w:hAnsi="宋体" w:cs="宋体"/>
          <w:snapToGrid w:val="0"/>
          <w:color w:val="000000" w:themeColor="text1"/>
          <w:kern w:val="0"/>
          <w:highlight w:val="none"/>
          <w14:textFill>
            <w14:solidFill>
              <w14:schemeClr w14:val="tx1"/>
            </w14:solidFill>
          </w14:textFill>
        </w:rPr>
        <w:t>。</w:t>
      </w:r>
      <w:r>
        <w:rPr>
          <w:rFonts w:ascii="Times New Roman"/>
          <w:snapToGrid w:val="0"/>
          <w:color w:val="000000" w:themeColor="text1"/>
          <w:kern w:val="0"/>
          <w:highlight w:val="none"/>
          <w14:textFill>
            <w14:solidFill>
              <w14:schemeClr w14:val="tx1"/>
            </w14:solidFill>
          </w14:textFill>
        </w:rPr>
        <w:t>投标人应在《投标函》（格式二）中进行报价。</w:t>
      </w:r>
    </w:p>
    <w:p w14:paraId="7BB1FB65">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int="eastAsia" w:hAnsi="宋体" w:cs="宋体"/>
          <w:snapToGrid w:val="0"/>
          <w:color w:val="000000" w:themeColor="text1"/>
          <w:kern w:val="0"/>
          <w:highlight w:val="none"/>
          <w:lang w:eastAsia="zh-CN"/>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9.2</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
          <w:bCs/>
          <w:snapToGrid w:val="0"/>
          <w:color w:val="000000" w:themeColor="text1"/>
          <w:kern w:val="0"/>
          <w:highlight w:val="none"/>
          <w14:textFill>
            <w14:solidFill>
              <w14:schemeClr w14:val="tx1"/>
            </w14:solidFill>
          </w14:textFill>
        </w:rPr>
        <w:t>投标报价均以人民币“元”为单位，并保留两位小数；投标取费费率保留小数点后三位</w:t>
      </w:r>
      <w:r>
        <w:rPr>
          <w:rFonts w:hint="eastAsia" w:hAnsi="宋体" w:cs="宋体"/>
          <w:b/>
          <w:bCs/>
          <w:snapToGrid w:val="0"/>
          <w:color w:val="000000" w:themeColor="text1"/>
          <w:kern w:val="0"/>
          <w:highlight w:val="none"/>
          <w:lang w:eastAsia="zh-CN"/>
          <w14:textFill>
            <w14:solidFill>
              <w14:schemeClr w14:val="tx1"/>
            </w14:solidFill>
          </w14:textFill>
        </w:rPr>
        <w:t>。</w:t>
      </w:r>
    </w:p>
    <w:p w14:paraId="578E2B6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投标取费费率=投标总价÷建安工程费暂定价×100%</w:t>
      </w:r>
    </w:p>
    <w:p w14:paraId="389273DD">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9.3 </w:t>
      </w:r>
      <w:r>
        <w:rPr>
          <w:rFonts w:hint="eastAsia" w:hAnsi="宋体" w:cs="宋体"/>
          <w:snapToGrid w:val="0"/>
          <w:color w:val="000000" w:themeColor="text1"/>
          <w:kern w:val="0"/>
          <w:szCs w:val="24"/>
          <w:highlight w:val="none"/>
          <w14:textFill>
            <w14:solidFill>
              <w14:schemeClr w14:val="tx1"/>
            </w14:solidFill>
          </w14:textFill>
        </w:rPr>
        <w:t>在最高投标限价范围内，投标人自行报价。监理服务费结算时以县财政投资评审中心审核后的建安工程费为准。结算价按以下方式结算：监理费=县财政投资评审中心审核后的建安工程费×监理费的中标费率（监理费的中标费率=监理费中标价÷</w:t>
      </w:r>
      <w:r>
        <w:rPr>
          <w:rFonts w:hint="eastAsia" w:hAnsi="宋体" w:cs="宋体"/>
          <w:snapToGrid w:val="0"/>
          <w:color w:val="000000" w:themeColor="text1"/>
          <w:kern w:val="0"/>
          <w:highlight w:val="none"/>
          <w14:textFill>
            <w14:solidFill>
              <w14:schemeClr w14:val="tx1"/>
            </w14:solidFill>
          </w14:textFill>
        </w:rPr>
        <w:t>建安工程费暂定价</w:t>
      </w:r>
      <w:r>
        <w:rPr>
          <w:rFonts w:hint="eastAsia" w:hAnsi="宋体" w:cs="宋体"/>
          <w:snapToGrid w:val="0"/>
          <w:color w:val="000000" w:themeColor="text1"/>
          <w:kern w:val="0"/>
          <w:szCs w:val="24"/>
          <w:highlight w:val="none"/>
          <w14:textFill>
            <w14:solidFill>
              <w14:schemeClr w14:val="tx1"/>
            </w14:solidFill>
          </w14:textFill>
        </w:rPr>
        <w:t>×100%）。</w:t>
      </w:r>
    </w:p>
    <w:p w14:paraId="33B3A55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监理服务费的中标费率，四舍五入保留三位小数。本项目的建安工程费暂定价为人民币</w:t>
      </w:r>
      <w:r>
        <w:rPr>
          <w:rFonts w:hint="eastAsia" w:hAnsi="宋体" w:cs="宋体"/>
          <w:b/>
          <w:bCs/>
          <w:snapToGrid w:val="0"/>
          <w:color w:val="000000" w:themeColor="text1"/>
          <w:kern w:val="0"/>
          <w:szCs w:val="24"/>
          <w:highlight w:val="none"/>
          <w:u w:val="single"/>
          <w:lang w:val="en-US" w:eastAsia="zh-CN"/>
          <w14:textFill>
            <w14:solidFill>
              <w14:schemeClr w14:val="tx1"/>
            </w14:solidFill>
          </w14:textFill>
        </w:rPr>
        <w:t>6119.33</w:t>
      </w:r>
      <w:r>
        <w:rPr>
          <w:rFonts w:hint="eastAsia" w:hAnsi="宋体" w:cs="宋体"/>
          <w:snapToGrid w:val="0"/>
          <w:color w:val="000000" w:themeColor="text1"/>
          <w:kern w:val="0"/>
          <w:szCs w:val="24"/>
          <w:highlight w:val="none"/>
          <w:lang w:val="en-US" w:eastAsia="zh-CN"/>
          <w14:textFill>
            <w14:solidFill>
              <w14:schemeClr w14:val="tx1"/>
            </w14:solidFill>
          </w14:textFill>
        </w:rPr>
        <w:t>万元</w:t>
      </w:r>
      <w:r>
        <w:rPr>
          <w:rFonts w:hint="eastAsia" w:hAnsi="宋体" w:cs="宋体"/>
          <w:snapToGrid w:val="0"/>
          <w:color w:val="000000" w:themeColor="text1"/>
          <w:kern w:val="0"/>
          <w:szCs w:val="24"/>
          <w:highlight w:val="none"/>
          <w14:textFill>
            <w14:solidFill>
              <w14:schemeClr w14:val="tx1"/>
            </w14:solidFill>
          </w14:textFill>
        </w:rPr>
        <w:t>。</w:t>
      </w:r>
    </w:p>
    <w:p w14:paraId="5CAAA2E6">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9.4</w:t>
      </w:r>
      <w:r>
        <w:rPr>
          <w:rFonts w:hint="eastAsia" w:hAnsi="宋体" w:cs="宋体"/>
          <w:snapToGrid w:val="0"/>
          <w:color w:val="000000" w:themeColor="text1"/>
          <w:kern w:val="0"/>
          <w:szCs w:val="24"/>
          <w:highlight w:val="none"/>
          <w14:textFill>
            <w14:solidFill>
              <w14:schemeClr w14:val="tx1"/>
            </w14:solidFill>
          </w14:textFill>
        </w:rPr>
        <w:t xml:space="preserve"> 投标人只允许有一个投标总价。投标总价必须同时用大、小写表示，大、小写报价应保持一致，若不一致，以大写报价为准。</w:t>
      </w:r>
    </w:p>
    <w:p w14:paraId="38E89C06">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9.5</w:t>
      </w:r>
      <w:r>
        <w:rPr>
          <w:rFonts w:hint="eastAsia" w:hAnsi="宋体" w:cs="宋体"/>
          <w:snapToGrid w:val="0"/>
          <w:color w:val="000000" w:themeColor="text1"/>
          <w:kern w:val="0"/>
          <w:szCs w:val="24"/>
          <w:highlight w:val="none"/>
          <w14:textFill>
            <w14:solidFill>
              <w14:schemeClr w14:val="tx1"/>
            </w14:solidFill>
          </w14:textFill>
        </w:rPr>
        <w:t>投标总价应包括国家规定的增值税税金。本次招标增值税税金按</w:t>
      </w:r>
      <w:r>
        <w:rPr>
          <w:rFonts w:hint="eastAsia" w:hAnsi="宋体" w:cs="宋体"/>
          <w:snapToGrid w:val="0"/>
          <w:color w:val="000000" w:themeColor="text1"/>
          <w:kern w:val="0"/>
          <w:szCs w:val="24"/>
          <w:highlight w:val="none"/>
          <w:u w:val="single"/>
          <w14:textFill>
            <w14:solidFill>
              <w14:schemeClr w14:val="tx1"/>
            </w14:solidFill>
          </w14:textFill>
        </w:rPr>
        <w:t xml:space="preserve"> 一般 </w:t>
      </w:r>
      <w:r>
        <w:rPr>
          <w:rFonts w:hint="eastAsia" w:hAnsi="宋体" w:cs="宋体"/>
          <w:snapToGrid w:val="0"/>
          <w:color w:val="000000" w:themeColor="text1"/>
          <w:kern w:val="0"/>
          <w:szCs w:val="24"/>
          <w:highlight w:val="none"/>
          <w14:textFill>
            <w14:solidFill>
              <w14:schemeClr w14:val="tx1"/>
            </w14:solidFill>
          </w14:textFill>
        </w:rPr>
        <w:t>计税方法计算。</w:t>
      </w:r>
    </w:p>
    <w:p w14:paraId="676E75F3">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9.6</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投标总价不得高于最高投标限价，也不得低于成本。</w:t>
      </w:r>
    </w:p>
    <w:p w14:paraId="51278CCD">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
          <w:snapToGrid w:val="0"/>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9.7</w:t>
      </w:r>
      <w:r>
        <w:rPr>
          <w:rFonts w:hint="eastAsia" w:hAnsi="宋体" w:cs="宋体"/>
          <w:snapToGrid w:val="0"/>
          <w:color w:val="000000" w:themeColor="text1"/>
          <w:kern w:val="0"/>
          <w:szCs w:val="24"/>
          <w:highlight w:val="none"/>
          <w14:textFill>
            <w14:solidFill>
              <w14:schemeClr w14:val="tx1"/>
            </w14:solidFill>
          </w14:textFill>
        </w:rPr>
        <w:t xml:space="preserve"> 投标人应充分了解招标项目的总体情况以及影响投标报价的其他要素。</w:t>
      </w:r>
      <w:bookmarkStart w:id="42" w:name="_（十）投标文件的编制、包装、密封"/>
      <w:bookmarkEnd w:id="42"/>
    </w:p>
    <w:p w14:paraId="0583B02D">
      <w:pPr>
        <w:pStyle w:val="4"/>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trike/>
          <w:snapToGrid w:val="0"/>
          <w:color w:val="000000" w:themeColor="text1"/>
          <w:szCs w:val="24"/>
          <w:highlight w:val="none"/>
          <w14:textFill>
            <w14:solidFill>
              <w14:schemeClr w14:val="tx1"/>
            </w14:solidFill>
          </w14:textFill>
        </w:rPr>
      </w:pPr>
      <w:bookmarkStart w:id="43" w:name="_Toc684"/>
      <w:bookmarkStart w:id="44" w:name="_Toc31067"/>
      <w:r>
        <w:rPr>
          <w:rFonts w:hint="eastAsia" w:hAnsi="宋体" w:cs="宋体"/>
          <w:b/>
          <w:snapToGrid w:val="0"/>
          <w:color w:val="000000" w:themeColor="text1"/>
          <w:szCs w:val="24"/>
          <w:highlight w:val="none"/>
          <w14:textFill>
            <w14:solidFill>
              <w14:schemeClr w14:val="tx1"/>
            </w14:solidFill>
          </w14:textFill>
        </w:rPr>
        <w:t>10．投标文件的编制</w:t>
      </w:r>
      <w:bookmarkStart w:id="45" w:name="_Hlt69332370"/>
      <w:bookmarkEnd w:id="45"/>
      <w:bookmarkStart w:id="46" w:name="_Hlt69208262"/>
      <w:bookmarkEnd w:id="46"/>
      <w:r>
        <w:rPr>
          <w:rFonts w:hint="eastAsia" w:hAnsi="宋体" w:cs="宋体"/>
          <w:b/>
          <w:snapToGrid w:val="0"/>
          <w:color w:val="000000" w:themeColor="text1"/>
          <w:szCs w:val="24"/>
          <w:highlight w:val="none"/>
          <w14:textFill>
            <w14:solidFill>
              <w14:schemeClr w14:val="tx1"/>
            </w14:solidFill>
          </w14:textFill>
        </w:rPr>
        <w:t>要求</w:t>
      </w:r>
      <w:bookmarkEnd w:id="43"/>
      <w:bookmarkEnd w:id="44"/>
      <w:bookmarkStart w:id="47" w:name="_Hlt74497202"/>
      <w:bookmarkEnd w:id="47"/>
      <w:bookmarkStart w:id="48" w:name="_Hlt74495594"/>
      <w:bookmarkEnd w:id="48"/>
      <w:bookmarkStart w:id="49" w:name="_Hlt78768224"/>
      <w:bookmarkEnd w:id="49"/>
    </w:p>
    <w:p w14:paraId="06814CC3">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w:t>
      </w:r>
      <w:r>
        <w:rPr>
          <w:rFonts w:hint="eastAsia" w:hAnsi="宋体" w:cs="宋体"/>
          <w:bCs/>
          <w:snapToGrid w:val="0"/>
          <w:color w:val="000000" w:themeColor="text1"/>
          <w:kern w:val="0"/>
          <w:szCs w:val="24"/>
          <w:highlight w:val="none"/>
          <w14:textFill>
            <w14:solidFill>
              <w14:schemeClr w14:val="tx1"/>
            </w14:solidFill>
          </w14:textFill>
        </w:rPr>
        <w:t xml:space="preserve"> 一般要求</w:t>
      </w:r>
    </w:p>
    <w:p w14:paraId="4A98FB0D">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bookmarkStart w:id="50" w:name="_Hlt74496890"/>
      <w:bookmarkEnd w:id="50"/>
      <w:r>
        <w:rPr>
          <w:rFonts w:hint="eastAsia" w:hAnsi="宋体" w:cs="宋体"/>
          <w:snapToGrid w:val="0"/>
          <w:color w:val="000000" w:themeColor="text1"/>
          <w:kern w:val="0"/>
          <w:szCs w:val="24"/>
          <w:highlight w:val="none"/>
          <w14:textFill>
            <w14:solidFill>
              <w14:schemeClr w14:val="tx1"/>
            </w14:solidFill>
          </w14:textFill>
        </w:rPr>
        <w:t>投标文件应按第五章 投标文件格式规定的内容，投标人提交的投标文件应当使用招标文件所提供的投标文件全部格式。</w:t>
      </w:r>
    </w:p>
    <w:p w14:paraId="0B3B4561">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10.1.1</w:t>
      </w:r>
      <w:r>
        <w:rPr>
          <w:rFonts w:hint="eastAsia" w:hAnsi="宋体" w:cs="宋体"/>
          <w:snapToGrid w:val="0"/>
          <w:color w:val="000000" w:themeColor="text1"/>
          <w:kern w:val="0"/>
          <w:szCs w:val="24"/>
          <w:highlight w:val="none"/>
          <w14:textFill>
            <w14:solidFill>
              <w14:schemeClr w14:val="tx1"/>
            </w14:solidFill>
          </w14:textFill>
        </w:rPr>
        <w:t>投标人必须响应招标文件，并在充分理解招标文件的基础上编制投标文件。因投标文件不符合招标文件的要求而造成的损失和后果，由投标人自行承担。</w:t>
      </w:r>
    </w:p>
    <w:p w14:paraId="4C7D802A">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10.1.2</w:t>
      </w:r>
      <w:r>
        <w:rPr>
          <w:rFonts w:hint="eastAsia" w:hAnsi="宋体" w:cs="宋体"/>
          <w:snapToGrid w:val="0"/>
          <w:color w:val="000000" w:themeColor="text1"/>
          <w:kern w:val="0"/>
          <w:szCs w:val="24"/>
          <w:highlight w:val="none"/>
          <w14:textFill>
            <w14:solidFill>
              <w14:schemeClr w14:val="tx1"/>
            </w14:solidFill>
          </w14:textFill>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7884F718">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w:t>
      </w:r>
      <w:r>
        <w:rPr>
          <w:rFonts w:hint="eastAsia" w:hAnsi="宋体" w:cs="宋体"/>
          <w:snapToGrid w:val="0"/>
          <w:color w:val="000000" w:themeColor="text1"/>
          <w:kern w:val="0"/>
          <w:szCs w:val="24"/>
          <w:highlight w:val="none"/>
          <w14:textFill>
            <w14:solidFill>
              <w14:schemeClr w14:val="tx1"/>
            </w14:solidFill>
          </w14:textFill>
        </w:rPr>
        <w:t xml:space="preserve"> 投标文件需按以下要求签字、盖章：</w:t>
      </w:r>
    </w:p>
    <w:p w14:paraId="4EA4C96B">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10.1.3.1</w:t>
      </w:r>
      <w:r>
        <w:rPr>
          <w:rFonts w:hint="eastAsia" w:hAnsi="宋体" w:cs="宋体"/>
          <w:snapToGrid w:val="0"/>
          <w:color w:val="000000" w:themeColor="text1"/>
          <w:kern w:val="0"/>
          <w:szCs w:val="24"/>
          <w:highlight w:val="none"/>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1024EE94">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10.1.3.2</w:t>
      </w:r>
      <w:r>
        <w:rPr>
          <w:rFonts w:hint="eastAsia" w:hAnsi="宋体" w:cs="宋体"/>
          <w:snapToGrid w:val="0"/>
          <w:color w:val="000000" w:themeColor="text1"/>
          <w:kern w:val="0"/>
          <w:szCs w:val="24"/>
          <w:highlight w:val="none"/>
          <w14:textFill>
            <w14:solidFill>
              <w14:schemeClr w14:val="tx1"/>
            </w14:solidFill>
          </w14:textFill>
        </w:rPr>
        <w:t xml:space="preserve"> 投标文件封套、封面、组成内容中凡要求录入投标人名称且注明“盖单位章”处盖单位法人公章（电子印章）。</w:t>
      </w:r>
    </w:p>
    <w:p w14:paraId="14027F1E">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10.1.3.3</w:t>
      </w:r>
      <w:r>
        <w:rPr>
          <w:rFonts w:hint="eastAsia" w:hAnsi="宋体" w:cs="宋体"/>
          <w:snapToGrid w:val="0"/>
          <w:color w:val="000000" w:themeColor="text1"/>
          <w:kern w:val="0"/>
          <w:szCs w:val="24"/>
          <w:highlight w:val="none"/>
          <w14:textFill>
            <w14:solidFill>
              <w14:schemeClr w14:val="tx1"/>
            </w14:solidFill>
          </w14:textFill>
        </w:rPr>
        <w:t xml:space="preserve"> 投标文件的签字均为签字人本人亲笔署名或签章（电子印章），其余部分的扫描件无须另行签字、盖章。</w:t>
      </w:r>
    </w:p>
    <w:p w14:paraId="7CF5406B">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10.1.4</w:t>
      </w:r>
      <w:r>
        <w:rPr>
          <w:rFonts w:hint="eastAsia" w:hAnsi="宋体" w:cs="宋体"/>
          <w:snapToGrid w:val="0"/>
          <w:color w:val="000000" w:themeColor="text1"/>
          <w:kern w:val="0"/>
          <w:szCs w:val="24"/>
          <w:highlight w:val="none"/>
          <w14:textFill>
            <w14:solidFill>
              <w14:schemeClr w14:val="tx1"/>
            </w14:solidFill>
          </w14:textFill>
        </w:rPr>
        <w:t xml:space="preserve"> 联合体投标的，除《联合体协议书》外，由联合体牵头人按以上要求签亲笔署名或签章（电子印章）即可。</w:t>
      </w:r>
      <w:r>
        <w:rPr>
          <w:rFonts w:hint="eastAsia" w:hAnsi="宋体" w:cs="宋体"/>
          <w:b/>
          <w:bCs/>
          <w:snapToGrid w:val="0"/>
          <w:color w:val="000000" w:themeColor="text1"/>
          <w:kern w:val="0"/>
          <w:szCs w:val="24"/>
          <w:highlight w:val="none"/>
          <w14:textFill>
            <w14:solidFill>
              <w14:schemeClr w14:val="tx1"/>
            </w14:solidFill>
          </w14:textFill>
        </w:rPr>
        <w:t>（本项目不适用）</w:t>
      </w:r>
    </w:p>
    <w:p w14:paraId="140DE097">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b/>
          <w:snapToGrid w:val="0"/>
          <w:color w:val="000000" w:themeColor="text1"/>
          <w:kern w:val="0"/>
          <w:szCs w:val="24"/>
          <w:highlight w:val="none"/>
          <w14:textFill>
            <w14:solidFill>
              <w14:schemeClr w14:val="tx1"/>
            </w14:solidFill>
          </w14:textFill>
        </w:rPr>
      </w:pPr>
      <w:bookmarkStart w:id="51" w:name="_Toc257031159"/>
      <w:bookmarkStart w:id="52" w:name="_Toc274313880"/>
      <w:r>
        <w:rPr>
          <w:rFonts w:hint="eastAsia" w:hAnsi="宋体" w:cs="宋体"/>
          <w:b/>
          <w:bCs/>
          <w:snapToGrid w:val="0"/>
          <w:color w:val="000000" w:themeColor="text1"/>
          <w:kern w:val="0"/>
          <w:szCs w:val="24"/>
          <w:highlight w:val="none"/>
          <w14:textFill>
            <w14:solidFill>
              <w14:schemeClr w14:val="tx1"/>
            </w14:solidFill>
          </w14:textFill>
        </w:rPr>
        <w:t>10.2</w:t>
      </w:r>
      <w:r>
        <w:rPr>
          <w:rFonts w:hint="eastAsia" w:hAnsi="宋体" w:cs="宋体"/>
          <w:bCs/>
          <w:snapToGrid w:val="0"/>
          <w:color w:val="000000" w:themeColor="text1"/>
          <w:kern w:val="0"/>
          <w:szCs w:val="24"/>
          <w:highlight w:val="none"/>
          <w14:textFill>
            <w14:solidFill>
              <w14:schemeClr w14:val="tx1"/>
            </w14:solidFill>
          </w14:textFill>
        </w:rPr>
        <w:t xml:space="preserve"> 商务标书的编制要求</w:t>
      </w:r>
      <w:bookmarkEnd w:id="51"/>
      <w:bookmarkEnd w:id="52"/>
    </w:p>
    <w:p w14:paraId="519EA294">
      <w:pPr>
        <w:keepNext w:val="0"/>
        <w:keepLines w:val="0"/>
        <w:pageBreakBefore w:val="0"/>
        <w:kinsoku/>
        <w:wordWrap w:val="0"/>
        <w:overflowPunct/>
        <w:topLinePunct w:val="0"/>
        <w:autoSpaceDE/>
        <w:autoSpaceDN/>
        <w:bidi w:val="0"/>
        <w:adjustRightInd w:val="0"/>
        <w:snapToGrid w:val="0"/>
        <w:spacing w:line="400" w:lineRule="exact"/>
        <w:ind w:firstLine="561"/>
        <w:textAlignment w:val="auto"/>
        <w:rPr>
          <w:rFonts w:hAnsi="宋体" w:cs="宋体"/>
          <w:snapToGrid w:val="0"/>
          <w:color w:val="000000" w:themeColor="text1"/>
          <w:kern w:val="0"/>
          <w:szCs w:val="24"/>
          <w:highlight w:val="none"/>
          <w:u w:val="singl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商务标书</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521EEDA9">
      <w:pPr>
        <w:keepNext w:val="0"/>
        <w:keepLines w:val="0"/>
        <w:pageBreakBefore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（1）封面（格式一）；</w:t>
      </w:r>
    </w:p>
    <w:p w14:paraId="1C70903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265140F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（3）《投标函》（格式二）；</w:t>
      </w:r>
    </w:p>
    <w:p w14:paraId="50B36C6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（4）《各项承诺一览表》（格式三）；</w:t>
      </w:r>
    </w:p>
    <w:p w14:paraId="34DD838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（5）《授权委托书》（格式四）；</w:t>
      </w:r>
    </w:p>
    <w:p w14:paraId="262E907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（6）《法定代表人身份证明》（格式五）；</w:t>
      </w:r>
    </w:p>
    <w:p w14:paraId="4CED5F7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2A66574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（8）《投标人基本情况表》（格式六）及所附资料；</w:t>
      </w:r>
    </w:p>
    <w:p w14:paraId="648BF226">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（9）《总监理工程师任职声明》（格式七或格式八，由投标人根据拟派总监理工程师任职情况选用）；</w:t>
      </w:r>
    </w:p>
    <w:p w14:paraId="1EEB7AC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（10）《总监理工程师任职项目情况表》（格式九）及所附资料；</w:t>
      </w:r>
    </w:p>
    <w:p w14:paraId="66C6947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（11）《项目监理机构组成人员汇总表》（格式十）；</w:t>
      </w:r>
    </w:p>
    <w:p w14:paraId="04BD19B8">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（12）《总监理工程师简历表》（格式十一）及所附资料；</w:t>
      </w:r>
    </w:p>
    <w:p w14:paraId="40E497E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（13）《其他拟派人员简历表》（格式十二）及所附资料；</w:t>
      </w:r>
    </w:p>
    <w:p w14:paraId="47DC9B7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（14）详细评审阶段要求提供的评审资料（详见本节第</w:t>
      </w:r>
      <w:r>
        <w:rPr>
          <w:rFonts w:hint="eastAsia" w:hAnsi="宋体" w:cs="宋体"/>
          <w:b/>
          <w:bCs/>
          <w:snapToGrid w:val="0"/>
          <w:color w:val="000000" w:themeColor="text1"/>
          <w:kern w:val="0"/>
          <w:szCs w:val="24"/>
          <w:highlight w:val="none"/>
          <w14:textFill>
            <w14:solidFill>
              <w14:schemeClr w14:val="tx1"/>
            </w14:solidFill>
          </w14:textFill>
        </w:rPr>
        <w:t>15.5.1</w:t>
      </w:r>
      <w:r>
        <w:rPr>
          <w:rFonts w:hint="eastAsia" w:hAnsi="宋体" w:cs="宋体"/>
          <w:snapToGrid w:val="0"/>
          <w:color w:val="000000" w:themeColor="text1"/>
          <w:kern w:val="0"/>
          <w:szCs w:val="24"/>
          <w:highlight w:val="none"/>
          <w14:textFill>
            <w14:solidFill>
              <w14:schemeClr w14:val="tx1"/>
            </w14:solidFill>
          </w14:textFill>
        </w:rPr>
        <w:t>目）；</w:t>
      </w:r>
    </w:p>
    <w:p w14:paraId="19303639">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lang w:val="en-US" w:eastAsia="zh-CN"/>
          <w14:textFill>
            <w14:solidFill>
              <w14:schemeClr w14:val="tx1"/>
            </w14:solidFill>
          </w14:textFill>
        </w:rPr>
        <w:t>5</w:t>
      </w:r>
      <w:r>
        <w:rPr>
          <w:rFonts w:hint="eastAsia" w:hAnsi="宋体" w:cs="宋体"/>
          <w:snapToGrid w:val="0"/>
          <w:color w:val="000000" w:themeColor="text1"/>
          <w:kern w:val="0"/>
          <w:szCs w:val="24"/>
          <w:highlight w:val="none"/>
          <w14:textFill>
            <w14:solidFill>
              <w14:schemeClr w14:val="tx1"/>
            </w14:solidFill>
          </w14:textFill>
        </w:rPr>
        <w:t>）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06D21937">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10.2.2</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目中所列出的商务标书组成内容中，第（1）至第（1</w:t>
      </w:r>
      <w:r>
        <w:rPr>
          <w:rFonts w:hint="eastAsia" w:hAnsi="宋体" w:cs="宋体"/>
          <w:snapToGrid w:val="0"/>
          <w:color w:val="000000" w:themeColor="text1"/>
          <w:kern w:val="0"/>
          <w:szCs w:val="24"/>
          <w:highlight w:val="none"/>
          <w:lang w:val="en-US" w:eastAsia="zh-CN"/>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）项所有投标人均应提供。</w:t>
      </w:r>
      <w:r>
        <w:rPr>
          <w:rFonts w:hint="eastAsia" w:hAnsi="宋体" w:cs="宋体"/>
          <w:b/>
          <w:bCs/>
          <w:snapToGrid w:val="0"/>
          <w:color w:val="000000" w:themeColor="text1"/>
          <w:kern w:val="0"/>
          <w:szCs w:val="24"/>
          <w:highlight w:val="none"/>
          <w14:textFill>
            <w14:solidFill>
              <w14:schemeClr w14:val="tx1"/>
            </w14:solidFill>
          </w14:textFill>
        </w:rPr>
        <w:t>但拟派总监理工程师现阶段未担任任何在施建设工程项目总监理工程师的，无需提供第（10）项内容。</w:t>
      </w:r>
    </w:p>
    <w:p w14:paraId="213A5A02">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10.2.3</w:t>
      </w:r>
      <w:r>
        <w:rPr>
          <w:rFonts w:hint="eastAsia" w:hAnsi="宋体" w:cs="宋体"/>
          <w:snapToGrid w:val="0"/>
          <w:color w:val="000000" w:themeColor="text1"/>
          <w:kern w:val="0"/>
          <w:szCs w:val="24"/>
          <w:highlight w:val="none"/>
          <w14:textFill>
            <w14:solidFill>
              <w14:schemeClr w14:val="tx1"/>
            </w14:solidFill>
          </w14:textFill>
        </w:rPr>
        <w:t xml:space="preserve"> 商务标书的组成内容按本节第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7BD4D3C4">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w:t>
      </w:r>
      <w:r>
        <w:rPr>
          <w:rFonts w:hint="eastAsia" w:hAnsi="宋体" w:cs="宋体"/>
          <w:bCs/>
          <w:snapToGrid w:val="0"/>
          <w:color w:val="000000" w:themeColor="text1"/>
          <w:kern w:val="0"/>
          <w:szCs w:val="24"/>
          <w:highlight w:val="none"/>
          <w14:textFill>
            <w14:solidFill>
              <w14:schemeClr w14:val="tx1"/>
            </w14:solidFill>
          </w14:textFill>
        </w:rPr>
        <w:t xml:space="preserve"> 监理大纲的编制要求</w:t>
      </w:r>
    </w:p>
    <w:p w14:paraId="51A4C11E">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10.3.1</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的编制依据包括且不限于</w:t>
      </w:r>
      <w:r>
        <w:rPr>
          <w:rFonts w:hint="eastAsia" w:hAnsi="宋体" w:cs="宋体"/>
          <w:bCs/>
          <w:snapToGrid w:val="0"/>
          <w:color w:val="000000" w:themeColor="text1"/>
          <w:kern w:val="0"/>
          <w:szCs w:val="24"/>
          <w:highlight w:val="none"/>
          <w14:textFill>
            <w14:solidFill>
              <w14:schemeClr w14:val="tx1"/>
            </w14:solidFill>
          </w14:textFill>
        </w:rPr>
        <w:t>：</w:t>
      </w:r>
    </w:p>
    <w:p w14:paraId="39F2DCA0">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（1）招标文件及</w:t>
      </w:r>
      <w:r>
        <w:rPr>
          <w:rFonts w:hint="eastAsia" w:hAnsi="宋体" w:cs="宋体"/>
          <w:snapToGrid w:val="0"/>
          <w:color w:val="000000" w:themeColor="text1"/>
          <w:kern w:val="0"/>
          <w:szCs w:val="24"/>
          <w:highlight w:val="none"/>
          <w14:textFill>
            <w14:solidFill>
              <w14:schemeClr w14:val="tx1"/>
            </w14:solidFill>
          </w14:textFill>
        </w:rPr>
        <w:t>其答疑（或修改）公告；</w:t>
      </w:r>
    </w:p>
    <w:p w14:paraId="7FE6CF64">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（2）施工现场情况、工程特点；</w:t>
      </w:r>
    </w:p>
    <w:p w14:paraId="0106AAEC">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（3）相关法律、法规、规定；</w:t>
      </w:r>
    </w:p>
    <w:p w14:paraId="1C23374C">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750B1A78">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10.3.2</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6889266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（1）封面（格式一）；</w:t>
      </w:r>
    </w:p>
    <w:p w14:paraId="7273BD3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158A5A6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（3）监理工程概况；</w:t>
      </w:r>
    </w:p>
    <w:p w14:paraId="2A4D65FB">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（4）监理及相关服务的范围、内容；</w:t>
      </w:r>
    </w:p>
    <w:p w14:paraId="722D5080">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（5）监理及相关服务的依据、目标；</w:t>
      </w:r>
    </w:p>
    <w:p w14:paraId="56BF972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（6）项目监理机构设置（框图）、岗位职责；</w:t>
      </w:r>
    </w:p>
    <w:p w14:paraId="393887D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（7）监理及相关服务的工作程序、方法和制度；</w:t>
      </w:r>
    </w:p>
    <w:p w14:paraId="582FDE7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（8）拟投入的监理及相关服务人员；</w:t>
      </w:r>
    </w:p>
    <w:p w14:paraId="0718B321">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（9）质量、进度、造价、安全、绿色施工监理措施；</w:t>
      </w:r>
    </w:p>
    <w:p w14:paraId="7669464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（10）合同、信息管理方案；</w:t>
      </w:r>
    </w:p>
    <w:p w14:paraId="4609062B">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（11）组织协调内容及措施；</w:t>
      </w:r>
    </w:p>
    <w:p w14:paraId="5FC6FA4A">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（12）监理及相关服务的工作重点、难点分析；</w:t>
      </w:r>
    </w:p>
    <w:p w14:paraId="37222DC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（13）对本工程监理及相关服务的合理化建议。</w:t>
      </w:r>
    </w:p>
    <w:p w14:paraId="397E5205">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10.3.3</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目中所列出的</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组成内容，所有投标人均应提供。</w:t>
      </w:r>
    </w:p>
    <w:p w14:paraId="4741A291">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10.3.4</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的组成内容按本节第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7AABDEC4">
      <w:pPr>
        <w:pStyle w:val="4"/>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3" w:name="_Toc2864"/>
      <w:bookmarkStart w:id="54" w:name="_Toc7300"/>
      <w:r>
        <w:rPr>
          <w:rFonts w:hint="eastAsia" w:hAnsi="宋体" w:cs="宋体"/>
          <w:b/>
          <w:snapToGrid w:val="0"/>
          <w:color w:val="000000" w:themeColor="text1"/>
          <w:szCs w:val="24"/>
          <w:highlight w:val="none"/>
          <w14:textFill>
            <w14:solidFill>
              <w14:schemeClr w14:val="tx1"/>
            </w14:solidFill>
          </w14:textFill>
        </w:rPr>
        <w:t>11．</w:t>
      </w:r>
      <w:bookmarkEnd w:id="53"/>
      <w:r>
        <w:rPr>
          <w:rFonts w:hint="eastAsia" w:hAnsi="宋体" w:cs="宋体"/>
          <w:b/>
          <w:snapToGrid w:val="0"/>
          <w:color w:val="000000" w:themeColor="text1"/>
          <w:szCs w:val="24"/>
          <w:highlight w:val="none"/>
          <w14:textFill>
            <w14:solidFill>
              <w14:schemeClr w14:val="tx1"/>
            </w14:solidFill>
          </w14:textFill>
        </w:rPr>
        <w:t>电子投标</w:t>
      </w:r>
      <w:bookmarkEnd w:id="54"/>
    </w:p>
    <w:p w14:paraId="580C2120">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在建设工程交易系统上传加盖了电子印章的投标文件、录入相关信息及标书页码信息，（页码起始从封面开始）并提交投标标书，提交标书为已加密投标文件。具体操作参照</w:t>
      </w:r>
      <w:r>
        <w:rPr>
          <w:rFonts w:hint="eastAsia"/>
          <w:color w:val="000000" w:themeColor="text1"/>
          <w:highlight w:val="none"/>
          <w14:textFill>
            <w14:solidFill>
              <w14:schemeClr w14:val="tx1"/>
            </w14:solidFill>
          </w14:textFill>
        </w:rPr>
        <w:t>《韶关市公共资源建设工程交易系统-投标人操作指南（电子评标）》</w:t>
      </w:r>
      <w:r>
        <w:rPr>
          <w:rFonts w:hint="eastAsia" w:ascii="宋体" w:hAnsi="宋体" w:cs="宋体"/>
          <w:snapToGrid w:val="0"/>
          <w:color w:val="000000" w:themeColor="text1"/>
          <w:kern w:val="0"/>
          <w:sz w:val="24"/>
          <w:highlight w:val="none"/>
          <w14:textFill>
            <w14:solidFill>
              <w14:schemeClr w14:val="tx1"/>
            </w14:solidFill>
          </w14:textFill>
        </w:rPr>
        <w:t>。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0AC9A777">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11.2</w:t>
      </w:r>
      <w:r>
        <w:rPr>
          <w:rFonts w:hint="eastAsia" w:ascii="宋体" w:hAnsi="宋体" w:cs="宋体"/>
          <w:snapToGrid w:val="0"/>
          <w:color w:val="000000" w:themeColor="text1"/>
          <w:kern w:val="0"/>
          <w:sz w:val="24"/>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B101EC3">
      <w:pPr>
        <w:keepNext w:val="0"/>
        <w:keepLines w:val="0"/>
        <w:pageBreakBefore w:val="0"/>
        <w:kinsoku/>
        <w:overflowPunct/>
        <w:topLinePunct w:val="0"/>
        <w:autoSpaceDE/>
        <w:autoSpaceDN/>
        <w:bidi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11.3 </w:t>
      </w:r>
      <w:r>
        <w:rPr>
          <w:rFonts w:hint="eastAsia" w:hAnsi="宋体" w:cs="宋体"/>
          <w:snapToGrid w:val="0"/>
          <w:color w:val="000000" w:themeColor="text1"/>
          <w:kern w:val="0"/>
          <w:szCs w:val="24"/>
          <w:highlight w:val="none"/>
          <w14:textFill>
            <w14:solidFill>
              <w14:schemeClr w14:val="tx1"/>
            </w14:solidFill>
          </w14:textFill>
        </w:rPr>
        <w:t>电子投标解密失败及突发情况的补救</w:t>
      </w:r>
    </w:p>
    <w:p w14:paraId="27227D5E">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11.3.1</w:t>
      </w:r>
      <w:r>
        <w:rPr>
          <w:rFonts w:hint="eastAsia" w:ascii="宋体" w:hAnsi="宋体" w:cs="宋体"/>
          <w:snapToGrid w:val="0"/>
          <w:color w:val="000000" w:themeColor="text1"/>
          <w:kern w:val="0"/>
          <w:sz w:val="24"/>
          <w:highlight w:val="none"/>
          <w14:textFill>
            <w14:solidFill>
              <w14:schemeClr w14:val="tx1"/>
            </w14:solidFill>
          </w14:textFill>
        </w:rPr>
        <w:t xml:space="preserve">按照交易平台关于全流程电子化项目的相关指南进行操作。详见：全国公共资源交易平台（广东省·韶关市）（https://ygp.gdzwfw.gov.cn/ggzy-portal/#/440200/index）【服务指南】栏目发布的最新版操作指引。  </w:t>
      </w:r>
    </w:p>
    <w:p w14:paraId="3E063C99">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11.3.2</w:t>
      </w:r>
      <w:r>
        <w:rPr>
          <w:rFonts w:hint="eastAsia" w:ascii="宋体" w:hAnsi="宋体" w:cs="宋体"/>
          <w:snapToGrid w:val="0"/>
          <w:color w:val="000000" w:themeColor="text1"/>
          <w:kern w:val="0"/>
          <w:sz w:val="24"/>
          <w:highlight w:val="none"/>
          <w14:textFill>
            <w14:solidFill>
              <w14:schemeClr w14:val="tx1"/>
            </w14:solidFill>
          </w14:textFill>
        </w:rPr>
        <w:t>补救方案：</w:t>
      </w:r>
    </w:p>
    <w:p w14:paraId="04CB3EDE">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74E3E8B1">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4C6694">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（3）除发生上述情况外，开标评标均以投标人通过交易平台网上提交的电子投标文件为准。</w:t>
      </w:r>
    </w:p>
    <w:p w14:paraId="2EBCAF3F">
      <w:pPr>
        <w:pStyle w:val="4"/>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5" w:name="_Toc16547"/>
      <w:r>
        <w:rPr>
          <w:rFonts w:hint="eastAsia" w:hAnsi="宋体" w:cs="宋体"/>
          <w:b/>
          <w:snapToGrid w:val="0"/>
          <w:color w:val="000000" w:themeColor="text1"/>
          <w:szCs w:val="24"/>
          <w:highlight w:val="none"/>
          <w14:textFill>
            <w14:solidFill>
              <w14:schemeClr w14:val="tx1"/>
            </w14:solidFill>
          </w14:textFill>
        </w:rPr>
        <w:t>12. 投标文件的提交</w:t>
      </w:r>
      <w:bookmarkEnd w:id="55"/>
    </w:p>
    <w:p w14:paraId="6F4108A8">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在电子投标截止时间前，投标人通过全国公共资源交易平台（广东省·韶关市）提交已加密投标文件。逾期提交的电子投标文件，全国公共资源交易平台（广东省·韶关市）将予以拒收。</w:t>
      </w:r>
    </w:p>
    <w:p w14:paraId="5BD8C0E9">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12.2</w:t>
      </w:r>
      <w:r>
        <w:rPr>
          <w:rFonts w:hint="eastAsia" w:ascii="宋体" w:hAnsi="宋体" w:cs="宋体"/>
          <w:snapToGrid w:val="0"/>
          <w:color w:val="000000" w:themeColor="text1"/>
          <w:kern w:val="0"/>
          <w:sz w:val="24"/>
          <w:highlight w:val="none"/>
          <w14:textFill>
            <w14:solidFill>
              <w14:schemeClr w14:val="tx1"/>
            </w14:solidFill>
          </w14:textFill>
        </w:rPr>
        <w:t>投标文件提交截止时间（同电子投标截止时间）：见本章第二节“重要事项时间地点一览表”。</w:t>
      </w:r>
    </w:p>
    <w:p w14:paraId="1624BC27">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12.3</w:t>
      </w:r>
      <w:r>
        <w:rPr>
          <w:rFonts w:hint="eastAsia" w:ascii="宋体" w:hAnsi="宋体" w:cs="宋体"/>
          <w:snapToGrid w:val="0"/>
          <w:color w:val="000000" w:themeColor="text1"/>
          <w:kern w:val="0"/>
          <w:sz w:val="24"/>
          <w:highlight w:val="none"/>
          <w14:textFill>
            <w14:solidFill>
              <w14:schemeClr w14:val="tx1"/>
            </w14:solidFill>
          </w14:textFill>
        </w:rPr>
        <w:t>代理机构对因不可抗力事件造成的投标文件的损坏、丢失的，不承担责任。</w:t>
      </w:r>
      <w:r>
        <w:rPr>
          <w:rFonts w:hint="eastAsia" w:ascii="宋体" w:hAnsi="宋体" w:cs="宋体"/>
          <w:b/>
          <w:bCs/>
          <w:snapToGrid w:val="0"/>
          <w:color w:val="000000" w:themeColor="text1"/>
          <w:kern w:val="0"/>
          <w:sz w:val="24"/>
          <w:highlight w:val="none"/>
          <w14:textFill>
            <w14:solidFill>
              <w14:schemeClr w14:val="tx1"/>
            </w14:solidFill>
          </w14:textFill>
        </w:rPr>
        <w:t xml:space="preserve">  </w:t>
      </w:r>
    </w:p>
    <w:p w14:paraId="53E36D66">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12.4 </w:t>
      </w:r>
      <w:r>
        <w:rPr>
          <w:rFonts w:hint="eastAsia" w:ascii="宋体" w:hAnsi="宋体" w:cs="宋体"/>
          <w:snapToGrid w:val="0"/>
          <w:color w:val="000000" w:themeColor="text1"/>
          <w:kern w:val="0"/>
          <w:sz w:val="24"/>
          <w:highlight w:val="none"/>
          <w14:textFill>
            <w14:solidFill>
              <w14:schemeClr w14:val="tx1"/>
            </w14:solidFill>
          </w14:textFill>
        </w:rPr>
        <w:t>投标人法定代表人或其委托代理人（以下简称“投标人代表”）应在指定的时间和地点递交以下的资料</w:t>
      </w:r>
      <w:r>
        <w:rPr>
          <w:rFonts w:hint="eastAsia" w:ascii="宋体" w:hAnsi="宋体" w:cs="宋体"/>
          <w:b/>
          <w:bCs/>
          <w:snapToGrid w:val="0"/>
          <w:color w:val="000000" w:themeColor="text1"/>
          <w:kern w:val="0"/>
          <w:sz w:val="24"/>
          <w:highlight w:val="none"/>
          <w14:textFill>
            <w14:solidFill>
              <w14:schemeClr w14:val="tx1"/>
            </w14:solidFill>
          </w14:textFill>
        </w:rPr>
        <w:t>（如有）</w:t>
      </w:r>
      <w:r>
        <w:rPr>
          <w:rFonts w:hint="eastAsia" w:ascii="宋体" w:hAnsi="宋体" w:cs="宋体"/>
          <w:snapToGrid w:val="0"/>
          <w:color w:val="000000" w:themeColor="text1"/>
          <w:kern w:val="0"/>
          <w:sz w:val="24"/>
          <w:highlight w:val="none"/>
          <w14:textFill>
            <w14:solidFill>
              <w14:schemeClr w14:val="tx1"/>
            </w14:solidFill>
          </w14:textFill>
        </w:rPr>
        <w:t>：招标文件要求提交的用于评审的证书、证件、证明原件（附一式</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两 </w:t>
      </w:r>
      <w:r>
        <w:rPr>
          <w:rFonts w:hint="eastAsia" w:ascii="宋体" w:hAnsi="宋体" w:cs="宋体"/>
          <w:snapToGrid w:val="0"/>
          <w:color w:val="000000" w:themeColor="text1"/>
          <w:kern w:val="0"/>
          <w:sz w:val="24"/>
          <w:highlight w:val="none"/>
          <w14:textFill>
            <w14:solidFill>
              <w14:schemeClr w14:val="tx1"/>
            </w14:solidFill>
          </w14:textFill>
        </w:rPr>
        <w:t>份清单）。</w:t>
      </w:r>
    </w:p>
    <w:p w14:paraId="519116BE">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12.5</w:t>
      </w:r>
      <w:r>
        <w:rPr>
          <w:rFonts w:hint="eastAsia" w:ascii="宋体" w:hAnsi="宋体" w:cs="宋体"/>
          <w:snapToGrid w:val="0"/>
          <w:color w:val="000000" w:themeColor="text1"/>
          <w:kern w:val="0"/>
          <w:sz w:val="24"/>
          <w:highlight w:val="none"/>
          <w14:textFill>
            <w14:solidFill>
              <w14:schemeClr w14:val="tx1"/>
            </w14:solidFill>
          </w14:textFill>
        </w:rPr>
        <w:t>出现下述情形之一，属于未成功提交投标文件，按无效投标处理：</w:t>
      </w:r>
    </w:p>
    <w:p w14:paraId="6B5E987E">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（1）至电子投标截止时间时，投标文件未完整上传或未提交投标。</w:t>
      </w:r>
    </w:p>
    <w:p w14:paraId="2E7ABD8C">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（2）投标文件未按投标格式中注明需签字盖章的要求进行签名（含电子签名）和加盖电子印章，或签名（含电子签名）或电子印章不完整的。</w:t>
      </w:r>
    </w:p>
    <w:p w14:paraId="3AD8E674">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（3）解密失败且在规定时间内未重新提交投标文件的；</w:t>
      </w:r>
    </w:p>
    <w:p w14:paraId="64458235">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（4）投标文件损坏或格式不正确的。</w:t>
      </w:r>
    </w:p>
    <w:p w14:paraId="46B884C2">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56" w:name="_Toc21031"/>
      <w:r>
        <w:rPr>
          <w:rFonts w:hint="eastAsia" w:hAnsi="宋体" w:cs="宋体"/>
          <w:b/>
          <w:snapToGrid w:val="0"/>
          <w:color w:val="000000" w:themeColor="text1"/>
          <w:kern w:val="0"/>
          <w:szCs w:val="24"/>
          <w:highlight w:val="none"/>
          <w14:textFill>
            <w14:solidFill>
              <w14:schemeClr w14:val="tx1"/>
            </w14:solidFill>
          </w14:textFill>
        </w:rPr>
        <w:t>13．投标有效期</w:t>
      </w:r>
      <w:bookmarkEnd w:id="56"/>
    </w:p>
    <w:p w14:paraId="73EACF5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3FA28F7B">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57" w:name="_Toc28643"/>
      <w:r>
        <w:rPr>
          <w:rFonts w:hint="eastAsia" w:hAnsi="宋体" w:cs="宋体"/>
          <w:b/>
          <w:snapToGrid w:val="0"/>
          <w:color w:val="000000" w:themeColor="text1"/>
          <w:kern w:val="0"/>
          <w:szCs w:val="24"/>
          <w:highlight w:val="none"/>
          <w14:textFill>
            <w14:solidFill>
              <w14:schemeClr w14:val="tx1"/>
            </w14:solidFill>
          </w14:textFill>
        </w:rPr>
        <w:t>14．开标</w:t>
      </w:r>
      <w:bookmarkEnd w:id="57"/>
    </w:p>
    <w:p w14:paraId="0534090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w:t>
      </w:r>
      <w:r>
        <w:rPr>
          <w:rFonts w:hint="eastAsia" w:ascii="宋体" w:hAnsi="宋体" w:cs="宋体"/>
          <w:snapToGrid w:val="0"/>
          <w:color w:val="000000" w:themeColor="text1"/>
          <w:kern w:val="0"/>
          <w:sz w:val="24"/>
          <w:highlight w:val="none"/>
          <w14:textFill>
            <w14:solidFill>
              <w14:schemeClr w14:val="tx1"/>
            </w14:solidFill>
          </w14:textFill>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4341EDF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14.1.1</w:t>
      </w:r>
      <w:r>
        <w:rPr>
          <w:rFonts w:hint="eastAsia" w:ascii="宋体" w:hAnsi="宋体" w:cs="宋体"/>
          <w:snapToGrid w:val="0"/>
          <w:color w:val="000000" w:themeColor="text1"/>
          <w:kern w:val="0"/>
          <w:sz w:val="24"/>
          <w:highlight w:val="none"/>
          <w14:textFill>
            <w14:solidFill>
              <w14:schemeClr w14:val="tx1"/>
            </w14:solidFill>
          </w14:textFill>
        </w:rPr>
        <w:t xml:space="preserve"> 开标时间和地点：见本章第二节“重要事项时间地点一览表”。</w:t>
      </w:r>
    </w:p>
    <w:p w14:paraId="748FE5D2">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14.1.2</w:t>
      </w:r>
      <w:r>
        <w:rPr>
          <w:rFonts w:hint="eastAsia" w:ascii="宋体" w:hAnsi="宋体" w:cs="宋体"/>
          <w:snapToGrid w:val="0"/>
          <w:color w:val="000000" w:themeColor="text1"/>
          <w:kern w:val="0"/>
          <w:sz w:val="24"/>
          <w:highlight w:val="none"/>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23262FEE">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A07D8BE">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14.2</w:t>
      </w:r>
      <w:r>
        <w:rPr>
          <w:rFonts w:hint="eastAsia" w:hAnsi="宋体" w:cs="宋体"/>
          <w:snapToGrid w:val="0"/>
          <w:color w:val="000000" w:themeColor="text1"/>
          <w:kern w:val="0"/>
          <w:szCs w:val="24"/>
          <w:highlight w:val="none"/>
          <w14:textFill>
            <w14:solidFill>
              <w14:schemeClr w14:val="tx1"/>
            </w14:solidFill>
          </w14:textFill>
        </w:rPr>
        <w:t xml:space="preserve"> 开标程序</w:t>
      </w:r>
    </w:p>
    <w:p w14:paraId="78E696B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（1）主持人（招标人代表或招标人授权的招标代理机构人员）宣读开标纪律。</w:t>
      </w:r>
    </w:p>
    <w:p w14:paraId="6C62957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（2）主持人宣布唱标人、记录人、见证人、监督人等有关人员姓名。</w:t>
      </w:r>
    </w:p>
    <w:p w14:paraId="328BCBEA">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2E3B79C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46F2231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245BA99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（6）投标人代表、招标人代表、唱标人、记录人等有关人员在《投标保证缴纳情况表》以及《开标一览表》上签字确认。</w:t>
      </w:r>
    </w:p>
    <w:p w14:paraId="7E61F3C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（7）主持人宣布有关注意事项后，宣布开标结束。</w:t>
      </w:r>
    </w:p>
    <w:p w14:paraId="3C3C2DB7">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278C71CF">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14.3</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72EAAF6B">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14.4</w:t>
      </w:r>
      <w:r>
        <w:rPr>
          <w:rFonts w:hint="eastAsia" w:hAnsi="宋体" w:cs="宋体"/>
          <w:snapToGrid w:val="0"/>
          <w:color w:val="000000" w:themeColor="text1"/>
          <w:kern w:val="0"/>
          <w:highlight w:val="none"/>
          <w14:textFill>
            <w14:solidFill>
              <w14:schemeClr w14:val="tx1"/>
            </w14:solidFill>
          </w14:textFill>
        </w:rPr>
        <w:t xml:space="preserve"> 招标代理机构将资料原件（如有）、《开标一览表》以及其他有关资料移交评标委员会。</w:t>
      </w:r>
    </w:p>
    <w:p w14:paraId="231845DA">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b/>
          <w:snapToGrid w:val="0"/>
          <w:color w:val="000000" w:themeColor="text1"/>
          <w:kern w:val="0"/>
          <w:highlight w:val="none"/>
          <w14:textFill>
            <w14:solidFill>
              <w14:schemeClr w14:val="tx1"/>
            </w14:solidFill>
          </w14:textFill>
        </w:rPr>
      </w:pPr>
      <w:bookmarkStart w:id="58" w:name="_Hlt127093805"/>
      <w:bookmarkEnd w:id="58"/>
      <w:bookmarkStart w:id="59" w:name="_Toc31748"/>
      <w:r>
        <w:rPr>
          <w:rFonts w:hint="eastAsia" w:hAnsi="宋体" w:cs="宋体"/>
          <w:b/>
          <w:snapToGrid w:val="0"/>
          <w:color w:val="000000" w:themeColor="text1"/>
          <w:kern w:val="0"/>
          <w:highlight w:val="none"/>
          <w14:textFill>
            <w14:solidFill>
              <w14:schemeClr w14:val="tx1"/>
            </w14:solidFill>
          </w14:textFill>
        </w:rPr>
        <w:t>15．评标</w:t>
      </w:r>
      <w:bookmarkEnd w:id="59"/>
    </w:p>
    <w:p w14:paraId="70E11966">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077BFA52">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w:t>
      </w:r>
      <w:r>
        <w:rPr>
          <w:rFonts w:hint="eastAsia" w:hAnsi="宋体" w:cs="宋体"/>
          <w:bCs/>
          <w:snapToGrid w:val="0"/>
          <w:color w:val="000000" w:themeColor="text1"/>
          <w:kern w:val="0"/>
          <w:highlight w:val="none"/>
          <w14:textFill>
            <w14:solidFill>
              <w14:schemeClr w14:val="tx1"/>
            </w14:solidFill>
          </w14:textFill>
        </w:rPr>
        <w:t xml:space="preserve"> 评标委员会</w:t>
      </w:r>
    </w:p>
    <w:p w14:paraId="16E8769A">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15.1.1</w:t>
      </w:r>
      <w:r>
        <w:rPr>
          <w:rFonts w:hint="eastAsia" w:hAnsi="宋体" w:cs="宋体"/>
          <w:snapToGrid w:val="0"/>
          <w:color w:val="000000" w:themeColor="text1"/>
          <w:kern w:val="0"/>
          <w:highlight w:val="none"/>
          <w14:textFill>
            <w14:solidFill>
              <w14:schemeClr w14:val="tx1"/>
            </w14:solidFill>
          </w14:textFill>
        </w:rPr>
        <w:t xml:space="preserve"> 评标委员会由</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人组成，其中招标人代表</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人，专家</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人。专家从广东省综合评标评审专家库</w:t>
      </w:r>
      <w:r>
        <w:rPr>
          <w:rFonts w:hint="eastAsia" w:hAnsi="宋体" w:cs="宋体"/>
          <w:snapToGrid w:val="0"/>
          <w:color w:val="000000" w:themeColor="text1"/>
          <w:kern w:val="0"/>
          <w:highlight w:val="none"/>
          <w:lang w:val="en-US" w:eastAsia="zh-CN"/>
          <w14:textFill>
            <w14:solidFill>
              <w14:schemeClr w14:val="tx1"/>
            </w14:solidFill>
          </w14:textFill>
        </w:rPr>
        <w:t>-韶关区域</w:t>
      </w:r>
      <w:r>
        <w:rPr>
          <w:rFonts w:hint="eastAsia" w:hAnsi="宋体" w:cs="宋体"/>
          <w:snapToGrid w:val="0"/>
          <w:color w:val="000000" w:themeColor="text1"/>
          <w:kern w:val="0"/>
          <w:highlight w:val="none"/>
          <w14:textFill>
            <w14:solidFill>
              <w14:schemeClr w14:val="tx1"/>
            </w14:solidFill>
          </w14:textFill>
        </w:rPr>
        <w:t>中随机抽取，其中技术类专家</w:t>
      </w:r>
      <w:r>
        <w:rPr>
          <w:rFonts w:hint="eastAsia" w:hAnsi="宋体" w:cs="宋体"/>
          <w:snapToGrid w:val="0"/>
          <w:color w:val="000000" w:themeColor="text1"/>
          <w:kern w:val="0"/>
          <w:highlight w:val="none"/>
          <w:u w:val="single"/>
          <w14:textFill>
            <w14:solidFill>
              <w14:schemeClr w14:val="tx1"/>
            </w14:solidFill>
          </w14:textFill>
        </w:rPr>
        <w:t xml:space="preserve">3 </w:t>
      </w:r>
      <w:r>
        <w:rPr>
          <w:rFonts w:hint="eastAsia" w:hAnsi="宋体" w:cs="宋体"/>
          <w:snapToGrid w:val="0"/>
          <w:color w:val="000000" w:themeColor="text1"/>
          <w:kern w:val="0"/>
          <w:highlight w:val="none"/>
          <w14:textFill>
            <w14:solidFill>
              <w14:schemeClr w14:val="tx1"/>
            </w14:solidFill>
          </w14:textFill>
        </w:rPr>
        <w:t>人，经济类专家</w:t>
      </w:r>
      <w:r>
        <w:rPr>
          <w:rFonts w:hint="eastAsia" w:hAnsi="宋体" w:cs="宋体"/>
          <w:snapToGrid w:val="0"/>
          <w:color w:val="000000" w:themeColor="text1"/>
          <w:kern w:val="0"/>
          <w:highlight w:val="none"/>
          <w:u w:val="single"/>
          <w14:textFill>
            <w14:solidFill>
              <w14:schemeClr w14:val="tx1"/>
            </w14:solidFill>
          </w14:textFill>
        </w:rPr>
        <w:t xml:space="preserve"> 2</w:t>
      </w:r>
      <w:r>
        <w:rPr>
          <w:rFonts w:hint="eastAsia" w:hAnsi="宋体" w:cs="宋体"/>
          <w:snapToGrid w:val="0"/>
          <w:color w:val="000000" w:themeColor="text1"/>
          <w:kern w:val="0"/>
          <w:highlight w:val="none"/>
          <w14:textFill>
            <w14:solidFill>
              <w14:schemeClr w14:val="tx1"/>
            </w14:solidFill>
          </w14:textFill>
        </w:rPr>
        <w:t>人。评标委员会设负责人，由评标委员会成员推举产生。评标委员会负责人与评标委员会的其他成员有同等的表决权。</w:t>
      </w:r>
    </w:p>
    <w:p w14:paraId="7C40BECD">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15.1.2</w:t>
      </w:r>
      <w:r>
        <w:rPr>
          <w:rFonts w:hint="eastAsia" w:hAnsi="宋体" w:cs="宋体"/>
          <w:snapToGrid w:val="0"/>
          <w:color w:val="000000" w:themeColor="text1"/>
          <w:kern w:val="0"/>
          <w:highlight w:val="none"/>
          <w14:textFill>
            <w14:solidFill>
              <w14:schemeClr w14:val="tx1"/>
            </w14:solidFill>
          </w14:textFill>
        </w:rPr>
        <w:t xml:space="preserve"> 评标委员会应认真、公正、诚实、廉洁地履行职责。有下列情形之一的，不得担任评标委员会成员：</w:t>
      </w:r>
    </w:p>
    <w:p w14:paraId="2E86AFD2">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（1）投标人或投标人主要负责人的近亲属；</w:t>
      </w:r>
    </w:p>
    <w:p w14:paraId="6055A192">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（2）项目主管部门或者行政监督部门的人员；</w:t>
      </w:r>
    </w:p>
    <w:p w14:paraId="49C6B685">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（3）与投标人有经济利益关系，可能影响对投标公正评审的；</w:t>
      </w:r>
    </w:p>
    <w:p w14:paraId="4B41FEF9">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（4）曾因在招标、评标以及其他与招标投标有关活动中从事违法行为而受过行政处罚或刑事处罚的。</w:t>
      </w:r>
    </w:p>
    <w:p w14:paraId="2C82644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评标委员会成员有以上情形之一的，应主动提出回避。</w:t>
      </w:r>
    </w:p>
    <w:p w14:paraId="246F8476">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15.1.3</w:t>
      </w:r>
      <w:r>
        <w:rPr>
          <w:rFonts w:hint="eastAsia" w:hAnsi="宋体" w:cs="宋体"/>
          <w:snapToGrid w:val="0"/>
          <w:color w:val="000000" w:themeColor="text1"/>
          <w:kern w:val="0"/>
          <w:highlight w:val="none"/>
          <w14:textFill>
            <w14:solidFill>
              <w14:schemeClr w14:val="tx1"/>
            </w14:solidFill>
          </w14:textFill>
        </w:rPr>
        <w:t xml:space="preserve"> 评标全过程实行封闭式管理，在中标结果公布前，禁止评标委员会成员以任何方式私下接触投标人。</w:t>
      </w:r>
    </w:p>
    <w:p w14:paraId="6C3AA9C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5D244FFA">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15.1.4</w:t>
      </w:r>
      <w:r>
        <w:rPr>
          <w:rFonts w:hint="eastAsia" w:hAnsi="宋体" w:cs="宋体"/>
          <w:snapToGrid w:val="0"/>
          <w:color w:val="000000" w:themeColor="text1"/>
          <w:kern w:val="0"/>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741EF5F">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b/>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15.1.5</w:t>
      </w:r>
      <w:r>
        <w:rPr>
          <w:rFonts w:hint="eastAsia" w:hAnsi="宋体" w:cs="宋体"/>
          <w:snapToGrid w:val="0"/>
          <w:color w:val="000000" w:themeColor="text1"/>
          <w:kern w:val="0"/>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B97E501">
      <w:pPr>
        <w:keepNext w:val="0"/>
        <w:keepLines w:val="0"/>
        <w:pageBreakBefore w:val="0"/>
        <w:kinsoku/>
        <w:wordWrap w:val="0"/>
        <w:overflowPunct/>
        <w:topLinePunct w:val="0"/>
        <w:autoSpaceDE/>
        <w:autoSpaceDN/>
        <w:bidi w:val="0"/>
        <w:adjustRightInd w:val="0"/>
        <w:snapToGrid w:val="0"/>
        <w:spacing w:line="400" w:lineRule="exact"/>
        <w:ind w:firstLine="561"/>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15.2</w:t>
      </w:r>
      <w:r>
        <w:rPr>
          <w:rFonts w:hint="eastAsia" w:hAnsi="宋体" w:cs="宋体"/>
          <w:bCs/>
          <w:snapToGrid w:val="0"/>
          <w:color w:val="000000" w:themeColor="text1"/>
          <w:kern w:val="0"/>
          <w:szCs w:val="22"/>
          <w:highlight w:val="none"/>
          <w14:textFill>
            <w14:solidFill>
              <w14:schemeClr w14:val="tx1"/>
            </w14:solidFill>
          </w14:textFill>
        </w:rPr>
        <w:t xml:space="preserve"> 评标方法</w:t>
      </w:r>
    </w:p>
    <w:p w14:paraId="3FD36C28">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根据有关法律、法规的相关规定，结合本招标项目资金来源和规模特点，本次招标采用“综合评估法”进行评标。</w:t>
      </w:r>
    </w:p>
    <w:p w14:paraId="71FDF6AC">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15.3</w:t>
      </w:r>
      <w:r>
        <w:rPr>
          <w:rFonts w:hint="eastAsia" w:hAnsi="宋体" w:cs="宋体"/>
          <w:bCs/>
          <w:snapToGrid w:val="0"/>
          <w:color w:val="000000" w:themeColor="text1"/>
          <w:kern w:val="0"/>
          <w:szCs w:val="22"/>
          <w:highlight w:val="none"/>
          <w14:textFill>
            <w14:solidFill>
              <w14:schemeClr w14:val="tx1"/>
            </w14:solidFill>
          </w14:textFill>
        </w:rPr>
        <w:t xml:space="preserve"> 评审范围：</w:t>
      </w:r>
      <w:r>
        <w:rPr>
          <w:rFonts w:hint="eastAsia" w:hAnsi="宋体" w:cs="宋体"/>
          <w:snapToGrid w:val="0"/>
          <w:color w:val="000000" w:themeColor="text1"/>
          <w:kern w:val="0"/>
          <w:highlight w:val="none"/>
          <w14:textFill>
            <w14:solidFill>
              <w14:schemeClr w14:val="tx1"/>
            </w14:solidFill>
          </w14:textFill>
        </w:rPr>
        <w:t>评标委员会应对所有进入评标投标人的投标文件进行评审。</w:t>
      </w:r>
    </w:p>
    <w:p w14:paraId="1B73D4F1">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w:t>
      </w:r>
      <w:r>
        <w:rPr>
          <w:rFonts w:hint="eastAsia" w:hAnsi="宋体" w:cs="宋体"/>
          <w:snapToGrid w:val="0"/>
          <w:color w:val="000000" w:themeColor="text1"/>
          <w:kern w:val="0"/>
          <w:highlight w:val="none"/>
          <w14:textFill>
            <w14:solidFill>
              <w14:schemeClr w14:val="tx1"/>
            </w14:solidFill>
          </w14:textFill>
        </w:rPr>
        <w:t xml:space="preserve"> 初步评审阶段</w:t>
      </w:r>
    </w:p>
    <w:p w14:paraId="10F7A070">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初步评审阶段分为资格评审、形式评审和响应性评审三个环节。</w:t>
      </w:r>
    </w:p>
    <w:p w14:paraId="42B481F1">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15.4.1</w:t>
      </w:r>
      <w:r>
        <w:rPr>
          <w:rFonts w:hint="eastAsia" w:hAnsi="宋体" w:cs="宋体"/>
          <w:snapToGrid w:val="0"/>
          <w:color w:val="000000" w:themeColor="text1"/>
          <w:kern w:val="0"/>
          <w:highlight w:val="none"/>
          <w14:textFill>
            <w14:solidFill>
              <w14:schemeClr w14:val="tx1"/>
            </w14:solidFill>
          </w14:textFill>
        </w:rPr>
        <w:t xml:space="preserve"> 资格评审环节</w:t>
      </w:r>
    </w:p>
    <w:p w14:paraId="16FED18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资格评审事项包括：</w:t>
      </w:r>
    </w:p>
    <w:p w14:paraId="089AEF38">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（1）投标人是否符合本章第三节第2.4条“禁止投标条款”规定。</w:t>
      </w:r>
    </w:p>
    <w:p w14:paraId="5F05CB8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（2）投标人名称是否与营业执照、资质证书一致。</w:t>
      </w:r>
    </w:p>
    <w:p w14:paraId="236C678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（3）投标人的资质是否符合招标文件规定；其营业执照、资质证书是否合法、有效。</w:t>
      </w:r>
    </w:p>
    <w:p w14:paraId="1528CC1B">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 xml:space="preserve">》内盖章同意或另行出具了书面同意意见。 </w:t>
      </w:r>
    </w:p>
    <w:p w14:paraId="0ADCFD41">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（5）拟委派的总监理</w:t>
      </w:r>
      <w:r>
        <w:rPr>
          <w:rFonts w:hint="eastAsia" w:ascii="Times New Roman"/>
          <w:snapToGrid w:val="0"/>
          <w:color w:val="000000" w:themeColor="text1"/>
          <w:kern w:val="0"/>
          <w:highlight w:val="none"/>
          <w14:textFill>
            <w14:solidFill>
              <w14:schemeClr w14:val="tx1"/>
            </w14:solidFill>
          </w14:textFill>
        </w:rPr>
        <w:t>工程师的注册证书是否为住房和城乡建设主管部门颁发的，注册单位与投标人是否一致，是否在有效期内</w:t>
      </w:r>
      <w:r>
        <w:rPr>
          <w:rFonts w:hint="eastAsia" w:ascii="Times New Roman"/>
          <w:snapToGrid w:val="0"/>
          <w:color w:val="000000" w:themeColor="text1"/>
          <w:kern w:val="0"/>
          <w:highlight w:val="none"/>
          <w:lang w:eastAsia="zh-CN"/>
          <w14:textFill>
            <w14:solidFill>
              <w14:schemeClr w14:val="tx1"/>
            </w14:solidFill>
          </w14:textFill>
        </w:rPr>
        <w:t>。</w:t>
      </w:r>
    </w:p>
    <w:p w14:paraId="27D8F42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（6）投标人为外省建筑企业的，是否按规定在“进粤企业和人员诚信信息登记平台”录入企业及其拟派往人员相关信息并通过数据规范检查。</w:t>
      </w:r>
    </w:p>
    <w:p w14:paraId="2B99BCEA">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15.4.2</w:t>
      </w:r>
      <w:r>
        <w:rPr>
          <w:rFonts w:hint="eastAsia" w:hAnsi="宋体" w:cs="宋体"/>
          <w:snapToGrid w:val="0"/>
          <w:color w:val="000000" w:themeColor="text1"/>
          <w:kern w:val="0"/>
          <w:highlight w:val="none"/>
          <w14:textFill>
            <w14:solidFill>
              <w14:schemeClr w14:val="tx1"/>
            </w14:solidFill>
          </w14:textFill>
        </w:rPr>
        <w:t xml:space="preserve"> 形式评审环节</w:t>
      </w:r>
    </w:p>
    <w:p w14:paraId="2254C15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形式评审事项包括：</w:t>
      </w:r>
    </w:p>
    <w:p w14:paraId="5436BB7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（1）各分册是否按招标文件规定加盖电子印章。</w:t>
      </w:r>
    </w:p>
    <w:p w14:paraId="433FB376">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（2）本节第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”的组成内容（包括该组成内容的所附资料）是否完整、齐全。</w:t>
      </w:r>
    </w:p>
    <w:p w14:paraId="761181E2">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15.4.3</w:t>
      </w:r>
      <w:r>
        <w:rPr>
          <w:rFonts w:hint="eastAsia" w:hAnsi="宋体" w:cs="宋体"/>
          <w:snapToGrid w:val="0"/>
          <w:color w:val="000000" w:themeColor="text1"/>
          <w:kern w:val="0"/>
          <w:highlight w:val="none"/>
          <w14:textFill>
            <w14:solidFill>
              <w14:schemeClr w14:val="tx1"/>
            </w14:solidFill>
          </w14:textFill>
        </w:rPr>
        <w:t xml:space="preserve"> 响应性评审环节</w:t>
      </w:r>
    </w:p>
    <w:p w14:paraId="4EF9DA5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响应性评审事项包括：</w:t>
      </w:r>
    </w:p>
    <w:p w14:paraId="7602E8A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（1）投标有效期、监理及相关服务期限等是否响应招标文件实质性要求；是否擅自修改、遗漏《投标函》《各项承诺一览表》的实质性内容。</w:t>
      </w:r>
    </w:p>
    <w:p w14:paraId="1BCC064A">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（2）投标总价是否唯一；投标总价是否超出最高投标限价。</w:t>
      </w:r>
    </w:p>
    <w:p w14:paraId="3E2FC7B3">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（3）监理大纲中的监理及相关服务的范围、内容、目标是否符合招标文件规定。</w:t>
      </w:r>
    </w:p>
    <w:p w14:paraId="62ACB928">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15.4.4</w:t>
      </w:r>
      <w:r>
        <w:rPr>
          <w:rFonts w:hint="eastAsia" w:hAnsi="宋体" w:cs="宋体"/>
          <w:snapToGrid w:val="0"/>
          <w:color w:val="000000" w:themeColor="text1"/>
          <w:kern w:val="0"/>
          <w:highlight w:val="none"/>
          <w14:textFill>
            <w14:solidFill>
              <w14:schemeClr w14:val="tx1"/>
            </w14:solidFill>
          </w14:textFill>
        </w:rPr>
        <w:t xml:space="preserve"> 否决投标说明</w:t>
      </w:r>
    </w:p>
    <w:p w14:paraId="6816E18D">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highlight w:val="none"/>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条至第</w:t>
      </w:r>
      <w:r>
        <w:rPr>
          <w:rFonts w:hint="eastAsia" w:hAnsi="宋体" w:cs="宋体"/>
          <w:b/>
          <w:bCs/>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60286023">
      <w:pPr>
        <w:keepNext w:val="0"/>
        <w:keepLines w:val="0"/>
        <w:pageBreakBefore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w:t>
      </w:r>
      <w:r>
        <w:rPr>
          <w:rFonts w:hint="eastAsia" w:hAnsi="宋体" w:cs="宋体"/>
          <w:snapToGrid w:val="0"/>
          <w:color w:val="000000" w:themeColor="text1"/>
          <w:kern w:val="0"/>
          <w:highlight w:val="none"/>
          <w14:textFill>
            <w14:solidFill>
              <w14:schemeClr w14:val="tx1"/>
            </w14:solidFill>
          </w14:textFill>
        </w:rPr>
        <w:t xml:space="preserve"> 详细评审</w:t>
      </w:r>
      <w:bookmarkStart w:id="60" w:name="_Hlt121629839"/>
      <w:r>
        <w:rPr>
          <w:rFonts w:hint="eastAsia" w:hAnsi="宋体" w:cs="宋体"/>
          <w:snapToGrid w:val="0"/>
          <w:color w:val="000000" w:themeColor="text1"/>
          <w:kern w:val="0"/>
          <w:highlight w:val="none"/>
          <w14:textFill>
            <w14:solidFill>
              <w14:schemeClr w14:val="tx1"/>
            </w14:solidFill>
          </w14:textFill>
        </w:rPr>
        <w:t>阶段</w:t>
      </w:r>
    </w:p>
    <w:p w14:paraId="14429833">
      <w:pPr>
        <w:keepNext w:val="0"/>
        <w:keepLines w:val="0"/>
        <w:pageBreakBefore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15.5.1</w:t>
      </w:r>
      <w:r>
        <w:rPr>
          <w:rFonts w:hint="eastAsia" w:hAnsi="宋体" w:cs="宋体"/>
          <w:bCs/>
          <w:snapToGrid w:val="0"/>
          <w:color w:val="000000" w:themeColor="text1"/>
          <w:kern w:val="0"/>
          <w:highlight w:val="none"/>
          <w14:textFill>
            <w14:solidFill>
              <w14:schemeClr w14:val="tx1"/>
            </w14:solidFill>
          </w14:textFill>
        </w:rPr>
        <w:t xml:space="preserve"> “综合评估法”评审程序</w:t>
      </w:r>
    </w:p>
    <w:p w14:paraId="0CF81844">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60</w:t>
      </w:r>
      <w:r>
        <w:rPr>
          <w:rFonts w:hint="eastAsia" w:hAnsi="宋体" w:cs="宋体"/>
          <w:snapToGrid w:val="0"/>
          <w:color w:val="000000" w:themeColor="text1"/>
          <w:kern w:val="0"/>
          <w:highlight w:val="none"/>
          <w14:textFill>
            <w14:solidFill>
              <w14:schemeClr w14:val="tx1"/>
            </w14:solidFill>
          </w14:textFill>
        </w:rPr>
        <w:t>分，技术满分为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10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分，投标报价部分满分为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30</w:t>
      </w:r>
      <w:r>
        <w:rPr>
          <w:rFonts w:hint="eastAsia" w:hAnsi="宋体" w:cs="宋体"/>
          <w:snapToGrid w:val="0"/>
          <w:color w:val="000000" w:themeColor="text1"/>
          <w:kern w:val="0"/>
          <w:highlight w:val="none"/>
          <w14:textFill>
            <w14:solidFill>
              <w14:schemeClr w14:val="tx1"/>
            </w14:solidFill>
          </w14:textFill>
        </w:rPr>
        <w:t>分。</w:t>
      </w:r>
    </w:p>
    <w:p w14:paraId="4B3BAC3D">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除特别注明外，综合得分以及商务、技术、投标报价得分的中间过程计算值和最终值，均按“四舍五入”原则精确到两位小数。</w:t>
      </w:r>
    </w:p>
    <w:p w14:paraId="050F05A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（1）商务得分M</w:t>
      </w:r>
      <w:r>
        <w:rPr>
          <w:rFonts w:hint="eastAsia" w:hAnsi="宋体" w:cs="宋体"/>
          <w:snapToGrid w:val="0"/>
          <w:color w:val="000000" w:themeColor="text1"/>
          <w:kern w:val="0"/>
          <w:highlight w:val="none"/>
          <w:vertAlign w:val="subscript"/>
          <w14:textFill>
            <w14:solidFill>
              <w14:schemeClr w14:val="tx1"/>
            </w14:solidFill>
          </w14:textFill>
        </w:rPr>
        <w:t>1</w:t>
      </w:r>
    </w:p>
    <w:p w14:paraId="2772DA1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w:t>
      </w:r>
    </w:p>
    <w:p w14:paraId="6E4CECC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（2）技术得分M</w:t>
      </w:r>
      <w:r>
        <w:rPr>
          <w:rFonts w:hint="eastAsia" w:hAnsi="宋体" w:cs="宋体"/>
          <w:snapToGrid w:val="0"/>
          <w:color w:val="000000" w:themeColor="text1"/>
          <w:kern w:val="0"/>
          <w:highlight w:val="none"/>
          <w:vertAlign w:val="subscript"/>
          <w14:textFill>
            <w14:solidFill>
              <w14:schemeClr w14:val="tx1"/>
            </w14:solidFill>
          </w14:textFill>
        </w:rPr>
        <w:t>2</w:t>
      </w:r>
    </w:p>
    <w:p w14:paraId="15BBFFD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w:t>
      </w:r>
    </w:p>
    <w:p w14:paraId="2B7FD8A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（3）投标报价得分M</w:t>
      </w:r>
      <w:r>
        <w:rPr>
          <w:rFonts w:hint="eastAsia" w:hAnsi="宋体" w:cs="宋体"/>
          <w:snapToGrid w:val="0"/>
          <w:color w:val="000000" w:themeColor="text1"/>
          <w:kern w:val="0"/>
          <w:highlight w:val="none"/>
          <w:vertAlign w:val="subscript"/>
          <w14:textFill>
            <w14:solidFill>
              <w14:schemeClr w14:val="tx1"/>
            </w14:solidFill>
          </w14:textFill>
        </w:rPr>
        <w:t>3</w:t>
      </w:r>
    </w:p>
    <w:p w14:paraId="7869F1C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a．评标委员会按照《综合评分表》投标报价部分指定的方法计算评标基准价D。</w:t>
      </w:r>
    </w:p>
    <w:p w14:paraId="409DDA6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b．采用内插法计算某投标人的投标报价得分M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分, 每低于评标基准价一个百分点扣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分，扣完为止。公式如下：</w:t>
      </w:r>
    </w:p>
    <w:p w14:paraId="466B1256">
      <w:pPr>
        <w:keepNext w:val="0"/>
        <w:keepLines w:val="0"/>
        <w:pageBreakBefore w:val="0"/>
        <w:kinsoku/>
        <w:wordWrap w:val="0"/>
        <w:overflowPunct/>
        <w:topLinePunct w:val="0"/>
        <w:autoSpaceDE/>
        <w:autoSpaceDN/>
        <w:bidi w:val="0"/>
        <w:adjustRightInd w:val="0"/>
        <w:snapToGrid w:val="0"/>
        <w:spacing w:line="400" w:lineRule="exact"/>
        <w:ind w:firstLine="480" w:firstLineChars="200"/>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投标报价满分</w:t>
      </w:r>
      <w:r>
        <w:rPr>
          <w:rFonts w:hint="eastAsia" w:hAnsi="宋体" w:cs="宋体"/>
          <w:snapToGrid w:val="0"/>
          <w:color w:val="000000" w:themeColor="text1"/>
          <w:kern w:val="0"/>
          <w:highlight w:val="none"/>
          <w14:textFill>
            <w14:solidFill>
              <w14:schemeClr w14:val="tx1"/>
            </w14:solidFill>
          </w14:textFill>
        </w:rPr>
        <w:t>－（|Di－D|÷D）×100×E</w:t>
      </w:r>
    </w:p>
    <w:p w14:paraId="07CE05A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式中：D为评标基准价，Di为某投标人的投标总价；</w:t>
      </w:r>
    </w:p>
    <w:p w14:paraId="2FE834C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E为扣分因子。当Di＞D时，E＝</w:t>
      </w:r>
      <w:r>
        <w:rPr>
          <w:rFonts w:hint="eastAsia" w:hAnsi="宋体" w:cs="宋体"/>
          <w:snapToGrid w:val="0"/>
          <w:color w:val="000000" w:themeColor="text1"/>
          <w:kern w:val="0"/>
          <w:highlight w:val="none"/>
          <w:lang w:val="en-US" w:eastAsia="zh-CN"/>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；当Di＜D时，E＝</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w:t>
      </w:r>
    </w:p>
    <w:p w14:paraId="388D995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（4）综合得分M</w:t>
      </w:r>
    </w:p>
    <w:p w14:paraId="32B6B368">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p>
    <w:p w14:paraId="076B608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式中：M为综合得分，M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为商务得分，M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为技术得分，M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ascii="Times New Roman"/>
          <w:snapToGrid w:val="0"/>
          <w:color w:val="000000" w:themeColor="text1"/>
          <w:kern w:val="0"/>
          <w:highlight w:val="none"/>
          <w14:textFill>
            <w14:solidFill>
              <w14:schemeClr w14:val="tx1"/>
            </w14:solidFill>
          </w14:textFill>
        </w:rPr>
        <w:t>为投标报价得分。</w:t>
      </w:r>
    </w:p>
    <w:p w14:paraId="11EC3935">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11BDCBD0">
      <w:pPr>
        <w:pStyle w:val="5"/>
        <w:rPr>
          <w:b/>
          <w:bCs/>
          <w:color w:val="000000" w:themeColor="text1"/>
          <w:highlight w:val="none"/>
          <w14:textFill>
            <w14:solidFill>
              <w14:schemeClr w14:val="tx1"/>
            </w14:solidFill>
          </w14:textFill>
        </w:rPr>
      </w:pPr>
      <w:bookmarkStart w:id="61" w:name="_Toc31548"/>
      <w:bookmarkStart w:id="62" w:name="_Toc6276"/>
      <w:r>
        <w:rPr>
          <w:rFonts w:hint="eastAsia"/>
          <w:b/>
          <w:bCs/>
          <w:color w:val="000000" w:themeColor="text1"/>
          <w:highlight w:val="none"/>
          <w:lang w:val="en-US" w:eastAsia="zh-CN"/>
          <w14:textFill>
            <w14:solidFill>
              <w14:schemeClr w14:val="tx1"/>
            </w14:solidFill>
          </w14:textFill>
        </w:rPr>
        <w:t xml:space="preserve"> </w:t>
      </w:r>
      <w:bookmarkStart w:id="63" w:name="_Toc21268"/>
      <w:r>
        <w:rPr>
          <w:rFonts w:hint="eastAsia"/>
          <w:b/>
          <w:bCs/>
          <w:color w:val="000000" w:themeColor="text1"/>
          <w:highlight w:val="none"/>
          <w14:textFill>
            <w14:solidFill>
              <w14:schemeClr w14:val="tx1"/>
            </w14:solidFill>
          </w14:textFill>
        </w:rPr>
        <w:t>表1 综合评分表</w:t>
      </w:r>
      <w:bookmarkEnd w:id="61"/>
      <w:bookmarkEnd w:id="62"/>
      <w:bookmarkEnd w:id="63"/>
    </w:p>
    <w:tbl>
      <w:tblPr>
        <w:tblStyle w:val="19"/>
        <w:tblW w:w="9799" w:type="dxa"/>
        <w:jc w:val="center"/>
        <w:tblLayout w:type="fixed"/>
        <w:tblCellMar>
          <w:top w:w="0" w:type="dxa"/>
          <w:left w:w="10" w:type="dxa"/>
          <w:bottom w:w="0" w:type="dxa"/>
          <w:right w:w="10" w:type="dxa"/>
        </w:tblCellMar>
      </w:tblPr>
      <w:tblGrid>
        <w:gridCol w:w="1222"/>
        <w:gridCol w:w="4476"/>
        <w:gridCol w:w="4101"/>
      </w:tblGrid>
      <w:tr w14:paraId="23BA132C">
        <w:tblPrEx>
          <w:tblCellMar>
            <w:top w:w="0" w:type="dxa"/>
            <w:left w:w="10" w:type="dxa"/>
            <w:bottom w:w="0" w:type="dxa"/>
            <w:right w:w="10" w:type="dxa"/>
          </w:tblCellMar>
        </w:tblPrEx>
        <w:trPr>
          <w:trHeight w:val="509" w:hRule="exact"/>
          <w:jc w:val="center"/>
        </w:trPr>
        <w:tc>
          <w:tcPr>
            <w:tcW w:w="9799" w:type="dxa"/>
            <w:gridSpan w:val="3"/>
            <w:tcBorders>
              <w:top w:val="single" w:color="000000" w:sz="4" w:space="0"/>
              <w:left w:val="single" w:color="000000" w:sz="4" w:space="0"/>
              <w:bottom w:val="single" w:color="000000" w:sz="4" w:space="0"/>
              <w:right w:val="single" w:color="000000" w:sz="4" w:space="0"/>
            </w:tcBorders>
            <w:shd w:val="clear" w:color="000000" w:fill="D7D7D7"/>
            <w:tcMar>
              <w:top w:w="0" w:type="dxa"/>
              <w:left w:w="108" w:type="dxa"/>
              <w:bottom w:w="0" w:type="dxa"/>
              <w:right w:w="108" w:type="dxa"/>
            </w:tcMar>
            <w:vAlign w:val="center"/>
          </w:tcPr>
          <w:p w14:paraId="53251F42">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商务部分，满分：</w:t>
            </w:r>
            <w:r>
              <w:rPr>
                <w:rFonts w:hint="eastAsia" w:hAnsi="宋体" w:cs="宋体"/>
                <w:b/>
                <w:bCs/>
                <w:color w:val="000000" w:themeColor="text1"/>
                <w:szCs w:val="24"/>
                <w:highlight w:val="none"/>
                <w:u w:val="single"/>
                <w14:textFill>
                  <w14:solidFill>
                    <w14:schemeClr w14:val="tx1"/>
                  </w14:solidFill>
                </w14:textFill>
              </w:rPr>
              <w:t xml:space="preserve"> </w:t>
            </w:r>
            <w:r>
              <w:rPr>
                <w:rFonts w:hint="eastAsia" w:hAnsi="宋体" w:cs="宋体"/>
                <w:b/>
                <w:bCs/>
                <w:color w:val="000000" w:themeColor="text1"/>
                <w:szCs w:val="24"/>
                <w:highlight w:val="none"/>
                <w:u w:val="single"/>
                <w:lang w:val="en-US" w:eastAsia="zh-CN"/>
                <w14:textFill>
                  <w14:solidFill>
                    <w14:schemeClr w14:val="tx1"/>
                  </w14:solidFill>
                </w14:textFill>
              </w:rPr>
              <w:t>60</w:t>
            </w:r>
            <w:r>
              <w:rPr>
                <w:rFonts w:hint="eastAsia" w:hAnsi="宋体" w:cs="宋体"/>
                <w:b/>
                <w:bCs/>
                <w:color w:val="000000" w:themeColor="text1"/>
                <w:szCs w:val="24"/>
                <w:highlight w:val="none"/>
                <w14:textFill>
                  <w14:solidFill>
                    <w14:schemeClr w14:val="tx1"/>
                  </w14:solidFill>
                </w14:textFill>
              </w:rPr>
              <w:t>分。</w:t>
            </w:r>
          </w:p>
        </w:tc>
      </w:tr>
      <w:tr w14:paraId="18B5BD44">
        <w:tblPrEx>
          <w:tblCellMar>
            <w:top w:w="0" w:type="dxa"/>
            <w:left w:w="10" w:type="dxa"/>
            <w:bottom w:w="0" w:type="dxa"/>
            <w:right w:w="10" w:type="dxa"/>
          </w:tblCellMar>
        </w:tblPrEx>
        <w:trPr>
          <w:trHeight w:val="526" w:hRule="exac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0888CC">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评分因素</w:t>
            </w:r>
          </w:p>
        </w:tc>
        <w:tc>
          <w:tcPr>
            <w:tcW w:w="44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11A6CD">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评分标准</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6DB5AE">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备注</w:t>
            </w:r>
          </w:p>
        </w:tc>
      </w:tr>
      <w:tr w14:paraId="11B59848">
        <w:tblPrEx>
          <w:tblCellMar>
            <w:top w:w="0" w:type="dxa"/>
            <w:left w:w="10" w:type="dxa"/>
            <w:bottom w:w="0" w:type="dxa"/>
            <w:right w:w="10" w:type="dxa"/>
          </w:tblCellMar>
        </w:tblPrEx>
        <w:trPr>
          <w:trHeight w:val="765" w:hRule="atLeast"/>
          <w:jc w:val="center"/>
        </w:trPr>
        <w:tc>
          <w:tcPr>
            <w:tcW w:w="122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3B8CF2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业绩情况</w:t>
            </w:r>
          </w:p>
          <w:p w14:paraId="75CFF5AA">
            <w:pPr>
              <w:pStyle w:val="8"/>
              <w:keepNext w:val="0"/>
              <w:keepLines w:val="0"/>
              <w:pageBreakBefore w:val="0"/>
              <w:kinsoku/>
              <w:overflowPunct/>
              <w:topLinePunct w:val="0"/>
              <w:autoSpaceDE/>
              <w:autoSpaceDN/>
              <w:bidi w:val="0"/>
              <w:spacing w:line="400" w:lineRule="exact"/>
              <w:jc w:val="center"/>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aps w:val="0"/>
                <w:smallCaps w:val="0"/>
                <w:snapToGrid w:val="0"/>
                <w:color w:val="auto"/>
                <w:spacing w:val="0"/>
                <w:kern w:val="0"/>
                <w:sz w:val="24"/>
                <w:szCs w:val="24"/>
                <w:highlight w:val="none"/>
                <w:u w:val="none"/>
                <w:lang w:val="en-US" w:eastAsia="zh-CN" w:bidi="ar-SA"/>
              </w:rPr>
              <w:t>（10分）</w:t>
            </w:r>
          </w:p>
        </w:tc>
        <w:tc>
          <w:tcPr>
            <w:tcW w:w="44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938E70">
            <w:pPr>
              <w:keepNext w:val="0"/>
              <w:keepLines w:val="0"/>
              <w:pageBreakBefore w:val="0"/>
              <w:widowControl w:val="0"/>
              <w:kinsoku/>
              <w:wordWrap/>
              <w:overflowPunct/>
              <w:topLinePunct w:val="0"/>
              <w:autoSpaceDE/>
              <w:autoSpaceDN/>
              <w:bidi w:val="0"/>
              <w:adjustRightInd w:val="0"/>
              <w:snapToGrid/>
              <w:spacing w:line="400" w:lineRule="exact"/>
              <w:jc w:val="left"/>
              <w:textAlignment w:val="baseline"/>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投标人近年来（2021年1月1日至今）</w:t>
            </w:r>
            <w:r>
              <w:rPr>
                <w:rFonts w:hint="eastAsia" w:asciiTheme="majorEastAsia" w:hAnsiTheme="majorEastAsia" w:eastAsiaTheme="majorEastAsia" w:cstheme="majorEastAsia"/>
                <w:color w:val="auto"/>
                <w:kern w:val="0"/>
                <w:sz w:val="24"/>
                <w:szCs w:val="24"/>
                <w:highlight w:val="none"/>
                <w:lang w:val="en-US" w:eastAsia="zh-CN" w:bidi="ar-SA"/>
              </w:rPr>
              <w:t>的业绩情况：</w:t>
            </w:r>
          </w:p>
          <w:p w14:paraId="78FEADE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kern w:val="0"/>
                <w:sz w:val="24"/>
                <w:szCs w:val="24"/>
                <w:highlight w:val="none"/>
                <w:lang w:val="en-US" w:eastAsia="zh-CN" w:bidi="ar-SA"/>
              </w:rPr>
              <w:t>1.</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single"/>
                <w:lang w:val="en-US" w:eastAsia="zh-CN" w:bidi="ar-SA"/>
              </w:rPr>
              <w:t>承接</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过</w:t>
            </w:r>
            <w:r>
              <w:rPr>
                <w:rFonts w:hint="eastAsia" w:asciiTheme="majorEastAsia" w:hAnsiTheme="majorEastAsia" w:eastAsiaTheme="majorEastAsia" w:cstheme="majorEastAsia"/>
                <w:color w:val="auto"/>
                <w:kern w:val="0"/>
                <w:sz w:val="24"/>
                <w:szCs w:val="24"/>
                <w:highlight w:val="none"/>
                <w:lang w:val="en-US" w:eastAsia="zh-CN" w:bidi="ar-SA"/>
              </w:rPr>
              <w:t>类似项目的，每个得</w:t>
            </w:r>
            <w:r>
              <w:rPr>
                <w:rFonts w:hint="eastAsia" w:asciiTheme="majorEastAsia" w:hAnsiTheme="majorEastAsia" w:eastAsiaTheme="majorEastAsia" w:cstheme="majorEastAsia"/>
                <w:color w:val="auto"/>
                <w:kern w:val="0"/>
                <w:sz w:val="24"/>
                <w:szCs w:val="24"/>
                <w:highlight w:val="none"/>
                <w:u w:val="single"/>
                <w:lang w:val="en-US" w:eastAsia="zh-CN" w:bidi="ar-SA"/>
              </w:rPr>
              <w:t>2</w:t>
            </w:r>
            <w:r>
              <w:rPr>
                <w:rFonts w:hint="eastAsia" w:asciiTheme="majorEastAsia" w:hAnsiTheme="majorEastAsia" w:eastAsiaTheme="majorEastAsia" w:cstheme="majorEastAsia"/>
                <w:color w:val="auto"/>
                <w:kern w:val="0"/>
                <w:sz w:val="24"/>
                <w:szCs w:val="24"/>
                <w:highlight w:val="none"/>
                <w:lang w:val="en-US" w:eastAsia="zh-CN" w:bidi="ar-SA"/>
              </w:rPr>
              <w:t>分；</w:t>
            </w:r>
          </w:p>
          <w:p w14:paraId="0E596F4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kern w:val="0"/>
                <w:sz w:val="24"/>
                <w:szCs w:val="24"/>
                <w:highlight w:val="none"/>
                <w:lang w:val="en-US" w:eastAsia="zh-CN" w:bidi="ar-SA"/>
              </w:rPr>
              <w:t>2.未</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single"/>
                <w:lang w:val="en-US" w:eastAsia="zh-CN" w:bidi="ar-SA"/>
              </w:rPr>
              <w:t>承接</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过</w:t>
            </w:r>
            <w:r>
              <w:rPr>
                <w:rFonts w:hint="eastAsia" w:asciiTheme="majorEastAsia" w:hAnsiTheme="majorEastAsia" w:eastAsiaTheme="majorEastAsia" w:cstheme="majorEastAsia"/>
                <w:color w:val="auto"/>
                <w:kern w:val="0"/>
                <w:sz w:val="24"/>
                <w:szCs w:val="24"/>
                <w:highlight w:val="none"/>
                <w:lang w:val="en-US" w:eastAsia="zh-CN" w:bidi="ar-SA"/>
              </w:rPr>
              <w:t>类似项目，不予计分；</w:t>
            </w:r>
          </w:p>
          <w:p w14:paraId="0530CA06">
            <w:pPr>
              <w:pStyle w:val="49"/>
              <w:keepNext w:val="0"/>
              <w:keepLines w:val="0"/>
              <w:pageBreakBefore w:val="0"/>
              <w:kinsoku/>
              <w:overflowPunct/>
              <w:topLinePunct w:val="0"/>
              <w:autoSpaceDE/>
              <w:autoSpaceDN/>
              <w:bidi w:val="0"/>
              <w:spacing w:line="400" w:lineRule="exact"/>
              <w:ind w:right="105" w:right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lang w:val="en-US" w:eastAsia="zh-CN" w:bidi="ar-SA"/>
              </w:rPr>
              <w:t>3.</w:t>
            </w:r>
            <w:r>
              <w:rPr>
                <w:rFonts w:hint="eastAsia" w:asciiTheme="majorEastAsia" w:hAnsiTheme="majorEastAsia" w:eastAsiaTheme="majorEastAsia" w:cstheme="majorEastAsia"/>
                <w:b/>
                <w:bCs/>
                <w:caps w:val="0"/>
                <w:smallCaps w:val="0"/>
                <w:snapToGrid w:val="0"/>
                <w:color w:val="auto"/>
                <w:spacing w:val="0"/>
                <w:kern w:val="0"/>
                <w:sz w:val="24"/>
                <w:szCs w:val="24"/>
                <w:highlight w:val="none"/>
                <w:u w:val="none"/>
                <w:lang w:val="en-US" w:eastAsia="zh-CN" w:bidi="ar-SA"/>
              </w:rPr>
              <w:t>本项最高得10分。</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521ACD">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1.类似项目：是指</w:t>
            </w:r>
            <w:r>
              <w:rPr>
                <w:rFonts w:hint="eastAsia" w:asciiTheme="majorEastAsia" w:hAnsiTheme="majorEastAsia" w:eastAsiaTheme="majorEastAsia" w:cstheme="majorEastAsia"/>
                <w:b/>
                <w:bCs/>
                <w:color w:val="auto"/>
                <w:sz w:val="24"/>
                <w:szCs w:val="24"/>
                <w:highlight w:val="none"/>
                <w:u w:val="single"/>
                <w:lang w:val="en-US" w:eastAsia="zh-CN"/>
              </w:rPr>
              <w:t>房屋建筑工程</w:t>
            </w:r>
            <w:r>
              <w:rPr>
                <w:rFonts w:hint="eastAsia" w:asciiTheme="majorEastAsia" w:hAnsiTheme="majorEastAsia" w:eastAsiaTheme="majorEastAsia" w:cstheme="majorEastAsia"/>
                <w:color w:val="auto"/>
                <w:sz w:val="24"/>
                <w:szCs w:val="24"/>
                <w:highlight w:val="none"/>
                <w:lang w:val="en-US" w:eastAsia="zh-CN"/>
              </w:rPr>
              <w:t>类监理项目。</w:t>
            </w:r>
          </w:p>
          <w:p w14:paraId="70E2591E">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2.需附有关业绩中标通知书或监理合同关键页彩色扫描件。</w:t>
            </w:r>
          </w:p>
          <w:p w14:paraId="18F694B3">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3.业绩时间以中标通知书或监理合同签订时间为准。</w:t>
            </w:r>
          </w:p>
          <w:p w14:paraId="65F4D6E3">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 xml:space="preserve">4．任一业绩有以下情形之一的，该业绩视为无效，不予计分： </w:t>
            </w:r>
          </w:p>
          <w:p w14:paraId="165AF246">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 xml:space="preserve">①业绩不属于类似项目的； </w:t>
            </w:r>
          </w:p>
          <w:p w14:paraId="294CE9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②业绩时间不符合要求的。</w:t>
            </w:r>
          </w:p>
        </w:tc>
      </w:tr>
      <w:tr w14:paraId="68600DF2">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25B3ED3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Theme="majorEastAsia" w:hAnsiTheme="majorEastAsia" w:eastAsiaTheme="majorEastAsia" w:cstheme="majorEastAsia"/>
                <w:b w:val="0"/>
                <w:bCs w:val="0"/>
                <w:color w:val="auto"/>
                <w:kern w:val="0"/>
                <w:sz w:val="24"/>
                <w:szCs w:val="24"/>
                <w:highlight w:val="none"/>
                <w:lang w:val="en-US" w:eastAsia="zh-CN" w:bidi="ar-SA"/>
              </w:rPr>
            </w:pPr>
            <w:r>
              <w:rPr>
                <w:rFonts w:hint="eastAsia" w:asciiTheme="majorEastAsia" w:hAnsiTheme="majorEastAsia" w:eastAsiaTheme="majorEastAsia" w:cstheme="majorEastAsia"/>
                <w:b w:val="0"/>
                <w:bCs w:val="0"/>
                <w:color w:val="auto"/>
                <w:kern w:val="0"/>
                <w:sz w:val="24"/>
                <w:szCs w:val="24"/>
                <w:highlight w:val="none"/>
                <w:lang w:val="en-US" w:eastAsia="zh-CN" w:bidi="ar-SA"/>
              </w:rPr>
              <w:t>企业奖项</w:t>
            </w:r>
          </w:p>
          <w:p w14:paraId="5F17EFC2">
            <w:pPr>
              <w:pStyle w:val="9"/>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kern w:val="0"/>
                <w:sz w:val="24"/>
                <w:szCs w:val="24"/>
                <w:highlight w:val="none"/>
                <w:lang w:val="en-US" w:eastAsia="zh-CN" w:bidi="ar-SA"/>
              </w:rPr>
              <w:t>（10分）</w:t>
            </w:r>
          </w:p>
        </w:tc>
        <w:tc>
          <w:tcPr>
            <w:tcW w:w="4476"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360DF240">
            <w:pPr>
              <w:overflowPunct w:val="0"/>
              <w:spacing w:line="360" w:lineRule="auto"/>
              <w:rPr>
                <w:rFonts w:hint="eastAsia" w:asciiTheme="majorEastAsia" w:hAnsiTheme="majorEastAsia" w:eastAsiaTheme="majorEastAsia" w:cstheme="majorEastAsia"/>
                <w:color w:val="auto"/>
                <w:spacing w:val="8"/>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投标人</w:t>
            </w:r>
            <w:r>
              <w:rPr>
                <w:rFonts w:hint="eastAsia" w:asciiTheme="majorEastAsia" w:hAnsiTheme="majorEastAsia" w:eastAsiaTheme="majorEastAsia" w:cstheme="majorEastAsia"/>
                <w:b w:val="0"/>
                <w:bCs w:val="0"/>
                <w:color w:val="auto"/>
                <w:sz w:val="24"/>
                <w:szCs w:val="24"/>
                <w:highlight w:val="none"/>
              </w:rPr>
              <w:t>近年（2</w:t>
            </w:r>
            <w:r>
              <w:rPr>
                <w:rFonts w:hint="eastAsia" w:asciiTheme="majorEastAsia" w:hAnsiTheme="majorEastAsia" w:eastAsiaTheme="majorEastAsia" w:cstheme="majorEastAsia"/>
                <w:b w:val="0"/>
                <w:bCs w:val="0"/>
                <w:color w:val="auto"/>
                <w:sz w:val="24"/>
                <w:szCs w:val="24"/>
                <w:highlight w:val="none"/>
                <w:lang w:val="en-US" w:eastAsia="zh-CN"/>
              </w:rPr>
              <w:t>021</w:t>
            </w:r>
            <w:r>
              <w:rPr>
                <w:rFonts w:hint="eastAsia" w:asciiTheme="majorEastAsia" w:hAnsiTheme="majorEastAsia" w:eastAsiaTheme="majorEastAsia" w:cstheme="majorEastAsia"/>
                <w:b w:val="0"/>
                <w:bCs w:val="0"/>
                <w:color w:val="auto"/>
                <w:sz w:val="24"/>
                <w:szCs w:val="24"/>
                <w:highlight w:val="none"/>
              </w:rPr>
              <w:t>年</w:t>
            </w:r>
            <w:r>
              <w:rPr>
                <w:rFonts w:hint="eastAsia" w:asciiTheme="majorEastAsia" w:hAnsiTheme="majorEastAsia" w:eastAsiaTheme="majorEastAsia" w:cstheme="majorEastAsia"/>
                <w:b w:val="0"/>
                <w:bCs w:val="0"/>
                <w:color w:val="auto"/>
                <w:sz w:val="24"/>
                <w:szCs w:val="24"/>
                <w:highlight w:val="none"/>
                <w:lang w:val="en-US" w:eastAsia="zh-CN"/>
              </w:rPr>
              <w:t>1</w:t>
            </w:r>
            <w:r>
              <w:rPr>
                <w:rFonts w:hint="eastAsia" w:asciiTheme="majorEastAsia" w:hAnsiTheme="majorEastAsia" w:eastAsiaTheme="majorEastAsia" w:cstheme="majorEastAsia"/>
                <w:b w:val="0"/>
                <w:bCs w:val="0"/>
                <w:color w:val="auto"/>
                <w:sz w:val="24"/>
                <w:szCs w:val="24"/>
                <w:highlight w:val="none"/>
              </w:rPr>
              <w:t>月1日至今）</w:t>
            </w:r>
            <w:r>
              <w:rPr>
                <w:rFonts w:hint="eastAsia" w:asciiTheme="majorEastAsia" w:hAnsiTheme="majorEastAsia" w:eastAsiaTheme="majorEastAsia" w:cstheme="majorEastAsia"/>
                <w:b w:val="0"/>
                <w:bCs w:val="0"/>
                <w:color w:val="auto"/>
                <w:sz w:val="24"/>
                <w:szCs w:val="24"/>
                <w:highlight w:val="none"/>
                <w:lang w:eastAsia="zh-CN"/>
              </w:rPr>
              <w:t>来所</w:t>
            </w:r>
            <w:r>
              <w:rPr>
                <w:rFonts w:hint="eastAsia" w:asciiTheme="majorEastAsia" w:hAnsiTheme="majorEastAsia" w:eastAsiaTheme="majorEastAsia" w:cstheme="majorEastAsia"/>
                <w:b w:val="0"/>
                <w:bCs w:val="0"/>
                <w:color w:val="auto"/>
                <w:sz w:val="24"/>
                <w:szCs w:val="24"/>
                <w:highlight w:val="none"/>
              </w:rPr>
              <w:t>监理的工程类项目获奖情况</w:t>
            </w:r>
            <w:r>
              <w:rPr>
                <w:rFonts w:hint="eastAsia" w:asciiTheme="majorEastAsia" w:hAnsiTheme="majorEastAsia" w:eastAsiaTheme="majorEastAsia" w:cstheme="majorEastAsia"/>
                <w:color w:val="auto"/>
                <w:spacing w:val="8"/>
                <w:sz w:val="24"/>
                <w:szCs w:val="24"/>
                <w:highlight w:val="none"/>
              </w:rPr>
              <w:t>：</w:t>
            </w:r>
          </w:p>
          <w:p w14:paraId="46C25B73">
            <w:pPr>
              <w:overflowPunct w:val="0"/>
              <w:spacing w:line="360" w:lineRule="auto"/>
              <w:rPr>
                <w:rFonts w:hint="eastAsia" w:asciiTheme="majorEastAsia" w:hAnsiTheme="majorEastAsia" w:eastAsiaTheme="majorEastAsia" w:cstheme="majorEastAsia"/>
                <w:color w:val="auto"/>
                <w:spacing w:val="8"/>
                <w:sz w:val="24"/>
                <w:szCs w:val="24"/>
                <w:highlight w:val="none"/>
                <w:lang w:eastAsia="zh-CN"/>
              </w:rPr>
            </w:pPr>
            <w:r>
              <w:rPr>
                <w:rFonts w:hint="eastAsia" w:asciiTheme="majorEastAsia" w:hAnsiTheme="majorEastAsia" w:eastAsiaTheme="majorEastAsia" w:cstheme="majorEastAsia"/>
                <w:color w:val="auto"/>
                <w:spacing w:val="8"/>
                <w:sz w:val="24"/>
                <w:szCs w:val="24"/>
                <w:highlight w:val="none"/>
              </w:rPr>
              <w:t>1.获得国家级奖项的，每个得</w:t>
            </w:r>
            <w:r>
              <w:rPr>
                <w:rFonts w:hint="eastAsia" w:asciiTheme="majorEastAsia" w:hAnsiTheme="majorEastAsia" w:eastAsiaTheme="majorEastAsia" w:cstheme="majorEastAsia"/>
                <w:color w:val="auto"/>
                <w:spacing w:val="8"/>
                <w:sz w:val="24"/>
                <w:szCs w:val="24"/>
                <w:highlight w:val="none"/>
                <w:u w:val="single"/>
                <w:lang w:val="en-US" w:eastAsia="zh-CN"/>
              </w:rPr>
              <w:t>10</w:t>
            </w:r>
            <w:r>
              <w:rPr>
                <w:rFonts w:hint="eastAsia" w:asciiTheme="majorEastAsia" w:hAnsiTheme="majorEastAsia" w:eastAsiaTheme="majorEastAsia" w:cstheme="majorEastAsia"/>
                <w:color w:val="auto"/>
                <w:spacing w:val="8"/>
                <w:sz w:val="24"/>
                <w:szCs w:val="24"/>
                <w:highlight w:val="none"/>
              </w:rPr>
              <w:t>分</w:t>
            </w:r>
            <w:r>
              <w:rPr>
                <w:rFonts w:hint="eastAsia" w:asciiTheme="majorEastAsia" w:hAnsiTheme="majorEastAsia" w:eastAsiaTheme="majorEastAsia" w:cstheme="majorEastAsia"/>
                <w:color w:val="auto"/>
                <w:spacing w:val="8"/>
                <w:sz w:val="24"/>
                <w:szCs w:val="24"/>
                <w:highlight w:val="none"/>
                <w:lang w:eastAsia="zh-CN"/>
              </w:rPr>
              <w:t>；</w:t>
            </w:r>
          </w:p>
          <w:p w14:paraId="441C8701">
            <w:pPr>
              <w:overflowPunct w:val="0"/>
              <w:spacing w:line="360" w:lineRule="auto"/>
              <w:rPr>
                <w:rFonts w:hint="eastAsia" w:asciiTheme="majorEastAsia" w:hAnsiTheme="majorEastAsia" w:eastAsiaTheme="majorEastAsia" w:cstheme="majorEastAsia"/>
                <w:color w:val="auto"/>
                <w:spacing w:val="8"/>
                <w:sz w:val="24"/>
                <w:szCs w:val="24"/>
                <w:highlight w:val="none"/>
              </w:rPr>
            </w:pPr>
            <w:r>
              <w:rPr>
                <w:rFonts w:hint="eastAsia" w:asciiTheme="majorEastAsia" w:hAnsiTheme="majorEastAsia" w:eastAsiaTheme="majorEastAsia" w:cstheme="majorEastAsia"/>
                <w:color w:val="auto"/>
                <w:spacing w:val="8"/>
                <w:sz w:val="24"/>
                <w:szCs w:val="24"/>
                <w:highlight w:val="none"/>
              </w:rPr>
              <w:t>1.获得省级奖项的，每个得</w:t>
            </w:r>
            <w:r>
              <w:rPr>
                <w:rFonts w:hint="eastAsia" w:asciiTheme="majorEastAsia" w:hAnsiTheme="majorEastAsia" w:eastAsiaTheme="majorEastAsia" w:cstheme="majorEastAsia"/>
                <w:color w:val="auto"/>
                <w:spacing w:val="8"/>
                <w:sz w:val="24"/>
                <w:szCs w:val="24"/>
                <w:highlight w:val="none"/>
                <w:u w:val="single"/>
                <w:lang w:val="en-US" w:eastAsia="zh-CN"/>
              </w:rPr>
              <w:t>8</w:t>
            </w:r>
            <w:r>
              <w:rPr>
                <w:rFonts w:hint="eastAsia" w:asciiTheme="majorEastAsia" w:hAnsiTheme="majorEastAsia" w:eastAsiaTheme="majorEastAsia" w:cstheme="majorEastAsia"/>
                <w:color w:val="auto"/>
                <w:spacing w:val="8"/>
                <w:sz w:val="24"/>
                <w:szCs w:val="24"/>
                <w:highlight w:val="none"/>
              </w:rPr>
              <w:t>分；</w:t>
            </w:r>
          </w:p>
          <w:p w14:paraId="07278C48">
            <w:pPr>
              <w:overflowPunct w:val="0"/>
              <w:spacing w:line="360" w:lineRule="auto"/>
              <w:rPr>
                <w:rFonts w:hint="eastAsia" w:asciiTheme="majorEastAsia" w:hAnsiTheme="majorEastAsia" w:eastAsiaTheme="majorEastAsia" w:cstheme="majorEastAsia"/>
                <w:color w:val="auto"/>
                <w:spacing w:val="8"/>
                <w:sz w:val="24"/>
                <w:szCs w:val="24"/>
                <w:highlight w:val="none"/>
              </w:rPr>
            </w:pPr>
            <w:r>
              <w:rPr>
                <w:rFonts w:hint="eastAsia" w:asciiTheme="majorEastAsia" w:hAnsiTheme="majorEastAsia" w:eastAsiaTheme="majorEastAsia" w:cstheme="majorEastAsia"/>
                <w:color w:val="auto"/>
                <w:spacing w:val="8"/>
                <w:sz w:val="24"/>
                <w:szCs w:val="24"/>
                <w:highlight w:val="none"/>
              </w:rPr>
              <w:t>2.获得地市级奖项的，每个得</w:t>
            </w:r>
            <w:r>
              <w:rPr>
                <w:rFonts w:hint="eastAsia" w:asciiTheme="majorEastAsia" w:hAnsiTheme="majorEastAsia" w:eastAsiaTheme="majorEastAsia" w:cstheme="majorEastAsia"/>
                <w:color w:val="auto"/>
                <w:spacing w:val="8"/>
                <w:sz w:val="24"/>
                <w:szCs w:val="24"/>
                <w:highlight w:val="none"/>
                <w:u w:val="single"/>
                <w:lang w:val="en-US" w:eastAsia="zh-CN"/>
              </w:rPr>
              <w:t>6</w:t>
            </w:r>
            <w:r>
              <w:rPr>
                <w:rFonts w:hint="eastAsia" w:asciiTheme="majorEastAsia" w:hAnsiTheme="majorEastAsia" w:eastAsiaTheme="majorEastAsia" w:cstheme="majorEastAsia"/>
                <w:color w:val="auto"/>
                <w:spacing w:val="8"/>
                <w:sz w:val="24"/>
                <w:szCs w:val="24"/>
                <w:highlight w:val="none"/>
              </w:rPr>
              <w:t>分；</w:t>
            </w:r>
          </w:p>
          <w:p w14:paraId="55F78B88">
            <w:pPr>
              <w:pStyle w:val="9"/>
              <w:keepNext w:val="0"/>
              <w:keepLines w:val="0"/>
              <w:pageBreakBefore w:val="0"/>
              <w:tabs>
                <w:tab w:val="left" w:pos="1354"/>
                <w:tab w:val="left" w:pos="1459"/>
                <w:tab w:val="center" w:pos="3902"/>
                <w:tab w:val="right" w:pos="7805"/>
              </w:tabs>
              <w:kinsoku/>
              <w:overflowPunct/>
              <w:topLinePunct w:val="0"/>
              <w:autoSpaceDE/>
              <w:autoSpaceDN/>
              <w:bidi w:val="0"/>
              <w:adjustRightInd w:val="0"/>
              <w:snapToGrid w:val="0"/>
              <w:spacing w:after="0" w:afterLines="0" w:line="360" w:lineRule="exact"/>
              <w:jc w:val="left"/>
              <w:textAlignment w:val="auto"/>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color w:val="auto"/>
                <w:sz w:val="24"/>
                <w:szCs w:val="24"/>
                <w:highlight w:val="none"/>
              </w:rPr>
              <w:t>3.其他情形的，不予计分</w:t>
            </w:r>
            <w:r>
              <w:rPr>
                <w:rFonts w:hint="eastAsia" w:asciiTheme="majorEastAsia" w:hAnsiTheme="majorEastAsia" w:eastAsiaTheme="majorEastAsia" w:cstheme="majorEastAsia"/>
                <w:bCs/>
                <w:color w:val="auto"/>
                <w:sz w:val="24"/>
                <w:szCs w:val="24"/>
                <w:highlight w:val="none"/>
              </w:rPr>
              <w:t>。</w:t>
            </w:r>
          </w:p>
          <w:p w14:paraId="2FB2ED6A">
            <w:pPr>
              <w:pStyle w:val="49"/>
              <w:keepNext w:val="0"/>
              <w:keepLines w:val="0"/>
              <w:pageBreakBefore w:val="0"/>
              <w:kinsoku/>
              <w:overflowPunct/>
              <w:topLinePunct w:val="0"/>
              <w:autoSpaceDE/>
              <w:autoSpaceDN/>
              <w:bidi w:val="0"/>
              <w:spacing w:line="400" w:lineRule="exact"/>
              <w:ind w:left="116" w:leftChars="0" w:right="105" w:right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sz w:val="24"/>
                <w:szCs w:val="24"/>
                <w:highlight w:val="none"/>
              </w:rPr>
              <w:t>说明：本项最高得</w:t>
            </w:r>
            <w:r>
              <w:rPr>
                <w:rFonts w:hint="eastAsia" w:asciiTheme="majorEastAsia" w:hAnsiTheme="majorEastAsia" w:eastAsiaTheme="majorEastAsia" w:cstheme="majorEastAsia"/>
                <w:b/>
                <w:bCs/>
                <w:color w:val="auto"/>
                <w:sz w:val="24"/>
                <w:szCs w:val="24"/>
                <w:highlight w:val="none"/>
                <w:lang w:val="en-US" w:eastAsia="zh-CN"/>
              </w:rPr>
              <w:t>10</w:t>
            </w:r>
            <w:r>
              <w:rPr>
                <w:rFonts w:hint="eastAsia" w:asciiTheme="majorEastAsia" w:hAnsiTheme="majorEastAsia" w:eastAsiaTheme="majorEastAsia" w:cstheme="majorEastAsia"/>
                <w:b/>
                <w:bCs/>
                <w:color w:val="auto"/>
                <w:sz w:val="24"/>
                <w:szCs w:val="24"/>
                <w:highlight w:val="none"/>
              </w:rPr>
              <w:t>分。</w:t>
            </w:r>
          </w:p>
        </w:tc>
        <w:tc>
          <w:tcPr>
            <w:tcW w:w="4101"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619B2D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1.同一业绩只按最高级别奖项计分一次，不同业绩按照各自最高获奖等级的得分累加。</w:t>
            </w:r>
          </w:p>
          <w:p w14:paraId="19F8FF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w:t>
            </w:r>
            <w:r>
              <w:rPr>
                <w:rFonts w:hint="eastAsia" w:asciiTheme="majorEastAsia" w:hAnsiTheme="majorEastAsia" w:eastAsiaTheme="majorEastAsia" w:cstheme="majorEastAsia"/>
                <w:color w:val="auto"/>
                <w:sz w:val="24"/>
                <w:szCs w:val="24"/>
                <w:highlight w:val="none"/>
                <w:lang w:val="en-US" w:eastAsia="zh-CN"/>
              </w:rPr>
              <w:t>需附有关奖项证明彩色扫描件</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val="en-US" w:eastAsia="zh-CN"/>
              </w:rPr>
              <w:t>如发证单位为行业协会的，还需提供该行业协会在全国社会组织信用信息公司平台的登记信息查询结果截图，否则不得分。</w:t>
            </w:r>
          </w:p>
          <w:p w14:paraId="637FF1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3.颁发机构限定以下范围：</w:t>
            </w:r>
          </w:p>
          <w:p w14:paraId="2502E26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①国家级奖项：国务院、住建部、国家级行业协会；（</w:t>
            </w:r>
            <w:r>
              <w:rPr>
                <w:rFonts w:hint="eastAsia" w:asciiTheme="majorEastAsia" w:hAnsiTheme="majorEastAsia" w:eastAsiaTheme="majorEastAsia" w:cstheme="majorEastAsia"/>
                <w:b/>
                <w:bCs/>
                <w:color w:val="auto"/>
                <w:sz w:val="24"/>
                <w:szCs w:val="24"/>
                <w:highlight w:val="none"/>
              </w:rPr>
              <w:t>相关协会需经民政部门备案</w:t>
            </w:r>
            <w:r>
              <w:rPr>
                <w:rFonts w:hint="eastAsia" w:asciiTheme="majorEastAsia" w:hAnsiTheme="majorEastAsia" w:eastAsiaTheme="majorEastAsia" w:cstheme="majorEastAsia"/>
                <w:color w:val="auto"/>
                <w:sz w:val="24"/>
                <w:szCs w:val="24"/>
                <w:highlight w:val="none"/>
              </w:rPr>
              <w:t>）</w:t>
            </w:r>
          </w:p>
          <w:p w14:paraId="6D32B6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②省级奖项：省级人民政府、省级住建部门、省级行业协会；（</w:t>
            </w:r>
            <w:r>
              <w:rPr>
                <w:rFonts w:hint="eastAsia" w:asciiTheme="majorEastAsia" w:hAnsiTheme="majorEastAsia" w:eastAsiaTheme="majorEastAsia" w:cstheme="majorEastAsia"/>
                <w:b/>
                <w:bCs/>
                <w:color w:val="auto"/>
                <w:sz w:val="24"/>
                <w:szCs w:val="24"/>
                <w:highlight w:val="none"/>
              </w:rPr>
              <w:t>相关协会需经民政部门备案</w:t>
            </w:r>
            <w:r>
              <w:rPr>
                <w:rFonts w:hint="eastAsia" w:asciiTheme="majorEastAsia" w:hAnsiTheme="majorEastAsia" w:eastAsiaTheme="majorEastAsia" w:cstheme="majorEastAsia"/>
                <w:color w:val="auto"/>
                <w:sz w:val="24"/>
                <w:szCs w:val="24"/>
                <w:highlight w:val="none"/>
              </w:rPr>
              <w:t>）</w:t>
            </w:r>
          </w:p>
          <w:p w14:paraId="7AFF60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③地市级奖项：地市级人民政府、地市级住建部门、地市级行业协会。（</w:t>
            </w:r>
            <w:r>
              <w:rPr>
                <w:rFonts w:hint="eastAsia" w:asciiTheme="majorEastAsia" w:hAnsiTheme="majorEastAsia" w:eastAsiaTheme="majorEastAsia" w:cstheme="majorEastAsia"/>
                <w:b/>
                <w:bCs/>
                <w:color w:val="auto"/>
                <w:sz w:val="24"/>
                <w:szCs w:val="24"/>
                <w:highlight w:val="none"/>
              </w:rPr>
              <w:t>相关协会需经民政部门备</w:t>
            </w:r>
            <w:r>
              <w:rPr>
                <w:rFonts w:hint="eastAsia" w:asciiTheme="majorEastAsia" w:hAnsiTheme="majorEastAsia" w:eastAsiaTheme="majorEastAsia" w:cstheme="majorEastAsia"/>
                <w:b/>
                <w:bCs/>
                <w:color w:val="auto"/>
                <w:kern w:val="0"/>
                <w:sz w:val="24"/>
                <w:szCs w:val="24"/>
                <w:highlight w:val="none"/>
                <w:lang w:val="en-US" w:eastAsia="zh-CN" w:bidi="ar-SA"/>
              </w:rPr>
              <w:t>案</w:t>
            </w:r>
            <w:r>
              <w:rPr>
                <w:rFonts w:hint="eastAsia" w:asciiTheme="majorEastAsia" w:hAnsiTheme="majorEastAsia" w:eastAsiaTheme="majorEastAsia" w:cstheme="majorEastAsia"/>
                <w:color w:val="auto"/>
                <w:kern w:val="0"/>
                <w:sz w:val="24"/>
                <w:szCs w:val="24"/>
                <w:highlight w:val="none"/>
                <w:lang w:val="en-US" w:eastAsia="zh-CN" w:bidi="ar-SA"/>
              </w:rPr>
              <w:t>）</w:t>
            </w:r>
          </w:p>
          <w:p w14:paraId="121C5C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4.获奖时间以奖项证明的落款日期为准。</w:t>
            </w:r>
          </w:p>
          <w:p w14:paraId="42108B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5．任一奖项有以下情形之一的，该奖项视为无效，不予计分：</w:t>
            </w:r>
          </w:p>
          <w:p w14:paraId="7F7B9C8B">
            <w:pPr>
              <w:keepNext w:val="0"/>
              <w:keepLines w:val="0"/>
              <w:widowControl/>
              <w:suppressLineNumbers w:val="0"/>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kern w:val="0"/>
                <w:sz w:val="24"/>
                <w:szCs w:val="24"/>
                <w:highlight w:val="none"/>
                <w:lang w:val="en-US" w:eastAsia="zh-CN" w:bidi="ar-SA"/>
              </w:rPr>
              <w:t xml:space="preserve">①奖项不属于指定类别的； </w:t>
            </w:r>
          </w:p>
          <w:p w14:paraId="51CEDDE6">
            <w:pPr>
              <w:keepNext w:val="0"/>
              <w:keepLines w:val="0"/>
              <w:widowControl/>
              <w:suppressLineNumbers w:val="0"/>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kern w:val="0"/>
                <w:sz w:val="24"/>
                <w:szCs w:val="24"/>
                <w:highlight w:val="none"/>
                <w:lang w:val="en-US" w:eastAsia="zh-CN" w:bidi="ar-SA"/>
              </w:rPr>
              <w:t>②颁发机构不符合要求的；</w:t>
            </w:r>
          </w:p>
          <w:p w14:paraId="048A1E20">
            <w:pPr>
              <w:pStyle w:val="49"/>
              <w:keepNext w:val="0"/>
              <w:keepLines w:val="0"/>
              <w:pageBreakBefore w:val="0"/>
              <w:kinsoku/>
              <w:overflowPunct/>
              <w:topLinePunct w:val="0"/>
              <w:autoSpaceDE/>
              <w:autoSpaceDN/>
              <w:bidi w:val="0"/>
              <w:spacing w:line="400" w:lineRule="exact"/>
              <w:ind w:right="105" w:right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lang w:val="en-US" w:eastAsia="zh-CN" w:bidi="ar-SA"/>
              </w:rPr>
              <w:t>③获奖时间不符合要求的。</w:t>
            </w:r>
          </w:p>
        </w:tc>
      </w:tr>
      <w:tr w14:paraId="73CA7AF9">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08A8185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企业管理</w:t>
            </w:r>
          </w:p>
          <w:p w14:paraId="692401C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体系认证</w:t>
            </w:r>
          </w:p>
          <w:p w14:paraId="3BAF9EC8">
            <w:pPr>
              <w:pStyle w:val="9"/>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ajorEastAsia" w:hAnsiTheme="majorEastAsia" w:eastAsiaTheme="majorEastAsia" w:cstheme="majorEastAsia"/>
                <w:b/>
                <w:bCs/>
                <w:color w:val="auto"/>
                <w:kern w:val="0"/>
                <w:sz w:val="24"/>
                <w:szCs w:val="24"/>
                <w:highlight w:val="none"/>
                <w:lang w:val="en-US" w:eastAsia="zh-CN" w:bidi="ar-SA"/>
              </w:rPr>
            </w:pPr>
            <w:r>
              <w:rPr>
                <w:rFonts w:hint="eastAsia" w:asciiTheme="majorEastAsia" w:hAnsiTheme="majorEastAsia" w:eastAsiaTheme="majorEastAsia" w:cstheme="majorEastAsia"/>
                <w:b/>
                <w:bCs/>
                <w:caps w:val="0"/>
                <w:smallCaps w:val="0"/>
                <w:snapToGrid w:val="0"/>
                <w:color w:val="auto"/>
                <w:spacing w:val="0"/>
                <w:kern w:val="0"/>
                <w:sz w:val="24"/>
                <w:szCs w:val="24"/>
                <w:highlight w:val="none"/>
                <w:u w:val="none"/>
                <w:lang w:val="en-US" w:eastAsia="zh-CN" w:bidi="ar-SA"/>
              </w:rPr>
              <w:t>（10分）</w:t>
            </w:r>
          </w:p>
        </w:tc>
        <w:tc>
          <w:tcPr>
            <w:tcW w:w="4476"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1D4BAF6E">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color w:val="auto"/>
                <w:sz w:val="24"/>
                <w:szCs w:val="24"/>
                <w:highlight w:val="none"/>
              </w:rPr>
              <w:t>质量管理体系认证、职业健康安全管理体系认证、环境管理体系认证书</w:t>
            </w:r>
            <w:r>
              <w:rPr>
                <w:rFonts w:hint="eastAsia" w:asciiTheme="majorEastAsia" w:hAnsiTheme="majorEastAsia" w:eastAsiaTheme="majorEastAsia" w:cstheme="majorEastAsia"/>
                <w:color w:val="auto"/>
                <w:sz w:val="24"/>
                <w:szCs w:val="24"/>
                <w:highlight w:val="none"/>
                <w:lang w:eastAsia="zh-CN"/>
              </w:rPr>
              <w:t>、工程监理规范认证证书、诚信管理体系</w:t>
            </w:r>
            <w:r>
              <w:rPr>
                <w:rFonts w:hint="eastAsia" w:asciiTheme="majorEastAsia" w:hAnsiTheme="majorEastAsia" w:eastAsiaTheme="majorEastAsia" w:cstheme="majorEastAsia"/>
                <w:color w:val="auto"/>
                <w:sz w:val="24"/>
                <w:szCs w:val="24"/>
                <w:highlight w:val="none"/>
                <w:lang w:val="en-US" w:eastAsia="zh-CN"/>
              </w:rPr>
              <w:t>认证证书</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 xml:space="preserve">中：  </w:t>
            </w:r>
          </w:p>
          <w:p w14:paraId="3E71AF92">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1.投标人获得上述5项认证证书的，得</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single"/>
                <w:lang w:val="en-US" w:eastAsia="zh-CN" w:bidi="ar-SA"/>
              </w:rPr>
              <w:t>10</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分；</w:t>
            </w:r>
          </w:p>
          <w:p w14:paraId="0924DF14">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2.投标人获得上述3-4项认证证书的，得</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single"/>
                <w:lang w:val="en-US" w:eastAsia="zh-CN" w:bidi="ar-SA"/>
              </w:rPr>
              <w:t>5</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分</w:t>
            </w:r>
          </w:p>
          <w:p w14:paraId="2C6BFDB0">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3.投标人获得上述1-3项认证证书的，得</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single"/>
                <w:lang w:val="en-US" w:eastAsia="zh-CN" w:bidi="ar-SA"/>
              </w:rPr>
              <w:t>2</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分；</w:t>
            </w:r>
          </w:p>
          <w:p w14:paraId="677AA2AB">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4．未获得以上认证证书的，不予计分。</w:t>
            </w:r>
          </w:p>
          <w:p w14:paraId="29CCA17B">
            <w:pPr>
              <w:pStyle w:val="49"/>
              <w:keepNext w:val="0"/>
              <w:keepLines w:val="0"/>
              <w:pageBreakBefore w:val="0"/>
              <w:kinsoku/>
              <w:overflowPunct/>
              <w:topLinePunct w:val="0"/>
              <w:autoSpaceDE/>
              <w:autoSpaceDN/>
              <w:bidi w:val="0"/>
              <w:spacing w:line="400" w:lineRule="exact"/>
              <w:ind w:left="116" w:leftChars="0" w:right="105" w:right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aps w:val="0"/>
                <w:smallCaps w:val="0"/>
                <w:snapToGrid w:val="0"/>
                <w:color w:val="auto"/>
                <w:spacing w:val="0"/>
                <w:kern w:val="0"/>
                <w:sz w:val="24"/>
                <w:szCs w:val="24"/>
                <w:highlight w:val="none"/>
                <w:u w:val="none"/>
                <w:lang w:val="en-US" w:eastAsia="zh-CN" w:bidi="ar-SA"/>
              </w:rPr>
              <w:t>说明：本项最高得10分。</w:t>
            </w:r>
          </w:p>
        </w:tc>
        <w:tc>
          <w:tcPr>
            <w:tcW w:w="4101"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4A365CE9">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1．需附在有效期内的认证证书彩色扫描件及全国认证认可信息公共服务平台http://cx.cnca.cn/CertECloud/index/index/page网上查询网页截图。</w:t>
            </w:r>
          </w:p>
          <w:p w14:paraId="400947D8">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2．任一认证证书不在有效期内的，该认证证书视为无效，不予计分。</w:t>
            </w:r>
          </w:p>
          <w:p w14:paraId="57FCD565">
            <w:pPr>
              <w:pStyle w:val="49"/>
              <w:keepNext w:val="0"/>
              <w:keepLines w:val="0"/>
              <w:pageBreakBefore w:val="0"/>
              <w:kinsoku/>
              <w:overflowPunct/>
              <w:topLinePunct w:val="0"/>
              <w:autoSpaceDE/>
              <w:autoSpaceDN/>
              <w:bidi w:val="0"/>
              <w:spacing w:line="400" w:lineRule="exact"/>
              <w:ind w:right="105" w:rightChars="0"/>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3.以投标人所能获得的最高分计一次分，不累计得分。</w:t>
            </w:r>
          </w:p>
        </w:tc>
      </w:tr>
      <w:tr w14:paraId="0EE487A1">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7BD5F7F9">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Theme="majorEastAsia" w:hAnsiTheme="majorEastAsia" w:eastAsiaTheme="majorEastAsia" w:cstheme="majorEastAsia"/>
                <w:b w:val="0"/>
                <w:bCs w:val="0"/>
                <w:strike w:val="0"/>
                <w:dstrike w:val="0"/>
                <w:snapToGrid w:val="0"/>
                <w:color w:val="auto"/>
                <w:kern w:val="0"/>
                <w:sz w:val="24"/>
                <w:szCs w:val="24"/>
                <w:highlight w:val="none"/>
                <w:u w:val="none"/>
                <w:lang w:val="en-US" w:eastAsia="zh-CN" w:bidi="ar-SA"/>
              </w:rPr>
            </w:pPr>
            <w:r>
              <w:rPr>
                <w:rFonts w:hint="eastAsia" w:asciiTheme="majorEastAsia" w:hAnsiTheme="majorEastAsia" w:eastAsiaTheme="majorEastAsia" w:cstheme="majorEastAsia"/>
                <w:b w:val="0"/>
                <w:bCs w:val="0"/>
                <w:strike w:val="0"/>
                <w:dstrike w:val="0"/>
                <w:snapToGrid w:val="0"/>
                <w:color w:val="auto"/>
                <w:kern w:val="0"/>
                <w:sz w:val="24"/>
                <w:szCs w:val="24"/>
                <w:highlight w:val="none"/>
                <w:u w:val="none"/>
                <w:lang w:val="en-US" w:eastAsia="zh-CN" w:bidi="ar-SA"/>
              </w:rPr>
              <w:t>企业纳税等级</w:t>
            </w:r>
          </w:p>
          <w:p w14:paraId="727E227B">
            <w:pPr>
              <w:pStyle w:val="9"/>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ajorEastAsia" w:hAnsiTheme="majorEastAsia" w:eastAsiaTheme="majorEastAsia" w:cstheme="majorEastAsia"/>
                <w:b/>
                <w:bCs/>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bCs/>
                <w:strike w:val="0"/>
                <w:dstrike w:val="0"/>
                <w:snapToGrid w:val="0"/>
                <w:color w:val="auto"/>
                <w:kern w:val="0"/>
                <w:sz w:val="24"/>
                <w:szCs w:val="24"/>
                <w:highlight w:val="none"/>
                <w:u w:val="none"/>
                <w:lang w:val="en-US" w:eastAsia="zh-CN" w:bidi="ar-SA"/>
              </w:rPr>
              <w:t>（6分）</w:t>
            </w:r>
          </w:p>
        </w:tc>
        <w:tc>
          <w:tcPr>
            <w:tcW w:w="4476"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4EF87CAB">
            <w:pPr>
              <w:keepNext w:val="0"/>
              <w:keepLines w:val="0"/>
              <w:pageBreakBefore w:val="0"/>
              <w:widowControl/>
              <w:kinsoku/>
              <w:wordWrap/>
              <w:overflowPunct/>
              <w:topLinePunct w:val="0"/>
              <w:autoSpaceDE/>
              <w:autoSpaceDN/>
              <w:bidi w:val="0"/>
              <w:adjustRightInd w:val="0"/>
              <w:snapToGrid w:val="0"/>
              <w:spacing w:line="360" w:lineRule="auto"/>
              <w:ind w:right="0" w:rightChars="0"/>
              <w:jc w:val="left"/>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eastAsia="zh-CN"/>
              </w:rPr>
              <w:t>投标人</w:t>
            </w:r>
            <w:r>
              <w:rPr>
                <w:rFonts w:hint="eastAsia" w:asciiTheme="majorEastAsia" w:hAnsiTheme="majorEastAsia" w:eastAsiaTheme="majorEastAsia" w:cstheme="majorEastAsia"/>
                <w:color w:val="auto"/>
                <w:sz w:val="24"/>
                <w:szCs w:val="24"/>
                <w:highlight w:val="none"/>
              </w:rPr>
              <w:t>获得税务部门颁发</w:t>
            </w:r>
            <w:r>
              <w:rPr>
                <w:rFonts w:hint="eastAsia" w:asciiTheme="majorEastAsia" w:hAnsiTheme="majorEastAsia" w:eastAsiaTheme="majorEastAsia" w:cstheme="majorEastAsia"/>
                <w:color w:val="auto"/>
                <w:sz w:val="24"/>
                <w:szCs w:val="24"/>
                <w:highlight w:val="none"/>
                <w:lang w:eastAsia="zh-CN"/>
              </w:rPr>
              <w:t>的</w:t>
            </w:r>
            <w:r>
              <w:rPr>
                <w:rFonts w:hint="eastAsia" w:asciiTheme="majorEastAsia" w:hAnsiTheme="majorEastAsia" w:eastAsiaTheme="majorEastAsia" w:cstheme="majorEastAsia"/>
                <w:color w:val="auto"/>
                <w:sz w:val="24"/>
                <w:szCs w:val="24"/>
                <w:highlight w:val="none"/>
              </w:rPr>
              <w:t>纳税信用A级证书</w:t>
            </w:r>
            <w:r>
              <w:rPr>
                <w:rFonts w:hint="eastAsia" w:asciiTheme="majorEastAsia" w:hAnsiTheme="majorEastAsia" w:eastAsiaTheme="majorEastAsia" w:cstheme="majorEastAsia"/>
                <w:color w:val="auto"/>
                <w:sz w:val="24"/>
                <w:szCs w:val="24"/>
                <w:highlight w:val="none"/>
                <w:lang w:val="en-US" w:eastAsia="zh-CN"/>
              </w:rPr>
              <w:t>情况</w:t>
            </w:r>
            <w:r>
              <w:rPr>
                <w:rFonts w:hint="eastAsia" w:asciiTheme="majorEastAsia" w:hAnsiTheme="majorEastAsia" w:eastAsiaTheme="majorEastAsia" w:cstheme="majorEastAsia"/>
                <w:color w:val="auto"/>
                <w:sz w:val="24"/>
                <w:szCs w:val="24"/>
                <w:highlight w:val="none"/>
              </w:rPr>
              <w:t>：</w:t>
            </w:r>
          </w:p>
          <w:p w14:paraId="2C03A8CF">
            <w:pPr>
              <w:keepNext w:val="0"/>
              <w:keepLines w:val="0"/>
              <w:pageBreakBefore w:val="0"/>
              <w:kinsoku/>
              <w:wordWrap/>
              <w:overflowPunct/>
              <w:topLinePunct w:val="0"/>
              <w:autoSpaceDE/>
              <w:autoSpaceDN/>
              <w:bidi w:val="0"/>
              <w:snapToGrid/>
              <w:spacing w:line="360" w:lineRule="auto"/>
              <w:ind w:right="0" w:rightChars="0"/>
              <w:textAlignment w:val="auto"/>
              <w:rPr>
                <w:rFonts w:hint="eastAsia" w:asciiTheme="majorEastAsia" w:hAnsiTheme="majorEastAsia" w:eastAsiaTheme="majorEastAsia" w:cstheme="majorEastAsia"/>
                <w:b/>
                <w:bCs/>
                <w:color w:val="auto"/>
                <w:kern w:val="0"/>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kern w:val="0"/>
                <w:sz w:val="24"/>
                <w:szCs w:val="24"/>
                <w:highlight w:val="none"/>
              </w:rPr>
              <w:t>连续</w:t>
            </w:r>
            <w:r>
              <w:rPr>
                <w:rFonts w:hint="eastAsia" w:asciiTheme="majorEastAsia" w:hAnsiTheme="majorEastAsia" w:eastAsiaTheme="majorEastAsia" w:cstheme="majorEastAsia"/>
                <w:color w:val="auto"/>
                <w:kern w:val="0"/>
                <w:sz w:val="24"/>
                <w:szCs w:val="24"/>
                <w:highlight w:val="none"/>
                <w:lang w:val="en-US" w:eastAsia="zh-CN"/>
              </w:rPr>
              <w:t>5</w:t>
            </w:r>
            <w:r>
              <w:rPr>
                <w:rFonts w:hint="eastAsia" w:asciiTheme="majorEastAsia" w:hAnsiTheme="majorEastAsia" w:eastAsiaTheme="majorEastAsia" w:cstheme="majorEastAsia"/>
                <w:color w:val="auto"/>
                <w:kern w:val="0"/>
                <w:sz w:val="24"/>
                <w:szCs w:val="24"/>
                <w:highlight w:val="none"/>
              </w:rPr>
              <w:t>年或以上获得纳税信用A级纳税人的，</w:t>
            </w:r>
            <w:r>
              <w:rPr>
                <w:rFonts w:hint="eastAsia" w:asciiTheme="majorEastAsia" w:hAnsiTheme="majorEastAsia" w:eastAsiaTheme="majorEastAsia" w:cstheme="majorEastAsia"/>
                <w:color w:val="auto"/>
                <w:kern w:val="0"/>
                <w:sz w:val="24"/>
                <w:szCs w:val="24"/>
                <w:highlight w:val="none"/>
                <w:lang w:val="en-US" w:eastAsia="zh-CN"/>
              </w:rPr>
              <w:t>得</w:t>
            </w:r>
            <w:r>
              <w:rPr>
                <w:rFonts w:hint="eastAsia" w:asciiTheme="majorEastAsia" w:hAnsiTheme="majorEastAsia" w:eastAsiaTheme="majorEastAsia" w:cstheme="majorEastAsia"/>
                <w:color w:val="auto"/>
                <w:kern w:val="0"/>
                <w:sz w:val="24"/>
                <w:szCs w:val="24"/>
                <w:highlight w:val="none"/>
                <w:u w:val="single"/>
                <w:lang w:val="en-US" w:eastAsia="zh-CN"/>
              </w:rPr>
              <w:t>6</w:t>
            </w:r>
            <w:r>
              <w:rPr>
                <w:rFonts w:hint="eastAsia" w:asciiTheme="majorEastAsia" w:hAnsiTheme="majorEastAsia" w:eastAsiaTheme="majorEastAsia" w:cstheme="majorEastAsia"/>
                <w:color w:val="auto"/>
                <w:kern w:val="0"/>
                <w:sz w:val="24"/>
                <w:szCs w:val="24"/>
                <w:highlight w:val="none"/>
                <w:lang w:val="en-US" w:eastAsia="zh-CN"/>
              </w:rPr>
              <w:t>分；</w:t>
            </w:r>
            <w:r>
              <w:rPr>
                <w:rFonts w:hint="eastAsia" w:asciiTheme="majorEastAsia" w:hAnsiTheme="majorEastAsia" w:eastAsiaTheme="majorEastAsia" w:cstheme="majorEastAsia"/>
                <w:b/>
                <w:bCs/>
                <w:color w:val="auto"/>
                <w:kern w:val="0"/>
                <w:sz w:val="24"/>
                <w:szCs w:val="24"/>
                <w:highlight w:val="none"/>
              </w:rPr>
              <w:t>（其中须有2024年度）</w:t>
            </w:r>
            <w:r>
              <w:rPr>
                <w:rFonts w:hint="eastAsia" w:asciiTheme="majorEastAsia" w:hAnsiTheme="majorEastAsia" w:eastAsiaTheme="majorEastAsia" w:cstheme="majorEastAsia"/>
                <w:b/>
                <w:bCs/>
                <w:color w:val="auto"/>
                <w:kern w:val="0"/>
                <w:sz w:val="24"/>
                <w:szCs w:val="24"/>
                <w:highlight w:val="none"/>
                <w:lang w:eastAsia="zh-CN"/>
              </w:rPr>
              <w:t>；</w:t>
            </w:r>
          </w:p>
          <w:p w14:paraId="1BC00B3D">
            <w:pPr>
              <w:keepNext w:val="0"/>
              <w:keepLines w:val="0"/>
              <w:pageBreakBefore w:val="0"/>
              <w:kinsoku/>
              <w:wordWrap/>
              <w:overflowPunct/>
              <w:topLinePunct w:val="0"/>
              <w:autoSpaceDE/>
              <w:autoSpaceDN/>
              <w:bidi w:val="0"/>
              <w:snapToGrid/>
              <w:spacing w:line="360" w:lineRule="auto"/>
              <w:ind w:right="0" w:rightChars="0"/>
              <w:textAlignment w:val="auto"/>
              <w:rPr>
                <w:rFonts w:hint="eastAsia" w:asciiTheme="majorEastAsia" w:hAnsiTheme="majorEastAsia" w:eastAsiaTheme="majorEastAsia" w:cstheme="majorEastAsia"/>
                <w:b w:val="0"/>
                <w:bCs w:val="0"/>
                <w:color w:val="auto"/>
                <w:kern w:val="0"/>
                <w:sz w:val="24"/>
                <w:szCs w:val="24"/>
                <w:highlight w:val="none"/>
                <w:lang w:val="en-US" w:eastAsia="zh-CN"/>
              </w:rPr>
            </w:pPr>
            <w:r>
              <w:rPr>
                <w:rFonts w:hint="eastAsia" w:asciiTheme="majorEastAsia" w:hAnsiTheme="majorEastAsia" w:eastAsiaTheme="majorEastAsia" w:cstheme="majorEastAsia"/>
                <w:b w:val="0"/>
                <w:bCs w:val="0"/>
                <w:color w:val="auto"/>
                <w:kern w:val="0"/>
                <w:sz w:val="24"/>
                <w:szCs w:val="24"/>
                <w:highlight w:val="none"/>
                <w:lang w:val="en-US" w:eastAsia="zh-CN"/>
              </w:rPr>
              <w:t>2.企业连续3年～4年获得纳税信用A级纳税人的，得</w:t>
            </w:r>
            <w:r>
              <w:rPr>
                <w:rFonts w:hint="eastAsia" w:asciiTheme="majorEastAsia" w:hAnsiTheme="majorEastAsia" w:eastAsiaTheme="majorEastAsia" w:cstheme="majorEastAsia"/>
                <w:b w:val="0"/>
                <w:bCs w:val="0"/>
                <w:color w:val="auto"/>
                <w:kern w:val="0"/>
                <w:sz w:val="24"/>
                <w:szCs w:val="24"/>
                <w:highlight w:val="none"/>
                <w:u w:val="single"/>
                <w:lang w:val="en-US" w:eastAsia="zh-CN"/>
              </w:rPr>
              <w:t>3</w:t>
            </w:r>
            <w:r>
              <w:rPr>
                <w:rFonts w:hint="eastAsia" w:asciiTheme="majorEastAsia" w:hAnsiTheme="majorEastAsia" w:eastAsiaTheme="majorEastAsia" w:cstheme="majorEastAsia"/>
                <w:b w:val="0"/>
                <w:bCs w:val="0"/>
                <w:color w:val="auto"/>
                <w:kern w:val="0"/>
                <w:sz w:val="24"/>
                <w:szCs w:val="24"/>
                <w:highlight w:val="none"/>
                <w:lang w:val="en-US" w:eastAsia="zh-CN"/>
              </w:rPr>
              <w:t>分；</w:t>
            </w:r>
            <w:r>
              <w:rPr>
                <w:rFonts w:hint="eastAsia" w:asciiTheme="majorEastAsia" w:hAnsiTheme="majorEastAsia" w:eastAsiaTheme="majorEastAsia" w:cstheme="majorEastAsia"/>
                <w:b/>
                <w:bCs/>
                <w:color w:val="auto"/>
                <w:kern w:val="0"/>
                <w:sz w:val="24"/>
                <w:szCs w:val="24"/>
                <w:highlight w:val="none"/>
                <w:lang w:val="en-US" w:eastAsia="zh-CN"/>
              </w:rPr>
              <w:t>（其中须有2024年度）</w:t>
            </w:r>
            <w:r>
              <w:rPr>
                <w:rFonts w:hint="eastAsia" w:asciiTheme="majorEastAsia" w:hAnsiTheme="majorEastAsia" w:eastAsiaTheme="majorEastAsia" w:cstheme="majorEastAsia"/>
                <w:b w:val="0"/>
                <w:bCs w:val="0"/>
                <w:color w:val="auto"/>
                <w:kern w:val="0"/>
                <w:sz w:val="24"/>
                <w:szCs w:val="24"/>
                <w:highlight w:val="none"/>
                <w:lang w:val="en-US" w:eastAsia="zh-CN"/>
              </w:rPr>
              <w:t>；</w:t>
            </w:r>
          </w:p>
          <w:p w14:paraId="089183FB">
            <w:pPr>
              <w:keepNext w:val="0"/>
              <w:keepLines w:val="0"/>
              <w:pageBreakBefore w:val="0"/>
              <w:kinsoku/>
              <w:wordWrap/>
              <w:overflowPunct/>
              <w:topLinePunct w:val="0"/>
              <w:autoSpaceDE/>
              <w:autoSpaceDN/>
              <w:bidi w:val="0"/>
              <w:snapToGrid/>
              <w:spacing w:line="360" w:lineRule="auto"/>
              <w:ind w:right="0" w:rightChars="0"/>
              <w:textAlignment w:val="auto"/>
              <w:rPr>
                <w:rFonts w:hint="eastAsia" w:asciiTheme="majorEastAsia" w:hAnsiTheme="majorEastAsia" w:eastAsiaTheme="majorEastAsia" w:cstheme="majorEastAsia"/>
                <w:b w:val="0"/>
                <w:bCs w:val="0"/>
                <w:color w:val="auto"/>
                <w:kern w:val="0"/>
                <w:sz w:val="24"/>
                <w:szCs w:val="24"/>
                <w:highlight w:val="none"/>
                <w:lang w:val="en-US" w:eastAsia="zh-CN"/>
              </w:rPr>
            </w:pPr>
            <w:r>
              <w:rPr>
                <w:rFonts w:hint="eastAsia" w:asciiTheme="majorEastAsia" w:hAnsiTheme="majorEastAsia" w:eastAsiaTheme="majorEastAsia" w:cstheme="majorEastAsia"/>
                <w:b w:val="0"/>
                <w:bCs w:val="0"/>
                <w:color w:val="auto"/>
                <w:kern w:val="0"/>
                <w:sz w:val="24"/>
                <w:szCs w:val="24"/>
                <w:highlight w:val="none"/>
                <w:lang w:val="en-US" w:eastAsia="zh-CN"/>
              </w:rPr>
              <w:t>3.企业连续1年～2年获得纳税信用A级纳税人的，得</w:t>
            </w:r>
            <w:r>
              <w:rPr>
                <w:rFonts w:hint="eastAsia" w:asciiTheme="majorEastAsia" w:hAnsiTheme="majorEastAsia" w:eastAsiaTheme="majorEastAsia" w:cstheme="majorEastAsia"/>
                <w:b w:val="0"/>
                <w:bCs w:val="0"/>
                <w:color w:val="auto"/>
                <w:kern w:val="0"/>
                <w:sz w:val="24"/>
                <w:szCs w:val="24"/>
                <w:highlight w:val="none"/>
                <w:u w:val="single"/>
                <w:lang w:val="en-US" w:eastAsia="zh-CN"/>
              </w:rPr>
              <w:t>1</w:t>
            </w:r>
            <w:r>
              <w:rPr>
                <w:rFonts w:hint="eastAsia" w:asciiTheme="majorEastAsia" w:hAnsiTheme="majorEastAsia" w:eastAsiaTheme="majorEastAsia" w:cstheme="majorEastAsia"/>
                <w:b w:val="0"/>
                <w:bCs w:val="0"/>
                <w:color w:val="auto"/>
                <w:kern w:val="0"/>
                <w:sz w:val="24"/>
                <w:szCs w:val="24"/>
                <w:highlight w:val="none"/>
                <w:lang w:val="en-US" w:eastAsia="zh-CN"/>
              </w:rPr>
              <w:t>分；</w:t>
            </w:r>
            <w:r>
              <w:rPr>
                <w:rFonts w:hint="eastAsia" w:asciiTheme="majorEastAsia" w:hAnsiTheme="majorEastAsia" w:eastAsiaTheme="majorEastAsia" w:cstheme="majorEastAsia"/>
                <w:b/>
                <w:bCs/>
                <w:color w:val="auto"/>
                <w:kern w:val="0"/>
                <w:sz w:val="24"/>
                <w:szCs w:val="24"/>
                <w:highlight w:val="none"/>
                <w:lang w:val="en-US" w:eastAsia="zh-CN"/>
              </w:rPr>
              <w:t>（其中须有2024年度）</w:t>
            </w:r>
            <w:r>
              <w:rPr>
                <w:rFonts w:hint="eastAsia" w:asciiTheme="majorEastAsia" w:hAnsiTheme="majorEastAsia" w:eastAsiaTheme="majorEastAsia" w:cstheme="majorEastAsia"/>
                <w:b w:val="0"/>
                <w:bCs w:val="0"/>
                <w:color w:val="auto"/>
                <w:kern w:val="0"/>
                <w:sz w:val="24"/>
                <w:szCs w:val="24"/>
                <w:highlight w:val="none"/>
                <w:lang w:val="en-US" w:eastAsia="zh-CN"/>
              </w:rPr>
              <w:t>。</w:t>
            </w:r>
          </w:p>
          <w:p w14:paraId="01BAC0A2">
            <w:pPr>
              <w:pStyle w:val="49"/>
              <w:keepNext w:val="0"/>
              <w:keepLines w:val="0"/>
              <w:pageBreakBefore w:val="0"/>
              <w:kinsoku/>
              <w:overflowPunct/>
              <w:topLinePunct w:val="0"/>
              <w:autoSpaceDE/>
              <w:autoSpaceDN/>
              <w:bidi w:val="0"/>
              <w:spacing w:line="400" w:lineRule="exact"/>
              <w:ind w:left="116" w:leftChars="0" w:right="105" w:rightChars="0"/>
              <w:rPr>
                <w:rFonts w:hint="eastAsia" w:asciiTheme="majorEastAsia" w:hAnsiTheme="majorEastAsia" w:eastAsiaTheme="majorEastAsia" w:cstheme="majorEastAsia"/>
                <w:b/>
                <w:bCs/>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b/>
                <w:bCs/>
                <w:color w:val="auto"/>
                <w:sz w:val="24"/>
                <w:szCs w:val="24"/>
                <w:highlight w:val="none"/>
              </w:rPr>
              <w:t>说明：本项最高得</w:t>
            </w:r>
            <w:r>
              <w:rPr>
                <w:rFonts w:hint="eastAsia" w:asciiTheme="majorEastAsia" w:hAnsiTheme="majorEastAsia" w:eastAsiaTheme="majorEastAsia" w:cstheme="majorEastAsia"/>
                <w:b/>
                <w:bCs/>
                <w:color w:val="auto"/>
                <w:sz w:val="24"/>
                <w:szCs w:val="24"/>
                <w:highlight w:val="none"/>
                <w:lang w:val="en-US" w:eastAsia="zh-CN"/>
              </w:rPr>
              <w:t>6</w:t>
            </w:r>
            <w:r>
              <w:rPr>
                <w:rFonts w:hint="eastAsia" w:asciiTheme="majorEastAsia" w:hAnsiTheme="majorEastAsia" w:eastAsiaTheme="majorEastAsia" w:cstheme="majorEastAsia"/>
                <w:b/>
                <w:bCs/>
                <w:color w:val="auto"/>
                <w:sz w:val="24"/>
                <w:szCs w:val="24"/>
                <w:highlight w:val="none"/>
              </w:rPr>
              <w:t>分。</w:t>
            </w:r>
          </w:p>
        </w:tc>
        <w:tc>
          <w:tcPr>
            <w:tcW w:w="4101"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638FC9E9">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1．须提供税务部门颁发的纳税信用证书（或证明材料）彩色扫描件及</w:t>
            </w:r>
            <w:r>
              <w:rPr>
                <w:rFonts w:hint="eastAsia" w:asciiTheme="majorEastAsia" w:hAnsiTheme="majorEastAsia" w:eastAsiaTheme="majorEastAsia" w:cstheme="majorEastAsia"/>
                <w:color w:val="auto"/>
                <w:sz w:val="24"/>
                <w:szCs w:val="24"/>
                <w:highlight w:val="none"/>
              </w:rPr>
              <w:t>地市级或以上税务局查询网页截图，否则不得分。</w:t>
            </w:r>
          </w:p>
          <w:p w14:paraId="69836C56">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2．只计算投标人自身（不计算投标人的分公司、子公司及分支机构）。</w:t>
            </w:r>
          </w:p>
          <w:p w14:paraId="0CBCB354">
            <w:pPr>
              <w:pStyle w:val="49"/>
              <w:keepNext w:val="0"/>
              <w:keepLines w:val="0"/>
              <w:pageBreakBefore w:val="0"/>
              <w:kinsoku/>
              <w:overflowPunct/>
              <w:topLinePunct w:val="0"/>
              <w:autoSpaceDE/>
              <w:autoSpaceDN/>
              <w:bidi w:val="0"/>
              <w:spacing w:line="400" w:lineRule="exact"/>
              <w:ind w:right="105" w:right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3.以投标人所能获得的最高分计一次分，不累计得分。</w:t>
            </w:r>
          </w:p>
        </w:tc>
      </w:tr>
      <w:tr w14:paraId="6E72713F">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auto" w:sz="4" w:space="0"/>
              <w:right w:val="single" w:color="000000" w:sz="4" w:space="0"/>
            </w:tcBorders>
            <w:shd w:val="clear" w:color="auto" w:fill="auto"/>
            <w:tcMar>
              <w:top w:w="0" w:type="dxa"/>
              <w:left w:w="108" w:type="dxa"/>
              <w:bottom w:w="0" w:type="dxa"/>
              <w:right w:w="108" w:type="dxa"/>
            </w:tcMar>
            <w:vAlign w:val="center"/>
          </w:tcPr>
          <w:p w14:paraId="2FCFEDB0">
            <w:pPr>
              <w:keepNext w:val="0"/>
              <w:keepLines w:val="0"/>
              <w:widowControl/>
              <w:suppressLineNumbers w:val="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lang w:val="en-US" w:eastAsia="zh-CN" w:bidi="ar"/>
              </w:rPr>
              <w:t xml:space="preserve">企业获得表彰 </w:t>
            </w:r>
          </w:p>
          <w:p w14:paraId="50E449F5">
            <w:pPr>
              <w:keepNext w:val="0"/>
              <w:keepLines w:val="0"/>
              <w:widowControl/>
              <w:suppressLineNumbers w:val="0"/>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kern w:val="0"/>
                <w:sz w:val="24"/>
                <w:szCs w:val="24"/>
                <w:highlight w:val="none"/>
                <w:lang w:val="en-US" w:eastAsia="zh-CN" w:bidi="ar"/>
              </w:rPr>
              <w:t>情况</w:t>
            </w:r>
            <w:r>
              <w:rPr>
                <w:rFonts w:hint="eastAsia" w:asciiTheme="majorEastAsia" w:hAnsiTheme="majorEastAsia" w:eastAsiaTheme="majorEastAsia" w:cstheme="majorEastAsia"/>
                <w:b/>
                <w:bCs/>
                <w:color w:val="auto"/>
                <w:sz w:val="24"/>
                <w:szCs w:val="24"/>
                <w:highlight w:val="none"/>
                <w:lang w:val="en-US" w:eastAsia="zh-CN"/>
              </w:rPr>
              <w:t>（4分）</w:t>
            </w:r>
          </w:p>
          <w:p w14:paraId="009AB226">
            <w:pPr>
              <w:pStyle w:val="17"/>
              <w:keepNext w:val="0"/>
              <w:keepLines w:val="0"/>
              <w:pageBreakBefore w:val="0"/>
              <w:kinsoku/>
              <w:overflowPunct/>
              <w:topLinePunct w:val="0"/>
              <w:autoSpaceDE/>
              <w:autoSpaceDN/>
              <w:bidi w:val="0"/>
              <w:spacing w:beforeAutospacing="0" w:afterAutospacing="0" w:line="360" w:lineRule="exact"/>
              <w:jc w:val="center"/>
              <w:textAlignment w:val="auto"/>
              <w:rPr>
                <w:rFonts w:hint="eastAsia" w:asciiTheme="majorEastAsia" w:hAnsiTheme="majorEastAsia" w:eastAsiaTheme="majorEastAsia" w:cstheme="majorEastAsia"/>
                <w:b/>
                <w:bCs/>
                <w:strike w:val="0"/>
                <w:dstrike w:val="0"/>
                <w:snapToGrid w:val="0"/>
                <w:color w:val="auto"/>
                <w:kern w:val="0"/>
                <w:sz w:val="24"/>
                <w:szCs w:val="24"/>
                <w:highlight w:val="none"/>
                <w:u w:val="none"/>
                <w:lang w:val="en-US" w:eastAsia="zh-CN" w:bidi="ar-SA"/>
              </w:rPr>
            </w:pPr>
          </w:p>
        </w:tc>
        <w:tc>
          <w:tcPr>
            <w:tcW w:w="4476" w:type="dxa"/>
            <w:tcBorders>
              <w:top w:val="single" w:color="000000" w:sz="4" w:space="0"/>
              <w:left w:val="single" w:color="000000" w:sz="4" w:space="0"/>
              <w:bottom w:val="single" w:color="auto" w:sz="4" w:space="0"/>
              <w:right w:val="single" w:color="000000" w:sz="4" w:space="0"/>
            </w:tcBorders>
            <w:shd w:val="clear" w:color="auto" w:fill="auto"/>
            <w:tcMar>
              <w:top w:w="0" w:type="dxa"/>
              <w:left w:w="108" w:type="dxa"/>
              <w:bottom w:w="0" w:type="dxa"/>
              <w:right w:w="108" w:type="dxa"/>
            </w:tcMar>
            <w:vAlign w:val="center"/>
          </w:tcPr>
          <w:p w14:paraId="321F904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企业2021年1月1日至今：</w:t>
            </w:r>
          </w:p>
          <w:p w14:paraId="750520B5">
            <w:pPr>
              <w:keepNext w:val="0"/>
              <w:keepLines w:val="0"/>
              <w:widowControl/>
              <w:suppressLineNumbers w:val="0"/>
              <w:jc w:val="left"/>
              <w:rPr>
                <w:rFonts w:hint="eastAsia" w:asciiTheme="majorEastAsia" w:hAnsiTheme="majorEastAsia" w:eastAsiaTheme="majorEastAsia" w:cstheme="majorEastAsia"/>
                <w:color w:val="auto"/>
                <w:kern w:val="0"/>
                <w:sz w:val="24"/>
                <w:szCs w:val="24"/>
                <w:highlight w:val="none"/>
                <w:lang w:val="en-US" w:eastAsia="zh-CN" w:bidi="ar"/>
              </w:rPr>
            </w:pPr>
            <w:r>
              <w:rPr>
                <w:rFonts w:hint="eastAsia" w:asciiTheme="majorEastAsia" w:hAnsiTheme="majorEastAsia" w:eastAsiaTheme="majorEastAsia" w:cstheme="majorEastAsia"/>
                <w:color w:val="auto"/>
                <w:kern w:val="0"/>
                <w:sz w:val="24"/>
                <w:szCs w:val="24"/>
                <w:highlight w:val="none"/>
                <w:lang w:val="en-US" w:eastAsia="zh-CN" w:bidi="ar"/>
              </w:rPr>
              <w:t>投标人获得地级市（或以上）优秀工程监理企业的，得</w:t>
            </w:r>
            <w:r>
              <w:rPr>
                <w:rFonts w:hint="eastAsia" w:asciiTheme="majorEastAsia" w:hAnsiTheme="majorEastAsia" w:eastAsiaTheme="majorEastAsia" w:cstheme="majorEastAsia"/>
                <w:color w:val="auto"/>
                <w:kern w:val="0"/>
                <w:sz w:val="24"/>
                <w:szCs w:val="24"/>
                <w:highlight w:val="none"/>
                <w:u w:val="single"/>
                <w:lang w:val="en-US" w:eastAsia="zh-CN" w:bidi="ar"/>
              </w:rPr>
              <w:t xml:space="preserve"> 4</w:t>
            </w:r>
            <w:r>
              <w:rPr>
                <w:rFonts w:hint="eastAsia" w:asciiTheme="majorEastAsia" w:hAnsiTheme="majorEastAsia" w:eastAsiaTheme="majorEastAsia" w:cstheme="majorEastAsia"/>
                <w:color w:val="auto"/>
                <w:kern w:val="0"/>
                <w:sz w:val="24"/>
                <w:szCs w:val="24"/>
                <w:highlight w:val="none"/>
                <w:lang w:val="en-US" w:eastAsia="zh-CN" w:bidi="ar"/>
              </w:rPr>
              <w:t>分。</w:t>
            </w:r>
            <w:r>
              <w:rPr>
                <w:rFonts w:hint="eastAsia" w:asciiTheme="majorEastAsia" w:hAnsiTheme="majorEastAsia" w:eastAsiaTheme="majorEastAsia" w:cstheme="majorEastAsia"/>
                <w:b/>
                <w:bCs/>
                <w:color w:val="auto"/>
                <w:kern w:val="0"/>
                <w:sz w:val="24"/>
                <w:szCs w:val="24"/>
                <w:highlight w:val="none"/>
                <w:lang w:val="en-US" w:eastAsia="zh-CN" w:bidi="ar"/>
              </w:rPr>
              <w:t>本分项最高得</w:t>
            </w:r>
            <w:r>
              <w:rPr>
                <w:rFonts w:hint="eastAsia" w:asciiTheme="majorEastAsia" w:hAnsiTheme="majorEastAsia" w:eastAsiaTheme="majorEastAsia" w:cstheme="majorEastAsia"/>
                <w:b/>
                <w:bCs/>
                <w:color w:val="auto"/>
                <w:kern w:val="0"/>
                <w:sz w:val="24"/>
                <w:szCs w:val="24"/>
                <w:highlight w:val="none"/>
                <w:u w:val="single"/>
                <w:lang w:val="en-US" w:eastAsia="zh-CN" w:bidi="ar"/>
              </w:rPr>
              <w:t>4</w:t>
            </w:r>
            <w:r>
              <w:rPr>
                <w:rFonts w:hint="eastAsia" w:asciiTheme="majorEastAsia" w:hAnsiTheme="majorEastAsia" w:eastAsiaTheme="majorEastAsia" w:cstheme="majorEastAsia"/>
                <w:b/>
                <w:bCs/>
                <w:color w:val="auto"/>
                <w:kern w:val="0"/>
                <w:sz w:val="24"/>
                <w:szCs w:val="24"/>
                <w:highlight w:val="none"/>
                <w:lang w:val="en-US" w:eastAsia="zh-CN" w:bidi="ar"/>
              </w:rPr>
              <w:t>分</w:t>
            </w:r>
            <w:r>
              <w:rPr>
                <w:rFonts w:hint="eastAsia" w:asciiTheme="majorEastAsia" w:hAnsiTheme="majorEastAsia" w:eastAsiaTheme="majorEastAsia" w:cstheme="majorEastAsia"/>
                <w:color w:val="auto"/>
                <w:kern w:val="0"/>
                <w:sz w:val="24"/>
                <w:szCs w:val="24"/>
                <w:highlight w:val="none"/>
                <w:lang w:val="en-US" w:eastAsia="zh-CN" w:bidi="ar"/>
              </w:rPr>
              <w:t>。</w:t>
            </w:r>
          </w:p>
          <w:p w14:paraId="7DE8F5E7">
            <w:pPr>
              <w:keepNext w:val="0"/>
              <w:keepLines w:val="0"/>
              <w:widowControl/>
              <w:suppressLineNumbers w:val="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lang w:val="en-US" w:eastAsia="zh-CN" w:bidi="ar"/>
              </w:rPr>
              <w:t>注：优秀工程监理企业指地级市（或以上）的“优秀工程监理企业”或“优秀监理企业”或“先进工程监理企业”或“监理企业先进单位”或“监理企业量化评价先进企业”等，获奖时间以获奖证书颁发时间为准。</w:t>
            </w:r>
          </w:p>
          <w:p w14:paraId="319D9CB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Theme="majorEastAsia" w:hAnsiTheme="majorEastAsia" w:eastAsiaTheme="majorEastAsia" w:cstheme="majorEastAsia"/>
                <w:color w:val="auto"/>
                <w:kern w:val="2"/>
                <w:sz w:val="24"/>
                <w:szCs w:val="24"/>
                <w:highlight w:val="none"/>
                <w:lang w:val="en-US" w:eastAsia="zh-CN" w:bidi="ar-SA"/>
              </w:rPr>
            </w:pPr>
          </w:p>
        </w:tc>
        <w:tc>
          <w:tcPr>
            <w:tcW w:w="4101" w:type="dxa"/>
            <w:tcBorders>
              <w:top w:val="single" w:color="000000" w:sz="4" w:space="0"/>
              <w:left w:val="single" w:color="000000" w:sz="4" w:space="0"/>
              <w:bottom w:val="single" w:color="auto" w:sz="4" w:space="0"/>
              <w:right w:val="single" w:color="000000" w:sz="4" w:space="0"/>
            </w:tcBorders>
            <w:shd w:val="clear" w:color="auto" w:fill="auto"/>
            <w:tcMar>
              <w:top w:w="0" w:type="dxa"/>
              <w:left w:w="108" w:type="dxa"/>
              <w:bottom w:w="0" w:type="dxa"/>
              <w:right w:w="108" w:type="dxa"/>
            </w:tcMar>
            <w:vAlign w:val="center"/>
          </w:tcPr>
          <w:p w14:paraId="1165E0E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Theme="majorEastAsia" w:hAnsiTheme="majorEastAsia" w:eastAsiaTheme="majorEastAsia" w:cstheme="majorEastAsia"/>
                <w:color w:val="auto"/>
                <w:kern w:val="2"/>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须</w:t>
            </w:r>
            <w:r>
              <w:rPr>
                <w:rFonts w:hint="eastAsia" w:asciiTheme="majorEastAsia" w:hAnsiTheme="majorEastAsia" w:eastAsiaTheme="majorEastAsia" w:cstheme="majorEastAsia"/>
                <w:color w:val="auto"/>
                <w:kern w:val="0"/>
                <w:sz w:val="24"/>
                <w:szCs w:val="24"/>
                <w:highlight w:val="none"/>
                <w:lang w:val="en-US" w:eastAsia="zh-CN"/>
              </w:rPr>
              <w:t>需提供相关证书或奖项彩色扫描件</w:t>
            </w:r>
            <w:r>
              <w:rPr>
                <w:rFonts w:hint="eastAsia" w:asciiTheme="majorEastAsia" w:hAnsiTheme="majorEastAsia" w:eastAsiaTheme="majorEastAsia" w:cstheme="majorEastAsia"/>
                <w:color w:val="auto"/>
                <w:sz w:val="24"/>
                <w:szCs w:val="24"/>
                <w:highlight w:val="none"/>
                <w:lang w:val="en-US" w:eastAsia="zh-CN"/>
              </w:rPr>
              <w:t>。</w:t>
            </w:r>
          </w:p>
        </w:tc>
      </w:tr>
      <w:tr w14:paraId="08AB84E3">
        <w:tblPrEx>
          <w:tblCellMar>
            <w:top w:w="0" w:type="dxa"/>
            <w:left w:w="10" w:type="dxa"/>
            <w:bottom w:w="0" w:type="dxa"/>
            <w:right w:w="10" w:type="dxa"/>
          </w:tblCellMar>
        </w:tblPrEx>
        <w:trPr>
          <w:trHeight w:val="1646" w:hRule="atLeast"/>
          <w:jc w:val="center"/>
        </w:trPr>
        <w:tc>
          <w:tcPr>
            <w:tcW w:w="1222" w:type="dxa"/>
            <w:tcBorders>
              <w:top w:val="single" w:color="000000" w:sz="4" w:space="0"/>
              <w:left w:val="single" w:color="000000" w:sz="4" w:space="0"/>
              <w:bottom w:val="single" w:color="auto" w:sz="4" w:space="0"/>
              <w:right w:val="single" w:color="000000" w:sz="4" w:space="0"/>
            </w:tcBorders>
            <w:shd w:val="clear" w:color="auto" w:fill="auto"/>
            <w:tcMar>
              <w:top w:w="0" w:type="dxa"/>
              <w:left w:w="108" w:type="dxa"/>
              <w:bottom w:w="0" w:type="dxa"/>
              <w:right w:w="108" w:type="dxa"/>
            </w:tcMar>
            <w:vAlign w:val="center"/>
          </w:tcPr>
          <w:p w14:paraId="31DD6D10">
            <w:pPr>
              <w:pStyle w:val="17"/>
              <w:keepNext w:val="0"/>
              <w:keepLines w:val="0"/>
              <w:pageBreakBefore w:val="0"/>
              <w:kinsoku/>
              <w:overflowPunct/>
              <w:topLinePunct w:val="0"/>
              <w:autoSpaceDE/>
              <w:autoSpaceDN/>
              <w:bidi w:val="0"/>
              <w:spacing w:beforeAutospacing="0" w:afterAutospacing="0" w:line="360" w:lineRule="exact"/>
              <w:jc w:val="center"/>
              <w:textAlignment w:val="auto"/>
              <w:rPr>
                <w:rFonts w:hint="eastAsia" w:asciiTheme="majorEastAsia" w:hAnsiTheme="majorEastAsia" w:eastAsiaTheme="majorEastAsia" w:cstheme="majorEastAsia"/>
                <w:b/>
                <w:bCs/>
                <w:strike w:val="0"/>
                <w:dstrike w:val="0"/>
                <w:snapToGrid w:val="0"/>
                <w:color w:val="auto"/>
                <w:kern w:val="0"/>
                <w:sz w:val="24"/>
                <w:szCs w:val="24"/>
                <w:highlight w:val="none"/>
                <w:u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企业创新能力（</w:t>
            </w:r>
            <w:r>
              <w:rPr>
                <w:rFonts w:hint="eastAsia" w:asciiTheme="majorEastAsia" w:hAnsiTheme="majorEastAsia" w:eastAsiaTheme="majorEastAsia" w:cstheme="majorEastAsia"/>
                <w:b/>
                <w:bCs/>
                <w:color w:val="auto"/>
                <w:sz w:val="24"/>
                <w:szCs w:val="24"/>
                <w:highlight w:val="none"/>
                <w:lang w:val="en-US" w:eastAsia="zh-CN"/>
              </w:rPr>
              <w:t>5分）</w:t>
            </w:r>
          </w:p>
        </w:tc>
        <w:tc>
          <w:tcPr>
            <w:tcW w:w="4476" w:type="dxa"/>
            <w:tcBorders>
              <w:top w:val="single" w:color="000000" w:sz="4" w:space="0"/>
              <w:left w:val="single" w:color="000000" w:sz="4" w:space="0"/>
              <w:bottom w:val="single" w:color="auto" w:sz="4" w:space="0"/>
              <w:right w:val="single" w:color="000000" w:sz="4" w:space="0"/>
            </w:tcBorders>
            <w:shd w:val="clear" w:color="auto" w:fill="auto"/>
            <w:tcMar>
              <w:top w:w="0" w:type="dxa"/>
              <w:left w:w="108" w:type="dxa"/>
              <w:bottom w:w="0" w:type="dxa"/>
              <w:right w:w="108" w:type="dxa"/>
            </w:tcMar>
            <w:vAlign w:val="center"/>
          </w:tcPr>
          <w:p w14:paraId="496471B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Theme="majorEastAsia" w:hAnsiTheme="majorEastAsia" w:eastAsiaTheme="majorEastAsia" w:cstheme="majorEastAsia"/>
                <w:color w:val="auto"/>
                <w:kern w:val="2"/>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企业2021年1月1日至今获得过省级或以上工程类科学技术奖的得5分。</w:t>
            </w:r>
            <w:r>
              <w:rPr>
                <w:rFonts w:hint="eastAsia" w:asciiTheme="majorEastAsia" w:hAnsiTheme="majorEastAsia" w:eastAsiaTheme="majorEastAsia" w:cstheme="majorEastAsia"/>
                <w:b/>
                <w:bCs/>
                <w:color w:val="auto"/>
                <w:kern w:val="2"/>
                <w:sz w:val="24"/>
                <w:szCs w:val="24"/>
                <w:highlight w:val="none"/>
                <w:lang w:val="en-US" w:eastAsia="zh-CN" w:bidi="ar-SA"/>
              </w:rPr>
              <w:t>本项最高得</w:t>
            </w:r>
            <w:r>
              <w:rPr>
                <w:rFonts w:hint="eastAsia" w:asciiTheme="majorEastAsia" w:hAnsiTheme="majorEastAsia" w:eastAsiaTheme="majorEastAsia" w:cstheme="majorEastAsia"/>
                <w:b/>
                <w:bCs/>
                <w:color w:val="auto"/>
                <w:kern w:val="2"/>
                <w:sz w:val="24"/>
                <w:szCs w:val="24"/>
                <w:highlight w:val="none"/>
                <w:u w:val="single"/>
                <w:lang w:val="en-US" w:eastAsia="zh-CN" w:bidi="ar-SA"/>
              </w:rPr>
              <w:t>5</w:t>
            </w:r>
            <w:r>
              <w:rPr>
                <w:rFonts w:hint="eastAsia" w:asciiTheme="majorEastAsia" w:hAnsiTheme="majorEastAsia" w:eastAsiaTheme="majorEastAsia" w:cstheme="majorEastAsia"/>
                <w:b/>
                <w:bCs/>
                <w:color w:val="auto"/>
                <w:kern w:val="2"/>
                <w:sz w:val="24"/>
                <w:szCs w:val="24"/>
                <w:highlight w:val="none"/>
                <w:lang w:val="en-US" w:eastAsia="zh-CN" w:bidi="ar-SA"/>
              </w:rPr>
              <w:t>分。</w:t>
            </w:r>
          </w:p>
        </w:tc>
        <w:tc>
          <w:tcPr>
            <w:tcW w:w="4101" w:type="dxa"/>
            <w:tcBorders>
              <w:top w:val="single" w:color="000000" w:sz="4" w:space="0"/>
              <w:left w:val="single" w:color="000000" w:sz="4" w:space="0"/>
              <w:bottom w:val="single" w:color="auto" w:sz="4" w:space="0"/>
              <w:right w:val="single" w:color="000000" w:sz="4" w:space="0"/>
            </w:tcBorders>
            <w:shd w:val="clear" w:color="auto" w:fill="auto"/>
            <w:tcMar>
              <w:top w:w="0" w:type="dxa"/>
              <w:left w:w="108" w:type="dxa"/>
              <w:bottom w:w="0" w:type="dxa"/>
              <w:right w:w="108" w:type="dxa"/>
            </w:tcMar>
            <w:vAlign w:val="center"/>
          </w:tcPr>
          <w:p w14:paraId="1947B28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Theme="majorEastAsia" w:hAnsiTheme="majorEastAsia" w:eastAsiaTheme="majorEastAsia" w:cstheme="majorEastAsia"/>
                <w:color w:val="auto"/>
                <w:kern w:val="2"/>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须</w:t>
            </w:r>
            <w:r>
              <w:rPr>
                <w:rFonts w:hint="eastAsia" w:asciiTheme="majorEastAsia" w:hAnsiTheme="majorEastAsia" w:eastAsiaTheme="majorEastAsia" w:cstheme="majorEastAsia"/>
                <w:color w:val="auto"/>
                <w:kern w:val="0"/>
                <w:sz w:val="24"/>
                <w:szCs w:val="24"/>
                <w:highlight w:val="none"/>
                <w:lang w:val="en-US" w:eastAsia="zh-CN"/>
              </w:rPr>
              <w:t>需提供相关证书或奖项彩色扫描件</w:t>
            </w:r>
            <w:r>
              <w:rPr>
                <w:rFonts w:hint="eastAsia" w:asciiTheme="majorEastAsia" w:hAnsiTheme="majorEastAsia" w:eastAsiaTheme="majorEastAsia" w:cstheme="majorEastAsia"/>
                <w:color w:val="auto"/>
                <w:sz w:val="24"/>
                <w:szCs w:val="24"/>
                <w:highlight w:val="none"/>
                <w:lang w:val="en-US" w:eastAsia="zh-CN"/>
              </w:rPr>
              <w:t>。</w:t>
            </w:r>
          </w:p>
        </w:tc>
      </w:tr>
      <w:tr w14:paraId="722DACD3">
        <w:tblPrEx>
          <w:tblCellMar>
            <w:top w:w="0" w:type="dxa"/>
            <w:left w:w="10" w:type="dxa"/>
            <w:bottom w:w="0" w:type="dxa"/>
            <w:right w:w="10" w:type="dxa"/>
          </w:tblCellMar>
        </w:tblPrEx>
        <w:trPr>
          <w:trHeight w:val="2523" w:hRule="atLeast"/>
          <w:jc w:val="center"/>
        </w:trPr>
        <w:tc>
          <w:tcPr>
            <w:tcW w:w="1222" w:type="dxa"/>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14:paraId="649724D0">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Theme="majorEastAsia" w:hAnsiTheme="majorEastAsia" w:eastAsiaTheme="majorEastAsia" w:cstheme="majorEastAsia"/>
                <w:b w:val="0"/>
                <w:bCs w:val="0"/>
                <w:strike w:val="0"/>
                <w:dstrike w:val="0"/>
                <w:snapToGrid w:val="0"/>
                <w:color w:val="auto"/>
                <w:kern w:val="0"/>
                <w:sz w:val="24"/>
                <w:szCs w:val="24"/>
                <w:highlight w:val="none"/>
                <w:u w:val="none"/>
                <w:lang w:val="en-US" w:eastAsia="zh-CN" w:bidi="ar-SA"/>
              </w:rPr>
            </w:pPr>
            <w:r>
              <w:rPr>
                <w:rFonts w:hint="eastAsia" w:asciiTheme="majorEastAsia" w:hAnsiTheme="majorEastAsia" w:eastAsiaTheme="majorEastAsia" w:cstheme="majorEastAsia"/>
                <w:b w:val="0"/>
                <w:bCs w:val="0"/>
                <w:strike w:val="0"/>
                <w:dstrike w:val="0"/>
                <w:snapToGrid w:val="0"/>
                <w:color w:val="auto"/>
                <w:kern w:val="0"/>
                <w:sz w:val="24"/>
                <w:szCs w:val="24"/>
                <w:highlight w:val="none"/>
                <w:u w:val="none"/>
                <w:lang w:val="en-US" w:eastAsia="zh-CN" w:bidi="ar-SA"/>
              </w:rPr>
              <w:t>项目监理机构其他人员</w:t>
            </w:r>
          </w:p>
          <w:p w14:paraId="41110619">
            <w:pPr>
              <w:pStyle w:val="9"/>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b/>
                <w:bCs/>
                <w:strike w:val="0"/>
                <w:dstrike w:val="0"/>
                <w:snapToGrid w:val="0"/>
                <w:color w:val="auto"/>
                <w:kern w:val="0"/>
                <w:sz w:val="24"/>
                <w:szCs w:val="24"/>
                <w:highlight w:val="none"/>
                <w:u w:val="none"/>
                <w:lang w:val="en-US" w:eastAsia="zh-CN" w:bidi="ar-SA"/>
              </w:rPr>
              <w:t>（15分）</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29AC04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pPr>
            <w:r>
              <w:rPr>
                <w:rFonts w:hint="eastAsia" w:asciiTheme="majorEastAsia" w:hAnsiTheme="majorEastAsia" w:eastAsiaTheme="majorEastAsia" w:cstheme="majorEastAsia"/>
                <w:snapToGrid w:val="0"/>
                <w:color w:val="auto"/>
                <w:kern w:val="0"/>
                <w:sz w:val="24"/>
                <w:szCs w:val="24"/>
                <w:highlight w:val="none"/>
                <w:lang w:val="en-US" w:eastAsia="zh-CN"/>
              </w:rPr>
              <w:t>1.</w:t>
            </w:r>
            <w:r>
              <w:rPr>
                <w:rFonts w:hint="eastAsia" w:asciiTheme="majorEastAsia" w:hAnsiTheme="majorEastAsia" w:eastAsiaTheme="majorEastAsia" w:cstheme="majorEastAsia"/>
                <w:snapToGrid w:val="0"/>
                <w:color w:val="auto"/>
                <w:kern w:val="0"/>
                <w:sz w:val="24"/>
                <w:szCs w:val="24"/>
                <w:highlight w:val="none"/>
              </w:rPr>
              <w:t>其他拟派人员</w:t>
            </w:r>
            <w:r>
              <w:rPr>
                <w:rFonts w:hint="eastAsia" w:asciiTheme="majorEastAsia" w:hAnsiTheme="majorEastAsia" w:eastAsiaTheme="majorEastAsia" w:cstheme="majorEastAsia"/>
                <w:snapToGrid w:val="0"/>
                <w:color w:val="auto"/>
                <w:kern w:val="0"/>
                <w:sz w:val="24"/>
                <w:szCs w:val="24"/>
                <w:highlight w:val="none"/>
                <w:lang w:eastAsia="zh-CN"/>
              </w:rPr>
              <w:t>的</w:t>
            </w:r>
            <w:r>
              <w:rPr>
                <w:rFonts w:hint="eastAsia" w:asciiTheme="majorEastAsia" w:hAnsiTheme="majorEastAsia" w:eastAsiaTheme="majorEastAsia" w:cstheme="majorEastAsia"/>
                <w:b w:val="0"/>
                <w:bCs w:val="0"/>
                <w:caps w:val="0"/>
                <w:smallCaps w:val="0"/>
                <w:snapToGrid w:val="0"/>
                <w:color w:val="auto"/>
                <w:spacing w:val="0"/>
                <w:kern w:val="0"/>
                <w:sz w:val="24"/>
                <w:szCs w:val="24"/>
                <w:highlight w:val="none"/>
                <w:u w:val="none"/>
                <w:lang w:val="en-US" w:eastAsia="zh-CN" w:bidi="ar-SA"/>
              </w:rPr>
              <w:t>数量和专业完全满足表2《项目监理机构其他人员需求表》（以下简称《需求表》）要求的得5分。</w:t>
            </w:r>
          </w:p>
          <w:p w14:paraId="4B60C074">
            <w:pPr>
              <w:pStyle w:val="8"/>
              <w:keepNext w:val="0"/>
              <w:keepLines w:val="0"/>
              <w:pageBreakBefore w:val="0"/>
              <w:kinsoku/>
              <w:overflowPunct/>
              <w:topLinePunct w:val="0"/>
              <w:autoSpaceDE/>
              <w:autoSpaceDN/>
              <w:bidi w:val="0"/>
              <w:spacing w:line="400" w:lineRule="exact"/>
              <w:rPr>
                <w:rFonts w:hint="eastAsia" w:asciiTheme="majorEastAsia" w:hAnsiTheme="majorEastAsia" w:eastAsiaTheme="majorEastAsia" w:cstheme="majorEastAsia"/>
                <w:b/>
                <w:bCs/>
                <w:color w:val="auto"/>
                <w:spacing w:val="3"/>
                <w:sz w:val="24"/>
                <w:szCs w:val="24"/>
                <w:highlight w:val="none"/>
                <w:lang w:val="en-US" w:eastAsia="zh-CN"/>
              </w:rPr>
            </w:pPr>
            <w:r>
              <w:rPr>
                <w:rFonts w:hint="eastAsia" w:asciiTheme="majorEastAsia" w:hAnsiTheme="majorEastAsia" w:eastAsiaTheme="majorEastAsia" w:cstheme="majorEastAsia"/>
                <w:b/>
                <w:bCs/>
                <w:color w:val="auto"/>
                <w:sz w:val="24"/>
                <w:szCs w:val="24"/>
                <w:highlight w:val="none"/>
                <w:lang w:val="en-US" w:eastAsia="zh-CN"/>
              </w:rPr>
              <w:t>注：</w:t>
            </w:r>
            <w:r>
              <w:rPr>
                <w:rFonts w:hint="eastAsia" w:asciiTheme="majorEastAsia" w:hAnsiTheme="majorEastAsia" w:eastAsiaTheme="majorEastAsia" w:cstheme="majorEastAsia"/>
                <w:b/>
                <w:bCs/>
                <w:color w:val="auto"/>
                <w:sz w:val="24"/>
                <w:szCs w:val="24"/>
                <w:highlight w:val="none"/>
                <w:lang w:eastAsia="zh-CN"/>
              </w:rPr>
              <w:t>本小项最高</w:t>
            </w:r>
            <w:r>
              <w:rPr>
                <w:rFonts w:hint="eastAsia" w:asciiTheme="majorEastAsia" w:hAnsiTheme="majorEastAsia" w:eastAsiaTheme="majorEastAsia" w:cstheme="majorEastAsia"/>
                <w:b/>
                <w:bCs/>
                <w:color w:val="auto"/>
                <w:sz w:val="24"/>
                <w:szCs w:val="24"/>
                <w:highlight w:val="none"/>
                <w:lang w:val="en-US" w:eastAsia="zh-CN"/>
              </w:rPr>
              <w:t>得5</w:t>
            </w:r>
            <w:r>
              <w:rPr>
                <w:rFonts w:hint="eastAsia" w:asciiTheme="majorEastAsia" w:hAnsiTheme="majorEastAsia" w:eastAsiaTheme="majorEastAsia" w:cstheme="majorEastAsia"/>
                <w:b/>
                <w:bCs/>
                <w:color w:val="auto"/>
                <w:sz w:val="24"/>
                <w:szCs w:val="24"/>
                <w:highlight w:val="none"/>
                <w:lang w:eastAsia="zh-CN"/>
              </w:rPr>
              <w:t>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17BC3A7">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1.须提供相关证书彩色扫描件（</w:t>
            </w:r>
            <w:r>
              <w:rPr>
                <w:rFonts w:hint="eastAsia" w:asciiTheme="majorEastAsia" w:hAnsiTheme="majorEastAsia" w:eastAsiaTheme="majorEastAsia" w:cstheme="majorEastAsia"/>
                <w:color w:val="auto"/>
                <w:sz w:val="24"/>
                <w:szCs w:val="24"/>
                <w:highlight w:val="none"/>
                <w:lang w:eastAsia="zh-CN"/>
              </w:rPr>
              <w:t>或电子证书）</w:t>
            </w:r>
            <w:r>
              <w:rPr>
                <w:rFonts w:hint="eastAsia" w:asciiTheme="majorEastAsia" w:hAnsiTheme="majorEastAsia" w:eastAsiaTheme="majorEastAsia" w:cstheme="majorEastAsia"/>
                <w:color w:val="auto"/>
                <w:sz w:val="24"/>
                <w:szCs w:val="24"/>
                <w:highlight w:val="none"/>
                <w:lang w:val="en-US" w:eastAsia="zh-CN"/>
              </w:rPr>
              <w:t>。</w:t>
            </w:r>
          </w:p>
          <w:p w14:paraId="1B518024">
            <w:pPr>
              <w:pStyle w:val="9"/>
              <w:keepNext w:val="0"/>
              <w:keepLines w:val="0"/>
              <w:pageBreakBefore w:val="0"/>
              <w:widowControl w:val="0"/>
              <w:kinsoku/>
              <w:wordWrap w:val="0"/>
              <w:overflowPunct/>
              <w:topLinePunct w:val="0"/>
              <w:autoSpaceDE/>
              <w:autoSpaceDN/>
              <w:bidi w:val="0"/>
              <w:adjustRightInd w:val="0"/>
              <w:snapToGrid w:val="0"/>
              <w:spacing w:after="0" w:line="400" w:lineRule="exact"/>
              <w:ind w:left="0" w:leftChars="0" w:right="0" w:rightChars="0" w:firstLine="0" w:firstLineChars="0"/>
              <w:jc w:val="both"/>
              <w:textAlignment w:val="auto"/>
              <w:outlineLvl w:val="9"/>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2.其他拟派人员的数量或专业不满足《需求表》要求的，均视为“不符合要求”。</w:t>
            </w:r>
          </w:p>
        </w:tc>
      </w:tr>
      <w:tr w14:paraId="2C7A168C">
        <w:tblPrEx>
          <w:tblCellMar>
            <w:top w:w="0" w:type="dxa"/>
            <w:left w:w="10" w:type="dxa"/>
            <w:bottom w:w="0" w:type="dxa"/>
            <w:right w:w="10" w:type="dxa"/>
          </w:tblCellMar>
        </w:tblPrEx>
        <w:trPr>
          <w:trHeight w:val="1891" w:hRule="atLeast"/>
          <w:jc w:val="center"/>
        </w:trPr>
        <w:tc>
          <w:tcPr>
            <w:tcW w:w="1222" w:type="dxa"/>
            <w:vMerge w:val="continue"/>
            <w:tcBorders>
              <w:left w:val="single" w:color="auto" w:sz="4" w:space="0"/>
              <w:right w:val="single" w:color="auto" w:sz="4" w:space="0"/>
            </w:tcBorders>
            <w:tcMar>
              <w:top w:w="0" w:type="dxa"/>
              <w:left w:w="108" w:type="dxa"/>
              <w:bottom w:w="0" w:type="dxa"/>
              <w:right w:w="108" w:type="dxa"/>
            </w:tcMar>
            <w:vAlign w:val="center"/>
          </w:tcPr>
          <w:p w14:paraId="48FC7A1C">
            <w:pPr>
              <w:pStyle w:val="9"/>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ajorEastAsia" w:hAnsiTheme="majorEastAsia" w:eastAsiaTheme="majorEastAsia" w:cstheme="majorEastAsia"/>
                <w:color w:val="auto"/>
                <w:sz w:val="24"/>
                <w:szCs w:val="24"/>
                <w:highlight w:val="none"/>
                <w:lang w:val="en-US" w:eastAsia="zh-CN"/>
              </w:rPr>
            </w:pP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A1835ED">
            <w:pPr>
              <w:keepNext w:val="0"/>
              <w:keepLines w:val="0"/>
              <w:pageBreakBefore w:val="0"/>
              <w:kinsoku/>
              <w:wordWrap w:val="0"/>
              <w:overflowPunct/>
              <w:topLinePunct w:val="0"/>
              <w:autoSpaceDE/>
              <w:autoSpaceDN/>
              <w:bidi w:val="0"/>
              <w:adjustRightInd w:val="0"/>
              <w:snapToGrid w:val="0"/>
              <w:spacing w:line="400" w:lineRule="exact"/>
              <w:rPr>
                <w:rFonts w:hint="eastAsia" w:asciiTheme="majorEastAsia" w:hAnsiTheme="majorEastAsia" w:eastAsiaTheme="majorEastAsia" w:cstheme="majorEastAsia"/>
                <w:b/>
                <w:bCs/>
                <w:color w:val="auto"/>
                <w:spacing w:val="3"/>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2.其他拟派人员中，近5年来（2021年1月1日至今）获得各级建设监理协会颁发的“优秀（总）监理工程师”的，得</w:t>
            </w:r>
            <w:r>
              <w:rPr>
                <w:rFonts w:hint="eastAsia" w:asciiTheme="majorEastAsia" w:hAnsiTheme="majorEastAsia" w:eastAsiaTheme="majorEastAsia" w:cstheme="majorEastAsia"/>
                <w:b w:val="0"/>
                <w:bCs w:val="0"/>
                <w:color w:val="auto"/>
                <w:sz w:val="24"/>
                <w:szCs w:val="24"/>
                <w:highlight w:val="none"/>
                <w:u w:val="single"/>
                <w:lang w:val="en-US" w:eastAsia="zh-CN"/>
              </w:rPr>
              <w:t>5</w:t>
            </w:r>
            <w:r>
              <w:rPr>
                <w:rFonts w:hint="eastAsia" w:asciiTheme="majorEastAsia" w:hAnsiTheme="majorEastAsia" w:eastAsiaTheme="majorEastAsia" w:cstheme="majorEastAsia"/>
                <w:b w:val="0"/>
                <w:bCs w:val="0"/>
                <w:color w:val="auto"/>
                <w:sz w:val="24"/>
                <w:szCs w:val="24"/>
                <w:highlight w:val="none"/>
                <w:lang w:val="en-US" w:eastAsia="zh-CN"/>
              </w:rPr>
              <w:t>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CEA4161">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1.须提供相关证书彩色扫描件。</w:t>
            </w:r>
          </w:p>
          <w:p w14:paraId="7A3EF525">
            <w:pPr>
              <w:keepNext w:val="0"/>
              <w:keepLines w:val="0"/>
              <w:pageBreakBefore w:val="0"/>
              <w:numPr>
                <w:ilvl w:val="0"/>
                <w:numId w:val="0"/>
              </w:numPr>
              <w:kinsoku/>
              <w:wordWrap w:val="0"/>
              <w:overflowPunct/>
              <w:topLinePunct w:val="0"/>
              <w:autoSpaceDE/>
              <w:autoSpaceDN/>
              <w:bidi w:val="0"/>
              <w:adjustRightInd w:val="0"/>
              <w:snapToGrid w:val="0"/>
              <w:spacing w:line="400" w:lineRule="exact"/>
              <w:rPr>
                <w:rFonts w:hint="eastAsia" w:asciiTheme="majorEastAsia" w:hAnsiTheme="majorEastAsia" w:eastAsiaTheme="majorEastAsia" w:cstheme="majorEastAsia"/>
                <w:color w:val="auto"/>
                <w:sz w:val="24"/>
                <w:szCs w:val="24"/>
                <w:highlight w:val="none"/>
                <w:lang w:val="en-US" w:eastAsia="zh-CN"/>
              </w:rPr>
            </w:pPr>
          </w:p>
        </w:tc>
      </w:tr>
      <w:tr w14:paraId="3DAB1F18">
        <w:tblPrEx>
          <w:tblCellMar>
            <w:top w:w="0" w:type="dxa"/>
            <w:left w:w="10" w:type="dxa"/>
            <w:bottom w:w="0" w:type="dxa"/>
            <w:right w:w="10" w:type="dxa"/>
          </w:tblCellMar>
        </w:tblPrEx>
        <w:trPr>
          <w:trHeight w:val="4253" w:hRule="atLeast"/>
          <w:jc w:val="center"/>
        </w:trPr>
        <w:tc>
          <w:tcPr>
            <w:tcW w:w="1222" w:type="dxa"/>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14:paraId="4A2C7686">
            <w:pPr>
              <w:pStyle w:val="9"/>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ajorEastAsia" w:hAnsiTheme="majorEastAsia" w:eastAsiaTheme="majorEastAsia" w:cstheme="majorEastAsia"/>
                <w:color w:val="auto"/>
                <w:sz w:val="24"/>
                <w:szCs w:val="24"/>
                <w:highlight w:val="none"/>
                <w:lang w:val="en-US" w:eastAsia="zh-CN"/>
              </w:rPr>
            </w:pP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480E8A6">
            <w:pPr>
              <w:pStyle w:val="9"/>
              <w:keepNext w:val="0"/>
              <w:keepLines w:val="0"/>
              <w:pageBreakBefore w:val="0"/>
              <w:kinsoku/>
              <w:wordWrap w:val="0"/>
              <w:overflowPunct/>
              <w:topLinePunct w:val="0"/>
              <w:autoSpaceDE/>
              <w:autoSpaceDN/>
              <w:bidi w:val="0"/>
              <w:adjustRightInd w:val="0"/>
              <w:snapToGrid w:val="0"/>
              <w:spacing w:after="0" w:afterLines="0" w:line="360" w:lineRule="auto"/>
              <w:jc w:val="both"/>
              <w:textAlignment w:val="auto"/>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lang w:val="en-US" w:eastAsia="zh-CN"/>
              </w:rPr>
              <w:t>3.</w:t>
            </w:r>
            <w:r>
              <w:rPr>
                <w:rFonts w:hint="eastAsia" w:asciiTheme="majorEastAsia" w:hAnsiTheme="majorEastAsia" w:eastAsiaTheme="majorEastAsia" w:cstheme="majorEastAsia"/>
                <w:snapToGrid w:val="0"/>
                <w:color w:val="auto"/>
                <w:kern w:val="0"/>
                <w:sz w:val="24"/>
                <w:szCs w:val="24"/>
                <w:highlight w:val="none"/>
              </w:rPr>
              <w:t>其他拟派人员中，近年来</w:t>
            </w:r>
            <w:r>
              <w:rPr>
                <w:rFonts w:hint="eastAsia" w:asciiTheme="majorEastAsia" w:hAnsiTheme="majorEastAsia" w:eastAsiaTheme="majorEastAsia" w:cstheme="majorEastAsia"/>
                <w:color w:val="auto"/>
                <w:sz w:val="24"/>
                <w:szCs w:val="24"/>
                <w:highlight w:val="none"/>
              </w:rPr>
              <w:t>（202</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rPr>
              <w:t>年1月1日至今</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snapToGrid w:val="0"/>
                <w:color w:val="auto"/>
                <w:kern w:val="0"/>
                <w:sz w:val="24"/>
                <w:szCs w:val="24"/>
                <w:highlight w:val="none"/>
              </w:rPr>
              <w:t>获得建设监理协会或行业协会颁发的“</w:t>
            </w:r>
            <w:r>
              <w:rPr>
                <w:rFonts w:hint="eastAsia" w:asciiTheme="majorEastAsia" w:hAnsiTheme="majorEastAsia" w:eastAsiaTheme="majorEastAsia" w:cstheme="majorEastAsia"/>
                <w:snapToGrid w:val="0"/>
                <w:color w:val="auto"/>
                <w:kern w:val="0"/>
                <w:sz w:val="24"/>
                <w:szCs w:val="24"/>
                <w:highlight w:val="none"/>
                <w:lang w:val="en-US" w:eastAsia="zh-CN"/>
              </w:rPr>
              <w:t>总监理工程师执业能力与信用评价AAA级</w:t>
            </w:r>
            <w:r>
              <w:rPr>
                <w:rFonts w:hint="eastAsia" w:asciiTheme="majorEastAsia" w:hAnsiTheme="majorEastAsia" w:eastAsiaTheme="majorEastAsia" w:cstheme="majorEastAsia"/>
                <w:snapToGrid w:val="0"/>
                <w:color w:val="auto"/>
                <w:kern w:val="0"/>
                <w:sz w:val="24"/>
                <w:szCs w:val="24"/>
                <w:highlight w:val="none"/>
              </w:rPr>
              <w:t>”奖项</w:t>
            </w:r>
            <w:r>
              <w:rPr>
                <w:rFonts w:hint="eastAsia" w:asciiTheme="majorEastAsia" w:hAnsiTheme="majorEastAsia" w:eastAsiaTheme="majorEastAsia" w:cstheme="majorEastAsia"/>
                <w:snapToGrid w:val="0"/>
                <w:color w:val="auto"/>
                <w:kern w:val="0"/>
                <w:sz w:val="24"/>
                <w:szCs w:val="24"/>
                <w:highlight w:val="none"/>
                <w:lang w:val="en-US" w:eastAsia="zh-CN"/>
              </w:rPr>
              <w:t>的</w:t>
            </w:r>
            <w:r>
              <w:rPr>
                <w:rFonts w:hint="eastAsia" w:asciiTheme="majorEastAsia" w:hAnsiTheme="majorEastAsia" w:eastAsiaTheme="majorEastAsia" w:cstheme="majorEastAsia"/>
                <w:snapToGrid w:val="0"/>
                <w:color w:val="auto"/>
                <w:kern w:val="0"/>
                <w:sz w:val="24"/>
                <w:szCs w:val="24"/>
                <w:highlight w:val="none"/>
              </w:rPr>
              <w:t>得</w:t>
            </w:r>
            <w:r>
              <w:rPr>
                <w:rFonts w:hint="eastAsia" w:asciiTheme="majorEastAsia" w:hAnsiTheme="majorEastAsia" w:eastAsiaTheme="majorEastAsia" w:cstheme="majorEastAsia"/>
                <w:snapToGrid w:val="0"/>
                <w:color w:val="auto"/>
                <w:kern w:val="0"/>
                <w:sz w:val="24"/>
                <w:szCs w:val="24"/>
                <w:highlight w:val="none"/>
                <w:u w:val="single"/>
              </w:rPr>
              <w:t xml:space="preserve"> </w:t>
            </w:r>
            <w:r>
              <w:rPr>
                <w:rFonts w:hint="eastAsia" w:asciiTheme="majorEastAsia" w:hAnsiTheme="majorEastAsia" w:eastAsiaTheme="majorEastAsia" w:cstheme="majorEastAsia"/>
                <w:snapToGrid w:val="0"/>
                <w:color w:val="auto"/>
                <w:kern w:val="0"/>
                <w:sz w:val="24"/>
                <w:szCs w:val="24"/>
                <w:highlight w:val="none"/>
                <w:u w:val="single"/>
                <w:lang w:val="en-US" w:eastAsia="zh-CN"/>
              </w:rPr>
              <w:t>5</w:t>
            </w:r>
            <w:r>
              <w:rPr>
                <w:rFonts w:hint="eastAsia" w:asciiTheme="majorEastAsia" w:hAnsiTheme="majorEastAsia" w:eastAsiaTheme="majorEastAsia" w:cstheme="majorEastAsia"/>
                <w:snapToGrid w:val="0"/>
                <w:color w:val="auto"/>
                <w:kern w:val="0"/>
                <w:sz w:val="24"/>
                <w:szCs w:val="24"/>
                <w:highlight w:val="none"/>
                <w:u w:val="single"/>
              </w:rPr>
              <w:t xml:space="preserve"> </w:t>
            </w:r>
            <w:r>
              <w:rPr>
                <w:rFonts w:hint="eastAsia" w:asciiTheme="majorEastAsia" w:hAnsiTheme="majorEastAsia" w:eastAsiaTheme="majorEastAsia" w:cstheme="majorEastAsia"/>
                <w:snapToGrid w:val="0"/>
                <w:color w:val="auto"/>
                <w:kern w:val="0"/>
                <w:sz w:val="24"/>
                <w:szCs w:val="24"/>
                <w:highlight w:val="none"/>
              </w:rPr>
              <w:t>分</w:t>
            </w:r>
            <w:r>
              <w:rPr>
                <w:rFonts w:hint="eastAsia" w:asciiTheme="majorEastAsia" w:hAnsiTheme="majorEastAsia" w:eastAsiaTheme="majorEastAsia" w:cstheme="majorEastAsia"/>
                <w:snapToGrid w:val="0"/>
                <w:color w:val="auto"/>
                <w:kern w:val="0"/>
                <w:sz w:val="24"/>
                <w:szCs w:val="24"/>
                <w:highlight w:val="none"/>
                <w:lang w:eastAsia="zh-CN"/>
              </w:rPr>
              <w:t>，最高得</w:t>
            </w:r>
            <w:r>
              <w:rPr>
                <w:rFonts w:hint="eastAsia" w:asciiTheme="majorEastAsia" w:hAnsiTheme="majorEastAsia" w:eastAsiaTheme="majorEastAsia" w:cstheme="majorEastAsia"/>
                <w:snapToGrid w:val="0"/>
                <w:color w:val="auto"/>
                <w:kern w:val="0"/>
                <w:sz w:val="24"/>
                <w:szCs w:val="24"/>
                <w:highlight w:val="none"/>
                <w:u w:val="single"/>
                <w:lang w:val="en-US" w:eastAsia="zh-CN"/>
              </w:rPr>
              <w:t>5</w:t>
            </w:r>
            <w:r>
              <w:rPr>
                <w:rFonts w:hint="eastAsia" w:asciiTheme="majorEastAsia" w:hAnsiTheme="majorEastAsia" w:eastAsiaTheme="majorEastAsia" w:cstheme="majorEastAsia"/>
                <w:snapToGrid w:val="0"/>
                <w:color w:val="auto"/>
                <w:kern w:val="0"/>
                <w:sz w:val="24"/>
                <w:szCs w:val="24"/>
                <w:highlight w:val="none"/>
                <w:lang w:val="en-US" w:eastAsia="zh-CN"/>
              </w:rPr>
              <w:t>分。</w:t>
            </w:r>
          </w:p>
          <w:p w14:paraId="5C3AC552">
            <w:pPr>
              <w:keepNext w:val="0"/>
              <w:keepLines w:val="0"/>
              <w:pageBreakBefore w:val="0"/>
              <w:kinsoku/>
              <w:wordWrap w:val="0"/>
              <w:overflowPunct/>
              <w:topLinePunct w:val="0"/>
              <w:autoSpaceDE/>
              <w:autoSpaceDN/>
              <w:bidi w:val="0"/>
              <w:adjustRightInd w:val="0"/>
              <w:snapToGrid w:val="0"/>
              <w:spacing w:line="400" w:lineRule="exact"/>
              <w:rPr>
                <w:rFonts w:hint="eastAsia" w:asciiTheme="majorEastAsia" w:hAnsiTheme="majorEastAsia" w:eastAsiaTheme="majorEastAsia" w:cstheme="majorEastAsia"/>
                <w:b/>
                <w:bCs/>
                <w:color w:val="auto"/>
                <w:spacing w:val="3"/>
                <w:sz w:val="24"/>
                <w:szCs w:val="24"/>
                <w:highlight w:val="none"/>
                <w:lang w:val="en-US" w:eastAsia="zh-CN"/>
              </w:rPr>
            </w:pPr>
            <w:r>
              <w:rPr>
                <w:rFonts w:hint="eastAsia" w:asciiTheme="majorEastAsia" w:hAnsiTheme="majorEastAsia" w:eastAsiaTheme="majorEastAsia" w:cstheme="majorEastAsia"/>
                <w:b/>
                <w:bCs/>
                <w:snapToGrid w:val="0"/>
                <w:color w:val="auto"/>
                <w:kern w:val="0"/>
                <w:sz w:val="24"/>
                <w:szCs w:val="24"/>
                <w:highlight w:val="none"/>
              </w:rPr>
              <w:t>说明： 本项最高得</w:t>
            </w:r>
            <w:r>
              <w:rPr>
                <w:rFonts w:hint="eastAsia" w:asciiTheme="majorEastAsia" w:hAnsiTheme="majorEastAsia" w:eastAsiaTheme="majorEastAsia" w:cstheme="majorEastAsia"/>
                <w:b/>
                <w:bCs/>
                <w:snapToGrid w:val="0"/>
                <w:color w:val="auto"/>
                <w:kern w:val="0"/>
                <w:sz w:val="24"/>
                <w:szCs w:val="24"/>
                <w:highlight w:val="none"/>
                <w:u w:val="single"/>
                <w:lang w:val="en-US" w:eastAsia="zh-CN"/>
              </w:rPr>
              <w:t>5</w:t>
            </w:r>
            <w:r>
              <w:rPr>
                <w:rFonts w:hint="eastAsia" w:asciiTheme="majorEastAsia" w:hAnsiTheme="majorEastAsia" w:eastAsiaTheme="majorEastAsia" w:cstheme="majorEastAsia"/>
                <w:b/>
                <w:bCs/>
                <w:snapToGrid w:val="0"/>
                <w:color w:val="auto"/>
                <w:kern w:val="0"/>
                <w:sz w:val="24"/>
                <w:szCs w:val="24"/>
                <w:highlight w:val="none"/>
              </w:rPr>
              <w:t>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10A965E">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1．需附有关奖项证书</w:t>
            </w:r>
            <w:r>
              <w:rPr>
                <w:rFonts w:hint="eastAsia" w:asciiTheme="majorEastAsia" w:hAnsiTheme="majorEastAsia" w:eastAsiaTheme="majorEastAsia" w:cstheme="majorEastAsia"/>
                <w:color w:val="auto"/>
                <w:sz w:val="24"/>
                <w:szCs w:val="24"/>
                <w:highlight w:val="none"/>
                <w:lang w:val="en-US" w:eastAsia="zh-CN"/>
              </w:rPr>
              <w:t>或获奖文件彩色</w:t>
            </w:r>
            <w:r>
              <w:rPr>
                <w:rFonts w:hint="eastAsia" w:asciiTheme="majorEastAsia" w:hAnsiTheme="majorEastAsia" w:eastAsiaTheme="majorEastAsia" w:cstheme="majorEastAsia"/>
                <w:color w:val="auto"/>
                <w:sz w:val="24"/>
                <w:szCs w:val="24"/>
                <w:highlight w:val="none"/>
              </w:rPr>
              <w:t>扫描件。</w:t>
            </w:r>
          </w:p>
          <w:p w14:paraId="64E725C7">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2．获奖时间以奖项证明的落款日期为准。</w:t>
            </w:r>
          </w:p>
          <w:p w14:paraId="0BFEFDC8">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3．一人多奖的，按最高奖项计分一次。</w:t>
            </w:r>
          </w:p>
          <w:p w14:paraId="540FF147">
            <w:pPr>
              <w:pStyle w:val="9"/>
              <w:wordWrap w:val="0"/>
              <w:adjustRightInd w:val="0"/>
              <w:snapToGrid w:val="0"/>
              <w:spacing w:after="0" w:line="400" w:lineRule="exact"/>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4．奖项</w:t>
            </w:r>
            <w:r>
              <w:rPr>
                <w:rFonts w:hint="eastAsia" w:asciiTheme="majorEastAsia" w:hAnsiTheme="majorEastAsia" w:eastAsiaTheme="majorEastAsia" w:cstheme="majorEastAsia"/>
                <w:color w:val="auto"/>
                <w:sz w:val="24"/>
                <w:szCs w:val="24"/>
                <w:highlight w:val="none"/>
                <w:lang w:val="en-US" w:eastAsia="zh-CN"/>
              </w:rPr>
              <w:t>的</w:t>
            </w:r>
            <w:r>
              <w:rPr>
                <w:rFonts w:hint="eastAsia" w:asciiTheme="majorEastAsia" w:hAnsiTheme="majorEastAsia" w:eastAsiaTheme="majorEastAsia" w:cstheme="majorEastAsia"/>
                <w:color w:val="auto"/>
                <w:sz w:val="24"/>
                <w:szCs w:val="24"/>
                <w:highlight w:val="none"/>
              </w:rPr>
              <w:t>颁发机构、获奖时间不符合</w:t>
            </w:r>
            <w:r>
              <w:rPr>
                <w:rFonts w:hint="eastAsia" w:asciiTheme="majorEastAsia" w:hAnsiTheme="majorEastAsia" w:eastAsiaTheme="majorEastAsia" w:cstheme="majorEastAsia"/>
                <w:color w:val="auto"/>
                <w:sz w:val="24"/>
                <w:szCs w:val="24"/>
                <w:highlight w:val="none"/>
                <w:lang w:eastAsia="zh-CN"/>
              </w:rPr>
              <w:t>要求的，不得分</w:t>
            </w:r>
            <w:r>
              <w:rPr>
                <w:rFonts w:hint="eastAsia" w:asciiTheme="majorEastAsia" w:hAnsiTheme="majorEastAsia" w:eastAsiaTheme="majorEastAsia" w:cstheme="majorEastAsia"/>
                <w:color w:val="auto"/>
                <w:sz w:val="24"/>
                <w:szCs w:val="24"/>
                <w:highlight w:val="none"/>
              </w:rPr>
              <w:t>。</w:t>
            </w:r>
          </w:p>
          <w:p w14:paraId="40BFF116">
            <w:pPr>
              <w:keepNext w:val="0"/>
              <w:keepLines w:val="0"/>
              <w:pageBreakBefore w:val="0"/>
              <w:numPr>
                <w:ilvl w:val="0"/>
                <w:numId w:val="0"/>
              </w:numPr>
              <w:kinsoku/>
              <w:wordWrap w:val="0"/>
              <w:overflowPunct/>
              <w:topLinePunct w:val="0"/>
              <w:autoSpaceDE/>
              <w:autoSpaceDN/>
              <w:bidi w:val="0"/>
              <w:adjustRightInd w:val="0"/>
              <w:snapToGrid w:val="0"/>
              <w:spacing w:line="400" w:lineRule="exac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lang w:val="en-US" w:eastAsia="zh-CN"/>
              </w:rPr>
              <w:t>5.</w:t>
            </w:r>
            <w:r>
              <w:rPr>
                <w:rFonts w:hint="eastAsia" w:asciiTheme="majorEastAsia" w:hAnsiTheme="majorEastAsia" w:eastAsiaTheme="majorEastAsia" w:cstheme="majorEastAsia"/>
                <w:color w:val="auto"/>
                <w:sz w:val="24"/>
                <w:szCs w:val="24"/>
                <w:highlight w:val="none"/>
                <w:lang w:val="en-US" w:eastAsia="zh-CN"/>
              </w:rPr>
              <w:t>如发证单位为</w:t>
            </w:r>
            <w:r>
              <w:rPr>
                <w:rFonts w:hint="eastAsia" w:asciiTheme="majorEastAsia" w:hAnsiTheme="majorEastAsia" w:eastAsiaTheme="majorEastAsia" w:cstheme="majorEastAsia"/>
                <w:snapToGrid w:val="0"/>
                <w:color w:val="auto"/>
                <w:kern w:val="0"/>
                <w:sz w:val="24"/>
                <w:szCs w:val="24"/>
                <w:highlight w:val="none"/>
              </w:rPr>
              <w:t>监理协会或行业协会</w:t>
            </w:r>
            <w:r>
              <w:rPr>
                <w:rFonts w:hint="eastAsia" w:asciiTheme="majorEastAsia" w:hAnsiTheme="majorEastAsia" w:eastAsiaTheme="majorEastAsia" w:cstheme="majorEastAsia"/>
                <w:color w:val="auto"/>
                <w:sz w:val="24"/>
                <w:szCs w:val="24"/>
                <w:highlight w:val="none"/>
                <w:lang w:val="en-US" w:eastAsia="zh-CN"/>
              </w:rPr>
              <w:t>的，还需提供该</w:t>
            </w:r>
            <w:r>
              <w:rPr>
                <w:rFonts w:hint="eastAsia" w:asciiTheme="majorEastAsia" w:hAnsiTheme="majorEastAsia" w:eastAsiaTheme="majorEastAsia" w:cstheme="majorEastAsia"/>
                <w:snapToGrid w:val="0"/>
                <w:color w:val="auto"/>
                <w:kern w:val="0"/>
                <w:sz w:val="24"/>
                <w:szCs w:val="24"/>
                <w:highlight w:val="none"/>
              </w:rPr>
              <w:t>监理协会或行业协会</w:t>
            </w:r>
            <w:r>
              <w:rPr>
                <w:rFonts w:hint="eastAsia" w:asciiTheme="majorEastAsia" w:hAnsiTheme="majorEastAsia" w:eastAsiaTheme="majorEastAsia" w:cstheme="majorEastAsia"/>
                <w:color w:val="auto"/>
                <w:sz w:val="24"/>
                <w:szCs w:val="24"/>
                <w:highlight w:val="none"/>
                <w:lang w:val="en-US" w:eastAsia="zh-CN"/>
              </w:rPr>
              <w:t>在全国社会组织信用信息公司平台的登记信息查询结果截图，否则不得分。</w:t>
            </w:r>
          </w:p>
        </w:tc>
      </w:tr>
      <w:tr w14:paraId="219F48CD">
        <w:tblPrEx>
          <w:tblCellMar>
            <w:top w:w="0" w:type="dxa"/>
            <w:left w:w="10" w:type="dxa"/>
            <w:bottom w:w="0" w:type="dxa"/>
            <w:right w:w="10" w:type="dxa"/>
          </w:tblCellMar>
        </w:tblPrEx>
        <w:trPr>
          <w:trHeight w:val="607" w:hRule="exact"/>
          <w:jc w:val="center"/>
        </w:trPr>
        <w:tc>
          <w:tcPr>
            <w:tcW w:w="9799" w:type="dxa"/>
            <w:gridSpan w:val="3"/>
            <w:tcBorders>
              <w:top w:val="single" w:color="000000" w:sz="4" w:space="0"/>
              <w:left w:val="single" w:color="000000" w:sz="4" w:space="0"/>
              <w:bottom w:val="single" w:color="auto" w:sz="4" w:space="0"/>
              <w:right w:val="single" w:color="000000" w:sz="4" w:space="0"/>
            </w:tcBorders>
            <w:shd w:val="clear" w:color="000000" w:fill="D9D9D9"/>
            <w:tcMar>
              <w:top w:w="0" w:type="dxa"/>
              <w:left w:w="108" w:type="dxa"/>
              <w:bottom w:w="0" w:type="dxa"/>
              <w:right w:w="108" w:type="dxa"/>
            </w:tcMar>
            <w:vAlign w:val="center"/>
          </w:tcPr>
          <w:p w14:paraId="6262D067">
            <w:pPr>
              <w:keepNext w:val="0"/>
              <w:keepLines w:val="0"/>
              <w:pageBreakBefore w:val="0"/>
              <w:kinsoku/>
              <w:overflowPunct/>
              <w:topLinePunct w:val="0"/>
              <w:autoSpaceDE/>
              <w:autoSpaceDN/>
              <w:bidi w:val="0"/>
              <w:spacing w:line="400" w:lineRule="exact"/>
              <w:jc w:val="left"/>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技术部分（监理大纲），满分：</w:t>
            </w:r>
            <w:r>
              <w:rPr>
                <w:rFonts w:hint="eastAsia" w:hAnsi="宋体" w:cs="宋体"/>
                <w:b/>
                <w:bCs/>
                <w:color w:val="000000" w:themeColor="text1"/>
                <w:szCs w:val="24"/>
                <w:highlight w:val="none"/>
                <w:u w:val="single"/>
                <w14:textFill>
                  <w14:solidFill>
                    <w14:schemeClr w14:val="tx1"/>
                  </w14:solidFill>
                </w14:textFill>
              </w:rPr>
              <w:t xml:space="preserve"> </w:t>
            </w:r>
            <w:r>
              <w:rPr>
                <w:rFonts w:hint="eastAsia" w:hAnsi="宋体" w:cs="宋体"/>
                <w:b/>
                <w:bCs/>
                <w:color w:val="000000" w:themeColor="text1"/>
                <w:szCs w:val="24"/>
                <w:highlight w:val="none"/>
                <w:u w:val="single"/>
                <w:lang w:val="en-US" w:eastAsia="zh-CN"/>
                <w14:textFill>
                  <w14:solidFill>
                    <w14:schemeClr w14:val="tx1"/>
                  </w14:solidFill>
                </w14:textFill>
              </w:rPr>
              <w:t>10</w:t>
            </w:r>
            <w:r>
              <w:rPr>
                <w:rFonts w:hint="eastAsia" w:hAnsi="宋体" w:cs="宋体"/>
                <w:b/>
                <w:bCs/>
                <w:color w:val="000000" w:themeColor="text1"/>
                <w:szCs w:val="24"/>
                <w:highlight w:val="none"/>
                <w14:textFill>
                  <w14:solidFill>
                    <w14:schemeClr w14:val="tx1"/>
                  </w14:solidFill>
                </w14:textFill>
              </w:rPr>
              <w:t>分。</w:t>
            </w:r>
          </w:p>
        </w:tc>
      </w:tr>
      <w:tr w14:paraId="7C1B97AB">
        <w:tblPrEx>
          <w:tblCellMar>
            <w:top w:w="0" w:type="dxa"/>
            <w:left w:w="10" w:type="dxa"/>
            <w:bottom w:w="0" w:type="dxa"/>
            <w:right w:w="10" w:type="dxa"/>
          </w:tblCellMar>
        </w:tblPrEx>
        <w:trPr>
          <w:trHeight w:val="539" w:hRule="exac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96D34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评分因素</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26D9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评分标准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4FCA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备注</w:t>
            </w:r>
          </w:p>
        </w:tc>
      </w:tr>
      <w:tr w14:paraId="16050662">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2F780F">
            <w:pPr>
              <w:pStyle w:val="3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监理依据及工作目标</w:t>
            </w:r>
          </w:p>
          <w:p w14:paraId="65FE8E00">
            <w:pPr>
              <w:pStyle w:val="9"/>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分）</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BE9E18">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227F0C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4443B73">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F683F0A">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2F042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要求依据全面、适用；目标清晰、正确；针对性强。</w:t>
            </w:r>
          </w:p>
        </w:tc>
      </w:tr>
      <w:tr w14:paraId="65540F4F">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3A6D2C">
            <w:pPr>
              <w:pStyle w:val="3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工程质量</w:t>
            </w:r>
          </w:p>
          <w:p w14:paraId="5930B850">
            <w:pPr>
              <w:pStyle w:val="3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374D0364">
            <w:pPr>
              <w:pStyle w:val="3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C1A89EE">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DF076F4">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E1ADE4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729CF12">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48A4B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要求目标正确、方法可行、预控和动态管理措施具体、针对性强。脱离本工程实际、机械照搬照抄规范和技术标准的，不能得满分。</w:t>
            </w:r>
          </w:p>
        </w:tc>
      </w:tr>
      <w:tr w14:paraId="49401C17">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9EB7180">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工程进度</w:t>
            </w:r>
          </w:p>
          <w:p w14:paraId="1D666CE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77E77E1D">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2C0BCB">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C6A50D2">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69193BB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5E44EDC">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DCB658">
            <w:pPr>
              <w:pStyle w:val="34"/>
              <w:keepNext w:val="0"/>
              <w:keepLines w:val="0"/>
              <w:pageBreakBefore w:val="0"/>
              <w:kinsoku/>
              <w:overflowPunct/>
              <w:topLinePunct w:val="0"/>
              <w:autoSpaceDE/>
              <w:autoSpaceDN/>
              <w:bidi w:val="0"/>
              <w:spacing w:line="400" w:lineRule="exact"/>
              <w:rPr>
                <w:rFonts w:ascii="宋体" w:hAnsi="宋体" w:eastAsia="宋体" w:cs="宋体"/>
                <w:color w:val="000000" w:themeColor="text1"/>
                <w:sz w:val="24"/>
                <w:szCs w:val="24"/>
                <w:highlight w:val="none"/>
                <w14:textFill>
                  <w14:solidFill>
                    <w14:schemeClr w14:val="tx1"/>
                  </w14:solidFill>
                </w14:textFill>
              </w:rPr>
            </w:pPr>
          </w:p>
        </w:tc>
      </w:tr>
      <w:tr w14:paraId="7EE8DD31">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717F355">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工程造价</w:t>
            </w:r>
          </w:p>
          <w:p w14:paraId="5B4B0C04">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62D2B71A">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4029B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E6859BC">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80A5A0E">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B7AE4C4">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DA1AC78">
            <w:pPr>
              <w:pStyle w:val="34"/>
              <w:keepNext w:val="0"/>
              <w:keepLines w:val="0"/>
              <w:pageBreakBefore w:val="0"/>
              <w:widowControl w:val="0"/>
              <w:kinsoku/>
              <w:wordWrap/>
              <w:overflowPunct/>
              <w:topLinePunct w:val="0"/>
              <w:autoSpaceDE/>
              <w:autoSpaceDN/>
              <w:bidi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p>
        </w:tc>
      </w:tr>
      <w:tr w14:paraId="1CD7E248">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6A879CA">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安全防护</w:t>
            </w:r>
          </w:p>
          <w:p w14:paraId="3FE479F5">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0454C679">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CDBB45C">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C9E61F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D3502A4">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47B670C">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5806E6">
            <w:pPr>
              <w:pStyle w:val="34"/>
              <w:keepNext w:val="0"/>
              <w:keepLines w:val="0"/>
              <w:pageBreakBefore w:val="0"/>
              <w:widowControl w:val="0"/>
              <w:kinsoku/>
              <w:wordWrap/>
              <w:overflowPunct/>
              <w:topLinePunct w:val="0"/>
              <w:autoSpaceDE/>
              <w:autoSpaceDN/>
              <w:bidi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p>
        </w:tc>
      </w:tr>
      <w:tr w14:paraId="238DAF76">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616E5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绿色施工</w:t>
            </w:r>
          </w:p>
          <w:p w14:paraId="20A88FE4">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、文明施工监理措施</w:t>
            </w:r>
          </w:p>
          <w:p w14:paraId="393168D1">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186A4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5549840">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D83B08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1582F21">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3A9884CB">
            <w:pPr>
              <w:pStyle w:val="34"/>
              <w:keepNext w:val="0"/>
              <w:keepLines w:val="0"/>
              <w:pageBreakBefore w:val="0"/>
              <w:widowControl w:val="0"/>
              <w:kinsoku/>
              <w:wordWrap/>
              <w:overflowPunct/>
              <w:topLinePunct w:val="0"/>
              <w:autoSpaceDE/>
              <w:autoSpaceDN/>
              <w:bidi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p>
        </w:tc>
      </w:tr>
      <w:tr w14:paraId="66012061">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7B663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合同、信息管理方案</w:t>
            </w:r>
          </w:p>
          <w:p w14:paraId="24DF8E79">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E7FD1D">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6DE8B9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E7AC22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3B587AF9">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2C28F1">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要求各项制度规范清晰，方法科学合理，措施及时有效，针对性强。能够切实防范和处理合同纠纷，提升监理工作效能。</w:t>
            </w:r>
          </w:p>
        </w:tc>
      </w:tr>
      <w:tr w14:paraId="02D7DFBF">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1DFC83">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组织协调</w:t>
            </w:r>
          </w:p>
          <w:p w14:paraId="2DCF5E8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内容及措施</w:t>
            </w:r>
          </w:p>
          <w:p w14:paraId="6D5D942D">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2AC37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6C65CF2">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910612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D6BD65C">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6968D7">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要求各项制度规范清晰，方法科学合理，措施及时有效，针对性强。能够高效收集、协调、处理、反馈各方各类问题。</w:t>
            </w:r>
          </w:p>
        </w:tc>
      </w:tr>
      <w:tr w14:paraId="2C53791D">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00AD85">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监理工作重点、难点分析</w:t>
            </w:r>
          </w:p>
          <w:p w14:paraId="41E38D5A">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47B25D">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023D5A8">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6E5748A5">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219647A">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86970E">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要求方法可行、措施具体、针对性强。</w:t>
            </w:r>
          </w:p>
        </w:tc>
      </w:tr>
      <w:tr w14:paraId="471742E0">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E42AB8">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合理化建议</w:t>
            </w:r>
          </w:p>
          <w:p w14:paraId="35B71EE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35B13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18925C9">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3C2AC04C">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7C7611E">
            <w:pPr>
              <w:pStyle w:val="9"/>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8852CD">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要求方法可行、措施具体、针对性强。</w:t>
            </w:r>
          </w:p>
        </w:tc>
      </w:tr>
      <w:tr w14:paraId="235A91C4">
        <w:tblPrEx>
          <w:tblCellMar>
            <w:top w:w="0" w:type="dxa"/>
            <w:left w:w="10" w:type="dxa"/>
            <w:bottom w:w="0" w:type="dxa"/>
            <w:right w:w="10" w:type="dxa"/>
          </w:tblCellMar>
        </w:tblPrEx>
        <w:trPr>
          <w:trHeight w:val="579" w:hRule="exact"/>
          <w:jc w:val="center"/>
        </w:trPr>
        <w:tc>
          <w:tcPr>
            <w:tcW w:w="9799" w:type="dxa"/>
            <w:gridSpan w:val="3"/>
            <w:tcBorders>
              <w:top w:val="single" w:color="000000" w:sz="4" w:space="0"/>
              <w:left w:val="single" w:color="000000" w:sz="4" w:space="0"/>
              <w:bottom w:val="single" w:color="000000" w:sz="4" w:space="0"/>
              <w:right w:val="single" w:color="000000" w:sz="4" w:space="0"/>
            </w:tcBorders>
            <w:shd w:val="clear" w:color="000000" w:fill="D9D9D9"/>
            <w:tcMar>
              <w:top w:w="0" w:type="dxa"/>
              <w:left w:w="108" w:type="dxa"/>
              <w:bottom w:w="0" w:type="dxa"/>
              <w:right w:w="108" w:type="dxa"/>
            </w:tcMar>
            <w:vAlign w:val="center"/>
          </w:tcPr>
          <w:p w14:paraId="6959B9AF">
            <w:pPr>
              <w:keepNext w:val="0"/>
              <w:keepLines w:val="0"/>
              <w:pageBreakBefore w:val="0"/>
              <w:kinsoku/>
              <w:overflowPunct/>
              <w:topLinePunct w:val="0"/>
              <w:autoSpaceDE/>
              <w:autoSpaceDN/>
              <w:bidi w:val="0"/>
              <w:spacing w:line="400" w:lineRule="exact"/>
              <w:jc w:val="left"/>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投标报价部分，满分：</w:t>
            </w:r>
            <w:r>
              <w:rPr>
                <w:rFonts w:hint="eastAsia" w:hAnsi="宋体" w:cs="宋体"/>
                <w:b/>
                <w:bCs/>
                <w:color w:val="000000" w:themeColor="text1"/>
                <w:szCs w:val="24"/>
                <w:highlight w:val="none"/>
                <w:u w:val="single"/>
                <w:lang w:val="en-US" w:eastAsia="zh-CN"/>
                <w14:textFill>
                  <w14:solidFill>
                    <w14:schemeClr w14:val="tx1"/>
                  </w14:solidFill>
                </w14:textFill>
              </w:rPr>
              <w:t>30</w:t>
            </w:r>
            <w:r>
              <w:rPr>
                <w:rFonts w:hint="eastAsia" w:hAnsi="宋体" w:cs="宋体"/>
                <w:b/>
                <w:bCs/>
                <w:color w:val="000000" w:themeColor="text1"/>
                <w:szCs w:val="24"/>
                <w:highlight w:val="none"/>
                <w14:textFill>
                  <w14:solidFill>
                    <w14:schemeClr w14:val="tx1"/>
                  </w14:solidFill>
                </w14:textFill>
              </w:rPr>
              <w:t>分。</w:t>
            </w:r>
          </w:p>
        </w:tc>
      </w:tr>
      <w:tr w14:paraId="57C94FED">
        <w:tblPrEx>
          <w:tblCellMar>
            <w:top w:w="0" w:type="dxa"/>
            <w:left w:w="10" w:type="dxa"/>
            <w:bottom w:w="0" w:type="dxa"/>
            <w:right w:w="10" w:type="dxa"/>
          </w:tblCellMar>
        </w:tblPrEx>
        <w:trPr>
          <w:trHeight w:val="54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ED5A12">
            <w:pPr>
              <w:keepNext w:val="0"/>
              <w:keepLines w:val="0"/>
              <w:pageBreakBefore w:val="0"/>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评分事项</w:t>
            </w:r>
          </w:p>
        </w:tc>
        <w:tc>
          <w:tcPr>
            <w:tcW w:w="85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A3E61E">
            <w:pPr>
              <w:keepNext w:val="0"/>
              <w:keepLines w:val="0"/>
              <w:pageBreakBefore w:val="0"/>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评分方法</w:t>
            </w:r>
          </w:p>
        </w:tc>
      </w:tr>
      <w:tr w14:paraId="7D7010E5">
        <w:tblPrEx>
          <w:tblCellMar>
            <w:top w:w="0" w:type="dxa"/>
            <w:left w:w="10" w:type="dxa"/>
            <w:bottom w:w="0" w:type="dxa"/>
            <w:right w:w="10" w:type="dxa"/>
          </w:tblCellMar>
        </w:tblPrEx>
        <w:trPr>
          <w:trHeight w:val="4628"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A6553A">
            <w:pPr>
              <w:pStyle w:val="36"/>
              <w:keepNext w:val="0"/>
              <w:keepLines w:val="0"/>
              <w:pageBreakBefore w:val="0"/>
              <w:kinsoku/>
              <w:overflowPunct/>
              <w:topLinePunct w:val="0"/>
              <w:autoSpaceDE/>
              <w:autoSpaceDN/>
              <w:bidi w:val="0"/>
              <w:spacing w:line="4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评标基准价D</w:t>
            </w:r>
          </w:p>
        </w:tc>
        <w:tc>
          <w:tcPr>
            <w:tcW w:w="85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CBC604">
            <w:pPr>
              <w:keepNext w:val="0"/>
              <w:keepLines w:val="0"/>
              <w:pageBreakBefore w:val="0"/>
              <w:kinsoku/>
              <w:overflowPunct/>
              <w:topLinePunct w:val="0"/>
              <w:autoSpaceDE/>
              <w:autoSpaceDN/>
              <w:bidi w:val="0"/>
              <w:adjustRightInd w:val="0"/>
              <w:snapToGrid w:val="0"/>
              <w:spacing w:line="4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（1）确定最高投标限价下浮系数n：用1～21号球分别代表一个下浮系数，由评委代表从这21个号码中随机抽取</w:t>
            </w:r>
            <w:r>
              <w:rPr>
                <w:rFonts w:hint="eastAsia" w:hAnsi="宋体" w:cs="宋体"/>
                <w:snapToGrid w:val="0"/>
                <w:color w:val="000000" w:themeColor="text1"/>
                <w:kern w:val="0"/>
                <w:szCs w:val="24"/>
                <w:highlight w:val="none"/>
                <w:u w:val="single"/>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次，每次抽取1个号码，抽出的号球不参与下次抽取。所抽取的3个号码对应下浮系数的算术平均值作为最高投标限价下浮系数n。具体号码对应的下浮系数可参考下表。</w:t>
            </w:r>
          </w:p>
          <w:tbl>
            <w:tblPr>
              <w:tblStyle w:val="19"/>
              <w:tblW w:w="8015" w:type="dxa"/>
              <w:jc w:val="center"/>
              <w:tblLayout w:type="fixed"/>
              <w:tblCellMar>
                <w:top w:w="0" w:type="dxa"/>
                <w:left w:w="108" w:type="dxa"/>
                <w:bottom w:w="0" w:type="dxa"/>
                <w:right w:w="108" w:type="dxa"/>
              </w:tblCellMar>
            </w:tblPr>
            <w:tblGrid>
              <w:gridCol w:w="1666"/>
              <w:gridCol w:w="907"/>
              <w:gridCol w:w="907"/>
              <w:gridCol w:w="907"/>
              <w:gridCol w:w="907"/>
              <w:gridCol w:w="907"/>
              <w:gridCol w:w="907"/>
              <w:gridCol w:w="907"/>
            </w:tblGrid>
            <w:tr w14:paraId="758B15E7">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40D1D511">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号球</w:t>
                  </w:r>
                </w:p>
              </w:tc>
              <w:tc>
                <w:tcPr>
                  <w:tcW w:w="907" w:type="dxa"/>
                  <w:tcBorders>
                    <w:top w:val="single" w:color="000000" w:sz="4" w:space="0"/>
                    <w:left w:val="nil"/>
                    <w:bottom w:val="single" w:color="000000" w:sz="4" w:space="0"/>
                    <w:right w:val="single" w:color="000000" w:sz="4" w:space="0"/>
                  </w:tcBorders>
                  <w:vAlign w:val="center"/>
                </w:tcPr>
                <w:p w14:paraId="035BBA5D">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w:t>
                  </w:r>
                </w:p>
              </w:tc>
              <w:tc>
                <w:tcPr>
                  <w:tcW w:w="907" w:type="dxa"/>
                  <w:tcBorders>
                    <w:top w:val="single" w:color="000000" w:sz="4" w:space="0"/>
                    <w:left w:val="nil"/>
                    <w:bottom w:val="single" w:color="000000" w:sz="4" w:space="0"/>
                    <w:right w:val="single" w:color="000000" w:sz="4" w:space="0"/>
                  </w:tcBorders>
                  <w:vAlign w:val="center"/>
                </w:tcPr>
                <w:p w14:paraId="45F343F5">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2</w:t>
                  </w:r>
                </w:p>
              </w:tc>
              <w:tc>
                <w:tcPr>
                  <w:tcW w:w="907" w:type="dxa"/>
                  <w:tcBorders>
                    <w:top w:val="single" w:color="000000" w:sz="4" w:space="0"/>
                    <w:left w:val="nil"/>
                    <w:bottom w:val="single" w:color="000000" w:sz="4" w:space="0"/>
                    <w:right w:val="single" w:color="000000" w:sz="4" w:space="0"/>
                  </w:tcBorders>
                  <w:vAlign w:val="center"/>
                </w:tcPr>
                <w:p w14:paraId="03AA5CB0">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3</w:t>
                  </w:r>
                </w:p>
              </w:tc>
              <w:tc>
                <w:tcPr>
                  <w:tcW w:w="907" w:type="dxa"/>
                  <w:tcBorders>
                    <w:top w:val="single" w:color="000000" w:sz="4" w:space="0"/>
                    <w:left w:val="nil"/>
                    <w:bottom w:val="single" w:color="000000" w:sz="4" w:space="0"/>
                    <w:right w:val="single" w:color="000000" w:sz="4" w:space="0"/>
                  </w:tcBorders>
                  <w:vAlign w:val="center"/>
                </w:tcPr>
                <w:p w14:paraId="0D659A56">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4</w:t>
                  </w:r>
                </w:p>
              </w:tc>
              <w:tc>
                <w:tcPr>
                  <w:tcW w:w="907" w:type="dxa"/>
                  <w:tcBorders>
                    <w:top w:val="single" w:color="000000" w:sz="4" w:space="0"/>
                    <w:left w:val="nil"/>
                    <w:bottom w:val="single" w:color="000000" w:sz="4" w:space="0"/>
                    <w:right w:val="single" w:color="000000" w:sz="4" w:space="0"/>
                  </w:tcBorders>
                  <w:vAlign w:val="center"/>
                </w:tcPr>
                <w:p w14:paraId="788BB5FD">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5</w:t>
                  </w:r>
                </w:p>
              </w:tc>
              <w:tc>
                <w:tcPr>
                  <w:tcW w:w="907" w:type="dxa"/>
                  <w:tcBorders>
                    <w:top w:val="single" w:color="000000" w:sz="4" w:space="0"/>
                    <w:left w:val="nil"/>
                    <w:bottom w:val="single" w:color="000000" w:sz="4" w:space="0"/>
                    <w:right w:val="single" w:color="000000" w:sz="4" w:space="0"/>
                  </w:tcBorders>
                  <w:vAlign w:val="center"/>
                </w:tcPr>
                <w:p w14:paraId="19CF0B30">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6</w:t>
                  </w:r>
                </w:p>
              </w:tc>
              <w:tc>
                <w:tcPr>
                  <w:tcW w:w="907" w:type="dxa"/>
                  <w:tcBorders>
                    <w:top w:val="single" w:color="000000" w:sz="4" w:space="0"/>
                    <w:left w:val="nil"/>
                    <w:bottom w:val="single" w:color="000000" w:sz="4" w:space="0"/>
                    <w:right w:val="single" w:color="000000" w:sz="4" w:space="0"/>
                  </w:tcBorders>
                  <w:vAlign w:val="center"/>
                </w:tcPr>
                <w:p w14:paraId="65AB404F">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7</w:t>
                  </w:r>
                </w:p>
              </w:tc>
            </w:tr>
            <w:tr w14:paraId="3053EFDA">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20B7C5ED">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下浮系数（%）</w:t>
                  </w:r>
                </w:p>
              </w:tc>
              <w:tc>
                <w:tcPr>
                  <w:tcW w:w="907" w:type="dxa"/>
                  <w:tcBorders>
                    <w:top w:val="single" w:color="000000" w:sz="4" w:space="0"/>
                    <w:left w:val="nil"/>
                    <w:bottom w:val="single" w:color="000000" w:sz="4" w:space="0"/>
                    <w:right w:val="single" w:color="000000" w:sz="4" w:space="0"/>
                  </w:tcBorders>
                  <w:vAlign w:val="center"/>
                </w:tcPr>
                <w:p w14:paraId="684788D1">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w:t>
                  </w:r>
                </w:p>
              </w:tc>
              <w:tc>
                <w:tcPr>
                  <w:tcW w:w="907" w:type="dxa"/>
                  <w:tcBorders>
                    <w:top w:val="single" w:color="000000" w:sz="4" w:space="0"/>
                    <w:left w:val="nil"/>
                    <w:bottom w:val="single" w:color="000000" w:sz="4" w:space="0"/>
                    <w:right w:val="single" w:color="000000" w:sz="4" w:space="0"/>
                  </w:tcBorders>
                  <w:vAlign w:val="center"/>
                </w:tcPr>
                <w:p w14:paraId="018843B0">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1.1</w:t>
                  </w:r>
                </w:p>
              </w:tc>
              <w:tc>
                <w:tcPr>
                  <w:tcW w:w="907" w:type="dxa"/>
                  <w:tcBorders>
                    <w:top w:val="single" w:color="000000" w:sz="4" w:space="0"/>
                    <w:left w:val="nil"/>
                    <w:bottom w:val="single" w:color="000000" w:sz="4" w:space="0"/>
                    <w:right w:val="single" w:color="000000" w:sz="4" w:space="0"/>
                  </w:tcBorders>
                  <w:vAlign w:val="center"/>
                </w:tcPr>
                <w:p w14:paraId="1E7B9883">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1.2</w:t>
                  </w:r>
                </w:p>
              </w:tc>
              <w:tc>
                <w:tcPr>
                  <w:tcW w:w="907" w:type="dxa"/>
                  <w:tcBorders>
                    <w:top w:val="single" w:color="000000" w:sz="4" w:space="0"/>
                    <w:left w:val="nil"/>
                    <w:bottom w:val="single" w:color="000000" w:sz="4" w:space="0"/>
                    <w:right w:val="single" w:color="000000" w:sz="4" w:space="0"/>
                  </w:tcBorders>
                  <w:vAlign w:val="center"/>
                </w:tcPr>
                <w:p w14:paraId="2D67BB11">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1.3</w:t>
                  </w:r>
                </w:p>
              </w:tc>
              <w:tc>
                <w:tcPr>
                  <w:tcW w:w="907" w:type="dxa"/>
                  <w:tcBorders>
                    <w:top w:val="single" w:color="000000" w:sz="4" w:space="0"/>
                    <w:left w:val="nil"/>
                    <w:bottom w:val="single" w:color="000000" w:sz="4" w:space="0"/>
                    <w:right w:val="single" w:color="000000" w:sz="4" w:space="0"/>
                  </w:tcBorders>
                  <w:vAlign w:val="center"/>
                </w:tcPr>
                <w:p w14:paraId="174E831D">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1.4</w:t>
                  </w:r>
                </w:p>
              </w:tc>
              <w:tc>
                <w:tcPr>
                  <w:tcW w:w="907" w:type="dxa"/>
                  <w:tcBorders>
                    <w:top w:val="single" w:color="000000" w:sz="4" w:space="0"/>
                    <w:left w:val="nil"/>
                    <w:bottom w:val="single" w:color="000000" w:sz="4" w:space="0"/>
                    <w:right w:val="single" w:color="000000" w:sz="4" w:space="0"/>
                  </w:tcBorders>
                  <w:vAlign w:val="center"/>
                </w:tcPr>
                <w:p w14:paraId="5B3A0167">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1.5</w:t>
                  </w:r>
                </w:p>
              </w:tc>
              <w:tc>
                <w:tcPr>
                  <w:tcW w:w="907" w:type="dxa"/>
                  <w:tcBorders>
                    <w:top w:val="single" w:color="000000" w:sz="4" w:space="0"/>
                    <w:left w:val="nil"/>
                    <w:bottom w:val="single" w:color="000000" w:sz="4" w:space="0"/>
                    <w:right w:val="single" w:color="000000" w:sz="4" w:space="0"/>
                  </w:tcBorders>
                  <w:vAlign w:val="center"/>
                </w:tcPr>
                <w:p w14:paraId="70BB36C8">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1.6</w:t>
                  </w:r>
                </w:p>
              </w:tc>
            </w:tr>
            <w:tr w14:paraId="60496ED0">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0E80F192">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号球</w:t>
                  </w:r>
                </w:p>
              </w:tc>
              <w:tc>
                <w:tcPr>
                  <w:tcW w:w="907" w:type="dxa"/>
                  <w:tcBorders>
                    <w:top w:val="single" w:color="000000" w:sz="4" w:space="0"/>
                    <w:left w:val="nil"/>
                    <w:bottom w:val="single" w:color="000000" w:sz="4" w:space="0"/>
                    <w:right w:val="single" w:color="000000" w:sz="4" w:space="0"/>
                  </w:tcBorders>
                  <w:vAlign w:val="center"/>
                </w:tcPr>
                <w:p w14:paraId="62C5568A">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8</w:t>
                  </w:r>
                </w:p>
              </w:tc>
              <w:tc>
                <w:tcPr>
                  <w:tcW w:w="907" w:type="dxa"/>
                  <w:tcBorders>
                    <w:top w:val="single" w:color="000000" w:sz="4" w:space="0"/>
                    <w:left w:val="nil"/>
                    <w:bottom w:val="single" w:color="000000" w:sz="4" w:space="0"/>
                    <w:right w:val="single" w:color="000000" w:sz="4" w:space="0"/>
                  </w:tcBorders>
                  <w:vAlign w:val="center"/>
                </w:tcPr>
                <w:p w14:paraId="6CAAA118">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9</w:t>
                  </w:r>
                </w:p>
              </w:tc>
              <w:tc>
                <w:tcPr>
                  <w:tcW w:w="907" w:type="dxa"/>
                  <w:tcBorders>
                    <w:top w:val="single" w:color="000000" w:sz="4" w:space="0"/>
                    <w:left w:val="nil"/>
                    <w:bottom w:val="single" w:color="000000" w:sz="4" w:space="0"/>
                    <w:right w:val="single" w:color="000000" w:sz="4" w:space="0"/>
                  </w:tcBorders>
                  <w:vAlign w:val="center"/>
                </w:tcPr>
                <w:p w14:paraId="09F8F75A">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10</w:t>
                  </w:r>
                </w:p>
              </w:tc>
              <w:tc>
                <w:tcPr>
                  <w:tcW w:w="907" w:type="dxa"/>
                  <w:tcBorders>
                    <w:top w:val="single" w:color="000000" w:sz="4" w:space="0"/>
                    <w:left w:val="nil"/>
                    <w:bottom w:val="single" w:color="000000" w:sz="4" w:space="0"/>
                    <w:right w:val="single" w:color="000000" w:sz="4" w:space="0"/>
                  </w:tcBorders>
                  <w:vAlign w:val="center"/>
                </w:tcPr>
                <w:p w14:paraId="2032880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11</w:t>
                  </w:r>
                </w:p>
              </w:tc>
              <w:tc>
                <w:tcPr>
                  <w:tcW w:w="907" w:type="dxa"/>
                  <w:tcBorders>
                    <w:top w:val="single" w:color="000000" w:sz="4" w:space="0"/>
                    <w:left w:val="nil"/>
                    <w:bottom w:val="single" w:color="000000" w:sz="4" w:space="0"/>
                    <w:right w:val="single" w:color="000000" w:sz="4" w:space="0"/>
                  </w:tcBorders>
                  <w:vAlign w:val="center"/>
                </w:tcPr>
                <w:p w14:paraId="39CD0AA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12</w:t>
                  </w:r>
                </w:p>
              </w:tc>
              <w:tc>
                <w:tcPr>
                  <w:tcW w:w="907" w:type="dxa"/>
                  <w:tcBorders>
                    <w:top w:val="single" w:color="000000" w:sz="4" w:space="0"/>
                    <w:left w:val="nil"/>
                    <w:bottom w:val="single" w:color="000000" w:sz="4" w:space="0"/>
                    <w:right w:val="single" w:color="000000" w:sz="4" w:space="0"/>
                  </w:tcBorders>
                  <w:vAlign w:val="center"/>
                </w:tcPr>
                <w:p w14:paraId="1EAA773A">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13</w:t>
                  </w:r>
                </w:p>
              </w:tc>
              <w:tc>
                <w:tcPr>
                  <w:tcW w:w="907" w:type="dxa"/>
                  <w:tcBorders>
                    <w:top w:val="single" w:color="000000" w:sz="4" w:space="0"/>
                    <w:left w:val="nil"/>
                    <w:bottom w:val="single" w:color="000000" w:sz="4" w:space="0"/>
                    <w:right w:val="single" w:color="000000" w:sz="4" w:space="0"/>
                  </w:tcBorders>
                  <w:vAlign w:val="center"/>
                </w:tcPr>
                <w:p w14:paraId="07EA67FE">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14</w:t>
                  </w:r>
                </w:p>
              </w:tc>
            </w:tr>
            <w:tr w14:paraId="3488E907">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36120830">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下浮系数（%）</w:t>
                  </w:r>
                </w:p>
              </w:tc>
              <w:tc>
                <w:tcPr>
                  <w:tcW w:w="907" w:type="dxa"/>
                  <w:tcBorders>
                    <w:top w:val="single" w:color="000000" w:sz="4" w:space="0"/>
                    <w:left w:val="nil"/>
                    <w:bottom w:val="single" w:color="000000" w:sz="4" w:space="0"/>
                    <w:right w:val="single" w:color="000000" w:sz="4" w:space="0"/>
                  </w:tcBorders>
                  <w:vAlign w:val="center"/>
                </w:tcPr>
                <w:p w14:paraId="2BE5147A">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1.7</w:t>
                  </w:r>
                </w:p>
              </w:tc>
              <w:tc>
                <w:tcPr>
                  <w:tcW w:w="907" w:type="dxa"/>
                  <w:tcBorders>
                    <w:top w:val="single" w:color="000000" w:sz="4" w:space="0"/>
                    <w:left w:val="nil"/>
                    <w:bottom w:val="single" w:color="000000" w:sz="4" w:space="0"/>
                    <w:right w:val="single" w:color="000000" w:sz="4" w:space="0"/>
                  </w:tcBorders>
                  <w:vAlign w:val="center"/>
                </w:tcPr>
                <w:p w14:paraId="59152AB4">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1.8</w:t>
                  </w:r>
                </w:p>
              </w:tc>
              <w:tc>
                <w:tcPr>
                  <w:tcW w:w="907" w:type="dxa"/>
                  <w:tcBorders>
                    <w:top w:val="single" w:color="000000" w:sz="4" w:space="0"/>
                    <w:left w:val="nil"/>
                    <w:bottom w:val="single" w:color="000000" w:sz="4" w:space="0"/>
                    <w:right w:val="single" w:color="000000" w:sz="4" w:space="0"/>
                  </w:tcBorders>
                  <w:vAlign w:val="center"/>
                </w:tcPr>
                <w:p w14:paraId="5495ABB1">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1.9</w:t>
                  </w:r>
                </w:p>
              </w:tc>
              <w:tc>
                <w:tcPr>
                  <w:tcW w:w="907" w:type="dxa"/>
                  <w:tcBorders>
                    <w:top w:val="single" w:color="000000" w:sz="4" w:space="0"/>
                    <w:left w:val="nil"/>
                    <w:bottom w:val="single" w:color="000000" w:sz="4" w:space="0"/>
                    <w:right w:val="single" w:color="000000" w:sz="4" w:space="0"/>
                  </w:tcBorders>
                  <w:vAlign w:val="center"/>
                </w:tcPr>
                <w:p w14:paraId="34D1000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2.0</w:t>
                  </w:r>
                </w:p>
              </w:tc>
              <w:tc>
                <w:tcPr>
                  <w:tcW w:w="907" w:type="dxa"/>
                  <w:tcBorders>
                    <w:top w:val="single" w:color="000000" w:sz="4" w:space="0"/>
                    <w:left w:val="nil"/>
                    <w:bottom w:val="single" w:color="000000" w:sz="4" w:space="0"/>
                    <w:right w:val="single" w:color="000000" w:sz="4" w:space="0"/>
                  </w:tcBorders>
                  <w:vAlign w:val="center"/>
                </w:tcPr>
                <w:p w14:paraId="6AE99D93">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2.1</w:t>
                  </w:r>
                </w:p>
              </w:tc>
              <w:tc>
                <w:tcPr>
                  <w:tcW w:w="907" w:type="dxa"/>
                  <w:tcBorders>
                    <w:top w:val="single" w:color="000000" w:sz="4" w:space="0"/>
                    <w:left w:val="nil"/>
                    <w:bottom w:val="single" w:color="000000" w:sz="4" w:space="0"/>
                    <w:right w:val="single" w:color="000000" w:sz="4" w:space="0"/>
                  </w:tcBorders>
                  <w:vAlign w:val="center"/>
                </w:tcPr>
                <w:p w14:paraId="3B70085A">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2.2</w:t>
                  </w:r>
                </w:p>
              </w:tc>
              <w:tc>
                <w:tcPr>
                  <w:tcW w:w="907" w:type="dxa"/>
                  <w:tcBorders>
                    <w:top w:val="single" w:color="000000" w:sz="4" w:space="0"/>
                    <w:left w:val="nil"/>
                    <w:bottom w:val="single" w:color="000000" w:sz="4" w:space="0"/>
                    <w:right w:val="single" w:color="000000" w:sz="4" w:space="0"/>
                  </w:tcBorders>
                  <w:vAlign w:val="center"/>
                </w:tcPr>
                <w:p w14:paraId="466E2047">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2.3</w:t>
                  </w:r>
                </w:p>
              </w:tc>
            </w:tr>
            <w:tr w14:paraId="65C9AF8C">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3929F3FD">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号球</w:t>
                  </w:r>
                </w:p>
              </w:tc>
              <w:tc>
                <w:tcPr>
                  <w:tcW w:w="907" w:type="dxa"/>
                  <w:tcBorders>
                    <w:top w:val="single" w:color="000000" w:sz="4" w:space="0"/>
                    <w:left w:val="nil"/>
                    <w:bottom w:val="single" w:color="000000" w:sz="4" w:space="0"/>
                    <w:right w:val="single" w:color="000000" w:sz="4" w:space="0"/>
                  </w:tcBorders>
                  <w:vAlign w:val="center"/>
                </w:tcPr>
                <w:p w14:paraId="7DC4F200">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15</w:t>
                  </w:r>
                </w:p>
              </w:tc>
              <w:tc>
                <w:tcPr>
                  <w:tcW w:w="907" w:type="dxa"/>
                  <w:tcBorders>
                    <w:top w:val="single" w:color="000000" w:sz="4" w:space="0"/>
                    <w:left w:val="nil"/>
                    <w:bottom w:val="single" w:color="000000" w:sz="4" w:space="0"/>
                    <w:right w:val="single" w:color="000000" w:sz="4" w:space="0"/>
                  </w:tcBorders>
                  <w:vAlign w:val="center"/>
                </w:tcPr>
                <w:p w14:paraId="35092086">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16</w:t>
                  </w:r>
                </w:p>
              </w:tc>
              <w:tc>
                <w:tcPr>
                  <w:tcW w:w="907" w:type="dxa"/>
                  <w:tcBorders>
                    <w:top w:val="single" w:color="000000" w:sz="4" w:space="0"/>
                    <w:left w:val="nil"/>
                    <w:bottom w:val="single" w:color="000000" w:sz="4" w:space="0"/>
                    <w:right w:val="single" w:color="000000" w:sz="4" w:space="0"/>
                  </w:tcBorders>
                  <w:vAlign w:val="center"/>
                </w:tcPr>
                <w:p w14:paraId="76DC3854">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17</w:t>
                  </w:r>
                </w:p>
              </w:tc>
              <w:tc>
                <w:tcPr>
                  <w:tcW w:w="907" w:type="dxa"/>
                  <w:tcBorders>
                    <w:top w:val="single" w:color="000000" w:sz="4" w:space="0"/>
                    <w:left w:val="nil"/>
                    <w:bottom w:val="single" w:color="000000" w:sz="4" w:space="0"/>
                    <w:right w:val="single" w:color="000000" w:sz="4" w:space="0"/>
                  </w:tcBorders>
                  <w:vAlign w:val="center"/>
                </w:tcPr>
                <w:p w14:paraId="24086F1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18</w:t>
                  </w:r>
                </w:p>
              </w:tc>
              <w:tc>
                <w:tcPr>
                  <w:tcW w:w="907" w:type="dxa"/>
                  <w:tcBorders>
                    <w:top w:val="single" w:color="000000" w:sz="4" w:space="0"/>
                    <w:left w:val="nil"/>
                    <w:bottom w:val="single" w:color="000000" w:sz="4" w:space="0"/>
                    <w:right w:val="single" w:color="000000" w:sz="4" w:space="0"/>
                  </w:tcBorders>
                  <w:vAlign w:val="center"/>
                </w:tcPr>
                <w:p w14:paraId="28E866F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19</w:t>
                  </w:r>
                </w:p>
              </w:tc>
              <w:tc>
                <w:tcPr>
                  <w:tcW w:w="907" w:type="dxa"/>
                  <w:tcBorders>
                    <w:top w:val="single" w:color="000000" w:sz="4" w:space="0"/>
                    <w:left w:val="nil"/>
                    <w:bottom w:val="single" w:color="000000" w:sz="4" w:space="0"/>
                    <w:right w:val="single" w:color="000000" w:sz="4" w:space="0"/>
                  </w:tcBorders>
                  <w:vAlign w:val="center"/>
                </w:tcPr>
                <w:p w14:paraId="37A50DEE">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20</w:t>
                  </w:r>
                </w:p>
              </w:tc>
              <w:tc>
                <w:tcPr>
                  <w:tcW w:w="907" w:type="dxa"/>
                  <w:tcBorders>
                    <w:top w:val="single" w:color="000000" w:sz="4" w:space="0"/>
                    <w:left w:val="nil"/>
                    <w:bottom w:val="single" w:color="000000" w:sz="4" w:space="0"/>
                    <w:right w:val="single" w:color="000000" w:sz="4" w:space="0"/>
                  </w:tcBorders>
                  <w:vAlign w:val="center"/>
                </w:tcPr>
                <w:p w14:paraId="51B2AE17">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21</w:t>
                  </w:r>
                </w:p>
              </w:tc>
            </w:tr>
            <w:tr w14:paraId="5E4A71AB">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0EEA8BF3">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下浮系数（%）</w:t>
                  </w:r>
                </w:p>
              </w:tc>
              <w:tc>
                <w:tcPr>
                  <w:tcW w:w="907" w:type="dxa"/>
                  <w:tcBorders>
                    <w:top w:val="single" w:color="000000" w:sz="4" w:space="0"/>
                    <w:left w:val="nil"/>
                    <w:bottom w:val="single" w:color="000000" w:sz="4" w:space="0"/>
                    <w:right w:val="single" w:color="000000" w:sz="4" w:space="0"/>
                  </w:tcBorders>
                  <w:vAlign w:val="center"/>
                </w:tcPr>
                <w:p w14:paraId="57DAC3C0">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2.4</w:t>
                  </w:r>
                </w:p>
              </w:tc>
              <w:tc>
                <w:tcPr>
                  <w:tcW w:w="907" w:type="dxa"/>
                  <w:tcBorders>
                    <w:top w:val="single" w:color="000000" w:sz="4" w:space="0"/>
                    <w:left w:val="nil"/>
                    <w:bottom w:val="single" w:color="000000" w:sz="4" w:space="0"/>
                    <w:right w:val="single" w:color="000000" w:sz="4" w:space="0"/>
                  </w:tcBorders>
                  <w:vAlign w:val="center"/>
                </w:tcPr>
                <w:p w14:paraId="61CE9CC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2.5</w:t>
                  </w:r>
                </w:p>
              </w:tc>
              <w:tc>
                <w:tcPr>
                  <w:tcW w:w="907" w:type="dxa"/>
                  <w:tcBorders>
                    <w:top w:val="single" w:color="000000" w:sz="4" w:space="0"/>
                    <w:left w:val="nil"/>
                    <w:bottom w:val="single" w:color="000000" w:sz="4" w:space="0"/>
                    <w:right w:val="single" w:color="000000" w:sz="4" w:space="0"/>
                  </w:tcBorders>
                  <w:vAlign w:val="center"/>
                </w:tcPr>
                <w:p w14:paraId="77026F2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2.6</w:t>
                  </w:r>
                </w:p>
              </w:tc>
              <w:tc>
                <w:tcPr>
                  <w:tcW w:w="907" w:type="dxa"/>
                  <w:tcBorders>
                    <w:top w:val="single" w:color="000000" w:sz="4" w:space="0"/>
                    <w:left w:val="nil"/>
                    <w:bottom w:val="single" w:color="000000" w:sz="4" w:space="0"/>
                    <w:right w:val="single" w:color="000000" w:sz="4" w:space="0"/>
                  </w:tcBorders>
                  <w:vAlign w:val="center"/>
                </w:tcPr>
                <w:p w14:paraId="16ECB689">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2.7</w:t>
                  </w:r>
                </w:p>
              </w:tc>
              <w:tc>
                <w:tcPr>
                  <w:tcW w:w="907" w:type="dxa"/>
                  <w:tcBorders>
                    <w:top w:val="single" w:color="000000" w:sz="4" w:space="0"/>
                    <w:left w:val="nil"/>
                    <w:bottom w:val="single" w:color="000000" w:sz="4" w:space="0"/>
                    <w:right w:val="single" w:color="000000" w:sz="4" w:space="0"/>
                  </w:tcBorders>
                  <w:vAlign w:val="center"/>
                </w:tcPr>
                <w:p w14:paraId="576A3676">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2.8</w:t>
                  </w:r>
                </w:p>
              </w:tc>
              <w:tc>
                <w:tcPr>
                  <w:tcW w:w="907" w:type="dxa"/>
                  <w:tcBorders>
                    <w:top w:val="single" w:color="000000" w:sz="4" w:space="0"/>
                    <w:left w:val="nil"/>
                    <w:bottom w:val="single" w:color="000000" w:sz="4" w:space="0"/>
                    <w:right w:val="single" w:color="000000" w:sz="4" w:space="0"/>
                  </w:tcBorders>
                  <w:vAlign w:val="center"/>
                </w:tcPr>
                <w:p w14:paraId="1C2D1CE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2.9</w:t>
                  </w:r>
                </w:p>
              </w:tc>
              <w:tc>
                <w:tcPr>
                  <w:tcW w:w="907" w:type="dxa"/>
                  <w:tcBorders>
                    <w:top w:val="single" w:color="000000" w:sz="4" w:space="0"/>
                    <w:left w:val="nil"/>
                    <w:bottom w:val="single" w:color="000000" w:sz="4" w:space="0"/>
                    <w:right w:val="single" w:color="000000" w:sz="4" w:space="0"/>
                  </w:tcBorders>
                  <w:vAlign w:val="center"/>
                </w:tcPr>
                <w:p w14:paraId="200CE25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3.0</w:t>
                  </w:r>
                </w:p>
              </w:tc>
            </w:tr>
          </w:tbl>
          <w:p w14:paraId="7FC3A48E">
            <w:pPr>
              <w:pStyle w:val="36"/>
              <w:keepNext w:val="0"/>
              <w:keepLines w:val="0"/>
              <w:pageBreakBefore w:val="0"/>
              <w:kinsoku/>
              <w:overflowPunct/>
              <w:topLinePunct w:val="0"/>
              <w:autoSpaceDE/>
              <w:autoSpaceDN/>
              <w:bidi w:val="0"/>
              <w:spacing w:line="40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（2）评标基准价D＝最高投标限价×（1－n）</w:t>
            </w:r>
          </w:p>
        </w:tc>
      </w:tr>
      <w:tr w14:paraId="2192D797">
        <w:tblPrEx>
          <w:tblCellMar>
            <w:top w:w="0" w:type="dxa"/>
            <w:left w:w="10" w:type="dxa"/>
            <w:bottom w:w="0" w:type="dxa"/>
            <w:right w:w="10" w:type="dxa"/>
          </w:tblCellMar>
        </w:tblPrEx>
        <w:trPr>
          <w:trHeight w:val="3064"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90CC6A">
            <w:pPr>
              <w:pStyle w:val="35"/>
              <w:keepNext w:val="0"/>
              <w:keepLines w:val="0"/>
              <w:pageBreakBefore w:val="0"/>
              <w:kinsoku/>
              <w:overflowPunct/>
              <w:topLinePunct w:val="0"/>
              <w:autoSpaceDE/>
              <w:autoSpaceDN/>
              <w:bidi w:val="0"/>
              <w:spacing w:line="4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投标报价</w:t>
            </w:r>
          </w:p>
          <w:p w14:paraId="351D5E04">
            <w:pPr>
              <w:pStyle w:val="35"/>
              <w:keepNext w:val="0"/>
              <w:keepLines w:val="0"/>
              <w:pageBreakBefore w:val="0"/>
              <w:kinsoku/>
              <w:overflowPunct/>
              <w:topLinePunct w:val="0"/>
              <w:autoSpaceDE/>
              <w:autoSpaceDN/>
              <w:bidi w:val="0"/>
              <w:spacing w:line="4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得分M</w:t>
            </w:r>
            <w:r>
              <w:rPr>
                <w:rFonts w:hint="eastAsia" w:ascii="宋体" w:hAnsi="宋体" w:eastAsia="宋体" w:cs="宋体"/>
                <w:color w:val="000000" w:themeColor="text1"/>
                <w:sz w:val="24"/>
                <w:szCs w:val="24"/>
                <w:highlight w:val="none"/>
                <w:vertAlign w:val="subscript"/>
                <w14:textFill>
                  <w14:solidFill>
                    <w14:schemeClr w14:val="tx1"/>
                  </w14:solidFill>
                </w14:textFill>
              </w:rPr>
              <w:t>3</w:t>
            </w:r>
          </w:p>
        </w:tc>
        <w:tc>
          <w:tcPr>
            <w:tcW w:w="85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D10F02">
            <w:pPr>
              <w:keepNext w:val="0"/>
              <w:keepLines w:val="0"/>
              <w:pageBreakBefore w:val="0"/>
              <w:kinsoku/>
              <w:overflowPunct/>
              <w:topLinePunct w:val="0"/>
              <w:autoSpaceDE/>
              <w:autoSpaceDN/>
              <w:bidi w:val="0"/>
              <w:adjustRightInd w:val="0"/>
              <w:snapToGrid w:val="0"/>
              <w:spacing w:line="4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采用内插法计算某投标人的投标报价得分M</w:t>
            </w:r>
            <w:r>
              <w:rPr>
                <w:rFonts w:hint="eastAsia" w:hAnsi="宋体" w:cs="宋体"/>
                <w:snapToGrid w:val="0"/>
                <w:color w:val="000000" w:themeColor="text1"/>
                <w:kern w:val="0"/>
                <w:szCs w:val="24"/>
                <w:highlight w:val="none"/>
                <w:vertAlign w:val="subscript"/>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，即当投标人的投标总价等于评标基准价时得</w:t>
            </w:r>
            <w:r>
              <w:rPr>
                <w:rFonts w:hint="eastAsia" w:hAnsi="宋体" w:cs="宋体"/>
                <w:snapToGrid w:val="0"/>
                <w:color w:val="000000" w:themeColor="text1"/>
                <w:kern w:val="0"/>
                <w:szCs w:val="24"/>
                <w:highlight w:val="none"/>
                <w:lang w:val="en-US" w:eastAsia="zh-CN"/>
                <w14:textFill>
                  <w14:solidFill>
                    <w14:schemeClr w14:val="tx1"/>
                  </w14:solidFill>
                </w14:textFill>
              </w:rPr>
              <w:t>30</w:t>
            </w:r>
            <w:r>
              <w:rPr>
                <w:rFonts w:hint="eastAsia" w:hAnsi="宋体" w:cs="宋体"/>
                <w:snapToGrid w:val="0"/>
                <w:color w:val="000000" w:themeColor="text1"/>
                <w:kern w:val="0"/>
                <w:szCs w:val="24"/>
                <w:highlight w:val="none"/>
                <w14:textFill>
                  <w14:solidFill>
                    <w14:schemeClr w14:val="tx1"/>
                  </w14:solidFill>
                </w14:textFill>
              </w:rPr>
              <w:t>分，每高于评标基准价一个百分点扣</w:t>
            </w:r>
            <w:r>
              <w:rPr>
                <w:rFonts w:hint="eastAsia" w:hAnsi="宋体" w:cs="宋体"/>
                <w:snapToGrid w:val="0"/>
                <w:color w:val="000000" w:themeColor="text1"/>
                <w:kern w:val="0"/>
                <w:szCs w:val="24"/>
                <w:highlight w:val="none"/>
                <w:lang w:val="en-US" w:eastAsia="zh-CN"/>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分,每低于评标基准价一个百分点扣</w:t>
            </w:r>
            <w:r>
              <w:rPr>
                <w:rFonts w:hint="eastAsia" w:hAnsi="宋体" w:cs="宋体"/>
                <w:snapToGrid w:val="0"/>
                <w:color w:val="000000" w:themeColor="text1"/>
                <w:kern w:val="0"/>
                <w:szCs w:val="24"/>
                <w:highlight w:val="none"/>
                <w:lang w:val="en-US" w:eastAsia="zh-CN"/>
                <w14:textFill>
                  <w14:solidFill>
                    <w14:schemeClr w14:val="tx1"/>
                  </w14:solidFill>
                </w14:textFill>
              </w:rPr>
              <w:t>0.5</w:t>
            </w:r>
            <w:r>
              <w:rPr>
                <w:rFonts w:hint="eastAsia" w:hAnsi="宋体" w:cs="宋体"/>
                <w:snapToGrid w:val="0"/>
                <w:color w:val="000000" w:themeColor="text1"/>
                <w:kern w:val="0"/>
                <w:szCs w:val="24"/>
                <w:highlight w:val="none"/>
                <w14:textFill>
                  <w14:solidFill>
                    <w14:schemeClr w14:val="tx1"/>
                  </w14:solidFill>
                </w14:textFill>
              </w:rPr>
              <w:t>分，扣完为止。公式如下：</w:t>
            </w:r>
          </w:p>
          <w:p w14:paraId="4D52E386">
            <w:pPr>
              <w:keepNext w:val="0"/>
              <w:keepLines w:val="0"/>
              <w:pageBreakBefore w:val="0"/>
              <w:kinsoku/>
              <w:overflowPunct/>
              <w:topLinePunct w:val="0"/>
              <w:autoSpaceDE/>
              <w:autoSpaceDN/>
              <w:bidi w:val="0"/>
              <w:adjustRightInd w:val="0"/>
              <w:snapToGrid w:val="0"/>
              <w:spacing w:line="4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M</w:t>
            </w:r>
            <w:r>
              <w:rPr>
                <w:rFonts w:hint="eastAsia" w:hAnsi="宋体" w:cs="宋体"/>
                <w:snapToGrid w:val="0"/>
                <w:color w:val="000000" w:themeColor="text1"/>
                <w:kern w:val="0"/>
                <w:szCs w:val="24"/>
                <w:highlight w:val="none"/>
                <w:vertAlign w:val="subscript"/>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30</w:t>
            </w:r>
            <w:r>
              <w:rPr>
                <w:rFonts w:hint="eastAsia" w:hAnsi="宋体" w:cs="宋体"/>
                <w:snapToGrid w:val="0"/>
                <w:color w:val="000000" w:themeColor="text1"/>
                <w:kern w:val="0"/>
                <w:szCs w:val="24"/>
                <w:highlight w:val="none"/>
                <w14:textFill>
                  <w14:solidFill>
                    <w14:schemeClr w14:val="tx1"/>
                  </w14:solidFill>
                </w14:textFill>
              </w:rPr>
              <w:t>－（|Di－D|÷D）×100×E</w:t>
            </w:r>
          </w:p>
          <w:p w14:paraId="004BD6CC">
            <w:pPr>
              <w:keepNext w:val="0"/>
              <w:keepLines w:val="0"/>
              <w:pageBreakBefore w:val="0"/>
              <w:kinsoku/>
              <w:overflowPunct/>
              <w:topLinePunct w:val="0"/>
              <w:autoSpaceDE/>
              <w:autoSpaceDN/>
              <w:bidi w:val="0"/>
              <w:spacing w:line="400" w:lineRule="exact"/>
              <w:ind w:firstLine="480"/>
              <w:jc w:val="left"/>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式中：D为评标基准价，Di为某投标人的投标总价；E为扣分因子。当Di＞D时，E＝</w:t>
            </w:r>
            <w:r>
              <w:rPr>
                <w:rFonts w:hint="eastAsia" w:hAnsi="宋体" w:cs="宋体"/>
                <w:snapToGrid w:val="0"/>
                <w:color w:val="000000" w:themeColor="text1"/>
                <w:kern w:val="0"/>
                <w:szCs w:val="24"/>
                <w:highlight w:val="none"/>
                <w:lang w:val="en-US" w:eastAsia="zh-CN"/>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；当Di＜D时，E＝</w:t>
            </w:r>
            <w:r>
              <w:rPr>
                <w:rFonts w:hint="eastAsia" w:hAnsi="宋体" w:cs="宋体"/>
                <w:snapToGrid w:val="0"/>
                <w:color w:val="000000" w:themeColor="text1"/>
                <w:kern w:val="0"/>
                <w:szCs w:val="24"/>
                <w:highlight w:val="none"/>
                <w:lang w:val="en-US" w:eastAsia="zh-CN"/>
                <w14:textFill>
                  <w14:solidFill>
                    <w14:schemeClr w14:val="tx1"/>
                  </w14:solidFill>
                </w14:textFill>
              </w:rPr>
              <w:t>0.5</w:t>
            </w:r>
            <w:r>
              <w:rPr>
                <w:rFonts w:hint="eastAsia" w:hAnsi="宋体" w:cs="宋体"/>
                <w:snapToGrid w:val="0"/>
                <w:color w:val="000000" w:themeColor="text1"/>
                <w:kern w:val="0"/>
                <w:szCs w:val="24"/>
                <w:highlight w:val="none"/>
                <w14:textFill>
                  <w14:solidFill>
                    <w14:schemeClr w14:val="tx1"/>
                  </w14:solidFill>
                </w14:textFill>
              </w:rPr>
              <w:t>。</w:t>
            </w:r>
          </w:p>
          <w:p w14:paraId="7067B699">
            <w:pPr>
              <w:keepNext w:val="0"/>
              <w:keepLines w:val="0"/>
              <w:pageBreakBefore w:val="0"/>
              <w:kinsoku/>
              <w:overflowPunct/>
              <w:topLinePunct w:val="0"/>
              <w:autoSpaceDE/>
              <w:autoSpaceDN/>
              <w:bidi w:val="0"/>
              <w:spacing w:line="400" w:lineRule="exact"/>
              <w:ind w:firstLine="480"/>
              <w:jc w:val="left"/>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式中：M3=经济部分得分，保留小数点后两位。</w:t>
            </w:r>
          </w:p>
        </w:tc>
      </w:tr>
    </w:tbl>
    <w:p w14:paraId="2C8DE374">
      <w:pPr>
        <w:rPr>
          <w:rFonts w:hint="eastAsia" w:hAnsi="宋体" w:cs="宋体"/>
          <w:b/>
          <w:bCs/>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14:textFill>
            <w14:solidFill>
              <w14:schemeClr w14:val="tx1"/>
            </w14:solidFill>
          </w14:textFill>
        </w:rPr>
        <w:t>注：</w:t>
      </w:r>
    </w:p>
    <w:p w14:paraId="63F633AC">
      <w:pPr>
        <w:rPr>
          <w:rFonts w:hint="eastAsia" w:hAnsi="宋体" w:cs="宋体"/>
          <w:b/>
          <w:bCs/>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14:textFill>
            <w14:solidFill>
              <w14:schemeClr w14:val="tx1"/>
            </w14:solidFill>
          </w14:textFill>
        </w:rPr>
        <w:t>1.评分如出现小数点，则保留小数点后两位，第三位四舍五入。</w:t>
      </w:r>
    </w:p>
    <w:p w14:paraId="21F61266">
      <w:pPr>
        <w:rPr>
          <w:rFonts w:hint="eastAsia" w:hAnsi="宋体" w:cs="宋体"/>
          <w:b/>
          <w:bCs/>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14:textFill>
            <w14:solidFill>
              <w14:schemeClr w14:val="tx1"/>
            </w14:solidFill>
          </w14:textFill>
        </w:rPr>
        <w:t>2.除总监理工程师外，拟委派的监理机构其他人员不作为形式评审、资格评审、响应性评审的审查内容，只作为综合评分的评审依据。</w:t>
      </w:r>
    </w:p>
    <w:p w14:paraId="4DF19E36">
      <w:pPr>
        <w:bidi w:val="0"/>
        <w:rPr>
          <w:rFonts w:hint="eastAsia"/>
          <w:color w:val="000000" w:themeColor="text1"/>
          <w:highlight w:val="none"/>
          <w14:textFill>
            <w14:solidFill>
              <w14:schemeClr w14:val="tx1"/>
            </w14:solidFill>
          </w14:textFill>
        </w:rPr>
      </w:pPr>
    </w:p>
    <w:p w14:paraId="63210174">
      <w:pPr>
        <w:pStyle w:val="7"/>
        <w:rPr>
          <w:rFonts w:hint="eastAsia"/>
          <w:color w:val="000000" w:themeColor="text1"/>
          <w:highlight w:val="none"/>
          <w14:textFill>
            <w14:solidFill>
              <w14:schemeClr w14:val="tx1"/>
            </w14:solidFill>
          </w14:textFill>
        </w:rPr>
      </w:pPr>
    </w:p>
    <w:p w14:paraId="7C2E4A19">
      <w:pPr>
        <w:rPr>
          <w:rFonts w:hint="eastAsia"/>
          <w:color w:val="000000" w:themeColor="text1"/>
          <w:highlight w:val="none"/>
          <w14:textFill>
            <w14:solidFill>
              <w14:schemeClr w14:val="tx1"/>
            </w14:solidFill>
          </w14:textFill>
        </w:rPr>
      </w:pPr>
    </w:p>
    <w:p w14:paraId="3A599A07">
      <w:pPr>
        <w:pStyle w:val="7"/>
        <w:rPr>
          <w:rFonts w:hint="eastAsia"/>
          <w:color w:val="000000" w:themeColor="text1"/>
          <w:highlight w:val="none"/>
          <w14:textFill>
            <w14:solidFill>
              <w14:schemeClr w14:val="tx1"/>
            </w14:solidFill>
          </w14:textFill>
        </w:rPr>
      </w:pPr>
    </w:p>
    <w:p w14:paraId="49139BA8">
      <w:pPr>
        <w:rPr>
          <w:rFonts w:hint="eastAsia"/>
          <w:color w:val="000000" w:themeColor="text1"/>
          <w:highlight w:val="none"/>
          <w14:textFill>
            <w14:solidFill>
              <w14:schemeClr w14:val="tx1"/>
            </w14:solidFill>
          </w14:textFill>
        </w:rPr>
      </w:pPr>
    </w:p>
    <w:p w14:paraId="0C6B7685">
      <w:pPr>
        <w:pStyle w:val="7"/>
        <w:rPr>
          <w:rFonts w:hint="eastAsia"/>
          <w:color w:val="000000" w:themeColor="text1"/>
          <w:highlight w:val="none"/>
          <w14:textFill>
            <w14:solidFill>
              <w14:schemeClr w14:val="tx1"/>
            </w14:solidFill>
          </w14:textFill>
        </w:rPr>
      </w:pPr>
    </w:p>
    <w:p w14:paraId="66ABCC45">
      <w:pPr>
        <w:rPr>
          <w:rFonts w:hint="eastAsia"/>
          <w:color w:val="000000" w:themeColor="text1"/>
          <w:highlight w:val="none"/>
          <w14:textFill>
            <w14:solidFill>
              <w14:schemeClr w14:val="tx1"/>
            </w14:solidFill>
          </w14:textFill>
        </w:rPr>
      </w:pPr>
    </w:p>
    <w:p w14:paraId="23147ACD">
      <w:pPr>
        <w:pStyle w:val="7"/>
        <w:rPr>
          <w:rFonts w:hint="eastAsia"/>
          <w:color w:val="000000" w:themeColor="text1"/>
          <w:highlight w:val="none"/>
          <w14:textFill>
            <w14:solidFill>
              <w14:schemeClr w14:val="tx1"/>
            </w14:solidFill>
          </w14:textFill>
        </w:rPr>
      </w:pPr>
    </w:p>
    <w:p w14:paraId="49E3D859">
      <w:pPr>
        <w:rPr>
          <w:rFonts w:hint="eastAsia"/>
          <w:color w:val="000000" w:themeColor="text1"/>
          <w:highlight w:val="none"/>
          <w14:textFill>
            <w14:solidFill>
              <w14:schemeClr w14:val="tx1"/>
            </w14:solidFill>
          </w14:textFill>
        </w:rPr>
      </w:pPr>
    </w:p>
    <w:p w14:paraId="2F85E6E9">
      <w:pPr>
        <w:pStyle w:val="7"/>
        <w:rPr>
          <w:rFonts w:hint="eastAsia"/>
          <w:color w:val="000000" w:themeColor="text1"/>
          <w:highlight w:val="none"/>
          <w14:textFill>
            <w14:solidFill>
              <w14:schemeClr w14:val="tx1"/>
            </w14:solidFill>
          </w14:textFill>
        </w:rPr>
      </w:pPr>
    </w:p>
    <w:p w14:paraId="3B2FA053">
      <w:pPr>
        <w:rPr>
          <w:rFonts w:hint="eastAsia"/>
          <w:color w:val="000000" w:themeColor="text1"/>
          <w:highlight w:val="none"/>
          <w14:textFill>
            <w14:solidFill>
              <w14:schemeClr w14:val="tx1"/>
            </w14:solidFill>
          </w14:textFill>
        </w:rPr>
      </w:pPr>
    </w:p>
    <w:p w14:paraId="70F3C7A4">
      <w:pPr>
        <w:pStyle w:val="7"/>
        <w:rPr>
          <w:rFonts w:hint="eastAsia"/>
          <w:highlight w:val="none"/>
        </w:rPr>
      </w:pPr>
    </w:p>
    <w:p w14:paraId="1CA5169A">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highlight w:val="none"/>
          <w14:textFill>
            <w14:solidFill>
              <w14:schemeClr w14:val="tx1"/>
            </w14:solidFill>
          </w14:textFill>
        </w:rPr>
      </w:pPr>
      <w:r>
        <w:rPr>
          <w:rFonts w:hint="eastAsia" w:hAnsi="宋体" w:cs="宋体"/>
          <w:b/>
          <w:bCs/>
          <w:snapToGrid w:val="0"/>
          <w:color w:val="000000" w:themeColor="text1"/>
          <w:kern w:val="0"/>
          <w:sz w:val="28"/>
          <w:szCs w:val="28"/>
          <w:highlight w:val="none"/>
          <w14:textFill>
            <w14:solidFill>
              <w14:schemeClr w14:val="tx1"/>
            </w14:solidFill>
          </w14:textFill>
        </w:rPr>
        <w:t>表2 项目监理机构其他人员需求表</w:t>
      </w:r>
    </w:p>
    <w:tbl>
      <w:tblPr>
        <w:tblStyle w:val="19"/>
        <w:tblW w:w="9720" w:type="dxa"/>
        <w:tblInd w:w="-4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2108"/>
        <w:gridCol w:w="597"/>
        <w:gridCol w:w="5475"/>
      </w:tblGrid>
      <w:tr w14:paraId="5CA0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0" w:type="dxa"/>
            <w:gridSpan w:val="4"/>
            <w:noWrap w:val="0"/>
            <w:vAlign w:val="center"/>
          </w:tcPr>
          <w:p w14:paraId="1FB266E7">
            <w:pPr>
              <w:widowControl w:val="0"/>
              <w:wordWrap w:val="0"/>
              <w:adjustRightInd w:val="0"/>
              <w:snapToGrid w:val="0"/>
              <w:spacing w:line="360" w:lineRule="exact"/>
              <w:jc w:val="left"/>
              <w:rPr>
                <w:rFonts w:ascii="黑体" w:hAnsi="黑体" w:eastAsia="黑体" w:cs="Times New Roman"/>
                <w:snapToGrid w:val="0"/>
                <w:color w:val="000000"/>
                <w:kern w:val="0"/>
                <w:sz w:val="21"/>
                <w:szCs w:val="24"/>
                <w:highlight w:val="none"/>
                <w:lang w:val="en-US" w:eastAsia="zh-CN" w:bidi="ar-SA"/>
              </w:rPr>
            </w:pPr>
            <w:r>
              <w:rPr>
                <w:rFonts w:hint="eastAsia" w:ascii="黑体" w:hAnsi="黑体" w:eastAsia="黑体" w:cs="Times New Roman"/>
                <w:b/>
                <w:bCs/>
                <w:snapToGrid w:val="0"/>
                <w:color w:val="000000"/>
                <w:kern w:val="0"/>
                <w:sz w:val="21"/>
                <w:szCs w:val="24"/>
                <w:highlight w:val="none"/>
                <w:lang w:val="en-US" w:eastAsia="zh-CN" w:bidi="ar-SA"/>
              </w:rPr>
              <w:t>监理人员：共</w:t>
            </w:r>
            <w:r>
              <w:rPr>
                <w:rFonts w:hint="eastAsia" w:ascii="黑体" w:hAnsi="黑体" w:eastAsia="黑体" w:cs="Times New Roman"/>
                <w:b/>
                <w:bCs/>
                <w:snapToGrid w:val="0"/>
                <w:color w:val="000000"/>
                <w:kern w:val="0"/>
                <w:sz w:val="21"/>
                <w:szCs w:val="24"/>
                <w:highlight w:val="none"/>
                <w:u w:val="single"/>
                <w:lang w:val="en-US" w:eastAsia="zh-CN" w:bidi="ar-SA"/>
              </w:rPr>
              <w:t xml:space="preserve"> 4 </w:t>
            </w:r>
            <w:r>
              <w:rPr>
                <w:rFonts w:hint="eastAsia" w:ascii="黑体" w:hAnsi="黑体" w:eastAsia="黑体" w:cs="Times New Roman"/>
                <w:b/>
                <w:bCs/>
                <w:snapToGrid w:val="0"/>
                <w:color w:val="000000"/>
                <w:kern w:val="0"/>
                <w:sz w:val="21"/>
                <w:szCs w:val="24"/>
                <w:highlight w:val="none"/>
                <w:lang w:val="en-US" w:eastAsia="zh-CN" w:bidi="ar-SA"/>
              </w:rPr>
              <w:t>人</w:t>
            </w:r>
          </w:p>
        </w:tc>
      </w:tr>
      <w:tr w14:paraId="5E3F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exact"/>
        </w:trPr>
        <w:tc>
          <w:tcPr>
            <w:tcW w:w="1540" w:type="dxa"/>
            <w:noWrap w:val="0"/>
            <w:vAlign w:val="center"/>
          </w:tcPr>
          <w:p w14:paraId="6A6ADF9A">
            <w:pPr>
              <w:widowControl w:val="0"/>
              <w:wordWrap w:val="0"/>
              <w:adjustRightInd w:val="0"/>
              <w:snapToGrid w:val="0"/>
              <w:spacing w:line="300" w:lineRule="exact"/>
              <w:jc w:val="center"/>
              <w:rPr>
                <w:rFonts w:ascii="黑体" w:hAnsi="黑体" w:eastAsia="黑体" w:cs="Times New Roman"/>
                <w:snapToGrid w:val="0"/>
                <w:color w:val="000000"/>
                <w:kern w:val="0"/>
                <w:sz w:val="21"/>
                <w:szCs w:val="24"/>
                <w:highlight w:val="none"/>
                <w:lang w:val="en-US" w:eastAsia="zh-CN" w:bidi="ar-SA"/>
              </w:rPr>
            </w:pPr>
            <w:r>
              <w:rPr>
                <w:rFonts w:hint="eastAsia" w:ascii="黑体" w:hAnsi="黑体" w:eastAsia="黑体" w:cs="Times New Roman"/>
                <w:snapToGrid w:val="0"/>
                <w:color w:val="000000"/>
                <w:kern w:val="0"/>
                <w:sz w:val="21"/>
                <w:szCs w:val="24"/>
                <w:highlight w:val="none"/>
                <w:lang w:val="en-US" w:eastAsia="zh-CN" w:bidi="ar-SA"/>
              </w:rPr>
              <w:t>职务</w:t>
            </w:r>
          </w:p>
        </w:tc>
        <w:tc>
          <w:tcPr>
            <w:tcW w:w="2108" w:type="dxa"/>
            <w:noWrap w:val="0"/>
            <w:vAlign w:val="center"/>
          </w:tcPr>
          <w:p w14:paraId="27249F99">
            <w:pPr>
              <w:widowControl w:val="0"/>
              <w:wordWrap w:val="0"/>
              <w:adjustRightInd w:val="0"/>
              <w:snapToGrid w:val="0"/>
              <w:spacing w:line="300" w:lineRule="exact"/>
              <w:jc w:val="center"/>
              <w:rPr>
                <w:rFonts w:ascii="黑体" w:hAnsi="黑体" w:eastAsia="黑体" w:cs="Times New Roman"/>
                <w:snapToGrid w:val="0"/>
                <w:color w:val="000000"/>
                <w:kern w:val="0"/>
                <w:sz w:val="21"/>
                <w:szCs w:val="24"/>
                <w:highlight w:val="none"/>
                <w:lang w:val="en-US" w:eastAsia="zh-CN" w:bidi="ar-SA"/>
              </w:rPr>
            </w:pPr>
            <w:r>
              <w:rPr>
                <w:rFonts w:hint="eastAsia" w:ascii="黑体" w:hAnsi="黑体" w:eastAsia="黑体" w:cs="Times New Roman"/>
                <w:snapToGrid w:val="0"/>
                <w:color w:val="000000"/>
                <w:kern w:val="0"/>
                <w:sz w:val="21"/>
                <w:szCs w:val="24"/>
                <w:highlight w:val="none"/>
                <w:lang w:val="en-US" w:eastAsia="zh-CN" w:bidi="ar-SA"/>
              </w:rPr>
              <w:t>专业要求</w:t>
            </w:r>
          </w:p>
        </w:tc>
        <w:tc>
          <w:tcPr>
            <w:tcW w:w="597" w:type="dxa"/>
            <w:noWrap w:val="0"/>
            <w:vAlign w:val="center"/>
          </w:tcPr>
          <w:p w14:paraId="693D8F31">
            <w:pPr>
              <w:widowControl w:val="0"/>
              <w:wordWrap w:val="0"/>
              <w:adjustRightInd w:val="0"/>
              <w:snapToGrid w:val="0"/>
              <w:spacing w:line="300" w:lineRule="exact"/>
              <w:jc w:val="center"/>
              <w:rPr>
                <w:rFonts w:ascii="黑体" w:hAnsi="黑体" w:eastAsia="黑体" w:cs="Times New Roman"/>
                <w:snapToGrid w:val="0"/>
                <w:color w:val="000000"/>
                <w:kern w:val="0"/>
                <w:sz w:val="21"/>
                <w:szCs w:val="24"/>
                <w:highlight w:val="none"/>
                <w:lang w:val="en-US" w:eastAsia="zh-CN" w:bidi="ar-SA"/>
              </w:rPr>
            </w:pPr>
            <w:r>
              <w:rPr>
                <w:rFonts w:hint="eastAsia" w:ascii="黑体" w:hAnsi="黑体" w:eastAsia="黑体" w:cs="Times New Roman"/>
                <w:snapToGrid w:val="0"/>
                <w:color w:val="000000"/>
                <w:kern w:val="0"/>
                <w:sz w:val="21"/>
                <w:szCs w:val="24"/>
                <w:highlight w:val="none"/>
                <w:lang w:val="en-US" w:eastAsia="zh-CN" w:bidi="ar-SA"/>
              </w:rPr>
              <w:t>数量</w:t>
            </w:r>
          </w:p>
          <w:p w14:paraId="7B4D6B79">
            <w:pPr>
              <w:widowControl w:val="0"/>
              <w:wordWrap w:val="0"/>
              <w:adjustRightInd w:val="0"/>
              <w:snapToGrid w:val="0"/>
              <w:spacing w:line="300" w:lineRule="exact"/>
              <w:jc w:val="center"/>
              <w:rPr>
                <w:rFonts w:ascii="黑体" w:hAnsi="黑体" w:eastAsia="黑体" w:cs="Times New Roman"/>
                <w:snapToGrid w:val="0"/>
                <w:color w:val="000000"/>
                <w:kern w:val="0"/>
                <w:sz w:val="21"/>
                <w:szCs w:val="24"/>
                <w:highlight w:val="none"/>
                <w:lang w:val="en-US" w:eastAsia="zh-CN" w:bidi="ar-SA"/>
              </w:rPr>
            </w:pPr>
            <w:r>
              <w:rPr>
                <w:rFonts w:hint="eastAsia" w:ascii="黑体" w:hAnsi="黑体" w:eastAsia="黑体" w:cs="Times New Roman"/>
                <w:snapToGrid w:val="0"/>
                <w:color w:val="000000"/>
                <w:kern w:val="0"/>
                <w:sz w:val="21"/>
                <w:szCs w:val="24"/>
                <w:highlight w:val="none"/>
                <w:lang w:val="en-US" w:eastAsia="zh-CN" w:bidi="ar-SA"/>
              </w:rPr>
              <w:t>要求</w:t>
            </w:r>
          </w:p>
        </w:tc>
        <w:tc>
          <w:tcPr>
            <w:tcW w:w="5475" w:type="dxa"/>
            <w:noWrap w:val="0"/>
            <w:vAlign w:val="center"/>
          </w:tcPr>
          <w:p w14:paraId="0CC4E65C">
            <w:pPr>
              <w:widowControl w:val="0"/>
              <w:wordWrap w:val="0"/>
              <w:adjustRightInd w:val="0"/>
              <w:snapToGrid w:val="0"/>
              <w:spacing w:line="300" w:lineRule="exact"/>
              <w:jc w:val="center"/>
              <w:rPr>
                <w:rFonts w:ascii="黑体" w:hAnsi="黑体" w:eastAsia="黑体" w:cs="Times New Roman"/>
                <w:snapToGrid w:val="0"/>
                <w:color w:val="000000"/>
                <w:kern w:val="0"/>
                <w:sz w:val="21"/>
                <w:szCs w:val="24"/>
                <w:highlight w:val="none"/>
                <w:lang w:val="en-US" w:eastAsia="zh-CN" w:bidi="ar-SA"/>
              </w:rPr>
            </w:pPr>
            <w:r>
              <w:rPr>
                <w:rFonts w:hint="eastAsia" w:ascii="黑体" w:hAnsi="黑体" w:eastAsia="黑体" w:cs="Times New Roman"/>
                <w:snapToGrid w:val="0"/>
                <w:color w:val="000000"/>
                <w:kern w:val="0"/>
                <w:sz w:val="21"/>
                <w:szCs w:val="24"/>
                <w:highlight w:val="none"/>
                <w:lang w:val="en-US" w:eastAsia="zh-CN" w:bidi="ar-SA"/>
              </w:rPr>
              <w:t>持证要求</w:t>
            </w:r>
          </w:p>
        </w:tc>
      </w:tr>
      <w:tr w14:paraId="65D4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1" w:hRule="exact"/>
        </w:trPr>
        <w:tc>
          <w:tcPr>
            <w:tcW w:w="1540" w:type="dxa"/>
            <w:noWrap w:val="0"/>
            <w:vAlign w:val="center"/>
          </w:tcPr>
          <w:p w14:paraId="2E328067">
            <w:pPr>
              <w:widowControl w:val="0"/>
              <w:wordWrap w:val="0"/>
              <w:adjustRightInd w:val="0"/>
              <w:snapToGrid w:val="0"/>
              <w:spacing w:line="360" w:lineRule="exact"/>
              <w:jc w:val="center"/>
              <w:rPr>
                <w:rFonts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专业监理</w:t>
            </w:r>
          </w:p>
          <w:p w14:paraId="62239284">
            <w:pPr>
              <w:widowControl w:val="0"/>
              <w:wordWrap w:val="0"/>
              <w:adjustRightInd w:val="0"/>
              <w:snapToGrid w:val="0"/>
              <w:spacing w:line="360" w:lineRule="exact"/>
              <w:jc w:val="center"/>
              <w:rPr>
                <w:rFonts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工程师</w:t>
            </w:r>
          </w:p>
        </w:tc>
        <w:tc>
          <w:tcPr>
            <w:tcW w:w="2108" w:type="dxa"/>
            <w:noWrap w:val="0"/>
            <w:vAlign w:val="center"/>
          </w:tcPr>
          <w:p w14:paraId="718A4A14">
            <w:pPr>
              <w:widowControl w:val="0"/>
              <w:wordWrap w:val="0"/>
              <w:adjustRightInd w:val="0"/>
              <w:snapToGrid w:val="0"/>
              <w:spacing w:line="360" w:lineRule="exact"/>
              <w:jc w:val="center"/>
              <w:rPr>
                <w:rFonts w:hint="eastAsia" w:ascii="Times New Roman" w:hAnsi="Times New Roman" w:eastAsia="宋体" w:cs="Times New Roman"/>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房屋建筑工程</w:t>
            </w:r>
          </w:p>
        </w:tc>
        <w:tc>
          <w:tcPr>
            <w:tcW w:w="597" w:type="dxa"/>
            <w:noWrap w:val="0"/>
            <w:vAlign w:val="center"/>
          </w:tcPr>
          <w:p w14:paraId="57122949">
            <w:pPr>
              <w:widowControl w:val="0"/>
              <w:wordWrap w:val="0"/>
              <w:adjustRightInd w:val="0"/>
              <w:snapToGrid w:val="0"/>
              <w:spacing w:line="360" w:lineRule="exact"/>
              <w:jc w:val="center"/>
              <w:rPr>
                <w:rFonts w:hint="eastAsia"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1</w:t>
            </w:r>
          </w:p>
        </w:tc>
        <w:tc>
          <w:tcPr>
            <w:tcW w:w="5475" w:type="dxa"/>
            <w:noWrap w:val="0"/>
            <w:vAlign w:val="center"/>
          </w:tcPr>
          <w:p w14:paraId="53723EBB">
            <w:pPr>
              <w:widowControl w:val="0"/>
              <w:wordWrap w:val="0"/>
              <w:adjustRightInd w:val="0"/>
              <w:snapToGrid w:val="0"/>
              <w:spacing w:line="360" w:lineRule="exact"/>
              <w:jc w:val="both"/>
              <w:rPr>
                <w:rFonts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符合以下3种情形之一均可：</w:t>
            </w:r>
          </w:p>
          <w:p w14:paraId="3B76E10A">
            <w:pPr>
              <w:widowControl w:val="0"/>
              <w:wordWrap w:val="0"/>
              <w:adjustRightInd w:val="0"/>
              <w:snapToGrid w:val="0"/>
              <w:spacing w:line="360" w:lineRule="exact"/>
              <w:jc w:val="both"/>
              <w:rPr>
                <w:rFonts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1．具备所需专业注册监理工程师执业资格，持有效的注册证书；</w:t>
            </w:r>
          </w:p>
          <w:p w14:paraId="4BE1E253">
            <w:pPr>
              <w:widowControl w:val="0"/>
              <w:wordWrap w:val="0"/>
              <w:adjustRightInd w:val="0"/>
              <w:snapToGrid w:val="0"/>
              <w:spacing w:line="360" w:lineRule="exact"/>
              <w:jc w:val="both"/>
              <w:rPr>
                <w:rFonts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2．具备工程类注册执业资格，并经监理业务培训。持有效的注册证书、省级建设行政主管部门或其授权的组织（机构）颁发的岗位证书；</w:t>
            </w:r>
          </w:p>
          <w:p w14:paraId="3A1C5820">
            <w:pPr>
              <w:widowControl w:val="0"/>
              <w:wordWrap w:val="0"/>
              <w:adjustRightInd w:val="0"/>
              <w:snapToGrid w:val="0"/>
              <w:spacing w:line="360" w:lineRule="exact"/>
              <w:jc w:val="both"/>
              <w:rPr>
                <w:rFonts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3．具备中级及以上专业技术职称，并经监理业务培训。持有效的职称证书、省级建设行政主管部门或其授权的组织（机构）颁发的岗位证书。</w:t>
            </w:r>
          </w:p>
        </w:tc>
      </w:tr>
      <w:tr w14:paraId="03DF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1540" w:type="dxa"/>
            <w:noWrap w:val="0"/>
            <w:vAlign w:val="center"/>
          </w:tcPr>
          <w:p w14:paraId="43C8A310">
            <w:pPr>
              <w:widowControl w:val="0"/>
              <w:wordWrap w:val="0"/>
              <w:adjustRightInd w:val="0"/>
              <w:snapToGrid w:val="0"/>
              <w:spacing w:line="360" w:lineRule="exact"/>
              <w:jc w:val="center"/>
              <w:rPr>
                <w:rFonts w:hint="eastAsia"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造价工程师</w:t>
            </w:r>
          </w:p>
        </w:tc>
        <w:tc>
          <w:tcPr>
            <w:tcW w:w="2108" w:type="dxa"/>
            <w:noWrap w:val="0"/>
            <w:vAlign w:val="center"/>
          </w:tcPr>
          <w:p w14:paraId="4A9A6322">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注册造价工程师</w:t>
            </w:r>
          </w:p>
        </w:tc>
        <w:tc>
          <w:tcPr>
            <w:tcW w:w="597" w:type="dxa"/>
            <w:noWrap w:val="0"/>
            <w:vAlign w:val="center"/>
          </w:tcPr>
          <w:p w14:paraId="190DAB19">
            <w:pPr>
              <w:widowControl w:val="0"/>
              <w:wordWrap w:val="0"/>
              <w:adjustRightInd w:val="0"/>
              <w:snapToGrid w:val="0"/>
              <w:spacing w:line="360" w:lineRule="exact"/>
              <w:jc w:val="center"/>
              <w:rPr>
                <w:rFonts w:hint="default" w:ascii="Times New Roman" w:hAnsi="Times New Roman" w:eastAsia="宋体" w:cs="Times New Roman"/>
                <w:snapToGrid w:val="0"/>
                <w:color w:val="000000"/>
                <w:kern w:val="0"/>
                <w:sz w:val="21"/>
                <w:szCs w:val="24"/>
                <w:highlight w:val="none"/>
                <w:lang w:val="en-US" w:eastAsia="zh-CN" w:bidi="ar-SA"/>
              </w:rPr>
            </w:pPr>
            <w:r>
              <w:rPr>
                <w:rFonts w:hint="eastAsia" w:ascii="Times New Roman" w:hAnsi="Times New Roman" w:eastAsia="宋体" w:cs="Times New Roman"/>
                <w:snapToGrid w:val="0"/>
                <w:color w:val="000000"/>
                <w:kern w:val="0"/>
                <w:sz w:val="21"/>
                <w:szCs w:val="24"/>
                <w:highlight w:val="none"/>
                <w:lang w:val="en-US" w:eastAsia="zh-CN" w:bidi="ar-SA"/>
              </w:rPr>
              <w:t>1</w:t>
            </w:r>
          </w:p>
        </w:tc>
        <w:tc>
          <w:tcPr>
            <w:tcW w:w="5475" w:type="dxa"/>
            <w:noWrap w:val="0"/>
            <w:vAlign w:val="center"/>
          </w:tcPr>
          <w:p w14:paraId="66642F40">
            <w:pPr>
              <w:widowControl w:val="0"/>
              <w:wordWrap w:val="0"/>
              <w:adjustRightInd w:val="0"/>
              <w:snapToGrid w:val="0"/>
              <w:spacing w:line="360" w:lineRule="exact"/>
              <w:jc w:val="center"/>
              <w:rPr>
                <w:rFonts w:hint="eastAsia" w:ascii="Times New Roman" w:hAnsi="Times New Roman" w:eastAsia="宋体" w:cs="Times New Roman"/>
                <w:snapToGrid w:val="0"/>
                <w:color w:val="000000"/>
                <w:kern w:val="0"/>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具备注册造价工程师注册证书</w:t>
            </w:r>
          </w:p>
        </w:tc>
      </w:tr>
      <w:tr w14:paraId="360E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exact"/>
        </w:trPr>
        <w:tc>
          <w:tcPr>
            <w:tcW w:w="1540" w:type="dxa"/>
            <w:noWrap w:val="0"/>
            <w:vAlign w:val="center"/>
          </w:tcPr>
          <w:p w14:paraId="516BC984">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安全工程师</w:t>
            </w:r>
          </w:p>
        </w:tc>
        <w:tc>
          <w:tcPr>
            <w:tcW w:w="2108" w:type="dxa"/>
            <w:noWrap w:val="0"/>
            <w:vAlign w:val="center"/>
          </w:tcPr>
          <w:p w14:paraId="11A175A2">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注册安全工程师</w:t>
            </w:r>
          </w:p>
        </w:tc>
        <w:tc>
          <w:tcPr>
            <w:tcW w:w="597" w:type="dxa"/>
            <w:noWrap w:val="0"/>
            <w:vAlign w:val="center"/>
          </w:tcPr>
          <w:p w14:paraId="280988C1">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1</w:t>
            </w:r>
          </w:p>
        </w:tc>
        <w:tc>
          <w:tcPr>
            <w:tcW w:w="5475" w:type="dxa"/>
            <w:noWrap w:val="0"/>
            <w:vAlign w:val="center"/>
          </w:tcPr>
          <w:p w14:paraId="2833F14D">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具备注册安全工程师注册证书</w:t>
            </w:r>
          </w:p>
        </w:tc>
      </w:tr>
      <w:tr w14:paraId="238D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1540" w:type="dxa"/>
            <w:noWrap w:val="0"/>
            <w:vAlign w:val="center"/>
          </w:tcPr>
          <w:p w14:paraId="00177D93">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监理员</w:t>
            </w:r>
          </w:p>
        </w:tc>
        <w:tc>
          <w:tcPr>
            <w:tcW w:w="2108" w:type="dxa"/>
            <w:noWrap w:val="0"/>
            <w:vAlign w:val="center"/>
          </w:tcPr>
          <w:p w14:paraId="5A632338">
            <w:pPr>
              <w:widowControl w:val="0"/>
              <w:wordWrap w:val="0"/>
              <w:adjustRightInd w:val="0"/>
              <w:snapToGrid w:val="0"/>
              <w:spacing w:line="360" w:lineRule="exact"/>
              <w:jc w:val="center"/>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具备监理员岗位证书（有效期内）</w:t>
            </w:r>
          </w:p>
        </w:tc>
        <w:tc>
          <w:tcPr>
            <w:tcW w:w="597" w:type="dxa"/>
            <w:noWrap w:val="0"/>
            <w:vAlign w:val="center"/>
          </w:tcPr>
          <w:p w14:paraId="15D0D5EE">
            <w:pPr>
              <w:widowControl w:val="0"/>
              <w:wordWrap w:val="0"/>
              <w:adjustRightInd w:val="0"/>
              <w:snapToGrid w:val="0"/>
              <w:spacing w:line="360" w:lineRule="exact"/>
              <w:jc w:val="center"/>
              <w:rPr>
                <w:rFonts w:hint="default"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1</w:t>
            </w:r>
          </w:p>
        </w:tc>
        <w:tc>
          <w:tcPr>
            <w:tcW w:w="5475" w:type="dxa"/>
            <w:noWrap w:val="0"/>
            <w:vAlign w:val="center"/>
          </w:tcPr>
          <w:p w14:paraId="25DBD4AE">
            <w:pPr>
              <w:widowControl w:val="0"/>
              <w:wordWrap w:val="0"/>
              <w:adjustRightInd w:val="0"/>
              <w:snapToGrid w:val="0"/>
              <w:spacing w:line="360" w:lineRule="exact"/>
              <w:jc w:val="left"/>
              <w:rPr>
                <w:rFonts w:hint="eastAsia" w:ascii="宋体" w:hAnsi="宋体" w:eastAsia="宋体" w:cs="宋体"/>
                <w:snapToGrid w:val="0"/>
                <w:color w:val="000000"/>
                <w:kern w:val="0"/>
                <w:sz w:val="21"/>
                <w:szCs w:val="24"/>
                <w:highlight w:val="none"/>
                <w:lang w:val="en-US" w:eastAsia="zh-CN" w:bidi="ar-SA"/>
              </w:rPr>
            </w:pPr>
            <w:r>
              <w:rPr>
                <w:rFonts w:hint="eastAsia" w:ascii="宋体" w:hAnsi="宋体" w:eastAsia="宋体" w:cs="宋体"/>
                <w:snapToGrid w:val="0"/>
                <w:color w:val="000000"/>
                <w:kern w:val="0"/>
                <w:sz w:val="21"/>
                <w:szCs w:val="24"/>
                <w:highlight w:val="none"/>
                <w:lang w:val="en-US" w:eastAsia="zh-CN" w:bidi="ar-SA"/>
              </w:rPr>
              <w:t>经监理业务培训，持有效的省级建设行政主管部门或其授权的组织（机构）颁发的岗位证书。</w:t>
            </w:r>
          </w:p>
        </w:tc>
      </w:tr>
    </w:tbl>
    <w:p w14:paraId="280A296A">
      <w:pPr>
        <w:adjustRightInd w:val="0"/>
        <w:snapToGrid w:val="0"/>
        <w:spacing w:line="440" w:lineRule="exact"/>
        <w:ind w:firstLine="482" w:firstLineChars="200"/>
        <w:rPr>
          <w:rFonts w:hAnsi="宋体" w:cs="宋体"/>
          <w:snapToGrid w:val="0"/>
          <w:color w:val="000000" w:themeColor="text1"/>
          <w:kern w:val="0"/>
          <w:highlight w:val="none"/>
          <w14:textFill>
            <w14:solidFill>
              <w14:schemeClr w14:val="tx1"/>
            </w14:solidFill>
          </w14:textFill>
        </w:rPr>
      </w:pPr>
      <w:r>
        <w:rPr>
          <w:rFonts w:hint="eastAsia" w:hAnsi="宋体" w:cs="宋体"/>
          <w:b/>
          <w:bCs/>
          <w:color w:val="000000" w:themeColor="text1"/>
          <w:kern w:val="0"/>
          <w:szCs w:val="24"/>
          <w:highlight w:val="none"/>
          <w14:textFill>
            <w14:solidFill>
              <w14:schemeClr w14:val="tx1"/>
            </w14:solidFill>
          </w14:textFill>
        </w:rPr>
        <w:t>注：以上人员一人一岗，不得重复。除总监理工程师外，拟委派的监理机构其他人员不作为形式评审、资格评审、响应性评审的审查内容，只作为综合评分的评审依据。</w:t>
      </w:r>
      <w:r>
        <w:rPr>
          <w:rFonts w:hint="eastAsia" w:hAnsi="宋体" w:cs="宋体"/>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br w:type="page"/>
      </w:r>
    </w:p>
    <w:p w14:paraId="0EDE3217">
      <w:pPr>
        <w:wordWrap w:val="0"/>
        <w:adjustRightInd w:val="0"/>
        <w:snapToGrid w:val="0"/>
        <w:spacing w:line="440" w:lineRule="exact"/>
        <w:ind w:firstLine="482" w:firstLineChars="200"/>
        <w:rPr>
          <w:rFonts w:hAnsi="宋体" w:cs="宋体"/>
          <w:b/>
          <w:bCs/>
          <w:snapToGrid w:val="0"/>
          <w:color w:val="000000" w:themeColor="text1"/>
          <w:kern w:val="0"/>
          <w:szCs w:val="24"/>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3C4A9CA3">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15.5.2 </w:t>
      </w:r>
      <w:r>
        <w:rPr>
          <w:rFonts w:hint="eastAsia" w:hAnsi="宋体" w:cs="宋体"/>
          <w:snapToGrid w:val="0"/>
          <w:color w:val="000000" w:themeColor="text1"/>
          <w:kern w:val="0"/>
          <w:szCs w:val="24"/>
          <w:highlight w:val="none"/>
          <w14:textFill>
            <w14:solidFill>
              <w14:schemeClr w14:val="tx1"/>
            </w14:solidFill>
          </w14:textFill>
        </w:rPr>
        <w:t>否决投标说明</w:t>
      </w:r>
    </w:p>
    <w:p w14:paraId="6AA755E1">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szCs w:val="24"/>
          <w:highlight w:val="none"/>
          <w:lang w:val="en-US" w:eastAsia="zh-CN"/>
          <w14:textFill>
            <w14:solidFill>
              <w14:schemeClr w14:val="tx1"/>
            </w14:solidFill>
          </w14:textFill>
        </w:rPr>
        <w:t>1-</w:t>
      </w:r>
      <w:r>
        <w:rPr>
          <w:rFonts w:hint="eastAsia" w:hAnsi="宋体" w:cs="宋体"/>
          <w:b/>
          <w:bCs/>
          <w:snapToGrid w:val="0"/>
          <w:color w:val="000000" w:themeColor="text1"/>
          <w:kern w:val="0"/>
          <w:szCs w:val="24"/>
          <w:highlight w:val="none"/>
          <w14:textFill>
            <w14:solidFill>
              <w14:schemeClr w14:val="tx1"/>
            </w14:solidFill>
          </w14:textFill>
        </w:rPr>
        <w:t>4</w:t>
      </w:r>
      <w:r>
        <w:rPr>
          <w:rFonts w:hint="eastAsia" w:hAnsi="宋体" w:cs="宋体"/>
          <w:snapToGrid w:val="0"/>
          <w:color w:val="000000" w:themeColor="text1"/>
          <w:kern w:val="0"/>
          <w:szCs w:val="24"/>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480E1D7B">
      <w:pPr>
        <w:wordWrap w:val="0"/>
        <w:adjustRightInd w:val="0"/>
        <w:snapToGrid w:val="0"/>
        <w:spacing w:line="440" w:lineRule="exact"/>
        <w:ind w:firstLine="482" w:firstLineChars="200"/>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E389802">
      <w:pPr>
        <w:wordWrap w:val="0"/>
        <w:adjustRightInd w:val="0"/>
        <w:snapToGrid w:val="0"/>
        <w:spacing w:line="440" w:lineRule="exact"/>
        <w:ind w:firstLine="482" w:firstLineChars="200"/>
        <w:outlineLvl w:val="2"/>
        <w:rPr>
          <w:rFonts w:hAnsi="宋体" w:cs="宋体"/>
          <w:b/>
          <w:snapToGrid w:val="0"/>
          <w:color w:val="000000" w:themeColor="text1"/>
          <w:kern w:val="0"/>
          <w:szCs w:val="24"/>
          <w:highlight w:val="none"/>
          <w14:textFill>
            <w14:solidFill>
              <w14:schemeClr w14:val="tx1"/>
            </w14:solidFill>
          </w14:textFill>
        </w:rPr>
      </w:pPr>
      <w:bookmarkStart w:id="64" w:name="_Toc6456"/>
      <w:r>
        <w:rPr>
          <w:rFonts w:hint="eastAsia" w:hAnsi="宋体" w:cs="宋体"/>
          <w:b/>
          <w:snapToGrid w:val="0"/>
          <w:color w:val="000000" w:themeColor="text1"/>
          <w:kern w:val="0"/>
          <w:szCs w:val="24"/>
          <w:highlight w:val="none"/>
          <w14:textFill>
            <w14:solidFill>
              <w14:schemeClr w14:val="tx1"/>
            </w14:solidFill>
          </w14:textFill>
        </w:rPr>
        <w:t>16．推荐中标候选人</w:t>
      </w:r>
      <w:bookmarkEnd w:id="64"/>
    </w:p>
    <w:p w14:paraId="0874B04D">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16.1</w:t>
      </w:r>
      <w:r>
        <w:rPr>
          <w:rFonts w:hint="eastAsia" w:hAnsi="宋体" w:cs="宋体"/>
          <w:snapToGrid w:val="0"/>
          <w:color w:val="000000" w:themeColor="text1"/>
          <w:kern w:val="0"/>
          <w:szCs w:val="24"/>
          <w:highlight w:val="none"/>
          <w14:textFill>
            <w14:solidFill>
              <w14:schemeClr w14:val="tx1"/>
            </w14:solidFill>
          </w14:textFill>
        </w:rPr>
        <w:t xml:space="preserve"> 确定排名</w:t>
      </w:r>
    </w:p>
    <w:p w14:paraId="391BD148">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1D621FAF">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16.2</w:t>
      </w:r>
      <w:r>
        <w:rPr>
          <w:rFonts w:hint="eastAsia" w:hAnsi="宋体" w:cs="宋体"/>
          <w:snapToGrid w:val="0"/>
          <w:color w:val="000000" w:themeColor="text1"/>
          <w:kern w:val="0"/>
          <w:szCs w:val="24"/>
          <w:highlight w:val="none"/>
          <w14:textFill>
            <w14:solidFill>
              <w14:schemeClr w14:val="tx1"/>
            </w14:solidFill>
          </w14:textFill>
        </w:rPr>
        <w:t xml:space="preserve"> 推荐方法</w:t>
      </w:r>
    </w:p>
    <w:p w14:paraId="0E09F8BE">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（1）有效投标人数量达到或超过3个的，评标委员会将前三名投标人作为中标候选人向招标人推荐，并标明排列顺序。</w:t>
      </w:r>
    </w:p>
    <w:p w14:paraId="471E085C">
      <w:pPr>
        <w:wordWrap w:val="0"/>
        <w:adjustRightInd w:val="0"/>
        <w:snapToGrid w:val="0"/>
        <w:spacing w:line="44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44A8AB45">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16.3</w:t>
      </w:r>
      <w:r>
        <w:rPr>
          <w:rFonts w:hint="eastAsia" w:hAnsi="宋体" w:cs="宋体"/>
          <w:snapToGrid w:val="0"/>
          <w:color w:val="000000" w:themeColor="text1"/>
          <w:kern w:val="0"/>
          <w:szCs w:val="24"/>
          <w:highlight w:val="none"/>
          <w14:textFill>
            <w14:solidFill>
              <w14:schemeClr w14:val="tx1"/>
            </w14:solidFill>
          </w14:textFill>
        </w:rPr>
        <w:t xml:space="preserve"> 评标委员会完成评标后，应向招标人提交由全体评标委员会成员签字的评标报告和中标候选人名单。</w:t>
      </w:r>
    </w:p>
    <w:p w14:paraId="4D214F5D">
      <w:pPr>
        <w:wordWrap w:val="0"/>
        <w:adjustRightInd w:val="0"/>
        <w:snapToGrid w:val="0"/>
        <w:spacing w:line="440" w:lineRule="exact"/>
        <w:ind w:firstLine="482" w:firstLineChars="200"/>
        <w:outlineLvl w:val="2"/>
        <w:rPr>
          <w:rFonts w:hAnsi="宋体" w:cs="宋体"/>
          <w:b/>
          <w:snapToGrid w:val="0"/>
          <w:color w:val="000000" w:themeColor="text1"/>
          <w:kern w:val="0"/>
          <w:szCs w:val="24"/>
          <w:highlight w:val="none"/>
          <w14:textFill>
            <w14:solidFill>
              <w14:schemeClr w14:val="tx1"/>
            </w14:solidFill>
          </w14:textFill>
        </w:rPr>
      </w:pPr>
      <w:bookmarkStart w:id="65" w:name="_Toc27582"/>
      <w:r>
        <w:rPr>
          <w:rFonts w:hint="eastAsia" w:hAnsi="宋体" w:cs="宋体"/>
          <w:b/>
          <w:snapToGrid w:val="0"/>
          <w:color w:val="000000" w:themeColor="text1"/>
          <w:kern w:val="0"/>
          <w:szCs w:val="24"/>
          <w:highlight w:val="none"/>
          <w14:textFill>
            <w14:solidFill>
              <w14:schemeClr w14:val="tx1"/>
            </w14:solidFill>
          </w14:textFill>
        </w:rPr>
        <w:t>17．中标候选人公示</w:t>
      </w:r>
      <w:bookmarkEnd w:id="65"/>
    </w:p>
    <w:p w14:paraId="70C29BB5">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17.1</w:t>
      </w:r>
      <w:r>
        <w:rPr>
          <w:rFonts w:hint="eastAsia" w:hAnsi="宋体" w:cs="宋体"/>
          <w:bCs/>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757D105E">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17.2</w:t>
      </w:r>
      <w:r>
        <w:rPr>
          <w:rFonts w:hint="eastAsia" w:hAnsi="宋体" w:cs="宋体"/>
          <w:snapToGrid w:val="0"/>
          <w:color w:val="000000" w:themeColor="text1"/>
          <w:kern w:val="0"/>
          <w:szCs w:val="24"/>
          <w:highlight w:val="none"/>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9EE128C">
      <w:pPr>
        <w:wordWrap w:val="0"/>
        <w:adjustRightInd w:val="0"/>
        <w:snapToGrid w:val="0"/>
        <w:spacing w:line="440" w:lineRule="exact"/>
        <w:ind w:firstLine="482"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17.3</w:t>
      </w:r>
      <w:r>
        <w:rPr>
          <w:rFonts w:hint="eastAsia" w:hAnsi="宋体" w:cs="宋体"/>
          <w:snapToGrid w:val="0"/>
          <w:color w:val="000000" w:themeColor="text1"/>
          <w:kern w:val="0"/>
          <w:szCs w:val="24"/>
          <w:highlight w:val="none"/>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15CCB90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24C4BB8">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866718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3831DCE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BB746C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29B230F2">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4B211AB6">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700A8B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D50E0E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0DACE2E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733851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45F8E71D">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0662E43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6AE10D36">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F7C6B81">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530D28E">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70EF14AD">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32E4FA26">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507A25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0164FE7">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46CEFC0">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77E11E7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16F1BC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715DE22A">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F1170F2">
      <w:pPr>
        <w:wordWrap w:val="0"/>
        <w:adjustRightInd w:val="0"/>
        <w:snapToGrid w:val="0"/>
        <w:spacing w:line="440" w:lineRule="exact"/>
        <w:outlineLvl w:val="1"/>
        <w:rPr>
          <w:rFonts w:hAnsi="宋体" w:cs="宋体"/>
          <w:snapToGrid w:val="0"/>
          <w:color w:val="000000" w:themeColor="text1"/>
          <w:kern w:val="0"/>
          <w:highlight w:val="none"/>
          <w14:textFill>
            <w14:solidFill>
              <w14:schemeClr w14:val="tx1"/>
            </w14:solidFill>
          </w14:textFill>
        </w:rPr>
      </w:pPr>
      <w:bookmarkStart w:id="66" w:name="_Toc12424"/>
      <w:r>
        <w:rPr>
          <w:rFonts w:hint="eastAsia" w:hAnsi="宋体" w:cs="宋体"/>
          <w:b/>
          <w:bCs/>
          <w:snapToGrid w:val="0"/>
          <w:color w:val="000000" w:themeColor="text1"/>
          <w:kern w:val="0"/>
          <w:highlight w:val="none"/>
          <w14:textFill>
            <w14:solidFill>
              <w14:schemeClr w14:val="tx1"/>
            </w14:solidFill>
          </w14:textFill>
        </w:rPr>
        <w:t>第四节 否决投标条件</w:t>
      </w:r>
      <w:bookmarkEnd w:id="66"/>
    </w:p>
    <w:p w14:paraId="116257FB">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highlight w:val="none"/>
          <w14:textFill>
            <w14:solidFill>
              <w14:schemeClr w14:val="tx1"/>
            </w14:solidFill>
          </w14:textFill>
        </w:rPr>
        <w:t>投标人未有列入本节情形的，评标时一律不得否决其投标。</w:t>
      </w:r>
      <w:r>
        <w:rPr>
          <w:rFonts w:hint="eastAsia" w:hAnsi="宋体" w:cs="宋体"/>
          <w:snapToGrid w:val="0"/>
          <w:color w:val="000000" w:themeColor="text1"/>
          <w:kern w:val="0"/>
          <w:highlight w:val="none"/>
          <w14:textFill>
            <w14:solidFill>
              <w14:schemeClr w14:val="tx1"/>
            </w14:solidFill>
          </w14:textFill>
        </w:rPr>
        <w:t>本节所称“规定”均指招标文件的规定。</w:t>
      </w:r>
    </w:p>
    <w:p w14:paraId="1DE22C70">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snapToGrid w:val="0"/>
          <w:color w:val="000000" w:themeColor="text1"/>
          <w:kern w:val="0"/>
          <w:highlight w:val="none"/>
          <w14:textFill>
            <w14:solidFill>
              <w14:schemeClr w14:val="tx1"/>
            </w14:solidFill>
          </w14:textFill>
        </w:rPr>
      </w:pPr>
      <w:bookmarkStart w:id="67" w:name="_Toc27524"/>
      <w:r>
        <w:rPr>
          <w:rFonts w:hint="eastAsia" w:hAnsi="宋体" w:cs="宋体"/>
          <w:b/>
          <w:bCs/>
          <w:snapToGrid w:val="0"/>
          <w:color w:val="000000" w:themeColor="text1"/>
          <w:kern w:val="0"/>
          <w:highlight w:val="none"/>
          <w14:textFill>
            <w14:solidFill>
              <w14:schemeClr w14:val="tx1"/>
            </w14:solidFill>
          </w14:textFill>
        </w:rPr>
        <w:t>1．资格评审环节</w:t>
      </w:r>
      <w:bookmarkEnd w:id="67"/>
    </w:p>
    <w:p w14:paraId="13794DAB">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投标人有下列情形之一的，评标委员会应否决其投标。被否决的投标，不进入形式评审环节。</w:t>
      </w:r>
    </w:p>
    <w:p w14:paraId="5AFA717A">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（1）有本章第三节第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条“禁止投标条款”规定的任何一种情形；</w:t>
      </w:r>
    </w:p>
    <w:p w14:paraId="7827D646">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（2）投标人资质不符合</w:t>
      </w:r>
      <w:r>
        <w:rPr>
          <w:rFonts w:hint="eastAsia" w:hAnsi="宋体" w:cs="宋体"/>
          <w:snapToGrid w:val="0"/>
          <w:color w:val="000000" w:themeColor="text1"/>
          <w:kern w:val="0"/>
          <w:szCs w:val="18"/>
          <w:highlight w:val="none"/>
          <w14:textFill>
            <w14:solidFill>
              <w14:schemeClr w14:val="tx1"/>
            </w14:solidFill>
          </w14:textFill>
        </w:rPr>
        <w:t>规定的；</w:t>
      </w:r>
    </w:p>
    <w:p w14:paraId="2D116EBA">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259B65CF">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5D7D44D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szCs w:val="22"/>
          <w:highlight w:val="none"/>
          <w14:textFill>
            <w14:solidFill>
              <w14:schemeClr w14:val="tx1"/>
            </w14:solidFill>
          </w14:textFill>
        </w:rPr>
        <w:t xml:space="preserve">根据有关文件精神，投标人的相关证书到期的，均按该证书的发证机构相关行业主管部门最新文件执行（如自动顺延或推迟办理延期业务的通知），投标人必须将相关文件附在该证书后面，证明在开标日继续有效。 </w:t>
      </w:r>
    </w:p>
    <w:p w14:paraId="37A64AF9">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》未经任职项目建设单位盖章同意、又未提交任职项目建设单位另行出具的书面同意意见的；</w:t>
      </w:r>
    </w:p>
    <w:p w14:paraId="4F97982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（5）拟派总监理工程师的注册证书不是住房和城乡建设主管部门颁发的，或注册单位与投标人不一致的，或不在有效期内的；</w:t>
      </w:r>
    </w:p>
    <w:p w14:paraId="5F0233B3">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注：投标人已经工商变更，但其员工执业资格注册证书的注册单位名称未完成变更的，不得否决其投标。</w:t>
      </w:r>
    </w:p>
    <w:p w14:paraId="4ACDD02E">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（6）招标文件规定不接受联合体投标，但以联合体投标的；</w:t>
      </w:r>
    </w:p>
    <w:p w14:paraId="1A9D08A7">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（7）投标人为外省企业，但未提供“进粤企业和人员诚信信息登记平台”企业和拟派人员信息情况打印页或网页截图的。</w:t>
      </w:r>
    </w:p>
    <w:p w14:paraId="5F68E4B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snapToGrid w:val="0"/>
          <w:color w:val="000000" w:themeColor="text1"/>
          <w:kern w:val="0"/>
          <w:highlight w:val="none"/>
          <w14:textFill>
            <w14:solidFill>
              <w14:schemeClr w14:val="tx1"/>
            </w14:solidFill>
          </w14:textFill>
        </w:rPr>
      </w:pPr>
      <w:bookmarkStart w:id="68" w:name="_Toc9012"/>
      <w:r>
        <w:rPr>
          <w:rFonts w:hint="eastAsia" w:hAnsi="宋体" w:cs="宋体"/>
          <w:b/>
          <w:bCs/>
          <w:snapToGrid w:val="0"/>
          <w:color w:val="000000" w:themeColor="text1"/>
          <w:kern w:val="0"/>
          <w:highlight w:val="none"/>
          <w14:textFill>
            <w14:solidFill>
              <w14:schemeClr w14:val="tx1"/>
            </w14:solidFill>
          </w14:textFill>
        </w:rPr>
        <w:t>2．形式评审环节</w:t>
      </w:r>
      <w:bookmarkEnd w:id="68"/>
    </w:p>
    <w:p w14:paraId="0A27CAE3">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投标人有下列情形之一的，评标委员会应否决其投标。被否决的投标，不进入响应性评审环节。</w:t>
      </w:r>
    </w:p>
    <w:p w14:paraId="2FC81629">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（8）投标文件各分册未按招标文件规定加盖电子印章的；</w:t>
      </w:r>
    </w:p>
    <w:p w14:paraId="62F39D5B">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（9）本章第三节第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”的组成内容（包括该组成内容的所附资料）中，任何一项有缺漏的；</w:t>
      </w:r>
    </w:p>
    <w:p w14:paraId="63CE63D0">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（10）关键字迹模糊、无法辨认，</w:t>
      </w:r>
      <w:r>
        <w:rPr>
          <w:rFonts w:hint="eastAsia" w:hAnsi="宋体" w:cs="宋体"/>
          <w:b/>
          <w:bCs/>
          <w:snapToGrid w:val="0"/>
          <w:color w:val="000000" w:themeColor="text1"/>
          <w:kern w:val="0"/>
          <w:highlight w:val="none"/>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highlight w:val="none"/>
          <w14:textFill>
            <w14:solidFill>
              <w14:schemeClr w14:val="tx1"/>
            </w14:solidFill>
          </w14:textFill>
        </w:rPr>
        <w:t>；出现手工涂改、行间插字或删除，但未加盖单位章或由投标人的法定代表人或其委托代理人签字确认的；</w:t>
      </w:r>
    </w:p>
    <w:p w14:paraId="034867DA">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（11）投标文件未按规定签字、盖章的；</w:t>
      </w:r>
    </w:p>
    <w:p w14:paraId="107D9DB3">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b/>
          <w:bCs/>
          <w:snapToGrid w:val="0"/>
          <w:color w:val="000000" w:themeColor="text1"/>
          <w:kern w:val="0"/>
          <w:highlight w:val="none"/>
          <w14:textFill>
            <w14:solidFill>
              <w14:schemeClr w14:val="tx1"/>
            </w14:solidFill>
          </w14:textFill>
        </w:rPr>
      </w:pPr>
      <w:bookmarkStart w:id="69" w:name="_Toc29737"/>
      <w:r>
        <w:rPr>
          <w:rFonts w:hint="eastAsia" w:hAnsi="宋体" w:cs="宋体"/>
          <w:b/>
          <w:bCs/>
          <w:snapToGrid w:val="0"/>
          <w:color w:val="000000" w:themeColor="text1"/>
          <w:kern w:val="0"/>
          <w:highlight w:val="none"/>
          <w14:textFill>
            <w14:solidFill>
              <w14:schemeClr w14:val="tx1"/>
            </w14:solidFill>
          </w14:textFill>
        </w:rPr>
        <w:t>3．响应性评审环节</w:t>
      </w:r>
      <w:bookmarkEnd w:id="69"/>
    </w:p>
    <w:p w14:paraId="1F808FBF">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投标人有下列情形之一的，评标委员会应否决其投标。被否决的投标，不进入详细评审阶段。</w:t>
      </w:r>
    </w:p>
    <w:p w14:paraId="46E569E9">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（12）投标有效期、服务期限不符合规定的；擅自修改、遗漏《投标函》《各项承诺一览表》实质性内容的；</w:t>
      </w:r>
    </w:p>
    <w:p w14:paraId="6FEDA001">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（13）出现两个或两个以上投标总价的（同一个投标总价大、小写不一致的除外）；投标总价超出最高投标限价的；</w:t>
      </w:r>
    </w:p>
    <w:p w14:paraId="691E2F6D">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highlight w:val="none"/>
          <w14:textFill>
            <w14:solidFill>
              <w14:schemeClr w14:val="tx1"/>
            </w14:solidFill>
          </w14:textFill>
        </w:rPr>
        <w:t>且该种过错将导致“三控制”目标无法实现的</w:t>
      </w:r>
      <w:r>
        <w:rPr>
          <w:rFonts w:hint="eastAsia" w:hAnsi="宋体" w:cs="宋体"/>
          <w:snapToGrid w:val="0"/>
          <w:color w:val="000000" w:themeColor="text1"/>
          <w:kern w:val="0"/>
          <w:highlight w:val="none"/>
          <w14:textFill>
            <w14:solidFill>
              <w14:schemeClr w14:val="tx1"/>
            </w14:solidFill>
          </w14:textFill>
        </w:rPr>
        <w:t>。</w:t>
      </w:r>
    </w:p>
    <w:p w14:paraId="6FA19D72">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b/>
          <w:bCs/>
          <w:snapToGrid w:val="0"/>
          <w:color w:val="000000" w:themeColor="text1"/>
          <w:kern w:val="0"/>
          <w:highlight w:val="none"/>
          <w14:textFill>
            <w14:solidFill>
              <w14:schemeClr w14:val="tx1"/>
            </w14:solidFill>
          </w14:textFill>
        </w:rPr>
      </w:pPr>
      <w:bookmarkStart w:id="70" w:name="_Toc17259"/>
      <w:r>
        <w:rPr>
          <w:rFonts w:hint="eastAsia" w:hAnsi="宋体" w:cs="宋体"/>
          <w:b/>
          <w:bCs/>
          <w:snapToGrid w:val="0"/>
          <w:color w:val="000000" w:themeColor="text1"/>
          <w:kern w:val="0"/>
          <w:highlight w:val="none"/>
          <w14:textFill>
            <w14:solidFill>
              <w14:schemeClr w14:val="tx1"/>
            </w14:solidFill>
          </w14:textFill>
        </w:rPr>
        <w:t>4．其他</w:t>
      </w:r>
      <w:bookmarkEnd w:id="70"/>
    </w:p>
    <w:p w14:paraId="7158557E">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szCs w:val="22"/>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highlight w:val="none"/>
          <w14:textFill>
            <w14:solidFill>
              <w14:schemeClr w14:val="tx1"/>
            </w14:solidFill>
          </w14:textFill>
        </w:rPr>
        <w:t>被否决的投标，不进入下一环节（或阶段）。</w:t>
      </w:r>
    </w:p>
    <w:p w14:paraId="7CC9848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（15）不按评标委员会要求澄清、说明或补正的；</w:t>
      </w:r>
    </w:p>
    <w:p w14:paraId="128EC65B">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（16）有下列情形之一，被评标委员会认定属于串通投标的：</w:t>
      </w:r>
    </w:p>
    <w:p w14:paraId="42EE6DCD">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①不同投标人的投标文件两处以上（含两处）错、漏一致；</w:t>
      </w:r>
    </w:p>
    <w:p w14:paraId="745C4EBB">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②不同投标人的投标各项报价存在异常一致或者呈规律性变化；</w:t>
      </w:r>
    </w:p>
    <w:p w14:paraId="0F7DA667">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③不同投标人的投标文件由同一单位或者同一个人编制；</w:t>
      </w:r>
    </w:p>
    <w:p w14:paraId="51DAE438">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④不同投标人的投标文件中投标资料（包括电子资料）相互混装或项目班子成员出现同一人；</w:t>
      </w:r>
    </w:p>
    <w:p w14:paraId="07EF27EE">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⑤不同投标人的投标文件由同一电脑编制或同一台附属设备打印；</w:t>
      </w:r>
    </w:p>
    <w:p w14:paraId="7A1E3268">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⑥不同投标人的投标保证由同一企业或同一账户资金缴纳；</w:t>
      </w:r>
    </w:p>
    <w:p w14:paraId="6BD8BB7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60"/>
    <w:p w14:paraId="5273D522">
      <w:pPr>
        <w:wordWrap w:val="0"/>
        <w:adjustRightInd w:val="0"/>
        <w:snapToGrid w:val="0"/>
        <w:spacing w:line="460" w:lineRule="exact"/>
        <w:ind w:firstLine="48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4C650C92">
      <w:pPr>
        <w:pStyle w:val="3"/>
        <w:wordWrap w:val="0"/>
        <w:autoSpaceDE/>
        <w:autoSpaceDN/>
        <w:snapToGrid w:val="0"/>
        <w:spacing w:line="440" w:lineRule="exact"/>
        <w:jc w:val="center"/>
        <w:rPr>
          <w:rFonts w:hAnsi="宋体" w:cs="宋体"/>
          <w:b/>
          <w:snapToGrid w:val="0"/>
          <w:color w:val="000000" w:themeColor="text1"/>
          <w:sz w:val="32"/>
          <w:szCs w:val="22"/>
          <w:highlight w:val="none"/>
          <w14:textFill>
            <w14:solidFill>
              <w14:schemeClr w14:val="tx1"/>
            </w14:solidFill>
          </w14:textFill>
        </w:rPr>
      </w:pPr>
      <w:bookmarkStart w:id="71" w:name="_Hlt69669771"/>
      <w:bookmarkEnd w:id="71"/>
      <w:bookmarkStart w:id="72" w:name="_Hlt87952408"/>
      <w:bookmarkEnd w:id="72"/>
      <w:bookmarkStart w:id="73" w:name="_Hlt70150994"/>
      <w:bookmarkEnd w:id="73"/>
      <w:bookmarkStart w:id="74" w:name="_Hlt112206772"/>
      <w:bookmarkEnd w:id="74"/>
      <w:bookmarkStart w:id="75" w:name="_Toc20659"/>
      <w:bookmarkStart w:id="76" w:name="_Hlt69698722"/>
      <w:bookmarkStart w:id="77" w:name="_Hlt69698769"/>
      <w:bookmarkStart w:id="78" w:name="_Hlt69698741"/>
      <w:r>
        <w:rPr>
          <w:rFonts w:hint="eastAsia" w:hAnsi="宋体" w:cs="宋体"/>
          <w:b/>
          <w:snapToGrid w:val="0"/>
          <w:color w:val="000000" w:themeColor="text1"/>
          <w:sz w:val="32"/>
          <w:szCs w:val="22"/>
          <w:highlight w:val="none"/>
          <w14:textFill>
            <w14:solidFill>
              <w14:schemeClr w14:val="tx1"/>
            </w14:solidFill>
          </w14:textFill>
        </w:rPr>
        <w:t>第</w:t>
      </w:r>
      <w:bookmarkStart w:id="79" w:name="_Hlt69669171"/>
      <w:bookmarkEnd w:id="79"/>
      <w:r>
        <w:rPr>
          <w:rFonts w:hint="eastAsia" w:hAnsi="宋体" w:cs="宋体"/>
          <w:b/>
          <w:snapToGrid w:val="0"/>
          <w:color w:val="000000" w:themeColor="text1"/>
          <w:sz w:val="32"/>
          <w:szCs w:val="22"/>
          <w:highlight w:val="none"/>
          <w14:textFill>
            <w14:solidFill>
              <w14:schemeClr w14:val="tx1"/>
            </w14:solidFill>
          </w14:textFill>
        </w:rPr>
        <w:t>二章</w:t>
      </w:r>
      <w:bookmarkStart w:id="80" w:name="_Hlt87793839"/>
      <w:bookmarkEnd w:id="80"/>
      <w:r>
        <w:rPr>
          <w:rFonts w:hint="eastAsia" w:hAnsi="宋体" w:cs="宋体"/>
          <w:b/>
          <w:snapToGrid w:val="0"/>
          <w:color w:val="000000" w:themeColor="text1"/>
          <w:sz w:val="32"/>
          <w:szCs w:val="22"/>
          <w:highlight w:val="none"/>
          <w14:textFill>
            <w14:solidFill>
              <w14:schemeClr w14:val="tx1"/>
            </w14:solidFill>
          </w14:textFill>
        </w:rPr>
        <w:t xml:space="preserve"> 中标人须知</w:t>
      </w:r>
      <w:bookmarkEnd w:id="75"/>
    </w:p>
    <w:bookmarkEnd w:id="76"/>
    <w:bookmarkEnd w:id="77"/>
    <w:bookmarkEnd w:id="78"/>
    <w:p w14:paraId="679E75A4">
      <w:pPr>
        <w:bidi w:val="0"/>
        <w:rPr>
          <w:color w:val="000000" w:themeColor="text1"/>
          <w:highlight w:val="none"/>
          <w14:textFill>
            <w14:solidFill>
              <w14:schemeClr w14:val="tx1"/>
            </w14:solidFill>
          </w14:textFill>
        </w:rPr>
      </w:pPr>
    </w:p>
    <w:p w14:paraId="5D6BD709">
      <w:pPr>
        <w:wordWrap w:val="0"/>
        <w:adjustRightInd w:val="0"/>
        <w:snapToGrid w:val="0"/>
        <w:spacing w:line="440" w:lineRule="exact"/>
        <w:ind w:firstLine="562"/>
        <w:outlineLvl w:val="1"/>
        <w:rPr>
          <w:rFonts w:hAnsi="宋体" w:cs="宋体"/>
          <w:snapToGrid w:val="0"/>
          <w:color w:val="000000" w:themeColor="text1"/>
          <w:kern w:val="0"/>
          <w:szCs w:val="24"/>
          <w:highlight w:val="none"/>
          <w14:textFill>
            <w14:solidFill>
              <w14:schemeClr w14:val="tx1"/>
            </w14:solidFill>
          </w14:textFill>
        </w:rPr>
      </w:pPr>
      <w:bookmarkStart w:id="81" w:name="_Toc18336"/>
      <w:bookmarkStart w:id="82" w:name="_Toc15170"/>
      <w:bookmarkStart w:id="83" w:name="_Toc30174"/>
      <w:bookmarkStart w:id="84" w:name="_Toc31521"/>
      <w:bookmarkStart w:id="85" w:name="_Toc13161"/>
      <w:r>
        <w:rPr>
          <w:rFonts w:hint="eastAsia" w:hAnsi="宋体" w:cs="宋体"/>
          <w:b/>
          <w:snapToGrid w:val="0"/>
          <w:color w:val="000000" w:themeColor="text1"/>
          <w:kern w:val="0"/>
          <w:szCs w:val="24"/>
          <w:highlight w:val="none"/>
          <w14:textFill>
            <w14:solidFill>
              <w14:schemeClr w14:val="tx1"/>
            </w14:solidFill>
          </w14:textFill>
        </w:rPr>
        <w:t>1．中标通知书</w:t>
      </w:r>
      <w:bookmarkEnd w:id="81"/>
      <w:bookmarkEnd w:id="82"/>
      <w:bookmarkEnd w:id="83"/>
      <w:bookmarkEnd w:id="84"/>
      <w:bookmarkEnd w:id="85"/>
    </w:p>
    <w:p w14:paraId="4A8F2F0F">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7A4DCC5">
      <w:pPr>
        <w:wordWrap w:val="0"/>
        <w:adjustRightInd w:val="0"/>
        <w:snapToGrid w:val="0"/>
        <w:spacing w:line="440" w:lineRule="exact"/>
        <w:ind w:firstLine="562"/>
        <w:outlineLvl w:val="1"/>
        <w:rPr>
          <w:rFonts w:hAnsi="宋体" w:cs="宋体"/>
          <w:snapToGrid w:val="0"/>
          <w:color w:val="000000" w:themeColor="text1"/>
          <w:kern w:val="0"/>
          <w:szCs w:val="24"/>
          <w:highlight w:val="none"/>
          <w14:textFill>
            <w14:solidFill>
              <w14:schemeClr w14:val="tx1"/>
            </w14:solidFill>
          </w14:textFill>
        </w:rPr>
      </w:pPr>
      <w:bookmarkStart w:id="86" w:name="_Toc14474"/>
      <w:bookmarkStart w:id="87" w:name="_Toc23133"/>
      <w:bookmarkStart w:id="88" w:name="_Toc30560"/>
      <w:bookmarkStart w:id="89" w:name="_Toc1519"/>
      <w:bookmarkStart w:id="90" w:name="_Toc28601"/>
      <w:r>
        <w:rPr>
          <w:rFonts w:hint="eastAsia" w:hAnsi="宋体" w:cs="宋体"/>
          <w:b/>
          <w:bCs/>
          <w:snapToGrid w:val="0"/>
          <w:color w:val="000000" w:themeColor="text1"/>
          <w:kern w:val="0"/>
          <w:szCs w:val="24"/>
          <w:highlight w:val="none"/>
          <w14:textFill>
            <w14:solidFill>
              <w14:schemeClr w14:val="tx1"/>
            </w14:solidFill>
          </w14:textFill>
        </w:rPr>
        <w:t>2．中标结果公示</w:t>
      </w:r>
      <w:bookmarkEnd w:id="86"/>
      <w:bookmarkEnd w:id="87"/>
      <w:bookmarkEnd w:id="88"/>
      <w:bookmarkEnd w:id="89"/>
      <w:bookmarkEnd w:id="90"/>
    </w:p>
    <w:p w14:paraId="77A95344">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中标通知书发出后15日内，招标人应将中标结果在广东省招标投标监管网（https://www.gdzwfw.gov.cn/ztbjg-portal/#/index）及全国公共资源交易平台（广东省·韶关市）（https://ygp.gdzwfw.gov.cn/ggzy-portal/#/440200/index）进行公示。</w:t>
      </w:r>
    </w:p>
    <w:p w14:paraId="66271C24">
      <w:pPr>
        <w:wordWrap w:val="0"/>
        <w:adjustRightInd w:val="0"/>
        <w:snapToGrid w:val="0"/>
        <w:spacing w:line="440" w:lineRule="exact"/>
        <w:ind w:firstLine="562"/>
        <w:outlineLvl w:val="1"/>
        <w:rPr>
          <w:rFonts w:hAnsi="宋体" w:cs="宋体"/>
          <w:snapToGrid w:val="0"/>
          <w:color w:val="000000" w:themeColor="text1"/>
          <w:kern w:val="0"/>
          <w:szCs w:val="24"/>
          <w:highlight w:val="none"/>
          <w14:textFill>
            <w14:solidFill>
              <w14:schemeClr w14:val="tx1"/>
            </w14:solidFill>
          </w14:textFill>
        </w:rPr>
      </w:pPr>
      <w:bookmarkStart w:id="91" w:name="_Toc292"/>
      <w:bookmarkStart w:id="92" w:name="_Toc3075"/>
      <w:bookmarkStart w:id="93" w:name="_Toc21624"/>
      <w:bookmarkStart w:id="94" w:name="_Toc31370"/>
      <w:bookmarkStart w:id="95" w:name="_Toc11768"/>
      <w:r>
        <w:rPr>
          <w:rFonts w:hint="eastAsia" w:hAnsi="宋体" w:cs="宋体"/>
          <w:b/>
          <w:bCs/>
          <w:snapToGrid w:val="0"/>
          <w:color w:val="000000" w:themeColor="text1"/>
          <w:kern w:val="0"/>
          <w:szCs w:val="24"/>
          <w:highlight w:val="none"/>
          <w14:textFill>
            <w14:solidFill>
              <w14:schemeClr w14:val="tx1"/>
            </w14:solidFill>
          </w14:textFill>
        </w:rPr>
        <w:t>3．履约保证</w:t>
      </w:r>
      <w:bookmarkEnd w:id="91"/>
      <w:bookmarkEnd w:id="92"/>
      <w:bookmarkEnd w:id="93"/>
      <w:bookmarkEnd w:id="94"/>
      <w:bookmarkEnd w:id="95"/>
    </w:p>
    <w:p w14:paraId="030DECC9">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3.1</w:t>
      </w:r>
      <w:r>
        <w:rPr>
          <w:rFonts w:hint="eastAsia" w:hAnsi="宋体" w:cs="宋体"/>
          <w:snapToGrid w:val="0"/>
          <w:color w:val="000000" w:themeColor="text1"/>
          <w:kern w:val="0"/>
          <w:szCs w:val="24"/>
          <w:highlight w:val="none"/>
          <w14:textFill>
            <w14:solidFill>
              <w14:schemeClr w14:val="tx1"/>
            </w14:solidFill>
          </w14:textFill>
        </w:rPr>
        <w:t xml:space="preserve"> 中标人须在领取中标通知书之日起</w:t>
      </w:r>
      <w:r>
        <w:rPr>
          <w:rFonts w:hint="eastAsia" w:hAnsi="宋体" w:cs="宋体"/>
          <w:snapToGrid w:val="0"/>
          <w:color w:val="000000" w:themeColor="text1"/>
          <w:kern w:val="0"/>
          <w:szCs w:val="24"/>
          <w:highlight w:val="none"/>
          <w:u w:val="single"/>
          <w14:textFill>
            <w14:solidFill>
              <w14:schemeClr w14:val="tx1"/>
            </w14:solidFill>
          </w14:textFill>
        </w:rPr>
        <w:t xml:space="preserve"> 10 </w:t>
      </w:r>
      <w:r>
        <w:rPr>
          <w:rFonts w:hint="eastAsia" w:hAnsi="宋体" w:cs="宋体"/>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5</w:t>
      </w:r>
      <w:r>
        <w:rPr>
          <w:rFonts w:hint="eastAsia" w:hAnsi="宋体" w:cs="宋体"/>
          <w:snapToGrid w:val="0"/>
          <w:color w:val="000000" w:themeColor="text1"/>
          <w:kern w:val="0"/>
          <w:szCs w:val="24"/>
          <w:highlight w:val="none"/>
          <w:u w:val="singl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 xml:space="preserve">的履约保证。 </w:t>
      </w:r>
    </w:p>
    <w:p w14:paraId="7C3FB4D0">
      <w:pPr>
        <w:wordWrap w:val="0"/>
        <w:adjustRightInd w:val="0"/>
        <w:snapToGrid w:val="0"/>
        <w:spacing w:line="440" w:lineRule="exact"/>
        <w:ind w:firstLine="482"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3.2 </w:t>
      </w:r>
      <w:r>
        <w:rPr>
          <w:rFonts w:hint="eastAsia" w:ascii="Times New Roman" w:hAnsi="Times New Roman" w:cs="Times New Roman"/>
          <w:caps w:val="0"/>
          <w:smallCaps w:val="0"/>
          <w:snapToGrid w:val="0"/>
          <w:color w:val="000000" w:themeColor="text1"/>
          <w:spacing w:val="0"/>
          <w:kern w:val="0"/>
          <w:highlight w:val="none"/>
          <w:lang w:val="en-US" w:eastAsia="zh-CN"/>
          <w14:textFill>
            <w14:solidFill>
              <w14:schemeClr w14:val="tx1"/>
            </w14:solidFill>
          </w14:textFill>
        </w:rPr>
        <w:t>履约保证的形式包括履约保证金、履约保证担保、履约保证保险三种，由中标人自主选择</w:t>
      </w:r>
      <w:r>
        <w:rPr>
          <w:rFonts w:hint="eastAsia" w:ascii="Times New Roman" w:cs="Times New Roman"/>
          <w:caps w:val="0"/>
          <w:smallCaps w:val="0"/>
          <w:snapToGrid w:val="0"/>
          <w:color w:val="000000" w:themeColor="text1"/>
          <w:spacing w:val="0"/>
          <w:kern w:val="0"/>
          <w:highlight w:val="none"/>
          <w:lang w:val="en-US" w:eastAsia="zh-CN"/>
          <w14:textFill>
            <w14:solidFill>
              <w14:schemeClr w14:val="tx1"/>
            </w14:solidFill>
          </w14:textFill>
        </w:rPr>
        <w:t>，中标通知书发出时，招标人发起收缴履约保证金并填写保证金金额、缴交时限和项目工期；由中标人在建设工程交易系统中自主选择一种进行缴交。项目竣工后，由招标人发起退保。</w:t>
      </w:r>
    </w:p>
    <w:p w14:paraId="1B73A006">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3.3 </w:t>
      </w:r>
      <w:r>
        <w:rPr>
          <w:rFonts w:hint="eastAsia" w:hAnsi="宋体" w:cs="宋体"/>
          <w:snapToGrid w:val="0"/>
          <w:color w:val="000000" w:themeColor="text1"/>
          <w:kern w:val="0"/>
          <w:szCs w:val="24"/>
          <w:highlight w:val="none"/>
          <w14:textFill>
            <w14:solidFill>
              <w14:schemeClr w14:val="tx1"/>
            </w14:solidFill>
          </w14:textFill>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00E9EABB">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3.4</w:t>
      </w:r>
      <w:r>
        <w:rPr>
          <w:rFonts w:hint="eastAsia" w:hAnsi="宋体" w:cs="宋体"/>
          <w:snapToGrid w:val="0"/>
          <w:color w:val="000000" w:themeColor="text1"/>
          <w:kern w:val="0"/>
          <w:szCs w:val="24"/>
          <w:highlight w:val="none"/>
          <w14:textFill>
            <w14:solidFill>
              <w14:schemeClr w14:val="tx1"/>
            </w14:solidFill>
          </w14:textFill>
        </w:rPr>
        <w:t xml:space="preserve"> 在项目实施过程中，如果</w:t>
      </w:r>
      <w:r>
        <w:rPr>
          <w:rFonts w:hint="eastAsia" w:hAnsi="宋体" w:cs="宋体"/>
          <w:snapToGrid w:val="0"/>
          <w:color w:val="000000" w:themeColor="text1"/>
          <w:kern w:val="0"/>
          <w:szCs w:val="24"/>
          <w:highlight w:val="none"/>
          <w:lang w:val="en-US" w:eastAsia="zh-CN"/>
          <w14:textFill>
            <w14:solidFill>
              <w14:schemeClr w14:val="tx1"/>
            </w14:solidFill>
          </w14:textFill>
        </w:rPr>
        <w:t>施工单位</w:t>
      </w:r>
      <w:r>
        <w:rPr>
          <w:rFonts w:hint="eastAsia" w:hAnsi="宋体" w:cs="宋体"/>
          <w:snapToGrid w:val="0"/>
          <w:color w:val="000000" w:themeColor="text1"/>
          <w:kern w:val="0"/>
          <w:szCs w:val="24"/>
          <w:highlight w:val="none"/>
          <w14:textFill>
            <w14:solidFill>
              <w14:schemeClr w14:val="tx1"/>
            </w14:solidFill>
          </w14:textFill>
        </w:rPr>
        <w:t>由于自身的资金、技术、质量、非不可抗力等原因给</w:t>
      </w:r>
      <w:r>
        <w:rPr>
          <w:rFonts w:hint="eastAsia" w:hAnsi="宋体" w:cs="宋体"/>
          <w:snapToGrid w:val="0"/>
          <w:color w:val="000000" w:themeColor="text1"/>
          <w:kern w:val="0"/>
          <w:szCs w:val="24"/>
          <w:highlight w:val="none"/>
          <w:lang w:eastAsia="zh-CN"/>
          <w14:textFill>
            <w14:solidFill>
              <w14:schemeClr w14:val="tx1"/>
            </w14:solidFill>
          </w14:textFill>
        </w:rPr>
        <w:t>委托人</w:t>
      </w:r>
      <w:r>
        <w:rPr>
          <w:rFonts w:hint="eastAsia" w:hAnsi="宋体" w:cs="宋体"/>
          <w:snapToGrid w:val="0"/>
          <w:color w:val="000000" w:themeColor="text1"/>
          <w:kern w:val="0"/>
          <w:szCs w:val="24"/>
          <w:highlight w:val="none"/>
          <w14:textFill>
            <w14:solidFill>
              <w14:schemeClr w14:val="tx1"/>
            </w14:solidFill>
          </w14:textFill>
        </w:rPr>
        <w:t>造成经济损失，</w:t>
      </w:r>
      <w:r>
        <w:rPr>
          <w:rFonts w:hint="eastAsia" w:hAnsi="宋体" w:cs="宋体"/>
          <w:snapToGrid w:val="0"/>
          <w:color w:val="000000" w:themeColor="text1"/>
          <w:kern w:val="0"/>
          <w:szCs w:val="24"/>
          <w:highlight w:val="none"/>
          <w:lang w:eastAsia="zh-CN"/>
          <w14:textFill>
            <w14:solidFill>
              <w14:schemeClr w14:val="tx1"/>
            </w14:solidFill>
          </w14:textFill>
        </w:rPr>
        <w:t>委托人</w:t>
      </w:r>
      <w:r>
        <w:rPr>
          <w:rFonts w:hint="eastAsia" w:hAnsi="宋体" w:cs="宋体"/>
          <w:snapToGrid w:val="0"/>
          <w:color w:val="000000" w:themeColor="text1"/>
          <w:kern w:val="0"/>
          <w:szCs w:val="24"/>
          <w:highlight w:val="none"/>
          <w14:textFill>
            <w14:solidFill>
              <w14:schemeClr w14:val="tx1"/>
            </w14:solidFill>
          </w14:textFill>
        </w:rPr>
        <w:t>有权扣划相应金额的履约保证。</w:t>
      </w:r>
    </w:p>
    <w:p w14:paraId="470ADF02">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3.5</w:t>
      </w:r>
      <w:r>
        <w:rPr>
          <w:rFonts w:hint="eastAsia" w:hAnsi="宋体" w:cs="宋体"/>
          <w:snapToGrid w:val="0"/>
          <w:color w:val="000000" w:themeColor="text1"/>
          <w:kern w:val="0"/>
          <w:szCs w:val="24"/>
          <w:highlight w:val="none"/>
          <w14:textFill>
            <w14:solidFill>
              <w14:schemeClr w14:val="tx1"/>
            </w14:solidFill>
          </w14:textFill>
        </w:rPr>
        <w:t xml:space="preserve"> 项目通过竣工验收之日后28天内，</w:t>
      </w:r>
      <w:r>
        <w:rPr>
          <w:rFonts w:hint="eastAsia" w:hAnsi="宋体" w:cs="宋体"/>
          <w:snapToGrid w:val="0"/>
          <w:color w:val="000000" w:themeColor="text1"/>
          <w:kern w:val="0"/>
          <w:szCs w:val="24"/>
          <w:highlight w:val="none"/>
          <w:lang w:eastAsia="zh-CN"/>
          <w14:textFill>
            <w14:solidFill>
              <w14:schemeClr w14:val="tx1"/>
            </w14:solidFill>
          </w14:textFill>
        </w:rPr>
        <w:t>委托人</w:t>
      </w:r>
      <w:r>
        <w:rPr>
          <w:rFonts w:hint="eastAsia" w:hAnsi="宋体" w:cs="宋体"/>
          <w:snapToGrid w:val="0"/>
          <w:color w:val="000000" w:themeColor="text1"/>
          <w:kern w:val="0"/>
          <w:szCs w:val="24"/>
          <w:highlight w:val="none"/>
          <w14:textFill>
            <w14:solidFill>
              <w14:schemeClr w14:val="tx1"/>
            </w14:solidFill>
          </w14:textFill>
        </w:rPr>
        <w:t>将履约保证退还给监理人。</w:t>
      </w:r>
    </w:p>
    <w:p w14:paraId="5687AAEC">
      <w:pPr>
        <w:wordWrap w:val="0"/>
        <w:adjustRightInd w:val="0"/>
        <w:snapToGrid w:val="0"/>
        <w:spacing w:line="440" w:lineRule="exact"/>
        <w:ind w:firstLine="482" w:firstLineChars="200"/>
        <w:outlineLvl w:val="1"/>
        <w:rPr>
          <w:rFonts w:hAnsi="宋体" w:cs="宋体"/>
          <w:b/>
          <w:bCs/>
          <w:snapToGrid w:val="0"/>
          <w:color w:val="000000" w:themeColor="text1"/>
          <w:kern w:val="0"/>
          <w:szCs w:val="24"/>
          <w:highlight w:val="none"/>
          <w14:textFill>
            <w14:solidFill>
              <w14:schemeClr w14:val="tx1"/>
            </w14:solidFill>
          </w14:textFill>
        </w:rPr>
      </w:pPr>
      <w:bookmarkStart w:id="96" w:name="_Toc29907"/>
      <w:bookmarkStart w:id="97" w:name="_Toc22628"/>
      <w:bookmarkStart w:id="98" w:name="_Toc25367"/>
      <w:bookmarkStart w:id="99" w:name="_Toc16211"/>
      <w:bookmarkStart w:id="100" w:name="_Toc20923"/>
      <w:r>
        <w:rPr>
          <w:rFonts w:hint="eastAsia" w:hAnsi="宋体" w:cs="宋体"/>
          <w:b/>
          <w:bCs/>
          <w:snapToGrid w:val="0"/>
          <w:color w:val="000000" w:themeColor="text1"/>
          <w:kern w:val="0"/>
          <w:szCs w:val="24"/>
          <w:highlight w:val="none"/>
          <w14:textFill>
            <w14:solidFill>
              <w14:schemeClr w14:val="tx1"/>
            </w14:solidFill>
          </w14:textFill>
        </w:rPr>
        <w:t>4．合同订立</w:t>
      </w:r>
      <w:bookmarkEnd w:id="96"/>
      <w:bookmarkEnd w:id="97"/>
      <w:bookmarkEnd w:id="98"/>
      <w:bookmarkEnd w:id="99"/>
      <w:bookmarkEnd w:id="100"/>
    </w:p>
    <w:p w14:paraId="4E8B408F">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 xml:space="preserve"> 招标人应当自中标通知书发出之日起</w:t>
      </w:r>
      <w:r>
        <w:rPr>
          <w:rFonts w:hint="eastAsia" w:hAnsi="宋体" w:cs="宋体"/>
          <w:snapToGrid w:val="0"/>
          <w:color w:val="000000" w:themeColor="text1"/>
          <w:kern w:val="0"/>
          <w:szCs w:val="24"/>
          <w:highlight w:val="none"/>
          <w:u w:val="single"/>
          <w14:textFill>
            <w14:solidFill>
              <w14:schemeClr w14:val="tx1"/>
            </w14:solidFill>
          </w14:textFill>
        </w:rPr>
        <w:t xml:space="preserve"> 30 </w:t>
      </w:r>
      <w:r>
        <w:rPr>
          <w:rFonts w:hint="eastAsia" w:hAnsi="宋体" w:cs="宋体"/>
          <w:snapToGrid w:val="0"/>
          <w:color w:val="000000" w:themeColor="text1"/>
          <w:kern w:val="0"/>
          <w:szCs w:val="24"/>
          <w:highlight w:val="none"/>
          <w14:textFill>
            <w14:solidFill>
              <w14:schemeClr w14:val="tx1"/>
            </w14:solidFill>
          </w14:textFill>
        </w:rPr>
        <w:t>日内，按照招标文件、中标人的投标文件与中标人订立书面合同。</w:t>
      </w:r>
    </w:p>
    <w:p w14:paraId="32D924B4">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3616E892">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4.3</w:t>
      </w:r>
      <w:r>
        <w:rPr>
          <w:rFonts w:hint="eastAsia" w:hAnsi="宋体" w:cs="宋体"/>
          <w:snapToGrid w:val="0"/>
          <w:color w:val="000000" w:themeColor="text1"/>
          <w:kern w:val="0"/>
          <w:szCs w:val="24"/>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1D3931D">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4.4</w:t>
      </w:r>
      <w:r>
        <w:rPr>
          <w:rFonts w:hint="eastAsia" w:hAnsi="宋体" w:cs="宋体"/>
          <w:snapToGrid w:val="0"/>
          <w:color w:val="000000" w:themeColor="text1"/>
          <w:kern w:val="0"/>
          <w:szCs w:val="24"/>
          <w:highlight w:val="none"/>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23476853">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01" w:name="_Toc11598"/>
      <w:bookmarkStart w:id="102" w:name="_Toc6741"/>
      <w:bookmarkStart w:id="103" w:name="_Toc25887"/>
      <w:bookmarkStart w:id="104" w:name="_Toc3858"/>
      <w:bookmarkStart w:id="105" w:name="_Toc26572"/>
      <w:r>
        <w:rPr>
          <w:rFonts w:hint="eastAsia" w:hAnsi="宋体" w:cs="宋体"/>
          <w:b/>
          <w:bCs/>
          <w:snapToGrid w:val="0"/>
          <w:color w:val="000000" w:themeColor="text1"/>
          <w:kern w:val="0"/>
          <w:szCs w:val="24"/>
          <w:highlight w:val="none"/>
          <w14:textFill>
            <w14:solidFill>
              <w14:schemeClr w14:val="tx1"/>
            </w14:solidFill>
          </w14:textFill>
        </w:rPr>
        <w:t>5．放弃中标的处理</w:t>
      </w:r>
      <w:bookmarkEnd w:id="101"/>
      <w:bookmarkEnd w:id="102"/>
      <w:bookmarkEnd w:id="103"/>
      <w:bookmarkEnd w:id="104"/>
      <w:bookmarkEnd w:id="105"/>
    </w:p>
    <w:p w14:paraId="6FCEA84C">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5.1</w:t>
      </w:r>
      <w:r>
        <w:rPr>
          <w:rFonts w:hint="eastAsia" w:hAnsi="宋体" w:cs="宋体"/>
          <w:snapToGrid w:val="0"/>
          <w:color w:val="000000" w:themeColor="text1"/>
          <w:kern w:val="0"/>
          <w:szCs w:val="24"/>
          <w:highlight w:val="none"/>
          <w14:textFill>
            <w14:solidFill>
              <w14:schemeClr w14:val="tx1"/>
            </w14:solidFill>
          </w14:textFill>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CC8B03A">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5.2</w:t>
      </w:r>
      <w:r>
        <w:rPr>
          <w:rFonts w:hint="eastAsia" w:hAnsi="宋体" w:cs="宋体"/>
          <w:snapToGrid w:val="0"/>
          <w:color w:val="000000" w:themeColor="text1"/>
          <w:kern w:val="0"/>
          <w:szCs w:val="24"/>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64E068F">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06" w:name="_Toc500"/>
      <w:bookmarkStart w:id="107" w:name="_Toc16723"/>
      <w:bookmarkStart w:id="108" w:name="_Toc8282"/>
      <w:bookmarkStart w:id="109" w:name="_Toc15893"/>
      <w:bookmarkStart w:id="110" w:name="_Toc26352"/>
      <w:r>
        <w:rPr>
          <w:rFonts w:hint="eastAsia" w:hAnsi="宋体" w:cs="宋体"/>
          <w:b/>
          <w:bCs/>
          <w:snapToGrid w:val="0"/>
          <w:color w:val="000000" w:themeColor="text1"/>
          <w:kern w:val="0"/>
          <w:szCs w:val="24"/>
          <w:highlight w:val="none"/>
          <w14:textFill>
            <w14:solidFill>
              <w14:schemeClr w14:val="tx1"/>
            </w14:solidFill>
          </w14:textFill>
        </w:rPr>
        <w:t>6．分包</w:t>
      </w:r>
      <w:bookmarkEnd w:id="106"/>
      <w:bookmarkEnd w:id="107"/>
      <w:bookmarkEnd w:id="108"/>
      <w:bookmarkEnd w:id="109"/>
      <w:bookmarkEnd w:id="110"/>
    </w:p>
    <w:p w14:paraId="14134B11">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合同范围内的监理服务严禁分包，一经发现，委托人有权解除合同，由此引起的一切经济损失和法律责任由监理人自行承担。</w:t>
      </w:r>
    </w:p>
    <w:p w14:paraId="2A06BCD4">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11" w:name="_Toc15764"/>
      <w:bookmarkStart w:id="112" w:name="_Toc8110"/>
      <w:bookmarkStart w:id="113" w:name="_Toc24081"/>
      <w:bookmarkStart w:id="114" w:name="_Toc31267"/>
      <w:bookmarkStart w:id="115" w:name="_Toc21917"/>
      <w:r>
        <w:rPr>
          <w:rFonts w:hint="eastAsia" w:hAnsi="宋体" w:cs="宋体"/>
          <w:b/>
          <w:bCs/>
          <w:snapToGrid w:val="0"/>
          <w:color w:val="000000" w:themeColor="text1"/>
          <w:kern w:val="0"/>
          <w:szCs w:val="24"/>
          <w:highlight w:val="none"/>
          <w14:textFill>
            <w14:solidFill>
              <w14:schemeClr w14:val="tx1"/>
            </w14:solidFill>
          </w14:textFill>
        </w:rPr>
        <w:t>7．诚信登记</w:t>
      </w:r>
      <w:bookmarkEnd w:id="111"/>
      <w:bookmarkEnd w:id="112"/>
      <w:bookmarkEnd w:id="113"/>
      <w:bookmarkEnd w:id="114"/>
      <w:bookmarkEnd w:id="115"/>
    </w:p>
    <w:p w14:paraId="74C04475">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按韶关市住房和城乡建设管理局的有关规定执行。</w:t>
      </w:r>
    </w:p>
    <w:p w14:paraId="685A3014">
      <w:pPr>
        <w:wordWrap w:val="0"/>
        <w:adjustRightInd w:val="0"/>
        <w:snapToGrid w:val="0"/>
        <w:spacing w:line="440" w:lineRule="exact"/>
        <w:ind w:firstLine="482" w:firstLineChars="200"/>
        <w:outlineLvl w:val="1"/>
        <w:rPr>
          <w:rFonts w:hAnsi="宋体" w:cs="宋体"/>
          <w:b/>
          <w:bCs/>
          <w:snapToGrid w:val="0"/>
          <w:color w:val="000000" w:themeColor="text1"/>
          <w:kern w:val="0"/>
          <w:szCs w:val="24"/>
          <w:highlight w:val="none"/>
          <w14:textFill>
            <w14:solidFill>
              <w14:schemeClr w14:val="tx1"/>
            </w14:solidFill>
          </w14:textFill>
        </w:rPr>
      </w:pPr>
      <w:bookmarkStart w:id="116" w:name="_Toc19858"/>
      <w:bookmarkStart w:id="117" w:name="_Toc17560"/>
      <w:bookmarkStart w:id="118" w:name="_Toc18249"/>
      <w:bookmarkStart w:id="119" w:name="_Toc2527"/>
      <w:bookmarkStart w:id="120" w:name="_Toc19761"/>
      <w:r>
        <w:rPr>
          <w:rFonts w:hint="eastAsia" w:hAnsi="宋体" w:cs="宋体"/>
          <w:b/>
          <w:bCs/>
          <w:snapToGrid w:val="0"/>
          <w:color w:val="000000" w:themeColor="text1"/>
          <w:kern w:val="0"/>
          <w:szCs w:val="24"/>
          <w:highlight w:val="none"/>
          <w14:textFill>
            <w14:solidFill>
              <w14:schemeClr w14:val="tx1"/>
            </w14:solidFill>
          </w14:textFill>
        </w:rPr>
        <w:t>8．监理服务期限</w:t>
      </w:r>
      <w:bookmarkEnd w:id="116"/>
      <w:bookmarkEnd w:id="117"/>
      <w:bookmarkEnd w:id="118"/>
      <w:bookmarkEnd w:id="119"/>
      <w:bookmarkEnd w:id="120"/>
    </w:p>
    <w:p w14:paraId="1C5F06F6">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8.1</w:t>
      </w:r>
      <w:r>
        <w:rPr>
          <w:rFonts w:hint="eastAsia" w:hAnsi="宋体" w:cs="宋体"/>
          <w:snapToGrid w:val="0"/>
          <w:color w:val="000000" w:themeColor="text1"/>
          <w:kern w:val="0"/>
          <w:szCs w:val="24"/>
          <w:highlight w:val="none"/>
          <w14:textFill>
            <w14:solidFill>
              <w14:schemeClr w14:val="tx1"/>
            </w14:solidFill>
          </w14:textFill>
        </w:rPr>
        <w:t xml:space="preserve"> 当满足专用合同条款约定的开始监理条件时，委托人应提前7天向监理人发出开始监理通知。监理服务期限自开始监理通知中载明的开始监理日期起计算。</w:t>
      </w:r>
    </w:p>
    <w:p w14:paraId="48D92276">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8.2</w:t>
      </w:r>
      <w:r>
        <w:rPr>
          <w:rFonts w:hint="eastAsia" w:hAnsi="宋体" w:cs="宋体"/>
          <w:snapToGrid w:val="0"/>
          <w:color w:val="000000" w:themeColor="text1"/>
          <w:kern w:val="0"/>
          <w:szCs w:val="24"/>
          <w:highlight w:val="none"/>
          <w14:textFill>
            <w14:solidFill>
              <w14:schemeClr w14:val="tx1"/>
            </w14:solidFill>
          </w14:textFill>
        </w:rPr>
        <w:t xml:space="preserve"> 在合同履行过程中，由于下列原因造成监理服务期限延误的，委托人应当延长监理服务期限并增加监理酬金，具体方法在专用合同条款中约定。</w:t>
      </w:r>
    </w:p>
    <w:p w14:paraId="016CF937">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（1）合同变更；</w:t>
      </w:r>
    </w:p>
    <w:p w14:paraId="5A8CC50C">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（2）因委托人原因导致的监理工作暂停；</w:t>
      </w:r>
    </w:p>
    <w:p w14:paraId="02F2202F">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（3）未按合同约定及时支付监理服务酬金；</w:t>
      </w:r>
    </w:p>
    <w:p w14:paraId="7578B024">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（4）未及时履行合同约定的相关义务；</w:t>
      </w:r>
    </w:p>
    <w:p w14:paraId="19B080FC">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（5）由于承包人（指在本招标项目监理范围内，与委托人签订勘察、设计、施工承包合同的当事人，下同）延误、行政管理造成的监理服务期限延误；</w:t>
      </w:r>
    </w:p>
    <w:p w14:paraId="6C7FA0D3">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（6）造成监理服务期限延误的其他原因。</w:t>
      </w:r>
    </w:p>
    <w:p w14:paraId="2F108C25">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21" w:name="_Toc17664"/>
      <w:bookmarkStart w:id="122" w:name="_Toc6532"/>
      <w:bookmarkStart w:id="123" w:name="_Toc13195"/>
      <w:bookmarkStart w:id="124" w:name="_Toc25479"/>
      <w:bookmarkStart w:id="125" w:name="_Toc16618"/>
      <w:r>
        <w:rPr>
          <w:rFonts w:hint="eastAsia" w:hAnsi="宋体" w:cs="宋体"/>
          <w:b/>
          <w:bCs/>
          <w:snapToGrid w:val="0"/>
          <w:color w:val="000000" w:themeColor="text1"/>
          <w:kern w:val="0"/>
          <w:szCs w:val="24"/>
          <w:highlight w:val="none"/>
          <w14:textFill>
            <w14:solidFill>
              <w14:schemeClr w14:val="tx1"/>
            </w14:solidFill>
          </w14:textFill>
        </w:rPr>
        <w:t>9．项目监理机构</w:t>
      </w:r>
      <w:bookmarkEnd w:id="121"/>
      <w:bookmarkEnd w:id="122"/>
      <w:bookmarkEnd w:id="123"/>
      <w:bookmarkEnd w:id="124"/>
      <w:bookmarkEnd w:id="125"/>
    </w:p>
    <w:p w14:paraId="7C46AC97">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9.1</w:t>
      </w:r>
      <w:r>
        <w:rPr>
          <w:rFonts w:hint="eastAsia" w:hAnsi="宋体" w:cs="宋体"/>
          <w:snapToGrid w:val="0"/>
          <w:color w:val="000000" w:themeColor="text1"/>
          <w:kern w:val="0"/>
          <w:szCs w:val="24"/>
          <w:highlight w:val="none"/>
          <w14:textFill>
            <w14:solidFill>
              <w14:schemeClr w14:val="tx1"/>
            </w14:solidFill>
          </w14:textFill>
        </w:rPr>
        <w:t xml:space="preserve"> 监理人派驻项目监理机构的人员必须为其投标文件确定的人员，否则委托人有权解除合同。</w:t>
      </w:r>
    </w:p>
    <w:p w14:paraId="441C7ED2">
      <w:pPr>
        <w:wordWrap w:val="0"/>
        <w:adjustRightInd w:val="0"/>
        <w:snapToGrid w:val="0"/>
        <w:spacing w:line="440" w:lineRule="exact"/>
        <w:ind w:firstLine="56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9.2</w:t>
      </w:r>
      <w:r>
        <w:rPr>
          <w:rFonts w:hint="eastAsia" w:hAnsi="宋体" w:cs="宋体"/>
          <w:snapToGrid w:val="0"/>
          <w:color w:val="000000" w:themeColor="text1"/>
          <w:kern w:val="0"/>
          <w:szCs w:val="24"/>
          <w:highlight w:val="none"/>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51BE7339">
      <w:pPr>
        <w:wordWrap w:val="0"/>
        <w:adjustRightInd w:val="0"/>
        <w:snapToGrid w:val="0"/>
        <w:spacing w:line="440" w:lineRule="exact"/>
        <w:ind w:firstLine="482" w:firstLineChars="200"/>
        <w:outlineLvl w:val="1"/>
        <w:rPr>
          <w:rFonts w:hAnsi="宋体" w:cs="宋体"/>
          <w:strike/>
          <w:snapToGrid w:val="0"/>
          <w:color w:val="000000" w:themeColor="text1"/>
          <w:kern w:val="0"/>
          <w:szCs w:val="24"/>
          <w:highlight w:val="none"/>
          <w14:textFill>
            <w14:solidFill>
              <w14:schemeClr w14:val="tx1"/>
            </w14:solidFill>
          </w14:textFill>
        </w:rPr>
      </w:pPr>
      <w:bookmarkStart w:id="126" w:name="_Toc10280"/>
      <w:bookmarkStart w:id="127" w:name="_Toc23097"/>
      <w:bookmarkStart w:id="128" w:name="_Toc27412"/>
      <w:bookmarkStart w:id="129" w:name="_Toc20861"/>
      <w:bookmarkStart w:id="130" w:name="_Toc19789"/>
      <w:r>
        <w:rPr>
          <w:rFonts w:hint="eastAsia" w:hAnsi="宋体" w:cs="宋体"/>
          <w:b/>
          <w:snapToGrid w:val="0"/>
          <w:color w:val="000000" w:themeColor="text1"/>
          <w:kern w:val="0"/>
          <w:szCs w:val="24"/>
          <w:highlight w:val="none"/>
          <w14:textFill>
            <w14:solidFill>
              <w14:schemeClr w14:val="tx1"/>
            </w14:solidFill>
          </w14:textFill>
        </w:rPr>
        <w:t>10．安全防护</w:t>
      </w:r>
      <w:bookmarkEnd w:id="126"/>
      <w:bookmarkEnd w:id="127"/>
      <w:bookmarkEnd w:id="128"/>
      <w:bookmarkEnd w:id="129"/>
      <w:bookmarkEnd w:id="130"/>
    </w:p>
    <w:p w14:paraId="4F4C653A">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5D77B63B">
      <w:pPr>
        <w:wordWrap w:val="0"/>
        <w:adjustRightInd w:val="0"/>
        <w:snapToGrid w:val="0"/>
        <w:spacing w:line="440" w:lineRule="exact"/>
        <w:ind w:firstLine="482" w:firstLineChars="200"/>
        <w:outlineLvl w:val="1"/>
        <w:rPr>
          <w:rFonts w:hAnsi="宋体" w:cs="宋体"/>
          <w:strike/>
          <w:snapToGrid w:val="0"/>
          <w:color w:val="000000" w:themeColor="text1"/>
          <w:kern w:val="0"/>
          <w:szCs w:val="24"/>
          <w:highlight w:val="none"/>
          <w14:textFill>
            <w14:solidFill>
              <w14:schemeClr w14:val="tx1"/>
            </w14:solidFill>
          </w14:textFill>
        </w:rPr>
      </w:pPr>
      <w:bookmarkStart w:id="131" w:name="_Toc1181"/>
      <w:bookmarkStart w:id="132" w:name="_Toc17881"/>
      <w:bookmarkStart w:id="133" w:name="_Toc16174"/>
      <w:bookmarkStart w:id="134" w:name="_Toc13413"/>
      <w:bookmarkStart w:id="135" w:name="_Toc30151"/>
      <w:r>
        <w:rPr>
          <w:rFonts w:hint="eastAsia" w:hAnsi="宋体" w:cs="宋体"/>
          <w:b/>
          <w:snapToGrid w:val="0"/>
          <w:color w:val="000000" w:themeColor="text1"/>
          <w:kern w:val="0"/>
          <w:szCs w:val="24"/>
          <w:highlight w:val="none"/>
          <w14:textFill>
            <w14:solidFill>
              <w14:schemeClr w14:val="tx1"/>
            </w14:solidFill>
          </w14:textFill>
        </w:rPr>
        <w:t>11．接受监督</w:t>
      </w:r>
      <w:bookmarkEnd w:id="131"/>
      <w:bookmarkEnd w:id="132"/>
      <w:bookmarkEnd w:id="133"/>
      <w:bookmarkEnd w:id="134"/>
      <w:bookmarkEnd w:id="135"/>
    </w:p>
    <w:p w14:paraId="54032ED8">
      <w:pPr>
        <w:wordWrap w:val="0"/>
        <w:adjustRightInd w:val="0"/>
        <w:snapToGrid w:val="0"/>
        <w:spacing w:line="44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监理人应严格按照法律、法规以及</w:t>
      </w:r>
      <w:r>
        <w:rPr>
          <w:rFonts w:hint="eastAsia" w:hAnsi="宋体" w:cs="宋体"/>
          <w:bCs/>
          <w:snapToGrid w:val="0"/>
          <w:color w:val="000000" w:themeColor="text1"/>
          <w:kern w:val="0"/>
          <w:szCs w:val="24"/>
          <w:highlight w:val="none"/>
          <w14:textFill>
            <w14:solidFill>
              <w14:schemeClr w14:val="tx1"/>
            </w14:solidFill>
          </w14:textFill>
        </w:rPr>
        <w:t>《建设工程监理规范》（GB/T 50319—2013）有关规定实施监理，同时须</w:t>
      </w:r>
      <w:r>
        <w:rPr>
          <w:rFonts w:hint="eastAsia" w:hAnsi="宋体" w:cs="宋体"/>
          <w:snapToGrid w:val="0"/>
          <w:color w:val="000000" w:themeColor="text1"/>
          <w:kern w:val="0"/>
          <w:szCs w:val="24"/>
          <w:highlight w:val="none"/>
          <w14:textFill>
            <w14:solidFill>
              <w14:schemeClr w14:val="tx1"/>
            </w14:solidFill>
          </w14:textFill>
        </w:rPr>
        <w:t>服从委托人以及建设行政主管部门对监理工作全方位的监督，及时将监理大纲、监理规划、监理实施细则等监理文件报委托人审查备案。</w:t>
      </w:r>
    </w:p>
    <w:p w14:paraId="2EF75CF9">
      <w:pPr>
        <w:wordWrap w:val="0"/>
        <w:adjustRightInd w:val="0"/>
        <w:snapToGrid w:val="0"/>
        <w:spacing w:line="440" w:lineRule="exact"/>
        <w:ind w:firstLine="560"/>
        <w:outlineLvl w:val="1"/>
        <w:rPr>
          <w:rFonts w:hAnsi="宋体" w:cs="宋体"/>
          <w:bCs/>
          <w:snapToGrid w:val="0"/>
          <w:color w:val="000000" w:themeColor="text1"/>
          <w:kern w:val="0"/>
          <w:szCs w:val="24"/>
          <w:highlight w:val="none"/>
          <w14:textFill>
            <w14:solidFill>
              <w14:schemeClr w14:val="tx1"/>
            </w14:solidFill>
          </w14:textFill>
        </w:rPr>
      </w:pPr>
      <w:bookmarkStart w:id="136" w:name="_Toc14327"/>
      <w:bookmarkStart w:id="137" w:name="_Toc25424"/>
      <w:bookmarkStart w:id="138" w:name="_Toc4730"/>
      <w:bookmarkStart w:id="139" w:name="_Toc18397"/>
      <w:bookmarkStart w:id="140" w:name="_Toc27988"/>
      <w:r>
        <w:rPr>
          <w:rFonts w:hint="eastAsia" w:hAnsi="宋体" w:cs="宋体"/>
          <w:b/>
          <w:snapToGrid w:val="0"/>
          <w:color w:val="000000" w:themeColor="text1"/>
          <w:kern w:val="0"/>
          <w:szCs w:val="24"/>
          <w:highlight w:val="none"/>
          <w14:textFill>
            <w14:solidFill>
              <w14:schemeClr w14:val="tx1"/>
            </w14:solidFill>
          </w14:textFill>
        </w:rPr>
        <w:t>12．监理档案移交</w:t>
      </w:r>
      <w:bookmarkEnd w:id="136"/>
      <w:bookmarkEnd w:id="137"/>
      <w:bookmarkEnd w:id="138"/>
      <w:bookmarkEnd w:id="139"/>
      <w:bookmarkEnd w:id="140"/>
    </w:p>
    <w:p w14:paraId="5B8C046B">
      <w:pPr>
        <w:wordWrap w:val="0"/>
        <w:adjustRightInd w:val="0"/>
        <w:snapToGrid w:val="0"/>
        <w:spacing w:line="440" w:lineRule="exact"/>
        <w:ind w:firstLine="56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项目竣工验收后，监理人应向委托人提交一式</w:t>
      </w:r>
      <w:r>
        <w:rPr>
          <w:rFonts w:hint="eastAsia" w:hAnsi="宋体" w:cs="宋体"/>
          <w:bCs/>
          <w:snapToGrid w:val="0"/>
          <w:color w:val="000000" w:themeColor="text1"/>
          <w:kern w:val="0"/>
          <w:szCs w:val="24"/>
          <w:highlight w:val="none"/>
          <w:u w:val="single"/>
          <w14:textFill>
            <w14:solidFill>
              <w14:schemeClr w14:val="tx1"/>
            </w14:solidFill>
          </w14:textFill>
        </w:rPr>
        <w:t xml:space="preserve"> 五 </w:t>
      </w:r>
      <w:r>
        <w:rPr>
          <w:rFonts w:hint="eastAsia" w:hAnsi="宋体" w:cs="宋体"/>
          <w:bCs/>
          <w:snapToGrid w:val="0"/>
          <w:color w:val="000000" w:themeColor="text1"/>
          <w:kern w:val="0"/>
          <w:szCs w:val="24"/>
          <w:highlight w:val="none"/>
          <w14:textFill>
            <w14:solidFill>
              <w14:schemeClr w14:val="tx1"/>
            </w14:solidFill>
          </w14:textFill>
        </w:rPr>
        <w:t>份符合《建设工程监理规范》（GB/T 50319—2013）以及《韶关市城市建设档案管理办法》要求的监理档案。</w:t>
      </w:r>
    </w:p>
    <w:p w14:paraId="0A78DB0D">
      <w:pPr>
        <w:wordWrap w:val="0"/>
        <w:adjustRightInd w:val="0"/>
        <w:snapToGrid w:val="0"/>
        <w:spacing w:line="440" w:lineRule="exact"/>
        <w:ind w:firstLine="560"/>
        <w:outlineLvl w:val="1"/>
        <w:rPr>
          <w:rFonts w:hAnsi="宋体" w:cs="宋体"/>
          <w:strike/>
          <w:snapToGrid w:val="0"/>
          <w:color w:val="000000" w:themeColor="text1"/>
          <w:kern w:val="0"/>
          <w:szCs w:val="24"/>
          <w:highlight w:val="none"/>
          <w14:textFill>
            <w14:solidFill>
              <w14:schemeClr w14:val="tx1"/>
            </w14:solidFill>
          </w14:textFill>
        </w:rPr>
      </w:pPr>
      <w:bookmarkStart w:id="141" w:name="_Toc26146"/>
      <w:bookmarkStart w:id="142" w:name="_Toc2540"/>
      <w:bookmarkStart w:id="143" w:name="_Toc16612"/>
      <w:bookmarkStart w:id="144" w:name="_Toc13197"/>
      <w:bookmarkStart w:id="145" w:name="_Toc24329"/>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b/>
          <w:snapToGrid w:val="0"/>
          <w:color w:val="000000" w:themeColor="text1"/>
          <w:kern w:val="0"/>
          <w:szCs w:val="24"/>
          <w:highlight w:val="none"/>
          <w14:textFill>
            <w14:solidFill>
              <w14:schemeClr w14:val="tx1"/>
            </w14:solidFill>
          </w14:textFill>
        </w:rPr>
        <w:t>．不良行为处理</w:t>
      </w:r>
      <w:bookmarkEnd w:id="141"/>
      <w:bookmarkEnd w:id="142"/>
      <w:bookmarkEnd w:id="143"/>
      <w:bookmarkEnd w:id="144"/>
      <w:bookmarkEnd w:id="145"/>
    </w:p>
    <w:p w14:paraId="6BBEC251">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监理人及其有关人员有下列行为之一的，委托人应及时报请建设行政主管部门查处。</w:t>
      </w:r>
    </w:p>
    <w:p w14:paraId="7AC17328">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（1）转让监理业务的；</w:t>
      </w:r>
    </w:p>
    <w:p w14:paraId="7BE2C7AF">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007207D3">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（3）与建设单位、施工单位串通，签认虚假工程量或工程造价的；</w:t>
      </w:r>
    </w:p>
    <w:p w14:paraId="62CAEAF3">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（4）现场监理不到位的；</w:t>
      </w:r>
    </w:p>
    <w:p w14:paraId="3607037B">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（5）非本人资格证书注册单位从事监理工作的；</w:t>
      </w:r>
    </w:p>
    <w:p w14:paraId="36001B26">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（6）总监理工程师承担超过三项工程监理任务的；</w:t>
      </w:r>
    </w:p>
    <w:p w14:paraId="2FA97E13">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（7）违反有关法律、法规、规章规定的其它行为。</w:t>
      </w:r>
    </w:p>
    <w:p w14:paraId="14880F2C">
      <w:pPr>
        <w:pStyle w:val="37"/>
        <w:wordWrap w:val="0"/>
        <w:adjustRightInd w:val="0"/>
        <w:snapToGrid w:val="0"/>
        <w:spacing w:line="440" w:lineRule="exact"/>
        <w:ind w:firstLine="482" w:firstLineChars="200"/>
        <w:jc w:val="left"/>
        <w:outlineLvl w:val="1"/>
        <w:rPr>
          <w:rFonts w:ascii="宋体" w:hAnsi="宋体" w:cs="宋体"/>
          <w:b/>
          <w:bCs/>
          <w:snapToGrid w:val="0"/>
          <w:color w:val="000000" w:themeColor="text1"/>
          <w:kern w:val="0"/>
          <w:szCs w:val="24"/>
          <w:highlight w:val="none"/>
          <w14:textFill>
            <w14:solidFill>
              <w14:schemeClr w14:val="tx1"/>
            </w14:solidFill>
          </w14:textFill>
        </w:rPr>
      </w:pPr>
      <w:bookmarkStart w:id="146" w:name="_Toc15923"/>
      <w:bookmarkStart w:id="147" w:name="_Toc28837"/>
      <w:bookmarkStart w:id="148" w:name="_Toc15431"/>
      <w:bookmarkStart w:id="149" w:name="_Toc6980"/>
      <w:bookmarkStart w:id="150" w:name="_Toc29467"/>
      <w:r>
        <w:rPr>
          <w:rFonts w:hint="eastAsia" w:ascii="宋体" w:hAnsi="宋体" w:cs="宋体"/>
          <w:b/>
          <w:bCs/>
          <w:snapToGrid w:val="0"/>
          <w:color w:val="000000" w:themeColor="text1"/>
          <w:kern w:val="0"/>
          <w:szCs w:val="24"/>
          <w:highlight w:val="none"/>
          <w14:textFill>
            <w14:solidFill>
              <w14:schemeClr w14:val="tx1"/>
            </w14:solidFill>
          </w14:textFill>
        </w:rPr>
        <w:t>14</w:t>
      </w:r>
      <w:r>
        <w:rPr>
          <w:rFonts w:hint="eastAsia" w:ascii="宋体" w:hAnsi="宋体" w:cs="宋体"/>
          <w:b/>
          <w:snapToGrid w:val="0"/>
          <w:color w:val="000000" w:themeColor="text1"/>
          <w:kern w:val="0"/>
          <w:szCs w:val="24"/>
          <w:highlight w:val="none"/>
          <w14:textFill>
            <w14:solidFill>
              <w14:schemeClr w14:val="tx1"/>
            </w14:solidFill>
          </w14:textFill>
        </w:rPr>
        <w:t>．</w:t>
      </w:r>
      <w:r>
        <w:rPr>
          <w:rFonts w:hint="eastAsia" w:ascii="宋体" w:hAnsi="宋体" w:cs="宋体"/>
          <w:b/>
          <w:bCs/>
          <w:snapToGrid w:val="0"/>
          <w:color w:val="000000" w:themeColor="text1"/>
          <w:kern w:val="0"/>
          <w:szCs w:val="24"/>
          <w:highlight w:val="none"/>
          <w14:textFill>
            <w14:solidFill>
              <w14:schemeClr w14:val="tx1"/>
            </w14:solidFill>
          </w14:textFill>
        </w:rPr>
        <w:t>信用评价条款内容</w:t>
      </w:r>
      <w:bookmarkEnd w:id="146"/>
      <w:bookmarkEnd w:id="147"/>
      <w:bookmarkEnd w:id="148"/>
      <w:bookmarkEnd w:id="149"/>
      <w:bookmarkEnd w:id="150"/>
    </w:p>
    <w:p w14:paraId="6CF2C8EE">
      <w:pPr>
        <w:pStyle w:val="39"/>
        <w:wordWrap w:val="0"/>
        <w:adjustRightInd w:val="0"/>
        <w:snapToGrid w:val="0"/>
        <w:spacing w:line="440" w:lineRule="exact"/>
        <w:ind w:firstLine="56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由委托人决定是否对监理人的履约情况进行信用评价。若进行信用评价，评价条款由委托人自拟，条款内容可参考人员到位情况、服务配合程度、服务成果质量、项目后期服务以及信用评价结果的运用等。</w:t>
      </w:r>
    </w:p>
    <w:p w14:paraId="0B957C4A">
      <w:pPr>
        <w:pStyle w:val="39"/>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pPr>
    </w:p>
    <w:p w14:paraId="72DC4DD2">
      <w:pPr>
        <w:pStyle w:val="39"/>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pPr>
    </w:p>
    <w:p w14:paraId="655F754C">
      <w:pPr>
        <w:pStyle w:val="39"/>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01A3E6AB">
      <w:pPr>
        <w:pStyle w:val="3"/>
        <w:keepNext w:val="0"/>
        <w:keepLines w:val="0"/>
        <w:pageBreakBefore w:val="0"/>
        <w:wordWrap w:val="0"/>
        <w:overflowPunct/>
        <w:topLinePunct w:val="0"/>
        <w:autoSpaceDE/>
        <w:autoSpaceDN/>
        <w:bidi w:val="0"/>
        <w:snapToGrid w:val="0"/>
        <w:spacing w:line="360" w:lineRule="exact"/>
        <w:jc w:val="center"/>
        <w:rPr>
          <w:rFonts w:hAnsi="宋体" w:cs="宋体"/>
          <w:b/>
          <w:snapToGrid w:val="0"/>
          <w:color w:val="000000" w:themeColor="text1"/>
          <w:sz w:val="32"/>
          <w:szCs w:val="32"/>
          <w:highlight w:val="none"/>
          <w14:textFill>
            <w14:solidFill>
              <w14:schemeClr w14:val="tx1"/>
            </w14:solidFill>
          </w14:textFill>
        </w:rPr>
      </w:pPr>
      <w:bookmarkStart w:id="151" w:name="_Hlt69698776"/>
      <w:r>
        <w:rPr>
          <w:rFonts w:hint="eastAsia" w:hAnsi="宋体" w:cs="宋体"/>
          <w:b/>
          <w:snapToGrid w:val="0"/>
          <w:color w:val="000000" w:themeColor="text1"/>
          <w:sz w:val="32"/>
          <w:szCs w:val="32"/>
          <w:highlight w:val="none"/>
          <w14:textFill>
            <w14:solidFill>
              <w14:schemeClr w14:val="tx1"/>
            </w14:solidFill>
          </w14:textFill>
        </w:rPr>
        <w:t>　</w:t>
      </w:r>
      <w:bookmarkStart w:id="152" w:name="_Toc9067"/>
      <w:bookmarkStart w:id="153" w:name="_Toc29099"/>
      <w:bookmarkStart w:id="154" w:name="_Hlt69698713"/>
      <w:bookmarkStart w:id="155" w:name="_Hlt69698765"/>
      <w:r>
        <w:rPr>
          <w:rFonts w:hint="eastAsia" w:hAnsi="宋体" w:cs="宋体"/>
          <w:b/>
          <w:snapToGrid w:val="0"/>
          <w:color w:val="000000" w:themeColor="text1"/>
          <w:sz w:val="32"/>
          <w:szCs w:val="32"/>
          <w:highlight w:val="none"/>
          <w14:textFill>
            <w14:solidFill>
              <w14:schemeClr w14:val="tx1"/>
            </w14:solidFill>
          </w14:textFill>
        </w:rPr>
        <w:t>第三章</w:t>
      </w:r>
      <w:bookmarkStart w:id="156" w:name="_Hlt87793831"/>
      <w:bookmarkEnd w:id="156"/>
      <w:r>
        <w:rPr>
          <w:rFonts w:hint="eastAsia" w:hAnsi="宋体" w:cs="宋体"/>
          <w:b/>
          <w:snapToGrid w:val="0"/>
          <w:color w:val="000000" w:themeColor="text1"/>
          <w:sz w:val="32"/>
          <w:szCs w:val="32"/>
          <w:highlight w:val="none"/>
          <w14:textFill>
            <w14:solidFill>
              <w14:schemeClr w14:val="tx1"/>
            </w14:solidFill>
          </w14:textFill>
        </w:rPr>
        <w:t xml:space="preserve"> 拟签订合同的主要条款</w:t>
      </w:r>
      <w:bookmarkEnd w:id="152"/>
      <w:bookmarkEnd w:id="153"/>
    </w:p>
    <w:bookmarkEnd w:id="154"/>
    <w:bookmarkEnd w:id="155"/>
    <w:p w14:paraId="7C82EF7C">
      <w:pPr>
        <w:bidi w:val="0"/>
        <w:rPr>
          <w:color w:val="000000" w:themeColor="text1"/>
          <w:highlight w:val="none"/>
          <w:lang w:val="zh-CN"/>
          <w14:textFill>
            <w14:solidFill>
              <w14:schemeClr w14:val="tx1"/>
            </w14:solidFill>
          </w14:textFill>
        </w:rPr>
      </w:pPr>
      <w:bookmarkStart w:id="157" w:name="_Toc6392"/>
      <w:bookmarkStart w:id="158" w:name="_Toc4588"/>
      <w:bookmarkStart w:id="159" w:name="_Toc11616"/>
      <w:bookmarkStart w:id="160" w:name="_Toc12203"/>
    </w:p>
    <w:p w14:paraId="1F5558D6">
      <w:pPr>
        <w:keepNext w:val="0"/>
        <w:keepLines w:val="0"/>
        <w:pageBreakBefore w:val="0"/>
        <w:tabs>
          <w:tab w:val="left" w:pos="3120"/>
        </w:tabs>
        <w:overflowPunct/>
        <w:topLinePunct w:val="0"/>
        <w:autoSpaceDE w:val="0"/>
        <w:autoSpaceDN/>
        <w:bidi w:val="0"/>
        <w:snapToGrid w:val="0"/>
        <w:spacing w:line="380" w:lineRule="exact"/>
        <w:jc w:val="center"/>
        <w:rPr>
          <w:rFonts w:ascii="宋体" w:hAnsi="宋体" w:cs="宋体"/>
          <w:b/>
          <w:bCs/>
          <w:color w:val="000000" w:themeColor="text1"/>
          <w:kern w:val="0"/>
          <w:sz w:val="36"/>
          <w:szCs w:val="36"/>
          <w:highlight w:val="none"/>
          <w:lang w:val="zh-CN"/>
          <w14:textFill>
            <w14:solidFill>
              <w14:schemeClr w14:val="tx1"/>
            </w14:solidFill>
          </w14:textFill>
        </w:rPr>
      </w:pPr>
      <w:bookmarkStart w:id="161" w:name="_Toc10885"/>
      <w:r>
        <w:rPr>
          <w:rFonts w:ascii="宋体" w:hAnsi="宋体" w:cs="宋体"/>
          <w:b/>
          <w:bCs/>
          <w:color w:val="000000" w:themeColor="text1"/>
          <w:kern w:val="0"/>
          <w:sz w:val="32"/>
          <w:szCs w:val="32"/>
          <w:highlight w:val="none"/>
          <w:lang w:val="zh-CN"/>
          <w14:textFill>
            <w14:solidFill>
              <w14:schemeClr w14:val="tx1"/>
            </w14:solidFill>
          </w14:textFill>
        </w:rPr>
        <w:t>第二部分  通用条件</w:t>
      </w:r>
    </w:p>
    <w:p w14:paraId="2EF12248">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1. 定义与解释</w:t>
      </w:r>
    </w:p>
    <w:p w14:paraId="577D663A">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1.1 定义</w:t>
      </w:r>
    </w:p>
    <w:p w14:paraId="37E976BB">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cs="宋体"/>
          <w:color w:val="000000" w:themeColor="text1"/>
          <w:kern w:val="0"/>
          <w:sz w:val="24"/>
          <w:highlight w:val="none"/>
          <w:lang w:val="zh-CN"/>
          <w14:textFill>
            <w14:solidFill>
              <w14:schemeClr w14:val="tx1"/>
            </w14:solidFill>
          </w14:textFill>
        </w:rPr>
        <w:t>除根据上下文另有其意义外，组成本合同的全部文件中的下列名词和用语应具有本款所赋予的含义：</w:t>
      </w:r>
    </w:p>
    <w:p w14:paraId="27E654B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 “工程”是指按照本合同约定实施监理与相关服务的建设工程。</w:t>
      </w:r>
    </w:p>
    <w:p w14:paraId="2AFBC53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1.1.2 “委托人”是指本合同中委托监理与相关服务的一方，及其合法的继承人或受让人。</w:t>
      </w:r>
    </w:p>
    <w:p w14:paraId="292A34E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1.1.3 “监理人”是指本合同中提供监理与相关服务的一方，及其合法的继承人。</w:t>
      </w:r>
    </w:p>
    <w:p w14:paraId="05B01C9D">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1.1.4 “承包人”是</w:t>
      </w:r>
      <w:r>
        <w:rPr>
          <w:rFonts w:ascii="宋体" w:hAnsi="宋体" w:cs="宋体"/>
          <w:color w:val="000000" w:themeColor="text1"/>
          <w:kern w:val="0"/>
          <w:sz w:val="24"/>
          <w:highlight w:val="none"/>
          <w:lang w:val="zh-CN"/>
          <w14:textFill>
            <w14:solidFill>
              <w14:schemeClr w14:val="tx1"/>
            </w14:solidFill>
          </w14:textFill>
        </w:rPr>
        <w:t>指在工程范围内与委托人签订勘察、设计、施工等有关合同的当事人，及其合法的继承人。</w:t>
      </w:r>
    </w:p>
    <w:p w14:paraId="35457C1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6F678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1.1.6 “相关服务”是指监理人受委托人的委托 ，按照本合同约定，在勘察、设计、保修等阶段提供的服务活动。</w:t>
      </w:r>
    </w:p>
    <w:p w14:paraId="2E21EE2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1.1.7 “正常工作”指本合同订立时通用条件和专用条件中约定的监理人的工作。</w:t>
      </w:r>
    </w:p>
    <w:p w14:paraId="1A26F51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1.1.8 “附加工作”是指本合同约定的正常工作以外监理人的工作。</w:t>
      </w:r>
    </w:p>
    <w:p w14:paraId="73B0599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1.1.9 “项目监理机构”是指监理人派驻工程负责履行本合同的组织机构。</w:t>
      </w:r>
    </w:p>
    <w:p w14:paraId="1F907A0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1.1.10 “总监理工程师”是指由监理人的法定代表人书面授权，全面负责履行本合同、主持项目监理机构工作的注册监理工程师。</w:t>
      </w:r>
    </w:p>
    <w:p w14:paraId="1CABF61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1.1.11 “酬金”是指监理人履行本合同义务，委托人按照本合同约定给付监理人的金额。</w:t>
      </w:r>
    </w:p>
    <w:p w14:paraId="28A46C7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1.1.12 “正常工作酬金”是指监理人完成正常工作，委托人应给付监理人并在协议书中载明的签约酬金额。</w:t>
      </w:r>
    </w:p>
    <w:p w14:paraId="4581EFA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1.1.13 “附加工作酬金”是指监理人完成附加工作，委托人应给付监理人的金额。</w:t>
      </w:r>
    </w:p>
    <w:p w14:paraId="33A0C23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1.1.14 “一方”是指委托人或监理人；“双方”是指委托人和监理人；“第三方”是指除委托人和监理人以外的有关方。</w:t>
      </w:r>
    </w:p>
    <w:p w14:paraId="57B28C5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1.1.15 “书面形式”是指合同书、信件和数据电文（包括电报、电传、传真、电子数据交换和电子邮件）等可以有形地表现所载内容的形式。</w:t>
      </w:r>
    </w:p>
    <w:p w14:paraId="1A8131C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1.1.16 “天”是指第一天零时至第二天零时的时间。</w:t>
      </w:r>
    </w:p>
    <w:p w14:paraId="58E0386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1.1.17“月”是指按公历从一个月中任何一天开始的一个公历月时间。</w:t>
      </w:r>
    </w:p>
    <w:p w14:paraId="2F0A0FB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1.1.18 “不可抗力”是指委托人和监理人在订立本合同时不可预见，在工程施工过程中不可避免发生并不能克服的自然灾害和社会性突发事件，如</w:t>
      </w:r>
      <w:r>
        <w:rPr>
          <w:rFonts w:hint="eastAsia" w:ascii="宋体" w:hAnsi="宋体" w:eastAsia="宋体" w:cs="宋体"/>
          <w:color w:val="000000" w:themeColor="text1"/>
          <w:kern w:val="0"/>
          <w:sz w:val="24"/>
          <w:highlight w:val="none"/>
          <w:lang w:val="en-US" w:eastAsia="zh-CN"/>
          <w14:textFill>
            <w14:solidFill>
              <w14:schemeClr w14:val="tx1"/>
            </w14:solidFill>
          </w14:textFill>
        </w:rPr>
        <w:t>高温、干旱、龙卷风、</w:t>
      </w:r>
      <w:r>
        <w:rPr>
          <w:rFonts w:ascii="宋体" w:hAnsi="宋体" w:eastAsia="宋体" w:cs="宋体"/>
          <w:color w:val="000000" w:themeColor="text1"/>
          <w:kern w:val="0"/>
          <w:sz w:val="24"/>
          <w:highlight w:val="none"/>
          <w:lang w:val="zh-CN"/>
          <w14:textFill>
            <w14:solidFill>
              <w14:schemeClr w14:val="tx1"/>
            </w14:solidFill>
          </w14:textFill>
        </w:rPr>
        <w:t>地震、海啸、</w:t>
      </w:r>
      <w:r>
        <w:rPr>
          <w:rFonts w:hint="eastAsia" w:ascii="宋体" w:hAnsi="宋体" w:eastAsia="宋体" w:cs="宋体"/>
          <w:color w:val="000000" w:themeColor="text1"/>
          <w:kern w:val="0"/>
          <w:sz w:val="24"/>
          <w:highlight w:val="none"/>
          <w:lang w:val="en-US" w:eastAsia="zh-CN"/>
          <w14:textFill>
            <w14:solidFill>
              <w14:schemeClr w14:val="tx1"/>
            </w14:solidFill>
          </w14:textFill>
        </w:rPr>
        <w:t>台风、飓风、</w:t>
      </w:r>
      <w:r>
        <w:rPr>
          <w:rFonts w:ascii="宋体" w:hAnsi="宋体" w:eastAsia="宋体" w:cs="宋体"/>
          <w:color w:val="000000" w:themeColor="text1"/>
          <w:kern w:val="0"/>
          <w:sz w:val="24"/>
          <w:highlight w:val="none"/>
          <w:lang w:val="zh-CN"/>
          <w14:textFill>
            <w14:solidFill>
              <w14:schemeClr w14:val="tx1"/>
            </w14:solidFill>
          </w14:textFill>
        </w:rPr>
        <w:t>瘟疫、水灾、骚乱、暴动、战争和专用条件约定的其他情形。</w:t>
      </w:r>
    </w:p>
    <w:p w14:paraId="72801C6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1.2 解释</w:t>
      </w:r>
    </w:p>
    <w:p w14:paraId="00AB6C2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1.2.1本合同使用中文书写、解释和说明。如专用条件约定使用两种及以上语言文字时，应以中文为准。</w:t>
      </w:r>
    </w:p>
    <w:p w14:paraId="01FA60F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1.2.2 组成本合同的下列文件彼此应能相互解释、互为说明。除专用条件另有约定外，本合同文件的解释顺序如下：</w:t>
      </w:r>
    </w:p>
    <w:p w14:paraId="67E2788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（1）协议书；</w:t>
      </w:r>
    </w:p>
    <w:p w14:paraId="23DFCBE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（2）中标通知书（适用于招标工程）或委托书（适用于非招标工程）；</w:t>
      </w:r>
    </w:p>
    <w:p w14:paraId="4ABF545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（3）专用条件及附录A、附录B；</w:t>
      </w:r>
    </w:p>
    <w:p w14:paraId="76B5DFF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（4）通用条件；</w:t>
      </w:r>
    </w:p>
    <w:p w14:paraId="780918E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（5）投标文件（适用于招标工程）或监理与相关服务建议书（适用于非招标工程）。</w:t>
      </w:r>
    </w:p>
    <w:p w14:paraId="6700622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双方签订的补充协议与其他文件发生矛盾或歧义时，属于同一类内容的文件，应以最新签署的为准。</w:t>
      </w:r>
    </w:p>
    <w:p w14:paraId="3C4D4061">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2. 监理人的义务</w:t>
      </w:r>
    </w:p>
    <w:p w14:paraId="0AD6C66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 监理的范围和内容</w:t>
      </w:r>
    </w:p>
    <w:p w14:paraId="00D68DC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2.1.1 监理范围：</w:t>
      </w:r>
    </w:p>
    <w:p w14:paraId="54829D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包括但不限于以下内容：工程合同、工程质量、材料、安全、进度监理；配合本项目造价咨询单位进行投资监理；进度审核、工程结算审核监理（进度审核及结算审核均需出具审核报告）；施工、验收、结算及保修阶段的全过程监理；项目建设施工阶段监理（含施工准备阶段、施工阶段、工程竣工结算阶段和缺陷责任期阶段监理）等相关工作。</w:t>
      </w:r>
    </w:p>
    <w:p w14:paraId="4DD73F8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（2）除上述工作范围外，监理人还须按</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的要求提前进场参与开工前期的准备和筹划工作，协助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制定工程管理办法、各参建方职责及有关事务性工作等。</w:t>
      </w:r>
    </w:p>
    <w:p w14:paraId="0B64B1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2.1.2 监理工作内容还包括：</w:t>
      </w:r>
    </w:p>
    <w:p w14:paraId="12C1146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（1）监理人作为</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的顾问，应在受委托的监理业务范围内向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负责，在执行和遵守国家有关建设法规的前提下，维护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的正当权益。收到工程设计文件后编制监理规划，并在第一次工地会议7天前报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规定和监理工作需要，编制监理实施细则；制定现场工程监理工作制度，填写监理日记及大事记。每周定期召开监理例会，通报监理情况及工程的有关事宜，并根据工程需要组织专题会议，会议并须由总监理工程师主持。</w:t>
      </w:r>
    </w:p>
    <w:p w14:paraId="75D87B9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熟悉工程设计文件，并对图纸中存在的问题通过建设单位向设计单位提出书面意见和建议，参加设计技术交底会，并对会议纪要进行签认，协调设计单位落实施工图纸的出图供应计划。审核设计文件、图纸和各项设计变更，提出意见（优化设计等）并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主持的图纸会审和设计交底会议；</w:t>
      </w:r>
    </w:p>
    <w:p w14:paraId="2EB5AB2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主持的第一次工地会议；主持监理例会并根据工程需要主持或参加专题会议；关于重大的设计修改和技术洽商，除提出监理意见外，应征得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及设计人的书面意见，并由原设计人进行修改。</w:t>
      </w:r>
    </w:p>
    <w:p w14:paraId="2615D1C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4）审查施工承包人提交的施工组织设计，重点审查其中的质量安全技术措施、专项施工方案与工程建设强制性标准的符合性；审查批准承包单位提出的开工报告及施工进度计划，签收检查承包人填报的旬、月、季等报表。核实</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与承包人开工前基建程序所需的各种批准文件及手续、检查实施情况，督促施工承包单位采取措施实现合同目标要求。当施工计划变动时，及时提出调整计划的意见，负责组织和协调各承包人的配合安排，定期向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汇报总进度计划控制情况</w:t>
      </w:r>
    </w:p>
    <w:p w14:paraId="2CE709A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（5）检查施工承包人工程质量、安全生产管理制度及组织机构和人员资格；</w:t>
      </w:r>
    </w:p>
    <w:p w14:paraId="2FAD48B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（6）检查施工承包人专职安全生产管理人员的配备情况。</w:t>
      </w:r>
    </w:p>
    <w:p w14:paraId="324E59A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（7）审查施工承包人提交的施工进度计划，核查承包人对施工进度计划的调整。</w:t>
      </w:r>
    </w:p>
    <w:p w14:paraId="2401EBA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（8）检查施工承包人的试验室。</w:t>
      </w:r>
    </w:p>
    <w:p w14:paraId="1E83898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（9）审核施工分包人资质条件。</w:t>
      </w:r>
    </w:p>
    <w:p w14:paraId="0A9215B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（10）查验施工承包人的施工测量放线成果。</w:t>
      </w:r>
    </w:p>
    <w:p w14:paraId="660177B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（11）审查工程开工条件，对条件具备的签发开工令。</w:t>
      </w:r>
    </w:p>
    <w:p w14:paraId="3D6CF6B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（12）审查施工承包人报送的工程材料、构配件、设备质量证明文件的有效性和符合性，并按规定对用于工程的材料采取平行检验或见证取样方式进行抽检。</w:t>
      </w:r>
    </w:p>
    <w:p w14:paraId="2CF8168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（13）审核施工承包人提交的工程款支付申请，签发或出具工程款支付证书，并报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审核、批准。</w:t>
      </w:r>
    </w:p>
    <w:p w14:paraId="4697D4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（14）在巡视、旁站和检验过程中，发现工程质量、施工安全存在事故隐患的，要求施工承包人整改并报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6C5809F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（15）经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同意，签发工程暂停令和复工令。</w:t>
      </w:r>
    </w:p>
    <w:p w14:paraId="1601FFF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（16）审查施工承包人提交的采用新材料、新工艺、新技术、新设备的论证材料及相关验收标准。</w:t>
      </w:r>
    </w:p>
    <w:p w14:paraId="17A8C9F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（17）验收隐蔽工程、分部分项工程。</w:t>
      </w:r>
    </w:p>
    <w:p w14:paraId="080762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（18）审查施工承包人提交的工程变更申请，协调处理施工进度调整、费用索赔、合同争议等事项；根据施工合同及有关文件规定，督促检查承包人及时完成各阶段施工资料的整理及竣工资料的编制，并按时交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归档。</w:t>
      </w:r>
    </w:p>
    <w:p w14:paraId="6C540E0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（19）审查施工承包人提交的竣工验收申请，编写工程质量评估报告。</w:t>
      </w:r>
    </w:p>
    <w:p w14:paraId="1471EA3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（20）参加工程竣工验收，签署竣工验收意见。</w:t>
      </w:r>
    </w:p>
    <w:p w14:paraId="571F91E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（21）审查施工承包人提交的竣工结算申请并报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4597276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（22）编制、整理工程监理归档文件并报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。根据有关文件规定，向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提交工程竣工备案的监理资料。</w:t>
      </w:r>
    </w:p>
    <w:p w14:paraId="5E70017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（23）监理人在监理期间应严格遵守国家、省、市有关防火、爆破和监理安全以及文明监理、深夜监理、环卫城管等规定，建立规章制度和防护措施。否则，由此造成的经济和法律责任，均由监理人负责。</w:t>
      </w:r>
    </w:p>
    <w:p w14:paraId="7721491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 xml:space="preserve"> （24）依据有关法律、法规、工程建设强制性标准、设计文件及施工合同，对承包人报送的竣工资料进行审查，并对工程质量进行竣工预验收。审查《工程竣工报告书》，对存在的问题，及时要求承包人整改，编写《工程质量评估报告》及整理监理资料，负责组织初验，签署由承包人提出的全部工程竣工验收报告，组织工程竣工验收，负责办理竣工资料的归档,并通过市城建档案馆的验收,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备案手续</w:t>
      </w:r>
      <w:r>
        <w:rPr>
          <w:rFonts w:ascii="宋体" w:hAnsi="宋体" w:eastAsia="宋体" w:cs="宋体"/>
          <w:color w:val="000000" w:themeColor="text1"/>
          <w:kern w:val="0"/>
          <w:sz w:val="24"/>
          <w:highlight w:val="none"/>
          <w:lang w:val="zh-CN"/>
          <w14:textFill>
            <w14:solidFill>
              <w14:schemeClr w14:val="tx1"/>
            </w14:solidFill>
          </w14:textFill>
        </w:rPr>
        <w:t>。</w:t>
      </w:r>
    </w:p>
    <w:p w14:paraId="2016B4D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2.1.3 相关服务的范围和内容在附录A中约定。</w:t>
      </w:r>
    </w:p>
    <w:p w14:paraId="54EA063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 监理与相关服务依据</w:t>
      </w:r>
    </w:p>
    <w:p w14:paraId="6FE6EB0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2.2.1 监理依据包括：</w:t>
      </w:r>
    </w:p>
    <w:p w14:paraId="07F1A60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（1）适用的法律、行政法规及部门规章；</w:t>
      </w:r>
    </w:p>
    <w:p w14:paraId="6A5FBE1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（2）与工程有关的标准；</w:t>
      </w:r>
    </w:p>
    <w:p w14:paraId="7D327F4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（3）工程设计及有关文件；</w:t>
      </w:r>
    </w:p>
    <w:p w14:paraId="0332D03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（4）本合同及委托人与第三方签订的与实施工程有关的其他合同。</w:t>
      </w:r>
    </w:p>
    <w:p w14:paraId="5D8B738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双方根据工程的行业和地域特点，在专用条件中具体约定监理依据。</w:t>
      </w:r>
    </w:p>
    <w:p w14:paraId="1AACA25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2.2.2 相关服务依据在专用条件中约定。</w:t>
      </w:r>
    </w:p>
    <w:p w14:paraId="0CF00F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2.3项目监理机构和人员</w:t>
      </w:r>
    </w:p>
    <w:p w14:paraId="251D20A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2.3.1 监理人按合同约定、《投标文件》承诺派出监理工作需要的监理机构及监理人员。</w:t>
      </w:r>
    </w:p>
    <w:p w14:paraId="71BC937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2.3.2监理人拟派驻监理机构组成人员数量须符合《广东省建设厅粤建管（2002）97号文》关于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 xml:space="preserve">有权以书面形式要求监理人更换不能按照监理合同的约定进行监理服务的派驻人员。 </w:t>
      </w:r>
    </w:p>
    <w:p w14:paraId="1F7120C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 xml:space="preserve">2.3.3 更换监理人员的其他情形： </w:t>
      </w:r>
    </w:p>
    <w:p w14:paraId="06A634B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有权要求监理人更换不称职的监理人员，直到终止合同。</w:t>
      </w:r>
    </w:p>
    <w:p w14:paraId="19706D6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当总监理工程师需要调整时，监理人须提前14天书面通知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书面同意后方可调整，否则，因监理人擅自变更总监理工程师对</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造成的损失应由监理人承担赔偿责任。</w:t>
      </w:r>
    </w:p>
    <w:p w14:paraId="236C4BA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监理人应保持现场监理人员相对固定。监理人因工作安排或其他原因，需要更换派驻到工程所在地的重要岗位监理人员时，应事先得到</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的同意且至少提前7天以书面形式通知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，即使是</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要求或同意更换的监理人员，其代替人员的资质不得低于被代替人员。变更或调整监理人员必须经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同意并经建设项目行政主管部门备案批准后方可进行</w:t>
      </w:r>
      <w:r>
        <w:rPr>
          <w:rFonts w:ascii="宋体" w:hAnsi="宋体" w:eastAsia="宋体" w:cs="宋体"/>
          <w:color w:val="000000" w:themeColor="text1"/>
          <w:kern w:val="0"/>
          <w:sz w:val="24"/>
          <w:highlight w:val="none"/>
          <w:lang w:val="zh-CN"/>
          <w14:textFill>
            <w14:solidFill>
              <w14:schemeClr w14:val="tx1"/>
            </w14:solidFill>
          </w14:textFill>
        </w:rPr>
        <w:t>。</w:t>
      </w:r>
    </w:p>
    <w:p w14:paraId="35C267D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2.3.4 监理人应及时更换有下列情形之一的监理人员：</w:t>
      </w:r>
    </w:p>
    <w:p w14:paraId="7188233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（1）严重过失行为的；</w:t>
      </w:r>
    </w:p>
    <w:p w14:paraId="141D295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（2）有违法行为不能履行职责的；</w:t>
      </w:r>
    </w:p>
    <w:p w14:paraId="3A0FB66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（3）涉嫌犯罪的；</w:t>
      </w:r>
    </w:p>
    <w:p w14:paraId="48357DC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（4）不能胜任岗位职责的；</w:t>
      </w:r>
    </w:p>
    <w:p w14:paraId="7B779DE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（5）严重违反职业道德的；</w:t>
      </w:r>
    </w:p>
    <w:p w14:paraId="46ED7F4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（6）专用条件约定的其他情形。</w:t>
      </w:r>
    </w:p>
    <w:p w14:paraId="4DB618E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2.3.5 委托人可要求监理人更换不能胜任本职工作的项目监理机构人员。</w:t>
      </w:r>
    </w:p>
    <w:p w14:paraId="620C93A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 履行职责</w:t>
      </w:r>
    </w:p>
    <w:p w14:paraId="6F390AD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监理人应遵循职业道德准则和行为规范，严格按照法律法规、工程建设有关标准及本合同履行职责。</w:t>
      </w:r>
    </w:p>
    <w:p w14:paraId="2B772D4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2.4.1 在监理与相关服务范围内，委托人和承包人提出的意见和要求，监理人应及时提出处置意见。当委托人与承包人之间发生合同争议时，监理人应协助委托人、承包人协商解决。</w:t>
      </w:r>
    </w:p>
    <w:p w14:paraId="254E3BD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2.4.2 当委托人与承包人之间的合同争议提交仲裁机构仲裁或人民法院审理时，监理人应提供必要的证明资料。</w:t>
      </w:r>
    </w:p>
    <w:p w14:paraId="6B4F4C4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2.4.3 监理人应在专用条件约定的授权范围内，处理委托人与承包人所签订合同的变更事宜。如果变更超过授权范围，应以书面形式报委托人批准。</w:t>
      </w:r>
    </w:p>
    <w:p w14:paraId="370C3BC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在紧急情况下，为了保护财产和人身安全，监理人所发出的指令未能事先报委托人批准时，应在发出指令后的24小时内以书面形式报委托人。</w:t>
      </w:r>
    </w:p>
    <w:p w14:paraId="5054E11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2.4.4 除专用条件另有约定外，监理人发现承包人的人员不能胜任本职工作的，有权要求承包人予以调换。</w:t>
      </w:r>
    </w:p>
    <w:p w14:paraId="71284F0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2.5 提交报告</w:t>
      </w:r>
    </w:p>
    <w:p w14:paraId="29F5659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监理人应按专用条件约定的种类、时间和份数向委托人提交监理与相关服务的报告。</w:t>
      </w:r>
    </w:p>
    <w:p w14:paraId="7E923AF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2.6 文件资料</w:t>
      </w:r>
    </w:p>
    <w:p w14:paraId="51FA81F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在本合同履行期内，监理人应在现场保留工作所用的图纸、报告及记录监理工作的相关文件。工程竣工后，应当按照档案管理规定将监理有关文件归档。</w:t>
      </w:r>
    </w:p>
    <w:p w14:paraId="77CBD8F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2.7 使用委托人的财产</w:t>
      </w:r>
    </w:p>
    <w:p w14:paraId="716482C1">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4957A7F2">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3．委托人的义务</w:t>
      </w:r>
    </w:p>
    <w:p w14:paraId="6464AF1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3.1 告知</w:t>
      </w:r>
    </w:p>
    <w:p w14:paraId="5973546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委托人应在委托人与承包人签订的合同中明确监理人、总监理工程师和授予项目监理机构的权限。如有变更，应及时通知承包人。</w:t>
      </w:r>
    </w:p>
    <w:p w14:paraId="540AC17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3.2 提供资料</w:t>
      </w:r>
    </w:p>
    <w:p w14:paraId="0AF51EE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委托人应按照附录B约定，无偿向监理人提供工程有关的资料。在本合同履行过程中，委托人应及时向监理人提供最新的与工程有关的资料。</w:t>
      </w:r>
    </w:p>
    <w:p w14:paraId="0FA64C6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3.3 提供工作条件</w:t>
      </w:r>
    </w:p>
    <w:p w14:paraId="51DC17F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委托人应为监理人完成监理与相关服务提供必要的条件。</w:t>
      </w:r>
    </w:p>
    <w:p w14:paraId="18F03BA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3.3.1 委托人应按照附录B约定，派遣相应人员，不需提供房屋、设备，监理人自行安排。</w:t>
      </w:r>
    </w:p>
    <w:p w14:paraId="686CD11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3.3.2 委托人应负责协调工程建设中所有外部关系，为监理人履行本合同提供必要的外部条件。</w:t>
      </w:r>
    </w:p>
    <w:p w14:paraId="50B44AC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3.4 委托人代表</w:t>
      </w:r>
    </w:p>
    <w:p w14:paraId="43C18C7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委托人应授权一名熟悉工程情况的代表，负责与监理人联系。委托人应在双方签订本合同后7天内，将委托人代表的姓名和职责书面告知监理人。当委托人更换委托人代表时，应提前7天通知监理人。</w:t>
      </w:r>
    </w:p>
    <w:p w14:paraId="469F0C7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3.5 委托人意见或要求</w:t>
      </w:r>
    </w:p>
    <w:p w14:paraId="6C28EAB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在本合同约定的监理与相关服务工作范围内，委托人对承包人的任何意见或要求应通知监理人，由监理人向承包人发出相应指令。</w:t>
      </w:r>
    </w:p>
    <w:p w14:paraId="0E69B67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3.6 答复</w:t>
      </w:r>
    </w:p>
    <w:p w14:paraId="1AB6D7D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委托人应在专用条件约定的时间内，对监理人以书面形式提交并要求作出决定的事宜，给予书面答复。逾期未答复的，视为委托人认可。</w:t>
      </w:r>
    </w:p>
    <w:p w14:paraId="1491F1A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3.7 支付</w:t>
      </w:r>
    </w:p>
    <w:p w14:paraId="085AD62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委托人应按本合同约定，向监理人支付酬金。</w:t>
      </w:r>
    </w:p>
    <w:p w14:paraId="45B3E7B8">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4. 违约责任</w:t>
      </w:r>
    </w:p>
    <w:p w14:paraId="0A57997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4.1 监理人的违约责任</w:t>
      </w:r>
    </w:p>
    <w:p w14:paraId="63A96EF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监理人未履行本合同义务的，应承担相应的责任。</w:t>
      </w:r>
    </w:p>
    <w:p w14:paraId="6C4C2BD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4.1.1 因监理人违反本合同约定给委托人造成损失的，监理人应当赔偿委托人损失。赔偿金额的确定方法在专用条件中约定。监理人承担部分赔偿责任的，其承担赔偿金额由双方协商确定。</w:t>
      </w:r>
    </w:p>
    <w:p w14:paraId="27CA5CE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4.1.2 监理人向委托人的索赔不成立时，监理人应赔偿委托人由此发生的费用。</w:t>
      </w:r>
    </w:p>
    <w:p w14:paraId="60F1FEC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4.2 委托人的违约责任</w:t>
      </w:r>
    </w:p>
    <w:p w14:paraId="2E26880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委托人未履行本合同义务的，应承担相应的责任。</w:t>
      </w:r>
    </w:p>
    <w:p w14:paraId="166324B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4.2.1 委托人违反本合同约定造成监理人损失的，委托人应予以赔偿。</w:t>
      </w:r>
    </w:p>
    <w:p w14:paraId="374C4A7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4.2.2 委托人向监理人的索赔不成立时，应赔偿监理人由此引起的费用。</w:t>
      </w:r>
    </w:p>
    <w:p w14:paraId="15CF432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4.3 除外责任</w:t>
      </w:r>
    </w:p>
    <w:p w14:paraId="699246E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因非监理人的原因，且监理人无过错，发生工程质量事故、安全事故、工期延误等造成的损失，监理人不承担赔偿责任。</w:t>
      </w:r>
    </w:p>
    <w:p w14:paraId="1DC24689">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因不可抗力导致本合同全部或部分不能履行时，双方各自承担其因此而造成的损失、损害。</w:t>
      </w:r>
    </w:p>
    <w:p w14:paraId="1B133397">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5. 支付</w:t>
      </w:r>
    </w:p>
    <w:p w14:paraId="35B4D7F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5.1 支付货币</w:t>
      </w:r>
    </w:p>
    <w:p w14:paraId="59BAA8F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除专用条件另有约定外，酬金均以人民币支付。涉及外币支付的，所采用的货币种类、比例和汇率在专用条件中约定。</w:t>
      </w:r>
    </w:p>
    <w:p w14:paraId="295BA92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5.2 支付申请</w:t>
      </w:r>
    </w:p>
    <w:p w14:paraId="47671A4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4307C68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5.3 支付酬金</w:t>
      </w:r>
    </w:p>
    <w:p w14:paraId="3443110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支付的酬金包括正常工作酬金、附加工作酬金、合理化建议奖励金额及费用。</w:t>
      </w:r>
    </w:p>
    <w:p w14:paraId="3772A98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5.4 有争议部分的付款</w:t>
      </w:r>
    </w:p>
    <w:p w14:paraId="206B666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委托人对监理人提交的支付申请书有异议时，应当在收到监理人提交的支付申请书后7天内，以书面形式向监理人发出异议通知。无异议部分的款项应按期支付，有异议部分的款项按第7条约定办理。</w:t>
      </w:r>
    </w:p>
    <w:p w14:paraId="6C29790D">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6. 合同生效、变更、暂停、解除与终止</w:t>
      </w:r>
    </w:p>
    <w:p w14:paraId="59C6017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6.1生效</w:t>
      </w:r>
    </w:p>
    <w:p w14:paraId="7002E45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除法律另有规定或者专用条件另有约定外，委托人和监理人的法定代表人或其授权代理人在协议书上签字并盖单位章后本合同生效。</w:t>
      </w:r>
    </w:p>
    <w:p w14:paraId="372A806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6.2变更</w:t>
      </w:r>
    </w:p>
    <w:p w14:paraId="4E9B61F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6.2.1 任何一方提出变更请求时，双方经协商一致后可进行变更。</w:t>
      </w:r>
    </w:p>
    <w:p w14:paraId="7F4D53A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7B8CB8E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6.2.3合同生效后，如果实际情况发生变化使得监理人不能完成全部或部分工作时，监理人应立即通知委托人。除不可抗力及监理人原因外，其善后工作以及恢复服务的准备工作应为附加工作，附加工作酬金的确定方法在专用条件中约定。监理人用于恢复服务的准备时间不应超过28天。</w:t>
      </w:r>
    </w:p>
    <w:p w14:paraId="0D09EB3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6.2.4合同签订后，遇有与工程相关的法律法规、标准颁布或修订的，双方应遵照执行。由此引起监理与相关服务的范围、时间、酬金变化的，双方应通过协商进行相应调整。</w:t>
      </w:r>
    </w:p>
    <w:p w14:paraId="29431B2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6.2.5 因非监理人原因造成工程概算投资额或建筑安装工程费增加时，正常工作酬金应作相应调整。调整方法在专用条件中约定。</w:t>
      </w:r>
    </w:p>
    <w:p w14:paraId="32DE255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6.2.6 因工程规模、监理范围的变化导致监理人的正常工作量减少时，正常工作酬金应作相应调整。调整方法在专用条件中约定。</w:t>
      </w:r>
    </w:p>
    <w:p w14:paraId="6B62779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 暂停与解除</w:t>
      </w:r>
    </w:p>
    <w:p w14:paraId="07AA4FD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4A5CA28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0533674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1660E27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解除本合同的协议必须采取书面形式，协议未达成之前，本合同仍然有效。</w:t>
      </w:r>
    </w:p>
    <w:p w14:paraId="79CCF34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772B732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暂停部分监理与相关服务时间超过365天，监理人可发出解除本合同约定的该部分义务的通知；暂停全部工作时间超过365天，监理人可发出解除本合同的通知，本合同自通知到达委托人时解除。委托人应将监理与相关服务的酬金支付至本合同解除日，且应承担第4.2款约定的责任。</w:t>
      </w:r>
    </w:p>
    <w:p w14:paraId="5AC9BD5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14:paraId="7D6A81A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6.3.4 监理人在专用条件5.</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款约定的责任。</w:t>
      </w:r>
    </w:p>
    <w:p w14:paraId="5842577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6.3.5 因不可抗力致使本合同部分或全部不能履行时，一方应立即通知另一方，可暂停或解除本合同。</w:t>
      </w:r>
    </w:p>
    <w:p w14:paraId="3FBEBCF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6.3.6 本合同解除后，本合同约定的有关结算、清理、争议解决方式的条件仍然有效。</w:t>
      </w:r>
    </w:p>
    <w:p w14:paraId="691B87E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6.4 终止</w:t>
      </w:r>
    </w:p>
    <w:p w14:paraId="2E1EED6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以下条件全部满足时，本合同即告终止：</w:t>
      </w:r>
    </w:p>
    <w:p w14:paraId="4D41818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（1）监理人完成本合同约定的全部工作；</w:t>
      </w:r>
    </w:p>
    <w:p w14:paraId="6FA48C4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（2）委托人与监理人结清并支付全部酬金。</w:t>
      </w:r>
    </w:p>
    <w:p w14:paraId="57611E43">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7. 争议解决</w:t>
      </w:r>
    </w:p>
    <w:p w14:paraId="5AFE4B4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7.1协商</w:t>
      </w:r>
    </w:p>
    <w:p w14:paraId="7C7467C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双方应本着诚信原则协商解决彼此间的争议。</w:t>
      </w:r>
    </w:p>
    <w:p w14:paraId="3CFC333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7.2调解</w:t>
      </w:r>
    </w:p>
    <w:p w14:paraId="29EFE34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如果双方不能在14天内或双方商定的其他时间内解决本合同争议，可以将其提交给专用条件约定的或事后达成协议的调解人进行调解。</w:t>
      </w:r>
    </w:p>
    <w:p w14:paraId="4A75111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7.3仲裁或诉讼</w:t>
      </w:r>
    </w:p>
    <w:p w14:paraId="50A742C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双方均有权不经调解直接向专用条件约定的仲裁机构申请仲裁或向有管辖权的人民法院提起诉讼。</w:t>
      </w:r>
    </w:p>
    <w:p w14:paraId="073F66D6">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8. 其他</w:t>
      </w:r>
    </w:p>
    <w:p w14:paraId="54C111C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8.1 外出考察费用</w:t>
      </w:r>
    </w:p>
    <w:p w14:paraId="28E392E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经委托人同意，监理人员外出考察发生的费用由委托人审核后支付。</w:t>
      </w:r>
    </w:p>
    <w:p w14:paraId="4CAE1DF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8.2 检测费用</w:t>
      </w:r>
    </w:p>
    <w:p w14:paraId="12513DD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委托人要求监理人进行的材料和设备检测所发生的费用，由委托人支付，支付时间在专用条件中约定。</w:t>
      </w:r>
    </w:p>
    <w:p w14:paraId="10B12CA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8.3 咨询费用</w:t>
      </w:r>
    </w:p>
    <w:p w14:paraId="44A9C60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经委托人同意，根据工程需要由监理人组织的相关咨询论证会以及聘请相关专家等发生的费用由委托人支付，支付时间在专用条件中约定。</w:t>
      </w:r>
    </w:p>
    <w:p w14:paraId="551E8A3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8.4 奖励</w:t>
      </w:r>
    </w:p>
    <w:p w14:paraId="5AA076E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监理人在服务过程中提出的合理化建议，使委托人获得经济效益的，双方在专用条件中约定奖励金额的确定方法。奖励金额在合理化建议被采纳后，与最近一期正常工作酬金同期支付。</w:t>
      </w:r>
    </w:p>
    <w:p w14:paraId="65D1709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8.5 守法诚信</w:t>
      </w:r>
    </w:p>
    <w:p w14:paraId="7BAEA94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监理人及其工作人员不得从与实施工程有关的第三方处获得任何经济利益。</w:t>
      </w:r>
    </w:p>
    <w:p w14:paraId="7A2E23C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8.6 保密</w:t>
      </w:r>
    </w:p>
    <w:p w14:paraId="063E2D3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双方不得泄露对方申明的保密资料，亦不得泄露与实施工程有关的第三方所提供的保密资料，保密事项在专用条件中约定。</w:t>
      </w:r>
    </w:p>
    <w:p w14:paraId="4B40179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8.7 通知</w:t>
      </w:r>
    </w:p>
    <w:p w14:paraId="4D3C5A4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本合同涉及的通知均应当采用书面形式，并在送达对方时生效，收件人应书面签收。</w:t>
      </w:r>
    </w:p>
    <w:p w14:paraId="3FFC60F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8.8 著作权</w:t>
      </w:r>
    </w:p>
    <w:p w14:paraId="620EEF1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监理人对其编制的文件拥有著作权。</w:t>
      </w:r>
    </w:p>
    <w:p w14:paraId="351842A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3BAA380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p>
    <w:p w14:paraId="6002DAE0">
      <w:pPr>
        <w:keepNext w:val="0"/>
        <w:keepLines w:val="0"/>
        <w:pageBreakBefore w:val="0"/>
        <w:overflowPunct/>
        <w:topLinePunct w:val="0"/>
        <w:autoSpaceDE w:val="0"/>
        <w:autoSpaceDN/>
        <w:bidi w:val="0"/>
        <w:snapToGrid w:val="0"/>
        <w:spacing w:line="380" w:lineRule="exact"/>
        <w:ind w:firstLine="3534" w:firstLineChars="1100"/>
        <w:rPr>
          <w:rFonts w:ascii="宋体" w:hAnsi="宋体" w:cs="宋体"/>
          <w:b/>
          <w:bCs/>
          <w:color w:val="000000" w:themeColor="text1"/>
          <w:kern w:val="0"/>
          <w:sz w:val="36"/>
          <w:szCs w:val="36"/>
          <w:highlight w:val="none"/>
          <w:lang w:val="zh-CN"/>
          <w14:textFill>
            <w14:solidFill>
              <w14:schemeClr w14:val="tx1"/>
            </w14:solidFill>
          </w14:textFill>
        </w:rPr>
      </w:pPr>
      <w:r>
        <w:rPr>
          <w:rFonts w:ascii="宋体" w:hAnsi="宋体" w:cs="宋体"/>
          <w:b/>
          <w:bCs/>
          <w:color w:val="000000" w:themeColor="text1"/>
          <w:kern w:val="0"/>
          <w:sz w:val="32"/>
          <w:szCs w:val="32"/>
          <w:highlight w:val="none"/>
          <w:lang w:val="zh-CN"/>
          <w14:textFill>
            <w14:solidFill>
              <w14:schemeClr w14:val="tx1"/>
            </w14:solidFill>
          </w14:textFill>
        </w:rPr>
        <w:t>第三部分  专用条件</w:t>
      </w:r>
    </w:p>
    <w:p w14:paraId="67CDB6DB">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1. 定义与解释</w:t>
      </w:r>
    </w:p>
    <w:p w14:paraId="6BF479A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ascii="宋体" w:hAnsi="宋体" w:eastAsia="宋体" w:cs="宋体"/>
          <w:color w:val="000000" w:themeColor="text1"/>
          <w:kern w:val="0"/>
          <w:sz w:val="24"/>
          <w:highlight w:val="none"/>
          <w:lang w:val="zh-CN"/>
          <w14:textFill>
            <w14:solidFill>
              <w14:schemeClr w14:val="tx1"/>
            </w14:solidFill>
          </w14:textFill>
        </w:rPr>
        <w:t xml:space="preserve">  解释</w:t>
      </w:r>
    </w:p>
    <w:p w14:paraId="0DA5655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 xml:space="preserve"> 本合同文件除使用中文外，还可用</w:t>
      </w:r>
      <w:r>
        <w:rPr>
          <w:rFonts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ascii="宋体" w:hAnsi="宋体" w:eastAsia="宋体" w:cs="宋体"/>
          <w:color w:val="000000" w:themeColor="text1"/>
          <w:kern w:val="0"/>
          <w:sz w:val="24"/>
          <w:highlight w:val="none"/>
          <w:lang w:val="zh-CN"/>
          <w14:textFill>
            <w14:solidFill>
              <w14:schemeClr w14:val="tx1"/>
            </w14:solidFill>
          </w14:textFill>
        </w:rPr>
        <w:t>。</w:t>
      </w:r>
    </w:p>
    <w:p w14:paraId="5C74C44F">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ascii="宋体" w:hAnsi="宋体" w:eastAsia="宋体" w:cs="宋体"/>
          <w:color w:val="000000" w:themeColor="text1"/>
          <w:kern w:val="0"/>
          <w:sz w:val="24"/>
          <w:highlight w:val="none"/>
          <w:lang w:val="zh-CN"/>
          <w14:textFill>
            <w14:solidFill>
              <w14:schemeClr w14:val="tx1"/>
            </w14:solidFill>
          </w14:textFill>
        </w:rPr>
        <w:t xml:space="preserve"> 约定本合同文件的解释顺</w:t>
      </w:r>
      <w:r>
        <w:rPr>
          <w:rFonts w:ascii="宋体" w:hAnsi="宋体" w:cs="宋体"/>
          <w:color w:val="000000" w:themeColor="text1"/>
          <w:kern w:val="0"/>
          <w:sz w:val="24"/>
          <w:highlight w:val="none"/>
          <w:lang w:val="zh-CN"/>
          <w14:textFill>
            <w14:solidFill>
              <w14:schemeClr w14:val="tx1"/>
            </w14:solidFill>
          </w14:textFill>
        </w:rPr>
        <w:t>序为：</w:t>
      </w:r>
      <w:r>
        <w:rPr>
          <w:rFonts w:ascii="宋体" w:hAnsi="宋体" w:cs="宋体"/>
          <w:color w:val="000000" w:themeColor="text1"/>
          <w:kern w:val="0"/>
          <w:sz w:val="24"/>
          <w:highlight w:val="none"/>
          <w:u w:val="single"/>
          <w:lang w:val="zh-CN"/>
          <w14:textFill>
            <w14:solidFill>
              <w14:schemeClr w14:val="tx1"/>
            </w14:solidFill>
          </w14:textFill>
        </w:rPr>
        <w:t>1、协议书  2、</w:t>
      </w:r>
      <w:r>
        <w:rPr>
          <w:rFonts w:hint="eastAsia" w:ascii="宋体" w:hAnsi="宋体" w:cs="宋体"/>
          <w:color w:val="000000" w:themeColor="text1"/>
          <w:kern w:val="0"/>
          <w:sz w:val="24"/>
          <w:highlight w:val="none"/>
          <w:u w:val="single"/>
          <w:lang w:val="en-US" w:eastAsia="zh-CN"/>
          <w14:textFill>
            <w14:solidFill>
              <w14:schemeClr w14:val="tx1"/>
            </w14:solidFill>
          </w14:textFill>
        </w:rPr>
        <w:t>投标文件  3、</w:t>
      </w:r>
      <w:r>
        <w:rPr>
          <w:rFonts w:ascii="宋体" w:hAnsi="宋体" w:cs="宋体"/>
          <w:color w:val="000000" w:themeColor="text1"/>
          <w:kern w:val="0"/>
          <w:sz w:val="24"/>
          <w:highlight w:val="none"/>
          <w:u w:val="single"/>
          <w:lang w:val="zh-CN"/>
          <w14:textFill>
            <w14:solidFill>
              <w14:schemeClr w14:val="tx1"/>
            </w14:solidFill>
          </w14:textFill>
        </w:rPr>
        <w:t xml:space="preserve">专用条款 </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4</w:t>
      </w:r>
      <w:r>
        <w:rPr>
          <w:rFonts w:ascii="宋体" w:hAnsi="宋体" w:cs="宋体"/>
          <w:color w:val="000000" w:themeColor="text1"/>
          <w:kern w:val="0"/>
          <w:sz w:val="24"/>
          <w:highlight w:val="none"/>
          <w:u w:val="single"/>
          <w:lang w:val="zh-CN"/>
          <w14:textFill>
            <w14:solidFill>
              <w14:schemeClr w14:val="tx1"/>
            </w14:solidFill>
          </w14:textFill>
        </w:rPr>
        <w:t>、通用条款</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5、相关法律法规</w:t>
      </w:r>
      <w:r>
        <w:rPr>
          <w:rFonts w:ascii="宋体" w:hAnsi="宋体" w:cs="宋体"/>
          <w:color w:val="000000" w:themeColor="text1"/>
          <w:kern w:val="0"/>
          <w:sz w:val="24"/>
          <w:highlight w:val="none"/>
          <w:u w:val="single"/>
          <w:lang w:val="zh-CN"/>
          <w14:textFill>
            <w14:solidFill>
              <w14:schemeClr w14:val="tx1"/>
            </w14:solidFill>
          </w14:textFill>
        </w:rPr>
        <w:t xml:space="preserve">  </w:t>
      </w:r>
      <w:r>
        <w:rPr>
          <w:rFonts w:ascii="宋体" w:hAnsi="宋体" w:cs="宋体"/>
          <w:color w:val="000000" w:themeColor="text1"/>
          <w:kern w:val="0"/>
          <w:sz w:val="24"/>
          <w:highlight w:val="none"/>
          <w:lang w:val="zh-CN"/>
          <w14:textFill>
            <w14:solidFill>
              <w14:schemeClr w14:val="tx1"/>
            </w14:solidFill>
          </w14:textFill>
        </w:rPr>
        <w:t>。</w:t>
      </w:r>
    </w:p>
    <w:p w14:paraId="534FAB43">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2. 监理人义务</w:t>
      </w:r>
    </w:p>
    <w:p w14:paraId="2037CAB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 监理的范围和内容</w:t>
      </w:r>
    </w:p>
    <w:p w14:paraId="3CA6D9A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2.1.1 监理范围：</w:t>
      </w:r>
    </w:p>
    <w:p w14:paraId="02DF1D6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包括但不限于以下内容：工程合同、工程质量、材料、安全、进度监理；配合本项目造价咨询单位进行投资监理；进度审核、工程结算审核监理（进度审核及结算审核均需出具审核报告）；施工、验收、结算及保修阶段的全过程监理；项目建设施工阶段监理（含施工准备阶段、施工阶段、工程竣工结算阶段和缺陷责任期阶段监理）等相关工作。</w:t>
      </w:r>
    </w:p>
    <w:p w14:paraId="3B24019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（2）除上述工作范围外，监理人还须按</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的要求提前进场参与开工前期的准备和筹划工作，协助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制定工程管理办法、各参建方职责及有关事务性工作等。</w:t>
      </w:r>
    </w:p>
    <w:p w14:paraId="529C971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2.1.2 监理工作内容还包括：</w:t>
      </w:r>
    </w:p>
    <w:p w14:paraId="2AC698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（1）监理人作为</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的顾问，应在受委托的监理业务范围内向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负责，在执行和遵守国家有关建设法规的前提下，维护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的正当权益。收到工程设计文件后编制监理规划，并在第一次工地会议7天前报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规定和监理工作需要，编制监理实施细则；制定现场工程监理工作制度，填写监理日记及大事记。每周定期召开监理例会，通报监理情况及工程的有关事宜，并根据工程需要组织专题会议，会议并须由总监理工程师主持。</w:t>
      </w:r>
    </w:p>
    <w:p w14:paraId="53AB67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熟悉工程设计文件，并对图纸中存在的问题通过建设单位向设计单位提出书面意见和建议，参加设计技术交底会，并对会议纪要进行签认，协调设计单位落实施工图纸的出图供应计划。审核设计文件、图纸和各项设计变更，提出意见（优化设计等）并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主持的图纸会审和设计交底会议；</w:t>
      </w:r>
    </w:p>
    <w:p w14:paraId="37F2E23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主持的第一次工地会议；主持监理例会并根据工程需要主持或参加专题会议；关于重大的设计修改和技术洽商，除提出监理意见外，应征得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及设计人的书面意见，并由原设计人进行修改。</w:t>
      </w:r>
    </w:p>
    <w:p w14:paraId="2C0511C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4）审查施工承包人提交的施工组织设计，重点审查其中的质量安全技术措施、专项施工方案与工程建设强制性标准的符合性；审查批准承包单位提出的开工报告及施工进度计划，签收检查承包人填报的旬、月、季等报表。核实</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与承包人开工前基建程序所需的各种批准文件及手续、检查实施情况，督促施工承包单位采取措施实现合同目标要求。当施工计划变动时，及时提出调整计划的意见，负责组织和协调各承包人的配合安排，定期向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汇报总进度计划控制情况</w:t>
      </w:r>
    </w:p>
    <w:p w14:paraId="7456536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（5）检查施工承包人工程质量、安全生产管理制度及组织机构和人员资格；</w:t>
      </w:r>
    </w:p>
    <w:p w14:paraId="2553921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（6）检查施工承包人专职安全生产管理人员的配备情况。</w:t>
      </w:r>
    </w:p>
    <w:p w14:paraId="17DD2BA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（7）审查施工承包人提交的施工进度计划，核查承包人对施工进度计划的调整。</w:t>
      </w:r>
    </w:p>
    <w:p w14:paraId="4D075E5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（8）检查施工承包人的试验室。</w:t>
      </w:r>
    </w:p>
    <w:p w14:paraId="1C8F86F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（9）审核施工分包人资质条件。</w:t>
      </w:r>
    </w:p>
    <w:p w14:paraId="52E2FBE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（10）查验施工承包人的施工测量放线成果。</w:t>
      </w:r>
    </w:p>
    <w:p w14:paraId="204D140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（11）审查工程开工条件，对条件具备的签发开工令。</w:t>
      </w:r>
    </w:p>
    <w:p w14:paraId="688E6FE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（12）审查施工承包人报送的工程材料、构配件、设备质量证明文件的有效性和符合性，并按规定对用于工程的材料采取平行检验或见证取样方式进行抽检。</w:t>
      </w:r>
    </w:p>
    <w:p w14:paraId="3BF3A23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（13）审核施工承包人提交的工程款支付申请，签发或出具工程款支付证书，并报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审核、批准。</w:t>
      </w:r>
    </w:p>
    <w:p w14:paraId="25830AA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（14）在巡视、旁站和检验过程中，发现工程质量、施工安全存在事故隐患的，要求施工承包人整改并报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5F130BA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（15）经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同意，签发工程暂停令和复工令。</w:t>
      </w:r>
    </w:p>
    <w:p w14:paraId="58BDEC8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（16）审查施工承包人提交的采用新材料、新工艺、新技术、新设备的论证材料及相关验收标准。</w:t>
      </w:r>
    </w:p>
    <w:p w14:paraId="51E3C1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（17）验收隐蔽工程、分部分项工程。</w:t>
      </w:r>
    </w:p>
    <w:p w14:paraId="58EF76B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（18）审查施工承包人提交的工程变更申请，协调处理施工进度调整、费用索赔、合同争议等事项；根据施工合同及有关文件规定，督促检查承包人及时完成各阶段施工资料的整理及竣工资料的编制，并按时交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归档。</w:t>
      </w:r>
    </w:p>
    <w:p w14:paraId="77365B1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（19）审查施工承包人提交的竣工验收申请，编写工程质量评估报告。</w:t>
      </w:r>
    </w:p>
    <w:p w14:paraId="1F24EC2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（20）参加工程竣工验收，签署竣工验收意见。</w:t>
      </w:r>
    </w:p>
    <w:p w14:paraId="208F326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（21）审查施工承包人提交的竣工结算申请并报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72C1052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（22）编制、整理工程监理归档文件并报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。根据有关文件规定，向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提交工程竣工备案的监理资料。</w:t>
      </w:r>
    </w:p>
    <w:p w14:paraId="4309392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（23）监理人在监理期间应严格遵守国家、省、市有关防火、爆破和监理安全以及文明监理、深夜监理、环卫城管等规定，建立规章制度和防护措施。否则，由此造成的经济和法律责任，均由监理人负责。</w:t>
      </w:r>
    </w:p>
    <w:p w14:paraId="75B0F0D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24）依据有关法律、法规、工程建设强制性标准、设计文件及施工合同，对承包人报送的竣工资料进行审查，并对工程质量进行竣工预验收。审查《工程竣工报告书》，对存在的问题，及时要求承包人整改，编写《工程质量评估报告》及整理监理资料，负责组织初验，签署由承包人提出的全部工程竣工验收报告，组织工程竣工验收，负责办理竣工资料的归档,并通过市城建档案馆的验收,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备案手续</w:t>
      </w:r>
      <w:r>
        <w:rPr>
          <w:rFonts w:ascii="宋体" w:hAnsi="宋体" w:eastAsia="宋体" w:cs="宋体"/>
          <w:color w:val="000000" w:themeColor="text1"/>
          <w:kern w:val="0"/>
          <w:sz w:val="24"/>
          <w:highlight w:val="none"/>
          <w:lang w:val="zh-CN"/>
          <w14:textFill>
            <w14:solidFill>
              <w14:schemeClr w14:val="tx1"/>
            </w14:solidFill>
          </w14:textFill>
        </w:rPr>
        <w:t>。</w:t>
      </w:r>
    </w:p>
    <w:p w14:paraId="1B3AEAE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 监理与相关服务依据</w:t>
      </w:r>
    </w:p>
    <w:p w14:paraId="316C112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 xml:space="preserve">2.2.1 </w:t>
      </w:r>
      <w:r>
        <w:rPr>
          <w:rFonts w:hint="eastAsia" w:ascii="宋体" w:hAnsi="宋体" w:eastAsia="宋体" w:cs="宋体"/>
          <w:color w:val="000000" w:themeColor="text1"/>
          <w:kern w:val="0"/>
          <w:sz w:val="24"/>
          <w:highlight w:val="none"/>
          <w:lang w:val="zh-CN"/>
          <w14:textFill>
            <w14:solidFill>
              <w14:schemeClr w14:val="tx1"/>
            </w14:solidFill>
          </w14:textFill>
        </w:rPr>
        <w:t>监理依据包括：</w:t>
      </w:r>
    </w:p>
    <w:p w14:paraId="1FE22B5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(1)贯彻执行&lt;&lt;建设工程监理规范&gt;&gt; (GB</w:t>
      </w:r>
      <w:r>
        <w:rPr>
          <w:rFonts w:hint="eastAsia" w:hAnsi="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lang w:val="zh-CN"/>
          <w14:textFill>
            <w14:solidFill>
              <w14:schemeClr w14:val="tx1"/>
            </w14:solidFill>
          </w14:textFill>
        </w:rPr>
        <w:t>T50319-2013)以及国家对工程建设的政策、法律、法规和工程监理的有关规定。</w:t>
      </w:r>
    </w:p>
    <w:p w14:paraId="3AAF472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(2)建设主管部门批准的建设规划、计划和设计文件。</w:t>
      </w:r>
    </w:p>
    <w:p w14:paraId="544C019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(3)经批准的本项工程的施工图纸，技术文件及说明书和其相应的国家、 部门所制定的施工及验收规范。</w:t>
      </w:r>
    </w:p>
    <w:p w14:paraId="08171BA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(4)广东省、韶关市有关工程造价管理的文件。</w:t>
      </w:r>
    </w:p>
    <w:p w14:paraId="3AF4015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(5)委托人与承包人签订的工程承包合同</w:t>
      </w:r>
      <w:r>
        <w:rPr>
          <w:rFonts w:ascii="宋体" w:hAnsi="宋体" w:eastAsia="宋体" w:cs="宋体"/>
          <w:color w:val="000000" w:themeColor="text1"/>
          <w:kern w:val="0"/>
          <w:sz w:val="24"/>
          <w:highlight w:val="none"/>
          <w:lang w:val="zh-CN"/>
          <w14:textFill>
            <w14:solidFill>
              <w14:schemeClr w14:val="tx1"/>
            </w14:solidFill>
          </w14:textFill>
        </w:rPr>
        <w:t>。</w:t>
      </w:r>
    </w:p>
    <w:p w14:paraId="24CFD60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zh-CN"/>
          <w14:textFill>
            <w14:solidFill>
              <w14:schemeClr w14:val="tx1"/>
            </w14:solidFill>
          </w14:textFill>
        </w:rPr>
        <w:t>法律、行政法规；广东省及韶关市的地方性法规、地方政府规章</w:t>
      </w:r>
      <w:r>
        <w:rPr>
          <w:rFonts w:ascii="宋体" w:hAnsi="宋体" w:eastAsia="宋体" w:cs="宋体"/>
          <w:color w:val="000000" w:themeColor="text1"/>
          <w:kern w:val="0"/>
          <w:sz w:val="24"/>
          <w:highlight w:val="none"/>
          <w:lang w:val="zh-CN"/>
          <w14:textFill>
            <w14:solidFill>
              <w14:schemeClr w14:val="tx1"/>
            </w14:solidFill>
          </w14:textFill>
        </w:rPr>
        <w:t>；国家及建设部的技术标准、规范、规程等；本合同的通用条件及专用条件等。</w:t>
      </w:r>
    </w:p>
    <w:p w14:paraId="7D18EA9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2.2.2 相关服务依据包括：为使施工监理服务能有效地进行，委托人有责任 积极创造良好条件，在工程开工前，委托人应向监理人提供工程的有关资料：包括工程立项投资批文、建设工程规划许可证、施工许可证、地质勘察资料、工程初步设计、施工图、标准图及相应的技术资料、设计概(预)算书，施工承包合同及其附件等监理工作所需的资料，均各一份。</w:t>
      </w:r>
    </w:p>
    <w:p w14:paraId="1990D05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2.3项目监理机构和人员</w:t>
      </w:r>
    </w:p>
    <w:p w14:paraId="1AA079D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2.3.1 监理人按合同约定、《投标文件》承诺派出监理工作需要的监理机构及监理人员。</w:t>
      </w:r>
    </w:p>
    <w:p w14:paraId="6DE71F0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2.3.2监理人拟派驻监理机构组成人员数量须符合《广东省建设厅粤建管（2002）97号文》关于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 xml:space="preserve">有权以书面形式要求监理人更换不能按照监理合同的约定进行监理服务的派驻人员。 </w:t>
      </w:r>
    </w:p>
    <w:p w14:paraId="0BA789C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 xml:space="preserve">2.3.3 更换监理人员的其他情形： </w:t>
      </w:r>
    </w:p>
    <w:p w14:paraId="309361F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有权要求监理人更换不称职的监理人员，直到终止合同。</w:t>
      </w:r>
    </w:p>
    <w:p w14:paraId="0571B80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当总监理工程师需要调整时，监理人须提前14天书面通知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书面同意后方可调整，否则，因监理人擅自变更总监理工程师对</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造成的损失应由监理人承担赔偿责任。</w:t>
      </w:r>
    </w:p>
    <w:p w14:paraId="26A9957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监理人应保持现场监理人员相对固定。监理人因工作安排或其他原因，需要更换派驻到工程所在地的重要岗位监理人员时，应事先得到</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的同意且至少提前7天以书面形式通知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，即使是</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要求或同意更换的监理人员，其代替人员的资质不得低于被代替人员。变更或调整监理人员必须经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同意并经建设项目行政主管部门备案批准后方可进行</w:t>
      </w:r>
      <w:r>
        <w:rPr>
          <w:rFonts w:ascii="宋体" w:hAnsi="宋体" w:eastAsia="宋体" w:cs="宋体"/>
          <w:color w:val="000000" w:themeColor="text1"/>
          <w:kern w:val="0"/>
          <w:sz w:val="24"/>
          <w:highlight w:val="none"/>
          <w:lang w:val="zh-CN"/>
          <w14:textFill>
            <w14:solidFill>
              <w14:schemeClr w14:val="tx1"/>
            </w14:solidFill>
          </w14:textFill>
        </w:rPr>
        <w:t>。</w:t>
      </w:r>
    </w:p>
    <w:p w14:paraId="6BAF854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 履行职责</w:t>
      </w:r>
    </w:p>
    <w:p w14:paraId="4BBBE71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2.4.3 对监理人的授权范围：</w:t>
      </w:r>
      <w:r>
        <w:rPr>
          <w:rFonts w:ascii="宋体" w:hAnsi="宋体" w:eastAsia="宋体" w:cs="宋体"/>
          <w:color w:val="000000" w:themeColor="text1"/>
          <w:kern w:val="0"/>
          <w:sz w:val="24"/>
          <w:highlight w:val="none"/>
          <w:u w:val="single"/>
          <w:lang w:val="zh-CN"/>
          <w14:textFill>
            <w14:solidFill>
              <w14:schemeClr w14:val="tx1"/>
            </w14:solidFill>
          </w14:textFill>
        </w:rPr>
        <w:t>执行本合同专用条</w:t>
      </w:r>
      <w:r>
        <w:rPr>
          <w:rFonts w:hint="eastAsia" w:ascii="宋体" w:hAnsi="宋体" w:cs="宋体"/>
          <w:color w:val="000000" w:themeColor="text1"/>
          <w:kern w:val="0"/>
          <w:sz w:val="24"/>
          <w:highlight w:val="none"/>
          <w:u w:val="single"/>
          <w:lang w:val="en-US" w:eastAsia="zh-CN"/>
          <w14:textFill>
            <w14:solidFill>
              <w14:schemeClr w14:val="tx1"/>
            </w14:solidFill>
          </w14:textFill>
        </w:rPr>
        <w:t>件</w:t>
      </w:r>
      <w:r>
        <w:rPr>
          <w:rFonts w:ascii="宋体" w:hAnsi="宋体" w:eastAsia="宋体" w:cs="宋体"/>
          <w:color w:val="000000" w:themeColor="text1"/>
          <w:kern w:val="0"/>
          <w:sz w:val="24"/>
          <w:highlight w:val="none"/>
          <w:u w:val="single"/>
          <w:lang w:val="zh-CN"/>
          <w14:textFill>
            <w14:solidFill>
              <w14:schemeClr w14:val="tx1"/>
            </w14:solidFill>
          </w14:textFill>
        </w:rPr>
        <w:t>第9条相关规定</w:t>
      </w:r>
      <w:r>
        <w:rPr>
          <w:rFonts w:ascii="宋体" w:hAnsi="宋体" w:eastAsia="宋体" w:cs="宋体"/>
          <w:color w:val="000000" w:themeColor="text1"/>
          <w:kern w:val="0"/>
          <w:sz w:val="24"/>
          <w:highlight w:val="none"/>
          <w:lang w:val="zh-CN"/>
          <w14:textFill>
            <w14:solidFill>
              <w14:schemeClr w14:val="tx1"/>
            </w14:solidFill>
          </w14:textFill>
        </w:rPr>
        <w:t>。</w:t>
      </w:r>
    </w:p>
    <w:p w14:paraId="1E0167D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2.4.4 监理人有权要求承包人调换其人员的限制条件：</w:t>
      </w:r>
      <w:r>
        <w:rPr>
          <w:rFonts w:ascii="宋体" w:hAnsi="宋体" w:eastAsia="宋体" w:cs="宋体"/>
          <w:color w:val="000000" w:themeColor="text1"/>
          <w:kern w:val="0"/>
          <w:sz w:val="24"/>
          <w:highlight w:val="none"/>
          <w:u w:val="single"/>
          <w:lang w:val="zh-CN"/>
          <w14:textFill>
            <w14:solidFill>
              <w14:schemeClr w14:val="tx1"/>
            </w14:solidFill>
          </w14:textFill>
        </w:rPr>
        <w:t>执行本合同专用条</w:t>
      </w:r>
      <w:r>
        <w:rPr>
          <w:rFonts w:hint="eastAsia" w:ascii="宋体" w:hAnsi="宋体" w:cs="宋体"/>
          <w:color w:val="000000" w:themeColor="text1"/>
          <w:kern w:val="0"/>
          <w:sz w:val="24"/>
          <w:highlight w:val="none"/>
          <w:u w:val="single"/>
          <w:lang w:val="en-US" w:eastAsia="zh-CN"/>
          <w14:textFill>
            <w14:solidFill>
              <w14:schemeClr w14:val="tx1"/>
            </w14:solidFill>
          </w14:textFill>
        </w:rPr>
        <w:t>件</w:t>
      </w:r>
      <w:r>
        <w:rPr>
          <w:rFonts w:ascii="宋体" w:hAnsi="宋体" w:eastAsia="宋体" w:cs="宋体"/>
          <w:color w:val="000000" w:themeColor="text1"/>
          <w:kern w:val="0"/>
          <w:sz w:val="24"/>
          <w:highlight w:val="none"/>
          <w:u w:val="single"/>
          <w:lang w:val="zh-CN"/>
          <w14:textFill>
            <w14:solidFill>
              <w14:schemeClr w14:val="tx1"/>
            </w14:solidFill>
          </w14:textFill>
        </w:rPr>
        <w:t>第9条相关规定</w:t>
      </w:r>
      <w:r>
        <w:rPr>
          <w:rFonts w:ascii="宋体" w:hAnsi="宋体" w:eastAsia="宋体" w:cs="宋体"/>
          <w:color w:val="000000" w:themeColor="text1"/>
          <w:kern w:val="0"/>
          <w:sz w:val="24"/>
          <w:highlight w:val="none"/>
          <w:lang w:val="zh-CN"/>
          <w14:textFill>
            <w14:solidFill>
              <w14:schemeClr w14:val="tx1"/>
            </w14:solidFill>
          </w14:textFill>
        </w:rPr>
        <w:t>。</w:t>
      </w:r>
    </w:p>
    <w:p w14:paraId="284327D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2.5 提交报告</w:t>
      </w:r>
    </w:p>
    <w:p w14:paraId="7857FDF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监理人应提交报告的种类(包括监理规划及约定的报告</w:t>
      </w:r>
      <w:r>
        <w:rPr>
          <w:rFonts w:hint="eastAsia" w:ascii="宋体" w:hAnsi="宋体" w:eastAsia="宋体" w:cs="宋体"/>
          <w:color w:val="000000" w:themeColor="text1"/>
          <w:kern w:val="0"/>
          <w:sz w:val="24"/>
          <w:highlight w:val="none"/>
          <w:lang w:val="zh-CN"/>
          <w14:textFill>
            <w14:solidFill>
              <w14:schemeClr w14:val="tx1"/>
            </w14:solidFill>
          </w14:textFill>
        </w:rPr>
        <w:t>等</w:t>
      </w:r>
      <w:r>
        <w:rPr>
          <w:rFonts w:ascii="宋体" w:hAnsi="宋体" w:eastAsia="宋体" w:cs="宋体"/>
          <w:color w:val="000000" w:themeColor="text1"/>
          <w:kern w:val="0"/>
          <w:sz w:val="24"/>
          <w:highlight w:val="none"/>
          <w:lang w:val="zh-CN"/>
          <w14:textFill>
            <w14:solidFill>
              <w14:schemeClr w14:val="tx1"/>
            </w14:solidFill>
          </w14:textFill>
        </w:rPr>
        <w:t>)、时间和份数：</w:t>
      </w:r>
      <w:r>
        <w:rPr>
          <w:rFonts w:ascii="宋体" w:hAnsi="宋体" w:eastAsia="宋体" w:cs="宋体"/>
          <w:color w:val="000000" w:themeColor="text1"/>
          <w:kern w:val="0"/>
          <w:sz w:val="24"/>
          <w:highlight w:val="none"/>
          <w:u w:val="single"/>
          <w:lang w:val="zh-CN"/>
          <w14:textFill>
            <w14:solidFill>
              <w14:schemeClr w14:val="tx1"/>
            </w14:solidFill>
          </w14:textFill>
        </w:rPr>
        <w:t>执行本合同专用条</w:t>
      </w:r>
      <w:r>
        <w:rPr>
          <w:rFonts w:hint="eastAsia" w:ascii="宋体" w:hAnsi="宋体" w:cs="宋体"/>
          <w:color w:val="000000" w:themeColor="text1"/>
          <w:kern w:val="0"/>
          <w:sz w:val="24"/>
          <w:highlight w:val="none"/>
          <w:u w:val="single"/>
          <w:lang w:val="en-US" w:eastAsia="zh-CN"/>
          <w14:textFill>
            <w14:solidFill>
              <w14:schemeClr w14:val="tx1"/>
            </w14:solidFill>
          </w14:textFill>
        </w:rPr>
        <w:t>件</w:t>
      </w:r>
      <w:r>
        <w:rPr>
          <w:rFonts w:ascii="宋体" w:hAnsi="宋体" w:eastAsia="宋体" w:cs="宋体"/>
          <w:color w:val="000000" w:themeColor="text1"/>
          <w:kern w:val="0"/>
          <w:sz w:val="24"/>
          <w:highlight w:val="none"/>
          <w:u w:val="single"/>
          <w:lang w:val="zh-CN"/>
          <w14:textFill>
            <w14:solidFill>
              <w14:schemeClr w14:val="tx1"/>
            </w14:solidFill>
          </w14:textFill>
        </w:rPr>
        <w:t>第9条相关规定</w:t>
      </w:r>
      <w:r>
        <w:rPr>
          <w:rFonts w:ascii="宋体" w:hAnsi="宋体" w:eastAsia="宋体" w:cs="宋体"/>
          <w:color w:val="000000" w:themeColor="text1"/>
          <w:kern w:val="0"/>
          <w:sz w:val="24"/>
          <w:highlight w:val="none"/>
          <w:lang w:val="zh-CN"/>
          <w14:textFill>
            <w14:solidFill>
              <w14:schemeClr w14:val="tx1"/>
            </w14:solidFill>
          </w14:textFill>
        </w:rPr>
        <w:t>。</w:t>
      </w:r>
    </w:p>
    <w:p w14:paraId="0341E81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2.6现场办公条件</w:t>
      </w:r>
    </w:p>
    <w:p w14:paraId="17DE3C18">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2.6.1</w:t>
      </w:r>
      <w:r>
        <w:rPr>
          <w:rFonts w:hint="default" w:ascii="宋体" w:hAnsi="宋体" w:eastAsia="宋体" w:cs="宋体"/>
          <w:color w:val="000000" w:themeColor="text1"/>
          <w:kern w:val="0"/>
          <w:sz w:val="24"/>
          <w:highlight w:val="none"/>
          <w:lang w:val="en-US" w:eastAsia="zh-CN"/>
          <w14:textFill>
            <w14:solidFill>
              <w14:schemeClr w14:val="tx1"/>
            </w14:solidFill>
          </w14:textFill>
        </w:rPr>
        <w:t>监理人的办公、休息场所不得与施工单位混用。所需场所、水电网络接入由委托人征求监理人意见后，与施工单位协调明确，但费用（若有）由监理人支付。监理人所需场所的数量及其面积应与项目规模、特点相匹配，并应满足监理工作正常运作的需要。</w:t>
      </w:r>
    </w:p>
    <w:p w14:paraId="65979AB3">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2.6</w:t>
      </w:r>
      <w:r>
        <w:rPr>
          <w:rFonts w:hint="default" w:ascii="宋体" w:hAnsi="宋体" w:eastAsia="宋体" w:cs="宋体"/>
          <w:color w:val="000000" w:themeColor="text1"/>
          <w:kern w:val="0"/>
          <w:sz w:val="24"/>
          <w:highlight w:val="none"/>
          <w:lang w:val="en-US" w:eastAsia="zh-CN"/>
          <w14:textFill>
            <w14:solidFill>
              <w14:schemeClr w14:val="tx1"/>
            </w14:solidFill>
          </w14:textFill>
        </w:rPr>
        <w:t>.2 监理人应按照工程需要，自行配备以下的设施、设备：</w:t>
      </w:r>
    </w:p>
    <w:p w14:paraId="4DD9D828">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（1）办公桌椅、文件柜、床铺被褥、供冷采暖设施等办公和生活设施；</w:t>
      </w:r>
    </w:p>
    <w:p w14:paraId="34AB760C">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（2）电脑、投影、打印机、复印机、传真机等办公设备及其耗材；</w:t>
      </w:r>
    </w:p>
    <w:p w14:paraId="2CBBDC74">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（3）拍摄、录音、录像等取证器材；</w:t>
      </w:r>
    </w:p>
    <w:p w14:paraId="2F38FF7F">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（4）信息化管理软件或系统；</w:t>
      </w:r>
    </w:p>
    <w:p w14:paraId="4EC07899">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（5）通信和交通工具；</w:t>
      </w:r>
    </w:p>
    <w:p w14:paraId="6F035393">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（6）本招标项目必备的规范标准、图集等书籍手册；</w:t>
      </w:r>
    </w:p>
    <w:p w14:paraId="1032C624">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（7）安全帽、安全鞋、安全手套、安全服装、手电筒等安全防护用具；</w:t>
      </w:r>
    </w:p>
    <w:p w14:paraId="4B5B9C17">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（8） 打卡  考勤设备；</w:t>
      </w:r>
    </w:p>
    <w:p w14:paraId="3144728C">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（9）其他与监理工作有关的设备与用品。</w:t>
      </w:r>
    </w:p>
    <w:p w14:paraId="0D96EECE">
      <w:pPr>
        <w:keepNext w:val="0"/>
        <w:keepLines w:val="0"/>
        <w:pageBreakBefore w:val="0"/>
        <w:tabs>
          <w:tab w:val="left" w:pos="8460"/>
        </w:tabs>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 xml:space="preserve">3. 委托人义务  </w:t>
      </w:r>
    </w:p>
    <w:p w14:paraId="6BF5DAE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ascii="宋体" w:hAnsi="宋体" w:eastAsia="宋体" w:cs="宋体"/>
          <w:color w:val="000000" w:themeColor="text1"/>
          <w:kern w:val="0"/>
          <w:sz w:val="24"/>
          <w:highlight w:val="none"/>
          <w:lang w:val="zh-CN"/>
          <w14:textFill>
            <w14:solidFill>
              <w14:schemeClr w14:val="tx1"/>
            </w14:solidFill>
          </w14:textFill>
        </w:rPr>
        <w:t xml:space="preserve"> 委托人代表</w:t>
      </w:r>
    </w:p>
    <w:p w14:paraId="159B6E3A">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u w:val="singl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委托人代表为：</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6D8E62C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 xml:space="preserve"> 答复</w:t>
      </w:r>
    </w:p>
    <w:p w14:paraId="107D035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委托人同意在</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15</w:t>
      </w:r>
      <w:r>
        <w:rPr>
          <w:rFonts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个工作日</w:t>
      </w:r>
      <w:r>
        <w:rPr>
          <w:rFonts w:ascii="宋体" w:hAnsi="宋体" w:eastAsia="宋体" w:cs="宋体"/>
          <w:color w:val="000000" w:themeColor="text1"/>
          <w:kern w:val="0"/>
          <w:sz w:val="24"/>
          <w:highlight w:val="none"/>
          <w:lang w:val="zh-CN"/>
          <w14:textFill>
            <w14:solidFill>
              <w14:schemeClr w14:val="tx1"/>
            </w14:solidFill>
          </w14:textFill>
        </w:rPr>
        <w:t>内，对监理人书面提交并要求做出决定的事宜给予书面答复。</w:t>
      </w:r>
    </w:p>
    <w:p w14:paraId="69A92A37">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4. 违约责任</w:t>
      </w:r>
    </w:p>
    <w:p w14:paraId="1B66DB7D">
      <w:pPr>
        <w:pStyle w:val="48"/>
        <w:keepNext w:val="0"/>
        <w:keepLines w:val="0"/>
        <w:pageBreakBefore w:val="0"/>
        <w:widowControl w:val="0"/>
        <w:kinsoku/>
        <w:overflowPunct/>
        <w:topLinePunct w:val="0"/>
        <w:autoSpaceDE/>
        <w:autoSpaceDN/>
        <w:bidi w:val="0"/>
        <w:spacing w:line="380" w:lineRule="exact"/>
        <w:ind w:firstLine="482" w:firstLineChars="200"/>
        <w:textAlignment w:val="auto"/>
        <w:rPr>
          <w:rFonts w:hint="eastAsia" w:ascii="宋体" w:hAnsi="宋体" w:cs="宋体"/>
          <w:b/>
          <w:bCs/>
          <w:sz w:val="24"/>
          <w:szCs w:val="24"/>
          <w:highlight w:val="none"/>
        </w:rPr>
      </w:pPr>
      <w:bookmarkStart w:id="162" w:name="_Toc20802"/>
      <w:bookmarkStart w:id="163" w:name="_Toc5930"/>
      <w:bookmarkStart w:id="164" w:name="_Toc2409"/>
      <w:bookmarkStart w:id="165" w:name="_Toc4790"/>
      <w:bookmarkStart w:id="166" w:name="_Toc19819"/>
      <w:bookmarkStart w:id="167" w:name="_Toc4155"/>
      <w:bookmarkStart w:id="168" w:name="_Toc21705"/>
      <w:bookmarkStart w:id="169" w:name="_Toc22799"/>
      <w:bookmarkStart w:id="170" w:name="_Toc7137"/>
      <w:bookmarkStart w:id="171" w:name="_Toc3896"/>
      <w:bookmarkStart w:id="172" w:name="_Toc3078"/>
      <w:bookmarkStart w:id="173" w:name="_Toc25024"/>
      <w:bookmarkStart w:id="174" w:name="_Toc3248"/>
      <w:r>
        <w:rPr>
          <w:rFonts w:hint="eastAsia" w:ascii="宋体" w:hAnsi="宋体" w:cs="宋体"/>
          <w:b/>
          <w:bCs/>
          <w:sz w:val="24"/>
          <w:szCs w:val="24"/>
          <w:highlight w:val="none"/>
        </w:rPr>
        <w:t>4.1监理人违约及违约责任</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1078059E">
      <w:pPr>
        <w:keepNext w:val="0"/>
        <w:keepLines w:val="0"/>
        <w:pageBreakBefore w:val="0"/>
        <w:widowControl w:val="0"/>
        <w:kinsoku/>
        <w:wordWrap w:val="0"/>
        <w:overflowPunct/>
        <w:topLinePunct w:val="0"/>
        <w:autoSpaceDE/>
        <w:autoSpaceDN/>
        <w:bidi w:val="0"/>
        <w:adjustRightInd w:val="0"/>
        <w:snapToGrid w:val="0"/>
        <w:spacing w:line="380" w:lineRule="exact"/>
        <w:ind w:firstLine="560"/>
        <w:textAlignment w:val="auto"/>
        <w:rPr>
          <w:rFonts w:hint="eastAsia" w:hAnsi="宋体" w:cs="宋体"/>
          <w:snapToGrid w:val="0"/>
          <w:kern w:val="0"/>
          <w:szCs w:val="24"/>
          <w:highlight w:val="none"/>
        </w:rPr>
      </w:pPr>
      <w:r>
        <w:rPr>
          <w:rFonts w:hint="eastAsia" w:hAnsi="宋体" w:cs="宋体"/>
          <w:snapToGrid w:val="0"/>
          <w:kern w:val="0"/>
          <w:szCs w:val="24"/>
          <w:highlight w:val="none"/>
        </w:rPr>
        <w:t>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三种视为监理人违约的情况，一是监理人未按约定履行其义务工作时，即使未造成损失，视为监理人违约；二是监理目标未能达标，无论何种原因均视为监理人违约；三是驻场监理工程师如需请假或外出需向建设单位项目负责人请示，请批准后方可离场。故本附件将监理人违约分为监理不良行为、监理过失、监理渎职及监理不达标四大情形造成的违约，这四种违约情形及违约责任的承担作如下规定：</w:t>
      </w:r>
    </w:p>
    <w:p w14:paraId="70B07827">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Ansi="宋体" w:cs="宋体"/>
          <w:kern w:val="0"/>
          <w:szCs w:val="24"/>
          <w:highlight w:val="none"/>
          <w:lang w:bidi="ar"/>
        </w:rPr>
      </w:pPr>
      <w:r>
        <w:rPr>
          <w:rFonts w:hint="eastAsia" w:hAnsi="宋体" w:cs="宋体"/>
          <w:kern w:val="0"/>
          <w:szCs w:val="24"/>
          <w:highlight w:val="none"/>
          <w:lang w:bidi="ar"/>
        </w:rPr>
        <w:sym w:font="Wingdings" w:char="00D8"/>
      </w:r>
      <w:r>
        <w:rPr>
          <w:rFonts w:hint="eastAsia" w:hAnsi="宋体" w:cs="宋体"/>
          <w:kern w:val="0"/>
          <w:szCs w:val="24"/>
          <w:highlight w:val="none"/>
          <w:lang w:bidi="ar"/>
        </w:rPr>
        <w:t>监理人赔偿金额按下列方法确定：</w:t>
      </w:r>
    </w:p>
    <w:p w14:paraId="385826AD">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hAnsi="宋体" w:cs="宋体"/>
          <w:snapToGrid w:val="0"/>
          <w:kern w:val="0"/>
          <w:szCs w:val="24"/>
          <w:highlight w:val="none"/>
        </w:rPr>
      </w:pPr>
      <w:r>
        <w:rPr>
          <w:rFonts w:hint="eastAsia" w:hAnsi="宋体" w:cs="宋体"/>
          <w:kern w:val="0"/>
          <w:szCs w:val="24"/>
          <w:highlight w:val="none"/>
          <w:lang w:bidi="ar"/>
        </w:rPr>
        <w:t>一般违约罚款金额为2000-5000元/次；重大违约则按5</w:t>
      </w:r>
      <w:r>
        <w:rPr>
          <w:rFonts w:hAnsi="宋体" w:cs="宋体"/>
          <w:kern w:val="0"/>
          <w:szCs w:val="24"/>
          <w:highlight w:val="none"/>
          <w:lang w:bidi="ar"/>
        </w:rPr>
        <w:t>000-20000/</w:t>
      </w:r>
      <w:r>
        <w:rPr>
          <w:rFonts w:hint="eastAsia" w:hAnsi="宋体" w:cs="宋体"/>
          <w:kern w:val="0"/>
          <w:szCs w:val="24"/>
          <w:highlight w:val="none"/>
          <w:lang w:bidi="ar"/>
        </w:rPr>
        <w:t>次；由于监理人过失对发包人造成重大损失的，则按损失金额的2倍进行赔付，</w:t>
      </w:r>
      <w:r>
        <w:rPr>
          <w:rFonts w:hint="eastAsia" w:hAnsi="宋体" w:cs="宋体"/>
          <w:kern w:val="0"/>
          <w:szCs w:val="24"/>
          <w:highlight w:val="none"/>
          <w:u w:val="single"/>
          <w:lang w:bidi="ar"/>
        </w:rPr>
        <w:t>（总额不超过税后合同监理费）</w:t>
      </w:r>
      <w:r>
        <w:rPr>
          <w:rFonts w:hint="eastAsia" w:hAnsi="宋体" w:cs="宋体"/>
          <w:kern w:val="0"/>
          <w:szCs w:val="24"/>
          <w:highlight w:val="none"/>
          <w:lang w:bidi="ar"/>
        </w:rPr>
        <w:t>。监理人承担部分赔偿责任的，其承担赔偿金额由双方协商确定。</w:t>
      </w:r>
    </w:p>
    <w:p w14:paraId="1E7B7514">
      <w:pPr>
        <w:pStyle w:val="48"/>
        <w:keepNext w:val="0"/>
        <w:keepLines w:val="0"/>
        <w:pageBreakBefore w:val="0"/>
        <w:widowControl w:val="0"/>
        <w:kinsoku/>
        <w:overflowPunct/>
        <w:topLinePunct w:val="0"/>
        <w:autoSpaceDE/>
        <w:autoSpaceDN/>
        <w:bidi w:val="0"/>
        <w:spacing w:line="380" w:lineRule="exact"/>
        <w:ind w:firstLine="482" w:firstLineChars="200"/>
        <w:textAlignment w:val="auto"/>
        <w:rPr>
          <w:rFonts w:hint="eastAsia" w:ascii="宋体" w:hAnsi="宋体" w:cs="宋体"/>
          <w:b/>
          <w:bCs/>
          <w:sz w:val="24"/>
          <w:szCs w:val="24"/>
          <w:highlight w:val="none"/>
        </w:rPr>
      </w:pPr>
      <w:r>
        <w:rPr>
          <w:rFonts w:hint="eastAsia" w:ascii="宋体" w:hAnsi="宋体" w:cs="宋体"/>
          <w:b/>
          <w:bCs/>
          <w:sz w:val="24"/>
          <w:szCs w:val="24"/>
          <w:highlight w:val="none"/>
        </w:rPr>
        <w:t>4.2 监理不良行为违约</w:t>
      </w:r>
    </w:p>
    <w:p w14:paraId="65E0D3D2">
      <w:pPr>
        <w:pStyle w:val="48"/>
        <w:keepNext w:val="0"/>
        <w:keepLines w:val="0"/>
        <w:pageBreakBefore w:val="0"/>
        <w:widowControl w:val="0"/>
        <w:kinsoku/>
        <w:overflowPunct/>
        <w:topLinePunct w:val="0"/>
        <w:autoSpaceDE/>
        <w:autoSpaceDN/>
        <w:bidi w:val="0"/>
        <w:spacing w:line="380" w:lineRule="exact"/>
        <w:textAlignment w:val="auto"/>
        <w:rPr>
          <w:rFonts w:hint="eastAsia" w:ascii="宋体" w:hAnsi="宋体" w:cs="宋体"/>
          <w:sz w:val="24"/>
          <w:szCs w:val="24"/>
          <w:highlight w:val="none"/>
        </w:rPr>
      </w:pPr>
      <w:r>
        <w:rPr>
          <w:rFonts w:hint="eastAsia" w:ascii="宋体" w:hAnsi="宋体" w:cs="宋体"/>
          <w:sz w:val="24"/>
          <w:szCs w:val="24"/>
          <w:highlight w:val="none"/>
        </w:rPr>
        <w:t xml:space="preserve">    4.2.1 监理不良行为违约的认定</w:t>
      </w:r>
    </w:p>
    <w:p w14:paraId="7E307087">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监理人员一切不按相关法律法规、监理规范等规定和要求以及合同相关约定履行义务工作的行为均可视为监理不良行为。监理不良行为特征主要体现是：1、项目监理架构未按相关法律法规及投标文件承诺规定组建，监理人员未完全到位和未按规定在岗的情形；2、相关法律、法规、地方规范性文件、监理规范、本项目相关合同文件、《监理业务工作内容》规定及委托人指明的监理人的义务工作，监理人却未能执行或执行不及时；3、委托人指出或发现监理人在实施监理行为过程中的签证错误、审批错误及指令错误。</w:t>
      </w:r>
    </w:p>
    <w:p w14:paraId="179480D8">
      <w:pPr>
        <w:keepNext w:val="0"/>
        <w:keepLines w:val="0"/>
        <w:pageBreakBefore w:val="0"/>
        <w:widowControl w:val="0"/>
        <w:kinsoku/>
        <w:wordWrap w:val="0"/>
        <w:overflowPunct/>
        <w:topLinePunct w:val="0"/>
        <w:autoSpaceDE/>
        <w:autoSpaceDN/>
        <w:bidi w:val="0"/>
        <w:adjustRightInd w:val="0"/>
        <w:snapToGrid w:val="0"/>
        <w:spacing w:line="380" w:lineRule="exact"/>
        <w:ind w:firstLine="560"/>
        <w:textAlignment w:val="auto"/>
        <w:rPr>
          <w:rFonts w:hint="eastAsia" w:hAnsi="宋体" w:cs="宋体"/>
          <w:snapToGrid w:val="0"/>
          <w:kern w:val="0"/>
          <w:szCs w:val="24"/>
          <w:highlight w:val="none"/>
        </w:rPr>
      </w:pPr>
      <w:r>
        <w:rPr>
          <w:rFonts w:hint="eastAsia" w:hAnsi="宋体" w:cs="宋体"/>
          <w:szCs w:val="24"/>
          <w:highlight w:val="none"/>
        </w:rPr>
        <w:t>监理人的不良行为一旦被发现，由委托人管理人员在“监理行为记录档案”作记录，无论是否造成损失，即构成监理人违约。若该行为已造成实际损失，按第4.3.2.2条款的规定处理。</w:t>
      </w:r>
      <w:r>
        <w:rPr>
          <w:rFonts w:hint="eastAsia" w:hAnsi="宋体" w:cs="宋体"/>
          <w:snapToGrid w:val="0"/>
          <w:kern w:val="0"/>
          <w:szCs w:val="24"/>
          <w:highlight w:val="none"/>
        </w:rPr>
        <w:t>如监理人的不良行为违约超过两次，委托人有权上报建设行政监督部门。</w:t>
      </w:r>
    </w:p>
    <w:p w14:paraId="218254EF">
      <w:pPr>
        <w:pStyle w:val="48"/>
        <w:keepNext w:val="0"/>
        <w:keepLines w:val="0"/>
        <w:pageBreakBefore w:val="0"/>
        <w:widowControl w:val="0"/>
        <w:kinsoku/>
        <w:overflowPunct/>
        <w:topLinePunct w:val="0"/>
        <w:autoSpaceDE/>
        <w:autoSpaceDN/>
        <w:bidi w:val="0"/>
        <w:spacing w:line="380" w:lineRule="exact"/>
        <w:ind w:firstLine="482" w:firstLineChars="200"/>
        <w:textAlignment w:val="auto"/>
        <w:rPr>
          <w:rFonts w:hint="eastAsia" w:ascii="宋体" w:hAnsi="宋体" w:cs="宋体"/>
          <w:b/>
          <w:sz w:val="24"/>
          <w:szCs w:val="24"/>
          <w:highlight w:val="none"/>
        </w:rPr>
      </w:pPr>
      <w:r>
        <w:rPr>
          <w:rFonts w:hint="eastAsia" w:ascii="宋体" w:hAnsi="宋体" w:cs="宋体"/>
          <w:b/>
          <w:sz w:val="24"/>
          <w:szCs w:val="24"/>
          <w:highlight w:val="none"/>
        </w:rPr>
        <w:t>所有监理不良行为违约发生的违约金均从监理人进度款中扣除，监理服务费结算以扣除违约金总数后的金额为准。</w:t>
      </w:r>
    </w:p>
    <w:p w14:paraId="5689C482">
      <w:pPr>
        <w:pStyle w:val="48"/>
        <w:keepNext w:val="0"/>
        <w:keepLines w:val="0"/>
        <w:pageBreakBefore w:val="0"/>
        <w:widowControl w:val="0"/>
        <w:kinsoku/>
        <w:overflowPunct/>
        <w:topLinePunct w:val="0"/>
        <w:autoSpaceDE/>
        <w:autoSpaceDN/>
        <w:bidi w:val="0"/>
        <w:spacing w:line="380" w:lineRule="exact"/>
        <w:textAlignment w:val="auto"/>
        <w:rPr>
          <w:rFonts w:hint="eastAsia" w:ascii="宋体" w:hAnsi="宋体" w:cs="宋体"/>
          <w:sz w:val="24"/>
          <w:szCs w:val="24"/>
          <w:highlight w:val="none"/>
        </w:rPr>
      </w:pPr>
      <w:r>
        <w:rPr>
          <w:rFonts w:hint="eastAsia" w:ascii="宋体" w:hAnsi="宋体" w:cs="宋体"/>
          <w:sz w:val="24"/>
          <w:szCs w:val="24"/>
          <w:highlight w:val="none"/>
        </w:rPr>
        <w:t xml:space="preserve">    4.2.2 监理不良行为违约的责任承担</w:t>
      </w:r>
    </w:p>
    <w:p w14:paraId="6EAA27CB">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rPr>
      </w:pPr>
      <w:r>
        <w:rPr>
          <w:rFonts w:hint="eastAsia" w:hAnsi="宋体" w:cs="宋体"/>
          <w:szCs w:val="24"/>
          <w:highlight w:val="none"/>
        </w:rPr>
        <w:t>监理人发生监理不良行为一次，承担一般违约责任一次。本项目对驻场总监实施考勤</w:t>
      </w:r>
      <w:r>
        <w:rPr>
          <w:rFonts w:hint="eastAsia" w:hAnsi="宋体" w:cs="宋体"/>
          <w:szCs w:val="24"/>
          <w:highlight w:val="none"/>
          <w:lang w:eastAsia="zh-CN"/>
        </w:rPr>
        <w:t>记录</w:t>
      </w:r>
      <w:r>
        <w:rPr>
          <w:rFonts w:hint="eastAsia" w:hAnsi="宋体" w:cs="宋体"/>
          <w:szCs w:val="24"/>
          <w:highlight w:val="none"/>
        </w:rPr>
        <w:t>，考勤</w:t>
      </w:r>
      <w:r>
        <w:rPr>
          <w:rFonts w:hint="eastAsia" w:hAnsi="宋体" w:cs="宋体"/>
          <w:szCs w:val="24"/>
          <w:highlight w:val="none"/>
          <w:lang w:eastAsia="zh-CN"/>
        </w:rPr>
        <w:t>记录</w:t>
      </w:r>
      <w:r>
        <w:rPr>
          <w:rFonts w:hint="eastAsia" w:hAnsi="宋体" w:cs="宋体"/>
          <w:szCs w:val="24"/>
          <w:highlight w:val="none"/>
        </w:rPr>
        <w:t>每月累计不少于20天，未经委托人书面同意，每少1天，视为监理人发生监理不良行为一次，承担一般违约责任一次，按¥</w:t>
      </w:r>
      <w:r>
        <w:rPr>
          <w:rFonts w:hAnsi="宋体" w:cs="宋体"/>
          <w:szCs w:val="24"/>
          <w:highlight w:val="none"/>
        </w:rPr>
        <w:t>2000-5000</w:t>
      </w:r>
      <w:r>
        <w:rPr>
          <w:rFonts w:hint="eastAsia" w:hAnsi="宋体" w:cs="宋体"/>
          <w:szCs w:val="24"/>
          <w:highlight w:val="none"/>
        </w:rPr>
        <w:t>元/天支付违约金给委托人。</w:t>
      </w:r>
    </w:p>
    <w:p w14:paraId="4E0895E9">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rPr>
      </w:pPr>
    </w:p>
    <w:p w14:paraId="7687AB52">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rPr>
      </w:pPr>
      <w:r>
        <w:rPr>
          <w:rFonts w:hint="eastAsia" w:hAnsi="宋体" w:cs="宋体"/>
          <w:szCs w:val="24"/>
          <w:highlight w:val="none"/>
        </w:rPr>
        <w:t>监理人发生一般违约行为应向委托人缴纳违约金¥</w:t>
      </w:r>
      <w:r>
        <w:rPr>
          <w:rFonts w:hAnsi="宋体" w:cs="宋体"/>
          <w:szCs w:val="24"/>
          <w:highlight w:val="none"/>
        </w:rPr>
        <w:t>200-5000</w:t>
      </w:r>
      <w:r>
        <w:rPr>
          <w:rFonts w:hint="eastAsia" w:hAnsi="宋体" w:cs="宋体"/>
          <w:szCs w:val="24"/>
          <w:highlight w:val="none"/>
        </w:rPr>
        <w:t>元，具体一般违约责任情况如下：</w:t>
      </w:r>
    </w:p>
    <w:p w14:paraId="2B22CAE0">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lang w:eastAsia="zh-CN"/>
        </w:rPr>
      </w:pPr>
      <w:r>
        <w:rPr>
          <w:rFonts w:hint="eastAsia" w:hAnsi="宋体" w:cs="宋体"/>
          <w:szCs w:val="24"/>
          <w:highlight w:val="none"/>
        </w:rPr>
        <w:t>4.2.2.1 本项目对驻场监理人员实施考勤</w:t>
      </w:r>
      <w:r>
        <w:rPr>
          <w:rFonts w:hint="eastAsia" w:hAnsi="宋体" w:cs="宋体"/>
          <w:szCs w:val="24"/>
          <w:highlight w:val="none"/>
          <w:lang w:eastAsia="zh-CN"/>
        </w:rPr>
        <w:t>记录</w:t>
      </w:r>
      <w:r>
        <w:rPr>
          <w:rFonts w:hint="eastAsia" w:hAnsi="宋体" w:cs="宋体"/>
          <w:szCs w:val="24"/>
          <w:highlight w:val="none"/>
        </w:rPr>
        <w:t>，考勤</w:t>
      </w:r>
      <w:r>
        <w:rPr>
          <w:rFonts w:hint="eastAsia" w:hAnsi="宋体" w:cs="宋体"/>
          <w:szCs w:val="24"/>
          <w:highlight w:val="none"/>
          <w:lang w:eastAsia="zh-CN"/>
        </w:rPr>
        <w:t>记录</w:t>
      </w:r>
      <w:r>
        <w:rPr>
          <w:rFonts w:hint="eastAsia" w:hAnsi="宋体" w:cs="宋体"/>
          <w:szCs w:val="24"/>
          <w:highlight w:val="none"/>
        </w:rPr>
        <w:t>每月累计不到位天数超过6天的，按¥</w:t>
      </w:r>
      <w:r>
        <w:rPr>
          <w:rFonts w:hAnsi="宋体" w:cs="宋体"/>
          <w:szCs w:val="24"/>
          <w:highlight w:val="none"/>
        </w:rPr>
        <w:t>2000-5000</w:t>
      </w:r>
      <w:r>
        <w:rPr>
          <w:rFonts w:hint="eastAsia" w:hAnsi="宋体" w:cs="宋体"/>
          <w:szCs w:val="24"/>
          <w:highlight w:val="none"/>
        </w:rPr>
        <w:t>元/人/天支付违约金给委托人</w:t>
      </w:r>
      <w:r>
        <w:rPr>
          <w:rFonts w:hint="eastAsia" w:hAnsi="宋体" w:cs="宋体"/>
          <w:szCs w:val="24"/>
          <w:highlight w:val="none"/>
          <w:lang w:eastAsia="zh-CN"/>
        </w:rPr>
        <w:t>。</w:t>
      </w:r>
    </w:p>
    <w:p w14:paraId="7A31E0C4">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rPr>
      </w:pPr>
      <w:r>
        <w:rPr>
          <w:rFonts w:hint="eastAsia" w:hAnsi="宋体" w:cs="宋体"/>
          <w:szCs w:val="24"/>
          <w:highlight w:val="none"/>
        </w:rPr>
        <w:t>4.2.2.</w:t>
      </w:r>
      <w:r>
        <w:rPr>
          <w:rFonts w:hint="eastAsia" w:hAnsi="宋体" w:cs="宋体"/>
          <w:szCs w:val="24"/>
          <w:highlight w:val="none"/>
          <w:lang w:val="en-US" w:eastAsia="zh-CN"/>
        </w:rPr>
        <w:t>2</w:t>
      </w:r>
      <w:r>
        <w:rPr>
          <w:rFonts w:hint="eastAsia" w:hAnsi="宋体" w:cs="宋体"/>
          <w:szCs w:val="24"/>
          <w:highlight w:val="none"/>
        </w:rPr>
        <w:t>监理人员必须按配备要求在现场驻场监理，离开项目现场必须经委托人书面同意，如委托人发现监理人员非正常离岗，监理人向委托人每人次交纳违约金¥</w:t>
      </w:r>
      <w:r>
        <w:rPr>
          <w:rFonts w:hAnsi="宋体" w:cs="宋体"/>
          <w:szCs w:val="24"/>
          <w:highlight w:val="none"/>
        </w:rPr>
        <w:t>2000-5000</w:t>
      </w:r>
      <w:r>
        <w:rPr>
          <w:rFonts w:hint="eastAsia" w:hAnsi="宋体" w:cs="宋体"/>
          <w:szCs w:val="24"/>
          <w:highlight w:val="none"/>
        </w:rPr>
        <w:t>元。</w:t>
      </w:r>
    </w:p>
    <w:p w14:paraId="1884F306">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rPr>
      </w:pPr>
      <w:r>
        <w:rPr>
          <w:rFonts w:hint="eastAsia" w:hAnsi="宋体" w:cs="宋体"/>
          <w:szCs w:val="24"/>
          <w:highlight w:val="none"/>
        </w:rPr>
        <w:t>4.2.2.</w:t>
      </w:r>
      <w:r>
        <w:rPr>
          <w:rFonts w:hint="eastAsia" w:hAnsi="宋体" w:cs="宋体"/>
          <w:szCs w:val="24"/>
          <w:highlight w:val="none"/>
          <w:lang w:val="en-US" w:eastAsia="zh-CN"/>
        </w:rPr>
        <w:t>3</w:t>
      </w:r>
      <w:r>
        <w:rPr>
          <w:rFonts w:hint="eastAsia" w:hAnsi="宋体" w:cs="宋体"/>
          <w:szCs w:val="24"/>
          <w:highlight w:val="none"/>
        </w:rPr>
        <w:t>同一问题未能按时整改，每重复一次监理人向委托人缴纳违约金¥</w:t>
      </w:r>
      <w:r>
        <w:rPr>
          <w:rFonts w:hAnsi="宋体" w:cs="宋体"/>
          <w:szCs w:val="24"/>
          <w:highlight w:val="none"/>
        </w:rPr>
        <w:t>2000-5000</w:t>
      </w:r>
      <w:r>
        <w:rPr>
          <w:rFonts w:hint="eastAsia" w:hAnsi="宋体" w:cs="宋体"/>
          <w:szCs w:val="24"/>
          <w:highlight w:val="none"/>
        </w:rPr>
        <w:t>元。</w:t>
      </w:r>
    </w:p>
    <w:p w14:paraId="3863B747">
      <w:pPr>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hAnsi="宋体" w:cs="宋体"/>
          <w:szCs w:val="24"/>
          <w:highlight w:val="none"/>
        </w:rPr>
      </w:pPr>
      <w:r>
        <w:rPr>
          <w:rFonts w:hint="eastAsia" w:hAnsi="宋体" w:cs="宋体"/>
          <w:szCs w:val="24"/>
          <w:highlight w:val="none"/>
        </w:rPr>
        <w:t>4.2.2.</w:t>
      </w:r>
      <w:r>
        <w:rPr>
          <w:rFonts w:hint="eastAsia" w:hAnsi="宋体" w:cs="宋体"/>
          <w:szCs w:val="24"/>
          <w:highlight w:val="none"/>
          <w:lang w:val="en-US" w:eastAsia="zh-CN"/>
        </w:rPr>
        <w:t>4</w:t>
      </w:r>
      <w:r>
        <w:rPr>
          <w:rFonts w:hint="eastAsia" w:hAnsi="宋体" w:cs="宋体"/>
          <w:szCs w:val="24"/>
          <w:highlight w:val="none"/>
        </w:rPr>
        <w:t>投标人必须充分考虑总监的履职能力和可行性，充分评估总监的身体健康状况及合同约定服务期限，除</w:t>
      </w:r>
      <w:r>
        <w:rPr>
          <w:rFonts w:hint="eastAsia" w:hAnsi="宋体" w:cs="宋体"/>
          <w:snapToGrid w:val="0"/>
          <w:kern w:val="0"/>
          <w:szCs w:val="24"/>
          <w:highlight w:val="none"/>
        </w:rPr>
        <w:t>《广东省住房和城乡建设厅关于建设工程项目招标中标后监督检查的办法》（粤建市〔2009〕8号，以下简称“《办法》”）第九条所述情形</w:t>
      </w:r>
      <w:r>
        <w:rPr>
          <w:rFonts w:hint="eastAsia" w:hAnsi="宋体" w:cs="宋体"/>
          <w:szCs w:val="24"/>
          <w:highlight w:val="none"/>
        </w:rPr>
        <w:t>外，监理人原则上不得更换总监，若监理人提出其他理由更换总监的，则扣除合同价的5%作为违约金。</w:t>
      </w:r>
    </w:p>
    <w:p w14:paraId="54C5D0E8">
      <w:pPr>
        <w:pStyle w:val="48"/>
        <w:keepNext w:val="0"/>
        <w:keepLines w:val="0"/>
        <w:pageBreakBefore w:val="0"/>
        <w:widowControl w:val="0"/>
        <w:kinsoku/>
        <w:overflowPunct/>
        <w:topLinePunct w:val="0"/>
        <w:autoSpaceDE/>
        <w:autoSpaceDN/>
        <w:bidi w:val="0"/>
        <w:spacing w:line="380" w:lineRule="exact"/>
        <w:ind w:firstLine="482" w:firstLineChars="200"/>
        <w:textAlignment w:val="auto"/>
        <w:rPr>
          <w:rFonts w:hint="eastAsia" w:ascii="宋体" w:hAnsi="宋体" w:cs="宋体"/>
          <w:sz w:val="24"/>
          <w:szCs w:val="24"/>
          <w:highlight w:val="none"/>
        </w:rPr>
      </w:pPr>
      <w:r>
        <w:rPr>
          <w:rFonts w:hint="eastAsia" w:ascii="宋体" w:hAnsi="宋体" w:cs="宋体"/>
          <w:b/>
          <w:bCs/>
          <w:sz w:val="24"/>
          <w:szCs w:val="24"/>
          <w:highlight w:val="none"/>
        </w:rPr>
        <w:t>4.3 监理过失事件违约</w:t>
      </w:r>
    </w:p>
    <w:p w14:paraId="7B35D604">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4.3.1 监理过失事件违约的认定</w:t>
      </w:r>
    </w:p>
    <w:p w14:paraId="2DD333F5">
      <w:pPr>
        <w:pStyle w:val="48"/>
        <w:keepNext w:val="0"/>
        <w:keepLines w:val="0"/>
        <w:pageBreakBefore w:val="0"/>
        <w:widowControl w:val="0"/>
        <w:kinsoku/>
        <w:overflowPunct/>
        <w:topLinePunct w:val="0"/>
        <w:autoSpaceDE/>
        <w:autoSpaceDN/>
        <w:bidi w:val="0"/>
        <w:spacing w:line="380" w:lineRule="exact"/>
        <w:textAlignment w:val="auto"/>
        <w:rPr>
          <w:rFonts w:hint="eastAsia" w:ascii="宋体" w:hAnsi="宋体" w:cs="宋体"/>
          <w:sz w:val="24"/>
          <w:szCs w:val="24"/>
          <w:highlight w:val="none"/>
        </w:rPr>
      </w:pPr>
      <w:r>
        <w:rPr>
          <w:rFonts w:hint="eastAsia" w:ascii="宋体" w:hAnsi="宋体" w:cs="宋体"/>
          <w:sz w:val="24"/>
          <w:szCs w:val="24"/>
          <w:highlight w:val="none"/>
        </w:rPr>
        <w:t xml:space="preserve">    工程建设过程中，如发生以下情况：①委托人发现施工中存在问题，而监理人未发现的；②监理人发现施工中存在的问题，但未督促施工单位整改或整改不到位的（以监理人发出的整改通知和施工单位回复及监理复查意见为准）；③监理人三次及以上发出整改通知施工单位未能给予响应的，但监理人未能采取果断措施的；以上三种情况一旦委托人向监理人发出整改通知，即认定为监理人监理过失事件违约，每发出一份整改通知即认定为监理过失事件违约一次。并由委托人管理人员在“监理行为记录档案”作记录。</w:t>
      </w:r>
    </w:p>
    <w:p w14:paraId="6F4BA9B8">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4.3.2 监理过失事件违约的责任承担</w:t>
      </w:r>
    </w:p>
    <w:p w14:paraId="3E1EBBB6">
      <w:pPr>
        <w:keepNext w:val="0"/>
        <w:keepLines w:val="0"/>
        <w:pageBreakBefore w:val="0"/>
        <w:widowControl w:val="0"/>
        <w:kinsoku/>
        <w:wordWrap w:val="0"/>
        <w:overflowPunct/>
        <w:topLinePunct w:val="0"/>
        <w:autoSpaceDE/>
        <w:autoSpaceDN/>
        <w:bidi w:val="0"/>
        <w:adjustRightInd w:val="0"/>
        <w:snapToGrid w:val="0"/>
        <w:spacing w:line="380" w:lineRule="exact"/>
        <w:ind w:firstLine="560"/>
        <w:textAlignment w:val="auto"/>
        <w:rPr>
          <w:rFonts w:hint="eastAsia" w:hAnsi="宋体" w:cs="宋体"/>
          <w:snapToGrid w:val="0"/>
          <w:kern w:val="0"/>
          <w:szCs w:val="24"/>
          <w:highlight w:val="none"/>
        </w:rPr>
      </w:pPr>
      <w:r>
        <w:rPr>
          <w:rFonts w:hint="eastAsia" w:hAnsi="宋体" w:cs="宋体"/>
          <w:szCs w:val="24"/>
          <w:highlight w:val="none"/>
        </w:rPr>
        <w:t>4.3.2.1 监理人发生监理过失事件违约一次，承担严重违约责任一次，监理人向委托人交纳违约金¥</w:t>
      </w:r>
      <w:r>
        <w:rPr>
          <w:rFonts w:hAnsi="宋体" w:cs="宋体"/>
          <w:szCs w:val="24"/>
          <w:highlight w:val="none"/>
        </w:rPr>
        <w:t>5</w:t>
      </w:r>
      <w:r>
        <w:rPr>
          <w:rFonts w:hint="eastAsia" w:hAnsi="宋体" w:cs="宋体"/>
          <w:szCs w:val="24"/>
          <w:highlight w:val="none"/>
        </w:rPr>
        <w:t>000元。</w:t>
      </w:r>
      <w:r>
        <w:rPr>
          <w:rFonts w:hint="eastAsia" w:hAnsi="宋体" w:cs="宋体"/>
          <w:snapToGrid w:val="0"/>
          <w:kern w:val="0"/>
          <w:szCs w:val="24"/>
          <w:highlight w:val="none"/>
        </w:rPr>
        <w:t>如发生过失事件违约达到两次的，监理人须派法定代表人或其授权委托人（公司副总级别分管人员）前往委托人办公地点进行约谈并作出书面说明及整改承诺。</w:t>
      </w:r>
    </w:p>
    <w:p w14:paraId="5A1D75C9">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 xml:space="preserve">4.3.2.2 如因监理人的原因而造成的经济损失，按如下规定向委托人赔偿： </w:t>
      </w:r>
    </w:p>
    <w:p w14:paraId="748DBE50">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1）根据损失额（或工程变更引起增加额）与本工程签订的施工合同金额的比例，按相应比例双倍扣减监理服务费；若增加工程投资比例超过施工合同金额的20%时，委托人有权单方解除合同，并要求监理人赔偿委托人由此遭受的实际损失中的20%。</w:t>
      </w:r>
    </w:p>
    <w:p w14:paraId="373F0C2C">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2）因监理人责任导致工期延误，其中分项工期延误日数占该项总工期的30%时，则委托人有权扣除该分项工程监理服务费的30%；分项工期延误日数达到该项总工期的50%时，则委托人有权单方解除合同。因监理人责任导致工程竣工拖延的，依据拖延的日数，监理人应每日按监理服务费总额的1‰向委托人支付违约金。由于监理人责任导致工期延误，致使委托人要承担赔偿第三方责任的，监理人必须承担赔偿委托人由此遭受的实际损失中的10%。</w:t>
      </w:r>
    </w:p>
    <w:p w14:paraId="6E56510B">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4.3.2.3 监理人发生监理过失违约后，当委托人认为监理人无正当理由而又未履行监理义务时，有权部分解除合同或完全解除合同。</w:t>
      </w:r>
    </w:p>
    <w:p w14:paraId="607AA0A1">
      <w:pPr>
        <w:pStyle w:val="48"/>
        <w:keepNext w:val="0"/>
        <w:keepLines w:val="0"/>
        <w:pageBreakBefore w:val="0"/>
        <w:widowControl w:val="0"/>
        <w:kinsoku/>
        <w:overflowPunct/>
        <w:topLinePunct w:val="0"/>
        <w:autoSpaceDE/>
        <w:autoSpaceDN/>
        <w:bidi w:val="0"/>
        <w:spacing w:line="380" w:lineRule="exact"/>
        <w:textAlignment w:val="auto"/>
        <w:rPr>
          <w:rFonts w:hint="eastAsia" w:ascii="宋体" w:hAnsi="宋体" w:cs="宋体"/>
          <w:b/>
          <w:bCs/>
          <w:sz w:val="24"/>
          <w:szCs w:val="24"/>
          <w:highlight w:val="none"/>
        </w:rPr>
      </w:pPr>
      <w:r>
        <w:rPr>
          <w:rFonts w:hint="eastAsia" w:ascii="宋体" w:hAnsi="宋体" w:cs="宋体"/>
          <w:sz w:val="24"/>
          <w:szCs w:val="24"/>
          <w:highlight w:val="none"/>
        </w:rPr>
        <w:t xml:space="preserve">    </w:t>
      </w:r>
      <w:r>
        <w:rPr>
          <w:rFonts w:hint="eastAsia" w:ascii="宋体" w:hAnsi="宋体" w:cs="宋体"/>
          <w:b/>
          <w:bCs/>
          <w:sz w:val="24"/>
          <w:szCs w:val="24"/>
          <w:highlight w:val="none"/>
        </w:rPr>
        <w:t>4.4 监理渎职事件违约</w:t>
      </w:r>
    </w:p>
    <w:p w14:paraId="0BC8CA03">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4.4.1 监理渎职事件违约的认定</w:t>
      </w:r>
    </w:p>
    <w:p w14:paraId="4EAD8A28">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3589614F">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 xml:space="preserve"> 4.4.2监理渎职事件违约的责任承担</w:t>
      </w:r>
    </w:p>
    <w:p w14:paraId="715A102D">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4.4.2.1 监理人发生监理渎职违约一次，承担非常严重违约责任一次，扣除监理人违约金¥5000元。</w:t>
      </w:r>
    </w:p>
    <w:p w14:paraId="7AEDE0E4">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4.4.2.2</w:t>
      </w:r>
      <w:r>
        <w:rPr>
          <w:rFonts w:hint="eastAsia" w:ascii="宋体" w:hAnsi="宋体" w:cs="宋体"/>
          <w:snapToGrid w:val="0"/>
          <w:kern w:val="0"/>
          <w:sz w:val="24"/>
          <w:szCs w:val="24"/>
          <w:highlight w:val="none"/>
        </w:rPr>
        <w:t>监理人须无条件更换发生监理渎职违约行为的监理人员，更换的监理人员需经委托人同意，若更换的监理人员不能满足本项目要求的，</w:t>
      </w:r>
      <w:r>
        <w:rPr>
          <w:rFonts w:hint="eastAsia" w:ascii="宋体" w:hAnsi="宋体" w:cs="宋体"/>
          <w:sz w:val="24"/>
          <w:szCs w:val="24"/>
          <w:highlight w:val="none"/>
        </w:rPr>
        <w:t>委托人勒令监理人更换监理人员，直至解除合同（合同解除办法同上）。</w:t>
      </w:r>
    </w:p>
    <w:p w14:paraId="2F7B4635">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4.4.2.3 如监理人的原因造成委托人或工程损失的，监理人承担全部赔偿责任。</w:t>
      </w:r>
    </w:p>
    <w:p w14:paraId="7E57194F">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4.4.2.4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¥5000元。若监理人违背了以下7款的任何情形之一，不仅视为非常严重的违约，承担1次非常严重违约责任，扣除监理人违约金¥5000元，而且直接解除合同，不做费用补偿，且对已完成的监理服务，不再支付监理费用，并通报建设行政主管部门：</w:t>
      </w:r>
    </w:p>
    <w:p w14:paraId="4EFEAA94">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1）向委托人及承包人推销材料、设备，或以倾向性、排他性变相推销；</w:t>
      </w:r>
    </w:p>
    <w:p w14:paraId="6E30B767">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2）与承包人串通，对不合格材料、产品、工程进行包庇及验收；</w:t>
      </w:r>
    </w:p>
    <w:p w14:paraId="3D4F0E1A">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3）与承包人串通，对材料用量、工程量进行虚假签认；</w:t>
      </w:r>
    </w:p>
    <w:p w14:paraId="23AF94B3">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4）与承包人串通，不合理提高施工难度及增加材料用量，以增大施工费用，获取不正当收益。</w:t>
      </w:r>
    </w:p>
    <w:p w14:paraId="0A91E96A">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5）接受承包人的请吃送礼或变相受礼；</w:t>
      </w:r>
    </w:p>
    <w:p w14:paraId="5F9D2CB3">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6）向承包人介绍分包或推销材料、设备等；</w:t>
      </w:r>
    </w:p>
    <w:p w14:paraId="7EC621DA">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7）故意刁难承包人以谋取私利，损害委托人的合法利益；</w:t>
      </w:r>
    </w:p>
    <w:p w14:paraId="61531C25">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8）其他可鉴定为严重违约行为。</w:t>
      </w:r>
    </w:p>
    <w:p w14:paraId="3BB290A3">
      <w:pPr>
        <w:pStyle w:val="48"/>
        <w:keepNext w:val="0"/>
        <w:keepLines w:val="0"/>
        <w:pageBreakBefore w:val="0"/>
        <w:widowControl w:val="0"/>
        <w:kinsoku/>
        <w:overflowPunct/>
        <w:topLinePunct w:val="0"/>
        <w:autoSpaceDE/>
        <w:autoSpaceDN/>
        <w:bidi w:val="0"/>
        <w:spacing w:line="380" w:lineRule="exact"/>
        <w:ind w:firstLine="600" w:firstLineChars="250"/>
        <w:textAlignment w:val="auto"/>
        <w:rPr>
          <w:rFonts w:hint="eastAsia" w:ascii="宋体" w:hAnsi="宋体" w:cs="宋体"/>
          <w:sz w:val="24"/>
          <w:szCs w:val="24"/>
          <w:highlight w:val="none"/>
        </w:rPr>
      </w:pPr>
      <w:r>
        <w:rPr>
          <w:rFonts w:hint="eastAsia" w:ascii="宋体" w:hAnsi="宋体" w:cs="宋体"/>
          <w:sz w:val="24"/>
          <w:szCs w:val="24"/>
          <w:highlight w:val="none"/>
        </w:rPr>
        <w:t>4.4.2.5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5FE9F110">
      <w:pPr>
        <w:pStyle w:val="48"/>
        <w:keepNext w:val="0"/>
        <w:keepLines w:val="0"/>
        <w:pageBreakBefore w:val="0"/>
        <w:widowControl w:val="0"/>
        <w:kinsoku/>
        <w:overflowPunct/>
        <w:topLinePunct w:val="0"/>
        <w:autoSpaceDE/>
        <w:autoSpaceDN/>
        <w:bidi w:val="0"/>
        <w:spacing w:line="380" w:lineRule="exact"/>
        <w:ind w:firstLine="482" w:firstLineChars="200"/>
        <w:textAlignment w:val="auto"/>
        <w:rPr>
          <w:rFonts w:hint="eastAsia" w:ascii="宋体" w:hAnsi="宋体" w:cs="宋体"/>
          <w:b/>
          <w:bCs/>
          <w:sz w:val="24"/>
          <w:szCs w:val="24"/>
          <w:highlight w:val="none"/>
        </w:rPr>
      </w:pPr>
      <w:r>
        <w:rPr>
          <w:rFonts w:hint="eastAsia" w:ascii="宋体" w:hAnsi="宋体" w:cs="宋体"/>
          <w:b/>
          <w:bCs/>
          <w:sz w:val="24"/>
          <w:szCs w:val="24"/>
          <w:highlight w:val="none"/>
        </w:rPr>
        <w:t>4.5 监理不达标造成的违约</w:t>
      </w:r>
    </w:p>
    <w:p w14:paraId="55679E0B">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4.5.1 监理不达标违约的认定</w:t>
      </w:r>
    </w:p>
    <w:p w14:paraId="46D4DCD2">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工程竣工结算后，以下第4.4.2条款监理目标中的任何一项目标的不达标，均视为监理人的监理目标违约。</w:t>
      </w:r>
    </w:p>
    <w:p w14:paraId="44EF052B">
      <w:pPr>
        <w:pStyle w:val="48"/>
        <w:keepNext w:val="0"/>
        <w:keepLines w:val="0"/>
        <w:pageBreakBefore w:val="0"/>
        <w:widowControl w:val="0"/>
        <w:kinsoku/>
        <w:overflowPunct/>
        <w:topLinePunct w:val="0"/>
        <w:autoSpaceDE/>
        <w:autoSpaceDN/>
        <w:bidi w:val="0"/>
        <w:spacing w:line="38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4.5.2 监理目标违约的责任承担</w:t>
      </w:r>
    </w:p>
    <w:p w14:paraId="5162CD44">
      <w:pPr>
        <w:pStyle w:val="48"/>
        <w:keepNext w:val="0"/>
        <w:keepLines w:val="0"/>
        <w:pageBreakBefore w:val="0"/>
        <w:widowControl w:val="0"/>
        <w:kinsoku/>
        <w:overflowPunct/>
        <w:topLinePunct w:val="0"/>
        <w:autoSpaceDE/>
        <w:autoSpaceDN/>
        <w:bidi w:val="0"/>
        <w:spacing w:line="380" w:lineRule="exact"/>
        <w:ind w:firstLine="360" w:firstLineChars="150"/>
        <w:textAlignment w:val="auto"/>
        <w:rPr>
          <w:rFonts w:hint="eastAsia" w:ascii="宋体" w:hAnsi="宋体" w:cs="宋体"/>
          <w:sz w:val="24"/>
          <w:szCs w:val="24"/>
          <w:highlight w:val="none"/>
        </w:rPr>
      </w:pPr>
      <w:r>
        <w:rPr>
          <w:rFonts w:hint="eastAsia" w:ascii="宋体" w:hAnsi="宋体" w:cs="宋体"/>
          <w:sz w:val="24"/>
          <w:szCs w:val="24"/>
          <w:highlight w:val="none"/>
        </w:rPr>
        <w:t>4.5.2.1 质量控制不达标：工程竣工验收质量未达到施工合同等级要求的，若因监理人造成的原因，结算扣减监理合同价款的1％，并无条件免费监理服务至工程质量达到合格止，</w:t>
      </w:r>
      <w:r>
        <w:rPr>
          <w:rFonts w:hint="eastAsia" w:ascii="宋体" w:hAnsi="宋体" w:cs="宋体"/>
          <w:snapToGrid w:val="0"/>
          <w:kern w:val="0"/>
          <w:sz w:val="24"/>
          <w:szCs w:val="24"/>
          <w:highlight w:val="none"/>
        </w:rPr>
        <w:t>同时不免除当事人和监理人的法律责任。</w:t>
      </w:r>
    </w:p>
    <w:p w14:paraId="04C6A126">
      <w:pPr>
        <w:keepNext w:val="0"/>
        <w:keepLines w:val="0"/>
        <w:pageBreakBefore w:val="0"/>
        <w:widowControl w:val="0"/>
        <w:tabs>
          <w:tab w:val="left" w:pos="1620"/>
        </w:tabs>
        <w:kinsoku/>
        <w:overflowPunct/>
        <w:topLinePunct w:val="0"/>
        <w:autoSpaceDE/>
        <w:autoSpaceDN/>
        <w:bidi w:val="0"/>
        <w:spacing w:line="380" w:lineRule="exact"/>
        <w:ind w:firstLine="480" w:firstLineChars="200"/>
        <w:textAlignment w:val="auto"/>
        <w:rPr>
          <w:rFonts w:hint="eastAsia" w:hAnsi="宋体" w:cs="宋体"/>
          <w:bCs/>
          <w:szCs w:val="24"/>
          <w:highlight w:val="none"/>
        </w:rPr>
      </w:pPr>
      <w:r>
        <w:rPr>
          <w:rFonts w:hint="eastAsia" w:hAnsi="宋体" w:cs="宋体"/>
          <w:b w:val="0"/>
          <w:bCs/>
          <w:szCs w:val="24"/>
          <w:highlight w:val="none"/>
        </w:rPr>
        <w:t>所有进场的材料设备及建筑构配件，应认真审核是否符合标准、规范、设计文件及施工图纸的要求，检查设备材料是否与证明材料相符合。凡未认真审核及检查或按规定应该检测或委托人要求复检的，监理人未全面履行职责，导致不合格材料、设备或不符合招标文件要求的材料、设备进场，监理人应按合同价款的1％向委托人支付违约金，造成损失的还应当依法赔偿委托人的损失。</w:t>
      </w:r>
    </w:p>
    <w:p w14:paraId="57AFC65D">
      <w:pPr>
        <w:pStyle w:val="48"/>
        <w:keepNext w:val="0"/>
        <w:keepLines w:val="0"/>
        <w:pageBreakBefore w:val="0"/>
        <w:widowControl w:val="0"/>
        <w:kinsoku/>
        <w:overflowPunct/>
        <w:topLinePunct w:val="0"/>
        <w:autoSpaceDE/>
        <w:autoSpaceDN/>
        <w:bidi w:val="0"/>
        <w:spacing w:line="380" w:lineRule="exact"/>
        <w:ind w:firstLine="480"/>
        <w:textAlignment w:val="auto"/>
        <w:rPr>
          <w:rFonts w:hint="eastAsia" w:ascii="宋体" w:hAnsi="宋体" w:cs="宋体"/>
          <w:sz w:val="24"/>
          <w:szCs w:val="24"/>
          <w:highlight w:val="none"/>
        </w:rPr>
      </w:pPr>
      <w:r>
        <w:rPr>
          <w:rFonts w:hint="eastAsia" w:ascii="宋体" w:hAnsi="宋体" w:cs="宋体"/>
          <w:sz w:val="24"/>
          <w:szCs w:val="24"/>
          <w:highlight w:val="none"/>
        </w:rPr>
        <w:t>4.5.2.2 投资控制不达标：由监理人编制投资控制计划和投资控制措施，报建设单位审核，若监理人未能落实控制措施，出现投资增加，工程建安费结算价突破投资控制值的，每突破1％，结算扣减监理合同价款的1‰。</w:t>
      </w:r>
    </w:p>
    <w:p w14:paraId="47357E9D">
      <w:pPr>
        <w:pStyle w:val="48"/>
        <w:keepNext w:val="0"/>
        <w:keepLines w:val="0"/>
        <w:pageBreakBefore w:val="0"/>
        <w:widowControl w:val="0"/>
        <w:kinsoku/>
        <w:overflowPunct/>
        <w:topLinePunct w:val="0"/>
        <w:autoSpaceDE/>
        <w:autoSpaceDN/>
        <w:bidi w:val="0"/>
        <w:spacing w:line="380" w:lineRule="exact"/>
        <w:ind w:firstLine="480"/>
        <w:textAlignment w:val="auto"/>
        <w:rPr>
          <w:rFonts w:hint="eastAsia" w:ascii="宋体" w:hAnsi="宋体" w:cs="宋体"/>
          <w:sz w:val="24"/>
          <w:szCs w:val="24"/>
          <w:highlight w:val="none"/>
        </w:rPr>
      </w:pPr>
      <w:r>
        <w:rPr>
          <w:rFonts w:hint="eastAsia" w:ascii="宋体" w:hAnsi="宋体" w:cs="宋体"/>
          <w:sz w:val="24"/>
          <w:szCs w:val="24"/>
          <w:highlight w:val="none"/>
        </w:rPr>
        <w:t>4.5.2.3 进度控制不达标：工程竣工验收通过日延误的，委托人视监理人的责任情况结算扣减监理合同价款的1‰－3‰。</w:t>
      </w:r>
    </w:p>
    <w:p w14:paraId="4038C9F1">
      <w:pPr>
        <w:pStyle w:val="48"/>
        <w:keepNext w:val="0"/>
        <w:keepLines w:val="0"/>
        <w:pageBreakBefore w:val="0"/>
        <w:widowControl w:val="0"/>
        <w:kinsoku/>
        <w:overflowPunct/>
        <w:topLinePunct w:val="0"/>
        <w:autoSpaceDE/>
        <w:autoSpaceDN/>
        <w:bidi w:val="0"/>
        <w:spacing w:line="380" w:lineRule="exact"/>
        <w:ind w:firstLine="480"/>
        <w:textAlignment w:val="auto"/>
        <w:rPr>
          <w:rFonts w:hint="eastAsia" w:ascii="宋体" w:hAnsi="宋体" w:cs="宋体"/>
          <w:sz w:val="24"/>
          <w:szCs w:val="24"/>
          <w:highlight w:val="none"/>
        </w:rPr>
      </w:pPr>
      <w:r>
        <w:rPr>
          <w:rFonts w:hint="eastAsia" w:ascii="宋体" w:hAnsi="宋体" w:cs="宋体"/>
          <w:sz w:val="24"/>
          <w:szCs w:val="24"/>
          <w:highlight w:val="none"/>
        </w:rPr>
        <w:t>4.5.2.4 安全管理不达标：被上级主管部门通报批评、被新闻媒体曝光的，结算扣减监理合同价款的1‰；发生安全事故隐瞒不报、谎报或者拖延报告期限的，结算扣减监理合同价款的2‰；工程发生一般安全生产事故，结算扣减监理合同价款的3‰；发生较大以上安全质量事故（按国家及合同有关规定界定）的，结算扣减监理合同价款的10‰。情节严重的，委托人有权部分或全部解除合同。</w:t>
      </w:r>
    </w:p>
    <w:p w14:paraId="63F27DDF">
      <w:pPr>
        <w:keepNext w:val="0"/>
        <w:keepLines w:val="0"/>
        <w:pageBreakBefore w:val="0"/>
        <w:widowControl w:val="0"/>
        <w:kinsoku/>
        <w:overflowPunct/>
        <w:topLinePunct w:val="0"/>
        <w:autoSpaceDE/>
        <w:autoSpaceDN/>
        <w:bidi w:val="0"/>
        <w:spacing w:line="380" w:lineRule="exact"/>
        <w:ind w:firstLine="480"/>
        <w:textAlignment w:val="auto"/>
        <w:rPr>
          <w:rFonts w:hint="eastAsia" w:hAnsi="宋体" w:cs="宋体"/>
          <w:szCs w:val="24"/>
          <w:highlight w:val="none"/>
        </w:rPr>
      </w:pPr>
      <w:r>
        <w:rPr>
          <w:rFonts w:hint="eastAsia" w:hAnsi="宋体" w:cs="宋体"/>
          <w:szCs w:val="24"/>
          <w:highlight w:val="none"/>
        </w:rPr>
        <w:t>4.5.2.5 监理人应保证每季度进度计量（价）数据的准确性，如发生计量（价）误差＞5%，则视为监理人违约一次，扣除监理人违约金¥500元/次。</w:t>
      </w:r>
    </w:p>
    <w:p w14:paraId="5C183DF1">
      <w:pPr>
        <w:pStyle w:val="48"/>
        <w:keepNext w:val="0"/>
        <w:keepLines w:val="0"/>
        <w:pageBreakBefore w:val="0"/>
        <w:widowControl w:val="0"/>
        <w:kinsoku/>
        <w:overflowPunct/>
        <w:topLinePunct w:val="0"/>
        <w:autoSpaceDE/>
        <w:autoSpaceDN/>
        <w:bidi w:val="0"/>
        <w:spacing w:line="380" w:lineRule="exact"/>
        <w:ind w:firstLine="480"/>
        <w:textAlignment w:val="auto"/>
        <w:rPr>
          <w:rFonts w:hint="eastAsia" w:ascii="宋体" w:hAnsi="宋体" w:cs="宋体"/>
          <w:sz w:val="24"/>
          <w:szCs w:val="24"/>
          <w:highlight w:val="none"/>
        </w:rPr>
      </w:pPr>
      <w:r>
        <w:rPr>
          <w:rFonts w:hint="eastAsia" w:ascii="宋体" w:hAnsi="宋体" w:cs="宋体"/>
          <w:sz w:val="24"/>
          <w:szCs w:val="24"/>
          <w:highlight w:val="none"/>
        </w:rPr>
        <w:t>4.5.2.6 监理人未按要求配备用于监理现场抽检所用的试验设备和仪器的（如不具备条件的须委托有相应资质的单位进行现场检测），扣除违约金¥500元，并无条件在整改期内按要求配备齐全，直至达到要求为止。</w:t>
      </w:r>
    </w:p>
    <w:p w14:paraId="4C9C2ECB">
      <w:pPr>
        <w:pStyle w:val="48"/>
        <w:keepNext w:val="0"/>
        <w:keepLines w:val="0"/>
        <w:pageBreakBefore w:val="0"/>
        <w:widowControl w:val="0"/>
        <w:kinsoku/>
        <w:overflowPunct/>
        <w:topLinePunct w:val="0"/>
        <w:autoSpaceDE/>
        <w:autoSpaceDN/>
        <w:bidi w:val="0"/>
        <w:spacing w:line="380" w:lineRule="exact"/>
        <w:ind w:firstLine="480"/>
        <w:textAlignment w:val="auto"/>
        <w:rPr>
          <w:rFonts w:hint="eastAsia" w:ascii="宋体" w:hAnsi="宋体" w:cs="宋体"/>
          <w:sz w:val="24"/>
          <w:szCs w:val="24"/>
          <w:highlight w:val="none"/>
        </w:rPr>
      </w:pPr>
      <w:r>
        <w:rPr>
          <w:rFonts w:hint="eastAsia" w:ascii="宋体" w:hAnsi="宋体" w:cs="宋体"/>
          <w:sz w:val="24"/>
          <w:szCs w:val="24"/>
          <w:highlight w:val="none"/>
        </w:rPr>
        <w:t>4.5.2.7 对监理人上述违约处罚，不免除追究当事人和监理人的法律责任。</w:t>
      </w:r>
    </w:p>
    <w:p w14:paraId="5AB9400B">
      <w:pPr>
        <w:pStyle w:val="48"/>
        <w:keepNext w:val="0"/>
        <w:keepLines w:val="0"/>
        <w:pageBreakBefore w:val="0"/>
        <w:widowControl w:val="0"/>
        <w:kinsoku/>
        <w:overflowPunct/>
        <w:topLinePunct w:val="0"/>
        <w:autoSpaceDE/>
        <w:autoSpaceDN/>
        <w:bidi w:val="0"/>
        <w:spacing w:line="380" w:lineRule="exact"/>
        <w:ind w:firstLine="48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4.5.2.8 若在质保期内施工方交付的成果出现严重质量问题，视为监理单位严重失职，发包人可向监理单位追偿已付监理费的10%.</w:t>
      </w:r>
    </w:p>
    <w:p w14:paraId="156F4B93">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5. 支付</w:t>
      </w:r>
    </w:p>
    <w:p w14:paraId="116CD99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75" w:name="_Toc14938"/>
      <w:bookmarkStart w:id="176" w:name="_Toc26984"/>
      <w:bookmarkStart w:id="177" w:name="_Toc11530"/>
      <w:r>
        <w:rPr>
          <w:rFonts w:hint="eastAsia" w:ascii="宋体" w:hAnsi="宋体" w:eastAsia="宋体" w:cs="宋体"/>
          <w:color w:val="000000" w:themeColor="text1"/>
          <w:kern w:val="0"/>
          <w:sz w:val="24"/>
          <w:highlight w:val="none"/>
          <w:lang w:val="zh-CN" w:eastAsia="zh-CN"/>
          <w14:textFill>
            <w14:solidFill>
              <w14:schemeClr w14:val="tx1"/>
            </w14:solidFill>
          </w14:textFill>
        </w:rPr>
        <w:t>5.1 正常工作酬金的支付计划为：</w:t>
      </w:r>
    </w:p>
    <w:p w14:paraId="4F27BAD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5.1.1本项目监理合同签订后14个工作日内支付30%预付款；</w:t>
      </w:r>
    </w:p>
    <w:p w14:paraId="1107C97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5.1.2本项目施工阶段按月度分期支付监理服务费；具体分期支付方式如下：</w:t>
      </w:r>
    </w:p>
    <w:p w14:paraId="77DBF6F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月度监理服务费=月度实际所有专业施工完成投资额×80%作为计算基数计算监理服务费，施工过程中累计支付的监理服务费（含预付款）不得超过监理服务费合同价款的80%；</w:t>
      </w:r>
    </w:p>
    <w:p w14:paraId="10A313C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5.1.3竣工验收合格后，经委托人或委托人委托的第三方审核机构结算定案后支付至监理结算价的97%；本项目分期实施、分期验收、分期结算。</w:t>
      </w:r>
    </w:p>
    <w:p w14:paraId="101D24C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5.1.4其余3%款项留作保修期服务保证金。该款项自工程交（竣）工验收合格之日起两年期满后 14 天内结合质量保修阶段服务情况结清（不计利息），或提交建设单位认可的质保金保函后方可支付质保金。</w:t>
      </w:r>
    </w:p>
    <w:p w14:paraId="62FCC9E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5.4 有争议部分的付款</w:t>
      </w:r>
      <w:bookmarkEnd w:id="175"/>
      <w:bookmarkEnd w:id="176"/>
      <w:bookmarkEnd w:id="177"/>
    </w:p>
    <w:p w14:paraId="6EE2D93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委托人对监理人提交的支付申请书有异议时，应当在收到监理人提交的支付申请书后7天内，以书面形式向监理人发出异议通知。无异议部分的款项应按期支付，有异议部分的款项按本章第7条处理。</w:t>
      </w:r>
    </w:p>
    <w:p w14:paraId="7CBF829A">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6. 合同生效、变更、暂停、解除与终止</w:t>
      </w:r>
    </w:p>
    <w:p w14:paraId="553A78D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78" w:name="_Toc27548"/>
      <w:bookmarkStart w:id="179" w:name="_Toc20360"/>
      <w:bookmarkStart w:id="180" w:name="_Toc5937"/>
      <w:r>
        <w:rPr>
          <w:rFonts w:hint="eastAsia" w:ascii="宋体" w:hAnsi="宋体" w:eastAsia="宋体" w:cs="宋体"/>
          <w:color w:val="000000" w:themeColor="text1"/>
          <w:kern w:val="0"/>
          <w:sz w:val="24"/>
          <w:highlight w:val="none"/>
          <w:lang w:val="zh-CN" w:eastAsia="zh-CN"/>
          <w14:textFill>
            <w14:solidFill>
              <w14:schemeClr w14:val="tx1"/>
            </w14:solidFill>
          </w14:textFill>
        </w:rPr>
        <w:t>6.1 生效</w:t>
      </w:r>
      <w:bookmarkEnd w:id="178"/>
      <w:bookmarkEnd w:id="179"/>
      <w:bookmarkEnd w:id="180"/>
    </w:p>
    <w:p w14:paraId="0F8140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委托人和监理人的法定代表人或其授权代理人在协议书上签字并盖单位章后本合同生效。</w:t>
      </w:r>
    </w:p>
    <w:p w14:paraId="51BABCE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1" w:name="_Toc636"/>
      <w:bookmarkStart w:id="182" w:name="_Toc9359"/>
      <w:bookmarkStart w:id="183" w:name="_Toc1739"/>
      <w:r>
        <w:rPr>
          <w:rFonts w:hint="eastAsia" w:ascii="宋体" w:hAnsi="宋体" w:eastAsia="宋体" w:cs="宋体"/>
          <w:color w:val="000000" w:themeColor="text1"/>
          <w:kern w:val="0"/>
          <w:sz w:val="24"/>
          <w:highlight w:val="none"/>
          <w:lang w:val="zh-CN" w:eastAsia="zh-CN"/>
          <w14:textFill>
            <w14:solidFill>
              <w14:schemeClr w14:val="tx1"/>
            </w14:solidFill>
          </w14:textFill>
        </w:rPr>
        <w:t>6.2 变更</w:t>
      </w:r>
      <w:bookmarkEnd w:id="181"/>
      <w:bookmarkEnd w:id="182"/>
      <w:bookmarkEnd w:id="183"/>
    </w:p>
    <w:p w14:paraId="0020D80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6.2.1 任何一方提出变更请求时，双方经协商一致后可进行变更。</w:t>
      </w:r>
    </w:p>
    <w:p w14:paraId="2B6B8D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6.2.2除不可抗力外，因非监理人原因导致监理人履行合同期限延长、内容增加时，监理人应当将此情况与可能产生的影响及时通知委托人。增加的监理工作时间、工作内容应视为附加工作。</w:t>
      </w:r>
    </w:p>
    <w:p w14:paraId="69B9FB7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发生以上情形的附加工作酬金的确定方法为：</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双方协商</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p>
    <w:p w14:paraId="6AA579D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6.2.3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6D3154A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发生以上情形的附加工作酬金的确定方法为： </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双方协商</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p>
    <w:p w14:paraId="46DE806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6.2.4 合同签订后，遇有与招标项目相关的法律法规、标准颁布或修订的，双方应遵照执行。由此引起监理与相关服务的范围、时间、酬金变化的，双方应通过协商进行相应调整。</w:t>
      </w:r>
    </w:p>
    <w:p w14:paraId="681D3C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6.2.5 因非监理人原因造成项目 预算 投资额增加时，正常工作酬金应作相应调整。</w:t>
      </w:r>
    </w:p>
    <w:p w14:paraId="6C8765B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发生以上情形的正常工作酬金增加额的确定方法为： </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双方协商 </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3FDD493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6.2.6 因工程规模、监理范围的变化导致监理人的正常工作量减少时，按减少工作量的比例从协议书约定的正常工作酬金中扣减相同比例的酬金。</w:t>
      </w:r>
    </w:p>
    <w:p w14:paraId="2B5D9E4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4" w:name="_Toc19127"/>
      <w:bookmarkStart w:id="185" w:name="_Toc4131"/>
      <w:bookmarkStart w:id="186" w:name="_Toc12797"/>
      <w:r>
        <w:rPr>
          <w:rFonts w:hint="eastAsia" w:ascii="宋体" w:hAnsi="宋体" w:eastAsia="宋体" w:cs="宋体"/>
          <w:color w:val="000000" w:themeColor="text1"/>
          <w:kern w:val="0"/>
          <w:sz w:val="24"/>
          <w:highlight w:val="none"/>
          <w:lang w:val="zh-CN" w:eastAsia="zh-CN"/>
          <w14:textFill>
            <w14:solidFill>
              <w14:schemeClr w14:val="tx1"/>
            </w14:solidFill>
          </w14:textFill>
        </w:rPr>
        <w:t>6.3 暂停与解除</w:t>
      </w:r>
      <w:bookmarkEnd w:id="184"/>
      <w:bookmarkEnd w:id="185"/>
      <w:bookmarkEnd w:id="186"/>
    </w:p>
    <w:p w14:paraId="1925517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4C59264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1C65DF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69E3914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解除本合同的协议必须采取书面形式，协议未达成之前，本合同仍然有效。</w:t>
      </w:r>
    </w:p>
    <w:p w14:paraId="2CFEC93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62AC9E1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4.2条约定的责任。</w:t>
      </w:r>
    </w:p>
    <w:p w14:paraId="4B713F4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4.1条约定的责任。</w:t>
      </w:r>
    </w:p>
    <w:p w14:paraId="280CD3A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4.2.3目约定的责任。</w:t>
      </w:r>
    </w:p>
    <w:p w14:paraId="483BB21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6.3.5 因不可抗力致使本合同部分或全部不能履行时，一方应立即通知另一方，可暂停或解除本合同。</w:t>
      </w:r>
    </w:p>
    <w:p w14:paraId="2C270EF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6.3.6 本合同解除后，本合同约定的有关结算、清理、争议解决方式的条件仍然有效。</w:t>
      </w:r>
    </w:p>
    <w:p w14:paraId="54BE5EF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7" w:name="_Toc12239"/>
      <w:bookmarkStart w:id="188" w:name="_Toc20646"/>
      <w:bookmarkStart w:id="189" w:name="_Toc14952"/>
      <w:r>
        <w:rPr>
          <w:rFonts w:hint="eastAsia" w:ascii="宋体" w:hAnsi="宋体" w:eastAsia="宋体" w:cs="宋体"/>
          <w:color w:val="000000" w:themeColor="text1"/>
          <w:kern w:val="0"/>
          <w:sz w:val="24"/>
          <w:highlight w:val="none"/>
          <w:lang w:val="zh-CN" w:eastAsia="zh-CN"/>
          <w14:textFill>
            <w14:solidFill>
              <w14:schemeClr w14:val="tx1"/>
            </w14:solidFill>
          </w14:textFill>
        </w:rPr>
        <w:t>6.4 终止</w:t>
      </w:r>
      <w:bookmarkEnd w:id="187"/>
      <w:bookmarkEnd w:id="188"/>
      <w:bookmarkEnd w:id="189"/>
    </w:p>
    <w:p w14:paraId="690D360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以下条件全部满足时，本合同即告终止：</w:t>
      </w:r>
    </w:p>
    <w:p w14:paraId="078E135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（1）监理人完成本合同约定的全部工作；</w:t>
      </w:r>
    </w:p>
    <w:p w14:paraId="043661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（2）委托人与监理人结清并支付全部酬金。</w:t>
      </w:r>
    </w:p>
    <w:p w14:paraId="00AF3D1A">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7. 争议解决</w:t>
      </w:r>
    </w:p>
    <w:p w14:paraId="0F15550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90" w:name="_Toc1230"/>
      <w:bookmarkStart w:id="191" w:name="_Toc30247"/>
      <w:bookmarkStart w:id="192" w:name="_Toc28417"/>
      <w:r>
        <w:rPr>
          <w:rFonts w:hint="eastAsia" w:ascii="宋体" w:hAnsi="宋体" w:eastAsia="宋体" w:cs="宋体"/>
          <w:color w:val="000000" w:themeColor="text1"/>
          <w:kern w:val="0"/>
          <w:sz w:val="24"/>
          <w:highlight w:val="none"/>
          <w:lang w:val="zh-CN" w:eastAsia="zh-CN"/>
          <w14:textFill>
            <w14:solidFill>
              <w14:schemeClr w14:val="tx1"/>
            </w14:solidFill>
          </w14:textFill>
        </w:rPr>
        <w:t>7.1 协商</w:t>
      </w:r>
      <w:bookmarkEnd w:id="190"/>
      <w:bookmarkEnd w:id="191"/>
      <w:bookmarkEnd w:id="192"/>
    </w:p>
    <w:p w14:paraId="539CD7D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双方应本着诚信原则协商解决彼此间的争议。</w:t>
      </w:r>
    </w:p>
    <w:p w14:paraId="113CA94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93" w:name="_Toc21833"/>
      <w:bookmarkStart w:id="194" w:name="_Toc17958"/>
      <w:bookmarkStart w:id="195" w:name="_Toc15685"/>
      <w:r>
        <w:rPr>
          <w:rFonts w:hint="eastAsia" w:ascii="宋体" w:hAnsi="宋体" w:eastAsia="宋体" w:cs="宋体"/>
          <w:color w:val="000000" w:themeColor="text1"/>
          <w:kern w:val="0"/>
          <w:sz w:val="24"/>
          <w:highlight w:val="none"/>
          <w:lang w:val="zh-CN" w:eastAsia="zh-CN"/>
          <w14:textFill>
            <w14:solidFill>
              <w14:schemeClr w14:val="tx1"/>
            </w14:solidFill>
          </w14:textFill>
        </w:rPr>
        <w:t>7.2 调解</w:t>
      </w:r>
      <w:bookmarkEnd w:id="193"/>
      <w:bookmarkEnd w:id="194"/>
      <w:bookmarkEnd w:id="195"/>
    </w:p>
    <w:p w14:paraId="004C2E1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如果双方不能在14天内或双方商定的其他时间内解决本合同争议，可以将其提交给 行政主管部门 进行调解。</w:t>
      </w:r>
    </w:p>
    <w:p w14:paraId="60C1D41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96" w:name="_Toc18545"/>
      <w:bookmarkStart w:id="197" w:name="_Toc27051"/>
      <w:bookmarkStart w:id="198" w:name="_Toc2607"/>
      <w:r>
        <w:rPr>
          <w:rFonts w:hint="eastAsia" w:ascii="宋体" w:hAnsi="宋体" w:eastAsia="宋体" w:cs="宋体"/>
          <w:color w:val="000000" w:themeColor="text1"/>
          <w:kern w:val="0"/>
          <w:sz w:val="24"/>
          <w:highlight w:val="none"/>
          <w:lang w:val="zh-CN" w:eastAsia="zh-CN"/>
          <w14:textFill>
            <w14:solidFill>
              <w14:schemeClr w14:val="tx1"/>
            </w14:solidFill>
          </w14:textFill>
        </w:rPr>
        <w:t>7.3 仲裁或诉讼</w:t>
      </w:r>
      <w:bookmarkEnd w:id="196"/>
      <w:bookmarkEnd w:id="197"/>
      <w:bookmarkEnd w:id="198"/>
    </w:p>
    <w:p w14:paraId="7091220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双方均有权不经调解直接向专用条件约定的仲裁机构申请仲裁或向有管辖权的人民法院提起诉讼。</w:t>
      </w:r>
    </w:p>
    <w:p w14:paraId="395B661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本合同争议的最终解决方式为下列第</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highlight w:val="none"/>
          <w:lang w:val="zh-CN" w:eastAsia="zh-CN"/>
          <w14:textFill>
            <w14:solidFill>
              <w14:schemeClr w14:val="tx1"/>
            </w14:solidFill>
          </w14:textFill>
        </w:rPr>
        <w:t>种方式：</w:t>
      </w:r>
    </w:p>
    <w:p w14:paraId="40390C6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（1）提请</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仲裁委员会进行仲裁。</w:t>
      </w:r>
    </w:p>
    <w:p w14:paraId="69EF26F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（2）向</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14:textFill>
            <w14:solidFill>
              <w14:schemeClr w14:val="tx1"/>
            </w14:solidFill>
          </w14:textFill>
        </w:rPr>
        <w:t>翁源县</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人民法院提起诉讼。</w:t>
      </w:r>
    </w:p>
    <w:p w14:paraId="707E2BF8">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8. 其他</w:t>
      </w:r>
    </w:p>
    <w:p w14:paraId="114209D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检测费用</w:t>
      </w:r>
    </w:p>
    <w:p w14:paraId="43F423F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委托人应在检测工作完成后</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zh-CN" w:eastAsia="zh-CN"/>
          <w14:textFill>
            <w14:solidFill>
              <w14:schemeClr w14:val="tx1"/>
            </w14:solidFill>
          </w14:textFill>
        </w:rPr>
        <w:t>天内支付检测费用。</w:t>
      </w:r>
    </w:p>
    <w:p w14:paraId="23775EC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咨询费用</w:t>
      </w:r>
    </w:p>
    <w:p w14:paraId="17076C2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委托人应在咨询工作完成后</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天内支付咨询费用。</w:t>
      </w:r>
    </w:p>
    <w:p w14:paraId="21CC876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奖励</w:t>
      </w:r>
    </w:p>
    <w:p w14:paraId="794FB2E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合理化建议的奖励金额按下列方法确定为：</w:t>
      </w:r>
    </w:p>
    <w:p w14:paraId="617EE58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奖励金额＝</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工程投资节省额×奖励金额的比</w:t>
      </w:r>
      <w:r>
        <w:rPr>
          <w:rFonts w:hint="eastAsia" w:ascii="宋体" w:hAnsi="宋体" w:eastAsia="宋体" w:cs="宋体"/>
          <w:color w:val="000000" w:themeColor="text1"/>
          <w:kern w:val="0"/>
          <w:sz w:val="24"/>
          <w:highlight w:val="none"/>
          <w:lang w:val="zh-CN" w:eastAsia="zh-CN"/>
          <w14:textFill>
            <w14:solidFill>
              <w14:schemeClr w14:val="tx1"/>
            </w14:solidFill>
          </w14:textFill>
        </w:rPr>
        <w:t>率；</w:t>
      </w:r>
    </w:p>
    <w:p w14:paraId="348E0E7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奖励金额的比率为</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5F67F2D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保密</w:t>
      </w:r>
    </w:p>
    <w:p w14:paraId="63BBB9D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委托人申明的保密事项和期限</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                 </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34DC411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监理人申明的保密事项和期限</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p>
    <w:p w14:paraId="35561B5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第三方申明的保密事项和期限</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                          </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1B825AB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kern w:val="0"/>
          <w:sz w:val="24"/>
          <w:highlight w:val="none"/>
          <w:lang w:val="zh-CN" w:eastAsia="zh-CN"/>
          <w14:textFill>
            <w14:solidFill>
              <w14:schemeClr w14:val="tx1"/>
            </w14:solidFill>
          </w14:textFill>
        </w:rPr>
        <w:t>著作权</w:t>
      </w:r>
    </w:p>
    <w:p w14:paraId="58AD93F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监理人在本合同履行期间及本合同终止后两年内出版涉及本工程的有关监理与相关服务的资料的限制条件</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bookmarkEnd w:id="151"/>
    <w:bookmarkEnd w:id="157"/>
    <w:bookmarkEnd w:id="158"/>
    <w:bookmarkEnd w:id="159"/>
    <w:bookmarkEnd w:id="160"/>
    <w:bookmarkEnd w:id="161"/>
    <w:p w14:paraId="56628D8B">
      <w:pPr>
        <w:pStyle w:val="3"/>
        <w:keepNext w:val="0"/>
        <w:keepLines w:val="0"/>
        <w:pageBreakBefore w:val="0"/>
        <w:widowControl w:val="0"/>
        <w:tabs>
          <w:tab w:val="left" w:pos="885"/>
        </w:tabs>
        <w:kinsoku/>
        <w:wordWrap w:val="0"/>
        <w:overflowPunct/>
        <w:topLinePunct w:val="0"/>
        <w:autoSpaceDE/>
        <w:autoSpaceDN/>
        <w:bidi w:val="0"/>
        <w:adjustRightInd w:val="0"/>
        <w:snapToGrid w:val="0"/>
        <w:spacing w:line="360" w:lineRule="exact"/>
        <w:ind w:left="885" w:hanging="885"/>
        <w:jc w:val="center"/>
        <w:textAlignment w:val="auto"/>
        <w:rPr>
          <w:rFonts w:hint="eastAsia" w:ascii="Times New Roman"/>
          <w:b/>
          <w:snapToGrid w:val="0"/>
          <w:color w:val="000000" w:themeColor="text1"/>
          <w:sz w:val="32"/>
          <w:szCs w:val="22"/>
          <w:highlight w:val="none"/>
          <w14:textFill>
            <w14:solidFill>
              <w14:schemeClr w14:val="tx1"/>
            </w14:solidFill>
          </w14:textFill>
        </w:rPr>
      </w:pPr>
      <w:bookmarkStart w:id="199" w:name="_Toc21669"/>
      <w:bookmarkStart w:id="200" w:name="_Toc12650"/>
      <w:bookmarkStart w:id="201" w:name="_Toc31250"/>
      <w:bookmarkStart w:id="202" w:name="_Hlt69698796"/>
    </w:p>
    <w:p w14:paraId="0BBF9E3C">
      <w:pPr>
        <w:pStyle w:val="3"/>
        <w:keepNext w:val="0"/>
        <w:keepLines w:val="0"/>
        <w:pageBreakBefore w:val="0"/>
        <w:widowControl w:val="0"/>
        <w:tabs>
          <w:tab w:val="left" w:pos="885"/>
        </w:tabs>
        <w:kinsoku/>
        <w:wordWrap w:val="0"/>
        <w:overflowPunct/>
        <w:topLinePunct w:val="0"/>
        <w:autoSpaceDE/>
        <w:autoSpaceDN/>
        <w:bidi w:val="0"/>
        <w:adjustRightInd w:val="0"/>
        <w:snapToGrid w:val="0"/>
        <w:spacing w:line="360" w:lineRule="exact"/>
        <w:ind w:left="885" w:hanging="885"/>
        <w:jc w:val="center"/>
        <w:textAlignment w:val="auto"/>
        <w:rPr>
          <w:rFonts w:hint="eastAsia" w:ascii="Times New Roman"/>
          <w:b/>
          <w:snapToGrid w:val="0"/>
          <w:color w:val="000000" w:themeColor="text1"/>
          <w:sz w:val="32"/>
          <w:szCs w:val="22"/>
          <w:highlight w:val="none"/>
          <w14:textFill>
            <w14:solidFill>
              <w14:schemeClr w14:val="tx1"/>
            </w14:solidFill>
          </w14:textFill>
        </w:rPr>
      </w:pPr>
    </w:p>
    <w:p w14:paraId="09AB6969">
      <w:pPr>
        <w:rPr>
          <w:rFonts w:hint="eastAsia" w:ascii="Times New Roman"/>
          <w:b/>
          <w:snapToGrid w:val="0"/>
          <w:color w:val="000000" w:themeColor="text1"/>
          <w:sz w:val="32"/>
          <w:szCs w:val="22"/>
          <w:highlight w:val="none"/>
          <w14:textFill>
            <w14:solidFill>
              <w14:schemeClr w14:val="tx1"/>
            </w14:solidFill>
          </w14:textFill>
        </w:rPr>
      </w:pPr>
    </w:p>
    <w:p w14:paraId="62DC21CB">
      <w:pPr>
        <w:pStyle w:val="2"/>
        <w:rPr>
          <w:rFonts w:hint="eastAsia"/>
          <w:highlight w:val="none"/>
        </w:rPr>
      </w:pPr>
    </w:p>
    <w:p w14:paraId="39EAB1B0">
      <w:pPr>
        <w:pStyle w:val="3"/>
        <w:keepNext w:val="0"/>
        <w:keepLines w:val="0"/>
        <w:pageBreakBefore w:val="0"/>
        <w:widowControl w:val="0"/>
        <w:tabs>
          <w:tab w:val="left" w:pos="885"/>
        </w:tabs>
        <w:kinsoku/>
        <w:wordWrap w:val="0"/>
        <w:overflowPunct/>
        <w:topLinePunct w:val="0"/>
        <w:autoSpaceDE/>
        <w:autoSpaceDN/>
        <w:bidi w:val="0"/>
        <w:adjustRightInd w:val="0"/>
        <w:snapToGrid w:val="0"/>
        <w:spacing w:line="360" w:lineRule="exact"/>
        <w:ind w:left="885" w:hanging="885"/>
        <w:jc w:val="center"/>
        <w:textAlignment w:val="auto"/>
        <w:rPr>
          <w:rFonts w:ascii="Times New Roman"/>
          <w:b/>
          <w:snapToGrid w:val="0"/>
          <w:color w:val="000000" w:themeColor="text1"/>
          <w:sz w:val="32"/>
          <w:szCs w:val="22"/>
          <w:highlight w:val="none"/>
          <w14:textFill>
            <w14:solidFill>
              <w14:schemeClr w14:val="tx1"/>
            </w14:solidFill>
          </w14:textFill>
        </w:rPr>
      </w:pPr>
      <w:r>
        <w:rPr>
          <w:rFonts w:hint="eastAsia" w:ascii="Times New Roman"/>
          <w:b/>
          <w:snapToGrid w:val="0"/>
          <w:color w:val="000000" w:themeColor="text1"/>
          <w:sz w:val="32"/>
          <w:szCs w:val="22"/>
          <w:highlight w:val="none"/>
          <w14:textFill>
            <w14:solidFill>
              <w14:schemeClr w14:val="tx1"/>
            </w14:solidFill>
          </w14:textFill>
        </w:rPr>
        <w:t>第四章</w:t>
      </w:r>
      <w:bookmarkStart w:id="203" w:name="_Hlt87793853"/>
      <w:bookmarkEnd w:id="203"/>
      <w:r>
        <w:rPr>
          <w:rFonts w:hint="eastAsia" w:ascii="Times New Roman"/>
          <w:b/>
          <w:snapToGrid w:val="0"/>
          <w:color w:val="000000" w:themeColor="text1"/>
          <w:sz w:val="32"/>
          <w:szCs w:val="22"/>
          <w:highlight w:val="none"/>
          <w14:textFill>
            <w14:solidFill>
              <w14:schemeClr w14:val="tx1"/>
            </w14:solidFill>
          </w14:textFill>
        </w:rPr>
        <w:t xml:space="preserve"> 技术要求</w:t>
      </w:r>
      <w:bookmarkEnd w:id="199"/>
      <w:bookmarkEnd w:id="200"/>
      <w:bookmarkEnd w:id="201"/>
    </w:p>
    <w:bookmarkEnd w:id="202"/>
    <w:p w14:paraId="2DD873F3">
      <w:pPr>
        <w:bidi w:val="0"/>
        <w:rPr>
          <w:color w:val="000000" w:themeColor="text1"/>
          <w:highlight w:val="none"/>
          <w14:textFill>
            <w14:solidFill>
              <w14:schemeClr w14:val="tx1"/>
            </w14:solidFill>
          </w14:textFill>
        </w:rPr>
      </w:pPr>
      <w:bookmarkStart w:id="204" w:name="_Hlt69116854"/>
      <w:bookmarkEnd w:id="204"/>
      <w:bookmarkStart w:id="205" w:name="_Hlt69265216"/>
      <w:bookmarkEnd w:id="205"/>
      <w:bookmarkStart w:id="206" w:name="_Hlt87793346"/>
      <w:bookmarkEnd w:id="206"/>
      <w:bookmarkStart w:id="207" w:name="_Hlt80411122"/>
      <w:bookmarkEnd w:id="207"/>
      <w:bookmarkStart w:id="208" w:name="_Hlt68774758"/>
      <w:bookmarkEnd w:id="208"/>
      <w:bookmarkStart w:id="209" w:name="_Hlt87793370"/>
      <w:bookmarkEnd w:id="209"/>
      <w:bookmarkStart w:id="210" w:name="_Hlt69359335"/>
      <w:bookmarkEnd w:id="210"/>
      <w:bookmarkStart w:id="211" w:name="_Hlt66104926"/>
      <w:bookmarkEnd w:id="211"/>
      <w:bookmarkStart w:id="212" w:name="_Hlt69358207"/>
      <w:bookmarkEnd w:id="212"/>
      <w:bookmarkStart w:id="213" w:name="_Hlt75685840"/>
      <w:bookmarkEnd w:id="213"/>
      <w:bookmarkStart w:id="214" w:name="_Hlt69357851"/>
      <w:bookmarkEnd w:id="214"/>
    </w:p>
    <w:p w14:paraId="4CF6546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2" w:firstLineChars="200"/>
        <w:textAlignment w:val="auto"/>
        <w:rPr>
          <w:rFonts w:hint="eastAsia" w:ascii="Times New Roman" w:hAnsi="Times New Roman" w:cs="Times New Roman"/>
          <w:b/>
          <w:bCs w:val="0"/>
          <w:caps w:val="0"/>
          <w:smallCaps w:val="0"/>
          <w:snapToGrid w:val="0"/>
          <w:color w:val="000000" w:themeColor="text1"/>
          <w:spacing w:val="0"/>
          <w:kern w:val="0"/>
          <w:highlight w:val="none"/>
          <w14:textFill>
            <w14:solidFill>
              <w14:schemeClr w14:val="tx1"/>
            </w14:solidFill>
          </w14:textFill>
        </w:rPr>
      </w:pPr>
      <w:bookmarkStart w:id="215" w:name="_Hlt69670335"/>
      <w:bookmarkEnd w:id="215"/>
      <w:r>
        <w:rPr>
          <w:rFonts w:hint="eastAsia" w:ascii="Times New Roman" w:hAnsi="Times New Roman" w:cs="Times New Roman"/>
          <w:b/>
          <w:bCs w:val="0"/>
          <w:caps w:val="0"/>
          <w:smallCaps w:val="0"/>
          <w:snapToGrid w:val="0"/>
          <w:color w:val="000000" w:themeColor="text1"/>
          <w:spacing w:val="0"/>
          <w:kern w:val="0"/>
          <w:highlight w:val="none"/>
          <w14:textFill>
            <w14:solidFill>
              <w14:schemeClr w14:val="tx1"/>
            </w14:solidFill>
          </w14:textFill>
        </w:rPr>
        <w:t>1</w:t>
      </w:r>
      <w:r>
        <w:rPr>
          <w:rFonts w:hint="eastAsia" w:ascii="Times New Roman" w:hAnsi="Times New Roman" w:cs="Times New Roman"/>
          <w:b/>
          <w:bCs w:val="0"/>
          <w:caps w:val="0"/>
          <w:smallCaps w:val="0"/>
          <w:snapToGrid w:val="0"/>
          <w:color w:val="000000" w:themeColor="text1"/>
          <w:spacing w:val="0"/>
          <w:kern w:val="0"/>
          <w:highlight w:val="none"/>
          <w:lang w:eastAsia="zh-CN"/>
          <w14:textFill>
            <w14:solidFill>
              <w14:schemeClr w14:val="tx1"/>
            </w14:solidFill>
          </w14:textFill>
        </w:rPr>
        <w:t>．房屋建筑工程建设项目</w:t>
      </w:r>
    </w:p>
    <w:p w14:paraId="673D5E1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pPr>
      <w:bookmarkStart w:id="216" w:name="_Hlt78709799"/>
      <w:bookmarkEnd w:id="216"/>
      <w:bookmarkStart w:id="217" w:name="_Hlt69358458"/>
      <w:bookmarkEnd w:id="217"/>
      <w:bookmarkStart w:id="218" w:name="_Hlt69359086"/>
      <w:bookmarkEnd w:id="218"/>
      <w:bookmarkStart w:id="219" w:name="_Hlt69635252"/>
      <w:bookmarkEnd w:id="219"/>
      <w:bookmarkStart w:id="220" w:name="_Hlt69359243"/>
      <w:bookmarkEnd w:id="220"/>
      <w:bookmarkStart w:id="221" w:name="_Hlt69359245"/>
      <w:bookmarkEnd w:id="221"/>
      <w:bookmarkStart w:id="222" w:name="_Hlt69116858"/>
      <w:bookmarkEnd w:id="222"/>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416D762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339C790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5660F88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6E2A33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4C3C4F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《屋面工程质量验收规范》；</w:t>
      </w:r>
    </w:p>
    <w:p w14:paraId="72A7C95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3239F00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bookmarkStart w:id="223" w:name="_Hlt78795211"/>
      <w:bookmarkEnd w:id="223"/>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2E79455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5F4A3AC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421E539E">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1C0AC18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eastAsia="宋体" w:cs="Times New Roman"/>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72DA37E3">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default" w:ascii="Times New Roman" w:hAnsi="Times New Roman" w:eastAsia="宋体" w:cs="Times New Roman"/>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12</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09F49AC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13</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施工</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规范</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标准。</w:t>
      </w:r>
    </w:p>
    <w:p w14:paraId="535E5E8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p>
    <w:p w14:paraId="1939348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2"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bCs w:val="0"/>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Times New Roman" w:hAnsi="Times New Roman" w:cs="Times New Roman"/>
          <w:b/>
          <w:bCs w:val="0"/>
          <w:caps w:val="0"/>
          <w:smallCaps w:val="0"/>
          <w:snapToGrid w:val="0"/>
          <w:color w:val="000000" w:themeColor="text1"/>
          <w:spacing w:val="0"/>
          <w:kern w:val="0"/>
          <w:highlight w:val="none"/>
          <w:lang w:eastAsia="zh-CN"/>
          <w14:textFill>
            <w14:solidFill>
              <w14:schemeClr w14:val="tx1"/>
            </w14:solidFill>
          </w14:textFill>
        </w:rPr>
        <w:t>．市政基础设施工程建设项目</w:t>
      </w:r>
    </w:p>
    <w:p w14:paraId="562E69A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szCs w:val="28"/>
          <w:highlight w:val="none"/>
          <w:lang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市政基础设施工程建设项目必须执行的现行技术规范，包括且不限于：</w:t>
      </w:r>
    </w:p>
    <w:p w14:paraId="66C6A86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Times New Roman" w:hAnsi="Times New Roman" w:cs="Times New Roman"/>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w:t>
      </w:r>
    </w:p>
    <w:p w14:paraId="38D3BDC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786DCA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F5FC00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78A14B3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447D050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7F5FC4E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7446DEF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0E0D12D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《沥青路面施工及验收规范》；</w:t>
      </w:r>
    </w:p>
    <w:p w14:paraId="7A4C0B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《广东省</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4005D75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）其他现行国家、广东省关于市政工程的技术及验收规范、规程、标准。</w:t>
      </w:r>
    </w:p>
    <w:p w14:paraId="5F8FEE3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pPr>
    </w:p>
    <w:p w14:paraId="117A8F5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560"/>
        <w:textAlignment w:val="auto"/>
        <w:rPr>
          <w:rFonts w:hint="eastAsia" w:ascii="Times New Roman" w:hAnsi="Times New Roman" w:cs="Times New Roman"/>
          <w:caps w:val="0"/>
          <w:smallCaps w:val="0"/>
          <w:strike/>
          <w:dstrike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bCs w:val="0"/>
          <w:caps w:val="0"/>
          <w:smallCaps w:val="0"/>
          <w:snapToGrid w:val="0"/>
          <w:color w:val="000000" w:themeColor="text1"/>
          <w:spacing w:val="0"/>
          <w:kern w:val="0"/>
          <w:highlight w:val="none"/>
          <w:lang w:val="en-US" w:eastAsia="zh-CN"/>
          <w14:textFill>
            <w14:solidFill>
              <w14:schemeClr w14:val="tx1"/>
            </w14:solidFill>
          </w14:textFill>
        </w:rPr>
        <w:t>3．备查要求</w:t>
      </w:r>
    </w:p>
    <w:p w14:paraId="31D74506">
      <w:pPr>
        <w:keepNext w:val="0"/>
        <w:keepLines w:val="0"/>
        <w:pageBreakBefore w:val="0"/>
        <w:widowControl w:val="0"/>
        <w:kinsoku/>
        <w:wordWrap w:val="0"/>
        <w:overflowPunct/>
        <w:topLinePunct w:val="0"/>
        <w:autoSpaceDE/>
        <w:autoSpaceDN/>
        <w:bidi w:val="0"/>
        <w:adjustRightInd w:val="0"/>
        <w:snapToGrid w:val="0"/>
        <w:spacing w:line="360" w:lineRule="exact"/>
        <w:ind w:firstLine="560"/>
        <w:textAlignment w:val="auto"/>
        <w:rPr>
          <w:rFonts w:hAnsi="宋体" w:cs="宋体"/>
          <w:strike/>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r>
        <w:rPr>
          <w:rFonts w:hint="eastAsia" w:ascii="Times New Roman" w:hAnsi="Times New Roman" w:cs="Times New Roman"/>
          <w:caps w:val="0"/>
          <w:smallCaps w:val="0"/>
          <w:snapToGrid w:val="0"/>
          <w:color w:val="000000" w:themeColor="text1"/>
          <w:spacing w:val="0"/>
          <w:kern w:val="0"/>
          <w:highlight w:val="none"/>
          <w:lang w:eastAsia="zh-CN"/>
          <w14:textFill>
            <w14:solidFill>
              <w14:schemeClr w14:val="tx1"/>
            </w14:solidFill>
          </w14:textFill>
        </w:rPr>
        <w:t>监理人</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必须在施工现场准备至少一套上述规范，</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委托</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人可随时检查</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监理</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人的上述规范，并监督</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监理</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人按规范要求执行。</w:t>
      </w:r>
    </w:p>
    <w:p w14:paraId="73C306F0">
      <w:pPr>
        <w:pStyle w:val="3"/>
        <w:wordWrap w:val="0"/>
        <w:autoSpaceDE/>
        <w:autoSpaceDN/>
        <w:snapToGrid w:val="0"/>
        <w:spacing w:line="440" w:lineRule="exact"/>
        <w:jc w:val="center"/>
        <w:rPr>
          <w:rFonts w:ascii="Times New Roman"/>
          <w:b/>
          <w:snapToGrid w:val="0"/>
          <w:color w:val="000000" w:themeColor="text1"/>
          <w:sz w:val="32"/>
          <w:szCs w:val="22"/>
          <w:highlight w:val="none"/>
          <w14:textFill>
            <w14:solidFill>
              <w14:schemeClr w14:val="tx1"/>
            </w14:solidFill>
          </w14:textFill>
        </w:rPr>
      </w:pPr>
      <w:bookmarkStart w:id="224" w:name="_Hlt69265207"/>
      <w:bookmarkEnd w:id="224"/>
      <w:bookmarkStart w:id="225" w:name="_Hlt69635247"/>
      <w:bookmarkEnd w:id="225"/>
      <w:bookmarkStart w:id="226" w:name="_Hlt69358336"/>
      <w:bookmarkEnd w:id="226"/>
      <w:bookmarkStart w:id="227" w:name="_Hlt66848640"/>
      <w:bookmarkEnd w:id="227"/>
      <w:bookmarkStart w:id="228" w:name="_Hlt69338190"/>
      <w:bookmarkEnd w:id="228"/>
      <w:bookmarkStart w:id="229" w:name="_Hlt69116863"/>
      <w:bookmarkEnd w:id="229"/>
      <w:bookmarkStart w:id="230" w:name="_Toc12313"/>
      <w:bookmarkStart w:id="231" w:name="_Toc16011"/>
      <w:bookmarkStart w:id="232" w:name="_Hlt69698785"/>
      <w:r>
        <w:rPr>
          <w:rFonts w:hint="eastAsia" w:ascii="Times New Roman"/>
          <w:b/>
          <w:snapToGrid w:val="0"/>
          <w:color w:val="000000" w:themeColor="text1"/>
          <w:sz w:val="32"/>
          <w:szCs w:val="22"/>
          <w:highlight w:val="none"/>
          <w14:textFill>
            <w14:solidFill>
              <w14:schemeClr w14:val="tx1"/>
            </w14:solidFill>
          </w14:textFill>
        </w:rPr>
        <w:t xml:space="preserve">第五章 </w:t>
      </w:r>
      <w:bookmarkStart w:id="233" w:name="_Hlt75747044"/>
      <w:bookmarkEnd w:id="233"/>
      <w:r>
        <w:rPr>
          <w:rFonts w:hint="eastAsia" w:ascii="Times New Roman"/>
          <w:b/>
          <w:snapToGrid w:val="0"/>
          <w:color w:val="000000" w:themeColor="text1"/>
          <w:sz w:val="32"/>
          <w:szCs w:val="22"/>
          <w:highlight w:val="none"/>
          <w14:textFill>
            <w14:solidFill>
              <w14:schemeClr w14:val="tx1"/>
            </w14:solidFill>
          </w14:textFill>
        </w:rPr>
        <w:t>投标文件格式</w:t>
      </w:r>
      <w:bookmarkEnd w:id="230"/>
      <w:bookmarkEnd w:id="231"/>
    </w:p>
    <w:bookmarkEnd w:id="232"/>
    <w:p w14:paraId="3680C687">
      <w:pPr>
        <w:pStyle w:val="4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000000" w:themeColor="text1"/>
          <w:highlight w:val="none"/>
          <w14:textFill>
            <w14:solidFill>
              <w14:schemeClr w14:val="tx1"/>
            </w14:solidFill>
          </w14:textFill>
        </w:rPr>
      </w:pPr>
      <w:bookmarkStart w:id="234" w:name="_附件二：工期承诺书"/>
      <w:bookmarkEnd w:id="234"/>
      <w:bookmarkStart w:id="235" w:name="_附件二：近三年度主要施工项目（竣工及在建）一览表"/>
      <w:bookmarkEnd w:id="235"/>
      <w:bookmarkStart w:id="236" w:name="_附件一：投标函"/>
      <w:bookmarkEnd w:id="236"/>
      <w:bookmarkStart w:id="237" w:name="_附件一：对招标文件条款自愿接受承诺书"/>
      <w:bookmarkEnd w:id="237"/>
      <w:bookmarkStart w:id="238" w:name="_附件五：综合评审合理低价法"/>
      <w:bookmarkEnd w:id="238"/>
      <w:bookmarkStart w:id="239" w:name="_附件四：工期承诺书"/>
      <w:bookmarkEnd w:id="239"/>
      <w:bookmarkStart w:id="240" w:name="_Toc66849200"/>
      <w:bookmarkStart w:id="241" w:name="_Toc200338097"/>
      <w:bookmarkStart w:id="242" w:name="_Toc137621693"/>
      <w:bookmarkStart w:id="243" w:name="_Hlt66847557"/>
    </w:p>
    <w:p w14:paraId="7C2C5F4E">
      <w:pPr>
        <w:pStyle w:val="4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000000" w:themeColor="text1"/>
          <w:highlight w:val="none"/>
          <w14:textFill>
            <w14:solidFill>
              <w14:schemeClr w14:val="tx1"/>
            </w14:solidFill>
          </w14:textFill>
        </w:rPr>
      </w:pPr>
      <w:bookmarkStart w:id="244" w:name="_Toc26178"/>
      <w:bookmarkStart w:id="245" w:name="_Toc63"/>
      <w:r>
        <w:rPr>
          <w:rFonts w:hint="eastAsia" w:ascii="Times New Roman"/>
          <w:b/>
          <w:snapToGrid w:val="0"/>
          <w:color w:val="000000" w:themeColor="text1"/>
          <w:highlight w:val="none"/>
          <w14:textFill>
            <w14:solidFill>
              <w14:schemeClr w14:val="tx1"/>
            </w14:solidFill>
          </w14:textFill>
        </w:rPr>
        <w:t>格式一 封面</w:t>
      </w:r>
      <w:bookmarkEnd w:id="244"/>
      <w:bookmarkEnd w:id="245"/>
    </w:p>
    <w:p w14:paraId="0F298152">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1B9ECBA">
      <w:pPr>
        <w:pStyle w:val="42"/>
        <w:widowControl w:val="0"/>
        <w:wordWrap w:val="0"/>
        <w:adjustRightInd w:val="0"/>
        <w:snapToGrid w:val="0"/>
        <w:spacing w:line="240" w:lineRule="auto"/>
        <w:jc w:val="right"/>
        <w:rPr>
          <w:rFonts w:ascii="Times New Roman"/>
          <w:b/>
          <w:snapToGrid w:val="0"/>
          <w:color w:val="000000" w:themeColor="text1"/>
          <w:sz w:val="24"/>
          <w:highlight w:val="none"/>
          <w14:textFill>
            <w14:solidFill>
              <w14:schemeClr w14:val="tx1"/>
            </w14:solidFill>
          </w14:textFill>
        </w:rPr>
      </w:pPr>
    </w:p>
    <w:p w14:paraId="06679FF1">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12D64DD8">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4101E78A">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100B84E7">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1C931B1">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A59B52F">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79846296">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1A9B6392">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5758AD5">
      <w:pPr>
        <w:pStyle w:val="42"/>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Cs/>
          <w:snapToGrid w:val="0"/>
          <w:color w:val="000000" w:themeColor="text1"/>
          <w:sz w:val="48"/>
          <w:szCs w:val="48"/>
          <w:highlight w:val="none"/>
          <w:u w:val="single"/>
          <w14:textFill>
            <w14:solidFill>
              <w14:schemeClr w14:val="tx1"/>
            </w14:solidFill>
          </w14:textFill>
        </w:rPr>
        <w:t xml:space="preserve">             </w:t>
      </w:r>
      <w:r>
        <w:rPr>
          <w:rFonts w:hint="eastAsia" w:ascii="Times New Roman"/>
          <w:b/>
          <w:snapToGrid w:val="0"/>
          <w:color w:val="000000" w:themeColor="text1"/>
          <w:sz w:val="48"/>
          <w:szCs w:val="48"/>
          <w:highlight w:val="none"/>
          <w14:textFill>
            <w14:solidFill>
              <w14:schemeClr w14:val="tx1"/>
            </w14:solidFill>
          </w14:textFill>
        </w:rPr>
        <w:t>（项目名称）招标</w:t>
      </w:r>
    </w:p>
    <w:p w14:paraId="0EF7CCD7">
      <w:pPr>
        <w:pStyle w:val="42"/>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2B99ED15">
      <w:pPr>
        <w:pStyle w:val="42"/>
        <w:widowControl w:val="0"/>
        <w:wordWrap w:val="0"/>
        <w:adjustRightInd w:val="0"/>
        <w:snapToGrid w:val="0"/>
        <w:spacing w:line="240" w:lineRule="auto"/>
        <w:ind w:firstLine="0"/>
        <w:jc w:val="center"/>
        <w:rPr>
          <w:rFonts w:ascii="Times New Roman"/>
          <w:b/>
          <w:snapToGrid w:val="0"/>
          <w:color w:val="000000" w:themeColor="text1"/>
          <w:sz w:val="72"/>
          <w:highlight w:val="none"/>
          <w14:textFill>
            <w14:solidFill>
              <w14:schemeClr w14:val="tx1"/>
            </w14:solidFill>
          </w14:textFill>
        </w:rPr>
      </w:pPr>
      <w:r>
        <w:rPr>
          <w:rFonts w:hint="eastAsia" w:ascii="Times New Roman"/>
          <w:b/>
          <w:snapToGrid w:val="0"/>
          <w:color w:val="000000" w:themeColor="text1"/>
          <w:sz w:val="72"/>
          <w:highlight w:val="none"/>
          <w14:textFill>
            <w14:solidFill>
              <w14:schemeClr w14:val="tx1"/>
            </w14:solidFill>
          </w14:textFill>
        </w:rPr>
        <w:t>投  标  文  件</w:t>
      </w:r>
    </w:p>
    <w:p w14:paraId="6A98CB5C">
      <w:pPr>
        <w:pStyle w:val="42"/>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7C4DECDE">
      <w:pPr>
        <w:pStyle w:val="42"/>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
          <w:snapToGrid w:val="0"/>
          <w:color w:val="000000" w:themeColor="text1"/>
          <w:sz w:val="48"/>
          <w:szCs w:val="48"/>
          <w:highlight w:val="none"/>
          <w14:textFill>
            <w14:solidFill>
              <w14:schemeClr w14:val="tx1"/>
            </w14:solidFill>
          </w14:textFill>
        </w:rPr>
        <w:t>（商务标书／监理大纲）</w:t>
      </w:r>
    </w:p>
    <w:p w14:paraId="67B14DCA">
      <w:pPr>
        <w:pStyle w:val="42"/>
        <w:widowControl w:val="0"/>
        <w:wordWrap w:val="0"/>
        <w:adjustRightInd w:val="0"/>
        <w:snapToGrid w:val="0"/>
        <w:spacing w:line="240" w:lineRule="auto"/>
        <w:rPr>
          <w:rFonts w:ascii="Times New Roman"/>
          <w:b/>
          <w:snapToGrid w:val="0"/>
          <w:color w:val="000000" w:themeColor="text1"/>
          <w:highlight w:val="none"/>
          <w14:textFill>
            <w14:solidFill>
              <w14:schemeClr w14:val="tx1"/>
            </w14:solidFill>
          </w14:textFill>
        </w:rPr>
      </w:pPr>
    </w:p>
    <w:p w14:paraId="5195C3A0">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CBC8D83">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5BFAFACB">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A5C7968">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6ABC5DEA">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21D461F2">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348C7ABE">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75B0FF2C">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EAE96EB">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投标人：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（盖单位章）</w:t>
      </w:r>
    </w:p>
    <w:p w14:paraId="658E095D">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E772B18">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1003FEB6">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81BE007">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法定代表人或其委托代理人：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（签字或盖章）</w:t>
      </w:r>
    </w:p>
    <w:p w14:paraId="78F9DCCF">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17A147D1">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u w:val="single"/>
          <w14:textFill>
            <w14:solidFill>
              <w14:schemeClr w14:val="tx1"/>
            </w14:solidFill>
          </w14:textFill>
        </w:rPr>
      </w:pPr>
    </w:p>
    <w:p w14:paraId="7C3B8344">
      <w:pPr>
        <w:pStyle w:val="42"/>
        <w:widowControl w:val="0"/>
        <w:wordWrap w:val="0"/>
        <w:adjustRightInd w:val="0"/>
        <w:snapToGrid w:val="0"/>
        <w:spacing w:line="240" w:lineRule="auto"/>
        <w:ind w:firstLine="0"/>
        <w:jc w:val="center"/>
        <w:rPr>
          <w:rFonts w:ascii="Times New Roman"/>
          <w:b/>
          <w:snapToGrid w:val="0"/>
          <w:color w:val="000000" w:themeColor="text1"/>
          <w:highlight w:val="none"/>
          <w14:textFill>
            <w14:solidFill>
              <w14:schemeClr w14:val="tx1"/>
            </w14:solidFill>
          </w14:textFill>
        </w:rPr>
      </w:pP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年</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月</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日</w:t>
      </w:r>
    </w:p>
    <w:p w14:paraId="5BE975C4">
      <w:pPr>
        <w:pStyle w:val="42"/>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18A47DB9">
      <w:pPr>
        <w:pStyle w:val="42"/>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594F2DF6">
      <w:pPr>
        <w:pStyle w:val="42"/>
        <w:widowControl w:val="0"/>
        <w:wordWrap w:val="0"/>
        <w:adjustRightInd w:val="0"/>
        <w:snapToGrid w:val="0"/>
        <w:rPr>
          <w:rFonts w:ascii="Times New Roman"/>
          <w:b/>
          <w:snapToGrid w:val="0"/>
          <w:color w:val="000000" w:themeColor="text1"/>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6B051959">
      <w:pPr>
        <w:pStyle w:val="4"/>
        <w:wordWrap w:val="0"/>
        <w:autoSpaceDE/>
        <w:autoSpaceDN/>
        <w:snapToGrid w:val="0"/>
        <w:spacing w:line="440" w:lineRule="exact"/>
        <w:rPr>
          <w:rFonts w:ascii="Times New Roman"/>
          <w:b/>
          <w:snapToGrid w:val="0"/>
          <w:color w:val="000000" w:themeColor="text1"/>
          <w:highlight w:val="none"/>
          <w14:textFill>
            <w14:solidFill>
              <w14:schemeClr w14:val="tx1"/>
            </w14:solidFill>
          </w14:textFill>
        </w:rPr>
      </w:pPr>
      <w:bookmarkStart w:id="246" w:name="_Toc7039"/>
      <w:bookmarkStart w:id="247" w:name="_Toc21838"/>
      <w:bookmarkStart w:id="248" w:name="_Toc104711098"/>
      <w:bookmarkStart w:id="249" w:name="_Toc106418843"/>
      <w:r>
        <w:rPr>
          <w:rFonts w:hint="eastAsia" w:ascii="Times New Roman"/>
          <w:b/>
          <w:snapToGrid w:val="0"/>
          <w:color w:val="000000" w:themeColor="text1"/>
          <w:highlight w:val="none"/>
          <w14:textFill>
            <w14:solidFill>
              <w14:schemeClr w14:val="tx1"/>
            </w14:solidFill>
          </w14:textFill>
        </w:rPr>
        <w:t>格式</w:t>
      </w:r>
      <w:bookmarkStart w:id="250" w:name="_Hlt97526007"/>
      <w:bookmarkEnd w:id="250"/>
      <w:r>
        <w:rPr>
          <w:rFonts w:hint="eastAsia" w:ascii="Times New Roman"/>
          <w:b/>
          <w:snapToGrid w:val="0"/>
          <w:color w:val="000000" w:themeColor="text1"/>
          <w:highlight w:val="none"/>
          <w14:textFill>
            <w14:solidFill>
              <w14:schemeClr w14:val="tx1"/>
            </w14:solidFill>
          </w14:textFill>
        </w:rPr>
        <w:t>二 投标函</w:t>
      </w:r>
      <w:bookmarkEnd w:id="246"/>
      <w:bookmarkEnd w:id="247"/>
    </w:p>
    <w:p w14:paraId="095EE186">
      <w:pPr>
        <w:wordWrap w:val="0"/>
        <w:adjustRightInd w:val="0"/>
        <w:snapToGrid w:val="0"/>
        <w:spacing w:before="260" w:after="260" w:line="440" w:lineRule="exact"/>
        <w:jc w:val="center"/>
        <w:rPr>
          <w:rFonts w:ascii="Times New Roman"/>
          <w:b/>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投</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标</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函</w:t>
      </w:r>
      <w:bookmarkEnd w:id="248"/>
      <w:bookmarkEnd w:id="249"/>
    </w:p>
    <w:p w14:paraId="2501E74E">
      <w:pPr>
        <w:wordWrap w:val="0"/>
        <w:adjustRightInd w:val="0"/>
        <w:snapToGrid w:val="0"/>
        <w:spacing w:line="440" w:lineRule="exact"/>
        <w:jc w:val="center"/>
        <w:rPr>
          <w:rFonts w:ascii="Times New Roman"/>
          <w:b/>
          <w:snapToGrid w:val="0"/>
          <w:color w:val="000000" w:themeColor="text1"/>
          <w:kern w:val="0"/>
          <w:highlight w:val="none"/>
          <w14:textFill>
            <w14:solidFill>
              <w14:schemeClr w14:val="tx1"/>
            </w14:solidFill>
          </w14:textFill>
        </w:rPr>
      </w:pPr>
    </w:p>
    <w:p w14:paraId="3990A923">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（招标人名称）</w:t>
      </w:r>
    </w:p>
    <w:p w14:paraId="6A613DE5">
      <w:pPr>
        <w:wordWrap w:val="0"/>
        <w:adjustRightInd w:val="0"/>
        <w:snapToGrid w:val="0"/>
        <w:spacing w:line="440" w:lineRule="exact"/>
        <w:ind w:firstLine="57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 我方在仔细研究</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（项目名称）</w:t>
      </w:r>
      <w:r>
        <w:rPr>
          <w:rFonts w:hint="eastAsia" w:ascii="宋体" w:hAnsi="宋体" w:eastAsia="宋体" w:cs="宋体"/>
          <w:snapToGrid w:val="0"/>
          <w:color w:val="000000" w:themeColor="text1"/>
          <w:kern w:val="0"/>
          <w:highlight w:val="none"/>
          <w14:textFill>
            <w14:solidFill>
              <w14:schemeClr w14:val="tx1"/>
            </w14:solidFill>
          </w14:textFill>
        </w:rPr>
        <w:t>（以下简称“本项目”）招标文件的全部内容后，结合自身资质、能力和特点，愿意接受招标文件的全部内容和条件。兹以人民币</w:t>
      </w:r>
      <w:r>
        <w:rPr>
          <w:rFonts w:hint="eastAsia" w:ascii="宋体" w:hAnsi="宋体" w:eastAsia="宋体" w:cs="宋体"/>
          <w:snapToGrid w:val="0"/>
          <w:color w:val="000000" w:themeColor="text1"/>
          <w:kern w:val="0"/>
          <w:highlight w:val="none"/>
          <w:u w:val="single"/>
          <w14:textFill>
            <w14:solidFill>
              <w14:schemeClr w14:val="tx1"/>
            </w14:solidFill>
          </w14:textFill>
        </w:rPr>
        <w:t>（大写）：           （小写）：（¥         ）</w:t>
      </w:r>
      <w:r>
        <w:rPr>
          <w:rFonts w:hint="eastAsia" w:ascii="宋体" w:hAnsi="宋体" w:eastAsia="宋体" w:cs="宋体"/>
          <w:snapToGrid w:val="0"/>
          <w:color w:val="000000" w:themeColor="text1"/>
          <w:kern w:val="0"/>
          <w:highlight w:val="none"/>
          <w14:textFill>
            <w14:solidFill>
              <w14:schemeClr w14:val="tx1"/>
            </w14:solidFill>
          </w14:textFill>
        </w:rPr>
        <w:t>的投标总价（其中，增值税税率为</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）竞投本项目监理及相关服务，投标取费费率为</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w:t>
      </w:r>
    </w:p>
    <w:p w14:paraId="275FB275">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highlight w:val="none"/>
          <w:u w:val="single"/>
          <w14:textFill>
            <w14:solidFill>
              <w14:schemeClr w14:val="tx1"/>
            </w14:solidFill>
          </w14:textFill>
        </w:rPr>
        <w:t xml:space="preserve"> 监理及相关服务 </w:t>
      </w:r>
      <w:r>
        <w:rPr>
          <w:rFonts w:hint="eastAsia" w:hAnsi="宋体" w:cs="宋体"/>
          <w:snapToGrid w:val="0"/>
          <w:color w:val="000000" w:themeColor="text1"/>
          <w:kern w:val="0"/>
          <w:highlight w:val="none"/>
          <w14:textFill>
            <w14:solidFill>
              <w14:schemeClr w14:val="tx1"/>
            </w14:solidFill>
          </w14:textFill>
        </w:rPr>
        <w:t>，并在合同约定的服务期限内完成合同规定的全部义务。</w:t>
      </w:r>
    </w:p>
    <w:p w14:paraId="6DCAE66A">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 本投标函在你方接收我方递交的投标文件之日起、到招标文件规定的投标有效期期满前</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投标有效期为90个日历天</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对我方具有约束力。我方随时准备接受你方发出的中标通知书。</w:t>
      </w:r>
    </w:p>
    <w:p w14:paraId="4714EE21">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条“禁止投标条款”所列出的任何一种情形，并愿意承担因我方就此弄虚作假所引起的一切法律后果。</w:t>
      </w:r>
    </w:p>
    <w:p w14:paraId="4901EC8D">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6DC233F5">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bookmarkStart w:id="251" w:name="_Hlt68771070"/>
      <w:bookmarkEnd w:id="251"/>
      <w:r>
        <w:rPr>
          <w:rFonts w:hint="eastAsia" w:hAnsi="宋体" w:cs="宋体"/>
          <w:snapToGrid w:val="0"/>
          <w:color w:val="000000" w:themeColor="text1"/>
          <w:kern w:val="0"/>
          <w:highlight w:val="none"/>
          <w14:textFill>
            <w14:solidFill>
              <w14:schemeClr w14:val="tx1"/>
            </w14:solidFill>
          </w14:textFill>
        </w:rPr>
        <w:t>6. 我方理解你方不一定要接纳收到的最低投标总价或任何投标总价的投标人中标，也不要求你方解释我方是否中标的原因。</w:t>
      </w:r>
    </w:p>
    <w:p w14:paraId="5459E001">
      <w:pPr>
        <w:wordWrap w:val="0"/>
        <w:adjustRightInd w:val="0"/>
        <w:snapToGrid w:val="0"/>
        <w:spacing w:line="440" w:lineRule="exact"/>
        <w:ind w:firstLine="570"/>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w:t>
      </w:r>
    </w:p>
    <w:p w14:paraId="1E6878B7">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p>
    <w:p w14:paraId="53D01A7D">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投标人：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（盖单位章）</w:t>
      </w:r>
    </w:p>
    <w:p w14:paraId="15913B40">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p>
    <w:p w14:paraId="09B0D1EA">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法定代表人或其委托代理人：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（签字或盖章）</w:t>
      </w:r>
    </w:p>
    <w:p w14:paraId="6883A031">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p>
    <w:p w14:paraId="6176D2D1">
      <w:pPr>
        <w:wordWrap w:val="0"/>
        <w:adjustRightInd w:val="0"/>
        <w:snapToGrid w:val="0"/>
        <w:spacing w:line="440" w:lineRule="exact"/>
        <w:jc w:val="left"/>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r>
        <w:rPr>
          <w:rFonts w:hint="eastAsia" w:ascii="Times New Roman"/>
          <w:snapToGrid w:val="0"/>
          <w:color w:val="000000" w:themeColor="text1"/>
          <w:kern w:val="0"/>
          <w:highlight w:val="non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月</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日</w:t>
      </w:r>
    </w:p>
    <w:p w14:paraId="2A8BAF35">
      <w:pPr>
        <w:pStyle w:val="42"/>
        <w:widowControl w:val="0"/>
        <w:wordWrap w:val="0"/>
        <w:adjustRightInd w:val="0"/>
        <w:snapToGrid w:val="0"/>
        <w:spacing w:line="400" w:lineRule="exact"/>
        <w:ind w:firstLine="0"/>
        <w:outlineLvl w:val="1"/>
        <w:rPr>
          <w:rFonts w:hAnsi="宋体" w:cs="宋体"/>
          <w:b/>
          <w:snapToGrid w:val="0"/>
          <w:color w:val="000000" w:themeColor="text1"/>
          <w:sz w:val="24"/>
          <w:highlight w:val="none"/>
          <w14:textFill>
            <w14:solidFill>
              <w14:schemeClr w14:val="tx1"/>
            </w14:solidFill>
          </w14:textFill>
        </w:rPr>
      </w:pPr>
      <w:bookmarkStart w:id="252" w:name="_Toc4943"/>
      <w:r>
        <w:rPr>
          <w:rFonts w:hint="eastAsia" w:hAnsi="宋体" w:cs="宋体"/>
          <w:b/>
          <w:snapToGrid w:val="0"/>
          <w:color w:val="000000" w:themeColor="text1"/>
          <w:sz w:val="24"/>
          <w:highlight w:val="none"/>
          <w14:textFill>
            <w14:solidFill>
              <w14:schemeClr w14:val="tx1"/>
            </w14:solidFill>
          </w14:textFill>
        </w:rPr>
        <w:t>格式三 各项承诺一览表</w:t>
      </w:r>
      <w:bookmarkEnd w:id="252"/>
    </w:p>
    <w:p w14:paraId="5FAD32A3">
      <w:pPr>
        <w:pStyle w:val="41"/>
        <w:keepNext w:val="0"/>
        <w:keepLines w:val="0"/>
        <w:widowControl w:val="0"/>
        <w:wordWrap w:val="0"/>
        <w:adjustRightInd w:val="0"/>
        <w:snapToGrid w:val="0"/>
        <w:spacing w:before="260" w:after="260" w:line="440" w:lineRule="exact"/>
        <w:ind w:firstLine="0"/>
        <w:outlineLvl w:val="9"/>
        <w:rPr>
          <w:rFonts w:hAnsi="宋体" w:cs="宋体"/>
          <w:b/>
          <w:snapToGrid w:val="0"/>
          <w:color w:val="000000" w:themeColor="text1"/>
          <w:highlight w:val="none"/>
          <w14:textFill>
            <w14:solidFill>
              <w14:schemeClr w14:val="tx1"/>
            </w14:solidFill>
          </w14:textFill>
        </w:rPr>
      </w:pPr>
      <w:bookmarkStart w:id="253" w:name="_Toc24548"/>
      <w:bookmarkStart w:id="254" w:name="_Toc7685"/>
      <w:bookmarkStart w:id="255" w:name="_Toc18253"/>
      <w:bookmarkStart w:id="256" w:name="_Toc27092"/>
      <w:bookmarkStart w:id="257" w:name="_Toc11270"/>
      <w:r>
        <w:rPr>
          <w:rFonts w:hint="eastAsia" w:hAnsi="宋体" w:cs="宋体"/>
          <w:b/>
          <w:snapToGrid w:val="0"/>
          <w:color w:val="000000" w:themeColor="text1"/>
          <w:sz w:val="30"/>
          <w:highlight w:val="none"/>
          <w14:textFill>
            <w14:solidFill>
              <w14:schemeClr w14:val="tx1"/>
            </w14:solidFill>
          </w14:textFill>
        </w:rPr>
        <w:t>各项承诺一览表</w:t>
      </w:r>
      <w:bookmarkEnd w:id="253"/>
      <w:bookmarkEnd w:id="254"/>
      <w:bookmarkEnd w:id="255"/>
      <w:bookmarkEnd w:id="256"/>
      <w:bookmarkEnd w:id="257"/>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0903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tcBorders>
              <w:tl2br w:val="nil"/>
              <w:tr2bl w:val="nil"/>
            </w:tcBorders>
            <w:vAlign w:val="center"/>
          </w:tcPr>
          <w:p w14:paraId="21F10425">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序号</w:t>
            </w:r>
          </w:p>
        </w:tc>
        <w:tc>
          <w:tcPr>
            <w:tcW w:w="1573" w:type="dxa"/>
            <w:tcBorders>
              <w:tl2br w:val="nil"/>
              <w:tr2bl w:val="nil"/>
            </w:tcBorders>
            <w:vAlign w:val="center"/>
          </w:tcPr>
          <w:p w14:paraId="19D479EC">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承诺事项</w:t>
            </w:r>
          </w:p>
        </w:tc>
        <w:tc>
          <w:tcPr>
            <w:tcW w:w="2923" w:type="dxa"/>
            <w:tcBorders>
              <w:tl2br w:val="nil"/>
              <w:tr2bl w:val="nil"/>
            </w:tcBorders>
            <w:vAlign w:val="center"/>
          </w:tcPr>
          <w:p w14:paraId="75EA954C">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承诺内容</w:t>
            </w:r>
          </w:p>
        </w:tc>
        <w:tc>
          <w:tcPr>
            <w:tcW w:w="4019" w:type="dxa"/>
            <w:tcBorders>
              <w:tl2br w:val="nil"/>
              <w:tr2bl w:val="nil"/>
            </w:tcBorders>
            <w:vAlign w:val="center"/>
          </w:tcPr>
          <w:p w14:paraId="6486B2A9">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违约承诺</w:t>
            </w:r>
          </w:p>
        </w:tc>
      </w:tr>
      <w:tr w14:paraId="1AF0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65C57B77">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573" w:type="dxa"/>
            <w:tcBorders>
              <w:tl2br w:val="nil"/>
              <w:tr2bl w:val="nil"/>
            </w:tcBorders>
            <w:vAlign w:val="center"/>
          </w:tcPr>
          <w:p w14:paraId="65A12B7E">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自愿接受招标</w:t>
            </w:r>
          </w:p>
          <w:p w14:paraId="4DE84090">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文件条款的承诺</w:t>
            </w:r>
          </w:p>
        </w:tc>
        <w:tc>
          <w:tcPr>
            <w:tcW w:w="2923" w:type="dxa"/>
            <w:tcBorders>
              <w:tl2br w:val="nil"/>
              <w:tr2bl w:val="nil"/>
            </w:tcBorders>
            <w:vAlign w:val="center"/>
          </w:tcPr>
          <w:p w14:paraId="444F5474">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我方自愿接受招标文件的所有条款，所递交的投标文件已经充分响应招标文件的实质性要求。</w:t>
            </w:r>
          </w:p>
        </w:tc>
        <w:tc>
          <w:tcPr>
            <w:tcW w:w="4019" w:type="dxa"/>
            <w:tcBorders>
              <w:tl2br w:val="nil"/>
              <w:tr2bl w:val="nil"/>
            </w:tcBorders>
            <w:vAlign w:val="center"/>
          </w:tcPr>
          <w:p w14:paraId="5A398911">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59B1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6181CDA1">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573" w:type="dxa"/>
            <w:tcBorders>
              <w:tl2br w:val="nil"/>
              <w:tr2bl w:val="nil"/>
            </w:tcBorders>
            <w:vAlign w:val="center"/>
          </w:tcPr>
          <w:p w14:paraId="4EF9AC1E">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无禁止投标</w:t>
            </w:r>
          </w:p>
          <w:p w14:paraId="47E6477D">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情形的承诺</w:t>
            </w:r>
          </w:p>
        </w:tc>
        <w:tc>
          <w:tcPr>
            <w:tcW w:w="2923" w:type="dxa"/>
            <w:tcBorders>
              <w:tl2br w:val="nil"/>
              <w:tr2bl w:val="nil"/>
            </w:tcBorders>
            <w:vAlign w:val="center"/>
          </w:tcPr>
          <w:p w14:paraId="0E80DEB8">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019" w:type="dxa"/>
            <w:tcBorders>
              <w:tl2br w:val="nil"/>
              <w:tr2bl w:val="nil"/>
            </w:tcBorders>
            <w:vAlign w:val="center"/>
          </w:tcPr>
          <w:p w14:paraId="6B4F7649">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F1B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5F398BD0">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573" w:type="dxa"/>
            <w:tcBorders>
              <w:tl2br w:val="nil"/>
              <w:tr2bl w:val="nil"/>
            </w:tcBorders>
            <w:vAlign w:val="center"/>
          </w:tcPr>
          <w:p w14:paraId="780CE5DC">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自觉抵制围标</w:t>
            </w:r>
          </w:p>
          <w:p w14:paraId="70084B35">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串标和弄虚</w:t>
            </w:r>
          </w:p>
          <w:p w14:paraId="2C91696C">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作假行为的承诺</w:t>
            </w:r>
          </w:p>
        </w:tc>
        <w:tc>
          <w:tcPr>
            <w:tcW w:w="2923" w:type="dxa"/>
            <w:tcBorders>
              <w:tl2br w:val="nil"/>
              <w:tr2bl w:val="nil"/>
            </w:tcBorders>
            <w:vAlign w:val="center"/>
          </w:tcPr>
          <w:p w14:paraId="73DEB3DD">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019" w:type="dxa"/>
            <w:tcBorders>
              <w:tl2br w:val="nil"/>
              <w:tr2bl w:val="nil"/>
            </w:tcBorders>
            <w:vAlign w:val="center"/>
          </w:tcPr>
          <w:p w14:paraId="15F2F693">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F03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19045DB4">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4</w:t>
            </w:r>
          </w:p>
        </w:tc>
        <w:tc>
          <w:tcPr>
            <w:tcW w:w="1573" w:type="dxa"/>
            <w:tcBorders>
              <w:tl2br w:val="nil"/>
              <w:tr2bl w:val="nil"/>
            </w:tcBorders>
            <w:vAlign w:val="center"/>
          </w:tcPr>
          <w:p w14:paraId="2E1DBAF6">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总监理工程师</w:t>
            </w:r>
          </w:p>
          <w:p w14:paraId="6AFD72C4">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任职承诺</w:t>
            </w:r>
          </w:p>
        </w:tc>
        <w:tc>
          <w:tcPr>
            <w:tcW w:w="2923" w:type="dxa"/>
            <w:tcBorders>
              <w:tl2br w:val="nil"/>
              <w:tr2bl w:val="nil"/>
            </w:tcBorders>
            <w:vAlign w:val="center"/>
          </w:tcPr>
          <w:p w14:paraId="43C55129">
            <w:pPr>
              <w:pStyle w:val="44"/>
              <w:wordWrap w:val="0"/>
              <w:adjustRightInd w:val="0"/>
              <w:snapToGrid w:val="0"/>
              <w:spacing w:line="380" w:lineRule="exact"/>
              <w:ind w:firstLine="0" w:firstLineChars="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3E62F88B">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79F3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74C1CA78">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5</w:t>
            </w:r>
          </w:p>
        </w:tc>
        <w:tc>
          <w:tcPr>
            <w:tcW w:w="1573" w:type="dxa"/>
            <w:tcBorders>
              <w:tl2br w:val="nil"/>
              <w:tr2bl w:val="nil"/>
            </w:tcBorders>
            <w:vAlign w:val="center"/>
          </w:tcPr>
          <w:p w14:paraId="61AF3673">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3D8BCD10">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真实性承诺</w:t>
            </w:r>
          </w:p>
        </w:tc>
        <w:tc>
          <w:tcPr>
            <w:tcW w:w="2923" w:type="dxa"/>
            <w:tcBorders>
              <w:tl2br w:val="nil"/>
              <w:tr2bl w:val="nil"/>
            </w:tcBorders>
            <w:vAlign w:val="center"/>
          </w:tcPr>
          <w:p w14:paraId="07764B1A">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我方所递交投标文件的全部内容均为真实、有效、准确的。</w:t>
            </w:r>
          </w:p>
        </w:tc>
        <w:tc>
          <w:tcPr>
            <w:tcW w:w="4019" w:type="dxa"/>
            <w:tcBorders>
              <w:tl2br w:val="nil"/>
              <w:tr2bl w:val="nil"/>
            </w:tcBorders>
            <w:vAlign w:val="center"/>
          </w:tcPr>
          <w:p w14:paraId="506D22E9">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09B2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8D2ED22">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6</w:t>
            </w:r>
          </w:p>
        </w:tc>
        <w:tc>
          <w:tcPr>
            <w:tcW w:w="1573" w:type="dxa"/>
            <w:tcBorders>
              <w:tl2br w:val="nil"/>
              <w:tr2bl w:val="nil"/>
            </w:tcBorders>
            <w:vAlign w:val="center"/>
          </w:tcPr>
          <w:p w14:paraId="3B5F0C7D">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1DFAEA13">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信息公开承诺</w:t>
            </w:r>
          </w:p>
        </w:tc>
        <w:tc>
          <w:tcPr>
            <w:tcW w:w="2923" w:type="dxa"/>
            <w:tcBorders>
              <w:tl2br w:val="nil"/>
              <w:tr2bl w:val="nil"/>
            </w:tcBorders>
            <w:vAlign w:val="center"/>
          </w:tcPr>
          <w:p w14:paraId="78E16264">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6E1B4D98">
            <w:pPr>
              <w:pStyle w:val="44"/>
              <w:wordWrap w:val="0"/>
              <w:adjustRightInd w:val="0"/>
              <w:snapToGrid w:val="0"/>
              <w:spacing w:line="380" w:lineRule="exact"/>
              <w:ind w:firstLine="0" w:firstLineChars="0"/>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w:t>
            </w:r>
          </w:p>
        </w:tc>
      </w:tr>
      <w:tr w14:paraId="54D3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0C4CAD34">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7</w:t>
            </w:r>
          </w:p>
        </w:tc>
        <w:tc>
          <w:tcPr>
            <w:tcW w:w="1573" w:type="dxa"/>
            <w:tcBorders>
              <w:tl2br w:val="nil"/>
              <w:tr2bl w:val="nil"/>
            </w:tcBorders>
            <w:vAlign w:val="center"/>
          </w:tcPr>
          <w:p w14:paraId="38EBFB9B">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按时提交履约</w:t>
            </w:r>
          </w:p>
          <w:p w14:paraId="61F67101">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保证的承诺</w:t>
            </w:r>
          </w:p>
        </w:tc>
        <w:tc>
          <w:tcPr>
            <w:tcW w:w="2923" w:type="dxa"/>
            <w:tcBorders>
              <w:tl2br w:val="nil"/>
              <w:tr2bl w:val="nil"/>
            </w:tcBorders>
            <w:vAlign w:val="center"/>
          </w:tcPr>
          <w:p w14:paraId="41492173">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4019" w:type="dxa"/>
            <w:tcBorders>
              <w:tl2br w:val="nil"/>
              <w:tr2bl w:val="nil"/>
            </w:tcBorders>
            <w:vAlign w:val="center"/>
          </w:tcPr>
          <w:p w14:paraId="3766EC83">
            <w:pPr>
              <w:pStyle w:val="44"/>
              <w:wordWrap w:val="0"/>
              <w:adjustRightInd w:val="0"/>
              <w:snapToGrid w:val="0"/>
              <w:spacing w:line="380" w:lineRule="exact"/>
              <w:ind w:firstLine="0" w:firstLineChars="0"/>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059A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728DC981">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8</w:t>
            </w:r>
          </w:p>
        </w:tc>
        <w:tc>
          <w:tcPr>
            <w:tcW w:w="1573" w:type="dxa"/>
            <w:tcBorders>
              <w:tl2br w:val="nil"/>
              <w:tr2bl w:val="nil"/>
            </w:tcBorders>
            <w:vAlign w:val="center"/>
          </w:tcPr>
          <w:p w14:paraId="4A6B30EB">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按时签订合同</w:t>
            </w:r>
          </w:p>
          <w:p w14:paraId="2D2D0E37">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的承诺</w:t>
            </w:r>
          </w:p>
        </w:tc>
        <w:tc>
          <w:tcPr>
            <w:tcW w:w="2923" w:type="dxa"/>
            <w:tcBorders>
              <w:tl2br w:val="nil"/>
              <w:tr2bl w:val="nil"/>
            </w:tcBorders>
            <w:vAlign w:val="center"/>
          </w:tcPr>
          <w:p w14:paraId="23BF7E56">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127B8728">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4D625D3D">
      <w:pPr>
        <w:pStyle w:val="43"/>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6B8C7716">
      <w:pPr>
        <w:pStyle w:val="43"/>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0F1135B8">
      <w:pPr>
        <w:pStyle w:val="12"/>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（盖单位章）</w:t>
      </w:r>
    </w:p>
    <w:p w14:paraId="31BDBC82">
      <w:pPr>
        <w:pStyle w:val="12"/>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59DE8B79">
      <w:pPr>
        <w:pStyle w:val="12"/>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38C0BEB0">
      <w:pPr>
        <w:pStyle w:val="12"/>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法定代表人或其委托代理人：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（签字或盖章）</w:t>
      </w:r>
    </w:p>
    <w:p w14:paraId="351BEACB">
      <w:pPr>
        <w:pStyle w:val="12"/>
        <w:wordWrap w:val="0"/>
        <w:adjustRightInd w:val="0"/>
        <w:snapToGrid w:val="0"/>
        <w:spacing w:line="420" w:lineRule="exact"/>
        <w:ind w:firstLine="480" w:firstLineChars="200"/>
        <w:rPr>
          <w:rFonts w:hAnsi="宋体" w:cs="宋体"/>
          <w:snapToGrid w:val="0"/>
          <w:color w:val="000000" w:themeColor="text1"/>
          <w:kern w:val="0"/>
          <w:szCs w:val="24"/>
          <w:highlight w:val="none"/>
          <w14:textFill>
            <w14:solidFill>
              <w14:schemeClr w14:val="tx1"/>
            </w14:solidFill>
          </w14:textFill>
        </w:rPr>
      </w:pPr>
    </w:p>
    <w:p w14:paraId="32A62607">
      <w:pPr>
        <w:pStyle w:val="12"/>
        <w:wordWrap w:val="0"/>
        <w:adjustRightInd w:val="0"/>
        <w:snapToGrid w:val="0"/>
        <w:spacing w:line="420" w:lineRule="exact"/>
        <w:ind w:firstLine="480" w:firstLineChars="200"/>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年</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月</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日</w:t>
      </w:r>
    </w:p>
    <w:p w14:paraId="6B2A986A">
      <w:pPr>
        <w:wordWrap w:val="0"/>
        <w:adjustRightInd w:val="0"/>
        <w:snapToGrid w:val="0"/>
        <w:spacing w:line="420" w:lineRule="exact"/>
        <w:jc w:val="left"/>
        <w:rPr>
          <w:rFonts w:hAnsi="宋体" w:cs="宋体"/>
          <w:b/>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4E786EAC">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258" w:name="_Toc18742"/>
      <w:r>
        <w:rPr>
          <w:rFonts w:hint="eastAsia" w:hAnsi="宋体" w:cs="宋体"/>
          <w:b/>
          <w:bCs/>
          <w:snapToGrid w:val="0"/>
          <w:color w:val="000000" w:themeColor="text1"/>
          <w:kern w:val="0"/>
          <w:szCs w:val="24"/>
          <w:highlight w:val="none"/>
          <w14:textFill>
            <w14:solidFill>
              <w14:schemeClr w14:val="tx1"/>
            </w14:solidFill>
          </w14:textFill>
        </w:rPr>
        <w:t>格式四 授权委托书</w:t>
      </w:r>
      <w:bookmarkEnd w:id="258"/>
    </w:p>
    <w:p w14:paraId="008E90EE">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620CFF77">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授权委托书</w:t>
      </w:r>
    </w:p>
    <w:p w14:paraId="3E883048">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p>
    <w:p w14:paraId="1734B17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本人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（投标人名称）的法定代表人，现委托</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（项目名称）投标文件、签订合同和处理有关事宜，其法律后果由我方承担。</w:t>
      </w:r>
    </w:p>
    <w:p w14:paraId="4425DE59">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委托期限：至</w:t>
      </w:r>
      <w:r>
        <w:rPr>
          <w:rFonts w:hint="eastAsia" w:hAnsi="宋体" w:cs="宋体"/>
          <w:snapToGrid w:val="0"/>
          <w:color w:val="000000" w:themeColor="text1"/>
          <w:kern w:val="0"/>
          <w:szCs w:val="21"/>
          <w:highlight w:val="none"/>
          <w:u w:val="single"/>
          <w14:textFill>
            <w14:solidFill>
              <w14:schemeClr w14:val="tx1"/>
            </w14:solidFill>
          </w14:textFill>
        </w:rPr>
        <w:t xml:space="preserve">     年   月   日</w:t>
      </w:r>
      <w:r>
        <w:rPr>
          <w:rFonts w:hint="eastAsia" w:hAnsi="宋体" w:cs="宋体"/>
          <w:i/>
          <w:iCs/>
          <w:snapToGrid w:val="0"/>
          <w:color w:val="000000" w:themeColor="text1"/>
          <w:kern w:val="0"/>
          <w:szCs w:val="21"/>
          <w:highlight w:val="none"/>
          <w:u w:val="single"/>
          <w14:textFill>
            <w14:solidFill>
              <w14:schemeClr w14:val="tx1"/>
            </w14:solidFill>
          </w14:textFill>
        </w:rPr>
        <w:t>（不得短于招标文件规定的投标有效期）</w:t>
      </w:r>
      <w:r>
        <w:rPr>
          <w:rFonts w:hint="eastAsia" w:hAnsi="宋体" w:cs="宋体"/>
          <w:snapToGrid w:val="0"/>
          <w:color w:val="000000" w:themeColor="text1"/>
          <w:kern w:val="0"/>
          <w:szCs w:val="21"/>
          <w:highlight w:val="none"/>
          <w14:textFill>
            <w14:solidFill>
              <w14:schemeClr w14:val="tx1"/>
            </w14:solidFill>
          </w14:textFill>
        </w:rPr>
        <w:t xml:space="preserve"> 。</w:t>
      </w:r>
    </w:p>
    <w:p w14:paraId="670D5EE2">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代理人无转委托权。</w:t>
      </w:r>
    </w:p>
    <w:p w14:paraId="0FFC74F8">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1D500EE9">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4851B001">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投  标  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4995C2FE">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0576D9B0">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21EF0AEA">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5E035BA8">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17667A9C">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委托代理人：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57271708">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76C79EAF">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日</w:t>
      </w:r>
    </w:p>
    <w:p w14:paraId="33B5744D">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6B20D076">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5FDEB32F">
      <w:pPr>
        <w:wordWrap w:val="0"/>
        <w:adjustRightInd w:val="0"/>
        <w:snapToGrid w:val="0"/>
        <w:ind w:firstLine="6440" w:firstLineChars="23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8"/>
          <w:szCs w:val="28"/>
          <w:highlight w:val="none"/>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2393FE">
                            <w:pPr>
                              <w:jc w:val="center"/>
                              <w:rPr>
                                <w:szCs w:val="21"/>
                              </w:rPr>
                            </w:pPr>
                          </w:p>
                          <w:p w14:paraId="44C46C9D">
                            <w:pPr>
                              <w:jc w:val="center"/>
                              <w:rPr>
                                <w:szCs w:val="21"/>
                              </w:rPr>
                            </w:pPr>
                          </w:p>
                          <w:p w14:paraId="46DDBF71">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792393FE">
                      <w:pPr>
                        <w:jc w:val="center"/>
                        <w:rPr>
                          <w:szCs w:val="21"/>
                        </w:rPr>
                      </w:pPr>
                    </w:p>
                    <w:p w14:paraId="44C46C9D">
                      <w:pPr>
                        <w:jc w:val="center"/>
                        <w:rPr>
                          <w:szCs w:val="21"/>
                        </w:rPr>
                      </w:pPr>
                    </w:p>
                    <w:p w14:paraId="46DDBF71">
                      <w:pPr>
                        <w:jc w:val="center"/>
                        <w:rPr>
                          <w:szCs w:val="21"/>
                        </w:rPr>
                      </w:pPr>
                      <w:r>
                        <w:rPr>
                          <w:rFonts w:hint="eastAsia"/>
                          <w:szCs w:val="21"/>
                        </w:rPr>
                        <w:t>委托代理人身份证彩色扫描件正、反面</w:t>
                      </w:r>
                    </w:p>
                  </w:txbxContent>
                </v:textbox>
              </v:shape>
            </w:pict>
          </mc:Fallback>
        </mc:AlternateContent>
      </w:r>
    </w:p>
    <w:p w14:paraId="5FDAF404">
      <w:pPr>
        <w:pStyle w:val="9"/>
        <w:wordWrap w:val="0"/>
        <w:adjustRightInd w:val="0"/>
        <w:snapToGrid w:val="0"/>
        <w:rPr>
          <w:rFonts w:hAnsi="宋体" w:cs="宋体"/>
          <w:snapToGrid w:val="0"/>
          <w:color w:val="000000" w:themeColor="text1"/>
          <w:kern w:val="0"/>
          <w:szCs w:val="24"/>
          <w:highlight w:val="none"/>
          <w14:textFill>
            <w14:solidFill>
              <w14:schemeClr w14:val="tx1"/>
            </w14:solidFill>
          </w14:textFill>
        </w:rPr>
      </w:pPr>
    </w:p>
    <w:p w14:paraId="400D49D2">
      <w:pPr>
        <w:bidi w:val="0"/>
        <w:rPr>
          <w:color w:val="000000" w:themeColor="text1"/>
          <w:highlight w:val="none"/>
          <w14:textFill>
            <w14:solidFill>
              <w14:schemeClr w14:val="tx1"/>
            </w14:solidFill>
          </w14:textFill>
        </w:rPr>
      </w:pPr>
    </w:p>
    <w:p w14:paraId="43B24474">
      <w:pPr>
        <w:wordWrap w:val="0"/>
        <w:adjustRightInd w:val="0"/>
        <w:snapToGrid w:val="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6703F1EA">
      <w:pPr>
        <w:wordWrap w:val="0"/>
        <w:adjustRightInd w:val="0"/>
        <w:snapToGrid w:val="0"/>
        <w:spacing w:line="440" w:lineRule="exact"/>
        <w:outlineLvl w:val="1"/>
        <w:rPr>
          <w:rFonts w:hAnsi="宋体" w:cs="宋体"/>
          <w:b/>
          <w:snapToGrid w:val="0"/>
          <w:color w:val="000000" w:themeColor="text1"/>
          <w:kern w:val="0"/>
          <w:highlight w:val="none"/>
          <w14:textFill>
            <w14:solidFill>
              <w14:schemeClr w14:val="tx1"/>
            </w14:solidFill>
          </w14:textFill>
        </w:rPr>
      </w:pPr>
      <w:bookmarkStart w:id="259" w:name="_Toc25514"/>
      <w:r>
        <w:rPr>
          <w:rFonts w:hint="eastAsia" w:hAnsi="宋体" w:cs="宋体"/>
          <w:b/>
          <w:snapToGrid w:val="0"/>
          <w:color w:val="000000" w:themeColor="text1"/>
          <w:kern w:val="0"/>
          <w:highlight w:val="none"/>
          <w14:textFill>
            <w14:solidFill>
              <w14:schemeClr w14:val="tx1"/>
            </w14:solidFill>
          </w14:textFill>
        </w:rPr>
        <w:t>格式五 法定代表人身份证明</w:t>
      </w:r>
      <w:bookmarkEnd w:id="259"/>
    </w:p>
    <w:p w14:paraId="472750B2">
      <w:pPr>
        <w:wordWrap w:val="0"/>
        <w:adjustRightInd w:val="0"/>
        <w:snapToGrid w:val="0"/>
        <w:spacing w:line="440" w:lineRule="exact"/>
        <w:rPr>
          <w:rFonts w:hAnsi="宋体" w:cs="宋体"/>
          <w:b/>
          <w:snapToGrid w:val="0"/>
          <w:color w:val="000000" w:themeColor="text1"/>
          <w:kern w:val="0"/>
          <w:highlight w:val="none"/>
          <w14:textFill>
            <w14:solidFill>
              <w14:schemeClr w14:val="tx1"/>
            </w14:solidFill>
          </w14:textFill>
        </w:rPr>
      </w:pPr>
    </w:p>
    <w:p w14:paraId="79BA55A0">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法定代表人身份证明</w:t>
      </w:r>
    </w:p>
    <w:p w14:paraId="1112E04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2D859CDA">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投标人名称：</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07E80E95">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姓名：</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性别：</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年龄：</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职务：</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24C35943">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w:t>
      </w:r>
    </w:p>
    <w:p w14:paraId="184DA3FF">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特此证明。</w:t>
      </w:r>
    </w:p>
    <w:p w14:paraId="5C80B868">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3E7228C4">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3C43FED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5057C00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0F832FC8">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55B5AA11">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6BC33973">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3B3F64D7">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 xml:space="preserve">日       </w:t>
      </w:r>
    </w:p>
    <w:p w14:paraId="186F5DDF">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0C46432A">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43BDF4B7">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544432B0">
      <w:pPr>
        <w:wordWrap w:val="0"/>
        <w:adjustRightInd w:val="0"/>
        <w:snapToGrid w:val="0"/>
        <w:spacing w:line="440" w:lineRule="exact"/>
        <w:ind w:firstLine="720" w:firstLineChars="300"/>
        <w:rPr>
          <w:rFonts w:hAnsi="宋体" w:cs="宋体"/>
          <w:b/>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i/>
          <w:iCs/>
          <w:snapToGrid w:val="0"/>
          <w:color w:val="000000" w:themeColor="text1"/>
          <w:kern w:val="0"/>
          <w:szCs w:val="21"/>
          <w:highlight w:val="none"/>
          <w14:textFill>
            <w14:solidFill>
              <w14:schemeClr w14:val="tx1"/>
            </w14:solidFill>
          </w14:textFill>
        </w:rPr>
        <w:t xml:space="preserve"> </w:t>
      </w:r>
    </w:p>
    <w:p w14:paraId="5A6E8904">
      <w:pPr>
        <w:wordWrap w:val="0"/>
        <w:adjustRightInd w:val="0"/>
        <w:snapToGrid w:val="0"/>
        <w:rPr>
          <w:rFonts w:hAnsi="宋体" w:cs="宋体"/>
          <w:b/>
          <w:snapToGrid w:val="0"/>
          <w:color w:val="000000" w:themeColor="text1"/>
          <w:kern w:val="0"/>
          <w:szCs w:val="21"/>
          <w:highlight w:val="none"/>
          <w14:textFill>
            <w14:solidFill>
              <w14:schemeClr w14:val="tx1"/>
            </w14:solidFill>
          </w14:textFill>
        </w:rPr>
      </w:pPr>
      <w:r>
        <w:rPr>
          <w:rFonts w:hint="eastAsia" w:hAnsi="宋体" w:cs="宋体"/>
          <w:b/>
          <w:snapToGrid w:val="0"/>
          <w:color w:val="000000" w:themeColor="text1"/>
          <w:kern w:val="0"/>
          <w:szCs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9EA02D7">
                            <w:pPr>
                              <w:jc w:val="center"/>
                              <w:rPr>
                                <w:szCs w:val="21"/>
                              </w:rPr>
                            </w:pPr>
                          </w:p>
                          <w:p w14:paraId="735FE9C1">
                            <w:pPr>
                              <w:jc w:val="center"/>
                              <w:rPr>
                                <w:szCs w:val="21"/>
                              </w:rPr>
                            </w:pPr>
                          </w:p>
                          <w:p w14:paraId="4F8DAE1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9EA02D7">
                      <w:pPr>
                        <w:jc w:val="center"/>
                        <w:rPr>
                          <w:szCs w:val="21"/>
                        </w:rPr>
                      </w:pPr>
                    </w:p>
                    <w:p w14:paraId="735FE9C1">
                      <w:pPr>
                        <w:jc w:val="center"/>
                        <w:rPr>
                          <w:szCs w:val="21"/>
                        </w:rPr>
                      </w:pPr>
                    </w:p>
                    <w:p w14:paraId="4F8DAE16">
                      <w:pPr>
                        <w:jc w:val="center"/>
                        <w:rPr>
                          <w:szCs w:val="21"/>
                        </w:rPr>
                      </w:pPr>
                      <w:r>
                        <w:rPr>
                          <w:rFonts w:hint="eastAsia"/>
                          <w:szCs w:val="21"/>
                        </w:rPr>
                        <w:t>法定代表人身份证彩色扫描件正、反面</w:t>
                      </w:r>
                    </w:p>
                  </w:txbxContent>
                </v:textbox>
              </v:shape>
            </w:pict>
          </mc:Fallback>
        </mc:AlternateContent>
      </w:r>
    </w:p>
    <w:p w14:paraId="50420C06">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000000" w:themeColor="text1"/>
          <w:kern w:val="0"/>
          <w:sz w:val="28"/>
          <w:szCs w:val="28"/>
          <w:highlight w:val="none"/>
          <w14:textFill>
            <w14:solidFill>
              <w14:schemeClr w14:val="tx1"/>
            </w14:solidFill>
          </w14:textFill>
        </w:rPr>
      </w:pPr>
    </w:p>
    <w:p w14:paraId="6D7D846A">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487583DD">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567F7EBE">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57FE235A">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260" w:name="_Toc25408"/>
      <w:r>
        <w:rPr>
          <w:rFonts w:hint="eastAsia" w:hAnsi="宋体" w:cs="宋体"/>
          <w:b/>
          <w:bCs/>
          <w:snapToGrid w:val="0"/>
          <w:color w:val="000000" w:themeColor="text1"/>
          <w:kern w:val="0"/>
          <w:szCs w:val="24"/>
          <w:highlight w:val="none"/>
          <w14:textFill>
            <w14:solidFill>
              <w14:schemeClr w14:val="tx1"/>
            </w14:solidFill>
          </w14:textFill>
        </w:rPr>
        <w:t>格式六 投标人基本情况表</w:t>
      </w:r>
      <w:bookmarkEnd w:id="260"/>
    </w:p>
    <w:p w14:paraId="22E8C91B">
      <w:pPr>
        <w:pStyle w:val="42"/>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66F5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B82BFB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投标人名称</w:t>
            </w:r>
          </w:p>
        </w:tc>
        <w:tc>
          <w:tcPr>
            <w:tcW w:w="7020" w:type="dxa"/>
            <w:gridSpan w:val="8"/>
            <w:vAlign w:val="center"/>
          </w:tcPr>
          <w:p w14:paraId="11FA976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A04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8E13E7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注册地址</w:t>
            </w:r>
          </w:p>
        </w:tc>
        <w:tc>
          <w:tcPr>
            <w:tcW w:w="3389" w:type="dxa"/>
            <w:gridSpan w:val="3"/>
            <w:vAlign w:val="center"/>
          </w:tcPr>
          <w:p w14:paraId="25E0F217">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42E4313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邮政编码</w:t>
            </w:r>
          </w:p>
        </w:tc>
        <w:tc>
          <w:tcPr>
            <w:tcW w:w="2385" w:type="dxa"/>
            <w:gridSpan w:val="3"/>
            <w:vAlign w:val="center"/>
          </w:tcPr>
          <w:p w14:paraId="3A650EE3">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2C3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53C43AB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联系方式</w:t>
            </w:r>
          </w:p>
        </w:tc>
        <w:tc>
          <w:tcPr>
            <w:tcW w:w="897" w:type="dxa"/>
            <w:vAlign w:val="center"/>
          </w:tcPr>
          <w:p w14:paraId="2E30BE8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联系人</w:t>
            </w:r>
          </w:p>
        </w:tc>
        <w:tc>
          <w:tcPr>
            <w:tcW w:w="2492" w:type="dxa"/>
            <w:gridSpan w:val="2"/>
            <w:vAlign w:val="center"/>
          </w:tcPr>
          <w:p w14:paraId="30C99D0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0AED4AB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  话</w:t>
            </w:r>
          </w:p>
        </w:tc>
        <w:tc>
          <w:tcPr>
            <w:tcW w:w="2385" w:type="dxa"/>
            <w:gridSpan w:val="3"/>
            <w:vAlign w:val="center"/>
          </w:tcPr>
          <w:p w14:paraId="49DBD85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02E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F58DC0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897" w:type="dxa"/>
            <w:vAlign w:val="center"/>
          </w:tcPr>
          <w:p w14:paraId="0AF2D00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传  真</w:t>
            </w:r>
          </w:p>
        </w:tc>
        <w:tc>
          <w:tcPr>
            <w:tcW w:w="2492" w:type="dxa"/>
            <w:gridSpan w:val="2"/>
            <w:vAlign w:val="center"/>
          </w:tcPr>
          <w:p w14:paraId="1CDED97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668C77C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电子邮箱</w:t>
            </w:r>
          </w:p>
        </w:tc>
        <w:tc>
          <w:tcPr>
            <w:tcW w:w="2385" w:type="dxa"/>
            <w:gridSpan w:val="3"/>
            <w:vAlign w:val="center"/>
          </w:tcPr>
          <w:p w14:paraId="55234DB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702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83EF92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w:t>
            </w:r>
          </w:p>
        </w:tc>
        <w:tc>
          <w:tcPr>
            <w:tcW w:w="897" w:type="dxa"/>
            <w:vAlign w:val="center"/>
          </w:tcPr>
          <w:p w14:paraId="350DA5F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61BE2D0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3DB2B00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5A19E85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0501AB7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26561D8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628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66384998">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技术负责人</w:t>
            </w:r>
          </w:p>
        </w:tc>
        <w:tc>
          <w:tcPr>
            <w:tcW w:w="897" w:type="dxa"/>
            <w:vAlign w:val="center"/>
          </w:tcPr>
          <w:p w14:paraId="15DE505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57282AC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6CE2E5B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59EAA25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2D64575B">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656CCEF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3756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6025B24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成立日期</w:t>
            </w:r>
          </w:p>
        </w:tc>
        <w:tc>
          <w:tcPr>
            <w:tcW w:w="2586" w:type="dxa"/>
            <w:gridSpan w:val="2"/>
            <w:vAlign w:val="center"/>
          </w:tcPr>
          <w:p w14:paraId="4A20AD4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4434" w:type="dxa"/>
            <w:gridSpan w:val="6"/>
            <w:vAlign w:val="center"/>
          </w:tcPr>
          <w:p w14:paraId="63444E4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员工总人数（个）：</w:t>
            </w:r>
          </w:p>
        </w:tc>
      </w:tr>
      <w:tr w14:paraId="7752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4A4F519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企业资质</w:t>
            </w:r>
          </w:p>
          <w:p w14:paraId="020DA42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类型和等级</w:t>
            </w:r>
          </w:p>
        </w:tc>
        <w:tc>
          <w:tcPr>
            <w:tcW w:w="2586" w:type="dxa"/>
            <w:gridSpan w:val="2"/>
            <w:vAlign w:val="center"/>
          </w:tcPr>
          <w:p w14:paraId="098C4003">
            <w:pPr>
              <w:pStyle w:val="4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restart"/>
            <w:vAlign w:val="center"/>
          </w:tcPr>
          <w:p w14:paraId="55343AD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其中</w:t>
            </w:r>
          </w:p>
        </w:tc>
        <w:tc>
          <w:tcPr>
            <w:tcW w:w="1929" w:type="dxa"/>
            <w:gridSpan w:val="3"/>
            <w:vAlign w:val="center"/>
          </w:tcPr>
          <w:p w14:paraId="278718E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各类注册人员</w:t>
            </w:r>
          </w:p>
        </w:tc>
        <w:tc>
          <w:tcPr>
            <w:tcW w:w="1416" w:type="dxa"/>
            <w:vAlign w:val="center"/>
          </w:tcPr>
          <w:p w14:paraId="6D23319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190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EF0D1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营业执照号</w:t>
            </w:r>
          </w:p>
        </w:tc>
        <w:tc>
          <w:tcPr>
            <w:tcW w:w="2586" w:type="dxa"/>
            <w:gridSpan w:val="2"/>
            <w:vAlign w:val="center"/>
          </w:tcPr>
          <w:p w14:paraId="63EEA0E5">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7E2EEF1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76DF447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高级职称人员</w:t>
            </w:r>
          </w:p>
        </w:tc>
        <w:tc>
          <w:tcPr>
            <w:tcW w:w="1416" w:type="dxa"/>
            <w:vAlign w:val="center"/>
          </w:tcPr>
          <w:p w14:paraId="11BB6BD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052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3AA7F94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注册资金</w:t>
            </w:r>
          </w:p>
        </w:tc>
        <w:tc>
          <w:tcPr>
            <w:tcW w:w="2586" w:type="dxa"/>
            <w:gridSpan w:val="2"/>
            <w:vAlign w:val="center"/>
          </w:tcPr>
          <w:p w14:paraId="25DEB06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D4EC56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531DA09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中级职称人员</w:t>
            </w:r>
          </w:p>
        </w:tc>
        <w:tc>
          <w:tcPr>
            <w:tcW w:w="1416" w:type="dxa"/>
            <w:vAlign w:val="center"/>
          </w:tcPr>
          <w:p w14:paraId="10584FE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71C0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14594D2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2673DFB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开户银行</w:t>
            </w:r>
          </w:p>
        </w:tc>
        <w:tc>
          <w:tcPr>
            <w:tcW w:w="2586" w:type="dxa"/>
            <w:gridSpan w:val="2"/>
            <w:vAlign w:val="center"/>
          </w:tcPr>
          <w:p w14:paraId="5C86443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E26054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1022B4B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初级职称人员</w:t>
            </w:r>
          </w:p>
        </w:tc>
        <w:tc>
          <w:tcPr>
            <w:tcW w:w="1416" w:type="dxa"/>
            <w:vAlign w:val="center"/>
          </w:tcPr>
          <w:p w14:paraId="3E3407C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212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425167B7">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66945DC3">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银行账号</w:t>
            </w:r>
          </w:p>
        </w:tc>
        <w:tc>
          <w:tcPr>
            <w:tcW w:w="2586" w:type="dxa"/>
            <w:gridSpan w:val="2"/>
            <w:vAlign w:val="center"/>
          </w:tcPr>
          <w:p w14:paraId="437F175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52DAE195">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23E4C887">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技术员</w:t>
            </w:r>
          </w:p>
        </w:tc>
        <w:tc>
          <w:tcPr>
            <w:tcW w:w="1416" w:type="dxa"/>
            <w:vAlign w:val="center"/>
          </w:tcPr>
          <w:p w14:paraId="2FB5361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131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3A31A36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经营范围</w:t>
            </w:r>
          </w:p>
        </w:tc>
        <w:tc>
          <w:tcPr>
            <w:tcW w:w="7020" w:type="dxa"/>
            <w:gridSpan w:val="8"/>
            <w:vAlign w:val="center"/>
          </w:tcPr>
          <w:p w14:paraId="7749CED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670C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4DE1112B">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关联企业情况</w:t>
            </w:r>
          </w:p>
        </w:tc>
        <w:tc>
          <w:tcPr>
            <w:tcW w:w="7020" w:type="dxa"/>
            <w:gridSpan w:val="8"/>
            <w:vAlign w:val="center"/>
          </w:tcPr>
          <w:p w14:paraId="2B6907A2">
            <w:pPr>
              <w:pStyle w:val="4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包括但不限于与投标人存在以下关系的不同单位：</w:t>
            </w:r>
          </w:p>
          <w:p w14:paraId="2484EE8C">
            <w:pPr>
              <w:pStyle w:val="4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1．法定代表人为同一人的。</w:t>
            </w:r>
          </w:p>
          <w:p w14:paraId="573D325D">
            <w:pPr>
              <w:pStyle w:val="4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2．存在控股、管理关系的。</w:t>
            </w:r>
          </w:p>
          <w:p w14:paraId="504A86DE">
            <w:pPr>
              <w:pStyle w:val="4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3．主要人员相互任职的。</w:t>
            </w:r>
          </w:p>
        </w:tc>
      </w:tr>
      <w:tr w14:paraId="47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35FDEAD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020" w:type="dxa"/>
            <w:gridSpan w:val="8"/>
            <w:vAlign w:val="center"/>
          </w:tcPr>
          <w:p w14:paraId="7550999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bl>
    <w:p w14:paraId="31D14F23">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02F1EC1B">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1．《投标人基本情况表》后应附以下资料：</w:t>
      </w:r>
    </w:p>
    <w:p w14:paraId="6D19864B">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（1）企业营业执照、资质证书彩色扫描件（因推行电子证照，企业的营业执照、资质证书等可以提供电子证照）；</w:t>
      </w:r>
    </w:p>
    <w:p w14:paraId="0D6246ED">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highlight w:val="none"/>
          <w14:textFill>
            <w14:solidFill>
              <w14:schemeClr w14:val="tx1"/>
            </w14:solidFill>
          </w14:textFill>
        </w:rPr>
        <w:t>“进粤企业和人员诚信信息登记平台”企业信息情况打印页。（适用于省外企业）</w:t>
      </w:r>
      <w:r>
        <w:rPr>
          <w:rFonts w:hint="eastAsia" w:ascii="宋体" w:hAnsi="宋体" w:cs="宋体"/>
          <w:snapToGrid w:val="0"/>
          <w:color w:val="000000" w:themeColor="text1"/>
          <w:kern w:val="0"/>
          <w:szCs w:val="21"/>
          <w:highlight w:val="none"/>
          <w14:textFill>
            <w14:solidFill>
              <w14:schemeClr w14:val="tx1"/>
            </w14:solidFill>
          </w14:textFill>
        </w:rPr>
        <w:t>。</w:t>
      </w:r>
    </w:p>
    <w:p w14:paraId="2C2FD920">
      <w:pPr>
        <w:pStyle w:val="42"/>
        <w:widowControl w:val="0"/>
        <w:wordWrap w:val="0"/>
        <w:adjustRightInd w:val="0"/>
        <w:snapToGrid w:val="0"/>
        <w:spacing w:line="400" w:lineRule="exact"/>
        <w:rPr>
          <w:rFonts w:hAnsi="宋体" w:cs="宋体"/>
          <w:snapToGrid w:val="0"/>
          <w:color w:val="000000" w:themeColor="text1"/>
          <w:sz w:val="21"/>
          <w:szCs w:val="21"/>
          <w:highlight w:val="none"/>
          <w14:textFill>
            <w14:solidFill>
              <w14:schemeClr w14:val="tx1"/>
            </w14:solidFill>
          </w14:textFill>
        </w:rPr>
      </w:pPr>
      <w:r>
        <w:rPr>
          <w:rFonts w:hint="eastAsia" w:hAnsi="宋体" w:cs="宋体"/>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 。</w:t>
      </w:r>
    </w:p>
    <w:p w14:paraId="3DF4C1A7">
      <w:pPr>
        <w:rPr>
          <w:rFonts w:hint="eastAsia"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highlight w:val="none"/>
          <w14:textFill>
            <w14:solidFill>
              <w14:schemeClr w14:val="tx1"/>
            </w14:solidFill>
          </w14:textFill>
        </w:rPr>
        <w:br w:type="page"/>
      </w:r>
    </w:p>
    <w:p w14:paraId="08DBD574">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261" w:name="_Toc11609"/>
      <w:r>
        <w:rPr>
          <w:rFonts w:hint="eastAsia" w:hAnsi="宋体" w:cs="宋体"/>
          <w:b/>
          <w:snapToGrid w:val="0"/>
          <w:color w:val="000000" w:themeColor="text1"/>
          <w:kern w:val="0"/>
          <w:highlight w:val="none"/>
          <w14:textFill>
            <w14:solidFill>
              <w14:schemeClr w14:val="tx1"/>
            </w14:solidFill>
          </w14:textFill>
        </w:rPr>
        <w:t>格式七  总监理工程师任职声明（适用于无任职项目）</w:t>
      </w:r>
      <w:bookmarkEnd w:id="261"/>
    </w:p>
    <w:p w14:paraId="46D4D231">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5D71FAEF">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10CA385E">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3C7C26EB">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3CF6AC8E">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（总监理工程师姓名）现阶段未担任任何在施（包括已中标未开工、已开工未竣工）建设工程项目的总监理工程师。</w:t>
      </w:r>
    </w:p>
    <w:p w14:paraId="2B6A9360">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7D00281A">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2C4CAFEE">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特此承诺　　</w:t>
      </w:r>
    </w:p>
    <w:p w14:paraId="5072C453">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2BB10C2A">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7D68A5B2">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13A75888">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AFC36B8">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2DF48E52">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1A63BD38">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17582F60">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1AE70872">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2898A912">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262" w:name="_Toc4974"/>
      <w:r>
        <w:rPr>
          <w:rFonts w:hint="eastAsia" w:hAnsi="宋体" w:cs="宋体"/>
          <w:b/>
          <w:snapToGrid w:val="0"/>
          <w:color w:val="000000" w:themeColor="text1"/>
          <w:kern w:val="0"/>
          <w:highlight w:val="none"/>
          <w14:textFill>
            <w14:solidFill>
              <w14:schemeClr w14:val="tx1"/>
            </w14:solidFill>
          </w14:textFill>
        </w:rPr>
        <w:t>格式八 总监理工程师任职声明（适用于有任职项目）</w:t>
      </w:r>
      <w:bookmarkEnd w:id="262"/>
    </w:p>
    <w:p w14:paraId="67BF4FF5">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2431DE0D">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31806C14">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3E1C740B">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086D0624">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（总监理工程师姓名）现阶段正在担任</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个在施（包括已中标未开工、已开工未竣工）建设工程项目的总监理工程师，具体情况详见《总监理工程师任职项目情况表》。</w:t>
      </w:r>
    </w:p>
    <w:p w14:paraId="7B66C536">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0F9972BD">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57DEAC27">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特此承诺</w:t>
      </w:r>
    </w:p>
    <w:p w14:paraId="0E931224">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p>
    <w:p w14:paraId="78204EAF">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74A37527">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4530D242">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657EA66">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A0D2386">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012DE4DB">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4395FF21">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60175B99">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3E6B5942">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3DED01F7">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263" w:name="_Toc30529"/>
      <w:r>
        <w:rPr>
          <w:rFonts w:hint="eastAsia" w:hAnsi="宋体" w:cs="宋体"/>
          <w:b/>
          <w:bCs/>
          <w:snapToGrid w:val="0"/>
          <w:color w:val="000000" w:themeColor="text1"/>
          <w:kern w:val="0"/>
          <w:szCs w:val="24"/>
          <w:highlight w:val="none"/>
          <w14:textFill>
            <w14:solidFill>
              <w14:schemeClr w14:val="tx1"/>
            </w14:solidFill>
          </w14:textFill>
        </w:rPr>
        <w:t>格式九 总监理工程师任职项目情况表</w:t>
      </w:r>
      <w:bookmarkEnd w:id="263"/>
    </w:p>
    <w:p w14:paraId="3C4F838A">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011B48DF">
      <w:pPr>
        <w:pStyle w:val="42"/>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 xml:space="preserve"> 总监理工程师任职项目情况表（）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474A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7E7210D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项目名称</w:t>
            </w:r>
          </w:p>
        </w:tc>
        <w:tc>
          <w:tcPr>
            <w:tcW w:w="2771" w:type="dxa"/>
            <w:vAlign w:val="center"/>
          </w:tcPr>
          <w:p w14:paraId="5A5B4B83">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6CBDFA7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项目所在地</w:t>
            </w:r>
          </w:p>
        </w:tc>
        <w:tc>
          <w:tcPr>
            <w:tcW w:w="2594" w:type="dxa"/>
            <w:vAlign w:val="center"/>
          </w:tcPr>
          <w:p w14:paraId="74A76A3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90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6B17DF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委托人名称</w:t>
            </w:r>
          </w:p>
        </w:tc>
        <w:tc>
          <w:tcPr>
            <w:tcW w:w="2771" w:type="dxa"/>
            <w:vAlign w:val="center"/>
          </w:tcPr>
          <w:p w14:paraId="4CA3AA65">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30BF380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委托人地址</w:t>
            </w:r>
          </w:p>
        </w:tc>
        <w:tc>
          <w:tcPr>
            <w:tcW w:w="2594" w:type="dxa"/>
            <w:vAlign w:val="center"/>
          </w:tcPr>
          <w:p w14:paraId="3033590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857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D2FD07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委托人电话</w:t>
            </w:r>
          </w:p>
        </w:tc>
        <w:tc>
          <w:tcPr>
            <w:tcW w:w="2771" w:type="dxa"/>
            <w:vAlign w:val="center"/>
          </w:tcPr>
          <w:p w14:paraId="4AB700C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4063F64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总监理工程师</w:t>
            </w:r>
          </w:p>
        </w:tc>
        <w:tc>
          <w:tcPr>
            <w:tcW w:w="2594" w:type="dxa"/>
            <w:vAlign w:val="center"/>
          </w:tcPr>
          <w:p w14:paraId="7215151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76C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CF5CC6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监理服务期限</w:t>
            </w:r>
          </w:p>
        </w:tc>
        <w:tc>
          <w:tcPr>
            <w:tcW w:w="2771" w:type="dxa"/>
            <w:vAlign w:val="center"/>
          </w:tcPr>
          <w:p w14:paraId="6379254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1EF7D54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监理内容</w:t>
            </w:r>
          </w:p>
        </w:tc>
        <w:tc>
          <w:tcPr>
            <w:tcW w:w="2594" w:type="dxa"/>
            <w:vAlign w:val="center"/>
          </w:tcPr>
          <w:p w14:paraId="30CE598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46C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4436288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项目描述</w:t>
            </w:r>
          </w:p>
        </w:tc>
        <w:tc>
          <w:tcPr>
            <w:tcW w:w="7000" w:type="dxa"/>
            <w:gridSpan w:val="3"/>
            <w:vAlign w:val="center"/>
          </w:tcPr>
          <w:p w14:paraId="7C844EA0">
            <w:pPr>
              <w:pStyle w:val="4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r>
      <w:tr w14:paraId="3D2B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4ECAB2F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委托人声明</w:t>
            </w:r>
          </w:p>
        </w:tc>
        <w:tc>
          <w:tcPr>
            <w:tcW w:w="7000" w:type="dxa"/>
            <w:gridSpan w:val="3"/>
            <w:vAlign w:val="center"/>
          </w:tcPr>
          <w:p w14:paraId="62556D41">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5FFB2F97">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致：</w:t>
            </w:r>
            <w:r>
              <w:rPr>
                <w:rFonts w:hint="eastAsia" w:ascii="宋体" w:hAnsi="宋体" w:cs="宋体"/>
                <w:snapToGrid w:val="0"/>
                <w:color w:val="000000" w:themeColor="text1"/>
                <w:kern w:val="0"/>
                <w:szCs w:val="21"/>
                <w:highlight w:val="none"/>
                <w:u w:val="single"/>
                <w14:textFill>
                  <w14:solidFill>
                    <w14:schemeClr w14:val="tx1"/>
                  </w14:solidFill>
                </w14:textFill>
              </w:rPr>
              <w:t>（本招标项目招标人名称）</w:t>
            </w:r>
          </w:p>
          <w:p w14:paraId="7FE0BCBA">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我方在此声明：</w:t>
            </w:r>
          </w:p>
          <w:p w14:paraId="1CF8A531">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一、在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同志任我方在施项目总监理工程师期间，如果</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中标你方招标项目监理业务，在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同志目前担任总监理工程师职务的项目总数不超过</w:t>
            </w:r>
            <w:r>
              <w:rPr>
                <w:rFonts w:hint="eastAsia" w:ascii="宋体" w:hAnsi="宋体" w:cs="宋体"/>
                <w:snapToGrid w:val="0"/>
                <w:color w:val="000000" w:themeColor="text1"/>
                <w:kern w:val="0"/>
                <w:szCs w:val="21"/>
                <w:highlight w:val="none"/>
                <w:lang w:val="en-US" w:eastAsia="zh-CN"/>
                <w14:textFill>
                  <w14:solidFill>
                    <w14:schemeClr w14:val="tx1"/>
                  </w14:solidFill>
                </w14:textFill>
              </w:rPr>
              <w:t>1</w:t>
            </w:r>
            <w:r>
              <w:rPr>
                <w:rFonts w:hint="eastAsia" w:ascii="宋体" w:hAnsi="宋体" w:cs="宋体"/>
                <w:snapToGrid w:val="0"/>
                <w:color w:val="000000" w:themeColor="text1"/>
                <w:kern w:val="0"/>
                <w:szCs w:val="21"/>
                <w:highlight w:val="none"/>
                <w14:textFill>
                  <w14:solidFill>
                    <w14:schemeClr w14:val="tx1"/>
                  </w14:solidFill>
                </w14:textFill>
              </w:rPr>
              <w:t>个（含我方在施项目）的前提下，我方同意其同时担任你方招标项目的总监理工程师；如果未中标，以上声明自动失效。</w:t>
            </w:r>
          </w:p>
          <w:p w14:paraId="5B0650C5">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二、无论</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同志是否担任其他建设项目的总监理工程师，</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都必须完全、严格履行我方在施项目监理合同中约定的所有义务，并确保服务内容、服务质量不得有任何减少或降低。</w:t>
            </w:r>
          </w:p>
          <w:p w14:paraId="6C2F6054">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7C7F52A6">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056E1AE3">
            <w:pPr>
              <w:pStyle w:val="45"/>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建设单位名称：</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kern w:val="0"/>
                <w:szCs w:val="21"/>
                <w:highlight w:val="none"/>
                <w14:textFill>
                  <w14:solidFill>
                    <w14:schemeClr w14:val="tx1"/>
                  </w14:solidFill>
                </w14:textFill>
              </w:rPr>
              <w:t>（盖单位章）</w:t>
            </w:r>
          </w:p>
          <w:p w14:paraId="0CB6D9A6">
            <w:pPr>
              <w:pStyle w:val="45"/>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p>
          <w:p w14:paraId="10BAF33E">
            <w:pPr>
              <w:pStyle w:val="45"/>
              <w:adjustRightInd w:val="0"/>
              <w:snapToGrid w:val="0"/>
              <w:spacing w:line="360" w:lineRule="auto"/>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XXXX年XX月XX日</w:t>
            </w:r>
          </w:p>
        </w:tc>
      </w:tr>
    </w:tbl>
    <w:p w14:paraId="44E3408C">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067CB8AC">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62FE6EF1">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每份情况表后应附该项目的合同协议书彩色扫描件。</w:t>
      </w:r>
    </w:p>
    <w:p w14:paraId="610CA269">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w:t>
      </w:r>
      <w:r>
        <w:rPr>
          <w:rFonts w:hint="eastAsia" w:ascii="宋体" w:hAnsi="宋体" w:cs="宋体"/>
          <w:snapToGrid w:val="0"/>
          <w:color w:val="000000" w:themeColor="text1"/>
          <w:kern w:val="0"/>
          <w:szCs w:val="28"/>
          <w:highlight w:val="none"/>
          <w14:textFill>
            <w14:solidFill>
              <w14:schemeClr w14:val="tx1"/>
            </w14:solidFill>
          </w14:textFill>
        </w:rPr>
        <w:t>．投标人填写本</w:t>
      </w:r>
      <w:r>
        <w:rPr>
          <w:rFonts w:hint="eastAsia" w:ascii="宋体" w:hAnsi="宋体" w:cs="宋体"/>
          <w:snapToGrid w:val="0"/>
          <w:color w:val="000000" w:themeColor="text1"/>
          <w:kern w:val="0"/>
          <w:szCs w:val="21"/>
          <w:highlight w:val="none"/>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02D62871">
      <w:pPr>
        <w:wordWrap w:val="0"/>
        <w:adjustRightInd w:val="0"/>
        <w:snapToGrid w:val="0"/>
        <w:spacing w:line="400" w:lineRule="exact"/>
        <w:rPr>
          <w:rFonts w:hAnsi="宋体" w:cs="宋体"/>
          <w:snapToGrid w:val="0"/>
          <w:color w:val="000000" w:themeColor="text1"/>
          <w:kern w:val="0"/>
          <w:sz w:val="21"/>
          <w:szCs w:val="21"/>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79179558">
      <w:pPr>
        <w:wordWrap w:val="0"/>
        <w:adjustRightInd w:val="0"/>
        <w:snapToGrid w:val="0"/>
        <w:spacing w:line="440" w:lineRule="exact"/>
        <w:ind w:left="2609" w:leftChars="15" w:hanging="2573" w:hangingChars="1068"/>
        <w:outlineLvl w:val="1"/>
        <w:rPr>
          <w:rFonts w:hAnsi="宋体" w:cs="宋体"/>
          <w:b/>
          <w:bCs/>
          <w:snapToGrid w:val="0"/>
          <w:color w:val="000000" w:themeColor="text1"/>
          <w:kern w:val="0"/>
          <w:szCs w:val="24"/>
          <w:highlight w:val="none"/>
          <w14:textFill>
            <w14:solidFill>
              <w14:schemeClr w14:val="tx1"/>
            </w14:solidFill>
          </w14:textFill>
        </w:rPr>
      </w:pPr>
      <w:bookmarkStart w:id="264" w:name="_Toc8192"/>
      <w:bookmarkStart w:id="265" w:name="_Toc8264"/>
      <w:bookmarkStart w:id="266" w:name="_Toc200338098"/>
      <w:r>
        <w:rPr>
          <w:rFonts w:hint="eastAsia" w:hAnsi="宋体" w:cs="宋体"/>
          <w:b/>
          <w:snapToGrid w:val="0"/>
          <w:color w:val="000000" w:themeColor="text1"/>
          <w:kern w:val="0"/>
          <w:highlight w:val="none"/>
          <w14:textFill>
            <w14:solidFill>
              <w14:schemeClr w14:val="tx1"/>
            </w14:solidFill>
          </w14:textFill>
        </w:rPr>
        <w:t>格式</w:t>
      </w:r>
      <w:bookmarkStart w:id="267" w:name="_Hlt287950384"/>
      <w:bookmarkEnd w:id="267"/>
      <w:r>
        <w:rPr>
          <w:rFonts w:hint="eastAsia" w:hAnsi="宋体" w:cs="宋体"/>
          <w:b/>
          <w:bCs/>
          <w:snapToGrid w:val="0"/>
          <w:color w:val="000000" w:themeColor="text1"/>
          <w:kern w:val="0"/>
          <w:szCs w:val="24"/>
          <w:highlight w:val="none"/>
          <w14:textFill>
            <w14:solidFill>
              <w14:schemeClr w14:val="tx1"/>
            </w14:solidFill>
          </w14:textFill>
        </w:rPr>
        <w:t>十 项目监理机构组成人员汇总表</w:t>
      </w:r>
      <w:bookmarkEnd w:id="264"/>
    </w:p>
    <w:p w14:paraId="2ACEDCE6">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 xml:space="preserve"> 项目监理机构组成人员汇总表</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D6D5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3E3A8D6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0ED1F7A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3B30A17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62BD4E3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5FD8304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CEC2C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岗位证书</w:t>
            </w:r>
          </w:p>
        </w:tc>
      </w:tr>
      <w:tr w14:paraId="6D596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362DAC0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6046BFD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62C2919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20EDC2C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16FE8B2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993B18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756BE9C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0BE244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C30857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454B427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55011BC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5544CEB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r>
      <w:tr w14:paraId="70191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60C79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219882F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4DE3E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1F12EF5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78B147F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451D5A7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52581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1826D7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5A8BE2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7682BF3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A0773D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505DA4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32754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09C6D84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17928FA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8F35EA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89AB6D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0FBAA17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67E3D2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5A351F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A0C429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38504F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3B8DD9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3B3BCD0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D3E332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2F23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852F5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705B47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663E48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A9846F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07FA08F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3787AB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F57848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07F016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D0B86F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625896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FB7209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43C781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7542E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FD0B82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6847DC2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74032F3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1F3CDA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F4548A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EA3BF0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7FF1A9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8E1783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BBF6F8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44D5BDF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0921CB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D63D02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D421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D973C9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B67924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0CA379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4968DE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6591A3A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2FF2B7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90D61C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45AD45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62162B3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DF6FAA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38494C3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F1C7B6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567C7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905737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672488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1462162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412E85B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01CCFD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7BC971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D4E971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807104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6A7FF9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1EB5E19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64285E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5752D9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9BD6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BF4408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13A7FA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47D799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521551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41BC3D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933D10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C57047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C9DE1D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8A2AB0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051328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406538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157133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4D6D4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73280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5B18E15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7BF829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42ED6B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20D5F8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C226AE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175060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A5898E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0BF637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9F222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47DFE11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B6ABDC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360F5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142273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E5952B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919A7B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964111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6DBC678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3966E8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0AE85B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B4024D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0C54B4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683511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90D64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FDB2F8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bookmarkStart w:id="268" w:name="_附件十：单项工程费汇总表"/>
        <w:bookmarkStart w:id="269" w:name="_Hlt69116778"/>
        <w:bookmarkStart w:id="270" w:name="_Hlt68774664"/>
        <w:bookmarkStart w:id="271" w:name="_附件二十四：技术标提问单"/>
        <w:bookmarkStart w:id="272" w:name="_附件二十五：综合评审合理低价法"/>
      </w:tr>
      <w:bookmarkEnd w:id="265"/>
      <w:bookmarkEnd w:id="266"/>
      <w:bookmarkEnd w:id="268"/>
      <w:bookmarkEnd w:id="269"/>
      <w:bookmarkEnd w:id="270"/>
      <w:bookmarkEnd w:id="271"/>
      <w:bookmarkEnd w:id="272"/>
      <w:tr w14:paraId="038DA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0AB70B1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D32F49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15F17A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59EE2B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4D4D66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0085EC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B83A93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A28034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211967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68716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A5AA88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2DF225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bl>
    <w:p w14:paraId="1D6D7473">
      <w:pPr>
        <w:pStyle w:val="42"/>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说明：</w:t>
      </w:r>
    </w:p>
    <w:p w14:paraId="3CC1B54A">
      <w:pPr>
        <w:pStyle w:val="42"/>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sectPr>
          <w:endnotePr>
            <w:numFmt w:val="decimal"/>
          </w:endnotePr>
          <w:pgSz w:w="16838" w:h="11906" w:orient="landscape"/>
          <w:pgMar w:top="1440" w:right="1080" w:bottom="1440" w:left="1080" w:header="850" w:footer="992" w:gutter="0"/>
          <w:pgNumType w:fmt="decimal"/>
          <w:cols w:space="0" w:num="1"/>
          <w:docGrid w:linePitch="327" w:charSpace="0"/>
        </w:sectPr>
      </w:pPr>
      <w:r>
        <w:rPr>
          <w:rFonts w:hint="eastAsia" w:hAnsi="宋体" w:cs="宋体"/>
          <w:snapToGrid w:val="0"/>
          <w:color w:val="000000" w:themeColor="text1"/>
          <w:sz w:val="21"/>
          <w:highlight w:val="none"/>
          <w14:textFill>
            <w14:solidFill>
              <w14:schemeClr w14:val="tx1"/>
            </w14:solidFill>
          </w14:textFill>
        </w:rPr>
        <w:t>1</w:t>
      </w:r>
      <w:r>
        <w:rPr>
          <w:rFonts w:hint="eastAsia" w:hAnsi="宋体" w:cs="宋体"/>
          <w:snapToGrid w:val="0"/>
          <w:color w:val="000000" w:themeColor="text1"/>
          <w:sz w:val="21"/>
          <w:szCs w:val="28"/>
          <w:highlight w:val="none"/>
          <w14:textFill>
            <w14:solidFill>
              <w14:schemeClr w14:val="tx1"/>
            </w14:solidFill>
          </w14:textFill>
        </w:rPr>
        <w:t>．表中没有或无法填写的栏目，用</w:t>
      </w:r>
      <w:r>
        <w:rPr>
          <w:rFonts w:hint="eastAsia" w:hAnsi="宋体" w:cs="宋体"/>
          <w:snapToGrid w:val="0"/>
          <w:color w:val="000000" w:themeColor="text1"/>
          <w:sz w:val="21"/>
          <w:highlight w:val="none"/>
          <w14:textFill>
            <w14:solidFill>
              <w14:schemeClr w14:val="tx1"/>
            </w14:solidFill>
          </w14:textFill>
        </w:rPr>
        <w:t>“/”示意。</w:t>
      </w:r>
      <w:bookmarkEnd w:id="240"/>
      <w:bookmarkEnd w:id="241"/>
      <w:bookmarkEnd w:id="242"/>
      <w:bookmarkEnd w:id="243"/>
    </w:p>
    <w:p w14:paraId="5EB6A7FA">
      <w:pPr>
        <w:pStyle w:val="46"/>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273" w:name="_Toc9678"/>
      <w:bookmarkStart w:id="274" w:name="_Toc24916"/>
      <w:r>
        <w:rPr>
          <w:rFonts w:hint="eastAsia" w:ascii="宋体" w:hAnsi="宋体" w:cs="宋体"/>
          <w:b/>
          <w:bCs/>
          <w:snapToGrid w:val="0"/>
          <w:color w:val="000000" w:themeColor="text1"/>
          <w:highlight w:val="none"/>
          <w14:textFill>
            <w14:solidFill>
              <w14:schemeClr w14:val="tx1"/>
            </w14:solidFill>
          </w14:textFill>
        </w:rPr>
        <w:t>格式十一  总监理工程师简历表</w:t>
      </w:r>
      <w:bookmarkEnd w:id="273"/>
      <w:bookmarkEnd w:id="274"/>
    </w:p>
    <w:p w14:paraId="7E04FF37">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65848754">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总监理工程师简历表</w:t>
      </w:r>
    </w:p>
    <w:tbl>
      <w:tblPr>
        <w:tblStyle w:val="1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3DAF0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B5909D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487D7C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42B34F8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2A1398F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15957DD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25DEE38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2274A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0C539B4">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8D89C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6FB8EEC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4BE04EC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5F9F87D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96649E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744926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90A11D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77EC396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DC46DC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2FA0548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FB58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092BE9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3FE2052F">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名称：                               证书号：</w:t>
            </w:r>
          </w:p>
        </w:tc>
      </w:tr>
      <w:tr w14:paraId="788165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6A739C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460CB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7B9EA15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4256E3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CD1A43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1BD258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8A955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10102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A65AB2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66E6FD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632C79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C310EF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7136CE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5000C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7CD7EBF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F76119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9CB57C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4D2865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736CA7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C34A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C61359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4BFF47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648A5E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EB023B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22C581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4193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EF43A0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A55515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B1924C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CD2D6F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998F58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4A639EE7">
      <w:pPr>
        <w:adjustRightInd w:val="0"/>
        <w:snapToGrid w:val="0"/>
        <w:spacing w:line="400" w:lineRule="exact"/>
        <w:rPr>
          <w:rFonts w:hAnsi="宋体" w:cs="宋体"/>
          <w:color w:val="000000" w:themeColor="text1"/>
          <w:highlight w:val="none"/>
          <w14:textFill>
            <w14:solidFill>
              <w14:schemeClr w14:val="tx1"/>
            </w14:solidFill>
          </w14:textFill>
        </w:rPr>
      </w:pPr>
    </w:p>
    <w:p w14:paraId="24C46161">
      <w:pPr>
        <w:pStyle w:val="43"/>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p>
    <w:p w14:paraId="5CDC1ECA">
      <w:pPr>
        <w:pStyle w:val="43"/>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总监理工程师：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（签字）</w:t>
      </w:r>
    </w:p>
    <w:p w14:paraId="4D8535F8">
      <w:pPr>
        <w:pStyle w:val="43"/>
        <w:wordWrap w:val="0"/>
        <w:adjustRightInd w:val="0"/>
        <w:snapToGrid w:val="0"/>
        <w:spacing w:line="400" w:lineRule="exact"/>
        <w:jc w:val="center"/>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日</w:t>
      </w:r>
    </w:p>
    <w:p w14:paraId="6217F9C4">
      <w:pPr>
        <w:wordWrap w:val="0"/>
        <w:adjustRightInd w:val="0"/>
        <w:snapToGrid w:val="0"/>
        <w:spacing w:line="400" w:lineRule="exact"/>
        <w:ind w:firstLine="570"/>
        <w:rPr>
          <w:rFonts w:hAnsi="宋体" w:cs="宋体"/>
          <w:snapToGrid w:val="0"/>
          <w:color w:val="000000" w:themeColor="text1"/>
          <w:kern w:val="0"/>
          <w:szCs w:val="28"/>
          <w:highlight w:val="none"/>
          <w14:textFill>
            <w14:solidFill>
              <w14:schemeClr w14:val="tx1"/>
            </w14:solidFill>
          </w14:textFill>
        </w:rPr>
      </w:pPr>
    </w:p>
    <w:p w14:paraId="55DA66FE">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说明：《总监理工程师简历表》后应附拟派总监理工程师以下资料：</w:t>
      </w:r>
    </w:p>
    <w:p w14:paraId="476924F4">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39182276">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2．监理工程师注册证书彩色扫描件（须彩色扫描至变更注册栏）或使用有效期内的电子证书；</w:t>
      </w:r>
    </w:p>
    <w:p w14:paraId="118E72FF">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3．在本单位缴纳社保的证明（</w:t>
      </w:r>
      <w:r>
        <w:rPr>
          <w:rFonts w:hint="eastAsia" w:hAnsi="宋体" w:cs="宋体"/>
          <w:snapToGrid w:val="0"/>
          <w:color w:val="000000" w:themeColor="text1"/>
          <w:kern w:val="0"/>
          <w:sz w:val="21"/>
          <w:szCs w:val="28"/>
          <w:highlight w:val="none"/>
          <w:lang w:eastAsia="zh-CN"/>
          <w14:textFill>
            <w14:solidFill>
              <w14:schemeClr w14:val="tx1"/>
            </w14:solidFill>
          </w14:textFill>
        </w:rPr>
        <w:t>至少一个月</w:t>
      </w:r>
      <w:r>
        <w:rPr>
          <w:rFonts w:hint="eastAsia" w:hAnsi="宋体" w:cs="宋体"/>
          <w:snapToGrid w:val="0"/>
          <w:color w:val="000000" w:themeColor="text1"/>
          <w:kern w:val="0"/>
          <w:sz w:val="21"/>
          <w:szCs w:val="28"/>
          <w:highlight w:val="none"/>
          <w14:textFill>
            <w14:solidFill>
              <w14:schemeClr w14:val="tx1"/>
            </w14:solidFill>
          </w14:textFill>
        </w:rPr>
        <w:t>，其中必须有</w:t>
      </w:r>
      <w:r>
        <w:rPr>
          <w:rFonts w:hint="eastAsia" w:hAnsi="宋体" w:cs="宋体"/>
          <w:snapToGrid w:val="0"/>
          <w:color w:val="000000" w:themeColor="text1"/>
          <w:kern w:val="0"/>
          <w:sz w:val="21"/>
          <w:szCs w:val="28"/>
          <w:highlight w:val="none"/>
          <w:lang w:eastAsia="zh-CN"/>
          <w14:textFill>
            <w14:solidFill>
              <w14:schemeClr w14:val="tx1"/>
            </w14:solidFill>
          </w14:textFill>
        </w:rPr>
        <w:t>202</w:t>
      </w:r>
      <w:r>
        <w:rPr>
          <w:rFonts w:hint="eastAsia" w:hAnsi="宋体" w:cs="宋体"/>
          <w:snapToGrid w:val="0"/>
          <w:color w:val="000000" w:themeColor="text1"/>
          <w:kern w:val="0"/>
          <w:sz w:val="21"/>
          <w:szCs w:val="28"/>
          <w:highlight w:val="none"/>
          <w:lang w:val="en-US" w:eastAsia="zh-CN"/>
          <w14:textFill>
            <w14:solidFill>
              <w14:schemeClr w14:val="tx1"/>
            </w14:solidFill>
          </w14:textFill>
        </w:rPr>
        <w:t>6</w:t>
      </w:r>
      <w:r>
        <w:rPr>
          <w:rFonts w:hint="eastAsia" w:hAnsi="宋体" w:cs="宋体"/>
          <w:snapToGrid w:val="0"/>
          <w:color w:val="000000" w:themeColor="text1"/>
          <w:kern w:val="0"/>
          <w:sz w:val="21"/>
          <w:szCs w:val="28"/>
          <w:highlight w:val="none"/>
          <w:lang w:eastAsia="zh-CN"/>
          <w14:textFill>
            <w14:solidFill>
              <w14:schemeClr w14:val="tx1"/>
            </w14:solidFill>
          </w14:textFill>
        </w:rPr>
        <w:t>年</w:t>
      </w:r>
      <w:r>
        <w:rPr>
          <w:rFonts w:hint="eastAsia" w:hAnsi="宋体" w:cs="宋体"/>
          <w:snapToGrid w:val="0"/>
          <w:color w:val="000000" w:themeColor="text1"/>
          <w:kern w:val="0"/>
          <w:sz w:val="21"/>
          <w:szCs w:val="28"/>
          <w:highlight w:val="none"/>
          <w:lang w:val="en-US" w:eastAsia="zh-CN"/>
          <w14:textFill>
            <w14:solidFill>
              <w14:schemeClr w14:val="tx1"/>
            </w14:solidFill>
          </w14:textFill>
        </w:rPr>
        <w:t>2</w:t>
      </w:r>
      <w:r>
        <w:rPr>
          <w:rFonts w:hint="eastAsia" w:hAnsi="宋体" w:cs="宋体"/>
          <w:snapToGrid w:val="0"/>
          <w:color w:val="000000" w:themeColor="text1"/>
          <w:kern w:val="0"/>
          <w:sz w:val="21"/>
          <w:szCs w:val="28"/>
          <w:highlight w:val="none"/>
          <w:lang w:eastAsia="zh-CN"/>
          <w14:textFill>
            <w14:solidFill>
              <w14:schemeClr w14:val="tx1"/>
            </w14:solidFill>
          </w14:textFill>
        </w:rPr>
        <w:t>月</w:t>
      </w:r>
      <w:r>
        <w:rPr>
          <w:rFonts w:hint="eastAsia" w:hAnsi="宋体" w:cs="宋体"/>
          <w:snapToGrid w:val="0"/>
          <w:color w:val="000000" w:themeColor="text1"/>
          <w:kern w:val="0"/>
          <w:sz w:val="21"/>
          <w:szCs w:val="28"/>
          <w:highlight w:val="none"/>
          <w14:textFill>
            <w14:solidFill>
              <w14:schemeClr w14:val="tx1"/>
            </w14:solidFill>
          </w14:textFill>
        </w:rPr>
        <w:t>）彩色扫描件。拟派总监理工程师为退休返聘人员无法提供社保证明的，提供退休证和劳动合同</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lang w:val="en-US" w:eastAsia="zh-CN"/>
          <w14:textFill>
            <w14:solidFill>
              <w14:schemeClr w14:val="tx1"/>
            </w14:solidFill>
          </w14:textFill>
        </w:rPr>
        <w:t>返聘协议</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彩色扫描件；</w:t>
      </w:r>
    </w:p>
    <w:p w14:paraId="0A6EEE66">
      <w:pPr>
        <w:pStyle w:val="8"/>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4.“进粤企业和人员诚信信息登记平台”个人（总监理工程师等）信息情况截图。（适用于省外建筑企业）</w:t>
      </w:r>
    </w:p>
    <w:p w14:paraId="26E262C9">
      <w:pPr>
        <w:pStyle w:val="8"/>
        <w:snapToGrid w:val="0"/>
        <w:spacing w:line="400" w:lineRule="exact"/>
        <w:rPr>
          <w:rFonts w:hAnsi="宋体" w:cs="宋体"/>
          <w:snapToGrid w:val="0"/>
          <w:color w:val="000000" w:themeColor="text1"/>
          <w:sz w:val="21"/>
          <w:highlight w:val="none"/>
          <w14:textFill>
            <w14:solidFill>
              <w14:schemeClr w14:val="tx1"/>
            </w14:solidFill>
          </w14:textFill>
        </w:rPr>
      </w:pPr>
    </w:p>
    <w:p w14:paraId="2A44881C">
      <w:pPr>
        <w:adjustRightInd w:val="0"/>
        <w:snapToGrid w:val="0"/>
        <w:spacing w:line="400" w:lineRule="exact"/>
        <w:rPr>
          <w:rFonts w:hAnsi="宋体" w:cs="宋体"/>
          <w:b/>
          <w:bCs/>
          <w:snapToGrid w:val="0"/>
          <w:color w:val="000000" w:themeColor="text1"/>
          <w:kern w:val="0"/>
          <w:szCs w:val="24"/>
          <w:highlight w:val="none"/>
          <w14:textFill>
            <w14:solidFill>
              <w14:schemeClr w14:val="tx1"/>
            </w14:solidFill>
          </w14:textFill>
        </w:rPr>
      </w:pPr>
      <w:bookmarkStart w:id="275" w:name="_Toc19546"/>
      <w:r>
        <w:rPr>
          <w:rFonts w:hint="eastAsia" w:hAnsi="宋体" w:cs="宋体"/>
          <w:b/>
          <w:bCs/>
          <w:snapToGrid w:val="0"/>
          <w:color w:val="000000" w:themeColor="text1"/>
          <w:kern w:val="0"/>
          <w:szCs w:val="24"/>
          <w:highlight w:val="none"/>
          <w14:textFill>
            <w14:solidFill>
              <w14:schemeClr w14:val="tx1"/>
            </w14:solidFill>
          </w14:textFill>
        </w:rPr>
        <w:br w:type="page"/>
      </w:r>
    </w:p>
    <w:p w14:paraId="36D1D628">
      <w:pPr>
        <w:pStyle w:val="46"/>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276" w:name="_Toc24119"/>
      <w:r>
        <w:rPr>
          <w:rFonts w:hint="eastAsia" w:ascii="宋体" w:hAnsi="宋体" w:cs="宋体"/>
          <w:b/>
          <w:bCs/>
          <w:snapToGrid w:val="0"/>
          <w:color w:val="000000" w:themeColor="text1"/>
          <w:highlight w:val="none"/>
          <w14:textFill>
            <w14:solidFill>
              <w14:schemeClr w14:val="tx1"/>
            </w14:solidFill>
          </w14:textFill>
        </w:rPr>
        <w:t>格式十二  其他拟派人员简历表</w:t>
      </w:r>
      <w:bookmarkEnd w:id="275"/>
      <w:bookmarkEnd w:id="276"/>
    </w:p>
    <w:p w14:paraId="4E4022E5">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421051C2">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其他拟派人员简历表（）</w:t>
      </w:r>
    </w:p>
    <w:tbl>
      <w:tblPr>
        <w:tblStyle w:val="1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5F35B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B1A4B6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512079B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8267BC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30802B5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1E49C48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1E4F41B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19722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47C2915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7C64AC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5B138A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4F29159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D0CC40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59616B3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1AB93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7BFCFA8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7AACBE7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52BB9D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3A8FE4C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FCA0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02C72E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7465DF1D">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40D47BFB">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61788C32">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r>
              <w:rPr>
                <w:rFonts w:hint="eastAsia" w:hAnsi="宋体" w:cs="宋体"/>
                <w:snapToGrid w:val="0"/>
                <w:color w:val="000000" w:themeColor="text1"/>
                <w:kern w:val="0"/>
                <w:sz w:val="21"/>
                <w:szCs w:val="28"/>
                <w:highlight w:val="none"/>
                <w14:textFill>
                  <w14:solidFill>
                    <w14:schemeClr w14:val="tx1"/>
                  </w14:solidFill>
                </w14:textFill>
              </w:rPr>
              <w:t>．……</w:t>
            </w:r>
          </w:p>
        </w:tc>
      </w:tr>
      <w:tr w14:paraId="41F67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462D5D7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70CFE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0877EFB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3F1808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E95F7E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7078A8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28D452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3FDE0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500272B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B08981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6A966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40277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C979C7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28608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F0E778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B24FB3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C7C7AD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7DC290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4D9946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464A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6CC825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B032C0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0B81A96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B29767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5048B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061D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C87243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551EA20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35A171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4AD238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60C0D0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3A722986">
      <w:pPr>
        <w:pStyle w:val="43"/>
        <w:wordWrap w:val="0"/>
        <w:adjustRightInd w:val="0"/>
        <w:snapToGrid w:val="0"/>
        <w:spacing w:line="400" w:lineRule="exact"/>
        <w:rPr>
          <w:rFonts w:hAnsi="宋体" w:cs="宋体"/>
          <w:snapToGrid w:val="0"/>
          <w:color w:val="000000" w:themeColor="text1"/>
          <w:kern w:val="0"/>
          <w:highlight w:val="none"/>
          <w14:textFill>
            <w14:solidFill>
              <w14:schemeClr w14:val="tx1"/>
            </w14:solidFill>
          </w14:textFill>
        </w:rPr>
      </w:pPr>
    </w:p>
    <w:p w14:paraId="33A28237">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w:t>
      </w:r>
    </w:p>
    <w:p w14:paraId="00E45FC6">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1．“其他拟派人员”指项目监理机构中除总监理工程师以外的拟派人员，包括专业监理工程师、监理员、相关服务人员等。以上拟派人员一人一表，</w:t>
      </w:r>
      <w:r>
        <w:rPr>
          <w:rFonts w:hint="eastAsia" w:hAnsi="宋体" w:cs="宋体"/>
          <w:snapToGrid w:val="0"/>
          <w:color w:val="000000" w:themeColor="text1"/>
          <w:kern w:val="0"/>
          <w:sz w:val="21"/>
          <w:szCs w:val="21"/>
          <w:highlight w:val="none"/>
          <w14:textFill>
            <w14:solidFill>
              <w14:schemeClr w14:val="tx1"/>
            </w14:solidFill>
          </w14:textFill>
        </w:rPr>
        <w:t>并标明序号。</w:t>
      </w:r>
    </w:p>
    <w:p w14:paraId="7EEFD0E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2．每份简历表后应附该拟派人员以下资料：</w:t>
      </w:r>
    </w:p>
    <w:p w14:paraId="6422DB85">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00B95211">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（2）相关证书（具体要求详见招标文件第一章第三节第</w:t>
      </w:r>
      <w:r>
        <w:rPr>
          <w:rFonts w:hint="eastAsia" w:hAnsi="宋体" w:cs="宋体"/>
          <w:b/>
          <w:bCs/>
          <w:snapToGrid w:val="0"/>
          <w:color w:val="000000" w:themeColor="text1"/>
          <w:kern w:val="0"/>
          <w:sz w:val="21"/>
          <w:szCs w:val="28"/>
          <w:highlight w:val="none"/>
          <w14:textFill>
            <w14:solidFill>
              <w14:schemeClr w14:val="tx1"/>
            </w14:solidFill>
          </w14:textFill>
        </w:rPr>
        <w:t>15.5</w:t>
      </w:r>
      <w:r>
        <w:rPr>
          <w:rFonts w:hint="eastAsia" w:hAnsi="宋体" w:cs="宋体"/>
          <w:snapToGrid w:val="0"/>
          <w:color w:val="000000" w:themeColor="text1"/>
          <w:kern w:val="0"/>
          <w:sz w:val="21"/>
          <w:szCs w:val="28"/>
          <w:highlight w:val="none"/>
          <w14:textFill>
            <w14:solidFill>
              <w14:schemeClr w14:val="tx1"/>
            </w14:solidFill>
          </w14:textFill>
        </w:rPr>
        <w:t>条表</w:t>
      </w:r>
      <w:r>
        <w:rPr>
          <w:rFonts w:hint="eastAsia" w:hAnsi="宋体" w:cs="宋体"/>
          <w:b/>
          <w:bCs/>
          <w:snapToGrid w:val="0"/>
          <w:color w:val="000000" w:themeColor="text1"/>
          <w:kern w:val="0"/>
          <w:sz w:val="21"/>
          <w:szCs w:val="28"/>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《项目监理机构其他人员需求表》“持证要求”栏目）彩色扫描件，其中注册证书须彩色扫描至变更注册栏或使用有效期内的电子证书</w:t>
      </w:r>
      <w:r>
        <w:rPr>
          <w:rFonts w:hint="eastAsia" w:hAnsi="宋体" w:cs="宋体"/>
          <w:snapToGrid w:val="0"/>
          <w:color w:val="000000" w:themeColor="text1"/>
          <w:kern w:val="0"/>
          <w:sz w:val="21"/>
          <w:szCs w:val="21"/>
          <w:highlight w:val="none"/>
          <w14:textFill>
            <w14:solidFill>
              <w14:schemeClr w14:val="tx1"/>
            </w14:solidFill>
          </w14:textFill>
        </w:rPr>
        <w:t>；</w:t>
      </w:r>
    </w:p>
    <w:p w14:paraId="352CC0E5">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ascii="Times New Roman"/>
          <w:snapToGrid w:val="0"/>
          <w:color w:val="000000" w:themeColor="text1"/>
          <w:kern w:val="0"/>
          <w:sz w:val="21"/>
          <w:szCs w:val="28"/>
          <w:highlight w:val="none"/>
          <w14:textFill>
            <w14:solidFill>
              <w14:schemeClr w14:val="tx1"/>
            </w14:solidFill>
          </w14:textFill>
        </w:rPr>
        <w:t>在本单位缴纳社保的证明</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8"/>
          <w:highlight w:val="none"/>
          <w:lang w:eastAsia="zh-CN"/>
          <w14:textFill>
            <w14:solidFill>
              <w14:schemeClr w14:val="tx1"/>
            </w14:solidFill>
          </w14:textFill>
        </w:rPr>
        <w:t>至少一个月</w:t>
      </w:r>
      <w:r>
        <w:rPr>
          <w:rFonts w:hint="eastAsia" w:hAnsi="宋体" w:cs="宋体"/>
          <w:snapToGrid w:val="0"/>
          <w:color w:val="000000" w:themeColor="text1"/>
          <w:kern w:val="0"/>
          <w:sz w:val="21"/>
          <w:szCs w:val="28"/>
          <w:highlight w:val="none"/>
          <w14:textFill>
            <w14:solidFill>
              <w14:schemeClr w14:val="tx1"/>
            </w14:solidFill>
          </w14:textFill>
        </w:rPr>
        <w:t>，其中必须有</w:t>
      </w:r>
      <w:r>
        <w:rPr>
          <w:rFonts w:hint="eastAsia" w:hAnsi="宋体" w:cs="宋体"/>
          <w:snapToGrid w:val="0"/>
          <w:color w:val="000000" w:themeColor="text1"/>
          <w:kern w:val="0"/>
          <w:sz w:val="21"/>
          <w:szCs w:val="28"/>
          <w:highlight w:val="none"/>
          <w:lang w:eastAsia="zh-CN"/>
          <w14:textFill>
            <w14:solidFill>
              <w14:schemeClr w14:val="tx1"/>
            </w14:solidFill>
          </w14:textFill>
        </w:rPr>
        <w:t>20</w:t>
      </w:r>
      <w:r>
        <w:rPr>
          <w:rFonts w:hint="eastAsia" w:hAnsi="宋体" w:cs="宋体"/>
          <w:snapToGrid w:val="0"/>
          <w:color w:val="000000" w:themeColor="text1"/>
          <w:kern w:val="0"/>
          <w:sz w:val="21"/>
          <w:szCs w:val="28"/>
          <w:highlight w:val="none"/>
          <w:lang w:val="en-US" w:eastAsia="zh-CN"/>
          <w14:textFill>
            <w14:solidFill>
              <w14:schemeClr w14:val="tx1"/>
            </w14:solidFill>
          </w14:textFill>
        </w:rPr>
        <w:t>26</w:t>
      </w:r>
      <w:r>
        <w:rPr>
          <w:rFonts w:hint="eastAsia" w:hAnsi="宋体" w:cs="宋体"/>
          <w:snapToGrid w:val="0"/>
          <w:color w:val="000000" w:themeColor="text1"/>
          <w:kern w:val="0"/>
          <w:sz w:val="21"/>
          <w:szCs w:val="28"/>
          <w:highlight w:val="none"/>
          <w:lang w:eastAsia="zh-CN"/>
          <w14:textFill>
            <w14:solidFill>
              <w14:schemeClr w14:val="tx1"/>
            </w14:solidFill>
          </w14:textFill>
        </w:rPr>
        <w:t>年</w:t>
      </w:r>
      <w:r>
        <w:rPr>
          <w:rFonts w:hint="eastAsia" w:hAnsi="宋体" w:cs="宋体"/>
          <w:snapToGrid w:val="0"/>
          <w:color w:val="000000" w:themeColor="text1"/>
          <w:kern w:val="0"/>
          <w:sz w:val="21"/>
          <w:szCs w:val="28"/>
          <w:highlight w:val="none"/>
          <w:lang w:val="en-US" w:eastAsia="zh-CN"/>
          <w14:textFill>
            <w14:solidFill>
              <w14:schemeClr w14:val="tx1"/>
            </w14:solidFill>
          </w14:textFill>
        </w:rPr>
        <w:t>2</w:t>
      </w:r>
      <w:r>
        <w:rPr>
          <w:rFonts w:hint="eastAsia" w:hAnsi="宋体" w:cs="宋体"/>
          <w:snapToGrid w:val="0"/>
          <w:color w:val="000000" w:themeColor="text1"/>
          <w:kern w:val="0"/>
          <w:sz w:val="21"/>
          <w:szCs w:val="28"/>
          <w:highlight w:val="none"/>
          <w:lang w:eastAsia="zh-CN"/>
          <w14:textFill>
            <w14:solidFill>
              <w14:schemeClr w14:val="tx1"/>
            </w14:solidFill>
          </w14:textFill>
        </w:rPr>
        <w:t>月</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ascii="Times New Roman"/>
          <w:snapToGrid w:val="0"/>
          <w:color w:val="000000" w:themeColor="text1"/>
          <w:kern w:val="0"/>
          <w:sz w:val="21"/>
          <w:szCs w:val="28"/>
          <w:highlight w:val="none"/>
          <w14:textFill>
            <w14:solidFill>
              <w14:schemeClr w14:val="tx1"/>
            </w14:solidFill>
          </w14:textFill>
        </w:rPr>
        <w:t>彩色扫描件。拟派人员为退休返聘人员无法提供社保证明的，提供退休证和劳动合同</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lang w:val="en-US" w:eastAsia="zh-CN"/>
          <w14:textFill>
            <w14:solidFill>
              <w14:schemeClr w14:val="tx1"/>
            </w14:solidFill>
          </w14:textFill>
        </w:rPr>
        <w:t>返聘协议</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ascii="Times New Roman"/>
          <w:snapToGrid w:val="0"/>
          <w:color w:val="000000" w:themeColor="text1"/>
          <w:kern w:val="0"/>
          <w:sz w:val="21"/>
          <w:szCs w:val="28"/>
          <w:highlight w:val="none"/>
          <w14:textFill>
            <w14:solidFill>
              <w14:schemeClr w14:val="tx1"/>
            </w14:solidFill>
          </w14:textFill>
        </w:rPr>
        <w:t>彩色扫描件；</w:t>
      </w:r>
    </w:p>
    <w:p w14:paraId="04243789">
      <w:pPr>
        <w:pStyle w:val="8"/>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3.“进粤企业和人员诚信信息登记平台”个人信息情况截图。（适用于省外建筑企业）</w:t>
      </w:r>
    </w:p>
    <w:p w14:paraId="2E2B18CA">
      <w:pPr>
        <w:rPr>
          <w:color w:val="000000" w:themeColor="text1"/>
          <w:highlight w:val="none"/>
          <w14:textFill>
            <w14:solidFill>
              <w14:schemeClr w14:val="tx1"/>
            </w14:solidFill>
          </w14:textFill>
        </w:rPr>
      </w:pPr>
      <w:bookmarkStart w:id="277" w:name="_Toc593"/>
      <w:bookmarkStart w:id="278" w:name="_Toc25312"/>
    </w:p>
    <w:p w14:paraId="0E14E2B3">
      <w:pPr>
        <w:rPr>
          <w:color w:val="000000" w:themeColor="text1"/>
          <w:highlight w:val="none"/>
          <w14:textFill>
            <w14:solidFill>
              <w14:schemeClr w14:val="tx1"/>
            </w14:solidFill>
          </w14:textFill>
        </w:rPr>
      </w:pPr>
    </w:p>
    <w:p w14:paraId="619FA131">
      <w:pPr>
        <w:rPr>
          <w:color w:val="000000" w:themeColor="text1"/>
          <w:highlight w:val="none"/>
          <w14:textFill>
            <w14:solidFill>
              <w14:schemeClr w14:val="tx1"/>
            </w14:solidFill>
          </w14:textFill>
        </w:rPr>
      </w:pPr>
    </w:p>
    <w:p w14:paraId="7013B424">
      <w:pPr>
        <w:rPr>
          <w:color w:val="000000" w:themeColor="text1"/>
          <w:highlight w:val="none"/>
          <w14:textFill>
            <w14:solidFill>
              <w14:schemeClr w14:val="tx1"/>
            </w14:solidFill>
          </w14:textFill>
        </w:rPr>
      </w:pPr>
    </w:p>
    <w:p w14:paraId="711B88DE">
      <w:pPr>
        <w:rPr>
          <w:color w:val="000000" w:themeColor="text1"/>
          <w:highlight w:val="none"/>
          <w14:textFill>
            <w14:solidFill>
              <w14:schemeClr w14:val="tx1"/>
            </w14:solidFill>
          </w14:textFill>
        </w:rPr>
      </w:pPr>
    </w:p>
    <w:bookmarkEnd w:id="277"/>
    <w:bookmarkEnd w:id="278"/>
    <w:p w14:paraId="5D5DA391">
      <w:pPr>
        <w:pStyle w:val="47"/>
        <w:keepNext/>
        <w:keepLines/>
        <w:snapToGrid w:val="0"/>
        <w:spacing w:line="400" w:lineRule="exact"/>
        <w:jc w:val="center"/>
        <w:rPr>
          <w:rFonts w:ascii="宋体" w:hAnsi="宋体" w:cs="宋体"/>
          <w:b/>
          <w:color w:val="000000" w:themeColor="text1"/>
          <w:kern w:val="44"/>
          <w:sz w:val="32"/>
          <w:szCs w:val="22"/>
          <w:highlight w:val="none"/>
          <w14:textFill>
            <w14:solidFill>
              <w14:schemeClr w14:val="tx1"/>
            </w14:solidFill>
          </w14:textFill>
        </w:rPr>
      </w:pPr>
      <w:bookmarkStart w:id="279" w:name="_Toc133160683"/>
      <w:bookmarkStart w:id="280" w:name="_Toc142468134"/>
      <w:bookmarkStart w:id="281" w:name="_Toc13722"/>
      <w:bookmarkStart w:id="282" w:name="_Toc137444778"/>
      <w:bookmarkStart w:id="283" w:name="_Toc12936"/>
      <w:bookmarkStart w:id="284" w:name="_Toc132687128"/>
      <w:bookmarkStart w:id="285" w:name="_Toc3174"/>
      <w:bookmarkStart w:id="286" w:name="_Toc78794873"/>
      <w:bookmarkStart w:id="287" w:name="_Toc133815902"/>
      <w:r>
        <w:rPr>
          <w:rFonts w:hint="eastAsia" w:ascii="宋体" w:hAnsi="宋体" w:cs="宋体"/>
          <w:b/>
          <w:color w:val="000000" w:themeColor="text1"/>
          <w:kern w:val="44"/>
          <w:sz w:val="32"/>
          <w:szCs w:val="22"/>
          <w:highlight w:val="none"/>
          <w14:textFill>
            <w14:solidFill>
              <w14:schemeClr w14:val="tx1"/>
            </w14:solidFill>
          </w14:textFill>
        </w:rPr>
        <w:t>第六章 建设工程监理合同</w:t>
      </w:r>
      <w:bookmarkEnd w:id="279"/>
      <w:bookmarkEnd w:id="280"/>
      <w:bookmarkEnd w:id="281"/>
      <w:bookmarkEnd w:id="282"/>
      <w:bookmarkEnd w:id="283"/>
      <w:bookmarkEnd w:id="284"/>
      <w:bookmarkEnd w:id="285"/>
    </w:p>
    <w:p w14:paraId="6D9AEA93">
      <w:pPr>
        <w:wordWrap w:val="0"/>
        <w:adjustRightInd w:val="0"/>
        <w:snapToGrid w:val="0"/>
        <w:spacing w:before="360" w:beforeLines="150" w:line="400" w:lineRule="exact"/>
        <w:rPr>
          <w:rFonts w:hAnsi="宋体" w:cs="宋体"/>
          <w:color w:val="000000" w:themeColor="text1"/>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（略），</w:t>
      </w:r>
      <w:bookmarkEnd w:id="286"/>
      <w:bookmarkEnd w:id="287"/>
      <w:r>
        <w:rPr>
          <w:rFonts w:hint="eastAsia" w:hAnsi="宋体" w:cs="宋体"/>
          <w:snapToGrid w:val="0"/>
          <w:color w:val="000000" w:themeColor="text1"/>
          <w:kern w:val="0"/>
          <w:highlight w:val="none"/>
          <w14:textFill>
            <w14:solidFill>
              <w14:schemeClr w14:val="tx1"/>
            </w14:solidFill>
          </w14:textFill>
        </w:rPr>
        <w:t>按照《建设工程监理合同（示范文本）》（GF—2012—0202）执行。</w:t>
      </w:r>
    </w:p>
    <w:p w14:paraId="24B909A6">
      <w:pPr>
        <w:pStyle w:val="8"/>
        <w:snapToGrid w:val="0"/>
        <w:spacing w:line="400" w:lineRule="exact"/>
        <w:rPr>
          <w:rFonts w:hAnsi="宋体" w:cs="宋体"/>
          <w:snapToGrid w:val="0"/>
          <w:color w:val="000000" w:themeColor="text1"/>
          <w:highlight w:val="none"/>
          <w14:textFill>
            <w14:solidFill>
              <w14:schemeClr w14:val="tx1"/>
            </w14:solidFill>
          </w14:textFill>
        </w:rPr>
      </w:pPr>
    </w:p>
    <w:p w14:paraId="69FA4F3A">
      <w:pPr>
        <w:pStyle w:val="42"/>
        <w:widowControl w:val="0"/>
        <w:wordWrap w:val="0"/>
        <w:adjustRightInd w:val="0"/>
        <w:snapToGrid w:val="0"/>
        <w:spacing w:line="400" w:lineRule="exact"/>
        <w:ind w:firstLine="0"/>
        <w:rPr>
          <w:rFonts w:hAnsi="宋体" w:cs="宋体"/>
          <w:snapToGrid w:val="0"/>
          <w:color w:val="000000" w:themeColor="text1"/>
          <w:sz w:val="21"/>
          <w:highlight w:val="none"/>
          <w14:textFill>
            <w14:solidFill>
              <w14:schemeClr w14:val="tx1"/>
            </w14:solidFill>
          </w14:textFill>
        </w:rPr>
      </w:pPr>
    </w:p>
    <w:p w14:paraId="761C2E90">
      <w:pPr>
        <w:rPr>
          <w:color w:val="000000" w:themeColor="text1"/>
          <w:highlight w:val="none"/>
          <w14:textFill>
            <w14:solidFill>
              <w14:schemeClr w14:val="tx1"/>
            </w14:solidFill>
          </w14:textFill>
        </w:rPr>
      </w:pPr>
    </w:p>
    <w:sectPr>
      <w:footerReference r:id="rId7" w:type="default"/>
      <w:endnotePr>
        <w:numFmt w:val="decimal"/>
      </w:endnotePr>
      <w:pgSz w:w="11906" w:h="16838"/>
      <w:pgMar w:top="1440" w:right="1080" w:bottom="1440" w:left="1080"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358A">
    <w:pPr>
      <w:pStyle w:val="13"/>
    </w:pPr>
  </w:p>
  <w:p w14:paraId="6964C425">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F7368">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66B014">
                          <w:pPr>
                            <w:pStyle w:val="13"/>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2AYRdcBAACyAwAADgAAAGRycy9lMm9Eb2MueG1srVPBjtMwEL0j8Q+W&#10;7zTZg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YvOHPC0sDPP76ff/4+//rG&#10;nqf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NgGEXXAQAAsgMAAA4AAAAAAAAAAQAgAAAA&#10;HgEAAGRycy9lMm9Eb2MueG1sUEsFBgAAAAAGAAYAWQEAAGcFAAAAAA==&#10;">
              <v:fill on="f" focussize="0,0"/>
              <v:stroke on="f"/>
              <v:imagedata o:title=""/>
              <o:lock v:ext="edit" aspectratio="f"/>
              <v:textbox inset="0mm,0mm,0mm,0mm" style="mso-fit-shape-to-text:t;">
                <w:txbxContent>
                  <w:p w14:paraId="5A66B014">
                    <w:pPr>
                      <w:pStyle w:val="13"/>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5248C">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0CA8F">
                          <w:pPr>
                            <w:pStyle w:val="13"/>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00E0CA8F">
                    <w:pPr>
                      <w:pStyle w:val="13"/>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66FA7097"/>
    <w:rsid w:val="006A1CF9"/>
    <w:rsid w:val="007535E1"/>
    <w:rsid w:val="00EF5BA2"/>
    <w:rsid w:val="01785B98"/>
    <w:rsid w:val="01B974D3"/>
    <w:rsid w:val="01E0373D"/>
    <w:rsid w:val="02FA048B"/>
    <w:rsid w:val="031B28F8"/>
    <w:rsid w:val="034F0B7A"/>
    <w:rsid w:val="0371289F"/>
    <w:rsid w:val="03DF4502"/>
    <w:rsid w:val="041B280B"/>
    <w:rsid w:val="046046C1"/>
    <w:rsid w:val="047F0FEB"/>
    <w:rsid w:val="0494241D"/>
    <w:rsid w:val="05127889"/>
    <w:rsid w:val="05F8588B"/>
    <w:rsid w:val="06540256"/>
    <w:rsid w:val="06FB7EA8"/>
    <w:rsid w:val="07181283"/>
    <w:rsid w:val="081464DB"/>
    <w:rsid w:val="089D360C"/>
    <w:rsid w:val="0B7B7B9F"/>
    <w:rsid w:val="0B7F2572"/>
    <w:rsid w:val="0B920297"/>
    <w:rsid w:val="0C5E251C"/>
    <w:rsid w:val="0C924D4B"/>
    <w:rsid w:val="0D7855E9"/>
    <w:rsid w:val="0DCD4B64"/>
    <w:rsid w:val="0E122ED0"/>
    <w:rsid w:val="0E3920DC"/>
    <w:rsid w:val="0E6761E8"/>
    <w:rsid w:val="0EEE2070"/>
    <w:rsid w:val="0FC30C31"/>
    <w:rsid w:val="0FD8620E"/>
    <w:rsid w:val="10F44B0F"/>
    <w:rsid w:val="11CB447B"/>
    <w:rsid w:val="11FE3E97"/>
    <w:rsid w:val="1332191F"/>
    <w:rsid w:val="150115A9"/>
    <w:rsid w:val="183E4C55"/>
    <w:rsid w:val="1920416A"/>
    <w:rsid w:val="192D5062"/>
    <w:rsid w:val="1A1A55E6"/>
    <w:rsid w:val="1A295829"/>
    <w:rsid w:val="1A2A49B8"/>
    <w:rsid w:val="1ABD41C4"/>
    <w:rsid w:val="1AD31C39"/>
    <w:rsid w:val="1B2D30F7"/>
    <w:rsid w:val="1B395F40"/>
    <w:rsid w:val="1B902A8C"/>
    <w:rsid w:val="1CC47A8B"/>
    <w:rsid w:val="1CDD28FB"/>
    <w:rsid w:val="1D163264"/>
    <w:rsid w:val="1DEF2EA7"/>
    <w:rsid w:val="1E041CD3"/>
    <w:rsid w:val="1E8B3B0D"/>
    <w:rsid w:val="1EF92460"/>
    <w:rsid w:val="1F6F5922"/>
    <w:rsid w:val="1F996FAD"/>
    <w:rsid w:val="1FCB1131"/>
    <w:rsid w:val="209561F4"/>
    <w:rsid w:val="212A1E87"/>
    <w:rsid w:val="21C127EB"/>
    <w:rsid w:val="2263474D"/>
    <w:rsid w:val="22EA7B20"/>
    <w:rsid w:val="23713D9D"/>
    <w:rsid w:val="24D740D4"/>
    <w:rsid w:val="24ED38F7"/>
    <w:rsid w:val="25B82157"/>
    <w:rsid w:val="25EB42DB"/>
    <w:rsid w:val="25EB6089"/>
    <w:rsid w:val="26AF4EFB"/>
    <w:rsid w:val="26DA3F62"/>
    <w:rsid w:val="26E76818"/>
    <w:rsid w:val="278319E6"/>
    <w:rsid w:val="28243AD4"/>
    <w:rsid w:val="29932CBF"/>
    <w:rsid w:val="2A0F3EE7"/>
    <w:rsid w:val="2A946CEF"/>
    <w:rsid w:val="2B033E75"/>
    <w:rsid w:val="2B3D790B"/>
    <w:rsid w:val="2BD71534"/>
    <w:rsid w:val="2BD82C0B"/>
    <w:rsid w:val="2BFE428C"/>
    <w:rsid w:val="2C5524AE"/>
    <w:rsid w:val="2D32459D"/>
    <w:rsid w:val="2D4744ED"/>
    <w:rsid w:val="2DA03343"/>
    <w:rsid w:val="2DEA4E78"/>
    <w:rsid w:val="2E6B5FB9"/>
    <w:rsid w:val="2F414F6C"/>
    <w:rsid w:val="2F6B56EC"/>
    <w:rsid w:val="302145E0"/>
    <w:rsid w:val="304D454B"/>
    <w:rsid w:val="304E127D"/>
    <w:rsid w:val="30C220DC"/>
    <w:rsid w:val="30DF4A3C"/>
    <w:rsid w:val="31F954E6"/>
    <w:rsid w:val="32144BB9"/>
    <w:rsid w:val="3219172E"/>
    <w:rsid w:val="323A4CC0"/>
    <w:rsid w:val="32860A3A"/>
    <w:rsid w:val="329B21AE"/>
    <w:rsid w:val="33861558"/>
    <w:rsid w:val="341162F4"/>
    <w:rsid w:val="34460F36"/>
    <w:rsid w:val="34B4585E"/>
    <w:rsid w:val="35015858"/>
    <w:rsid w:val="35A4768F"/>
    <w:rsid w:val="35FA5E74"/>
    <w:rsid w:val="36B3674F"/>
    <w:rsid w:val="36CB38C9"/>
    <w:rsid w:val="370D618D"/>
    <w:rsid w:val="373D6FB2"/>
    <w:rsid w:val="379B110E"/>
    <w:rsid w:val="37A12A4B"/>
    <w:rsid w:val="37B70636"/>
    <w:rsid w:val="3825666F"/>
    <w:rsid w:val="385C672F"/>
    <w:rsid w:val="38FA1486"/>
    <w:rsid w:val="3987227C"/>
    <w:rsid w:val="3CBA3564"/>
    <w:rsid w:val="3D006466"/>
    <w:rsid w:val="3DD65787"/>
    <w:rsid w:val="3DDC2A2F"/>
    <w:rsid w:val="3DED3C7C"/>
    <w:rsid w:val="3E2241BA"/>
    <w:rsid w:val="3EA03A5D"/>
    <w:rsid w:val="3EB10A79"/>
    <w:rsid w:val="3EB8082D"/>
    <w:rsid w:val="3F5C420E"/>
    <w:rsid w:val="3FDC0668"/>
    <w:rsid w:val="3FF176A3"/>
    <w:rsid w:val="3FFD4EDF"/>
    <w:rsid w:val="409110DB"/>
    <w:rsid w:val="412A3AB2"/>
    <w:rsid w:val="41D66B71"/>
    <w:rsid w:val="427F38A6"/>
    <w:rsid w:val="435766B4"/>
    <w:rsid w:val="44464048"/>
    <w:rsid w:val="449851D6"/>
    <w:rsid w:val="44991AE0"/>
    <w:rsid w:val="44CB55AC"/>
    <w:rsid w:val="452D567B"/>
    <w:rsid w:val="45551EB3"/>
    <w:rsid w:val="46C6205E"/>
    <w:rsid w:val="4729480F"/>
    <w:rsid w:val="47C14A44"/>
    <w:rsid w:val="4800731A"/>
    <w:rsid w:val="481C39B0"/>
    <w:rsid w:val="494E2307"/>
    <w:rsid w:val="49C01DE7"/>
    <w:rsid w:val="49DA3B9B"/>
    <w:rsid w:val="4B307F16"/>
    <w:rsid w:val="4BF666B1"/>
    <w:rsid w:val="4C077A86"/>
    <w:rsid w:val="4C40160A"/>
    <w:rsid w:val="4CDA1B92"/>
    <w:rsid w:val="4D225F85"/>
    <w:rsid w:val="4DE65204"/>
    <w:rsid w:val="4E712D20"/>
    <w:rsid w:val="4EA50C1B"/>
    <w:rsid w:val="4F425986"/>
    <w:rsid w:val="4F7725B8"/>
    <w:rsid w:val="4FAE4A52"/>
    <w:rsid w:val="4FC357FD"/>
    <w:rsid w:val="4FE87012"/>
    <w:rsid w:val="5002582E"/>
    <w:rsid w:val="5141363B"/>
    <w:rsid w:val="5147420C"/>
    <w:rsid w:val="51617008"/>
    <w:rsid w:val="517B23B7"/>
    <w:rsid w:val="518731EF"/>
    <w:rsid w:val="51D30CD8"/>
    <w:rsid w:val="51E8779D"/>
    <w:rsid w:val="521560B8"/>
    <w:rsid w:val="52506890"/>
    <w:rsid w:val="52C6351E"/>
    <w:rsid w:val="52CC0F47"/>
    <w:rsid w:val="534D068E"/>
    <w:rsid w:val="54161C73"/>
    <w:rsid w:val="54B24092"/>
    <w:rsid w:val="54CA69F1"/>
    <w:rsid w:val="56293EE0"/>
    <w:rsid w:val="566A4F22"/>
    <w:rsid w:val="56EC3E28"/>
    <w:rsid w:val="56EF15DD"/>
    <w:rsid w:val="57407733"/>
    <w:rsid w:val="57783371"/>
    <w:rsid w:val="579E08FE"/>
    <w:rsid w:val="57BA2840"/>
    <w:rsid w:val="590E560F"/>
    <w:rsid w:val="59260BAB"/>
    <w:rsid w:val="594D63A1"/>
    <w:rsid w:val="596A4F3B"/>
    <w:rsid w:val="5A9304C2"/>
    <w:rsid w:val="5AE9424C"/>
    <w:rsid w:val="5AEE56F8"/>
    <w:rsid w:val="5BE36C26"/>
    <w:rsid w:val="5CC338F6"/>
    <w:rsid w:val="5CF5164B"/>
    <w:rsid w:val="5D3A093F"/>
    <w:rsid w:val="5DD92690"/>
    <w:rsid w:val="5E2860C2"/>
    <w:rsid w:val="603646D3"/>
    <w:rsid w:val="61F71336"/>
    <w:rsid w:val="62A274F4"/>
    <w:rsid w:val="635D166D"/>
    <w:rsid w:val="63D9257E"/>
    <w:rsid w:val="642F4DB7"/>
    <w:rsid w:val="645C13EA"/>
    <w:rsid w:val="646627A3"/>
    <w:rsid w:val="65322BF1"/>
    <w:rsid w:val="654E525A"/>
    <w:rsid w:val="65E47E23"/>
    <w:rsid w:val="666E1C77"/>
    <w:rsid w:val="66980E70"/>
    <w:rsid w:val="66FA7097"/>
    <w:rsid w:val="671927FE"/>
    <w:rsid w:val="67406A5C"/>
    <w:rsid w:val="678A0557"/>
    <w:rsid w:val="67B438E5"/>
    <w:rsid w:val="68813643"/>
    <w:rsid w:val="68FC7232"/>
    <w:rsid w:val="694641F3"/>
    <w:rsid w:val="696077C1"/>
    <w:rsid w:val="6A5110C7"/>
    <w:rsid w:val="6AA302AD"/>
    <w:rsid w:val="6AB72360"/>
    <w:rsid w:val="6B5415A7"/>
    <w:rsid w:val="6BE446D9"/>
    <w:rsid w:val="6C417D7E"/>
    <w:rsid w:val="6CBF5167"/>
    <w:rsid w:val="6CE81FA7"/>
    <w:rsid w:val="6DBE0F5A"/>
    <w:rsid w:val="6E407F1C"/>
    <w:rsid w:val="6EDA2E23"/>
    <w:rsid w:val="6F2A4552"/>
    <w:rsid w:val="6FD60754"/>
    <w:rsid w:val="6FDE3B35"/>
    <w:rsid w:val="704C0A9F"/>
    <w:rsid w:val="710C1B97"/>
    <w:rsid w:val="71BA7C8A"/>
    <w:rsid w:val="723E6567"/>
    <w:rsid w:val="72785B7B"/>
    <w:rsid w:val="72C658E2"/>
    <w:rsid w:val="743A5817"/>
    <w:rsid w:val="745813FD"/>
    <w:rsid w:val="748B2778"/>
    <w:rsid w:val="74BA1B1D"/>
    <w:rsid w:val="751029E3"/>
    <w:rsid w:val="752B3379"/>
    <w:rsid w:val="754613E5"/>
    <w:rsid w:val="75D237F5"/>
    <w:rsid w:val="762331ED"/>
    <w:rsid w:val="76A333E3"/>
    <w:rsid w:val="773D3837"/>
    <w:rsid w:val="777E28EC"/>
    <w:rsid w:val="78045D5D"/>
    <w:rsid w:val="78080136"/>
    <w:rsid w:val="78E84215"/>
    <w:rsid w:val="79357A5B"/>
    <w:rsid w:val="798A0C7E"/>
    <w:rsid w:val="7A7FD87E"/>
    <w:rsid w:val="7AE52B90"/>
    <w:rsid w:val="7B4414B7"/>
    <w:rsid w:val="7B75534E"/>
    <w:rsid w:val="7C084414"/>
    <w:rsid w:val="7D742F87"/>
    <w:rsid w:val="7D871368"/>
    <w:rsid w:val="7DC75C09"/>
    <w:rsid w:val="7DF97179"/>
    <w:rsid w:val="7E1A3F8B"/>
    <w:rsid w:val="7E824A4E"/>
    <w:rsid w:val="7E8D29AE"/>
    <w:rsid w:val="7F9A3822"/>
    <w:rsid w:val="BFBDA7B0"/>
    <w:rsid w:val="FFF75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rPr>
  </w:style>
  <w:style w:type="paragraph" w:styleId="5">
    <w:name w:val="heading 3"/>
    <w:basedOn w:val="6"/>
    <w:next w:val="6"/>
    <w:link w:val="53"/>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7">
    <w:name w:val="heading 4"/>
    <w:basedOn w:val="1"/>
    <w:next w:val="1"/>
    <w:qFormat/>
    <w:uiPriority w:val="0"/>
    <w:pPr>
      <w:keepNext/>
      <w:keepLines/>
      <w:spacing w:before="280" w:after="290" w:line="374" w:lineRule="auto"/>
      <w:outlineLvl w:val="3"/>
    </w:pPr>
    <w:rPr>
      <w:rFonts w:ascii="Arial" w:hAnsi="Arial"/>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宋体"/>
      <w:kern w:val="2"/>
      <w:sz w:val="24"/>
      <w:szCs w:val="24"/>
      <w:lang w:val="en-US" w:eastAsia="zh-CN" w:bidi="ar-SA"/>
    </w:rPr>
  </w:style>
  <w:style w:type="paragraph" w:styleId="6">
    <w:name w:val="Normal Indent"/>
    <w:basedOn w:val="1"/>
    <w:qFormat/>
    <w:uiPriority w:val="0"/>
    <w:pPr>
      <w:widowControl/>
      <w:ind w:firstLine="420"/>
      <w:jc w:val="left"/>
    </w:pPr>
    <w:rPr>
      <w:kern w:val="0"/>
      <w:sz w:val="20"/>
    </w:rPr>
  </w:style>
  <w:style w:type="paragraph" w:styleId="8">
    <w:name w:val="annotation text"/>
    <w:basedOn w:val="1"/>
    <w:next w:val="1"/>
    <w:qFormat/>
    <w:uiPriority w:val="0"/>
    <w:pPr>
      <w:adjustRightInd w:val="0"/>
      <w:spacing w:line="360" w:lineRule="atLeast"/>
      <w:jc w:val="left"/>
      <w:textAlignment w:val="baseline"/>
    </w:pPr>
    <w:rPr>
      <w:kern w:val="0"/>
    </w:rPr>
  </w:style>
  <w:style w:type="paragraph" w:styleId="9">
    <w:name w:val="Body Text"/>
    <w:basedOn w:val="1"/>
    <w:next w:val="1"/>
    <w:qFormat/>
    <w:uiPriority w:val="0"/>
    <w:pPr>
      <w:spacing w:after="120"/>
    </w:pPr>
  </w:style>
  <w:style w:type="paragraph" w:styleId="10">
    <w:name w:val="Body Text Indent"/>
    <w:basedOn w:val="1"/>
    <w:qFormat/>
    <w:uiPriority w:val="0"/>
    <w:pPr>
      <w:ind w:firstLine="560" w:firstLineChars="200"/>
    </w:pPr>
  </w:style>
  <w:style w:type="paragraph" w:styleId="11">
    <w:name w:val="toc 3"/>
    <w:basedOn w:val="1"/>
    <w:next w:val="1"/>
    <w:qFormat/>
    <w:uiPriority w:val="0"/>
    <w:pPr>
      <w:ind w:left="561"/>
      <w:jc w:val="left"/>
    </w:pPr>
  </w:style>
  <w:style w:type="paragraph" w:styleId="12">
    <w:name w:val="Body Text Indent 2"/>
    <w:basedOn w:val="1"/>
    <w:qFormat/>
    <w:uiPriority w:val="0"/>
    <w:pPr>
      <w:spacing w:line="480" w:lineRule="auto"/>
      <w:ind w:firstLine="561"/>
    </w:pPr>
  </w:style>
  <w:style w:type="paragraph" w:styleId="13">
    <w:name w:val="footer"/>
    <w:basedOn w:val="1"/>
    <w:qFormat/>
    <w:uiPriority w:val="0"/>
    <w:pPr>
      <w:widowControl/>
      <w:tabs>
        <w:tab w:val="center" w:pos="4153"/>
        <w:tab w:val="right" w:pos="8306"/>
      </w:tabs>
      <w:snapToGrid w:val="0"/>
      <w:jc w:val="left"/>
    </w:pPr>
    <w:rPr>
      <w:kern w:val="0"/>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pPr>
      <w:spacing w:before="120" w:after="120"/>
      <w:jc w:val="left"/>
    </w:pPr>
    <w:rPr>
      <w:caps/>
    </w:rPr>
  </w:style>
  <w:style w:type="paragraph" w:styleId="16">
    <w:name w:val="toc 2"/>
    <w:basedOn w:val="1"/>
    <w:next w:val="1"/>
    <w:qFormat/>
    <w:uiPriority w:val="0"/>
    <w:pPr>
      <w:ind w:left="278"/>
      <w:jc w:val="left"/>
    </w:pPr>
    <w:rPr>
      <w:smallCaps/>
    </w:rPr>
  </w:style>
  <w:style w:type="paragraph" w:styleId="17">
    <w:name w:val="Body Text 2"/>
    <w:basedOn w:val="1"/>
    <w:next w:val="9"/>
    <w:qFormat/>
    <w:uiPriority w:val="0"/>
    <w:pPr>
      <w:spacing w:line="500" w:lineRule="exact"/>
    </w:pPr>
    <w:rPr>
      <w:rFonts w:ascii="宋体" w:hAnsi="Times New Roman" w:eastAsia="宋体" w:cs="Times New Roman"/>
      <w:sz w:val="24"/>
    </w:rPr>
  </w:style>
  <w:style w:type="paragraph" w:styleId="18">
    <w:name w:val="Normal (Web)"/>
    <w:basedOn w:val="1"/>
    <w:qFormat/>
    <w:uiPriority w:val="0"/>
    <w:pPr>
      <w:widowControl/>
      <w:spacing w:before="100" w:beforeAutospacing="1" w:after="100" w:afterAutospacing="1" w:line="240" w:lineRule="auto"/>
      <w:jc w:val="left"/>
    </w:pPr>
    <w:rPr>
      <w:rFonts w:hAnsi="宋体" w:cs="宋体"/>
      <w:color w:val="000000"/>
      <w:kern w:val="0"/>
      <w:szCs w:val="24"/>
    </w:rPr>
  </w:style>
  <w:style w:type="character" w:styleId="21">
    <w:name w:val="Hyperlink"/>
    <w:qFormat/>
    <w:uiPriority w:val="0"/>
    <w:rPr>
      <w:color w:val="0000FF"/>
      <w:u w:val="single"/>
    </w:rPr>
  </w:style>
  <w:style w:type="paragraph" w:customStyle="1" w:styleId="22">
    <w:name w:val="Default"/>
    <w:basedOn w:val="23"/>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23">
    <w:name w:val="Normal_0"/>
    <w:basedOn w:val="24"/>
    <w:next w:val="22"/>
    <w:qFormat/>
    <w:uiPriority w:val="0"/>
    <w:rPr>
      <w:rFonts w:cs="Times New Roman"/>
    </w:rPr>
  </w:style>
  <w:style w:type="paragraph" w:customStyle="1" w:styleId="24">
    <w:name w:val="正文_2"/>
    <w:qFormat/>
    <w:uiPriority w:val="99"/>
    <w:pPr>
      <w:widowControl w:val="0"/>
      <w:jc w:val="both"/>
    </w:pPr>
    <w:rPr>
      <w:rFonts w:ascii="Calibri" w:hAnsi="Calibri" w:eastAsia="宋体" w:cs="Calibri"/>
      <w:kern w:val="2"/>
      <w:sz w:val="21"/>
      <w:szCs w:val="21"/>
      <w:lang w:val="en-US" w:eastAsia="zh-CN" w:bidi="ar-SA"/>
    </w:rPr>
  </w:style>
  <w:style w:type="paragraph" w:customStyle="1" w:styleId="25">
    <w:name w:val="样式 宋体 行距: 1.5 倍行距"/>
    <w:basedOn w:val="26"/>
    <w:next w:val="1"/>
    <w:qFormat/>
    <w:uiPriority w:val="0"/>
    <w:pPr>
      <w:jc w:val="center"/>
    </w:pPr>
    <w:rPr>
      <w:rFonts w:ascii="Times New Roman"/>
      <w:b/>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27">
    <w:name w:val="正文缩进1"/>
    <w:basedOn w:val="1"/>
    <w:qFormat/>
    <w:uiPriority w:val="0"/>
    <w:pPr>
      <w:widowControl/>
      <w:ind w:firstLine="420"/>
      <w:jc w:val="left"/>
    </w:pPr>
    <w:rPr>
      <w:rFonts w:ascii="Times New Roman" w:hAnsi="Times New Roman" w:eastAsia="宋体" w:cs="Times New Roman"/>
      <w:kern w:val="0"/>
      <w:sz w:val="20"/>
    </w:rPr>
  </w:style>
  <w:style w:type="paragraph" w:customStyle="1" w:styleId="2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3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普通(网站) New"/>
    <w:basedOn w:val="38"/>
    <w:qFormat/>
    <w:uiPriority w:val="0"/>
    <w:rPr>
      <w:sz w:val="24"/>
    </w:rPr>
  </w:style>
  <w:style w:type="paragraph" w:customStyle="1" w:styleId="3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0">
    <w:name w:val="Normal Indent1"/>
    <w:basedOn w:val="1"/>
    <w:qFormat/>
    <w:uiPriority w:val="0"/>
    <w:pPr>
      <w:widowControl/>
      <w:ind w:firstLine="420"/>
      <w:jc w:val="left"/>
    </w:pPr>
    <w:rPr>
      <w:rFonts w:ascii="Times New Roman"/>
      <w:kern w:val="0"/>
    </w:rPr>
  </w:style>
  <w:style w:type="paragraph" w:customStyle="1" w:styleId="41">
    <w:name w:val="标题 3 New New"/>
    <w:basedOn w:val="42"/>
    <w:next w:val="42"/>
    <w:qFormat/>
    <w:uiPriority w:val="0"/>
    <w:pPr>
      <w:keepNext/>
      <w:keepLines/>
      <w:spacing w:before="120" w:after="120"/>
      <w:jc w:val="center"/>
      <w:outlineLvl w:val="2"/>
    </w:pPr>
    <w:rPr>
      <w:sz w:val="24"/>
    </w:rPr>
  </w:style>
  <w:style w:type="paragraph" w:customStyle="1" w:styleId="42">
    <w:name w:val="正文缩进 New"/>
    <w:basedOn w:val="43"/>
    <w:qFormat/>
    <w:uiPriority w:val="0"/>
    <w:pPr>
      <w:widowControl/>
      <w:ind w:firstLine="420"/>
      <w:jc w:val="left"/>
    </w:pPr>
    <w:rPr>
      <w:kern w:val="0"/>
      <w:sz w:val="20"/>
    </w:rPr>
  </w:style>
  <w:style w:type="paragraph" w:customStyle="1" w:styleId="43">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4">
    <w:name w:val="正文文本缩进 New"/>
    <w:basedOn w:val="43"/>
    <w:qFormat/>
    <w:uiPriority w:val="0"/>
    <w:pPr>
      <w:ind w:firstLine="560" w:firstLineChars="200"/>
    </w:pPr>
  </w:style>
  <w:style w:type="paragraph" w:customStyle="1" w:styleId="4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标题 2 New New"/>
    <w:basedOn w:val="31"/>
    <w:next w:val="31"/>
    <w:qFormat/>
    <w:uiPriority w:val="0"/>
    <w:pPr>
      <w:autoSpaceDE w:val="0"/>
      <w:autoSpaceDN w:val="0"/>
      <w:adjustRightInd w:val="0"/>
      <w:jc w:val="left"/>
      <w:outlineLvl w:val="1"/>
    </w:pPr>
    <w:rPr>
      <w:kern w:val="0"/>
      <w:sz w:val="24"/>
    </w:rPr>
  </w:style>
  <w:style w:type="paragraph" w:customStyle="1" w:styleId="47">
    <w:name w:val="标题 1 New"/>
    <w:basedOn w:val="31"/>
    <w:next w:val="31"/>
    <w:qFormat/>
    <w:uiPriority w:val="0"/>
    <w:pPr>
      <w:autoSpaceDE w:val="0"/>
      <w:autoSpaceDN w:val="0"/>
      <w:adjustRightInd w:val="0"/>
      <w:jc w:val="left"/>
      <w:outlineLvl w:val="0"/>
    </w:pPr>
    <w:rPr>
      <w:kern w:val="0"/>
      <w:sz w:val="30"/>
    </w:rPr>
  </w:style>
  <w:style w:type="paragraph" w:customStyle="1" w:styleId="48">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Table Text"/>
    <w:basedOn w:val="1"/>
    <w:semiHidden/>
    <w:qFormat/>
    <w:uiPriority w:val="0"/>
    <w:rPr>
      <w:rFonts w:ascii="宋体" w:hAnsi="宋体" w:eastAsia="宋体" w:cs="宋体"/>
      <w:sz w:val="15"/>
      <w:szCs w:val="15"/>
      <w:lang w:val="en-US" w:eastAsia="en-US" w:bidi="ar-SA"/>
    </w:rPr>
  </w:style>
  <w:style w:type="table" w:customStyle="1" w:styleId="50">
    <w:name w:val="Table Normal"/>
    <w:semiHidden/>
    <w:unhideWhenUsed/>
    <w:qFormat/>
    <w:uiPriority w:val="0"/>
    <w:tblPr>
      <w:tblCellMar>
        <w:top w:w="0" w:type="dxa"/>
        <w:left w:w="0" w:type="dxa"/>
        <w:bottom w:w="0" w:type="dxa"/>
        <w:right w:w="0" w:type="dxa"/>
      </w:tblCellMar>
    </w:tblPr>
  </w:style>
  <w:style w:type="paragraph" w:customStyle="1" w:styleId="51">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52">
    <w:name w:val="NormalCharacter"/>
    <w:qFormat/>
    <w:uiPriority w:val="99"/>
  </w:style>
  <w:style w:type="character" w:customStyle="1" w:styleId="53">
    <w:name w:val="标题 3 Char"/>
    <w:link w:val="5"/>
    <w:qFormat/>
    <w:uiPriority w:val="0"/>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6222</Words>
  <Characters>6847</Characters>
  <Lines>0</Lines>
  <Paragraphs>0</Paragraphs>
  <TotalTime>2</TotalTime>
  <ScaleCrop>false</ScaleCrop>
  <LinksUpToDate>false</LinksUpToDate>
  <CharactersWithSpaces>7164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2025-05-14T23:28:00Z</dcterms:created>
  <dc:creator>admin</dc:creator>
  <cp:lastModifiedBy>晨曦</cp:lastModifiedBy>
  <cp:lastPrinted>2026-03-21T11:57:00Z</cp:lastPrinted>
  <dcterms:modified xsi:type="dcterms:W3CDTF">2026-03-27T00:00:58Z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114E2670BA0C4BFBB37287DD934D1353_13</vt:lpwstr>
  </property>
  <property fmtid="{D5CDD505-2E9C-101B-9397-08002B2CF9AE}" pid="4" name="KSOTemplateDocerSaveRecord">
    <vt:lpwstr>eyJoZGlkIjoiOGJmMDA2NGQyMzZlNjM5MzA0YmFjNTc5NjdkZmMxODQiLCJ1c2VySWQiOiIyNTU5NTE0NjEifQ==</vt:lpwstr>
  </property>
</Properties>
</file>