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1E4E7F8">
      <w:pPr>
        <w:pStyle w:val="106"/>
        <w:wordWrap w:val="0"/>
        <w:adjustRightInd w:val="0"/>
        <w:snapToGrid w:val="0"/>
        <w:spacing w:line="360" w:lineRule="auto"/>
        <w:jc w:val="center"/>
        <w:rPr>
          <w:rFonts w:hint="eastAsia" w:ascii="宋体" w:hAnsi="宋体" w:eastAsia="宋体" w:cs="宋体"/>
          <w:snapToGrid w:val="0"/>
          <w:color w:val="auto"/>
          <w:kern w:val="0"/>
          <w:sz w:val="36"/>
          <w:szCs w:val="20"/>
          <w:highlight w:val="none"/>
          <w:u w:val="single"/>
        </w:rPr>
      </w:pPr>
      <w:r>
        <w:rPr>
          <w:rFonts w:hint="eastAsia" w:ascii="宋体" w:hAnsi="宋体" w:eastAsia="宋体" w:cs="宋体"/>
          <w:b/>
          <w:snapToGrid w:val="0"/>
          <w:color w:val="auto"/>
          <w:kern w:val="0"/>
          <w:sz w:val="48"/>
          <w:szCs w:val="48"/>
          <w:highlight w:val="none"/>
          <w:lang w:val="en-US" w:eastAsia="zh-CN"/>
        </w:rPr>
        <w:t>红山镇村（居）公共资源分布式光伏项目施工</w:t>
      </w:r>
    </w:p>
    <w:p w14:paraId="5542D802">
      <w:pPr>
        <w:pStyle w:val="106"/>
        <w:wordWrap w:val="0"/>
        <w:adjustRightInd w:val="0"/>
        <w:snapToGrid w:val="0"/>
        <w:spacing w:line="360" w:lineRule="auto"/>
        <w:rPr>
          <w:rFonts w:hint="eastAsia" w:ascii="宋体" w:hAnsi="宋体" w:eastAsia="宋体" w:cs="宋体"/>
          <w:snapToGrid w:val="0"/>
          <w:color w:val="auto"/>
          <w:kern w:val="0"/>
          <w:sz w:val="36"/>
          <w:highlight w:val="none"/>
          <w:u w:val="single"/>
        </w:rPr>
      </w:pPr>
    </w:p>
    <w:p w14:paraId="47F40127">
      <w:pPr>
        <w:rPr>
          <w:rFonts w:hint="eastAsia" w:ascii="宋体" w:hAnsi="宋体" w:eastAsia="宋体" w:cs="宋体"/>
          <w:color w:val="auto"/>
        </w:rPr>
      </w:pPr>
    </w:p>
    <w:p w14:paraId="5A84CC65">
      <w:pPr>
        <w:pStyle w:val="2"/>
        <w:rPr>
          <w:rFonts w:hint="eastAsia" w:ascii="宋体" w:hAnsi="宋体" w:eastAsia="宋体" w:cs="宋体"/>
          <w:color w:val="auto"/>
        </w:rPr>
      </w:pPr>
    </w:p>
    <w:p w14:paraId="468DC4E6">
      <w:pPr>
        <w:pStyle w:val="106"/>
        <w:wordWrap w:val="0"/>
        <w:adjustRightInd w:val="0"/>
        <w:snapToGrid w:val="0"/>
        <w:spacing w:line="360" w:lineRule="auto"/>
        <w:jc w:val="center"/>
        <w:rPr>
          <w:rFonts w:hint="eastAsia" w:ascii="宋体" w:hAnsi="宋体" w:eastAsia="宋体" w:cs="宋体"/>
          <w:b/>
          <w:bCs/>
          <w:snapToGrid w:val="0"/>
          <w:color w:val="auto"/>
          <w:kern w:val="0"/>
          <w:sz w:val="72"/>
          <w:szCs w:val="72"/>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snapToGrid w:val="0"/>
          <w:color w:val="auto"/>
          <w:kern w:val="0"/>
          <w:sz w:val="72"/>
          <w:szCs w:val="72"/>
          <w:highlight w:val="none"/>
          <w14:shadow w14:blurRad="50800" w14:dist="38100" w14:dir="2700000" w14:sx="100000" w14:sy="100000" w14:kx="0" w14:ky="0" w14:algn="tl">
            <w14:srgbClr w14:val="000000">
              <w14:alpha w14:val="60000"/>
            </w14:srgbClr>
          </w14:shadow>
        </w:rPr>
        <w:t>招标文件</w:t>
      </w:r>
    </w:p>
    <w:p w14:paraId="759BB127">
      <w:pPr>
        <w:wordWrap w:val="0"/>
        <w:adjustRightInd w:val="0"/>
        <w:snapToGrid w:val="0"/>
        <w:rPr>
          <w:rFonts w:hint="eastAsia" w:ascii="宋体" w:hAnsi="宋体" w:eastAsia="宋体" w:cs="宋体"/>
          <w:b/>
          <w:bCs/>
          <w:snapToGrid w:val="0"/>
          <w:color w:val="auto"/>
          <w:kern w:val="0"/>
          <w:sz w:val="48"/>
          <w:szCs w:val="48"/>
          <w:highlight w:val="none"/>
        </w:rPr>
      </w:pPr>
    </w:p>
    <w:p w14:paraId="33F67AC1">
      <w:pPr>
        <w:pStyle w:val="10"/>
        <w:rPr>
          <w:rFonts w:hint="eastAsia" w:ascii="宋体" w:hAnsi="宋体" w:eastAsia="宋体" w:cs="宋体"/>
          <w:color w:val="auto"/>
          <w:highlight w:val="none"/>
        </w:rPr>
      </w:pPr>
    </w:p>
    <w:tbl>
      <w:tblPr>
        <w:tblStyle w:val="32"/>
        <w:tblW w:w="9728" w:type="dxa"/>
        <w:tblInd w:w="-100" w:type="dxa"/>
        <w:tblLayout w:type="fixed"/>
        <w:tblCellMar>
          <w:top w:w="0" w:type="dxa"/>
          <w:left w:w="0" w:type="dxa"/>
          <w:bottom w:w="0" w:type="dxa"/>
          <w:right w:w="0" w:type="dxa"/>
        </w:tblCellMar>
      </w:tblPr>
      <w:tblGrid>
        <w:gridCol w:w="4708"/>
        <w:gridCol w:w="5020"/>
      </w:tblGrid>
      <w:tr w14:paraId="24803AE6">
        <w:tblPrEx>
          <w:tblCellMar>
            <w:top w:w="0" w:type="dxa"/>
            <w:left w:w="0" w:type="dxa"/>
            <w:bottom w:w="0" w:type="dxa"/>
            <w:right w:w="0" w:type="dxa"/>
          </w:tblCellMar>
        </w:tblPrEx>
        <w:trPr>
          <w:trHeight w:val="1205" w:hRule="atLeast"/>
        </w:trPr>
        <w:tc>
          <w:tcPr>
            <w:tcW w:w="4708" w:type="dxa"/>
            <w:noWrap w:val="0"/>
            <w:vAlign w:val="center"/>
          </w:tcPr>
          <w:p w14:paraId="0258E065">
            <w:pPr>
              <w:pStyle w:val="13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人（盖单位章）：</w:t>
            </w:r>
          </w:p>
        </w:tc>
        <w:tc>
          <w:tcPr>
            <w:tcW w:w="5020" w:type="dxa"/>
            <w:noWrap w:val="0"/>
            <w:vAlign w:val="center"/>
          </w:tcPr>
          <w:p w14:paraId="10A9CB0B">
            <w:pPr>
              <w:pStyle w:val="134"/>
              <w:wordWrap w:val="0"/>
              <w:adjustRightInd w:val="0"/>
              <w:snapToGrid w:val="0"/>
              <w:spacing w:line="240" w:lineRule="auto"/>
              <w:rPr>
                <w:rFonts w:hint="eastAsia" w:ascii="宋体" w:hAnsi="宋体" w:eastAsia="宋体" w:cs="宋体"/>
                <w:snapToGrid w:val="0"/>
                <w:color w:val="auto"/>
                <w:kern w:val="0"/>
                <w:sz w:val="28"/>
                <w:szCs w:val="28"/>
                <w:highlight w:val="none"/>
              </w:rPr>
            </w:pPr>
            <w:r>
              <w:rPr>
                <w:rFonts w:hint="eastAsia" w:hAnsi="宋体" w:cs="宋体"/>
                <w:snapToGrid w:val="0"/>
                <w:color w:val="auto"/>
                <w:kern w:val="0"/>
                <w:sz w:val="28"/>
                <w:szCs w:val="28"/>
                <w:highlight w:val="none"/>
                <w:lang w:eastAsia="zh-CN"/>
              </w:rPr>
              <w:t>仁化县红山镇水电管理所</w:t>
            </w:r>
          </w:p>
        </w:tc>
      </w:tr>
      <w:tr w14:paraId="505655B0">
        <w:tblPrEx>
          <w:tblCellMar>
            <w:top w:w="0" w:type="dxa"/>
            <w:left w:w="0" w:type="dxa"/>
            <w:bottom w:w="0" w:type="dxa"/>
            <w:right w:w="0" w:type="dxa"/>
          </w:tblCellMar>
        </w:tblPrEx>
        <w:trPr>
          <w:trHeight w:val="1130" w:hRule="atLeast"/>
        </w:trPr>
        <w:tc>
          <w:tcPr>
            <w:tcW w:w="4708" w:type="dxa"/>
            <w:noWrap w:val="0"/>
            <w:vAlign w:val="center"/>
          </w:tcPr>
          <w:p w14:paraId="0665CC3C">
            <w:pPr>
              <w:pStyle w:val="13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招标人工作领导小组负责人（签字）：</w:t>
            </w:r>
          </w:p>
        </w:tc>
        <w:tc>
          <w:tcPr>
            <w:tcW w:w="5020" w:type="dxa"/>
            <w:noWrap w:val="0"/>
            <w:vAlign w:val="center"/>
          </w:tcPr>
          <w:p w14:paraId="67E41C51">
            <w:pPr>
              <w:pStyle w:val="134"/>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0A0EA0D6">
        <w:tblPrEx>
          <w:tblCellMar>
            <w:top w:w="0" w:type="dxa"/>
            <w:left w:w="0" w:type="dxa"/>
            <w:bottom w:w="0" w:type="dxa"/>
            <w:right w:w="0" w:type="dxa"/>
          </w:tblCellMar>
        </w:tblPrEx>
        <w:trPr>
          <w:trHeight w:val="1190" w:hRule="atLeast"/>
        </w:trPr>
        <w:tc>
          <w:tcPr>
            <w:tcW w:w="4708" w:type="dxa"/>
            <w:noWrap w:val="0"/>
            <w:vAlign w:val="center"/>
          </w:tcPr>
          <w:p w14:paraId="2F8964E4">
            <w:pPr>
              <w:pStyle w:val="13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 标 代 理 机 构 （盖单位章）：</w:t>
            </w:r>
          </w:p>
        </w:tc>
        <w:tc>
          <w:tcPr>
            <w:tcW w:w="5020" w:type="dxa"/>
            <w:noWrap w:val="0"/>
            <w:vAlign w:val="center"/>
          </w:tcPr>
          <w:p w14:paraId="5904D003">
            <w:pPr>
              <w:pStyle w:val="134"/>
              <w:wordWrap w:val="0"/>
              <w:adjustRightInd w:val="0"/>
              <w:snapToGrid w:val="0"/>
              <w:spacing w:line="240" w:lineRule="auto"/>
              <w:rPr>
                <w:rFonts w:hint="eastAsia" w:ascii="宋体" w:hAnsi="宋体" w:eastAsia="宋体" w:cs="宋体"/>
                <w:snapToGrid w:val="0"/>
                <w:color w:val="auto"/>
                <w:kern w:val="0"/>
                <w:sz w:val="28"/>
                <w:szCs w:val="28"/>
                <w:highlight w:val="none"/>
              </w:rPr>
            </w:pPr>
            <w:r>
              <w:rPr>
                <w:rFonts w:hint="eastAsia" w:hAnsi="宋体" w:cs="宋体"/>
                <w:snapToGrid w:val="0"/>
                <w:color w:val="auto"/>
                <w:kern w:val="0"/>
                <w:sz w:val="28"/>
                <w:szCs w:val="28"/>
                <w:highlight w:val="none"/>
                <w:lang w:eastAsia="zh-CN"/>
              </w:rPr>
              <w:t>广州穗图项目管理有限公司</w:t>
            </w:r>
          </w:p>
        </w:tc>
      </w:tr>
      <w:tr w14:paraId="2A1D3D73">
        <w:tblPrEx>
          <w:tblCellMar>
            <w:top w:w="0" w:type="dxa"/>
            <w:left w:w="0" w:type="dxa"/>
            <w:bottom w:w="0" w:type="dxa"/>
            <w:right w:w="0" w:type="dxa"/>
          </w:tblCellMar>
        </w:tblPrEx>
        <w:trPr>
          <w:trHeight w:val="1185" w:hRule="atLeast"/>
        </w:trPr>
        <w:tc>
          <w:tcPr>
            <w:tcW w:w="4708" w:type="dxa"/>
            <w:noWrap w:val="0"/>
            <w:vAlign w:val="center"/>
          </w:tcPr>
          <w:p w14:paraId="7C63534D">
            <w:pPr>
              <w:pStyle w:val="13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招标文件编制人（签字）：</w:t>
            </w:r>
          </w:p>
        </w:tc>
        <w:tc>
          <w:tcPr>
            <w:tcW w:w="5020" w:type="dxa"/>
            <w:noWrap w:val="0"/>
            <w:vAlign w:val="center"/>
          </w:tcPr>
          <w:p w14:paraId="0130EA5C">
            <w:pPr>
              <w:pStyle w:val="134"/>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12A406AF">
        <w:tblPrEx>
          <w:tblCellMar>
            <w:top w:w="0" w:type="dxa"/>
            <w:left w:w="0" w:type="dxa"/>
            <w:bottom w:w="0" w:type="dxa"/>
            <w:right w:w="0" w:type="dxa"/>
          </w:tblCellMar>
        </w:tblPrEx>
        <w:trPr>
          <w:trHeight w:val="1185" w:hRule="atLeast"/>
        </w:trPr>
        <w:tc>
          <w:tcPr>
            <w:tcW w:w="4708" w:type="dxa"/>
            <w:noWrap w:val="0"/>
            <w:vAlign w:val="center"/>
          </w:tcPr>
          <w:p w14:paraId="1E941685">
            <w:pPr>
              <w:pStyle w:val="13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招标代理机构项目负责人（签字）：</w:t>
            </w:r>
          </w:p>
        </w:tc>
        <w:tc>
          <w:tcPr>
            <w:tcW w:w="5020" w:type="dxa"/>
            <w:noWrap w:val="0"/>
            <w:vAlign w:val="center"/>
          </w:tcPr>
          <w:p w14:paraId="76DD85E2">
            <w:pPr>
              <w:pStyle w:val="134"/>
              <w:wordWrap w:val="0"/>
              <w:adjustRightInd w:val="0"/>
              <w:snapToGrid w:val="0"/>
              <w:spacing w:line="240" w:lineRule="auto"/>
              <w:rPr>
                <w:rFonts w:hint="eastAsia" w:ascii="宋体" w:hAnsi="宋体" w:eastAsia="宋体" w:cs="宋体"/>
                <w:snapToGrid w:val="0"/>
                <w:color w:val="auto"/>
                <w:kern w:val="0"/>
                <w:sz w:val="28"/>
                <w:szCs w:val="28"/>
                <w:highlight w:val="none"/>
              </w:rPr>
            </w:pPr>
          </w:p>
        </w:tc>
      </w:tr>
      <w:tr w14:paraId="2AE31B85">
        <w:tblPrEx>
          <w:tblCellMar>
            <w:top w:w="0" w:type="dxa"/>
            <w:left w:w="0" w:type="dxa"/>
            <w:bottom w:w="0" w:type="dxa"/>
            <w:right w:w="0" w:type="dxa"/>
          </w:tblCellMar>
        </w:tblPrEx>
        <w:trPr>
          <w:trHeight w:val="892" w:hRule="atLeast"/>
        </w:trPr>
        <w:tc>
          <w:tcPr>
            <w:tcW w:w="4708" w:type="dxa"/>
            <w:noWrap w:val="0"/>
            <w:vAlign w:val="center"/>
          </w:tcPr>
          <w:p w14:paraId="769A6FE6">
            <w:pPr>
              <w:pStyle w:val="134"/>
              <w:wordWrap w:val="0"/>
              <w:adjustRightInd w:val="0"/>
              <w:snapToGrid w:val="0"/>
              <w:spacing w:line="240" w:lineRule="auto"/>
              <w:jc w:val="distribute"/>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rPr>
              <w:t xml:space="preserve"> 招标文件编制日期：</w:t>
            </w:r>
          </w:p>
        </w:tc>
        <w:tc>
          <w:tcPr>
            <w:tcW w:w="5020" w:type="dxa"/>
            <w:noWrap w:val="0"/>
            <w:vAlign w:val="center"/>
          </w:tcPr>
          <w:p w14:paraId="4065A6D2">
            <w:pPr>
              <w:pStyle w:val="134"/>
              <w:wordWrap w:val="0"/>
              <w:adjustRightInd w:val="0"/>
              <w:snapToGrid w:val="0"/>
              <w:spacing w:line="240" w:lineRule="auto"/>
              <w:rPr>
                <w:rFonts w:hint="eastAsia" w:ascii="宋体" w:hAnsi="宋体" w:eastAsia="宋体" w:cs="宋体"/>
                <w:snapToGrid w:val="0"/>
                <w:color w:val="auto"/>
                <w:kern w:val="0"/>
                <w:sz w:val="28"/>
                <w:highlight w:val="none"/>
              </w:rPr>
            </w:pPr>
            <w:r>
              <w:rPr>
                <w:rFonts w:hint="eastAsia" w:ascii="宋体" w:hAnsi="宋体" w:eastAsia="宋体" w:cs="宋体"/>
                <w:snapToGrid w:val="0"/>
                <w:color w:val="auto"/>
                <w:kern w:val="0"/>
                <w:sz w:val="28"/>
                <w:highlight w:val="none"/>
                <w:lang w:val="en-US" w:eastAsia="zh-CN"/>
              </w:rPr>
              <w:t>202</w:t>
            </w:r>
            <w:r>
              <w:rPr>
                <w:rFonts w:hint="eastAsia" w:hAnsi="宋体" w:cs="宋体"/>
                <w:snapToGrid w:val="0"/>
                <w:color w:val="auto"/>
                <w:kern w:val="0"/>
                <w:sz w:val="28"/>
                <w:highlight w:val="none"/>
                <w:lang w:val="en-US" w:eastAsia="zh-CN"/>
              </w:rPr>
              <w:t>6</w:t>
            </w:r>
            <w:r>
              <w:rPr>
                <w:rFonts w:hint="eastAsia" w:ascii="宋体" w:hAnsi="宋体" w:eastAsia="宋体" w:cs="宋体"/>
                <w:snapToGrid w:val="0"/>
                <w:color w:val="auto"/>
                <w:kern w:val="0"/>
                <w:sz w:val="28"/>
                <w:highlight w:val="none"/>
              </w:rPr>
              <w:t>年</w:t>
            </w:r>
            <w:r>
              <w:rPr>
                <w:rFonts w:hint="eastAsia" w:hAnsi="宋体" w:cs="宋体"/>
                <w:snapToGrid w:val="0"/>
                <w:color w:val="auto"/>
                <w:kern w:val="0"/>
                <w:sz w:val="28"/>
                <w:highlight w:val="none"/>
                <w:lang w:val="en-US" w:eastAsia="zh-CN"/>
              </w:rPr>
              <w:t>06</w:t>
            </w:r>
            <w:r>
              <w:rPr>
                <w:rFonts w:hint="eastAsia" w:ascii="宋体" w:hAnsi="宋体" w:eastAsia="宋体" w:cs="宋体"/>
                <w:snapToGrid w:val="0"/>
                <w:color w:val="auto"/>
                <w:kern w:val="0"/>
                <w:sz w:val="28"/>
                <w:highlight w:val="none"/>
              </w:rPr>
              <w:t>月</w:t>
            </w:r>
          </w:p>
        </w:tc>
      </w:tr>
    </w:tbl>
    <w:p w14:paraId="6D92AB77">
      <w:pPr>
        <w:tabs>
          <w:tab w:val="left" w:pos="4935"/>
        </w:tabs>
        <w:wordWrap w:val="0"/>
        <w:adjustRightInd w:val="0"/>
        <w:snapToGrid w:val="0"/>
        <w:jc w:val="center"/>
        <w:rPr>
          <w:rFonts w:hint="eastAsia" w:ascii="宋体" w:hAnsi="宋体" w:eastAsia="宋体" w:cs="宋体"/>
          <w:b/>
          <w:snapToGrid w:val="0"/>
          <w:color w:val="auto"/>
          <w:kern w:val="0"/>
          <w:sz w:val="28"/>
          <w:szCs w:val="28"/>
          <w:highlight w:val="none"/>
        </w:rPr>
        <w:sectPr>
          <w:footerReference r:id="rId5" w:type="default"/>
          <w:endnotePr>
            <w:numFmt w:val="decimal"/>
          </w:endnotePr>
          <w:pgSz w:w="11906" w:h="16838"/>
          <w:pgMar w:top="1134" w:right="1134" w:bottom="1134" w:left="1134" w:header="850" w:footer="992" w:gutter="0"/>
          <w:pgBorders>
            <w:top w:val="none" w:sz="0" w:space="0"/>
            <w:left w:val="none" w:sz="0" w:space="0"/>
            <w:bottom w:val="none" w:sz="0" w:space="0"/>
            <w:right w:val="none" w:sz="0" w:space="0"/>
          </w:pgBorders>
          <w:pgNumType w:start="1"/>
          <w:cols w:space="720" w:num="1"/>
          <w:docGrid w:linePitch="327" w:charSpace="0"/>
        </w:sectPr>
      </w:pPr>
    </w:p>
    <w:p w14:paraId="5743CAD4">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4C5A3157">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458A10D6">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0472E155">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56B92B2C">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65F59A1E">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0E27BFFD">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779A8B20">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7D704B15">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03A6C86C">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769B7F41">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2159F95D">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6997E976">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4E64ADEE">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62D82045">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23D7FE0B">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7B4EE72C">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343C9A2C">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2253D997">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6A1FCC31">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19E69AA4">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41AC95EE">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7CF439E8">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12DC3E91">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06360384">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53D07953">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5C51944A">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795F6213">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3EF053CA">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0AE001D5">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p>
    <w:p w14:paraId="617161F4">
      <w:pPr>
        <w:rPr>
          <w:rFonts w:hint="eastAsia" w:ascii="宋体" w:hAnsi="宋体" w:eastAsia="宋体" w:cs="宋体"/>
          <w:b/>
          <w:snapToGrid w:val="0"/>
          <w:color w:val="auto"/>
          <w:kern w:val="0"/>
          <w:sz w:val="44"/>
          <w:szCs w:val="44"/>
          <w:highlight w:val="none"/>
          <w:lang w:val="en-US" w:eastAsia="zh-CN" w:bidi="ar-SA"/>
        </w:rPr>
      </w:pPr>
      <w:r>
        <w:rPr>
          <w:rFonts w:hint="eastAsia" w:ascii="宋体" w:hAnsi="宋体" w:eastAsia="宋体" w:cs="宋体"/>
          <w:b/>
          <w:snapToGrid w:val="0"/>
          <w:color w:val="auto"/>
          <w:kern w:val="0"/>
          <w:sz w:val="44"/>
          <w:szCs w:val="44"/>
          <w:highlight w:val="none"/>
          <w:lang w:val="en-US" w:eastAsia="zh-CN" w:bidi="ar-SA"/>
        </w:rPr>
        <w:br w:type="page"/>
      </w:r>
    </w:p>
    <w:p w14:paraId="597EAB36">
      <w:pPr>
        <w:tabs>
          <w:tab w:val="left" w:pos="4935"/>
        </w:tabs>
        <w:wordWrap w:val="0"/>
        <w:adjustRightInd w:val="0"/>
        <w:snapToGrid w:val="0"/>
        <w:spacing w:line="440" w:lineRule="exact"/>
        <w:ind w:left="0"/>
        <w:jc w:val="center"/>
        <w:rPr>
          <w:rFonts w:hint="eastAsia" w:ascii="宋体" w:hAnsi="宋体" w:eastAsia="宋体" w:cs="宋体"/>
          <w:b/>
          <w:snapToGrid w:val="0"/>
          <w:color w:val="auto"/>
          <w:kern w:val="0"/>
          <w:sz w:val="44"/>
          <w:szCs w:val="44"/>
          <w:highlight w:val="none"/>
          <w:lang w:val="en-US" w:eastAsia="zh-CN" w:bidi="ar-SA"/>
        </w:rPr>
      </w:pPr>
      <w:r>
        <w:rPr>
          <w:rFonts w:hint="eastAsia" w:ascii="宋体" w:hAnsi="宋体" w:eastAsia="宋体" w:cs="宋体"/>
          <w:b/>
          <w:snapToGrid w:val="0"/>
          <w:color w:val="auto"/>
          <w:kern w:val="0"/>
          <w:sz w:val="44"/>
          <w:szCs w:val="44"/>
          <w:highlight w:val="none"/>
          <w:lang w:val="en-US" w:eastAsia="zh-CN" w:bidi="ar-SA"/>
        </w:rPr>
        <w:t>目    录</w:t>
      </w:r>
    </w:p>
    <w:p w14:paraId="2E95E0AC">
      <w:pPr>
        <w:pStyle w:val="22"/>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TOC \o "1-3" \h \u </w:instrText>
      </w:r>
      <w:r>
        <w:rPr>
          <w:rFonts w:hint="eastAsia" w:ascii="宋体" w:hAnsi="宋体" w:eastAsia="宋体" w:cs="宋体"/>
          <w:color w:val="auto"/>
          <w:highlight w:val="none"/>
        </w:rPr>
        <w:fldChar w:fldCharType="separate"/>
      </w:r>
      <w:r>
        <w:rPr>
          <w:rFonts w:hint="eastAsia" w:ascii="宋体" w:hAnsi="宋体" w:eastAsia="宋体" w:cs="宋体"/>
          <w:b/>
          <w:bCs/>
          <w:color w:val="auto"/>
          <w:highlight w:val="none"/>
        </w:rPr>
        <w:fldChar w:fldCharType="begin"/>
      </w:r>
      <w:r>
        <w:rPr>
          <w:rFonts w:hint="eastAsia" w:ascii="宋体" w:hAnsi="宋体" w:eastAsia="宋体" w:cs="宋体"/>
          <w:b/>
          <w:bCs/>
          <w:color w:val="auto"/>
          <w:highlight w:val="none"/>
        </w:rPr>
        <w:instrText xml:space="preserve"> HYPERLINK \l _Toc14635 </w:instrText>
      </w:r>
      <w:r>
        <w:rPr>
          <w:rFonts w:hint="eastAsia" w:ascii="宋体" w:hAnsi="宋体" w:eastAsia="宋体" w:cs="宋体"/>
          <w:b/>
          <w:bCs/>
          <w:color w:val="auto"/>
          <w:highlight w:val="none"/>
        </w:rPr>
        <w:fldChar w:fldCharType="separate"/>
      </w:r>
      <w:r>
        <w:rPr>
          <w:rFonts w:hint="eastAsia" w:ascii="宋体" w:hAnsi="宋体" w:eastAsia="宋体" w:cs="宋体"/>
          <w:b/>
          <w:bCs/>
          <w:snapToGrid w:val="0"/>
          <w:color w:val="auto"/>
          <w:highlight w:val="none"/>
        </w:rPr>
        <w:t>第一章 投标人须知</w:t>
      </w:r>
      <w:r>
        <w:rPr>
          <w:rFonts w:hint="eastAsia" w:ascii="宋体" w:hAnsi="宋体" w:eastAsia="宋体" w:cs="宋体"/>
          <w:b/>
          <w:bCs/>
          <w:color w:val="auto"/>
        </w:rPr>
        <w:tab/>
      </w:r>
      <w:r>
        <w:rPr>
          <w:rFonts w:hint="eastAsia" w:ascii="宋体" w:hAnsi="宋体" w:eastAsia="宋体" w:cs="宋体"/>
          <w:b/>
          <w:bCs/>
          <w:color w:val="auto"/>
        </w:rPr>
        <w:fldChar w:fldCharType="begin"/>
      </w:r>
      <w:r>
        <w:rPr>
          <w:rFonts w:hint="eastAsia" w:ascii="宋体" w:hAnsi="宋体" w:eastAsia="宋体" w:cs="宋体"/>
          <w:b/>
          <w:bCs/>
          <w:color w:val="auto"/>
        </w:rPr>
        <w:instrText xml:space="preserve"> PAGEREF _Toc14635 \h </w:instrText>
      </w:r>
      <w:r>
        <w:rPr>
          <w:rFonts w:hint="eastAsia" w:ascii="宋体" w:hAnsi="宋体" w:eastAsia="宋体" w:cs="宋体"/>
          <w:b/>
          <w:bCs/>
          <w:color w:val="auto"/>
        </w:rPr>
        <w:fldChar w:fldCharType="separate"/>
      </w:r>
      <w:r>
        <w:rPr>
          <w:rFonts w:hint="eastAsia" w:ascii="宋体" w:hAnsi="宋体" w:eastAsia="宋体" w:cs="宋体"/>
          <w:b/>
          <w:bCs/>
          <w:color w:val="auto"/>
        </w:rPr>
        <w:t>1</w:t>
      </w:r>
      <w:r>
        <w:rPr>
          <w:rFonts w:hint="eastAsia" w:ascii="宋体" w:hAnsi="宋体" w:eastAsia="宋体" w:cs="宋体"/>
          <w:b/>
          <w:bCs/>
          <w:color w:val="auto"/>
        </w:rPr>
        <w:fldChar w:fldCharType="end"/>
      </w:r>
      <w:r>
        <w:rPr>
          <w:rFonts w:hint="eastAsia" w:ascii="宋体" w:hAnsi="宋体" w:eastAsia="宋体" w:cs="宋体"/>
          <w:b/>
          <w:bCs/>
          <w:color w:val="auto"/>
          <w:highlight w:val="none"/>
        </w:rPr>
        <w:fldChar w:fldCharType="end"/>
      </w:r>
    </w:p>
    <w:p w14:paraId="7D21D9EF">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240" w:firstLineChars="1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_Toc22622 </w:instrText>
      </w:r>
      <w:r>
        <w:rPr>
          <w:rFonts w:hint="eastAsia" w:ascii="宋体" w:hAnsi="宋体" w:eastAsia="宋体" w:cs="宋体"/>
          <w:color w:val="auto"/>
          <w:highlight w:val="none"/>
        </w:rPr>
        <w:fldChar w:fldCharType="separate"/>
      </w:r>
      <w:r>
        <w:rPr>
          <w:rFonts w:hint="eastAsia" w:ascii="宋体" w:hAnsi="宋体" w:eastAsia="宋体" w:cs="宋体"/>
          <w:color w:val="auto"/>
        </w:rPr>
        <w:t>第一节 投标人须知前附表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_Toc22622 \h </w:instrText>
      </w:r>
      <w:r>
        <w:rPr>
          <w:rFonts w:hint="eastAsia" w:ascii="宋体" w:hAnsi="宋体" w:eastAsia="宋体" w:cs="宋体"/>
          <w:color w:val="auto"/>
        </w:rPr>
        <w:fldChar w:fldCharType="separate"/>
      </w:r>
      <w:r>
        <w:rPr>
          <w:rFonts w:hint="eastAsia" w:ascii="宋体" w:hAnsi="宋体" w:eastAsia="宋体" w:cs="宋体"/>
          <w:color w:val="auto"/>
        </w:rPr>
        <w:t>1</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2D87D76C">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240" w:firstLineChars="1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_Toc27937 </w:instrText>
      </w:r>
      <w:r>
        <w:rPr>
          <w:rFonts w:hint="eastAsia" w:ascii="宋体" w:hAnsi="宋体" w:eastAsia="宋体" w:cs="宋体"/>
          <w:color w:val="auto"/>
          <w:highlight w:val="none"/>
        </w:rPr>
        <w:fldChar w:fldCharType="separate"/>
      </w:r>
      <w:r>
        <w:rPr>
          <w:rFonts w:hint="eastAsia" w:ascii="宋体" w:hAnsi="宋体" w:eastAsia="宋体" w:cs="宋体"/>
          <w:color w:val="auto"/>
        </w:rPr>
        <w:t>第二节 重要事项时间地点一览表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_Toc27937 \h </w:instrText>
      </w:r>
      <w:r>
        <w:rPr>
          <w:rFonts w:hint="eastAsia" w:ascii="宋体" w:hAnsi="宋体" w:eastAsia="宋体" w:cs="宋体"/>
          <w:color w:val="auto"/>
        </w:rPr>
        <w:fldChar w:fldCharType="separate"/>
      </w:r>
      <w:r>
        <w:rPr>
          <w:rFonts w:hint="eastAsia" w:ascii="宋体" w:hAnsi="宋体" w:eastAsia="宋体" w:cs="宋体"/>
          <w:color w:val="auto"/>
        </w:rPr>
        <w:t>6</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7D70C156">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240" w:firstLineChars="1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_Toc30390 </w:instrText>
      </w:r>
      <w:r>
        <w:rPr>
          <w:rFonts w:hint="eastAsia" w:ascii="宋体" w:hAnsi="宋体" w:eastAsia="宋体" w:cs="宋体"/>
          <w:color w:val="auto"/>
          <w:highlight w:val="none"/>
        </w:rPr>
        <w:fldChar w:fldCharType="separate"/>
      </w:r>
      <w:r>
        <w:rPr>
          <w:rFonts w:hint="eastAsia" w:ascii="宋体" w:hAnsi="宋体" w:eastAsia="宋体" w:cs="宋体"/>
          <w:color w:val="auto"/>
        </w:rPr>
        <w:t>第三节 投标人须知正文</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_Toc30390 \h </w:instrText>
      </w:r>
      <w:r>
        <w:rPr>
          <w:rFonts w:hint="eastAsia" w:ascii="宋体" w:hAnsi="宋体" w:eastAsia="宋体" w:cs="宋体"/>
          <w:color w:val="auto"/>
        </w:rPr>
        <w:fldChar w:fldCharType="separate"/>
      </w:r>
      <w:r>
        <w:rPr>
          <w:rFonts w:hint="eastAsia" w:ascii="宋体" w:hAnsi="宋体" w:eastAsia="宋体" w:cs="宋体"/>
          <w:color w:val="auto"/>
        </w:rPr>
        <w:t>7</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A66191F">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_Toc25995 </w:instrText>
      </w:r>
      <w:r>
        <w:rPr>
          <w:rFonts w:hint="eastAsia" w:ascii="宋体" w:hAnsi="宋体" w:eastAsia="宋体" w:cs="宋体"/>
          <w:color w:val="auto"/>
          <w:highlight w:val="none"/>
        </w:rPr>
        <w:fldChar w:fldCharType="separate"/>
      </w:r>
      <w:r>
        <w:rPr>
          <w:rFonts w:hint="eastAsia" w:ascii="宋体" w:hAnsi="宋体" w:eastAsia="宋体" w:cs="宋体"/>
          <w:color w:val="auto"/>
        </w:rPr>
        <w:t>1．项目概况、招标范围和标段划分、投标费用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_Toc25995 \h </w:instrText>
      </w:r>
      <w:r>
        <w:rPr>
          <w:rFonts w:hint="eastAsia" w:ascii="宋体" w:hAnsi="宋体" w:eastAsia="宋体" w:cs="宋体"/>
          <w:color w:val="auto"/>
        </w:rPr>
        <w:fldChar w:fldCharType="separate"/>
      </w:r>
      <w:r>
        <w:rPr>
          <w:rFonts w:hint="eastAsia" w:ascii="宋体" w:hAnsi="宋体" w:eastAsia="宋体" w:cs="宋体"/>
          <w:color w:val="auto"/>
        </w:rPr>
        <w:t>7</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6FFD99FA">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_Toc14498 </w:instrText>
      </w:r>
      <w:r>
        <w:rPr>
          <w:rFonts w:hint="eastAsia" w:ascii="宋体" w:hAnsi="宋体" w:eastAsia="宋体" w:cs="宋体"/>
          <w:color w:val="auto"/>
          <w:highlight w:val="none"/>
        </w:rPr>
        <w:fldChar w:fldCharType="separate"/>
      </w:r>
      <w:r>
        <w:rPr>
          <w:rFonts w:hint="eastAsia" w:ascii="宋体" w:hAnsi="宋体" w:eastAsia="宋体" w:cs="宋体"/>
          <w:color w:val="auto"/>
        </w:rPr>
        <w:t>2．投标人资格要求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_Toc14498 \h </w:instrText>
      </w:r>
      <w:r>
        <w:rPr>
          <w:rFonts w:hint="eastAsia" w:ascii="宋体" w:hAnsi="宋体" w:eastAsia="宋体" w:cs="宋体"/>
          <w:color w:val="auto"/>
        </w:rPr>
        <w:fldChar w:fldCharType="separate"/>
      </w:r>
      <w:r>
        <w:rPr>
          <w:rFonts w:hint="eastAsia" w:ascii="宋体" w:hAnsi="宋体" w:eastAsia="宋体" w:cs="宋体"/>
          <w:color w:val="auto"/>
        </w:rPr>
        <w:t>7</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06D6B72">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_Toc6745 </w:instrText>
      </w:r>
      <w:r>
        <w:rPr>
          <w:rFonts w:hint="eastAsia" w:ascii="宋体" w:hAnsi="宋体" w:eastAsia="宋体" w:cs="宋体"/>
          <w:color w:val="auto"/>
          <w:highlight w:val="none"/>
        </w:rPr>
        <w:fldChar w:fldCharType="separate"/>
      </w:r>
      <w:r>
        <w:rPr>
          <w:rFonts w:hint="eastAsia" w:ascii="宋体" w:hAnsi="宋体" w:eastAsia="宋体" w:cs="宋体"/>
          <w:color w:val="auto"/>
        </w:rPr>
        <w:t>3．招标文件的获取、提问和答疑</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_Toc6745 \h </w:instrText>
      </w:r>
      <w:r>
        <w:rPr>
          <w:rFonts w:hint="eastAsia" w:ascii="宋体" w:hAnsi="宋体" w:eastAsia="宋体" w:cs="宋体"/>
          <w:color w:val="auto"/>
        </w:rPr>
        <w:fldChar w:fldCharType="separate"/>
      </w:r>
      <w:r>
        <w:rPr>
          <w:rFonts w:hint="eastAsia" w:ascii="宋体" w:hAnsi="宋体" w:eastAsia="宋体" w:cs="宋体"/>
          <w:color w:val="auto"/>
        </w:rPr>
        <w:t>9</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49A96413">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_Toc10093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4．</w:t>
      </w:r>
      <w:r>
        <w:rPr>
          <w:rFonts w:hint="eastAsia" w:ascii="宋体" w:hAnsi="宋体" w:eastAsia="宋体" w:cs="宋体"/>
          <w:color w:val="auto"/>
        </w:rPr>
        <w:t>工期要求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_Toc10093 \h </w:instrText>
      </w:r>
      <w:r>
        <w:rPr>
          <w:rFonts w:hint="eastAsia" w:ascii="宋体" w:hAnsi="宋体" w:eastAsia="宋体" w:cs="宋体"/>
          <w:color w:val="auto"/>
        </w:rPr>
        <w:fldChar w:fldCharType="separate"/>
      </w:r>
      <w:r>
        <w:rPr>
          <w:rFonts w:hint="eastAsia" w:ascii="宋体" w:hAnsi="宋体" w:eastAsia="宋体" w:cs="宋体"/>
          <w:color w:val="auto"/>
        </w:rPr>
        <w:t>11</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6C6B950A">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_Toc762 </w:instrText>
      </w:r>
      <w:r>
        <w:rPr>
          <w:rFonts w:hint="eastAsia" w:ascii="宋体" w:hAnsi="宋体" w:eastAsia="宋体" w:cs="宋体"/>
          <w:color w:val="auto"/>
          <w:highlight w:val="none"/>
        </w:rPr>
        <w:fldChar w:fldCharType="separate"/>
      </w:r>
      <w:r>
        <w:rPr>
          <w:rFonts w:hint="eastAsia" w:ascii="宋体" w:hAnsi="宋体" w:eastAsia="宋体" w:cs="宋体"/>
          <w:color w:val="auto"/>
        </w:rPr>
        <w:t>5．质量标准和材料、机械要求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_Toc762 \h </w:instrText>
      </w:r>
      <w:r>
        <w:rPr>
          <w:rFonts w:hint="eastAsia" w:ascii="宋体" w:hAnsi="宋体" w:eastAsia="宋体" w:cs="宋体"/>
          <w:color w:val="auto"/>
        </w:rPr>
        <w:fldChar w:fldCharType="separate"/>
      </w:r>
      <w:r>
        <w:rPr>
          <w:rFonts w:hint="eastAsia" w:ascii="宋体" w:hAnsi="宋体" w:eastAsia="宋体" w:cs="宋体"/>
          <w:color w:val="auto"/>
        </w:rPr>
        <w:t>11</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131FAF1F">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_Toc23462 </w:instrText>
      </w:r>
      <w:r>
        <w:rPr>
          <w:rFonts w:hint="eastAsia" w:ascii="宋体" w:hAnsi="宋体" w:eastAsia="宋体" w:cs="宋体"/>
          <w:color w:val="auto"/>
          <w:highlight w:val="none"/>
        </w:rPr>
        <w:fldChar w:fldCharType="separate"/>
      </w:r>
      <w:r>
        <w:rPr>
          <w:rFonts w:hint="eastAsia" w:ascii="宋体" w:hAnsi="宋体" w:eastAsia="宋体" w:cs="宋体"/>
          <w:color w:val="auto"/>
        </w:rPr>
        <w:t>6．施工条件及现场踏勘</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_Toc23462 \h </w:instrText>
      </w:r>
      <w:r>
        <w:rPr>
          <w:rFonts w:hint="eastAsia" w:ascii="宋体" w:hAnsi="宋体" w:eastAsia="宋体" w:cs="宋体"/>
          <w:color w:val="auto"/>
        </w:rPr>
        <w:fldChar w:fldCharType="separate"/>
      </w:r>
      <w:r>
        <w:rPr>
          <w:rFonts w:hint="eastAsia" w:ascii="宋体" w:hAnsi="宋体" w:eastAsia="宋体" w:cs="宋体"/>
          <w:color w:val="auto"/>
        </w:rPr>
        <w:t>12</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14A7B6E9">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_Toc29845 </w:instrText>
      </w:r>
      <w:r>
        <w:rPr>
          <w:rFonts w:hint="eastAsia" w:ascii="宋体" w:hAnsi="宋体" w:eastAsia="宋体" w:cs="宋体"/>
          <w:color w:val="auto"/>
          <w:highlight w:val="none"/>
        </w:rPr>
        <w:fldChar w:fldCharType="separate"/>
      </w:r>
      <w:r>
        <w:rPr>
          <w:rFonts w:hint="eastAsia" w:ascii="宋体" w:hAnsi="宋体" w:eastAsia="宋体" w:cs="宋体"/>
          <w:color w:val="auto"/>
        </w:rPr>
        <w:t>7．招标文件的提问和答疑</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_Toc29845 \h </w:instrText>
      </w:r>
      <w:r>
        <w:rPr>
          <w:rFonts w:hint="eastAsia" w:ascii="宋体" w:hAnsi="宋体" w:eastAsia="宋体" w:cs="宋体"/>
          <w:color w:val="auto"/>
        </w:rPr>
        <w:fldChar w:fldCharType="separate"/>
      </w:r>
      <w:r>
        <w:rPr>
          <w:rFonts w:hint="eastAsia" w:ascii="宋体" w:hAnsi="宋体" w:eastAsia="宋体" w:cs="宋体"/>
          <w:color w:val="auto"/>
        </w:rPr>
        <w:t>12</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1143485F">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_Toc21026 </w:instrText>
      </w:r>
      <w:r>
        <w:rPr>
          <w:rFonts w:hint="eastAsia" w:ascii="宋体" w:hAnsi="宋体" w:eastAsia="宋体" w:cs="宋体"/>
          <w:color w:val="auto"/>
          <w:highlight w:val="none"/>
        </w:rPr>
        <w:fldChar w:fldCharType="separate"/>
      </w:r>
      <w:r>
        <w:rPr>
          <w:rFonts w:hint="eastAsia" w:ascii="宋体" w:hAnsi="宋体" w:eastAsia="宋体" w:cs="宋体"/>
          <w:color w:val="auto"/>
        </w:rPr>
        <w:t>8．</w:t>
      </w:r>
      <w:r>
        <w:rPr>
          <w:rFonts w:hint="eastAsia" w:ascii="宋体" w:hAnsi="宋体" w:eastAsia="宋体" w:cs="宋体"/>
          <w:color w:val="auto"/>
          <w:lang w:val="en-US" w:eastAsia="zh-CN"/>
        </w:rPr>
        <w:t>最高投标限价</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_Toc21026 \h </w:instrText>
      </w:r>
      <w:r>
        <w:rPr>
          <w:rFonts w:hint="eastAsia" w:ascii="宋体" w:hAnsi="宋体" w:eastAsia="宋体" w:cs="宋体"/>
          <w:color w:val="auto"/>
        </w:rPr>
        <w:fldChar w:fldCharType="separate"/>
      </w:r>
      <w:r>
        <w:rPr>
          <w:rFonts w:hint="eastAsia" w:ascii="宋体" w:hAnsi="宋体" w:eastAsia="宋体" w:cs="宋体"/>
          <w:color w:val="auto"/>
        </w:rPr>
        <w:t>13</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2104ADA7">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_Toc19680 </w:instrText>
      </w:r>
      <w:r>
        <w:rPr>
          <w:rFonts w:hint="eastAsia" w:ascii="宋体" w:hAnsi="宋体" w:eastAsia="宋体" w:cs="宋体"/>
          <w:color w:val="auto"/>
          <w:highlight w:val="none"/>
        </w:rPr>
        <w:fldChar w:fldCharType="separate"/>
      </w:r>
      <w:r>
        <w:rPr>
          <w:rFonts w:hint="eastAsia" w:ascii="宋体" w:hAnsi="宋体" w:eastAsia="宋体" w:cs="宋体"/>
          <w:color w:val="auto"/>
        </w:rPr>
        <w:t>9．投标报价</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_Toc19680 \h </w:instrText>
      </w:r>
      <w:r>
        <w:rPr>
          <w:rFonts w:hint="eastAsia" w:ascii="宋体" w:hAnsi="宋体" w:eastAsia="宋体" w:cs="宋体"/>
          <w:color w:val="auto"/>
        </w:rPr>
        <w:fldChar w:fldCharType="separate"/>
      </w:r>
      <w:r>
        <w:rPr>
          <w:rFonts w:hint="eastAsia" w:ascii="宋体" w:hAnsi="宋体" w:eastAsia="宋体" w:cs="宋体"/>
          <w:color w:val="auto"/>
        </w:rPr>
        <w:t>14</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2C82BB4">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_Toc15652 </w:instrText>
      </w:r>
      <w:r>
        <w:rPr>
          <w:rFonts w:hint="eastAsia" w:ascii="宋体" w:hAnsi="宋体" w:eastAsia="宋体" w:cs="宋体"/>
          <w:color w:val="auto"/>
          <w:highlight w:val="none"/>
        </w:rPr>
        <w:fldChar w:fldCharType="separate"/>
      </w:r>
      <w:r>
        <w:rPr>
          <w:rFonts w:hint="eastAsia" w:ascii="宋体" w:hAnsi="宋体" w:eastAsia="宋体" w:cs="宋体"/>
          <w:color w:val="auto"/>
        </w:rPr>
        <w:t>10．投标文件的编制要求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_Toc15652 \h </w:instrText>
      </w:r>
      <w:r>
        <w:rPr>
          <w:rFonts w:hint="eastAsia" w:ascii="宋体" w:hAnsi="宋体" w:eastAsia="宋体" w:cs="宋体"/>
          <w:color w:val="auto"/>
        </w:rPr>
        <w:fldChar w:fldCharType="separate"/>
      </w:r>
      <w:r>
        <w:rPr>
          <w:rFonts w:hint="eastAsia" w:ascii="宋体" w:hAnsi="宋体" w:eastAsia="宋体" w:cs="宋体"/>
          <w:color w:val="auto"/>
        </w:rPr>
        <w:t>16</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2396E509">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_Toc5963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11.电子投标</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_Toc5963 \h </w:instrText>
      </w:r>
      <w:r>
        <w:rPr>
          <w:rFonts w:hint="eastAsia" w:ascii="宋体" w:hAnsi="宋体" w:eastAsia="宋体" w:cs="宋体"/>
          <w:color w:val="auto"/>
        </w:rPr>
        <w:fldChar w:fldCharType="separate"/>
      </w:r>
      <w:r>
        <w:rPr>
          <w:rFonts w:hint="eastAsia" w:ascii="宋体" w:hAnsi="宋体" w:eastAsia="宋体" w:cs="宋体"/>
          <w:color w:val="auto"/>
        </w:rPr>
        <w:t>19</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49884DCC">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_Toc25051 </w:instrText>
      </w:r>
      <w:r>
        <w:rPr>
          <w:rFonts w:hint="eastAsia" w:ascii="宋体" w:hAnsi="宋体" w:eastAsia="宋体" w:cs="宋体"/>
          <w:color w:val="auto"/>
          <w:highlight w:val="none"/>
        </w:rPr>
        <w:fldChar w:fldCharType="separate"/>
      </w:r>
      <w:r>
        <w:rPr>
          <w:rFonts w:hint="eastAsia" w:ascii="宋体" w:hAnsi="宋体" w:eastAsia="宋体" w:cs="宋体"/>
          <w:color w:val="auto"/>
          <w:kern w:val="2"/>
          <w:szCs w:val="20"/>
          <w:lang w:val="en-US" w:eastAsia="zh-CN" w:bidi="ar-SA"/>
        </w:rPr>
        <w:t>12.电子投标及投标解密失败及突发情况的补救方案</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_Toc25051 \h </w:instrText>
      </w:r>
      <w:r>
        <w:rPr>
          <w:rFonts w:hint="eastAsia" w:ascii="宋体" w:hAnsi="宋体" w:eastAsia="宋体" w:cs="宋体"/>
          <w:color w:val="auto"/>
        </w:rPr>
        <w:fldChar w:fldCharType="separate"/>
      </w:r>
      <w:r>
        <w:rPr>
          <w:rFonts w:hint="eastAsia" w:ascii="宋体" w:hAnsi="宋体" w:eastAsia="宋体" w:cs="宋体"/>
          <w:color w:val="auto"/>
        </w:rPr>
        <w:t>19</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781CCDCB">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_Toc31800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13．投标文件的提交</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_Toc31800 \h </w:instrText>
      </w:r>
      <w:r>
        <w:rPr>
          <w:rFonts w:hint="eastAsia" w:ascii="宋体" w:hAnsi="宋体" w:eastAsia="宋体" w:cs="宋体"/>
          <w:color w:val="auto"/>
        </w:rPr>
        <w:fldChar w:fldCharType="separate"/>
      </w:r>
      <w:r>
        <w:rPr>
          <w:rFonts w:hint="eastAsia" w:ascii="宋体" w:hAnsi="宋体" w:eastAsia="宋体" w:cs="宋体"/>
          <w:color w:val="auto"/>
        </w:rPr>
        <w:t>20</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62BEECCA">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_Toc358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14．开标</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_Toc358 \h </w:instrText>
      </w:r>
      <w:r>
        <w:rPr>
          <w:rFonts w:hint="eastAsia" w:ascii="宋体" w:hAnsi="宋体" w:eastAsia="宋体" w:cs="宋体"/>
          <w:color w:val="auto"/>
        </w:rPr>
        <w:fldChar w:fldCharType="separate"/>
      </w:r>
      <w:r>
        <w:rPr>
          <w:rFonts w:hint="eastAsia" w:ascii="宋体" w:hAnsi="宋体" w:eastAsia="宋体" w:cs="宋体"/>
          <w:color w:val="auto"/>
        </w:rPr>
        <w:t>20</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6F8E85E9">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_Toc28090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15．评标</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_Toc28090 \h </w:instrText>
      </w:r>
      <w:r>
        <w:rPr>
          <w:rFonts w:hint="eastAsia" w:ascii="宋体" w:hAnsi="宋体" w:eastAsia="宋体" w:cs="宋体"/>
          <w:color w:val="auto"/>
        </w:rPr>
        <w:fldChar w:fldCharType="separate"/>
      </w:r>
      <w:r>
        <w:rPr>
          <w:rFonts w:hint="eastAsia" w:ascii="宋体" w:hAnsi="宋体" w:eastAsia="宋体" w:cs="宋体"/>
          <w:color w:val="auto"/>
        </w:rPr>
        <w:t>21</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104ADDF0">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_Toc2839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16．中标候选人公示</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_Toc2839 \h </w:instrText>
      </w:r>
      <w:r>
        <w:rPr>
          <w:rFonts w:hint="eastAsia" w:ascii="宋体" w:hAnsi="宋体" w:eastAsia="宋体" w:cs="宋体"/>
          <w:color w:val="auto"/>
        </w:rPr>
        <w:fldChar w:fldCharType="separate"/>
      </w:r>
      <w:r>
        <w:rPr>
          <w:rFonts w:hint="eastAsia" w:ascii="宋体" w:hAnsi="宋体" w:eastAsia="宋体" w:cs="宋体"/>
          <w:color w:val="auto"/>
        </w:rPr>
        <w:t>31</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3C357389">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_Toc18979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1．资格评审环节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_Toc18979 \h </w:instrText>
      </w:r>
      <w:r>
        <w:rPr>
          <w:rFonts w:hint="eastAsia" w:ascii="宋体" w:hAnsi="宋体" w:eastAsia="宋体" w:cs="宋体"/>
          <w:color w:val="auto"/>
        </w:rPr>
        <w:fldChar w:fldCharType="separate"/>
      </w:r>
      <w:r>
        <w:rPr>
          <w:rFonts w:hint="eastAsia" w:ascii="宋体" w:hAnsi="宋体" w:eastAsia="宋体" w:cs="宋体"/>
          <w:color w:val="auto"/>
        </w:rPr>
        <w:t>33</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683CD7CA">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_Toc19719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2．形式评审环节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_Toc19719 \h </w:instrText>
      </w:r>
      <w:r>
        <w:rPr>
          <w:rFonts w:hint="eastAsia" w:ascii="宋体" w:hAnsi="宋体" w:eastAsia="宋体" w:cs="宋体"/>
          <w:color w:val="auto"/>
        </w:rPr>
        <w:fldChar w:fldCharType="separate"/>
      </w:r>
      <w:r>
        <w:rPr>
          <w:rFonts w:hint="eastAsia" w:ascii="宋体" w:hAnsi="宋体" w:eastAsia="宋体" w:cs="宋体"/>
          <w:color w:val="auto"/>
        </w:rPr>
        <w:t>34</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44FC4F28">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_Toc13299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3．响应性评审环节</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_Toc13299 \h </w:instrText>
      </w:r>
      <w:r>
        <w:rPr>
          <w:rFonts w:hint="eastAsia" w:ascii="宋体" w:hAnsi="宋体" w:eastAsia="宋体" w:cs="宋体"/>
          <w:color w:val="auto"/>
        </w:rPr>
        <w:fldChar w:fldCharType="separate"/>
      </w:r>
      <w:r>
        <w:rPr>
          <w:rFonts w:hint="eastAsia" w:ascii="宋体" w:hAnsi="宋体" w:eastAsia="宋体" w:cs="宋体"/>
          <w:color w:val="auto"/>
        </w:rPr>
        <w:t>34</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5B3614CA">
      <w:pPr>
        <w:pStyle w:val="26"/>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_Toc24919 </w:instrText>
      </w:r>
      <w:r>
        <w:rPr>
          <w:rFonts w:hint="eastAsia" w:ascii="宋体" w:hAnsi="宋体" w:eastAsia="宋体" w:cs="宋体"/>
          <w:color w:val="auto"/>
          <w:highlight w:val="none"/>
        </w:rPr>
        <w:fldChar w:fldCharType="separate"/>
      </w:r>
      <w:r>
        <w:rPr>
          <w:rFonts w:hint="eastAsia" w:ascii="宋体" w:hAnsi="宋体" w:eastAsia="宋体" w:cs="宋体"/>
          <w:color w:val="auto"/>
          <w:lang w:val="en-US" w:eastAsia="zh-CN"/>
        </w:rPr>
        <w:t>4．其他</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_Toc24919 \h </w:instrText>
      </w:r>
      <w:r>
        <w:rPr>
          <w:rFonts w:hint="eastAsia" w:ascii="宋体" w:hAnsi="宋体" w:eastAsia="宋体" w:cs="宋体"/>
          <w:color w:val="auto"/>
        </w:rPr>
        <w:fldChar w:fldCharType="separate"/>
      </w:r>
      <w:r>
        <w:rPr>
          <w:rFonts w:hint="eastAsia" w:ascii="宋体" w:hAnsi="宋体" w:eastAsia="宋体" w:cs="宋体"/>
          <w:color w:val="auto"/>
        </w:rPr>
        <w:t>34</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75738EC">
      <w:pPr>
        <w:pStyle w:val="22"/>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color w:val="auto"/>
        </w:rPr>
      </w:pPr>
      <w:r>
        <w:rPr>
          <w:rFonts w:hint="eastAsia" w:ascii="宋体" w:hAnsi="宋体" w:eastAsia="宋体" w:cs="宋体"/>
          <w:b/>
          <w:bCs/>
          <w:color w:val="auto"/>
          <w:highlight w:val="none"/>
        </w:rPr>
        <w:fldChar w:fldCharType="begin"/>
      </w:r>
      <w:r>
        <w:rPr>
          <w:rFonts w:hint="eastAsia" w:ascii="宋体" w:hAnsi="宋体" w:eastAsia="宋体" w:cs="宋体"/>
          <w:b/>
          <w:bCs/>
          <w:color w:val="auto"/>
          <w:highlight w:val="none"/>
        </w:rPr>
        <w:instrText xml:space="preserve"> HYPERLINK \l _Toc24543 </w:instrText>
      </w:r>
      <w:r>
        <w:rPr>
          <w:rFonts w:hint="eastAsia" w:ascii="宋体" w:hAnsi="宋体" w:eastAsia="宋体" w:cs="宋体"/>
          <w:b/>
          <w:bCs/>
          <w:color w:val="auto"/>
          <w:highlight w:val="none"/>
        </w:rPr>
        <w:fldChar w:fldCharType="separate"/>
      </w:r>
      <w:r>
        <w:rPr>
          <w:rFonts w:hint="eastAsia" w:ascii="宋体" w:hAnsi="宋体" w:eastAsia="宋体" w:cs="宋体"/>
          <w:b/>
          <w:bCs/>
          <w:snapToGrid w:val="0"/>
          <w:color w:val="auto"/>
          <w:highlight w:val="none"/>
          <w:lang w:val="en-US" w:eastAsia="zh-CN"/>
        </w:rPr>
        <w:t>第二章 中标人须知</w:t>
      </w:r>
      <w:r>
        <w:rPr>
          <w:rFonts w:hint="eastAsia" w:ascii="宋体" w:hAnsi="宋体" w:eastAsia="宋体" w:cs="宋体"/>
          <w:b/>
          <w:bCs/>
          <w:color w:val="auto"/>
        </w:rPr>
        <w:tab/>
      </w:r>
      <w:r>
        <w:rPr>
          <w:rFonts w:hint="eastAsia" w:ascii="宋体" w:hAnsi="宋体" w:eastAsia="宋体" w:cs="宋体"/>
          <w:b/>
          <w:bCs/>
          <w:color w:val="auto"/>
        </w:rPr>
        <w:fldChar w:fldCharType="begin"/>
      </w:r>
      <w:r>
        <w:rPr>
          <w:rFonts w:hint="eastAsia" w:ascii="宋体" w:hAnsi="宋体" w:eastAsia="宋体" w:cs="宋体"/>
          <w:b/>
          <w:bCs/>
          <w:color w:val="auto"/>
        </w:rPr>
        <w:instrText xml:space="preserve"> PAGEREF _Toc24543 \h </w:instrText>
      </w:r>
      <w:r>
        <w:rPr>
          <w:rFonts w:hint="eastAsia" w:ascii="宋体" w:hAnsi="宋体" w:eastAsia="宋体" w:cs="宋体"/>
          <w:b/>
          <w:bCs/>
          <w:color w:val="auto"/>
        </w:rPr>
        <w:fldChar w:fldCharType="separate"/>
      </w:r>
      <w:r>
        <w:rPr>
          <w:rFonts w:hint="eastAsia" w:ascii="宋体" w:hAnsi="宋体" w:eastAsia="宋体" w:cs="宋体"/>
          <w:b/>
          <w:bCs/>
          <w:color w:val="auto"/>
        </w:rPr>
        <w:t>36</w:t>
      </w:r>
      <w:r>
        <w:rPr>
          <w:rFonts w:hint="eastAsia" w:ascii="宋体" w:hAnsi="宋体" w:eastAsia="宋体" w:cs="宋体"/>
          <w:b/>
          <w:bCs/>
          <w:color w:val="auto"/>
        </w:rPr>
        <w:fldChar w:fldCharType="end"/>
      </w:r>
      <w:r>
        <w:rPr>
          <w:rFonts w:hint="eastAsia" w:ascii="宋体" w:hAnsi="宋体" w:eastAsia="宋体" w:cs="宋体"/>
          <w:b/>
          <w:bCs/>
          <w:color w:val="auto"/>
          <w:highlight w:val="none"/>
        </w:rPr>
        <w:fldChar w:fldCharType="end"/>
      </w:r>
    </w:p>
    <w:p w14:paraId="15676B42">
      <w:pPr>
        <w:pStyle w:val="22"/>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color w:val="auto"/>
        </w:rPr>
      </w:pPr>
      <w:r>
        <w:rPr>
          <w:rFonts w:hint="eastAsia" w:ascii="宋体" w:hAnsi="宋体" w:eastAsia="宋体" w:cs="宋体"/>
          <w:b/>
          <w:bCs/>
          <w:color w:val="auto"/>
          <w:highlight w:val="none"/>
        </w:rPr>
        <w:fldChar w:fldCharType="begin"/>
      </w:r>
      <w:r>
        <w:rPr>
          <w:rFonts w:hint="eastAsia" w:ascii="宋体" w:hAnsi="宋体" w:eastAsia="宋体" w:cs="宋体"/>
          <w:b/>
          <w:bCs/>
          <w:color w:val="auto"/>
          <w:highlight w:val="none"/>
        </w:rPr>
        <w:instrText xml:space="preserve"> HYPERLINK \l _Toc24436 </w:instrText>
      </w:r>
      <w:r>
        <w:rPr>
          <w:rFonts w:hint="eastAsia" w:ascii="宋体" w:hAnsi="宋体" w:eastAsia="宋体" w:cs="宋体"/>
          <w:b/>
          <w:bCs/>
          <w:color w:val="auto"/>
          <w:highlight w:val="none"/>
        </w:rPr>
        <w:fldChar w:fldCharType="separate"/>
      </w:r>
      <w:r>
        <w:rPr>
          <w:rFonts w:hint="eastAsia" w:ascii="宋体" w:hAnsi="宋体" w:eastAsia="宋体" w:cs="宋体"/>
          <w:b/>
          <w:bCs/>
          <w:snapToGrid w:val="0"/>
          <w:color w:val="auto"/>
          <w:highlight w:val="none"/>
          <w:lang w:val="en-US" w:eastAsia="zh-CN"/>
        </w:rPr>
        <w:t>第三章 拟签订合同的主要条款</w:t>
      </w:r>
      <w:r>
        <w:rPr>
          <w:rFonts w:hint="eastAsia" w:ascii="宋体" w:hAnsi="宋体" w:eastAsia="宋体" w:cs="宋体"/>
          <w:b/>
          <w:bCs/>
          <w:color w:val="auto"/>
        </w:rPr>
        <w:tab/>
      </w:r>
      <w:r>
        <w:rPr>
          <w:rFonts w:hint="eastAsia" w:ascii="宋体" w:hAnsi="宋体" w:eastAsia="宋体" w:cs="宋体"/>
          <w:b/>
          <w:bCs/>
          <w:color w:val="auto"/>
        </w:rPr>
        <w:fldChar w:fldCharType="begin"/>
      </w:r>
      <w:r>
        <w:rPr>
          <w:rFonts w:hint="eastAsia" w:ascii="宋体" w:hAnsi="宋体" w:eastAsia="宋体" w:cs="宋体"/>
          <w:b/>
          <w:bCs/>
          <w:color w:val="auto"/>
        </w:rPr>
        <w:instrText xml:space="preserve"> PAGEREF _Toc24436 \h </w:instrText>
      </w:r>
      <w:r>
        <w:rPr>
          <w:rFonts w:hint="eastAsia" w:ascii="宋体" w:hAnsi="宋体" w:eastAsia="宋体" w:cs="宋体"/>
          <w:b/>
          <w:bCs/>
          <w:color w:val="auto"/>
        </w:rPr>
        <w:fldChar w:fldCharType="separate"/>
      </w:r>
      <w:r>
        <w:rPr>
          <w:rFonts w:hint="eastAsia" w:ascii="宋体" w:hAnsi="宋体" w:eastAsia="宋体" w:cs="宋体"/>
          <w:b/>
          <w:bCs/>
          <w:color w:val="auto"/>
        </w:rPr>
        <w:t>39</w:t>
      </w:r>
      <w:r>
        <w:rPr>
          <w:rFonts w:hint="eastAsia" w:ascii="宋体" w:hAnsi="宋体" w:eastAsia="宋体" w:cs="宋体"/>
          <w:b/>
          <w:bCs/>
          <w:color w:val="auto"/>
        </w:rPr>
        <w:fldChar w:fldCharType="end"/>
      </w:r>
      <w:r>
        <w:rPr>
          <w:rFonts w:hint="eastAsia" w:ascii="宋体" w:hAnsi="宋体" w:eastAsia="宋体" w:cs="宋体"/>
          <w:b/>
          <w:bCs/>
          <w:color w:val="auto"/>
          <w:highlight w:val="none"/>
        </w:rPr>
        <w:fldChar w:fldCharType="end"/>
      </w:r>
    </w:p>
    <w:p w14:paraId="42B78DE7">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_Toc28441 </w:instrText>
      </w:r>
      <w:r>
        <w:rPr>
          <w:rFonts w:hint="eastAsia" w:ascii="宋体" w:hAnsi="宋体" w:eastAsia="宋体" w:cs="宋体"/>
          <w:color w:val="auto"/>
          <w:highlight w:val="none"/>
        </w:rPr>
        <w:fldChar w:fldCharType="separate"/>
      </w:r>
      <w:r>
        <w:rPr>
          <w:rFonts w:hint="eastAsia" w:ascii="宋体" w:hAnsi="宋体" w:eastAsia="宋体" w:cs="宋体"/>
          <w:color w:val="auto"/>
        </w:rPr>
        <w:t>1．工程承包方式</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_Toc28441 \h </w:instrText>
      </w:r>
      <w:r>
        <w:rPr>
          <w:rFonts w:hint="eastAsia" w:ascii="宋体" w:hAnsi="宋体" w:eastAsia="宋体" w:cs="宋体"/>
          <w:color w:val="auto"/>
        </w:rPr>
        <w:fldChar w:fldCharType="separate"/>
      </w:r>
      <w:r>
        <w:rPr>
          <w:rFonts w:hint="eastAsia" w:ascii="宋体" w:hAnsi="宋体" w:eastAsia="宋体" w:cs="宋体"/>
          <w:color w:val="auto"/>
        </w:rPr>
        <w:t>39</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972CB18">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_Toc27001 </w:instrText>
      </w:r>
      <w:r>
        <w:rPr>
          <w:rFonts w:hint="eastAsia" w:ascii="宋体" w:hAnsi="宋体" w:eastAsia="宋体" w:cs="宋体"/>
          <w:color w:val="auto"/>
          <w:highlight w:val="none"/>
        </w:rPr>
        <w:fldChar w:fldCharType="separate"/>
      </w:r>
      <w:r>
        <w:rPr>
          <w:rFonts w:hint="eastAsia" w:ascii="宋体" w:hAnsi="宋体" w:eastAsia="宋体" w:cs="宋体"/>
          <w:color w:val="auto"/>
        </w:rPr>
        <w:t>2．工程结算原则</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_Toc27001 \h </w:instrText>
      </w:r>
      <w:r>
        <w:rPr>
          <w:rFonts w:hint="eastAsia" w:ascii="宋体" w:hAnsi="宋体" w:eastAsia="宋体" w:cs="宋体"/>
          <w:color w:val="auto"/>
        </w:rPr>
        <w:fldChar w:fldCharType="separate"/>
      </w:r>
      <w:r>
        <w:rPr>
          <w:rFonts w:hint="eastAsia" w:ascii="宋体" w:hAnsi="宋体" w:eastAsia="宋体" w:cs="宋体"/>
          <w:color w:val="auto"/>
        </w:rPr>
        <w:t>39</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59B7DE34">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_Toc26653 </w:instrText>
      </w:r>
      <w:r>
        <w:rPr>
          <w:rFonts w:hint="eastAsia" w:ascii="宋体" w:hAnsi="宋体" w:eastAsia="宋体" w:cs="宋体"/>
          <w:color w:val="auto"/>
          <w:highlight w:val="none"/>
        </w:rPr>
        <w:fldChar w:fldCharType="separate"/>
      </w:r>
      <w:r>
        <w:rPr>
          <w:rFonts w:hint="eastAsia" w:ascii="宋体" w:hAnsi="宋体" w:eastAsia="宋体" w:cs="宋体"/>
          <w:color w:val="auto"/>
        </w:rPr>
        <w:t>3. 工程付款办法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_Toc26653 \h </w:instrText>
      </w:r>
      <w:r>
        <w:rPr>
          <w:rFonts w:hint="eastAsia" w:ascii="宋体" w:hAnsi="宋体" w:eastAsia="宋体" w:cs="宋体"/>
          <w:color w:val="auto"/>
        </w:rPr>
        <w:fldChar w:fldCharType="separate"/>
      </w:r>
      <w:r>
        <w:rPr>
          <w:rFonts w:hint="eastAsia" w:ascii="宋体" w:hAnsi="宋体" w:eastAsia="宋体" w:cs="宋体"/>
          <w:color w:val="auto"/>
        </w:rPr>
        <w:t>44</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ECE95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4．其他专用合同条款....................................................47</w:t>
      </w:r>
    </w:p>
    <w:p w14:paraId="726D6F5C">
      <w:pPr>
        <w:pStyle w:val="22"/>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jc w:val="center"/>
        <w:textAlignment w:val="auto"/>
        <w:rPr>
          <w:rFonts w:hint="eastAsia" w:ascii="宋体" w:hAnsi="宋体" w:eastAsia="宋体" w:cs="宋体"/>
          <w:b/>
          <w:bCs/>
          <w:color w:val="auto"/>
        </w:rPr>
      </w:pPr>
      <w:r>
        <w:rPr>
          <w:rFonts w:hint="eastAsia" w:ascii="宋体" w:hAnsi="宋体" w:eastAsia="宋体" w:cs="宋体"/>
          <w:b/>
          <w:bCs/>
          <w:color w:val="auto"/>
          <w:highlight w:val="none"/>
        </w:rPr>
        <w:fldChar w:fldCharType="begin"/>
      </w:r>
      <w:r>
        <w:rPr>
          <w:rFonts w:hint="eastAsia" w:ascii="宋体" w:hAnsi="宋体" w:eastAsia="宋体" w:cs="宋体"/>
          <w:b/>
          <w:bCs/>
          <w:color w:val="auto"/>
          <w:highlight w:val="none"/>
        </w:rPr>
        <w:instrText xml:space="preserve"> HYPERLINK \l _Toc9687 </w:instrText>
      </w:r>
      <w:r>
        <w:rPr>
          <w:rFonts w:hint="eastAsia" w:ascii="宋体" w:hAnsi="宋体" w:eastAsia="宋体" w:cs="宋体"/>
          <w:b/>
          <w:bCs/>
          <w:color w:val="auto"/>
          <w:highlight w:val="none"/>
        </w:rPr>
        <w:fldChar w:fldCharType="separate"/>
      </w:r>
      <w:r>
        <w:rPr>
          <w:rFonts w:hint="eastAsia" w:ascii="宋体" w:hAnsi="宋体" w:eastAsia="宋体" w:cs="宋体"/>
          <w:b/>
          <w:bCs/>
          <w:snapToGrid w:val="0"/>
          <w:color w:val="auto"/>
          <w:highlight w:val="none"/>
          <w:lang w:val="en-US" w:eastAsia="zh-CN"/>
        </w:rPr>
        <w:t>第四章 技术要求</w:t>
      </w:r>
      <w:r>
        <w:rPr>
          <w:rFonts w:hint="eastAsia" w:ascii="宋体" w:hAnsi="宋体" w:eastAsia="宋体" w:cs="宋体"/>
          <w:b/>
          <w:bCs/>
          <w:color w:val="auto"/>
        </w:rPr>
        <w:tab/>
      </w:r>
      <w:r>
        <w:rPr>
          <w:rFonts w:hint="eastAsia" w:ascii="宋体" w:hAnsi="宋体" w:eastAsia="宋体" w:cs="宋体"/>
          <w:b/>
          <w:bCs/>
          <w:color w:val="auto"/>
        </w:rPr>
        <w:fldChar w:fldCharType="begin"/>
      </w:r>
      <w:r>
        <w:rPr>
          <w:rFonts w:hint="eastAsia" w:ascii="宋体" w:hAnsi="宋体" w:eastAsia="宋体" w:cs="宋体"/>
          <w:b/>
          <w:bCs/>
          <w:color w:val="auto"/>
        </w:rPr>
        <w:instrText xml:space="preserve"> PAGEREF _Toc9687 \h </w:instrText>
      </w:r>
      <w:r>
        <w:rPr>
          <w:rFonts w:hint="eastAsia" w:ascii="宋体" w:hAnsi="宋体" w:eastAsia="宋体" w:cs="宋体"/>
          <w:b/>
          <w:bCs/>
          <w:color w:val="auto"/>
        </w:rPr>
        <w:fldChar w:fldCharType="separate"/>
      </w:r>
      <w:r>
        <w:rPr>
          <w:rFonts w:hint="eastAsia" w:ascii="宋体" w:hAnsi="宋体" w:eastAsia="宋体" w:cs="宋体"/>
          <w:b/>
          <w:bCs/>
          <w:color w:val="auto"/>
        </w:rPr>
        <w:t>52</w:t>
      </w:r>
      <w:r>
        <w:rPr>
          <w:rFonts w:hint="eastAsia" w:ascii="宋体" w:hAnsi="宋体" w:eastAsia="宋体" w:cs="宋体"/>
          <w:b/>
          <w:bCs/>
          <w:color w:val="auto"/>
        </w:rPr>
        <w:fldChar w:fldCharType="end"/>
      </w:r>
      <w:r>
        <w:rPr>
          <w:rFonts w:hint="eastAsia" w:ascii="宋体" w:hAnsi="宋体" w:eastAsia="宋体" w:cs="宋体"/>
          <w:b/>
          <w:bCs/>
          <w:color w:val="auto"/>
          <w:highlight w:val="none"/>
        </w:rPr>
        <w:fldChar w:fldCharType="end"/>
      </w:r>
    </w:p>
    <w:p w14:paraId="138A42A6">
      <w:pPr>
        <w:pStyle w:val="22"/>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color w:val="auto"/>
        </w:rPr>
      </w:pPr>
      <w:r>
        <w:rPr>
          <w:rFonts w:hint="eastAsia" w:ascii="宋体" w:hAnsi="宋体" w:eastAsia="宋体" w:cs="宋体"/>
          <w:b/>
          <w:bCs/>
          <w:color w:val="auto"/>
          <w:highlight w:val="none"/>
        </w:rPr>
        <w:fldChar w:fldCharType="begin"/>
      </w:r>
      <w:r>
        <w:rPr>
          <w:rFonts w:hint="eastAsia" w:ascii="宋体" w:hAnsi="宋体" w:eastAsia="宋体" w:cs="宋体"/>
          <w:b/>
          <w:bCs/>
          <w:color w:val="auto"/>
          <w:highlight w:val="none"/>
        </w:rPr>
        <w:instrText xml:space="preserve"> HYPERLINK \l _Toc10987 </w:instrText>
      </w:r>
      <w:r>
        <w:rPr>
          <w:rFonts w:hint="eastAsia" w:ascii="宋体" w:hAnsi="宋体" w:eastAsia="宋体" w:cs="宋体"/>
          <w:b/>
          <w:bCs/>
          <w:color w:val="auto"/>
          <w:highlight w:val="none"/>
        </w:rPr>
        <w:fldChar w:fldCharType="separate"/>
      </w:r>
      <w:r>
        <w:rPr>
          <w:rFonts w:hint="eastAsia" w:ascii="宋体" w:hAnsi="宋体" w:eastAsia="宋体" w:cs="宋体"/>
          <w:b/>
          <w:bCs/>
          <w:snapToGrid w:val="0"/>
          <w:color w:val="auto"/>
          <w:highlight w:val="none"/>
          <w:lang w:val="en-US" w:eastAsia="zh-CN"/>
        </w:rPr>
        <w:t>第五章 图纸和招标工程量清单</w:t>
      </w:r>
      <w:r>
        <w:rPr>
          <w:rFonts w:hint="eastAsia" w:ascii="宋体" w:hAnsi="宋体" w:eastAsia="宋体" w:cs="宋体"/>
          <w:b/>
          <w:bCs/>
          <w:color w:val="auto"/>
        </w:rPr>
        <w:tab/>
      </w:r>
      <w:r>
        <w:rPr>
          <w:rFonts w:hint="eastAsia" w:ascii="宋体" w:hAnsi="宋体" w:eastAsia="宋体" w:cs="宋体"/>
          <w:b/>
          <w:bCs/>
          <w:color w:val="auto"/>
        </w:rPr>
        <w:fldChar w:fldCharType="begin"/>
      </w:r>
      <w:r>
        <w:rPr>
          <w:rFonts w:hint="eastAsia" w:ascii="宋体" w:hAnsi="宋体" w:eastAsia="宋体" w:cs="宋体"/>
          <w:b/>
          <w:bCs/>
          <w:color w:val="auto"/>
        </w:rPr>
        <w:instrText xml:space="preserve"> PAGEREF _Toc10987 \h </w:instrText>
      </w:r>
      <w:r>
        <w:rPr>
          <w:rFonts w:hint="eastAsia" w:ascii="宋体" w:hAnsi="宋体" w:eastAsia="宋体" w:cs="宋体"/>
          <w:b/>
          <w:bCs/>
          <w:color w:val="auto"/>
        </w:rPr>
        <w:fldChar w:fldCharType="separate"/>
      </w:r>
      <w:r>
        <w:rPr>
          <w:rFonts w:hint="eastAsia" w:ascii="宋体" w:hAnsi="宋体" w:eastAsia="宋体" w:cs="宋体"/>
          <w:b/>
          <w:bCs/>
          <w:color w:val="auto"/>
        </w:rPr>
        <w:t>54</w:t>
      </w:r>
      <w:r>
        <w:rPr>
          <w:rFonts w:hint="eastAsia" w:ascii="宋体" w:hAnsi="宋体" w:eastAsia="宋体" w:cs="宋体"/>
          <w:b/>
          <w:bCs/>
          <w:color w:val="auto"/>
        </w:rPr>
        <w:fldChar w:fldCharType="end"/>
      </w:r>
      <w:r>
        <w:rPr>
          <w:rFonts w:hint="eastAsia" w:ascii="宋体" w:hAnsi="宋体" w:eastAsia="宋体" w:cs="宋体"/>
          <w:b/>
          <w:bCs/>
          <w:color w:val="auto"/>
          <w:highlight w:val="none"/>
        </w:rPr>
        <w:fldChar w:fldCharType="end"/>
      </w:r>
    </w:p>
    <w:p w14:paraId="3EF7BD92">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_Toc28153 </w:instrText>
      </w:r>
      <w:r>
        <w:rPr>
          <w:rFonts w:hint="eastAsia" w:ascii="宋体" w:hAnsi="宋体" w:eastAsia="宋体" w:cs="宋体"/>
          <w:color w:val="auto"/>
          <w:highlight w:val="none"/>
        </w:rPr>
        <w:fldChar w:fldCharType="separate"/>
      </w:r>
      <w:r>
        <w:rPr>
          <w:rFonts w:hint="eastAsia" w:ascii="宋体" w:hAnsi="宋体" w:eastAsia="宋体" w:cs="宋体"/>
          <w:color w:val="auto"/>
        </w:rPr>
        <w:t>1．图纸</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_Toc28153 \h </w:instrText>
      </w:r>
      <w:r>
        <w:rPr>
          <w:rFonts w:hint="eastAsia" w:ascii="宋体" w:hAnsi="宋体" w:eastAsia="宋体" w:cs="宋体"/>
          <w:color w:val="auto"/>
        </w:rPr>
        <w:fldChar w:fldCharType="separate"/>
      </w:r>
      <w:r>
        <w:rPr>
          <w:rFonts w:hint="eastAsia" w:ascii="宋体" w:hAnsi="宋体" w:eastAsia="宋体" w:cs="宋体"/>
          <w:color w:val="auto"/>
        </w:rPr>
        <w:t>54</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64159BB4">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_Toc14740 </w:instrText>
      </w:r>
      <w:r>
        <w:rPr>
          <w:rFonts w:hint="eastAsia" w:ascii="宋体" w:hAnsi="宋体" w:eastAsia="宋体" w:cs="宋体"/>
          <w:color w:val="auto"/>
          <w:highlight w:val="none"/>
        </w:rPr>
        <w:fldChar w:fldCharType="separate"/>
      </w:r>
      <w:r>
        <w:rPr>
          <w:rFonts w:hint="eastAsia" w:ascii="宋体" w:hAnsi="宋体" w:eastAsia="宋体" w:cs="宋体"/>
          <w:color w:val="auto"/>
        </w:rPr>
        <w:t>2．招标工程量清单</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_Toc14740 \h </w:instrText>
      </w:r>
      <w:r>
        <w:rPr>
          <w:rFonts w:hint="eastAsia" w:ascii="宋体" w:hAnsi="宋体" w:eastAsia="宋体" w:cs="宋体"/>
          <w:color w:val="auto"/>
        </w:rPr>
        <w:fldChar w:fldCharType="separate"/>
      </w:r>
      <w:r>
        <w:rPr>
          <w:rFonts w:hint="eastAsia" w:ascii="宋体" w:hAnsi="宋体" w:eastAsia="宋体" w:cs="宋体"/>
          <w:color w:val="auto"/>
        </w:rPr>
        <w:t>54</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76D38419">
      <w:pPr>
        <w:pStyle w:val="22"/>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color w:val="auto"/>
        </w:rPr>
      </w:pPr>
      <w:r>
        <w:rPr>
          <w:rFonts w:hint="eastAsia" w:ascii="宋体" w:hAnsi="宋体" w:eastAsia="宋体" w:cs="宋体"/>
          <w:b/>
          <w:bCs/>
          <w:color w:val="auto"/>
          <w:highlight w:val="none"/>
        </w:rPr>
        <w:fldChar w:fldCharType="begin"/>
      </w:r>
      <w:r>
        <w:rPr>
          <w:rFonts w:hint="eastAsia" w:ascii="宋体" w:hAnsi="宋体" w:eastAsia="宋体" w:cs="宋体"/>
          <w:b/>
          <w:bCs/>
          <w:color w:val="auto"/>
          <w:highlight w:val="none"/>
        </w:rPr>
        <w:instrText xml:space="preserve"> HYPERLINK \l _Toc16415 </w:instrText>
      </w:r>
      <w:r>
        <w:rPr>
          <w:rFonts w:hint="eastAsia" w:ascii="宋体" w:hAnsi="宋体" w:eastAsia="宋体" w:cs="宋体"/>
          <w:b/>
          <w:bCs/>
          <w:color w:val="auto"/>
          <w:highlight w:val="none"/>
        </w:rPr>
        <w:fldChar w:fldCharType="separate"/>
      </w:r>
      <w:r>
        <w:rPr>
          <w:rFonts w:hint="eastAsia" w:ascii="宋体" w:hAnsi="宋体" w:eastAsia="宋体" w:cs="宋体"/>
          <w:b/>
          <w:bCs/>
          <w:snapToGrid w:val="0"/>
          <w:color w:val="auto"/>
          <w:highlight w:val="none"/>
          <w:lang w:val="en-US" w:eastAsia="zh-CN"/>
        </w:rPr>
        <w:t>第六章 投标文件格式</w:t>
      </w:r>
      <w:r>
        <w:rPr>
          <w:rFonts w:hint="eastAsia" w:ascii="宋体" w:hAnsi="宋体" w:eastAsia="宋体" w:cs="宋体"/>
          <w:b/>
          <w:bCs/>
          <w:color w:val="auto"/>
        </w:rPr>
        <w:tab/>
      </w:r>
      <w:r>
        <w:rPr>
          <w:rFonts w:hint="eastAsia" w:ascii="宋体" w:hAnsi="宋体" w:eastAsia="宋体" w:cs="宋体"/>
          <w:b/>
          <w:bCs/>
          <w:color w:val="auto"/>
        </w:rPr>
        <w:fldChar w:fldCharType="begin"/>
      </w:r>
      <w:r>
        <w:rPr>
          <w:rFonts w:hint="eastAsia" w:ascii="宋体" w:hAnsi="宋体" w:eastAsia="宋体" w:cs="宋体"/>
          <w:b/>
          <w:bCs/>
          <w:color w:val="auto"/>
        </w:rPr>
        <w:instrText xml:space="preserve"> PAGEREF _Toc16415 \h </w:instrText>
      </w:r>
      <w:r>
        <w:rPr>
          <w:rFonts w:hint="eastAsia" w:ascii="宋体" w:hAnsi="宋体" w:eastAsia="宋体" w:cs="宋体"/>
          <w:b/>
          <w:bCs/>
          <w:color w:val="auto"/>
        </w:rPr>
        <w:fldChar w:fldCharType="separate"/>
      </w:r>
      <w:r>
        <w:rPr>
          <w:rFonts w:hint="eastAsia" w:ascii="宋体" w:hAnsi="宋体" w:eastAsia="宋体" w:cs="宋体"/>
          <w:b/>
          <w:bCs/>
          <w:color w:val="auto"/>
        </w:rPr>
        <w:t>55</w:t>
      </w:r>
      <w:r>
        <w:rPr>
          <w:rFonts w:hint="eastAsia" w:ascii="宋体" w:hAnsi="宋体" w:eastAsia="宋体" w:cs="宋体"/>
          <w:b/>
          <w:bCs/>
          <w:color w:val="auto"/>
        </w:rPr>
        <w:fldChar w:fldCharType="end"/>
      </w:r>
      <w:r>
        <w:rPr>
          <w:rFonts w:hint="eastAsia" w:ascii="宋体" w:hAnsi="宋体" w:eastAsia="宋体" w:cs="宋体"/>
          <w:b/>
          <w:bCs/>
          <w:color w:val="auto"/>
          <w:highlight w:val="none"/>
        </w:rPr>
        <w:fldChar w:fldCharType="end"/>
      </w:r>
    </w:p>
    <w:p w14:paraId="2EBB9D7C">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_Toc14677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格式一 封面</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_Toc14677 \h </w:instrText>
      </w:r>
      <w:r>
        <w:rPr>
          <w:rFonts w:hint="eastAsia" w:ascii="宋体" w:hAnsi="宋体" w:eastAsia="宋体" w:cs="宋体"/>
          <w:color w:val="auto"/>
        </w:rPr>
        <w:fldChar w:fldCharType="separate"/>
      </w:r>
      <w:r>
        <w:rPr>
          <w:rFonts w:hint="eastAsia" w:ascii="宋体" w:hAnsi="宋体" w:eastAsia="宋体" w:cs="宋体"/>
          <w:color w:val="auto"/>
        </w:rPr>
        <w:t>55</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6131E538">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_Toc3166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格式二 投标函</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_Toc3166 \h </w:instrText>
      </w:r>
      <w:r>
        <w:rPr>
          <w:rFonts w:hint="eastAsia" w:ascii="宋体" w:hAnsi="宋体" w:eastAsia="宋体" w:cs="宋体"/>
          <w:color w:val="auto"/>
        </w:rPr>
        <w:fldChar w:fldCharType="separate"/>
      </w:r>
      <w:r>
        <w:rPr>
          <w:rFonts w:hint="eastAsia" w:ascii="宋体" w:hAnsi="宋体" w:eastAsia="宋体" w:cs="宋体"/>
          <w:color w:val="auto"/>
        </w:rPr>
        <w:t>56</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1316D938">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_Toc26367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格式三 各项承诺一览表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_Toc26367 \h </w:instrText>
      </w:r>
      <w:r>
        <w:rPr>
          <w:rFonts w:hint="eastAsia" w:ascii="宋体" w:hAnsi="宋体" w:eastAsia="宋体" w:cs="宋体"/>
          <w:color w:val="auto"/>
        </w:rPr>
        <w:fldChar w:fldCharType="separate"/>
      </w:r>
      <w:r>
        <w:rPr>
          <w:rFonts w:hint="eastAsia" w:ascii="宋体" w:hAnsi="宋体" w:eastAsia="宋体" w:cs="宋体"/>
          <w:color w:val="auto"/>
        </w:rPr>
        <w:t>57</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04FB25E5">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_Toc1822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格式四 授权委托书</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_Toc1822 \h </w:instrText>
      </w:r>
      <w:r>
        <w:rPr>
          <w:rFonts w:hint="eastAsia" w:ascii="宋体" w:hAnsi="宋体" w:eastAsia="宋体" w:cs="宋体"/>
          <w:color w:val="auto"/>
        </w:rPr>
        <w:fldChar w:fldCharType="separate"/>
      </w:r>
      <w:r>
        <w:rPr>
          <w:rFonts w:hint="eastAsia" w:ascii="宋体" w:hAnsi="宋体" w:eastAsia="宋体" w:cs="宋体"/>
          <w:color w:val="auto"/>
        </w:rPr>
        <w:t>59</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55F750C4">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_Toc21377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格式五 法定代表人身份证明</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_Toc21377 \h </w:instrText>
      </w:r>
      <w:r>
        <w:rPr>
          <w:rFonts w:hint="eastAsia" w:ascii="宋体" w:hAnsi="宋体" w:eastAsia="宋体" w:cs="宋体"/>
          <w:color w:val="auto"/>
        </w:rPr>
        <w:fldChar w:fldCharType="separate"/>
      </w:r>
      <w:r>
        <w:rPr>
          <w:rFonts w:hint="eastAsia" w:ascii="宋体" w:hAnsi="宋体" w:eastAsia="宋体" w:cs="宋体"/>
          <w:color w:val="auto"/>
        </w:rPr>
        <w:t>60</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40F43FD6">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_Toc191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格式六 联合体协议书</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_Toc191 \h </w:instrText>
      </w:r>
      <w:r>
        <w:rPr>
          <w:rFonts w:hint="eastAsia" w:ascii="宋体" w:hAnsi="宋体" w:eastAsia="宋体" w:cs="宋体"/>
          <w:color w:val="auto"/>
        </w:rPr>
        <w:fldChar w:fldCharType="separate"/>
      </w:r>
      <w:r>
        <w:rPr>
          <w:rFonts w:hint="eastAsia" w:ascii="宋体" w:hAnsi="宋体" w:eastAsia="宋体" w:cs="宋体"/>
          <w:color w:val="auto"/>
        </w:rPr>
        <w:t>61</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71D8BCB7">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_Toc4289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格式七 投标人基本情况表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_Toc4289 \h </w:instrText>
      </w:r>
      <w:r>
        <w:rPr>
          <w:rFonts w:hint="eastAsia" w:ascii="宋体" w:hAnsi="宋体" w:eastAsia="宋体" w:cs="宋体"/>
          <w:color w:val="auto"/>
        </w:rPr>
        <w:fldChar w:fldCharType="separate"/>
      </w:r>
      <w:r>
        <w:rPr>
          <w:rFonts w:hint="eastAsia" w:ascii="宋体" w:hAnsi="宋体" w:eastAsia="宋体" w:cs="宋体"/>
          <w:color w:val="auto"/>
        </w:rPr>
        <w:t>63</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79762921">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_Toc27834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格式八 项目经理简历表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_Toc27834 \h </w:instrText>
      </w:r>
      <w:r>
        <w:rPr>
          <w:rFonts w:hint="eastAsia" w:ascii="宋体" w:hAnsi="宋体" w:eastAsia="宋体" w:cs="宋体"/>
          <w:color w:val="auto"/>
        </w:rPr>
        <w:fldChar w:fldCharType="separate"/>
      </w:r>
      <w:r>
        <w:rPr>
          <w:rFonts w:hint="eastAsia" w:ascii="宋体" w:hAnsi="宋体" w:eastAsia="宋体" w:cs="宋体"/>
          <w:color w:val="auto"/>
        </w:rPr>
        <w:t>64</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28987D55">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_Toc21761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格式九 项目经理任职声明</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_Toc21761 \h </w:instrText>
      </w:r>
      <w:r>
        <w:rPr>
          <w:rFonts w:hint="eastAsia" w:ascii="宋体" w:hAnsi="宋体" w:eastAsia="宋体" w:cs="宋体"/>
          <w:color w:val="auto"/>
        </w:rPr>
        <w:fldChar w:fldCharType="separate"/>
      </w:r>
      <w:r>
        <w:rPr>
          <w:rFonts w:hint="eastAsia" w:ascii="宋体" w:hAnsi="宋体" w:eastAsia="宋体" w:cs="宋体"/>
          <w:color w:val="auto"/>
        </w:rPr>
        <w:t>65</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4C4CCD3A">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_Toc12722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格式十 项目技术负责人简历表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_Toc12722 \h </w:instrText>
      </w:r>
      <w:r>
        <w:rPr>
          <w:rFonts w:hint="eastAsia" w:ascii="宋体" w:hAnsi="宋体" w:eastAsia="宋体" w:cs="宋体"/>
          <w:color w:val="auto"/>
        </w:rPr>
        <w:fldChar w:fldCharType="separate"/>
      </w:r>
      <w:r>
        <w:rPr>
          <w:rFonts w:hint="eastAsia" w:ascii="宋体" w:hAnsi="宋体" w:eastAsia="宋体" w:cs="宋体"/>
          <w:color w:val="auto"/>
        </w:rPr>
        <w:t>66</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4AE8E87D">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_Toc16727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格式十一 专职安全员简历表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_Toc16727 \h </w:instrText>
      </w:r>
      <w:r>
        <w:rPr>
          <w:rFonts w:hint="eastAsia" w:ascii="宋体" w:hAnsi="宋体" w:eastAsia="宋体" w:cs="宋体"/>
          <w:color w:val="auto"/>
        </w:rPr>
        <w:fldChar w:fldCharType="separate"/>
      </w:r>
      <w:r>
        <w:rPr>
          <w:rFonts w:hint="eastAsia" w:ascii="宋体" w:hAnsi="宋体" w:eastAsia="宋体" w:cs="宋体"/>
          <w:color w:val="auto"/>
        </w:rPr>
        <w:t>67</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6F91EEF5">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_Toc994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格式十二 项目管理机构组成表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_Toc994 \h </w:instrText>
      </w:r>
      <w:r>
        <w:rPr>
          <w:rFonts w:hint="eastAsia" w:ascii="宋体" w:hAnsi="宋体" w:eastAsia="宋体" w:cs="宋体"/>
          <w:color w:val="auto"/>
        </w:rPr>
        <w:fldChar w:fldCharType="separate"/>
      </w:r>
      <w:r>
        <w:rPr>
          <w:rFonts w:hint="eastAsia" w:ascii="宋体" w:hAnsi="宋体" w:eastAsia="宋体" w:cs="宋体"/>
          <w:color w:val="auto"/>
        </w:rPr>
        <w:t>68</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7B55AE9C">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_Toc13555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格式十</w:t>
      </w:r>
      <w:r>
        <w:rPr>
          <w:rFonts w:hint="eastAsia" w:ascii="宋体" w:hAnsi="宋体" w:eastAsia="宋体" w:cs="宋体"/>
          <w:color w:val="auto"/>
          <w:lang w:val="en-US" w:eastAsia="zh-CN"/>
        </w:rPr>
        <w:t>三</w:t>
      </w:r>
      <w:r>
        <w:rPr>
          <w:rFonts w:hint="eastAsia" w:ascii="宋体" w:hAnsi="宋体" w:eastAsia="宋体" w:cs="宋体"/>
          <w:color w:val="auto"/>
        </w:rPr>
        <w:t xml:space="preserve"> 建造师查询页</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_Toc13555 \h </w:instrText>
      </w:r>
      <w:r>
        <w:rPr>
          <w:rFonts w:hint="eastAsia" w:ascii="宋体" w:hAnsi="宋体" w:eastAsia="宋体" w:cs="宋体"/>
          <w:color w:val="auto"/>
        </w:rPr>
        <w:fldChar w:fldCharType="separate"/>
      </w:r>
      <w:r>
        <w:rPr>
          <w:rFonts w:hint="eastAsia" w:ascii="宋体" w:hAnsi="宋体" w:eastAsia="宋体" w:cs="宋体"/>
          <w:color w:val="auto"/>
        </w:rPr>
        <w:t>69</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235C9764">
      <w:pPr>
        <w:pStyle w:val="15"/>
        <w:keepNext w:val="0"/>
        <w:keepLines w:val="0"/>
        <w:pageBreakBefore w:val="0"/>
        <w:widowControl w:val="0"/>
        <w:tabs>
          <w:tab w:val="right" w:leader="dot" w:pos="8844"/>
        </w:tabs>
        <w:kinsoku/>
        <w:wordWrap/>
        <w:overflowPunct/>
        <w:topLinePunct w:val="0"/>
        <w:autoSpaceDE/>
        <w:autoSpaceDN/>
        <w:bidi w:val="0"/>
        <w:adjustRightInd/>
        <w:snapToGrid/>
        <w:spacing w:line="360" w:lineRule="auto"/>
        <w:ind w:left="0" w:firstLine="480" w:firstLineChars="200"/>
        <w:jc w:val="center"/>
        <w:textAlignment w:val="auto"/>
        <w:rPr>
          <w:rFonts w:hint="eastAsia" w:ascii="宋体" w:hAnsi="宋体" w:eastAsia="宋体" w:cs="宋体"/>
          <w:color w:val="auto"/>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_Toc9569 </w:instrText>
      </w:r>
      <w:r>
        <w:rPr>
          <w:rFonts w:hint="eastAsia" w:ascii="宋体" w:hAnsi="宋体" w:eastAsia="宋体" w:cs="宋体"/>
          <w:color w:val="auto"/>
          <w:highlight w:val="none"/>
        </w:rPr>
        <w:fldChar w:fldCharType="separate"/>
      </w:r>
      <w:r>
        <w:rPr>
          <w:rFonts w:hint="eastAsia" w:ascii="宋体" w:hAnsi="宋体" w:eastAsia="宋体" w:cs="宋体"/>
          <w:color w:val="auto"/>
        </w:rPr>
        <w:t>格式十</w:t>
      </w:r>
      <w:r>
        <w:rPr>
          <w:rFonts w:hint="eastAsia" w:ascii="宋体" w:hAnsi="宋体" w:eastAsia="宋体" w:cs="宋体"/>
          <w:color w:val="auto"/>
          <w:lang w:val="en-US" w:eastAsia="zh-CN"/>
        </w:rPr>
        <w:t>四</w:t>
      </w:r>
      <w:r>
        <w:rPr>
          <w:rFonts w:hint="eastAsia" w:ascii="宋体" w:hAnsi="宋体" w:eastAsia="宋体" w:cs="宋体"/>
          <w:color w:val="auto"/>
        </w:rPr>
        <w:t xml:space="preserve"> 原件一览表</w:t>
      </w:r>
      <w:r>
        <w:rPr>
          <w:rFonts w:hint="eastAsia" w:ascii="宋体" w:hAnsi="宋体" w:eastAsia="宋体" w:cs="宋体"/>
          <w:color w:val="auto"/>
        </w:rPr>
        <w:tab/>
      </w:r>
      <w:r>
        <w:rPr>
          <w:rFonts w:hint="eastAsia" w:ascii="宋体" w:hAnsi="宋体" w:eastAsia="宋体" w:cs="宋体"/>
          <w:color w:val="auto"/>
        </w:rPr>
        <w:fldChar w:fldCharType="begin"/>
      </w:r>
      <w:r>
        <w:rPr>
          <w:rFonts w:hint="eastAsia" w:ascii="宋体" w:hAnsi="宋体" w:eastAsia="宋体" w:cs="宋体"/>
          <w:color w:val="auto"/>
        </w:rPr>
        <w:instrText xml:space="preserve"> PAGEREF _Toc9569 \h </w:instrText>
      </w:r>
      <w:r>
        <w:rPr>
          <w:rFonts w:hint="eastAsia" w:ascii="宋体" w:hAnsi="宋体" w:eastAsia="宋体" w:cs="宋体"/>
          <w:color w:val="auto"/>
        </w:rPr>
        <w:fldChar w:fldCharType="separate"/>
      </w:r>
      <w:r>
        <w:rPr>
          <w:rFonts w:hint="eastAsia" w:ascii="宋体" w:hAnsi="宋体" w:eastAsia="宋体" w:cs="宋体"/>
          <w:color w:val="auto"/>
        </w:rPr>
        <w:t>71</w:t>
      </w:r>
      <w:r>
        <w:rPr>
          <w:rFonts w:hint="eastAsia" w:ascii="宋体" w:hAnsi="宋体" w:eastAsia="宋体" w:cs="宋体"/>
          <w:color w:val="auto"/>
        </w:rPr>
        <w:fldChar w:fldCharType="end"/>
      </w:r>
      <w:r>
        <w:rPr>
          <w:rFonts w:hint="eastAsia" w:ascii="宋体" w:hAnsi="宋体" w:eastAsia="宋体" w:cs="宋体"/>
          <w:color w:val="auto"/>
          <w:highlight w:val="none"/>
        </w:rPr>
        <w:fldChar w:fldCharType="end"/>
      </w:r>
    </w:p>
    <w:p w14:paraId="3203A2D5">
      <w:pPr>
        <w:pStyle w:val="22"/>
        <w:keepNext w:val="0"/>
        <w:keepLines w:val="0"/>
        <w:pageBreakBefore w:val="0"/>
        <w:widowControl w:val="0"/>
        <w:tabs>
          <w:tab w:val="right" w:leader="dot" w:pos="8844"/>
        </w:tabs>
        <w:kinsoku/>
        <w:wordWrap/>
        <w:overflowPunct/>
        <w:topLinePunct w:val="0"/>
        <w:autoSpaceDE/>
        <w:autoSpaceDN/>
        <w:bidi w:val="0"/>
        <w:adjustRightInd/>
        <w:snapToGrid/>
        <w:spacing w:before="0" w:beforeLines="0" w:after="0" w:afterLines="0" w:line="360" w:lineRule="auto"/>
        <w:ind w:left="0"/>
        <w:jc w:val="center"/>
        <w:textAlignment w:val="auto"/>
        <w:rPr>
          <w:rFonts w:hint="eastAsia" w:ascii="宋体" w:hAnsi="宋体" w:eastAsia="宋体" w:cs="宋体"/>
          <w:b/>
          <w:bCs/>
          <w:color w:val="auto"/>
        </w:rPr>
      </w:pPr>
      <w:r>
        <w:rPr>
          <w:rFonts w:hint="eastAsia" w:ascii="宋体" w:hAnsi="宋体" w:eastAsia="宋体" w:cs="宋体"/>
          <w:b/>
          <w:bCs/>
          <w:color w:val="auto"/>
          <w:highlight w:val="none"/>
        </w:rPr>
        <w:fldChar w:fldCharType="begin"/>
      </w:r>
      <w:r>
        <w:rPr>
          <w:rFonts w:hint="eastAsia" w:ascii="宋体" w:hAnsi="宋体" w:eastAsia="宋体" w:cs="宋体"/>
          <w:b/>
          <w:bCs/>
          <w:color w:val="auto"/>
          <w:highlight w:val="none"/>
        </w:rPr>
        <w:instrText xml:space="preserve"> HYPERLINK \l _Toc17586 </w:instrText>
      </w:r>
      <w:r>
        <w:rPr>
          <w:rFonts w:hint="eastAsia" w:ascii="宋体" w:hAnsi="宋体" w:eastAsia="宋体" w:cs="宋体"/>
          <w:b/>
          <w:bCs/>
          <w:color w:val="auto"/>
          <w:highlight w:val="none"/>
        </w:rPr>
        <w:fldChar w:fldCharType="separate"/>
      </w:r>
      <w:r>
        <w:rPr>
          <w:rFonts w:hint="eastAsia" w:ascii="宋体" w:hAnsi="宋体" w:eastAsia="宋体" w:cs="宋体"/>
          <w:b/>
          <w:bCs/>
          <w:snapToGrid w:val="0"/>
          <w:color w:val="auto"/>
          <w:highlight w:val="none"/>
        </w:rPr>
        <w:t>第七章 建设工程施工合同</w:t>
      </w:r>
      <w:r>
        <w:rPr>
          <w:rFonts w:hint="eastAsia" w:ascii="宋体" w:hAnsi="宋体" w:eastAsia="宋体" w:cs="宋体"/>
          <w:b/>
          <w:bCs/>
          <w:color w:val="auto"/>
        </w:rPr>
        <w:tab/>
      </w:r>
      <w:r>
        <w:rPr>
          <w:rFonts w:hint="eastAsia" w:ascii="宋体" w:hAnsi="宋体" w:eastAsia="宋体" w:cs="宋体"/>
          <w:b/>
          <w:bCs/>
          <w:color w:val="auto"/>
        </w:rPr>
        <w:fldChar w:fldCharType="begin"/>
      </w:r>
      <w:r>
        <w:rPr>
          <w:rFonts w:hint="eastAsia" w:ascii="宋体" w:hAnsi="宋体" w:eastAsia="宋体" w:cs="宋体"/>
          <w:b/>
          <w:bCs/>
          <w:color w:val="auto"/>
        </w:rPr>
        <w:instrText xml:space="preserve"> PAGEREF _Toc17586 \h </w:instrText>
      </w:r>
      <w:r>
        <w:rPr>
          <w:rFonts w:hint="eastAsia" w:ascii="宋体" w:hAnsi="宋体" w:eastAsia="宋体" w:cs="宋体"/>
          <w:b/>
          <w:bCs/>
          <w:color w:val="auto"/>
        </w:rPr>
        <w:fldChar w:fldCharType="separate"/>
      </w:r>
      <w:r>
        <w:rPr>
          <w:rFonts w:hint="eastAsia" w:ascii="宋体" w:hAnsi="宋体" w:eastAsia="宋体" w:cs="宋体"/>
          <w:b/>
          <w:bCs/>
          <w:color w:val="auto"/>
        </w:rPr>
        <w:t>72</w:t>
      </w:r>
      <w:r>
        <w:rPr>
          <w:rFonts w:hint="eastAsia" w:ascii="宋体" w:hAnsi="宋体" w:eastAsia="宋体" w:cs="宋体"/>
          <w:b/>
          <w:bCs/>
          <w:color w:val="auto"/>
        </w:rPr>
        <w:fldChar w:fldCharType="end"/>
      </w:r>
      <w:r>
        <w:rPr>
          <w:rFonts w:hint="eastAsia" w:ascii="宋体" w:hAnsi="宋体" w:eastAsia="宋体" w:cs="宋体"/>
          <w:b/>
          <w:bCs/>
          <w:color w:val="auto"/>
          <w:highlight w:val="none"/>
        </w:rPr>
        <w:fldChar w:fldCharType="end"/>
      </w:r>
    </w:p>
    <w:p w14:paraId="2E2595A9">
      <w:pPr>
        <w:pStyle w:val="2"/>
        <w:jc w:val="center"/>
        <w:rPr>
          <w:rFonts w:hint="eastAsia" w:ascii="宋体" w:hAnsi="宋体" w:eastAsia="宋体" w:cs="宋体"/>
          <w:color w:val="auto"/>
          <w:highlight w:val="none"/>
        </w:rPr>
        <w:sectPr>
          <w:endnotePr>
            <w:numFmt w:val="decimal"/>
          </w:endnotePr>
          <w:pgSz w:w="11906" w:h="16838"/>
          <w:pgMar w:top="1134" w:right="1134" w:bottom="1134" w:left="1134" w:header="850" w:footer="992" w:gutter="0"/>
          <w:pgBorders>
            <w:top w:val="none" w:sz="0" w:space="0"/>
            <w:left w:val="none" w:sz="0" w:space="0"/>
            <w:bottom w:val="none" w:sz="0" w:space="0"/>
            <w:right w:val="none" w:sz="0" w:space="0"/>
          </w:pgBorders>
          <w:pgNumType w:start="1"/>
          <w:cols w:space="720" w:num="1"/>
          <w:docGrid w:linePitch="327" w:charSpace="0"/>
        </w:sectPr>
      </w:pPr>
      <w:r>
        <w:rPr>
          <w:rFonts w:hint="eastAsia" w:ascii="宋体" w:hAnsi="宋体" w:eastAsia="宋体" w:cs="宋体"/>
          <w:color w:val="auto"/>
          <w:highlight w:val="none"/>
        </w:rPr>
        <w:fldChar w:fldCharType="end"/>
      </w:r>
      <w:bookmarkStart w:id="0" w:name="_Hlt66153951"/>
      <w:bookmarkEnd w:id="0"/>
      <w:bookmarkStart w:id="1" w:name="_Hlt66104981"/>
      <w:bookmarkEnd w:id="1"/>
      <w:bookmarkStart w:id="2" w:name="_Hlt122423813"/>
      <w:bookmarkEnd w:id="2"/>
      <w:bookmarkStart w:id="3" w:name="_Toc12558"/>
      <w:bookmarkStart w:id="4" w:name="_Toc14094"/>
      <w:bookmarkStart w:id="5" w:name="_Toc14635"/>
      <w:bookmarkStart w:id="6" w:name="_Toc476739600"/>
      <w:bookmarkStart w:id="7" w:name="_Hlt111690251"/>
    </w:p>
    <w:p w14:paraId="41EDFD45">
      <w:pPr>
        <w:pStyle w:val="2"/>
        <w:jc w:val="center"/>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rPr>
        <w:t>第一章 投标人须知</w:t>
      </w:r>
      <w:bookmarkEnd w:id="3"/>
      <w:bookmarkEnd w:id="4"/>
      <w:bookmarkEnd w:id="5"/>
      <w:bookmarkEnd w:id="6"/>
    </w:p>
    <w:p w14:paraId="423B509F">
      <w:pPr>
        <w:pStyle w:val="4"/>
        <w:bidi w:val="0"/>
        <w:rPr>
          <w:rFonts w:hint="eastAsia" w:ascii="宋体" w:hAnsi="宋体" w:eastAsia="宋体" w:cs="宋体"/>
          <w:color w:val="auto"/>
        </w:rPr>
      </w:pPr>
      <w:bookmarkStart w:id="8" w:name="_Hlt127175444"/>
      <w:bookmarkEnd w:id="8"/>
      <w:bookmarkStart w:id="9" w:name="_Toc27520"/>
      <w:bookmarkStart w:id="10" w:name="_Toc117"/>
      <w:bookmarkStart w:id="11" w:name="_Toc22622"/>
      <w:bookmarkStart w:id="12" w:name="_Hlt120077520"/>
      <w:r>
        <w:rPr>
          <w:rFonts w:hint="eastAsia" w:ascii="宋体" w:hAnsi="宋体" w:eastAsia="宋体" w:cs="宋体"/>
          <w:color w:val="auto"/>
        </w:rPr>
        <w:t>第一节 投标人须知前附表</w:t>
      </w:r>
      <w:bookmarkEnd w:id="9"/>
      <w:bookmarkEnd w:id="10"/>
      <w:bookmarkEnd w:id="11"/>
    </w:p>
    <w:tbl>
      <w:tblPr>
        <w:tblStyle w:val="32"/>
        <w:tblW w:w="10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50"/>
        <w:gridCol w:w="1707"/>
        <w:gridCol w:w="8200"/>
      </w:tblGrid>
      <w:tr w14:paraId="330B0E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AEEB4E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57D574F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内容</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51F94000">
            <w:pPr>
              <w:pageBreakBefore w:val="0"/>
              <w:tabs>
                <w:tab w:val="left" w:pos="1180"/>
              </w:tabs>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说明与要求</w:t>
            </w:r>
          </w:p>
        </w:tc>
      </w:tr>
      <w:tr w14:paraId="705CE2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EE53E8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30883B5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项目名称</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7C114115">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红山镇村（居）公共资源分布式光伏项目施工</w:t>
            </w:r>
          </w:p>
        </w:tc>
      </w:tr>
      <w:tr w14:paraId="697882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21D92A3">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A5625B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项目业主</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316F7F7C">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hAnsi="宋体" w:cs="宋体"/>
                <w:snapToGrid w:val="0"/>
                <w:color w:val="auto"/>
                <w:kern w:val="0"/>
                <w:sz w:val="24"/>
                <w:szCs w:val="24"/>
                <w:highlight w:val="none"/>
                <w:lang w:eastAsia="zh-CN"/>
              </w:rPr>
              <w:t>仁化县红山镇水电管理所</w:t>
            </w:r>
          </w:p>
        </w:tc>
      </w:tr>
      <w:tr w14:paraId="2A511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0357C9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5ECA06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项目批准部门</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5F5DFE5E">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仁化县发展改革和政务数据局</w:t>
            </w:r>
          </w:p>
        </w:tc>
      </w:tr>
      <w:tr w14:paraId="4454A5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30DEE43">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FF58469">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项目批准文号</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146D068C">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w:t>
            </w:r>
          </w:p>
        </w:tc>
      </w:tr>
      <w:tr w14:paraId="3F41B2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88413D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6833542">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项目代码</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136B79C3">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yellow"/>
                <w:lang w:val="en-US" w:eastAsia="zh-CN"/>
              </w:rPr>
            </w:pPr>
            <w:r>
              <w:rPr>
                <w:rFonts w:hint="eastAsia" w:hAnsi="宋体" w:cs="宋体"/>
                <w:snapToGrid w:val="0"/>
                <w:color w:val="auto"/>
                <w:kern w:val="0"/>
                <w:sz w:val="24"/>
                <w:szCs w:val="24"/>
                <w:highlight w:val="none"/>
                <w:lang w:val="en-US" w:eastAsia="zh-CN"/>
              </w:rPr>
              <w:t>2605-440224-04-01-578373</w:t>
            </w:r>
          </w:p>
        </w:tc>
      </w:tr>
      <w:tr w14:paraId="2EA78F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7C1E1BF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72AD943E">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资金来源</w:t>
            </w:r>
          </w:p>
          <w:p w14:paraId="5416F0B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及出资比例</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28EA66FA">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yellow"/>
              </w:rPr>
            </w:pPr>
            <w:r>
              <w:rPr>
                <w:rFonts w:hint="eastAsia" w:ascii="宋体" w:hAnsi="宋体" w:eastAsia="宋体" w:cs="宋体"/>
                <w:snapToGrid w:val="0"/>
                <w:color w:val="auto"/>
                <w:kern w:val="0"/>
                <w:sz w:val="24"/>
                <w:szCs w:val="24"/>
                <w:highlight w:val="none"/>
                <w:lang w:val="en-US" w:eastAsia="zh-CN"/>
              </w:rPr>
              <w:t>财政资金</w:t>
            </w:r>
            <w:r>
              <w:rPr>
                <w:rFonts w:hint="eastAsia" w:hAnsi="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en-US" w:eastAsia="zh-CN"/>
              </w:rPr>
              <w:t>100%</w:t>
            </w:r>
          </w:p>
        </w:tc>
      </w:tr>
      <w:tr w14:paraId="344275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A9168D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84482FF">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78D4A9C0">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none"/>
              </w:rPr>
            </w:pPr>
            <w:r>
              <w:rPr>
                <w:rFonts w:hint="eastAsia" w:hAnsi="宋体" w:cs="宋体"/>
                <w:snapToGrid w:val="0"/>
                <w:color w:val="auto"/>
                <w:kern w:val="0"/>
                <w:sz w:val="24"/>
                <w:szCs w:val="24"/>
                <w:highlight w:val="none"/>
                <w:lang w:val="en-US" w:eastAsia="zh-CN"/>
              </w:rPr>
              <w:t>仁化县红山镇水电管理所</w:t>
            </w:r>
          </w:p>
        </w:tc>
      </w:tr>
      <w:tr w14:paraId="034A01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4CAFC13">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06ED73F2">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2824CCA1">
            <w:pPr>
              <w:pageBreakBefore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  </w:t>
            </w:r>
            <w:r>
              <w:rPr>
                <w:rFonts w:hint="eastAsia" w:hAnsi="宋体" w:cs="宋体"/>
                <w:snapToGrid w:val="0"/>
                <w:color w:val="auto"/>
                <w:kern w:val="0"/>
                <w:sz w:val="24"/>
                <w:szCs w:val="24"/>
                <w:highlight w:val="none"/>
                <w:lang w:val="en-US" w:eastAsia="zh-CN"/>
              </w:rPr>
              <w:t>广州穗图项目管理有限公司</w:t>
            </w:r>
          </w:p>
        </w:tc>
      </w:tr>
      <w:tr w14:paraId="0FB9D5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6A04240E">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1D520F3B">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设计单位</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6E2A0703">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海南瑞拓工程勘察设计有限公司</w:t>
            </w:r>
          </w:p>
        </w:tc>
      </w:tr>
      <w:tr w14:paraId="588CC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80A3A03">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3B67EC2B">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造价咨询单位</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365EADFD">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广东宝骏工程咨询有限公司</w:t>
            </w:r>
          </w:p>
        </w:tc>
      </w:tr>
      <w:tr w14:paraId="09E6F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D21A048">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740221A8">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监理单位</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60C9CBB0">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韶关锦成建设工程监理有限公司</w:t>
            </w:r>
          </w:p>
        </w:tc>
      </w:tr>
      <w:tr w14:paraId="21C0FB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238661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3C450CF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yellow"/>
              </w:rPr>
            </w:pPr>
            <w:r>
              <w:rPr>
                <w:rFonts w:hint="eastAsia" w:ascii="宋体" w:hAnsi="宋体" w:eastAsia="宋体" w:cs="宋体"/>
                <w:snapToGrid w:val="0"/>
                <w:color w:val="auto"/>
                <w:kern w:val="0"/>
                <w:sz w:val="24"/>
                <w:szCs w:val="24"/>
                <w:highlight w:val="none"/>
              </w:rPr>
              <w:t>建设地点</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25F426CC">
            <w:pPr>
              <w:pageBreakBefore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  </w:t>
            </w:r>
            <w:r>
              <w:rPr>
                <w:rFonts w:hint="eastAsia" w:hAnsi="宋体" w:cs="宋体"/>
                <w:snapToGrid w:val="0"/>
                <w:color w:val="auto"/>
                <w:kern w:val="0"/>
                <w:sz w:val="24"/>
                <w:szCs w:val="24"/>
                <w:highlight w:val="none"/>
                <w:lang w:val="en-US" w:eastAsia="zh-CN"/>
              </w:rPr>
              <w:t>韶关市仁化县红山镇前洞村、中山村、烟竹村、小楣水村</w:t>
            </w:r>
          </w:p>
        </w:tc>
      </w:tr>
      <w:tr w14:paraId="117EDA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A50268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10B8260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建设内容和规模</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6DAFBF80">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hAnsi="宋体" w:cs="宋体"/>
                <w:snapToGrid w:val="0"/>
                <w:color w:val="auto"/>
                <w:kern w:val="0"/>
                <w:sz w:val="24"/>
                <w:szCs w:val="24"/>
                <w:highlight w:val="none"/>
                <w:lang w:val="en-US" w:eastAsia="zh-CN"/>
              </w:rPr>
              <w:t>总投资约143万元，主要利用红山镇前洞村、中山村、烟竹村、小楣水等村公共资源面积约2000平方米，建设总装机容量约496kW。</w:t>
            </w:r>
          </w:p>
        </w:tc>
      </w:tr>
      <w:tr w14:paraId="2F144D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7AE8D64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0AF42C7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项目总投资</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3D5ADED5">
            <w:pPr>
              <w:keepNext w:val="0"/>
              <w:keepLines w:val="0"/>
              <w:pageBreakBefore w:val="0"/>
              <w:widowControl/>
              <w:suppressLineNumbers w:val="0"/>
              <w:kinsoku/>
              <w:overflowPunct/>
              <w:topLinePunct w:val="0"/>
              <w:autoSpaceDE/>
              <w:autoSpaceDN/>
              <w:bidi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总投资约143万元</w:t>
            </w:r>
            <w:r>
              <w:rPr>
                <w:rFonts w:hint="eastAsia" w:hAnsi="宋体" w:cs="宋体"/>
                <w:snapToGrid w:val="0"/>
                <w:color w:val="auto"/>
                <w:kern w:val="0"/>
                <w:sz w:val="24"/>
                <w:szCs w:val="24"/>
                <w:highlight w:val="none"/>
                <w:lang w:val="en-US" w:eastAsia="zh-CN"/>
              </w:rPr>
              <w:t>。</w:t>
            </w:r>
          </w:p>
        </w:tc>
      </w:tr>
      <w:tr w14:paraId="759D80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FA8BEE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032F39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招标范围</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0D98BF2A">
            <w:pPr>
              <w:pageBreakBefore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施工图纸和工程量清单范围内</w:t>
            </w:r>
            <w:r>
              <w:rPr>
                <w:rFonts w:hint="eastAsia" w:ascii="宋体" w:hAnsi="宋体" w:eastAsia="宋体" w:cs="宋体"/>
                <w:bCs/>
                <w:snapToGrid w:val="0"/>
                <w:color w:val="auto"/>
                <w:kern w:val="0"/>
                <w:sz w:val="24"/>
                <w:szCs w:val="24"/>
                <w:highlight w:val="none"/>
              </w:rPr>
              <w:t>等</w:t>
            </w:r>
            <w:r>
              <w:rPr>
                <w:rFonts w:hint="eastAsia" w:ascii="宋体" w:hAnsi="宋体" w:eastAsia="宋体" w:cs="宋体"/>
                <w:bCs/>
                <w:snapToGrid w:val="0"/>
                <w:color w:val="auto"/>
                <w:kern w:val="0"/>
                <w:sz w:val="24"/>
                <w:szCs w:val="24"/>
                <w:highlight w:val="none"/>
                <w:lang w:val="en-US" w:eastAsia="zh-CN"/>
              </w:rPr>
              <w:t>所有</w:t>
            </w:r>
            <w:r>
              <w:rPr>
                <w:rFonts w:hint="eastAsia" w:ascii="宋体" w:hAnsi="宋体" w:eastAsia="宋体" w:cs="宋体"/>
                <w:bCs/>
                <w:snapToGrid w:val="0"/>
                <w:color w:val="auto"/>
                <w:kern w:val="0"/>
                <w:sz w:val="24"/>
                <w:szCs w:val="24"/>
                <w:highlight w:val="none"/>
              </w:rPr>
              <w:t>工程</w:t>
            </w:r>
            <w:r>
              <w:rPr>
                <w:rFonts w:hint="eastAsia" w:ascii="宋体" w:hAnsi="宋体" w:eastAsia="宋体" w:cs="宋体"/>
                <w:bCs/>
                <w:snapToGrid w:val="0"/>
                <w:color w:val="auto"/>
                <w:kern w:val="0"/>
                <w:sz w:val="24"/>
                <w:szCs w:val="24"/>
                <w:highlight w:val="none"/>
                <w:lang w:val="en-US" w:eastAsia="zh-CN"/>
              </w:rPr>
              <w:t>施工</w:t>
            </w:r>
            <w:r>
              <w:rPr>
                <w:rFonts w:hint="eastAsia" w:ascii="宋体" w:hAnsi="宋体" w:eastAsia="宋体" w:cs="宋体"/>
                <w:bCs/>
                <w:snapToGrid w:val="0"/>
                <w:color w:val="auto"/>
                <w:kern w:val="0"/>
                <w:sz w:val="24"/>
                <w:szCs w:val="24"/>
                <w:highlight w:val="none"/>
              </w:rPr>
              <w:t>。</w:t>
            </w:r>
          </w:p>
        </w:tc>
      </w:tr>
      <w:tr w14:paraId="0FEEBB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9F5762E">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42098EB">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标段划分</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2E095A86">
            <w:pPr>
              <w:pageBreakBefore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本招标项目不划分标段。</w:t>
            </w:r>
          </w:p>
        </w:tc>
      </w:tr>
      <w:tr w14:paraId="6D4B92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5A0C05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37E6456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工期</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4C913188">
            <w:pPr>
              <w:pageBreakBefore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本招标项目施工工期为</w:t>
            </w:r>
            <w:r>
              <w:rPr>
                <w:rFonts w:hint="eastAsia" w:hAnsi="宋体" w:cs="宋体"/>
                <w:bCs/>
                <w:snapToGrid w:val="0"/>
                <w:color w:val="auto"/>
                <w:kern w:val="0"/>
                <w:sz w:val="24"/>
                <w:szCs w:val="24"/>
                <w:highlight w:val="none"/>
                <w:lang w:val="en-US" w:eastAsia="zh-CN"/>
              </w:rPr>
              <w:t>90</w:t>
            </w:r>
            <w:r>
              <w:rPr>
                <w:rFonts w:hint="eastAsia" w:ascii="宋体" w:hAnsi="宋体" w:eastAsia="宋体" w:cs="宋体"/>
                <w:bCs/>
                <w:snapToGrid w:val="0"/>
                <w:color w:val="auto"/>
                <w:kern w:val="0"/>
                <w:sz w:val="24"/>
                <w:szCs w:val="24"/>
                <w:highlight w:val="none"/>
              </w:rPr>
              <w:t>个日历天。</w:t>
            </w:r>
          </w:p>
        </w:tc>
      </w:tr>
      <w:tr w14:paraId="1BBB43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4208BCE">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268957F8">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质量标准</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0D8B1228">
            <w:pPr>
              <w:pStyle w:val="2"/>
              <w:pageBreakBefore w:val="0"/>
              <w:kinsoku/>
              <w:overflowPunct/>
              <w:topLinePunct w:val="0"/>
              <w:autoSpaceDE/>
              <w:autoSpaceDN/>
              <w:bidi w:val="0"/>
              <w:spacing w:before="0" w:beforeLines="0" w:after="0" w:afterLines="0" w:line="360" w:lineRule="auto"/>
              <w:ind w:firstLine="240" w:firstLineChars="100"/>
              <w:textAlignment w:val="auto"/>
              <w:rPr>
                <w:rFonts w:hint="eastAsia" w:ascii="宋体" w:hAnsi="宋体" w:eastAsia="宋体" w:cs="宋体"/>
                <w:color w:val="auto"/>
                <w:sz w:val="24"/>
                <w:szCs w:val="24"/>
                <w:highlight w:val="none"/>
                <w:lang w:val="en-US"/>
              </w:rPr>
            </w:pPr>
            <w:bookmarkStart w:id="13" w:name="_Hlt106417017"/>
            <w:bookmarkEnd w:id="13"/>
            <w:r>
              <w:rPr>
                <w:rFonts w:hint="eastAsia" w:ascii="宋体" w:hAnsi="宋体" w:eastAsia="宋体" w:cs="宋体"/>
                <w:bCs/>
                <w:snapToGrid w:val="0"/>
                <w:color w:val="auto"/>
                <w:kern w:val="0"/>
                <w:sz w:val="24"/>
                <w:szCs w:val="24"/>
                <w:highlight w:val="none"/>
                <w:lang w:val="en-US" w:eastAsia="zh-CN" w:bidi="ar-SA"/>
              </w:rPr>
              <w:t>符合现行国家有关工程施工质量验收规范和标准的要求，质量目标达到合格。</w:t>
            </w:r>
          </w:p>
        </w:tc>
      </w:tr>
      <w:tr w14:paraId="691EAE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6DCBC26C">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034C329">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房屋建筑工程</w:t>
            </w:r>
          </w:p>
          <w:p w14:paraId="1DD4BD2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绿色建筑标准</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1800BCC6">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firstLine="240"/>
              <w:jc w:val="both"/>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color w:val="auto"/>
                <w:sz w:val="24"/>
                <w:szCs w:val="24"/>
              </w:rPr>
              <w:t>本招标项目不纳入绿色建设实施范围。</w:t>
            </w:r>
          </w:p>
        </w:tc>
      </w:tr>
      <w:tr w14:paraId="18BA85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7A2BF8C9">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19.1</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0E60F1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bidi="ar-SA"/>
              </w:rPr>
              <w:t>装配式建筑标准</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4E688130">
            <w:pPr>
              <w:pStyle w:val="2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firstLine="240"/>
              <w:jc w:val="both"/>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color w:val="auto"/>
                <w:sz w:val="24"/>
                <w:szCs w:val="24"/>
              </w:rPr>
              <w:t>本招标项目不纳入装配式建造建设实施范围。</w:t>
            </w:r>
          </w:p>
        </w:tc>
      </w:tr>
      <w:tr w14:paraId="45D7D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1AFFC7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59378A7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trike/>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最高投标限价</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0DE3806E">
            <w:pPr>
              <w:pageBreakBefore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color w:val="auto"/>
                <w:lang w:val="en-US" w:eastAsia="zh-CN"/>
              </w:rPr>
            </w:pPr>
            <w:r>
              <w:rPr>
                <w:rFonts w:hint="eastAsia" w:ascii="宋体" w:hAnsi="宋体" w:eastAsia="宋体" w:cs="宋体"/>
                <w:color w:val="auto"/>
                <w:sz w:val="24"/>
                <w:szCs w:val="24"/>
                <w:highlight w:val="none"/>
                <w:shd w:val="clear" w:fill="FFFFFF"/>
              </w:rPr>
              <w:t>本项目的</w:t>
            </w:r>
            <w:r>
              <w:rPr>
                <w:rFonts w:hint="eastAsia" w:ascii="宋体" w:hAnsi="宋体" w:eastAsia="宋体" w:cs="宋体"/>
                <w:color w:val="auto"/>
                <w:sz w:val="24"/>
                <w:szCs w:val="24"/>
                <w:highlight w:val="none"/>
                <w:shd w:val="clear" w:fill="FFFFFF"/>
                <w:lang w:eastAsia="zh-CN"/>
              </w:rPr>
              <w:t>最高投标限价</w:t>
            </w:r>
            <w:r>
              <w:rPr>
                <w:rFonts w:hint="eastAsia" w:ascii="宋体" w:hAnsi="宋体" w:eastAsia="宋体" w:cs="宋体"/>
                <w:color w:val="auto"/>
                <w:sz w:val="24"/>
                <w:szCs w:val="24"/>
                <w:highlight w:val="none"/>
                <w:shd w:val="clear" w:fill="FFFFFF"/>
              </w:rPr>
              <w:t>为人民币（大写）：</w:t>
            </w:r>
            <w:r>
              <w:rPr>
                <w:rFonts w:hint="eastAsia" w:hAnsi="宋体" w:cs="宋体"/>
                <w:color w:val="auto"/>
                <w:sz w:val="24"/>
                <w:szCs w:val="24"/>
                <w:highlight w:val="none"/>
                <w:u w:val="single"/>
                <w:shd w:val="clear" w:fill="FFFFFF"/>
                <w:lang w:val="en-US" w:eastAsia="zh-CN"/>
              </w:rPr>
              <w:t xml:space="preserve">壹佰叁拾伍万零捌佰叁拾元零叁分 </w:t>
            </w:r>
            <w:r>
              <w:rPr>
                <w:rFonts w:hint="eastAsia" w:ascii="宋体" w:hAnsi="宋体" w:eastAsia="宋体" w:cs="宋体"/>
                <w:color w:val="auto"/>
                <w:sz w:val="24"/>
                <w:szCs w:val="24"/>
                <w:highlight w:val="none"/>
                <w:u w:val="single"/>
                <w:shd w:val="clear" w:fill="FFFFFF"/>
              </w:rPr>
              <w:t>(</w:t>
            </w:r>
            <w:r>
              <w:rPr>
                <w:rFonts w:hint="eastAsia" w:ascii="宋体" w:hAnsi="宋体" w:eastAsia="宋体" w:cs="宋体"/>
                <w:color w:val="auto"/>
                <w:sz w:val="24"/>
                <w:szCs w:val="24"/>
                <w:highlight w:val="none"/>
                <w:u w:val="single"/>
                <w:shd w:val="clear" w:fill="FFFFFF"/>
                <w:lang w:val="en-US" w:eastAsia="zh-CN"/>
              </w:rPr>
              <w:t>小写：</w:t>
            </w:r>
            <w:r>
              <w:rPr>
                <w:rFonts w:hint="eastAsia" w:ascii="宋体" w:hAnsi="宋体" w:eastAsia="宋体" w:cs="宋体"/>
                <w:snapToGrid w:val="0"/>
                <w:color w:val="auto"/>
                <w:kern w:val="0"/>
                <w:highlight w:val="none"/>
                <w:u w:val="single"/>
              </w:rPr>
              <w:t>¥</w:t>
            </w:r>
            <w:r>
              <w:rPr>
                <w:rFonts w:hint="eastAsia" w:ascii="宋体" w:hAnsi="宋体" w:eastAsia="宋体" w:cs="宋体"/>
                <w:snapToGrid w:val="0"/>
                <w:color w:val="auto"/>
                <w:kern w:val="0"/>
                <w:highlight w:val="none"/>
                <w:u w:val="single"/>
                <w:lang w:val="en-US" w:eastAsia="zh-CN"/>
              </w:rPr>
              <w:t>1350830.03</w:t>
            </w:r>
            <w:r>
              <w:rPr>
                <w:rFonts w:hint="eastAsia" w:ascii="宋体" w:hAnsi="宋体" w:eastAsia="宋体" w:cs="宋体"/>
                <w:color w:val="auto"/>
                <w:sz w:val="24"/>
                <w:szCs w:val="24"/>
                <w:highlight w:val="none"/>
                <w:u w:val="single"/>
                <w:shd w:val="clear" w:fill="FFFFFF"/>
              </w:rPr>
              <w:t>元)</w:t>
            </w:r>
            <w:r>
              <w:rPr>
                <w:rFonts w:hint="eastAsia" w:hAnsi="宋体" w:cs="宋体"/>
                <w:color w:val="auto"/>
                <w:sz w:val="24"/>
                <w:szCs w:val="24"/>
                <w:highlight w:val="none"/>
                <w:u w:val="single"/>
                <w:shd w:val="clear" w:fill="FFFFFF"/>
                <w:lang w:eastAsia="zh-CN"/>
              </w:rPr>
              <w:t>，</w:t>
            </w:r>
            <w:r>
              <w:rPr>
                <w:rFonts w:hint="eastAsia" w:ascii="宋体" w:hAnsi="宋体" w:eastAsia="宋体" w:cs="宋体"/>
                <w:color w:val="auto"/>
                <w:sz w:val="24"/>
                <w:szCs w:val="24"/>
                <w:highlight w:val="none"/>
                <w:u w:val="single"/>
                <w:shd w:val="clear" w:fill="FFFFFF"/>
              </w:rPr>
              <w:t>其中</w:t>
            </w:r>
            <w:r>
              <w:rPr>
                <w:rFonts w:hint="eastAsia" w:ascii="宋体" w:hAnsi="宋体" w:eastAsia="宋体" w:cs="宋体"/>
                <w:color w:val="auto"/>
                <w:sz w:val="24"/>
                <w:szCs w:val="24"/>
                <w:highlight w:val="none"/>
                <w:u w:val="single"/>
                <w:shd w:val="clear" w:fill="FFFFFF"/>
                <w:lang w:eastAsia="zh-CN"/>
              </w:rPr>
              <w:t>安全生产措施费不得少于</w:t>
            </w:r>
            <w:r>
              <w:rPr>
                <w:rFonts w:hint="eastAsia" w:ascii="宋体" w:hAnsi="宋体" w:eastAsia="宋体" w:cs="宋体"/>
                <w:color w:val="auto"/>
                <w:sz w:val="24"/>
                <w:szCs w:val="24"/>
                <w:highlight w:val="none"/>
                <w:u w:val="single"/>
                <w:shd w:val="clear" w:fill="FFFFFF"/>
              </w:rPr>
              <w:t>¥</w:t>
            </w:r>
            <w:r>
              <w:rPr>
                <w:rFonts w:hint="eastAsia" w:ascii="宋体" w:hAnsi="宋体" w:eastAsia="宋体" w:cs="宋体"/>
                <w:color w:val="auto"/>
                <w:sz w:val="24"/>
                <w:szCs w:val="24"/>
                <w:highlight w:val="none"/>
                <w:u w:val="single"/>
                <w:shd w:val="clear" w:fill="FFFFFF"/>
                <w:lang w:val="en-US" w:eastAsia="zh-CN"/>
              </w:rPr>
              <w:t>57017.47</w:t>
            </w:r>
            <w:r>
              <w:rPr>
                <w:rFonts w:hint="eastAsia" w:ascii="宋体" w:hAnsi="宋体" w:eastAsia="宋体" w:cs="宋体"/>
                <w:color w:val="auto"/>
                <w:sz w:val="24"/>
                <w:szCs w:val="24"/>
                <w:highlight w:val="none"/>
                <w:u w:val="single"/>
                <w:shd w:val="clear" w:fill="FFFFFF"/>
              </w:rPr>
              <w:t>元，</w:t>
            </w:r>
            <w:r>
              <w:rPr>
                <w:rFonts w:hint="eastAsia" w:ascii="宋体" w:hAnsi="宋体" w:eastAsia="宋体" w:cs="宋体"/>
                <w:color w:val="auto"/>
                <w:sz w:val="24"/>
                <w:szCs w:val="24"/>
                <w:highlight w:val="none"/>
                <w:u w:val="single"/>
                <w:shd w:val="clear" w:fill="FFFFFF"/>
                <w:lang w:val="en-US" w:eastAsia="zh-CN"/>
              </w:rPr>
              <w:t>暂列金额</w:t>
            </w:r>
            <w:r>
              <w:rPr>
                <w:rFonts w:hint="eastAsia" w:ascii="宋体" w:hAnsi="宋体" w:eastAsia="宋体" w:cs="宋体"/>
                <w:color w:val="auto"/>
                <w:sz w:val="24"/>
                <w:szCs w:val="24"/>
                <w:highlight w:val="none"/>
                <w:u w:val="single"/>
                <w:shd w:val="clear" w:fill="FFFFFF"/>
              </w:rPr>
              <w:t>为</w:t>
            </w:r>
            <w:r>
              <w:rPr>
                <w:rFonts w:hint="eastAsia" w:ascii="宋体" w:hAnsi="宋体" w:eastAsia="宋体" w:cs="宋体"/>
                <w:snapToGrid w:val="0"/>
                <w:color w:val="auto"/>
                <w:kern w:val="0"/>
                <w:highlight w:val="none"/>
                <w:u w:val="single"/>
              </w:rPr>
              <w:t>¥</w:t>
            </w:r>
            <w:r>
              <w:rPr>
                <w:rFonts w:hint="eastAsia" w:hAnsi="宋体" w:cs="宋体"/>
                <w:snapToGrid w:val="0"/>
                <w:color w:val="auto"/>
                <w:kern w:val="0"/>
                <w:highlight w:val="none"/>
                <w:u w:val="single"/>
                <w:lang w:val="en-US" w:eastAsia="zh-CN"/>
              </w:rPr>
              <w:t>/</w:t>
            </w:r>
            <w:r>
              <w:rPr>
                <w:rFonts w:hint="eastAsia" w:ascii="宋体" w:hAnsi="宋体" w:eastAsia="宋体" w:cs="宋体"/>
                <w:color w:val="auto"/>
                <w:sz w:val="24"/>
                <w:szCs w:val="24"/>
                <w:highlight w:val="none"/>
                <w:u w:val="single"/>
                <w:shd w:val="clear" w:fill="FFFFFF"/>
              </w:rPr>
              <w:t>元</w:t>
            </w:r>
            <w:r>
              <w:rPr>
                <w:rFonts w:hint="eastAsia" w:ascii="宋体" w:hAnsi="宋体" w:eastAsia="宋体" w:cs="宋体"/>
                <w:color w:val="auto"/>
                <w:sz w:val="24"/>
                <w:szCs w:val="24"/>
                <w:highlight w:val="none"/>
                <w:u w:val="single"/>
                <w:shd w:val="clear" w:fill="FFFFFF"/>
                <w:lang w:eastAsia="zh-CN"/>
              </w:rPr>
              <w:t>，</w:t>
            </w:r>
            <w:r>
              <w:rPr>
                <w:rFonts w:hint="eastAsia" w:ascii="宋体" w:hAnsi="宋体" w:eastAsia="宋体" w:cs="宋体"/>
                <w:color w:val="auto"/>
                <w:sz w:val="24"/>
                <w:szCs w:val="24"/>
                <w:highlight w:val="none"/>
                <w:u w:val="single"/>
                <w:shd w:val="clear" w:fill="FFFFFF"/>
                <w:lang w:val="en-US" w:eastAsia="zh-CN"/>
              </w:rPr>
              <w:t>暂估价</w:t>
            </w:r>
            <w:r>
              <w:rPr>
                <w:rFonts w:hint="eastAsia" w:ascii="宋体" w:hAnsi="宋体" w:eastAsia="宋体" w:cs="宋体"/>
                <w:color w:val="auto"/>
                <w:sz w:val="24"/>
                <w:szCs w:val="24"/>
                <w:highlight w:val="none"/>
                <w:u w:val="single"/>
                <w:shd w:val="clear" w:fill="FFFFFF"/>
              </w:rPr>
              <w:t>为</w:t>
            </w:r>
            <w:r>
              <w:rPr>
                <w:rFonts w:hint="eastAsia" w:ascii="宋体" w:hAnsi="宋体" w:eastAsia="宋体" w:cs="宋体"/>
                <w:snapToGrid w:val="0"/>
                <w:color w:val="auto"/>
                <w:kern w:val="0"/>
                <w:highlight w:val="none"/>
                <w:u w:val="single"/>
              </w:rPr>
              <w:t>¥</w:t>
            </w:r>
            <w:r>
              <w:rPr>
                <w:rFonts w:hint="eastAsia" w:hAnsi="宋体" w:cs="宋体"/>
                <w:snapToGrid w:val="0"/>
                <w:color w:val="auto"/>
                <w:kern w:val="0"/>
                <w:highlight w:val="none"/>
                <w:u w:val="single"/>
                <w:lang w:val="en-US" w:eastAsia="zh-CN"/>
              </w:rPr>
              <w:t>/</w:t>
            </w:r>
            <w:r>
              <w:rPr>
                <w:rFonts w:hint="eastAsia" w:ascii="宋体" w:hAnsi="宋体" w:eastAsia="宋体" w:cs="宋体"/>
                <w:color w:val="auto"/>
                <w:sz w:val="24"/>
                <w:szCs w:val="24"/>
                <w:highlight w:val="none"/>
                <w:u w:val="single"/>
                <w:shd w:val="clear" w:fill="FFFFFF"/>
              </w:rPr>
              <w:t>元。</w:t>
            </w:r>
          </w:p>
        </w:tc>
      </w:tr>
      <w:tr w14:paraId="7603C4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F9DBD2F">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439991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投标人资格要求</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6CCB21FB">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1．本次招标</w:t>
            </w:r>
            <w:r>
              <w:rPr>
                <w:rFonts w:hint="eastAsia" w:ascii="宋体" w:hAnsi="宋体" w:eastAsia="宋体" w:cs="宋体"/>
                <w:snapToGrid w:val="0"/>
                <w:color w:val="auto"/>
                <w:kern w:val="0"/>
                <w:sz w:val="24"/>
                <w:szCs w:val="24"/>
                <w:highlight w:val="none"/>
                <w:lang w:val="en-US" w:eastAsia="zh-CN"/>
              </w:rPr>
              <w:t>不</w:t>
            </w:r>
            <w:r>
              <w:rPr>
                <w:rFonts w:hint="eastAsia" w:ascii="宋体" w:hAnsi="宋体" w:eastAsia="宋体" w:cs="宋体"/>
                <w:snapToGrid w:val="0"/>
                <w:color w:val="auto"/>
                <w:kern w:val="0"/>
                <w:sz w:val="24"/>
                <w:szCs w:val="24"/>
                <w:highlight w:val="none"/>
              </w:rPr>
              <w:t>接受联合体投标</w:t>
            </w:r>
            <w:r>
              <w:rPr>
                <w:rFonts w:hint="eastAsia" w:ascii="宋体" w:hAnsi="宋体" w:eastAsia="宋体" w:cs="宋体"/>
                <w:snapToGrid w:val="0"/>
                <w:color w:val="auto"/>
                <w:kern w:val="0"/>
                <w:sz w:val="24"/>
                <w:szCs w:val="24"/>
                <w:highlight w:val="none"/>
                <w:lang w:eastAsia="zh-CN"/>
              </w:rPr>
              <w:t>。</w:t>
            </w:r>
          </w:p>
          <w:p w14:paraId="24756A3B">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2．资质要求</w:t>
            </w:r>
          </w:p>
          <w:p w14:paraId="589D85A6">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 投标人须具备独立法人资格，按国家法律经营。</w:t>
            </w:r>
          </w:p>
          <w:p w14:paraId="2D15396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 投标人须持有建设行政主管部门颁发的企业资质证书及安全生产许可证。</w:t>
            </w:r>
          </w:p>
          <w:p w14:paraId="0EAB4BF2">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b w:val="0"/>
                <w:bCs w:val="0"/>
                <w:i w:val="0"/>
                <w:iCs w:val="0"/>
                <w:caps w:val="0"/>
                <w:color w:val="auto"/>
                <w:spacing w:val="0"/>
                <w:sz w:val="24"/>
                <w:szCs w:val="24"/>
                <w:highlight w:val="none"/>
                <w:u w:val="single"/>
                <w:shd w:val="clear" w:fill="FFFFFF"/>
              </w:rPr>
            </w:pPr>
            <w:r>
              <w:rPr>
                <w:rFonts w:hint="eastAsia" w:ascii="宋体" w:hAnsi="宋体" w:eastAsia="宋体" w:cs="宋体"/>
                <w:snapToGrid w:val="0"/>
                <w:color w:val="auto"/>
                <w:kern w:val="0"/>
                <w:sz w:val="24"/>
                <w:szCs w:val="24"/>
                <w:highlight w:val="none"/>
              </w:rPr>
              <w:t>2.3 投标人须具备以下资质：具备建设行政主管部门颁发的</w:t>
            </w:r>
            <w:r>
              <w:rPr>
                <w:rFonts w:hint="eastAsia" w:ascii="宋体" w:hAnsi="宋体" w:eastAsia="宋体" w:cs="宋体"/>
                <w:b/>
                <w:bCs/>
                <w:snapToGrid w:val="0"/>
                <w:color w:val="auto"/>
                <w:kern w:val="0"/>
                <w:sz w:val="24"/>
                <w:szCs w:val="24"/>
                <w:highlight w:val="none"/>
                <w:u w:val="single"/>
              </w:rPr>
              <w:t>电力工程施工总承包叁级或以上资质</w:t>
            </w:r>
            <w:r>
              <w:rPr>
                <w:rFonts w:hint="eastAsia" w:ascii="宋体" w:hAnsi="宋体" w:eastAsia="宋体" w:cs="宋体"/>
                <w:snapToGrid w:val="0"/>
                <w:color w:val="auto"/>
                <w:kern w:val="0"/>
                <w:sz w:val="24"/>
                <w:szCs w:val="24"/>
                <w:highlight w:val="none"/>
              </w:rPr>
              <w:t>，同时</w:t>
            </w:r>
            <w:r>
              <w:rPr>
                <w:rFonts w:hint="eastAsia" w:ascii="宋体" w:hAnsi="宋体" w:eastAsia="宋体" w:cs="宋体"/>
                <w:snapToGrid w:val="0"/>
                <w:color w:val="auto"/>
                <w:kern w:val="0"/>
                <w:sz w:val="24"/>
                <w:szCs w:val="24"/>
                <w:highlight w:val="none"/>
                <w:lang w:val="en-US" w:eastAsia="zh-CN"/>
              </w:rPr>
              <w:t>持有国家能源局颁发的《承装(修、试)电力设施许可证》承装</w:t>
            </w:r>
            <w:r>
              <w:rPr>
                <w:rFonts w:hint="eastAsia" w:hAnsi="宋体" w:cs="宋体"/>
                <w:snapToGrid w:val="0"/>
                <w:color w:val="auto"/>
                <w:kern w:val="0"/>
                <w:sz w:val="24"/>
                <w:szCs w:val="24"/>
                <w:highlight w:val="none"/>
                <w:lang w:val="en-US" w:eastAsia="zh-CN"/>
              </w:rPr>
              <w:t>类</w:t>
            </w:r>
            <w:r>
              <w:rPr>
                <w:rFonts w:hint="eastAsia" w:ascii="宋体" w:hAnsi="宋体" w:eastAsia="宋体" w:cs="宋体"/>
                <w:snapToGrid w:val="0"/>
                <w:color w:val="auto"/>
                <w:kern w:val="0"/>
                <w:sz w:val="24"/>
                <w:szCs w:val="24"/>
                <w:highlight w:val="none"/>
                <w:lang w:val="en-US" w:eastAsia="zh-CN"/>
              </w:rPr>
              <w:t>五级或以上许可，资质须在有效期内。对应于2025年7月1日起换发的电子证照，应为承装类三级或以上许可资格。 【注:依据国家能源局关于做好承装(修、试)电力设施许可证换领和延续工作的通知(国能发资质(2025)44 号)。如有最新政策文件的，从其规定。</w:t>
            </w:r>
          </w:p>
          <w:p w14:paraId="089BEBD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20B014BE">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3．相关人员要求</w:t>
            </w:r>
          </w:p>
          <w:p w14:paraId="7653A9B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3.1 </w:t>
            </w:r>
            <w:r>
              <w:rPr>
                <w:rFonts w:hint="eastAsia" w:ascii="宋体" w:hAnsi="宋体" w:eastAsia="宋体" w:cs="宋体"/>
                <w:color w:val="auto"/>
                <w:sz w:val="24"/>
                <w:szCs w:val="24"/>
                <w:highlight w:val="none"/>
                <w:lang w:eastAsia="zh-CN"/>
              </w:rPr>
              <w:t>拟派项目经理为</w:t>
            </w:r>
            <w:r>
              <w:rPr>
                <w:rFonts w:hint="eastAsia" w:ascii="宋体" w:hAnsi="宋体" w:eastAsia="宋体" w:cs="宋体"/>
                <w:b/>
                <w:bCs/>
                <w:color w:val="auto"/>
                <w:sz w:val="24"/>
                <w:szCs w:val="24"/>
                <w:highlight w:val="none"/>
                <w:u w:val="single"/>
                <w:lang w:eastAsia="zh-CN"/>
              </w:rPr>
              <w:t>机电工程</w:t>
            </w:r>
            <w:r>
              <w:rPr>
                <w:rFonts w:hint="eastAsia" w:ascii="宋体" w:hAnsi="宋体" w:eastAsia="宋体" w:cs="宋体"/>
                <w:color w:val="auto"/>
                <w:sz w:val="24"/>
                <w:szCs w:val="24"/>
                <w:highlight w:val="none"/>
                <w:u w:val="none"/>
                <w:lang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p>
          <w:p w14:paraId="4A13E78E">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 拟派项目技术负责人须具备</w:t>
            </w:r>
            <w:r>
              <w:rPr>
                <w:rFonts w:hint="eastAsia" w:ascii="宋体" w:hAnsi="宋体" w:eastAsia="宋体" w:cs="宋体"/>
                <w:b w:val="0"/>
                <w:bCs w:val="0"/>
                <w:snapToGrid w:val="0"/>
                <w:color w:val="auto"/>
                <w:kern w:val="0"/>
                <w:sz w:val="24"/>
                <w:szCs w:val="24"/>
                <w:highlight w:val="none"/>
                <w:u w:val="single"/>
                <w:lang w:val="en-US" w:eastAsia="zh-CN"/>
              </w:rPr>
              <w:t>中</w:t>
            </w:r>
            <w:r>
              <w:rPr>
                <w:rFonts w:hint="eastAsia" w:ascii="宋体" w:hAnsi="宋体" w:eastAsia="宋体" w:cs="宋体"/>
                <w:b w:val="0"/>
                <w:bCs w:val="0"/>
                <w:snapToGrid w:val="0"/>
                <w:color w:val="auto"/>
                <w:kern w:val="0"/>
                <w:sz w:val="24"/>
                <w:szCs w:val="24"/>
                <w:highlight w:val="none"/>
              </w:rPr>
              <w:t>级以上（含</w:t>
            </w:r>
            <w:r>
              <w:rPr>
                <w:rFonts w:hint="eastAsia" w:ascii="宋体" w:hAnsi="宋体" w:eastAsia="宋体" w:cs="宋体"/>
                <w:b w:val="0"/>
                <w:bCs w:val="0"/>
                <w:snapToGrid w:val="0"/>
                <w:color w:val="auto"/>
                <w:kern w:val="0"/>
                <w:sz w:val="24"/>
                <w:szCs w:val="24"/>
                <w:highlight w:val="none"/>
                <w:u w:val="single"/>
                <w:lang w:val="en-US" w:eastAsia="zh-CN"/>
              </w:rPr>
              <w:t>中</w:t>
            </w:r>
            <w:r>
              <w:rPr>
                <w:rFonts w:hint="eastAsia" w:ascii="宋体" w:hAnsi="宋体" w:eastAsia="宋体" w:cs="宋体"/>
                <w:b w:val="0"/>
                <w:bCs w:val="0"/>
                <w:snapToGrid w:val="0"/>
                <w:color w:val="auto"/>
                <w:kern w:val="0"/>
                <w:sz w:val="24"/>
                <w:szCs w:val="24"/>
                <w:highlight w:val="none"/>
              </w:rPr>
              <w:t>级）</w:t>
            </w:r>
            <w:r>
              <w:rPr>
                <w:rFonts w:hint="eastAsia" w:ascii="宋体" w:hAnsi="宋体" w:eastAsia="宋体" w:cs="宋体"/>
                <w:snapToGrid w:val="0"/>
                <w:color w:val="auto"/>
                <w:kern w:val="0"/>
                <w:sz w:val="24"/>
                <w:szCs w:val="24"/>
                <w:highlight w:val="none"/>
              </w:rPr>
              <w:t>技术职称。</w:t>
            </w:r>
          </w:p>
          <w:p w14:paraId="5F9B4C42">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b w:val="0"/>
                <w:bCs w:val="0"/>
                <w:snapToGrid w:val="0"/>
                <w:color w:val="auto"/>
                <w:kern w:val="0"/>
                <w:sz w:val="24"/>
                <w:szCs w:val="24"/>
                <w:highlight w:val="none"/>
                <w:u w:val="single"/>
                <w:lang w:val="en-US" w:eastAsia="zh-CN"/>
              </w:rPr>
              <w:t>1</w:t>
            </w:r>
            <w:r>
              <w:rPr>
                <w:rFonts w:hint="eastAsia" w:ascii="宋体" w:hAnsi="宋体" w:eastAsia="宋体" w:cs="宋体"/>
                <w:b w:val="0"/>
                <w:bCs w:val="0"/>
                <w:snapToGrid w:val="0"/>
                <w:color w:val="auto"/>
                <w:kern w:val="0"/>
                <w:sz w:val="24"/>
                <w:szCs w:val="24"/>
                <w:highlight w:val="none"/>
              </w:rPr>
              <w:t>人</w:t>
            </w:r>
            <w:r>
              <w:rPr>
                <w:rFonts w:hint="eastAsia" w:ascii="宋体" w:hAnsi="宋体" w:eastAsia="宋体" w:cs="宋体"/>
                <w:snapToGrid w:val="0"/>
                <w:color w:val="auto"/>
                <w:kern w:val="0"/>
                <w:sz w:val="24"/>
                <w:szCs w:val="24"/>
                <w:highlight w:val="none"/>
              </w:rPr>
              <w:t xml:space="preserve">。 </w:t>
            </w:r>
          </w:p>
          <w:p w14:paraId="2ABE4404">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3.4 投标人与其拟派往本项目管理机构的所有人员之间必须具备合法、唯一的劳动聘用关系</w:t>
            </w:r>
            <w:r>
              <w:rPr>
                <w:rFonts w:hint="eastAsia" w:ascii="宋体" w:hAnsi="宋体" w:eastAsia="宋体" w:cs="宋体"/>
                <w:color w:val="auto"/>
                <w:highlight w:val="none"/>
              </w:rPr>
              <w:t>（提供社保证明或劳动合同）</w:t>
            </w:r>
            <w:r>
              <w:rPr>
                <w:rFonts w:hint="eastAsia" w:ascii="宋体" w:hAnsi="宋体" w:eastAsia="宋体" w:cs="宋体"/>
                <w:snapToGrid w:val="0"/>
                <w:color w:val="auto"/>
                <w:kern w:val="0"/>
                <w:sz w:val="24"/>
                <w:szCs w:val="24"/>
                <w:highlight w:val="none"/>
              </w:rPr>
              <w:t>。拟派人员中具备注册执业资格的，其注册单位须与投标人保持一致。</w:t>
            </w:r>
          </w:p>
          <w:p w14:paraId="4108B950">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4．禁止投标条款：</w:t>
            </w:r>
          </w:p>
          <w:p w14:paraId="66663910">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4.1 投标人不得存在下列情形之一：    </w:t>
            </w:r>
          </w:p>
          <w:p w14:paraId="12187784">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（1）为招标人不具有独立法人资格的附属机构（单位）；</w:t>
            </w:r>
          </w:p>
          <w:p w14:paraId="38403E77">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（2）为本招标项目前期准备提供设计或咨询服务的；</w:t>
            </w:r>
          </w:p>
          <w:p w14:paraId="24894662">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（3）与本招标项目的其他投标人为同一个单位负责人；</w:t>
            </w:r>
          </w:p>
          <w:p w14:paraId="27901649">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（4）与本招标项目的其他投标人存在控股、管理关系；</w:t>
            </w:r>
          </w:p>
          <w:p w14:paraId="091BC197">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（5）为本招标项目的监理人；</w:t>
            </w:r>
          </w:p>
          <w:p w14:paraId="1A3C08C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（6）为本招标项目的代建人；</w:t>
            </w:r>
          </w:p>
          <w:p w14:paraId="27D6F5BD">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（7）为本招标项目的招标代理机构；</w:t>
            </w:r>
          </w:p>
          <w:p w14:paraId="4B279A2E">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（8）与本招标项目的监理人或代建人或招标代理机构同为一个法定代表人；</w:t>
            </w:r>
          </w:p>
          <w:p w14:paraId="19C2B53C">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（9）与本招标项目的监理人或代建人或招标代理机构存在控股或参股关系；</w:t>
            </w:r>
          </w:p>
          <w:p w14:paraId="2B641147">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（10）与本招标项目的监理人或代建人或招标代理机构存在相互任职或工作关系；</w:t>
            </w:r>
          </w:p>
          <w:p w14:paraId="558AB604">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（11）被依法暂停或者取消投标资格；</w:t>
            </w:r>
          </w:p>
          <w:p w14:paraId="7233EE1B">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（12）被责令停产停业、暂扣或者吊销许可证、暂扣或者吊销执照；</w:t>
            </w:r>
          </w:p>
          <w:p w14:paraId="394C68C5">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（13）进入清算程序，或被宣告破产，或其他丧失履约能力的情形；</w:t>
            </w:r>
          </w:p>
          <w:p w14:paraId="7B0BB09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（14）在最近三年内发生重大工程质量或安全问题（以相关行业主管部门的行政处罚决定或司法机关出具的有关法律文书为准）；</w:t>
            </w:r>
          </w:p>
          <w:p w14:paraId="4FCF4656">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（15）被“信用中国”网站（https://www.creditchina.gov.cn）发布的《</w:t>
            </w:r>
            <w:r>
              <w:rPr>
                <w:rFonts w:hint="eastAsia" w:ascii="宋体" w:hAnsi="宋体" w:eastAsia="宋体" w:cs="宋体"/>
                <w:snapToGrid w:val="0"/>
                <w:color w:val="auto"/>
                <w:kern w:val="0"/>
                <w:sz w:val="24"/>
                <w:szCs w:val="24"/>
                <w:highlight w:val="none"/>
                <w:lang w:eastAsia="zh-CN"/>
              </w:rPr>
              <w:t>法人和非法人组织公共信用信息报告</w:t>
            </w:r>
            <w:r>
              <w:rPr>
                <w:rFonts w:hint="eastAsia" w:ascii="宋体" w:hAnsi="宋体" w:eastAsia="宋体" w:cs="宋体"/>
                <w:snapToGrid w:val="0"/>
                <w:color w:val="auto"/>
                <w:kern w:val="0"/>
                <w:sz w:val="24"/>
                <w:szCs w:val="24"/>
                <w:highlight w:val="none"/>
              </w:rPr>
              <w:t>》列为严重失信主体名单的。</w:t>
            </w:r>
          </w:p>
          <w:p w14:paraId="0085428D">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 招标人拒绝以下名单中的单位参加本次投标：</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3791"/>
              <w:gridCol w:w="3558"/>
            </w:tblGrid>
            <w:tr w14:paraId="1797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18" w:type="dxa"/>
                  <w:noWrap w:val="0"/>
                  <w:vAlign w:val="center"/>
                </w:tcPr>
                <w:p w14:paraId="5E50EC52">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3791" w:type="dxa"/>
                  <w:noWrap w:val="0"/>
                  <w:vAlign w:val="center"/>
                </w:tcPr>
                <w:p w14:paraId="5B8422B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tc>
              <w:tc>
                <w:tcPr>
                  <w:tcW w:w="3558" w:type="dxa"/>
                  <w:noWrap w:val="0"/>
                  <w:vAlign w:val="center"/>
                </w:tcPr>
                <w:p w14:paraId="748EC6D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拒绝原因</w:t>
                  </w:r>
                </w:p>
              </w:tc>
            </w:tr>
            <w:tr w14:paraId="1903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18" w:type="dxa"/>
                  <w:noWrap w:val="0"/>
                  <w:vAlign w:val="center"/>
                </w:tcPr>
                <w:p w14:paraId="1E4ECAC8">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c>
                <w:tcPr>
                  <w:tcW w:w="3791" w:type="dxa"/>
                  <w:noWrap w:val="0"/>
                  <w:vAlign w:val="center"/>
                </w:tcPr>
                <w:p w14:paraId="08AF106A">
                  <w:pPr>
                    <w:pageBreakBefore w:val="0"/>
                    <w:tabs>
                      <w:tab w:val="left" w:pos="1180"/>
                    </w:tabs>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广东宝骏工程咨询有限公司</w:t>
                  </w:r>
                </w:p>
              </w:tc>
              <w:tc>
                <w:tcPr>
                  <w:tcW w:w="3558" w:type="dxa"/>
                  <w:noWrap w:val="0"/>
                  <w:vAlign w:val="center"/>
                </w:tcPr>
                <w:p w14:paraId="15AF4C4B">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w:t>
                  </w:r>
                  <w:r>
                    <w:rPr>
                      <w:rFonts w:hint="eastAsia" w:ascii="宋体" w:hAnsi="宋体" w:eastAsia="宋体" w:cs="宋体"/>
                      <w:color w:val="auto"/>
                      <w:sz w:val="24"/>
                      <w:szCs w:val="24"/>
                      <w:highlight w:val="none"/>
                      <w:lang w:val="en-US" w:eastAsia="zh-CN"/>
                    </w:rPr>
                    <w:t>造价</w:t>
                  </w:r>
                  <w:r>
                    <w:rPr>
                      <w:rFonts w:hint="eastAsia" w:ascii="宋体" w:hAnsi="宋体" w:eastAsia="宋体" w:cs="宋体"/>
                      <w:color w:val="auto"/>
                      <w:sz w:val="24"/>
                      <w:szCs w:val="24"/>
                      <w:highlight w:val="none"/>
                    </w:rPr>
                    <w:t>单位</w:t>
                  </w:r>
                </w:p>
              </w:tc>
            </w:tr>
            <w:tr w14:paraId="0217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18" w:type="dxa"/>
                  <w:noWrap w:val="0"/>
                  <w:vAlign w:val="center"/>
                </w:tcPr>
                <w:p w14:paraId="166D187C">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3791" w:type="dxa"/>
                  <w:noWrap w:val="0"/>
                  <w:vAlign w:val="center"/>
                </w:tcPr>
                <w:p w14:paraId="4348A36F">
                  <w:pPr>
                    <w:pageBreakBefore w:val="0"/>
                    <w:tabs>
                      <w:tab w:val="left" w:pos="1180"/>
                    </w:tabs>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海南瑞拓工程勘察设计有限公司</w:t>
                  </w:r>
                </w:p>
              </w:tc>
              <w:tc>
                <w:tcPr>
                  <w:tcW w:w="3558" w:type="dxa"/>
                  <w:noWrap w:val="0"/>
                  <w:vAlign w:val="center"/>
                </w:tcPr>
                <w:p w14:paraId="002E16E4">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none"/>
                    </w:rPr>
                    <w:t>为本招标项目的设计单位</w:t>
                  </w:r>
                </w:p>
              </w:tc>
            </w:tr>
            <w:tr w14:paraId="6EB4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18" w:type="dxa"/>
                  <w:noWrap w:val="0"/>
                  <w:vAlign w:val="center"/>
                </w:tcPr>
                <w:p w14:paraId="26598700">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c>
                <w:tcPr>
                  <w:tcW w:w="3791" w:type="dxa"/>
                  <w:noWrap w:val="0"/>
                  <w:vAlign w:val="center"/>
                </w:tcPr>
                <w:p w14:paraId="370173F6">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eastAsia="zh-CN"/>
                    </w:rPr>
                    <w:t>广州穗图项目管理有限公司</w:t>
                  </w:r>
                </w:p>
              </w:tc>
              <w:tc>
                <w:tcPr>
                  <w:tcW w:w="3558" w:type="dxa"/>
                  <w:noWrap w:val="0"/>
                  <w:vAlign w:val="center"/>
                </w:tcPr>
                <w:p w14:paraId="4B85756D">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为本招标项目的招标代理机构</w:t>
                  </w:r>
                </w:p>
              </w:tc>
            </w:tr>
            <w:tr w14:paraId="46C3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18" w:type="dxa"/>
                  <w:noWrap w:val="0"/>
                  <w:vAlign w:val="center"/>
                </w:tcPr>
                <w:p w14:paraId="4FB93B3F">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w:t>
                  </w:r>
                </w:p>
              </w:tc>
              <w:tc>
                <w:tcPr>
                  <w:tcW w:w="3791" w:type="dxa"/>
                  <w:noWrap w:val="0"/>
                  <w:vAlign w:val="center"/>
                </w:tcPr>
                <w:p w14:paraId="65722431">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仁化县红山镇水电管理所</w:t>
                  </w:r>
                </w:p>
              </w:tc>
              <w:tc>
                <w:tcPr>
                  <w:tcW w:w="3558" w:type="dxa"/>
                  <w:noWrap w:val="0"/>
                  <w:vAlign w:val="center"/>
                </w:tcPr>
                <w:p w14:paraId="75AEA8AC">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为本招标项目的招标人</w:t>
                  </w:r>
                </w:p>
              </w:tc>
            </w:tr>
            <w:tr w14:paraId="70B6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18" w:type="dxa"/>
                  <w:noWrap w:val="0"/>
                  <w:vAlign w:val="center"/>
                </w:tcPr>
                <w:p w14:paraId="0888F255">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3791" w:type="dxa"/>
                  <w:noWrap w:val="0"/>
                  <w:vAlign w:val="center"/>
                </w:tcPr>
                <w:p w14:paraId="0C92E66B">
                  <w:pPr>
                    <w:pStyle w:val="138"/>
                    <w:wordWrap w:val="0"/>
                    <w:adjustRightInd w:val="0"/>
                    <w:snapToGri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仁化县红山镇人民政府</w:t>
                  </w:r>
                </w:p>
              </w:tc>
              <w:tc>
                <w:tcPr>
                  <w:tcW w:w="3558" w:type="dxa"/>
                  <w:noWrap w:val="0"/>
                  <w:vAlign w:val="center"/>
                </w:tcPr>
                <w:p w14:paraId="79E0A10E">
                  <w:pPr>
                    <w:pStyle w:val="138"/>
                    <w:wordWrap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监督单位</w:t>
                  </w:r>
                </w:p>
              </w:tc>
            </w:tr>
            <w:tr w14:paraId="15BD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18" w:type="dxa"/>
                  <w:noWrap w:val="0"/>
                  <w:vAlign w:val="center"/>
                </w:tcPr>
                <w:p w14:paraId="2A9F32D1">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3791" w:type="dxa"/>
                  <w:noWrap w:val="0"/>
                  <w:vAlign w:val="center"/>
                </w:tcPr>
                <w:p w14:paraId="3A0F59F1">
                  <w:pPr>
                    <w:pStyle w:val="138"/>
                    <w:wordWrap w:val="0"/>
                    <w:adjustRightInd w:val="0"/>
                    <w:snapToGri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韶关锦成建设工程监理有限公司</w:t>
                  </w:r>
                </w:p>
              </w:tc>
              <w:tc>
                <w:tcPr>
                  <w:tcW w:w="3558" w:type="dxa"/>
                  <w:noWrap w:val="0"/>
                  <w:vAlign w:val="center"/>
                </w:tcPr>
                <w:p w14:paraId="57C269EF">
                  <w:pPr>
                    <w:pStyle w:val="138"/>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w:t>
                  </w:r>
                  <w:r>
                    <w:rPr>
                      <w:rFonts w:hint="eastAsia" w:ascii="宋体" w:hAnsi="宋体" w:cs="宋体"/>
                      <w:snapToGrid w:val="0"/>
                      <w:color w:val="auto"/>
                      <w:kern w:val="0"/>
                      <w:sz w:val="24"/>
                      <w:szCs w:val="24"/>
                      <w:highlight w:val="none"/>
                      <w:lang w:val="en-US" w:eastAsia="zh-CN"/>
                    </w:rPr>
                    <w:t>监理单位</w:t>
                  </w:r>
                </w:p>
              </w:tc>
            </w:tr>
          </w:tbl>
          <w:p w14:paraId="538A8C34">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5．其他要求</w:t>
            </w:r>
          </w:p>
          <w:p w14:paraId="56AE9B8E">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784A48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A19BAA2">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692D62B9">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0A7A7B42">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1．投标人须缴纳金额为人民币</w:t>
            </w:r>
            <w:r>
              <w:rPr>
                <w:rFonts w:hint="eastAsia" w:hAnsi="宋体" w:cs="宋体"/>
                <w:b/>
                <w:bCs/>
                <w:snapToGrid w:val="0"/>
                <w:color w:val="auto"/>
                <w:kern w:val="0"/>
                <w:sz w:val="24"/>
                <w:szCs w:val="24"/>
                <w:highlight w:val="none"/>
                <w:u w:val="single"/>
                <w:lang w:val="en-US" w:eastAsia="zh-CN"/>
              </w:rPr>
              <w:t>2</w:t>
            </w:r>
            <w:r>
              <w:rPr>
                <w:rFonts w:hint="eastAsia" w:ascii="宋体" w:hAnsi="宋体" w:eastAsia="宋体" w:cs="宋体"/>
                <w:b/>
                <w:bCs/>
                <w:snapToGrid w:val="0"/>
                <w:color w:val="auto"/>
                <w:kern w:val="0"/>
                <w:sz w:val="24"/>
                <w:szCs w:val="24"/>
                <w:highlight w:val="none"/>
                <w:u w:val="single"/>
                <w:lang w:val="en-US" w:eastAsia="zh-CN"/>
              </w:rPr>
              <w:t>万元</w:t>
            </w:r>
            <w:r>
              <w:rPr>
                <w:rFonts w:hint="eastAsia" w:ascii="宋体" w:hAnsi="宋体" w:eastAsia="宋体" w:cs="宋体"/>
                <w:snapToGrid w:val="0"/>
                <w:color w:val="auto"/>
                <w:kern w:val="0"/>
                <w:sz w:val="24"/>
                <w:szCs w:val="24"/>
                <w:highlight w:val="none"/>
              </w:rPr>
              <w:t xml:space="preserve">的投标保证。 </w:t>
            </w:r>
          </w:p>
          <w:p w14:paraId="26F672E2">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2．投标保证的形式包括投标保证金、投标保证担保、投标保证保险三种，由投标人自主选择。</w:t>
            </w:r>
          </w:p>
          <w:p w14:paraId="26C2B29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6EB1F79E">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投标保证担保的，投标人应提交有效的电子保函或保证保险，电子保函或保证保险的有效期不得短于投标有效期。投标人必须在投标保证担保截止时间（见本章第二节“重要事项时间地点一览表”）前，使用工程建设交易系统完成网上办理电子保函或保证保险。</w:t>
            </w:r>
          </w:p>
          <w:p w14:paraId="60B0260E">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w:t>
            </w:r>
            <w:r>
              <w:rPr>
                <w:rFonts w:hint="eastAsia" w:ascii="宋体" w:hAnsi="宋体" w:eastAsia="宋体" w:cs="宋体"/>
                <w:snapToGrid w:val="0"/>
                <w:color w:val="auto"/>
                <w:kern w:val="0"/>
                <w:sz w:val="24"/>
                <w:szCs w:val="24"/>
                <w:highlight w:val="none"/>
                <w:lang w:eastAsia="zh-CN"/>
              </w:rPr>
              <w:t>在【服务指南】栏目中下载《韶关市公共资源建设工程交易系统-投标人操作指南》，了解网上投保具体操作流程。逾期投保的，其投标无效。</w:t>
            </w:r>
          </w:p>
          <w:p w14:paraId="0F727622">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C05EA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3F50505C">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3C09B4A7">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投标有效期</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72E485B6">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本次招标的投标有效期为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b/>
                <w:bCs/>
                <w:snapToGrid w:val="0"/>
                <w:color w:val="auto"/>
                <w:kern w:val="0"/>
                <w:sz w:val="24"/>
                <w:szCs w:val="24"/>
                <w:highlight w:val="none"/>
                <w:u w:val="single"/>
                <w:lang w:val="en-US" w:eastAsia="zh-CN"/>
              </w:rPr>
              <w:t>90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个日历天。</w:t>
            </w:r>
          </w:p>
        </w:tc>
      </w:tr>
      <w:tr w14:paraId="14276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77EA2C9">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06F0D81D">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投标文件组成</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2F37758E">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投标文件包括商务标书、经济标书、施工组织设计三个分册。</w:t>
            </w:r>
          </w:p>
        </w:tc>
      </w:tr>
      <w:tr w14:paraId="43F661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88347E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53E016C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施工组织设计</w:t>
            </w:r>
          </w:p>
          <w:p w14:paraId="0A9BB15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评审方式</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40ECE600">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本次招标施工组织设计</w:t>
            </w:r>
            <w:r>
              <w:rPr>
                <w:rFonts w:hint="eastAsia" w:ascii="宋体" w:hAnsi="宋体" w:eastAsia="宋体" w:cs="宋体"/>
                <w:snapToGrid w:val="0"/>
                <w:color w:val="auto"/>
                <w:kern w:val="0"/>
                <w:sz w:val="24"/>
                <w:szCs w:val="24"/>
                <w:highlight w:val="none"/>
                <w:u w:val="single"/>
              </w:rPr>
              <w:t xml:space="preserve"> 不采用 </w:t>
            </w:r>
            <w:r>
              <w:rPr>
                <w:rFonts w:hint="eastAsia" w:ascii="宋体" w:hAnsi="宋体" w:eastAsia="宋体" w:cs="宋体"/>
                <w:snapToGrid w:val="0"/>
                <w:color w:val="auto"/>
                <w:kern w:val="0"/>
                <w:sz w:val="24"/>
                <w:szCs w:val="24"/>
                <w:highlight w:val="none"/>
              </w:rPr>
              <w:t>“暗标”方式进行评审。</w:t>
            </w:r>
          </w:p>
        </w:tc>
      </w:tr>
      <w:tr w14:paraId="74CCD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6BFE7B68">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0737412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2CFF8923">
            <w:pPr>
              <w:pageBreakBefore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评标委员会由</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 xml:space="preserve"> 0 </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人。专家从</w:t>
            </w:r>
            <w:r>
              <w:rPr>
                <w:rFonts w:hint="eastAsia" w:ascii="宋体" w:hAnsi="宋体" w:eastAsia="宋体" w:cs="宋体"/>
                <w:snapToGrid w:val="0"/>
                <w:color w:val="auto"/>
                <w:kern w:val="0"/>
                <w:sz w:val="24"/>
                <w:szCs w:val="24"/>
                <w:highlight w:val="none"/>
                <w:u w:val="single"/>
              </w:rPr>
              <w:t>广东省综合评标评审专家库</w:t>
            </w:r>
            <w:r>
              <w:rPr>
                <w:rFonts w:hint="eastAsia" w:ascii="宋体" w:hAnsi="宋体" w:eastAsia="宋体" w:cs="宋体"/>
                <w:snapToGrid w:val="0"/>
                <w:color w:val="auto"/>
                <w:kern w:val="0"/>
                <w:sz w:val="24"/>
                <w:szCs w:val="24"/>
                <w:highlight w:val="none"/>
                <w:u w:val="single"/>
                <w:lang w:val="en-US" w:eastAsia="zh-CN"/>
              </w:rPr>
              <w:t>-韶关区域</w:t>
            </w:r>
            <w:r>
              <w:rPr>
                <w:rFonts w:hint="eastAsia" w:ascii="宋体" w:hAnsi="宋体" w:eastAsia="宋体" w:cs="宋体"/>
                <w:snapToGrid w:val="0"/>
                <w:color w:val="auto"/>
                <w:kern w:val="0"/>
                <w:sz w:val="24"/>
                <w:szCs w:val="24"/>
                <w:highlight w:val="none"/>
              </w:rPr>
              <w:t>中随机抽取，其中技术类专家</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人。</w:t>
            </w:r>
          </w:p>
        </w:tc>
      </w:tr>
      <w:tr w14:paraId="2A7062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093028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7558F162">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评标方法</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0570777E">
            <w:pPr>
              <w:pageBreakBefore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综合评估法</w:t>
            </w:r>
          </w:p>
        </w:tc>
      </w:tr>
      <w:tr w14:paraId="6B285C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12654BE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28</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B1B277A">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3091053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409F7E50">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hAnsi="宋体" w:cs="宋体"/>
                <w:snapToGrid w:val="0"/>
                <w:color w:val="auto"/>
                <w:kern w:val="0"/>
                <w:sz w:val="24"/>
                <w:szCs w:val="24"/>
                <w:highlight w:val="none"/>
                <w:lang w:eastAsia="zh-CN"/>
              </w:rPr>
              <w:t>仁化县红山镇水电管理所</w:t>
            </w:r>
          </w:p>
          <w:p w14:paraId="3BFFA57B">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w:t>
            </w:r>
            <w:r>
              <w:rPr>
                <w:rFonts w:hint="eastAsia" w:hAnsi="宋体" w:cs="宋体"/>
                <w:snapToGrid w:val="0"/>
                <w:color w:val="auto"/>
                <w:kern w:val="0"/>
                <w:sz w:val="24"/>
                <w:szCs w:val="24"/>
                <w:highlight w:val="none"/>
                <w:lang w:eastAsia="zh-CN"/>
              </w:rPr>
              <w:t>仁化县红山镇</w:t>
            </w:r>
          </w:p>
          <w:p w14:paraId="5487D853">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联系人（部门）：</w:t>
            </w:r>
            <w:r>
              <w:rPr>
                <w:rFonts w:hint="eastAsia" w:hAnsi="宋体" w:cs="宋体"/>
                <w:snapToGrid w:val="0"/>
                <w:color w:val="auto"/>
                <w:kern w:val="0"/>
                <w:sz w:val="24"/>
                <w:szCs w:val="24"/>
                <w:highlight w:val="none"/>
                <w:lang w:val="en-US" w:eastAsia="zh-CN"/>
              </w:rPr>
              <w:t>李先生</w:t>
            </w:r>
          </w:p>
          <w:p w14:paraId="5C15E1BE">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联系电话：15622595657</w:t>
            </w:r>
          </w:p>
        </w:tc>
      </w:tr>
      <w:tr w14:paraId="48514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4EC472E4">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29</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048657C0">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招标代理机构</w:t>
            </w:r>
          </w:p>
          <w:p w14:paraId="6A9BD538">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39AA795E">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hAnsi="宋体" w:cs="宋体"/>
                <w:snapToGrid w:val="0"/>
                <w:color w:val="auto"/>
                <w:kern w:val="0"/>
                <w:sz w:val="24"/>
                <w:szCs w:val="24"/>
                <w:highlight w:val="none"/>
                <w:lang w:eastAsia="zh-CN"/>
              </w:rPr>
              <w:t>广州穗图项目管理有限公司</w:t>
            </w:r>
          </w:p>
          <w:p w14:paraId="1DD7830E">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办公地址：韶关市武江区西联镇老阳山323线旁新五洲国际汽配用品商贸城A1幢</w:t>
            </w:r>
            <w:r>
              <w:rPr>
                <w:rFonts w:hint="eastAsia" w:hAnsi="宋体" w:cs="宋体"/>
                <w:snapToGrid w:val="0"/>
                <w:color w:val="auto"/>
                <w:kern w:val="0"/>
                <w:sz w:val="24"/>
                <w:szCs w:val="24"/>
                <w:highlight w:val="none"/>
                <w:lang w:val="en-US" w:eastAsia="zh-CN"/>
              </w:rPr>
              <w:t>404</w:t>
            </w:r>
            <w:r>
              <w:rPr>
                <w:rFonts w:hint="eastAsia" w:ascii="宋体" w:hAnsi="宋体" w:eastAsia="宋体" w:cs="宋体"/>
                <w:snapToGrid w:val="0"/>
                <w:color w:val="auto"/>
                <w:kern w:val="0"/>
                <w:sz w:val="24"/>
                <w:szCs w:val="24"/>
                <w:highlight w:val="none"/>
              </w:rPr>
              <w:t>号</w:t>
            </w:r>
          </w:p>
          <w:p w14:paraId="2CA81316">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联系人（</w:t>
            </w:r>
            <w:r>
              <w:rPr>
                <w:rFonts w:hint="eastAsia" w:ascii="宋体" w:hAnsi="宋体" w:eastAsia="宋体" w:cs="宋体"/>
                <w:snapToGrid w:val="0"/>
                <w:color w:val="auto"/>
                <w:kern w:val="0"/>
                <w:sz w:val="24"/>
                <w:szCs w:val="24"/>
                <w:highlight w:val="none"/>
                <w:lang w:eastAsia="zh-CN"/>
              </w:rPr>
              <w:t>部门）：</w:t>
            </w:r>
            <w:r>
              <w:rPr>
                <w:rFonts w:hint="eastAsia" w:hAnsi="宋体" w:cs="宋体"/>
                <w:snapToGrid w:val="0"/>
                <w:color w:val="auto"/>
                <w:kern w:val="0"/>
                <w:sz w:val="24"/>
                <w:szCs w:val="24"/>
                <w:highlight w:val="none"/>
                <w:lang w:val="en-US" w:eastAsia="zh-CN"/>
              </w:rPr>
              <w:t>莫秋红</w:t>
            </w:r>
          </w:p>
          <w:p w14:paraId="1C3C899A">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default"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rPr>
              <w:t>联系电</w:t>
            </w:r>
            <w:r>
              <w:rPr>
                <w:rFonts w:hint="eastAsia" w:ascii="宋体" w:hAnsi="宋体" w:eastAsia="宋体" w:cs="宋体"/>
                <w:snapToGrid w:val="0"/>
                <w:color w:val="auto"/>
                <w:kern w:val="0"/>
                <w:sz w:val="24"/>
                <w:szCs w:val="24"/>
                <w:highlight w:val="none"/>
                <w:lang w:eastAsia="zh-CN"/>
              </w:rPr>
              <w:t>话：</w:t>
            </w:r>
            <w:r>
              <w:rPr>
                <w:rFonts w:hint="eastAsia" w:hAnsi="宋体" w:cs="宋体"/>
                <w:snapToGrid w:val="0"/>
                <w:color w:val="auto"/>
                <w:kern w:val="0"/>
                <w:sz w:val="24"/>
                <w:szCs w:val="24"/>
                <w:highlight w:val="none"/>
                <w:lang w:val="en-US" w:eastAsia="zh-CN"/>
              </w:rPr>
              <w:t>18927850072</w:t>
            </w:r>
          </w:p>
        </w:tc>
      </w:tr>
      <w:tr w14:paraId="30B03E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6D4C4B73">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30</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4CBBDC81">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交易场所</w:t>
            </w:r>
          </w:p>
          <w:p w14:paraId="611DC366">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2CACC71E">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单位名称：韶关市公共资源交易中心</w:t>
            </w:r>
          </w:p>
          <w:p w14:paraId="5FD9BC2D">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w:t>
            </w:r>
            <w:r>
              <w:rPr>
                <w:rFonts w:hint="eastAsia" w:ascii="宋体" w:hAnsi="宋体" w:eastAsia="宋体" w:cs="宋体"/>
                <w:snapToGrid w:val="0"/>
                <w:color w:val="auto"/>
                <w:kern w:val="0"/>
                <w:sz w:val="24"/>
                <w:szCs w:val="24"/>
                <w:highlight w:val="none"/>
                <w:lang w:eastAsia="zh-CN"/>
              </w:rPr>
              <w:t>仁化县丹霞大道228号12楼韶关市公共资源交易中心仁化分中心</w:t>
            </w:r>
          </w:p>
          <w:p w14:paraId="1DE11547">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联系人（部门）：</w:t>
            </w:r>
            <w:r>
              <w:rPr>
                <w:rFonts w:hint="eastAsia" w:ascii="宋体" w:hAnsi="宋体" w:eastAsia="宋体" w:cs="宋体"/>
                <w:snapToGrid w:val="0"/>
                <w:color w:val="auto"/>
                <w:kern w:val="0"/>
                <w:sz w:val="24"/>
                <w:szCs w:val="24"/>
                <w:highlight w:val="none"/>
                <w:lang w:eastAsia="zh-CN"/>
              </w:rPr>
              <w:t>吴工</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eastAsia="zh-CN"/>
              </w:rPr>
              <w:t>工程交易部</w:t>
            </w:r>
            <w:r>
              <w:rPr>
                <w:rFonts w:hint="eastAsia" w:ascii="宋体" w:hAnsi="宋体" w:eastAsia="宋体" w:cs="宋体"/>
                <w:snapToGrid w:val="0"/>
                <w:color w:val="auto"/>
                <w:kern w:val="0"/>
                <w:sz w:val="24"/>
                <w:szCs w:val="24"/>
                <w:highlight w:val="none"/>
              </w:rPr>
              <w:t>)</w:t>
            </w:r>
          </w:p>
          <w:p w14:paraId="479D247D">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联系电话：</w:t>
            </w:r>
            <w:r>
              <w:rPr>
                <w:rFonts w:hint="eastAsia" w:ascii="宋体" w:hAnsi="宋体" w:eastAsia="宋体" w:cs="宋体"/>
                <w:snapToGrid w:val="0"/>
                <w:color w:val="auto"/>
                <w:kern w:val="0"/>
                <w:sz w:val="24"/>
                <w:szCs w:val="24"/>
                <w:highlight w:val="none"/>
                <w:lang w:eastAsia="zh-CN"/>
              </w:rPr>
              <w:t>0751-6354032</w:t>
            </w:r>
          </w:p>
        </w:tc>
      </w:tr>
      <w:bookmarkEnd w:id="12"/>
      <w:tr w14:paraId="19F118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6AD3700C">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lang w:val="en-US" w:eastAsia="zh-CN"/>
              </w:rPr>
            </w:pPr>
            <w:bookmarkStart w:id="14" w:name="_Toc122671103"/>
            <w:bookmarkStart w:id="15" w:name="_Toc5853"/>
            <w:bookmarkStart w:id="16" w:name="_Toc122859103"/>
            <w:bookmarkStart w:id="17" w:name="_Toc122769943"/>
            <w:r>
              <w:rPr>
                <w:rFonts w:hint="eastAsia" w:ascii="宋体" w:hAnsi="宋体" w:eastAsia="宋体" w:cs="宋体"/>
                <w:snapToGrid w:val="0"/>
                <w:color w:val="auto"/>
                <w:kern w:val="0"/>
                <w:sz w:val="24"/>
                <w:szCs w:val="24"/>
                <w:highlight w:val="none"/>
                <w:lang w:val="en-US" w:eastAsia="zh-CN"/>
              </w:rPr>
              <w:t>31</w:t>
            </w:r>
          </w:p>
        </w:tc>
        <w:tc>
          <w:tcPr>
            <w:tcW w:w="1707" w:type="dxa"/>
            <w:tcBorders>
              <w:top w:val="single" w:color="auto" w:sz="4" w:space="0"/>
              <w:left w:val="single" w:color="auto" w:sz="4" w:space="0"/>
              <w:bottom w:val="single" w:color="auto" w:sz="4" w:space="0"/>
              <w:right w:val="single" w:color="auto" w:sz="4" w:space="0"/>
            </w:tcBorders>
            <w:noWrap w:val="0"/>
            <w:vAlign w:val="center"/>
          </w:tcPr>
          <w:p w14:paraId="158360DD">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行政监督部门</w:t>
            </w:r>
          </w:p>
          <w:p w14:paraId="232A140D">
            <w:pPr>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联系方式</w:t>
            </w:r>
          </w:p>
        </w:tc>
        <w:tc>
          <w:tcPr>
            <w:tcW w:w="8200" w:type="dxa"/>
            <w:tcBorders>
              <w:top w:val="single" w:color="auto" w:sz="4" w:space="0"/>
              <w:left w:val="single" w:color="auto" w:sz="4" w:space="0"/>
              <w:bottom w:val="single" w:color="auto" w:sz="4" w:space="0"/>
              <w:right w:val="single" w:color="auto" w:sz="4" w:space="0"/>
            </w:tcBorders>
            <w:noWrap w:val="0"/>
            <w:vAlign w:val="center"/>
          </w:tcPr>
          <w:p w14:paraId="6EB4152E">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r>
              <w:rPr>
                <w:rFonts w:hint="eastAsia" w:hAnsi="宋体" w:cs="宋体"/>
                <w:snapToGrid w:val="0"/>
                <w:color w:val="auto"/>
                <w:kern w:val="0"/>
                <w:sz w:val="24"/>
                <w:szCs w:val="24"/>
                <w:highlight w:val="none"/>
                <w:lang w:val="en-US" w:eastAsia="zh-CN"/>
              </w:rPr>
              <w:t>仁化县红山镇人民政府</w:t>
            </w:r>
          </w:p>
          <w:p w14:paraId="2063A265">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办公地址：</w:t>
            </w:r>
            <w:r>
              <w:rPr>
                <w:rFonts w:hint="eastAsia" w:hAnsi="宋体" w:cs="宋体"/>
                <w:snapToGrid w:val="0"/>
                <w:color w:val="auto"/>
                <w:kern w:val="0"/>
                <w:sz w:val="24"/>
                <w:szCs w:val="24"/>
                <w:highlight w:val="none"/>
                <w:lang w:val="en-US" w:eastAsia="zh-CN"/>
              </w:rPr>
              <w:t>仁化县红山镇</w:t>
            </w:r>
          </w:p>
          <w:p w14:paraId="19EC1422">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联系人(部门)：红山镇经济发展办公室</w:t>
            </w:r>
          </w:p>
          <w:p w14:paraId="27EED064">
            <w:pPr>
              <w:pageBreakBefore w:val="0"/>
              <w:kinsoku/>
              <w:wordWrap w:val="0"/>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联系电话：0751-6242001</w:t>
            </w:r>
          </w:p>
        </w:tc>
      </w:tr>
      <w:bookmarkEnd w:id="14"/>
      <w:bookmarkEnd w:id="15"/>
      <w:bookmarkEnd w:id="16"/>
      <w:bookmarkEnd w:id="17"/>
    </w:tbl>
    <w:p w14:paraId="38C9FC7C">
      <w:pPr>
        <w:pStyle w:val="4"/>
        <w:wordWrap w:val="0"/>
        <w:autoSpaceDE/>
        <w:autoSpaceDN/>
        <w:snapToGrid w:val="0"/>
        <w:spacing w:before="260" w:after="260" w:line="360" w:lineRule="exact"/>
        <w:jc w:val="both"/>
        <w:rPr>
          <w:rFonts w:hint="eastAsia" w:ascii="宋体" w:hAnsi="宋体" w:eastAsia="宋体" w:cs="宋体"/>
          <w:b/>
          <w:snapToGrid w:val="0"/>
          <w:color w:val="auto"/>
          <w:highlight w:val="none"/>
        </w:rPr>
        <w:sectPr>
          <w:footerReference r:id="rId6" w:type="default"/>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start="1"/>
          <w:cols w:space="720" w:num="1"/>
          <w:docGrid w:linePitch="327" w:charSpace="0"/>
        </w:sectPr>
      </w:pPr>
    </w:p>
    <w:p w14:paraId="4B582186">
      <w:pPr>
        <w:pStyle w:val="4"/>
        <w:bidi w:val="0"/>
        <w:rPr>
          <w:rFonts w:hint="eastAsia" w:ascii="宋体" w:hAnsi="宋体" w:eastAsia="宋体" w:cs="宋体"/>
          <w:color w:val="auto"/>
        </w:rPr>
      </w:pPr>
      <w:bookmarkStart w:id="18" w:name="_Toc27937"/>
      <w:bookmarkStart w:id="19" w:name="_Toc27075"/>
      <w:bookmarkStart w:id="20" w:name="_Toc12786"/>
      <w:r>
        <w:rPr>
          <w:rFonts w:hint="eastAsia" w:ascii="宋体" w:hAnsi="宋体" w:eastAsia="宋体" w:cs="宋体"/>
          <w:color w:val="auto"/>
        </w:rPr>
        <w:t>第二节 重要事项时间地点一览表</w:t>
      </w:r>
      <w:bookmarkEnd w:id="18"/>
      <w:bookmarkEnd w:id="19"/>
      <w:bookmarkEnd w:id="20"/>
    </w:p>
    <w:tbl>
      <w:tblPr>
        <w:tblStyle w:val="32"/>
        <w:tblW w:w="9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576"/>
        <w:gridCol w:w="7786"/>
      </w:tblGrid>
      <w:tr w14:paraId="4078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573" w:type="dxa"/>
            <w:noWrap w:val="0"/>
            <w:vAlign w:val="center"/>
          </w:tcPr>
          <w:p w14:paraId="235FF4E7">
            <w:pPr>
              <w:pStyle w:val="138"/>
              <w:widowControl/>
              <w:spacing w:line="430" w:lineRule="atLeast"/>
              <w:jc w:val="center"/>
              <w:rPr>
                <w:rFonts w:hint="eastAsia" w:ascii="宋体" w:hAnsi="宋体" w:eastAsia="宋体" w:cs="宋体"/>
                <w:color w:val="auto"/>
                <w:kern w:val="0"/>
                <w:sz w:val="24"/>
                <w:szCs w:val="24"/>
                <w:highlight w:val="none"/>
              </w:rPr>
            </w:pPr>
            <w:bookmarkStart w:id="21" w:name="OLE_LINK2"/>
            <w:r>
              <w:rPr>
                <w:rFonts w:hint="eastAsia" w:ascii="宋体" w:hAnsi="宋体" w:eastAsia="宋体" w:cs="宋体"/>
                <w:color w:val="auto"/>
                <w:kern w:val="0"/>
                <w:sz w:val="24"/>
                <w:szCs w:val="24"/>
                <w:highlight w:val="none"/>
              </w:rPr>
              <w:t>1</w:t>
            </w:r>
          </w:p>
        </w:tc>
        <w:tc>
          <w:tcPr>
            <w:tcW w:w="1576" w:type="dxa"/>
            <w:noWrap w:val="0"/>
            <w:vAlign w:val="center"/>
          </w:tcPr>
          <w:p w14:paraId="7CC2106B">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招标公告</w:t>
            </w:r>
          </w:p>
          <w:p w14:paraId="41C5AB17">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发布时间</w:t>
            </w:r>
          </w:p>
        </w:tc>
        <w:tc>
          <w:tcPr>
            <w:tcW w:w="7786" w:type="dxa"/>
            <w:noWrap w:val="0"/>
            <w:vAlign w:val="center"/>
          </w:tcPr>
          <w:p w14:paraId="26DEBEC8">
            <w:pPr>
              <w:keepNext w:val="0"/>
              <w:keepLines w:val="0"/>
              <w:pageBreakBefore w:val="0"/>
              <w:kinsoku/>
              <w:wordWrap/>
              <w:overflowPunct/>
              <w:topLinePunct w:val="0"/>
              <w:autoSpaceDE/>
              <w:autoSpaceDN/>
              <w:bidi w:val="0"/>
              <w:adjustRightInd/>
              <w:snapToGrid/>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06</w:t>
            </w:r>
            <w:r>
              <w:rPr>
                <w:rFonts w:hint="eastAsia" w:ascii="宋体" w:hAnsi="宋体" w:eastAsia="宋体" w:cs="宋体"/>
                <w:color w:val="auto"/>
                <w:kern w:val="0"/>
                <w:sz w:val="24"/>
                <w:szCs w:val="24"/>
                <w:highlight w:val="none"/>
              </w:rPr>
              <w:t>月</w:t>
            </w:r>
            <w:r>
              <w:rPr>
                <w:rFonts w:hint="eastAsia" w:hAnsi="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日</w:t>
            </w:r>
            <w:r>
              <w:rPr>
                <w:rFonts w:hint="eastAsia" w:hAnsi="宋体" w:cs="宋体"/>
                <w:color w:val="auto"/>
                <w:kern w:val="0"/>
                <w:sz w:val="24"/>
                <w:szCs w:val="24"/>
                <w:highlight w:val="none"/>
                <w:lang w:val="en-US" w:eastAsia="zh-CN"/>
              </w:rPr>
              <w:t>15</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w:t>
            </w:r>
          </w:p>
        </w:tc>
      </w:tr>
      <w:tr w14:paraId="419AC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573" w:type="dxa"/>
            <w:noWrap w:val="0"/>
            <w:vAlign w:val="center"/>
          </w:tcPr>
          <w:p w14:paraId="2BB06A7D">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576" w:type="dxa"/>
            <w:noWrap w:val="0"/>
            <w:vAlign w:val="center"/>
          </w:tcPr>
          <w:p w14:paraId="1F1756AA">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获取招标文件截止时间</w:t>
            </w:r>
          </w:p>
        </w:tc>
        <w:tc>
          <w:tcPr>
            <w:tcW w:w="7786" w:type="dxa"/>
            <w:noWrap w:val="0"/>
            <w:vAlign w:val="center"/>
          </w:tcPr>
          <w:p w14:paraId="787B8CAC">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07</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21</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w:t>
            </w:r>
          </w:p>
        </w:tc>
      </w:tr>
      <w:tr w14:paraId="68CE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573" w:type="dxa"/>
            <w:noWrap w:val="0"/>
            <w:vAlign w:val="center"/>
          </w:tcPr>
          <w:p w14:paraId="4B956692">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576" w:type="dxa"/>
            <w:noWrap w:val="0"/>
            <w:vAlign w:val="center"/>
          </w:tcPr>
          <w:p w14:paraId="58ED66E1">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网上提问</w:t>
            </w:r>
          </w:p>
          <w:p w14:paraId="50B88E34">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截止时间</w:t>
            </w:r>
          </w:p>
        </w:tc>
        <w:tc>
          <w:tcPr>
            <w:tcW w:w="7786" w:type="dxa"/>
            <w:noWrap w:val="0"/>
            <w:vAlign w:val="center"/>
          </w:tcPr>
          <w:p w14:paraId="7023F229">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07</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w:t>
            </w:r>
            <w:bookmarkStart w:id="365" w:name="_GoBack"/>
            <w:bookmarkEnd w:id="365"/>
          </w:p>
        </w:tc>
      </w:tr>
      <w:tr w14:paraId="6D2B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573" w:type="dxa"/>
            <w:noWrap w:val="0"/>
            <w:vAlign w:val="center"/>
          </w:tcPr>
          <w:p w14:paraId="38760C47">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576" w:type="dxa"/>
            <w:noWrap w:val="0"/>
            <w:vAlign w:val="center"/>
          </w:tcPr>
          <w:p w14:paraId="33E9F6EE">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网上答疑</w:t>
            </w:r>
          </w:p>
          <w:p w14:paraId="379B8CD8">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时间</w:t>
            </w:r>
          </w:p>
        </w:tc>
        <w:tc>
          <w:tcPr>
            <w:tcW w:w="7786" w:type="dxa"/>
            <w:noWrap w:val="0"/>
            <w:vAlign w:val="center"/>
          </w:tcPr>
          <w:p w14:paraId="0CB4BCDB">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07</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分至</w:t>
            </w: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07</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14</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w:t>
            </w:r>
          </w:p>
        </w:tc>
      </w:tr>
      <w:tr w14:paraId="19FC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jc w:val="center"/>
        </w:trPr>
        <w:tc>
          <w:tcPr>
            <w:tcW w:w="573" w:type="dxa"/>
            <w:noWrap w:val="0"/>
            <w:vAlign w:val="center"/>
          </w:tcPr>
          <w:p w14:paraId="0B2F7D73">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1576" w:type="dxa"/>
            <w:noWrap w:val="0"/>
            <w:vAlign w:val="center"/>
          </w:tcPr>
          <w:p w14:paraId="553C2906">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投标保证缴</w:t>
            </w:r>
          </w:p>
          <w:p w14:paraId="5B798642">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纳截止时间</w:t>
            </w:r>
          </w:p>
        </w:tc>
        <w:tc>
          <w:tcPr>
            <w:tcW w:w="7786" w:type="dxa"/>
            <w:noWrap w:val="0"/>
            <w:vAlign w:val="center"/>
          </w:tcPr>
          <w:p w14:paraId="70704A2E">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投标保证金到账截止时间：</w:t>
            </w: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07</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w:t>
            </w:r>
          </w:p>
          <w:p w14:paraId="459B53B1">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投标保证担保上传截止时间：</w:t>
            </w: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07</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w:t>
            </w:r>
          </w:p>
          <w:p w14:paraId="32299DE7">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投标保证保险投保截止时间：</w:t>
            </w: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07</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w:t>
            </w:r>
          </w:p>
        </w:tc>
      </w:tr>
      <w:tr w14:paraId="597F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573" w:type="dxa"/>
            <w:noWrap w:val="0"/>
            <w:vAlign w:val="center"/>
          </w:tcPr>
          <w:p w14:paraId="50583DEA">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p>
        </w:tc>
        <w:tc>
          <w:tcPr>
            <w:tcW w:w="1576" w:type="dxa"/>
            <w:noWrap w:val="0"/>
            <w:vAlign w:val="center"/>
          </w:tcPr>
          <w:p w14:paraId="39925305">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电子投标</w:t>
            </w:r>
          </w:p>
          <w:p w14:paraId="38E6D448">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截止时间</w:t>
            </w:r>
          </w:p>
        </w:tc>
        <w:tc>
          <w:tcPr>
            <w:tcW w:w="7786" w:type="dxa"/>
            <w:noWrap w:val="0"/>
            <w:vAlign w:val="center"/>
          </w:tcPr>
          <w:p w14:paraId="45DAA868">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07</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21</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w:t>
            </w:r>
          </w:p>
        </w:tc>
      </w:tr>
      <w:tr w14:paraId="7906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573" w:type="dxa"/>
            <w:noWrap w:val="0"/>
            <w:vAlign w:val="center"/>
          </w:tcPr>
          <w:p w14:paraId="04D9EF02">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w:t>
            </w:r>
          </w:p>
        </w:tc>
        <w:tc>
          <w:tcPr>
            <w:tcW w:w="1576" w:type="dxa"/>
            <w:noWrap w:val="0"/>
            <w:vAlign w:val="center"/>
          </w:tcPr>
          <w:p w14:paraId="2CDA6021">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投标相关资料（如有）</w:t>
            </w:r>
          </w:p>
          <w:p w14:paraId="33A5EAB1">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递交时间</w:t>
            </w:r>
          </w:p>
        </w:tc>
        <w:tc>
          <w:tcPr>
            <w:tcW w:w="7786" w:type="dxa"/>
            <w:noWrap w:val="0"/>
            <w:vAlign w:val="center"/>
          </w:tcPr>
          <w:p w14:paraId="0BFAAA7E">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07</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21</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00</w:t>
            </w:r>
            <w:r>
              <w:rPr>
                <w:rFonts w:hint="eastAsia" w:ascii="宋体" w:hAnsi="宋体" w:eastAsia="宋体" w:cs="宋体"/>
                <w:color w:val="auto"/>
                <w:kern w:val="0"/>
                <w:sz w:val="24"/>
                <w:szCs w:val="24"/>
                <w:highlight w:val="none"/>
              </w:rPr>
              <w:t>分至</w:t>
            </w: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07</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21</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w:t>
            </w:r>
          </w:p>
        </w:tc>
      </w:tr>
      <w:tr w14:paraId="626B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573" w:type="dxa"/>
            <w:noWrap w:val="0"/>
            <w:vAlign w:val="center"/>
          </w:tcPr>
          <w:p w14:paraId="469C6330">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w:t>
            </w:r>
          </w:p>
        </w:tc>
        <w:tc>
          <w:tcPr>
            <w:tcW w:w="1576" w:type="dxa"/>
            <w:noWrap w:val="0"/>
            <w:vAlign w:val="center"/>
          </w:tcPr>
          <w:p w14:paraId="14D3CC13">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投标相关资料（如有）</w:t>
            </w:r>
          </w:p>
          <w:p w14:paraId="0B3D776A">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递交时间</w:t>
            </w:r>
          </w:p>
        </w:tc>
        <w:tc>
          <w:tcPr>
            <w:tcW w:w="7786" w:type="dxa"/>
            <w:noWrap w:val="0"/>
            <w:vAlign w:val="center"/>
          </w:tcPr>
          <w:p w14:paraId="59375A76">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递交场所：韶关市公共资源交易中心仁化分中心</w:t>
            </w:r>
          </w:p>
          <w:p w14:paraId="4BCE0759">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地址</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仁化县丹霞大道228号11楼韶关市公共资源交易中心仁化分中心</w:t>
            </w:r>
            <w:r>
              <w:rPr>
                <w:rFonts w:hint="eastAsia" w:ascii="宋体" w:hAnsi="宋体" w:eastAsia="宋体" w:cs="宋体"/>
                <w:color w:val="auto"/>
                <w:kern w:val="0"/>
                <w:sz w:val="24"/>
                <w:szCs w:val="24"/>
                <w:highlight w:val="none"/>
              </w:rPr>
              <w:t>，具体房间号以当日现场通知为准。</w:t>
            </w:r>
          </w:p>
        </w:tc>
      </w:tr>
      <w:tr w14:paraId="21DC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573" w:type="dxa"/>
            <w:noWrap w:val="0"/>
            <w:vAlign w:val="center"/>
          </w:tcPr>
          <w:p w14:paraId="08429796">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w:t>
            </w:r>
          </w:p>
        </w:tc>
        <w:tc>
          <w:tcPr>
            <w:tcW w:w="1576" w:type="dxa"/>
            <w:noWrap w:val="0"/>
            <w:vAlign w:val="center"/>
          </w:tcPr>
          <w:p w14:paraId="40D0E022">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开标时间</w:t>
            </w:r>
          </w:p>
        </w:tc>
        <w:tc>
          <w:tcPr>
            <w:tcW w:w="7786" w:type="dxa"/>
            <w:noWrap w:val="0"/>
            <w:vAlign w:val="center"/>
          </w:tcPr>
          <w:p w14:paraId="3F12EE2D">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2026</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lang w:val="en-US" w:eastAsia="zh-CN"/>
              </w:rPr>
              <w:t>07</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lang w:val="en-US" w:eastAsia="zh-CN"/>
              </w:rPr>
              <w:t>21</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val="en-US" w:eastAsia="zh-CN"/>
              </w:rPr>
              <w:t>09</w:t>
            </w:r>
            <w:r>
              <w:rPr>
                <w:rFonts w:hint="eastAsia" w:ascii="宋体" w:hAnsi="宋体" w:eastAsia="宋体" w:cs="宋体"/>
                <w:color w:val="auto"/>
                <w:kern w:val="0"/>
                <w:sz w:val="24"/>
                <w:szCs w:val="24"/>
                <w:highlight w:val="none"/>
              </w:rPr>
              <w:t>时</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w:t>
            </w:r>
          </w:p>
        </w:tc>
      </w:tr>
      <w:tr w14:paraId="448B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573" w:type="dxa"/>
            <w:noWrap w:val="0"/>
            <w:vAlign w:val="center"/>
          </w:tcPr>
          <w:p w14:paraId="0E9E0516">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w:t>
            </w:r>
          </w:p>
        </w:tc>
        <w:tc>
          <w:tcPr>
            <w:tcW w:w="1576" w:type="dxa"/>
            <w:noWrap w:val="0"/>
            <w:vAlign w:val="center"/>
          </w:tcPr>
          <w:p w14:paraId="45085988">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开标地点</w:t>
            </w:r>
          </w:p>
        </w:tc>
        <w:tc>
          <w:tcPr>
            <w:tcW w:w="7786" w:type="dxa"/>
            <w:noWrap w:val="0"/>
            <w:vAlign w:val="center"/>
          </w:tcPr>
          <w:p w14:paraId="62A31616">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开标场所：韶关市公共资源交易中心仁化分中心</w:t>
            </w:r>
          </w:p>
          <w:p w14:paraId="632AFADB">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地址</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仁化县丹霞大道228号11楼韶关市公共资源交易中心仁化分中心</w:t>
            </w:r>
            <w:r>
              <w:rPr>
                <w:rFonts w:hint="eastAsia" w:ascii="宋体" w:hAnsi="宋体" w:eastAsia="宋体" w:cs="宋体"/>
                <w:color w:val="auto"/>
                <w:kern w:val="0"/>
                <w:sz w:val="24"/>
                <w:szCs w:val="24"/>
                <w:highlight w:val="none"/>
              </w:rPr>
              <w:t>，具体房间号以当日现场通知为准。</w:t>
            </w:r>
          </w:p>
        </w:tc>
      </w:tr>
      <w:tr w14:paraId="4528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2149" w:type="dxa"/>
            <w:gridSpan w:val="2"/>
            <w:noWrap w:val="0"/>
            <w:vAlign w:val="center"/>
          </w:tcPr>
          <w:p w14:paraId="1063E9AD">
            <w:pPr>
              <w:pStyle w:val="138"/>
              <w:widowControl/>
              <w:spacing w:line="430" w:lineRule="atLeas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备注</w:t>
            </w:r>
          </w:p>
        </w:tc>
        <w:tc>
          <w:tcPr>
            <w:tcW w:w="7786" w:type="dxa"/>
            <w:noWrap w:val="0"/>
            <w:vAlign w:val="center"/>
          </w:tcPr>
          <w:p w14:paraId="09263508">
            <w:pPr>
              <w:pStyle w:val="138"/>
              <w:keepNext w:val="0"/>
              <w:keepLines w:val="0"/>
              <w:pageBreakBefore w:val="0"/>
              <w:widowControl/>
              <w:kinsoku/>
              <w:wordWrap/>
              <w:overflowPunct/>
              <w:topLinePunct w:val="0"/>
              <w:autoSpaceDE/>
              <w:autoSpaceDN/>
              <w:bidi w:val="0"/>
              <w:adjustRightInd/>
              <w:snapToGrid/>
              <w:spacing w:line="430" w:lineRule="atLeast"/>
              <w:ind w:firstLine="240" w:firstLineChars="1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bookmarkEnd w:id="21"/>
    </w:tbl>
    <w:p w14:paraId="772F04C2">
      <w:pPr>
        <w:pStyle w:val="3"/>
        <w:tabs>
          <w:tab w:val="left" w:pos="885"/>
        </w:tabs>
        <w:wordWrap w:val="0"/>
        <w:autoSpaceDE/>
        <w:autoSpaceDN/>
        <w:snapToGrid w:val="0"/>
        <w:spacing w:line="440" w:lineRule="exact"/>
        <w:ind w:left="885" w:hanging="885"/>
        <w:jc w:val="center"/>
        <w:rPr>
          <w:rFonts w:hint="eastAsia" w:ascii="宋体" w:hAnsi="宋体" w:eastAsia="宋体" w:cs="宋体"/>
          <w:snapToGrid w:val="0"/>
          <w:color w:val="auto"/>
          <w:sz w:val="24"/>
          <w:highlight w:val="none"/>
        </w:rPr>
        <w:sectPr>
          <w:endnotePr>
            <w:numFmt w:val="decimal"/>
          </w:endnotePr>
          <w:pgSz w:w="11906" w:h="16838"/>
          <w:pgMar w:top="1134" w:right="1134" w:bottom="1134" w:left="1134" w:header="850" w:footer="992" w:gutter="0"/>
          <w:pgBorders>
            <w:top w:val="none" w:sz="0" w:space="0"/>
            <w:left w:val="none" w:sz="0" w:space="0"/>
            <w:bottom w:val="none" w:sz="0" w:space="0"/>
            <w:right w:val="none" w:sz="0" w:space="0"/>
          </w:pgBorders>
          <w:cols w:space="720" w:num="1"/>
          <w:docGrid w:linePitch="327" w:charSpace="0"/>
        </w:sectPr>
      </w:pPr>
    </w:p>
    <w:p w14:paraId="7814AF46">
      <w:pPr>
        <w:pStyle w:val="4"/>
        <w:bidi w:val="0"/>
        <w:rPr>
          <w:rFonts w:hint="eastAsia" w:ascii="宋体" w:hAnsi="宋体" w:eastAsia="宋体" w:cs="宋体"/>
          <w:color w:val="auto"/>
        </w:rPr>
      </w:pPr>
      <w:bookmarkStart w:id="22" w:name="_Hlt87793819"/>
      <w:bookmarkEnd w:id="22"/>
      <w:bookmarkStart w:id="23" w:name="_Toc16803"/>
      <w:bookmarkStart w:id="24" w:name="_Toc5895"/>
      <w:bookmarkStart w:id="25" w:name="_Toc30390"/>
      <w:bookmarkStart w:id="26" w:name="_Hlt69698705"/>
      <w:bookmarkStart w:id="27" w:name="_Hlt69698754"/>
      <w:bookmarkStart w:id="28" w:name="_Toc18202"/>
      <w:r>
        <w:rPr>
          <w:rFonts w:hint="eastAsia" w:ascii="宋体" w:hAnsi="宋体" w:eastAsia="宋体" w:cs="宋体"/>
          <w:color w:val="auto"/>
        </w:rPr>
        <w:t>第三节 投标人须知</w:t>
      </w:r>
      <w:bookmarkEnd w:id="23"/>
      <w:bookmarkStart w:id="29" w:name="_Hlt69669159"/>
      <w:bookmarkEnd w:id="29"/>
      <w:r>
        <w:rPr>
          <w:rFonts w:hint="eastAsia" w:ascii="宋体" w:hAnsi="宋体" w:eastAsia="宋体" w:cs="宋体"/>
          <w:color w:val="auto"/>
        </w:rPr>
        <w:t>正文</w:t>
      </w:r>
      <w:bookmarkEnd w:id="24"/>
      <w:bookmarkEnd w:id="25"/>
      <w:bookmarkEnd w:id="26"/>
      <w:bookmarkEnd w:id="27"/>
      <w:bookmarkEnd w:id="28"/>
    </w:p>
    <w:p w14:paraId="744F5028">
      <w:pPr>
        <w:pageBreakBefore w:val="0"/>
        <w:kinsoku/>
        <w:overflowPunct/>
        <w:topLinePunct w:val="0"/>
        <w:autoSpaceDE/>
        <w:autoSpaceDN/>
        <w:bidi w:val="0"/>
        <w:spacing w:line="360" w:lineRule="auto"/>
        <w:ind w:firstLine="480" w:firstLineChars="200"/>
        <w:textAlignment w:val="auto"/>
        <w:rPr>
          <w:rFonts w:hint="eastAsia" w:ascii="宋体" w:hAnsi="宋体" w:eastAsia="宋体" w:cs="宋体"/>
          <w:b/>
          <w:snapToGrid w:val="0"/>
          <w:color w:val="auto"/>
          <w:highlight w:val="none"/>
        </w:rPr>
      </w:pPr>
      <w:bookmarkStart w:id="30" w:name="_Hlt74474735"/>
      <w:bookmarkEnd w:id="30"/>
      <w:bookmarkStart w:id="31" w:name="_Hlt109358474"/>
      <w:bookmarkEnd w:id="31"/>
      <w:bookmarkStart w:id="32" w:name="_Hlt78795222"/>
      <w:bookmarkEnd w:id="32"/>
      <w:bookmarkStart w:id="33" w:name="_Hlt87948285"/>
      <w:bookmarkEnd w:id="33"/>
      <w:bookmarkStart w:id="34" w:name="_Hlt119991399"/>
      <w:bookmarkEnd w:id="34"/>
      <w:bookmarkStart w:id="35" w:name="_Toc26083"/>
      <w:r>
        <w:rPr>
          <w:rFonts w:hint="eastAsia" w:ascii="宋体" w:hAnsi="宋体" w:eastAsia="宋体" w:cs="宋体"/>
          <w:snapToGrid w:val="0"/>
          <w:color w:val="auto"/>
          <w:kern w:val="0"/>
          <w:sz w:val="24"/>
          <w:szCs w:val="24"/>
          <w:highlight w:val="none"/>
          <w:u w:val="single"/>
          <w:lang w:val="en-US" w:eastAsia="zh-CN"/>
        </w:rPr>
        <w:t>红山镇村（居）公共资源分布式光伏项目</w:t>
      </w:r>
      <w:r>
        <w:rPr>
          <w:rFonts w:hint="eastAsia" w:ascii="宋体" w:hAnsi="宋体" w:eastAsia="宋体" w:cs="宋体"/>
          <w:snapToGrid w:val="0"/>
          <w:color w:val="auto"/>
          <w:kern w:val="0"/>
          <w:sz w:val="24"/>
          <w:szCs w:val="24"/>
          <w:highlight w:val="none"/>
        </w:rPr>
        <w:t>业经</w:t>
      </w:r>
      <w:r>
        <w:rPr>
          <w:rFonts w:hint="eastAsia" w:ascii="宋体" w:hAnsi="宋体" w:eastAsia="宋体" w:cs="宋体"/>
          <w:snapToGrid w:val="0"/>
          <w:color w:val="auto"/>
          <w:kern w:val="0"/>
          <w:sz w:val="24"/>
          <w:szCs w:val="24"/>
          <w:highlight w:val="none"/>
          <w:u w:val="single"/>
          <w:lang w:val="en-US" w:eastAsia="zh-CN"/>
        </w:rPr>
        <w:t>仁化县发展改革和政务数据局</w:t>
      </w:r>
      <w:r>
        <w:rPr>
          <w:rFonts w:hint="eastAsia" w:hAnsi="宋体" w:cs="宋体"/>
          <w:snapToGrid w:val="0"/>
          <w:color w:val="auto"/>
          <w:kern w:val="0"/>
          <w:sz w:val="24"/>
          <w:szCs w:val="24"/>
          <w:highlight w:val="none"/>
          <w:u w:val="single"/>
          <w:lang w:val="en-US" w:eastAsia="zh-CN"/>
        </w:rPr>
        <w:t>以</w:t>
      </w:r>
      <w:r>
        <w:rPr>
          <w:rFonts w:hint="eastAsia" w:ascii="宋体" w:hAnsi="宋体" w:eastAsia="宋体" w:cs="宋体"/>
          <w:snapToGrid w:val="0"/>
          <w:color w:val="auto"/>
          <w:kern w:val="0"/>
          <w:sz w:val="24"/>
          <w:szCs w:val="24"/>
          <w:highlight w:val="none"/>
          <w:u w:val="single"/>
        </w:rPr>
        <w:t>广东省企业投资项目备案证</w:t>
      </w:r>
      <w:r>
        <w:rPr>
          <w:rStyle w:val="151"/>
          <w:rFonts w:hint="eastAsia" w:ascii="宋体" w:hAnsi="宋体" w:eastAsia="宋体" w:cs="宋体"/>
          <w:color w:val="auto"/>
          <w:kern w:val="0"/>
          <w:szCs w:val="24"/>
          <w:highlight w:val="none"/>
        </w:rPr>
        <w:t>批准建设</w:t>
      </w:r>
      <w:r>
        <w:rPr>
          <w:rFonts w:hint="eastAsia" w:ascii="宋体" w:hAnsi="宋体" w:eastAsia="宋体" w:cs="宋体"/>
          <w:snapToGrid w:val="0"/>
          <w:color w:val="auto"/>
          <w:kern w:val="0"/>
          <w:szCs w:val="24"/>
          <w:highlight w:val="none"/>
        </w:rPr>
        <w:t>，项目代码为</w:t>
      </w:r>
      <w:r>
        <w:rPr>
          <w:rFonts w:hint="eastAsia" w:hAnsi="宋体" w:cs="宋体"/>
          <w:snapToGrid w:val="0"/>
          <w:color w:val="auto"/>
          <w:kern w:val="0"/>
          <w:szCs w:val="24"/>
          <w:highlight w:val="none"/>
          <w:u w:val="single"/>
          <w:lang w:val="en-US" w:eastAsia="zh-CN"/>
        </w:rPr>
        <w:t>2605-440224-04-01-578373</w:t>
      </w:r>
      <w:r>
        <w:rPr>
          <w:rFonts w:hint="eastAsia" w:ascii="宋体" w:hAnsi="宋体" w:eastAsia="宋体" w:cs="宋体"/>
          <w:snapToGrid w:val="0"/>
          <w:color w:val="auto"/>
          <w:kern w:val="0"/>
          <w:szCs w:val="24"/>
          <w:highlight w:val="none"/>
        </w:rPr>
        <w:t>。本项目业主为</w:t>
      </w:r>
      <w:r>
        <w:rPr>
          <w:rFonts w:hint="eastAsia" w:hAnsi="宋体" w:cs="宋体"/>
          <w:i w:val="0"/>
          <w:iCs w:val="0"/>
          <w:caps w:val="0"/>
          <w:color w:val="auto"/>
          <w:spacing w:val="0"/>
          <w:sz w:val="24"/>
          <w:szCs w:val="24"/>
          <w:highlight w:val="none"/>
          <w:u w:val="single"/>
          <w:shd w:val="clear" w:color="auto" w:fill="FFFFFF"/>
          <w:lang w:eastAsia="zh-CN"/>
        </w:rPr>
        <w:t>仁化县红山镇水电管理所</w:t>
      </w:r>
      <w:r>
        <w:rPr>
          <w:rFonts w:hint="eastAsia" w:ascii="宋体" w:hAnsi="宋体" w:eastAsia="宋体" w:cs="宋体"/>
          <w:snapToGrid w:val="0"/>
          <w:color w:val="auto"/>
          <w:kern w:val="0"/>
          <w:szCs w:val="24"/>
          <w:highlight w:val="none"/>
        </w:rPr>
        <w:t>，建设资金来自</w:t>
      </w:r>
      <w:r>
        <w:rPr>
          <w:rFonts w:hint="eastAsia" w:ascii="宋体" w:hAnsi="宋体" w:eastAsia="宋体" w:cs="宋体"/>
          <w:snapToGrid w:val="0"/>
          <w:color w:val="auto"/>
          <w:kern w:val="0"/>
          <w:szCs w:val="24"/>
          <w:highlight w:val="none"/>
          <w:u w:val="single"/>
          <w:lang w:val="en-US" w:eastAsia="zh-CN"/>
        </w:rPr>
        <w:t>财政资金</w:t>
      </w:r>
      <w:r>
        <w:rPr>
          <w:rFonts w:hint="eastAsia" w:ascii="宋体" w:hAnsi="宋体" w:eastAsia="宋体" w:cs="宋体"/>
          <w:snapToGrid w:val="0"/>
          <w:color w:val="auto"/>
          <w:kern w:val="0"/>
          <w:szCs w:val="24"/>
          <w:highlight w:val="none"/>
          <w:u w:val="none"/>
        </w:rPr>
        <w:t>，</w:t>
      </w:r>
      <w:r>
        <w:rPr>
          <w:rStyle w:val="151"/>
          <w:rFonts w:hint="eastAsia" w:ascii="宋体" w:hAnsi="宋体" w:eastAsia="宋体" w:cs="宋体"/>
          <w:color w:val="auto"/>
          <w:kern w:val="0"/>
          <w:szCs w:val="24"/>
          <w:highlight w:val="none"/>
        </w:rPr>
        <w:t>出资比例为</w:t>
      </w:r>
      <w:r>
        <w:rPr>
          <w:rFonts w:hint="eastAsia" w:ascii="宋体" w:hAnsi="宋体" w:eastAsia="宋体" w:cs="宋体"/>
          <w:snapToGrid w:val="0"/>
          <w:color w:val="auto"/>
          <w:kern w:val="0"/>
          <w:szCs w:val="24"/>
          <w:highlight w:val="none"/>
          <w:u w:val="single"/>
        </w:rPr>
        <w:t>100%</w:t>
      </w:r>
      <w:r>
        <w:rPr>
          <w:rFonts w:hint="eastAsia" w:ascii="宋体" w:hAnsi="宋体" w:eastAsia="宋体" w:cs="宋体"/>
          <w:snapToGrid w:val="0"/>
          <w:color w:val="auto"/>
          <w:kern w:val="0"/>
          <w:szCs w:val="24"/>
          <w:highlight w:val="none"/>
        </w:rPr>
        <w:t>，招标人为</w:t>
      </w:r>
      <w:r>
        <w:rPr>
          <w:rFonts w:hint="eastAsia" w:hAnsi="宋体" w:cs="宋体"/>
          <w:color w:val="auto"/>
          <w:kern w:val="0"/>
          <w:szCs w:val="24"/>
          <w:highlight w:val="none"/>
          <w:u w:val="single"/>
          <w:lang w:eastAsia="zh-CN"/>
        </w:rPr>
        <w:t>仁化县红山镇水电管理所</w:t>
      </w:r>
      <w:r>
        <w:rPr>
          <w:rFonts w:hint="eastAsia" w:ascii="宋体" w:hAnsi="宋体" w:eastAsia="宋体" w:cs="宋体"/>
          <w:snapToGrid w:val="0"/>
          <w:color w:val="auto"/>
          <w:kern w:val="0"/>
          <w:szCs w:val="24"/>
          <w:highlight w:val="none"/>
        </w:rPr>
        <w:t>，招标代理机构为</w:t>
      </w:r>
      <w:r>
        <w:rPr>
          <w:rFonts w:hint="eastAsia" w:hAnsi="宋体" w:cs="宋体"/>
          <w:color w:val="auto"/>
          <w:kern w:val="0"/>
          <w:szCs w:val="24"/>
          <w:highlight w:val="none"/>
          <w:u w:val="single"/>
          <w:lang w:eastAsia="zh-CN"/>
        </w:rPr>
        <w:t>广州穗图项目管理有限公司</w:t>
      </w:r>
      <w:r>
        <w:rPr>
          <w:rFonts w:hint="eastAsia" w:ascii="宋体" w:hAnsi="宋体" w:eastAsia="宋体" w:cs="宋体"/>
          <w:snapToGrid w:val="0"/>
          <w:color w:val="auto"/>
          <w:kern w:val="0"/>
          <w:szCs w:val="24"/>
          <w:highlight w:val="none"/>
        </w:rPr>
        <w:t>。项目已具备招标条件，现对该项目的</w:t>
      </w:r>
      <w:r>
        <w:rPr>
          <w:rFonts w:hint="eastAsia" w:ascii="宋体" w:hAnsi="宋体" w:eastAsia="宋体" w:cs="宋体"/>
          <w:snapToGrid w:val="0"/>
          <w:color w:val="auto"/>
          <w:kern w:val="0"/>
          <w:szCs w:val="24"/>
          <w:highlight w:val="none"/>
          <w:u w:val="single"/>
        </w:rPr>
        <w:t>施工</w:t>
      </w:r>
      <w:r>
        <w:rPr>
          <w:rFonts w:hint="eastAsia" w:ascii="宋体" w:hAnsi="宋体" w:eastAsia="宋体" w:cs="宋体"/>
          <w:snapToGrid w:val="0"/>
          <w:color w:val="auto"/>
          <w:kern w:val="0"/>
          <w:szCs w:val="24"/>
          <w:highlight w:val="none"/>
        </w:rPr>
        <w:t>进行公开招标。</w:t>
      </w:r>
    </w:p>
    <w:p w14:paraId="31132700">
      <w:pPr>
        <w:pStyle w:val="5"/>
        <w:pageBreakBefore w:val="0"/>
        <w:kinsoku/>
        <w:overflowPunct/>
        <w:topLinePunct w:val="0"/>
        <w:autoSpaceDE/>
        <w:autoSpaceDN/>
        <w:bidi w:val="0"/>
        <w:spacing w:beforeLines="0" w:afterLines="0" w:line="360" w:lineRule="auto"/>
        <w:ind w:firstLine="482" w:firstLineChars="200"/>
        <w:textAlignment w:val="auto"/>
        <w:rPr>
          <w:rFonts w:hint="eastAsia" w:ascii="宋体" w:hAnsi="宋体" w:eastAsia="宋体" w:cs="宋体"/>
          <w:color w:val="auto"/>
        </w:rPr>
      </w:pPr>
      <w:bookmarkStart w:id="36" w:name="_Toc25995"/>
      <w:r>
        <w:rPr>
          <w:rFonts w:hint="eastAsia" w:ascii="宋体" w:hAnsi="宋体" w:eastAsia="宋体" w:cs="宋体"/>
          <w:color w:val="auto"/>
        </w:rPr>
        <w:t>1．项目概况、招标范围和标段划分、投标费用</w:t>
      </w:r>
      <w:bookmarkEnd w:id="36"/>
    </w:p>
    <w:p w14:paraId="58F7CAB7">
      <w:pPr>
        <w:pStyle w:val="138"/>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1.1</w:t>
      </w:r>
      <w:r>
        <w:rPr>
          <w:rFonts w:hint="eastAsia" w:ascii="宋体" w:hAnsi="宋体" w:eastAsia="宋体" w:cs="宋体"/>
          <w:snapToGrid w:val="0"/>
          <w:color w:val="auto"/>
          <w:kern w:val="0"/>
          <w:sz w:val="24"/>
          <w:highlight w:val="none"/>
        </w:rPr>
        <w:t xml:space="preserve"> 项目概况</w:t>
      </w:r>
    </w:p>
    <w:p w14:paraId="0308C9A8">
      <w:pPr>
        <w:pStyle w:val="138"/>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szCs w:val="24"/>
          <w:highlight w:val="none"/>
          <w:u w:val="single"/>
        </w:rPr>
      </w:pPr>
      <w:r>
        <w:rPr>
          <w:rFonts w:hint="eastAsia" w:ascii="宋体" w:hAnsi="宋体" w:eastAsia="宋体" w:cs="宋体"/>
          <w:b/>
          <w:bCs/>
          <w:snapToGrid w:val="0"/>
          <w:color w:val="auto"/>
          <w:kern w:val="0"/>
          <w:sz w:val="24"/>
          <w:szCs w:val="24"/>
          <w:highlight w:val="none"/>
        </w:rPr>
        <w:t>1.1.1</w:t>
      </w:r>
      <w:r>
        <w:rPr>
          <w:rFonts w:hint="eastAsia" w:ascii="宋体" w:hAnsi="宋体" w:eastAsia="宋体" w:cs="宋体"/>
          <w:snapToGrid w:val="0"/>
          <w:color w:val="auto"/>
          <w:kern w:val="0"/>
          <w:sz w:val="24"/>
          <w:szCs w:val="24"/>
          <w:highlight w:val="none"/>
        </w:rPr>
        <w:t xml:space="preserve"> 建设地点：</w:t>
      </w:r>
      <w:r>
        <w:rPr>
          <w:rFonts w:hint="eastAsia" w:ascii="宋体" w:hAnsi="宋体" w:cs="宋体"/>
          <w:snapToGrid w:val="0"/>
          <w:color w:val="auto"/>
          <w:kern w:val="0"/>
          <w:sz w:val="24"/>
          <w:szCs w:val="24"/>
          <w:highlight w:val="none"/>
          <w:u w:val="single"/>
          <w:lang w:val="en-US" w:eastAsia="zh-CN"/>
        </w:rPr>
        <w:t>韶关市仁化县红山镇前洞村、中山村、烟竹村、小楣水村</w:t>
      </w:r>
      <w:r>
        <w:rPr>
          <w:rFonts w:hint="eastAsia" w:ascii="宋体" w:hAnsi="宋体" w:eastAsia="宋体" w:cs="宋体"/>
          <w:snapToGrid w:val="0"/>
          <w:color w:val="auto"/>
          <w:kern w:val="0"/>
          <w:sz w:val="24"/>
          <w:szCs w:val="24"/>
          <w:highlight w:val="none"/>
          <w:u w:val="single"/>
          <w:lang w:val="en-US" w:eastAsia="zh-CN"/>
        </w:rPr>
        <w:t>。</w:t>
      </w:r>
    </w:p>
    <w:p w14:paraId="68344DA7">
      <w:pPr>
        <w:pStyle w:val="138"/>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rPr>
        <w:t>1.1.2</w:t>
      </w:r>
      <w:r>
        <w:rPr>
          <w:rFonts w:hint="eastAsia" w:ascii="宋体" w:hAnsi="宋体" w:eastAsia="宋体" w:cs="宋体"/>
          <w:snapToGrid w:val="0"/>
          <w:color w:val="auto"/>
          <w:kern w:val="0"/>
          <w:sz w:val="24"/>
          <w:szCs w:val="24"/>
          <w:highlight w:val="none"/>
        </w:rPr>
        <w:t xml:space="preserve"> 建设内容和规模：</w:t>
      </w:r>
      <w:r>
        <w:rPr>
          <w:rFonts w:hint="eastAsia" w:ascii="宋体" w:hAnsi="宋体" w:cs="宋体"/>
          <w:snapToGrid w:val="0"/>
          <w:color w:val="auto"/>
          <w:kern w:val="0"/>
          <w:sz w:val="24"/>
          <w:szCs w:val="24"/>
          <w:highlight w:val="none"/>
          <w:u w:val="single"/>
          <w:lang w:val="en-US" w:eastAsia="zh-CN"/>
        </w:rPr>
        <w:t>总投资约143万元，主要利用红山镇前洞村、中山村、烟竹村、小楣水等村公共资源面积约2000平方米，建设总装机容量约496kW。</w:t>
      </w:r>
    </w:p>
    <w:p w14:paraId="2A879CCC">
      <w:pPr>
        <w:pStyle w:val="138"/>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szCs w:val="24"/>
          <w:highlight w:val="none"/>
          <w:u w:val="single"/>
          <w:lang w:val="en-US" w:eastAsia="zh-CN"/>
        </w:rPr>
      </w:pPr>
      <w:r>
        <w:rPr>
          <w:rFonts w:hint="eastAsia" w:ascii="宋体" w:hAnsi="宋体" w:eastAsia="宋体" w:cs="宋体"/>
          <w:b/>
          <w:bCs/>
          <w:snapToGrid w:val="0"/>
          <w:color w:val="auto"/>
          <w:kern w:val="0"/>
          <w:sz w:val="24"/>
          <w:szCs w:val="24"/>
          <w:highlight w:val="none"/>
          <w:u w:val="none"/>
          <w:lang w:val="en-US" w:eastAsia="zh-CN"/>
        </w:rPr>
        <w:t>1.1.3</w:t>
      </w:r>
      <w:r>
        <w:rPr>
          <w:rFonts w:hint="eastAsia" w:ascii="宋体" w:hAnsi="宋体" w:eastAsia="宋体" w:cs="宋体"/>
          <w:snapToGrid w:val="0"/>
          <w:color w:val="auto"/>
          <w:kern w:val="0"/>
          <w:sz w:val="24"/>
          <w:szCs w:val="24"/>
          <w:highlight w:val="none"/>
          <w:u w:val="none"/>
          <w:lang w:val="en-US" w:eastAsia="zh-CN"/>
        </w:rPr>
        <w:t xml:space="preserve"> 项目总投资：</w:t>
      </w:r>
      <w:r>
        <w:rPr>
          <w:rFonts w:hint="eastAsia" w:ascii="宋体" w:hAnsi="宋体" w:cs="宋体"/>
          <w:snapToGrid w:val="0"/>
          <w:color w:val="auto"/>
          <w:kern w:val="0"/>
          <w:sz w:val="24"/>
          <w:szCs w:val="24"/>
          <w:highlight w:val="none"/>
          <w:u w:val="single"/>
          <w:lang w:val="en-US" w:eastAsia="zh-CN"/>
        </w:rPr>
        <w:t>总投资约143万元。</w:t>
      </w:r>
    </w:p>
    <w:p w14:paraId="0AEAEA06">
      <w:pPr>
        <w:pStyle w:val="138"/>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 xml:space="preserve">1.2 </w:t>
      </w:r>
      <w:r>
        <w:rPr>
          <w:rFonts w:hint="eastAsia" w:ascii="宋体" w:hAnsi="宋体" w:eastAsia="宋体" w:cs="宋体"/>
          <w:snapToGrid w:val="0"/>
          <w:color w:val="auto"/>
          <w:kern w:val="0"/>
          <w:sz w:val="24"/>
          <w:highlight w:val="none"/>
        </w:rPr>
        <w:t>招标范围和标段划分</w:t>
      </w:r>
    </w:p>
    <w:p w14:paraId="21E58119">
      <w:pPr>
        <w:pStyle w:val="138"/>
        <w:pageBreakBefore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snapToGrid w:val="0"/>
          <w:color w:val="auto"/>
          <w:kern w:val="0"/>
          <w:sz w:val="24"/>
          <w:highlight w:val="none"/>
          <w:u w:val="none"/>
        </w:rPr>
      </w:pPr>
      <w:r>
        <w:rPr>
          <w:rFonts w:hint="eastAsia" w:ascii="宋体" w:hAnsi="宋体" w:eastAsia="宋体" w:cs="宋体"/>
          <w:b/>
          <w:bCs/>
          <w:snapToGrid w:val="0"/>
          <w:color w:val="auto"/>
          <w:kern w:val="0"/>
          <w:sz w:val="24"/>
          <w:highlight w:val="none"/>
        </w:rPr>
        <w:t>1.2.1</w:t>
      </w:r>
      <w:r>
        <w:rPr>
          <w:rFonts w:hint="eastAsia" w:ascii="宋体" w:hAnsi="宋体" w:eastAsia="宋体" w:cs="宋体"/>
          <w:snapToGrid w:val="0"/>
          <w:color w:val="auto"/>
          <w:kern w:val="0"/>
          <w:sz w:val="24"/>
          <w:highlight w:val="none"/>
        </w:rPr>
        <w:t xml:space="preserve"> 招标范围：</w:t>
      </w:r>
      <w:r>
        <w:rPr>
          <w:rFonts w:hint="eastAsia" w:ascii="宋体" w:hAnsi="宋体" w:eastAsia="宋体" w:cs="宋体"/>
          <w:snapToGrid w:val="0"/>
          <w:color w:val="auto"/>
          <w:kern w:val="0"/>
          <w:sz w:val="24"/>
          <w:highlight w:val="none"/>
          <w:u w:val="single"/>
          <w:lang w:val="en-US" w:eastAsia="zh-CN"/>
        </w:rPr>
        <w:t>施工图纸和工程量清单范围内</w:t>
      </w:r>
      <w:r>
        <w:rPr>
          <w:rFonts w:hint="eastAsia" w:ascii="宋体" w:hAnsi="宋体" w:eastAsia="宋体" w:cs="宋体"/>
          <w:snapToGrid w:val="0"/>
          <w:color w:val="auto"/>
          <w:kern w:val="0"/>
          <w:sz w:val="24"/>
          <w:highlight w:val="none"/>
          <w:u w:val="single"/>
        </w:rPr>
        <w:t>等</w:t>
      </w:r>
      <w:r>
        <w:rPr>
          <w:rFonts w:hint="eastAsia" w:ascii="宋体" w:hAnsi="宋体" w:eastAsia="宋体" w:cs="宋体"/>
          <w:snapToGrid w:val="0"/>
          <w:color w:val="auto"/>
          <w:kern w:val="0"/>
          <w:sz w:val="24"/>
          <w:highlight w:val="none"/>
          <w:u w:val="single"/>
          <w:lang w:val="en-US" w:eastAsia="zh-CN"/>
        </w:rPr>
        <w:t>所有</w:t>
      </w:r>
      <w:r>
        <w:rPr>
          <w:rFonts w:hint="eastAsia" w:ascii="宋体" w:hAnsi="宋体" w:eastAsia="宋体" w:cs="宋体"/>
          <w:snapToGrid w:val="0"/>
          <w:color w:val="auto"/>
          <w:kern w:val="0"/>
          <w:sz w:val="24"/>
          <w:highlight w:val="none"/>
          <w:u w:val="single"/>
        </w:rPr>
        <w:t>工程</w:t>
      </w:r>
      <w:r>
        <w:rPr>
          <w:rFonts w:hint="eastAsia" w:ascii="宋体" w:hAnsi="宋体" w:eastAsia="宋体" w:cs="宋体"/>
          <w:snapToGrid w:val="0"/>
          <w:color w:val="auto"/>
          <w:kern w:val="0"/>
          <w:sz w:val="24"/>
          <w:highlight w:val="none"/>
          <w:u w:val="single"/>
          <w:lang w:val="en-US" w:eastAsia="zh-CN"/>
        </w:rPr>
        <w:t>施工</w:t>
      </w:r>
      <w:r>
        <w:rPr>
          <w:rFonts w:hint="eastAsia" w:ascii="宋体" w:hAnsi="宋体" w:eastAsia="宋体" w:cs="宋体"/>
          <w:snapToGrid w:val="0"/>
          <w:color w:val="auto"/>
          <w:kern w:val="0"/>
          <w:sz w:val="24"/>
          <w:highlight w:val="none"/>
          <w:u w:val="single"/>
        </w:rPr>
        <w:t>。</w:t>
      </w:r>
      <w:r>
        <w:rPr>
          <w:rFonts w:hint="eastAsia" w:ascii="宋体" w:hAnsi="宋体" w:eastAsia="宋体" w:cs="宋体"/>
          <w:snapToGrid w:val="0"/>
          <w:color w:val="auto"/>
          <w:kern w:val="0"/>
          <w:sz w:val="24"/>
          <w:highlight w:val="none"/>
          <w:u w:val="none"/>
        </w:rPr>
        <w:t xml:space="preserve">       </w:t>
      </w:r>
    </w:p>
    <w:p w14:paraId="36E61988">
      <w:pPr>
        <w:pStyle w:val="4"/>
        <w:pageBreakBefore w:val="0"/>
        <w:kinsoku/>
        <w:wordWrap w:val="0"/>
        <w:overflowPunct/>
        <w:topLinePunct w:val="0"/>
        <w:autoSpaceDE/>
        <w:autoSpaceDN/>
        <w:bidi w:val="0"/>
        <w:snapToGrid w:val="0"/>
        <w:spacing w:line="360" w:lineRule="auto"/>
        <w:ind w:firstLine="482" w:firstLineChars="200"/>
        <w:jc w:val="both"/>
        <w:textAlignment w:val="auto"/>
        <w:rPr>
          <w:rFonts w:hint="eastAsia" w:ascii="宋体" w:hAnsi="宋体" w:eastAsia="宋体" w:cs="宋体"/>
          <w:b/>
          <w:snapToGrid w:val="0"/>
          <w:color w:val="auto"/>
          <w:highlight w:val="none"/>
        </w:rPr>
      </w:pPr>
      <w:bookmarkStart w:id="37" w:name="_Toc9332"/>
      <w:bookmarkStart w:id="38" w:name="_Toc3268"/>
      <w:bookmarkStart w:id="39" w:name="_Toc19291"/>
      <w:r>
        <w:rPr>
          <w:rFonts w:hint="eastAsia" w:ascii="宋体" w:hAnsi="宋体" w:eastAsia="宋体" w:cs="宋体"/>
          <w:b/>
          <w:bCs/>
          <w:snapToGrid w:val="0"/>
          <w:color w:val="auto"/>
          <w:highlight w:val="none"/>
        </w:rPr>
        <w:t>1.2.2</w:t>
      </w:r>
      <w:r>
        <w:rPr>
          <w:rFonts w:hint="eastAsia" w:ascii="宋体" w:hAnsi="宋体" w:eastAsia="宋体" w:cs="宋体"/>
          <w:snapToGrid w:val="0"/>
          <w:color w:val="auto"/>
          <w:highlight w:val="none"/>
        </w:rPr>
        <w:t xml:space="preserve"> 标段划分：本招标项目不划分标段。</w:t>
      </w:r>
      <w:bookmarkEnd w:id="35"/>
      <w:bookmarkEnd w:id="37"/>
      <w:bookmarkEnd w:id="38"/>
      <w:bookmarkEnd w:id="39"/>
    </w:p>
    <w:p w14:paraId="4E614AA0">
      <w:pPr>
        <w:pageBreakBefore w:val="0"/>
        <w:tabs>
          <w:tab w:val="left" w:pos="7020"/>
        </w:tabs>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1.3</w:t>
      </w:r>
      <w:r>
        <w:rPr>
          <w:rFonts w:hint="eastAsia" w:ascii="宋体" w:hAnsi="宋体" w:eastAsia="宋体" w:cs="宋体"/>
          <w:snapToGrid w:val="0"/>
          <w:color w:val="auto"/>
          <w:kern w:val="0"/>
          <w:szCs w:val="24"/>
          <w:highlight w:val="none"/>
        </w:rPr>
        <w:t xml:space="preserve"> 投标费用</w:t>
      </w:r>
      <w:r>
        <w:rPr>
          <w:rFonts w:hint="eastAsia" w:ascii="宋体" w:hAnsi="宋体" w:eastAsia="宋体" w:cs="宋体"/>
          <w:snapToGrid w:val="0"/>
          <w:color w:val="auto"/>
          <w:kern w:val="0"/>
          <w:highlight w:val="none"/>
        </w:rPr>
        <w:t>：投标人应承担所有准备和参加投标的相关费用，不论投标结果如何，招标人均无义务和责任承担这些费用。</w:t>
      </w:r>
    </w:p>
    <w:p w14:paraId="333E7109">
      <w:pPr>
        <w:pStyle w:val="4"/>
        <w:wordWrap w:val="0"/>
        <w:autoSpaceDE/>
        <w:autoSpaceDN/>
        <w:snapToGrid w:val="0"/>
        <w:spacing w:line="440" w:lineRule="exact"/>
        <w:ind w:firstLine="480"/>
        <w:jc w:val="both"/>
        <w:rPr>
          <w:rFonts w:hint="eastAsia" w:ascii="宋体" w:hAnsi="宋体" w:eastAsia="宋体" w:cs="宋体"/>
          <w:b/>
          <w:snapToGrid w:val="0"/>
          <w:color w:val="auto"/>
          <w:highlight w:val="none"/>
        </w:rPr>
      </w:pPr>
      <w:bookmarkStart w:id="40" w:name="_Toc18676"/>
      <w:bookmarkStart w:id="41" w:name="_Toc15329"/>
    </w:p>
    <w:p w14:paraId="614F2D29">
      <w:pPr>
        <w:pStyle w:val="5"/>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color w:val="auto"/>
          <w:sz w:val="24"/>
          <w:szCs w:val="24"/>
        </w:rPr>
      </w:pPr>
      <w:bookmarkStart w:id="42" w:name="_Toc14498"/>
      <w:r>
        <w:rPr>
          <w:rFonts w:hint="eastAsia" w:ascii="宋体" w:hAnsi="宋体" w:eastAsia="宋体" w:cs="宋体"/>
          <w:color w:val="auto"/>
          <w:sz w:val="24"/>
          <w:szCs w:val="24"/>
        </w:rPr>
        <w:t>2．投标人资格要求</w:t>
      </w:r>
      <w:bookmarkEnd w:id="40"/>
      <w:bookmarkEnd w:id="41"/>
      <w:bookmarkEnd w:id="42"/>
      <w:bookmarkStart w:id="43" w:name="_Hlt74496495"/>
      <w:bookmarkEnd w:id="43"/>
    </w:p>
    <w:p w14:paraId="0905E36C">
      <w:pPr>
        <w:wordWrap w:val="0"/>
        <w:adjustRightInd w:val="0"/>
        <w:snapToGrid w:val="0"/>
        <w:spacing w:line="360" w:lineRule="auto"/>
        <w:ind w:firstLine="482" w:firstLineChars="200"/>
        <w:jc w:val="left"/>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lang w:val="en-US" w:eastAsia="zh-CN"/>
        </w:rPr>
        <w:t>2.</w:t>
      </w:r>
      <w:r>
        <w:rPr>
          <w:rFonts w:hint="eastAsia" w:ascii="宋体" w:hAnsi="宋体" w:eastAsia="宋体" w:cs="宋体"/>
          <w:b/>
          <w:bCs/>
          <w:snapToGrid w:val="0"/>
          <w:color w:val="auto"/>
          <w:kern w:val="0"/>
          <w:highlight w:val="none"/>
        </w:rPr>
        <w:t>1</w:t>
      </w:r>
      <w:r>
        <w:rPr>
          <w:rFonts w:hint="eastAsia" w:ascii="宋体" w:hAnsi="宋体" w:eastAsia="宋体" w:cs="宋体"/>
          <w:snapToGrid w:val="0"/>
          <w:color w:val="auto"/>
          <w:kern w:val="0"/>
          <w:highlight w:val="none"/>
        </w:rPr>
        <w:t>本次招标</w:t>
      </w:r>
      <w:r>
        <w:rPr>
          <w:rFonts w:hint="eastAsia" w:ascii="宋体" w:hAnsi="宋体" w:eastAsia="宋体" w:cs="宋体"/>
          <w:snapToGrid w:val="0"/>
          <w:color w:val="auto"/>
          <w:kern w:val="0"/>
          <w:highlight w:val="none"/>
          <w:lang w:val="en-US" w:eastAsia="zh-CN"/>
        </w:rPr>
        <w:t>不</w:t>
      </w:r>
      <w:r>
        <w:rPr>
          <w:rFonts w:hint="eastAsia" w:ascii="宋体" w:hAnsi="宋体" w:eastAsia="宋体" w:cs="宋体"/>
          <w:snapToGrid w:val="0"/>
          <w:color w:val="auto"/>
          <w:kern w:val="0"/>
          <w:highlight w:val="none"/>
        </w:rPr>
        <w:t>接受联合体投标。</w:t>
      </w:r>
    </w:p>
    <w:p w14:paraId="5CB01E52">
      <w:pPr>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w:t>
      </w:r>
      <w:r>
        <w:rPr>
          <w:rFonts w:hint="eastAsia" w:ascii="宋体" w:hAnsi="宋体" w:eastAsia="宋体" w:cs="宋体"/>
          <w:snapToGrid w:val="0"/>
          <w:color w:val="auto"/>
          <w:kern w:val="0"/>
          <w:sz w:val="24"/>
          <w:szCs w:val="24"/>
          <w:highlight w:val="none"/>
        </w:rPr>
        <w:t xml:space="preserve"> 资格资质要求</w:t>
      </w:r>
    </w:p>
    <w:p w14:paraId="617B3711">
      <w:pPr>
        <w:pStyle w:val="138"/>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2.2.1</w:t>
      </w:r>
      <w:r>
        <w:rPr>
          <w:rFonts w:hint="eastAsia" w:ascii="宋体" w:hAnsi="宋体" w:eastAsia="宋体" w:cs="宋体"/>
          <w:snapToGrid w:val="0"/>
          <w:color w:val="auto"/>
          <w:kern w:val="0"/>
          <w:sz w:val="24"/>
          <w:szCs w:val="24"/>
          <w:highlight w:val="none"/>
        </w:rPr>
        <w:t xml:space="preserve"> 投标人须具备独立法人资格，按国家法律经营。</w:t>
      </w:r>
    </w:p>
    <w:p w14:paraId="38A5A45D">
      <w:pPr>
        <w:pStyle w:val="138"/>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2.2.2</w:t>
      </w:r>
      <w:r>
        <w:rPr>
          <w:rFonts w:hint="eastAsia" w:ascii="宋体" w:hAnsi="宋体" w:eastAsia="宋体" w:cs="宋体"/>
          <w:snapToGrid w:val="0"/>
          <w:color w:val="auto"/>
          <w:kern w:val="0"/>
          <w:sz w:val="24"/>
          <w:szCs w:val="24"/>
          <w:highlight w:val="none"/>
        </w:rPr>
        <w:t xml:space="preserve"> 投标人须持有建设行政主管部门颁发的企业资质证书及安全生产许可证。</w:t>
      </w:r>
    </w:p>
    <w:p w14:paraId="06089417">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2.2.3</w:t>
      </w:r>
      <w:r>
        <w:rPr>
          <w:rFonts w:hint="eastAsia" w:ascii="宋体" w:hAnsi="宋体" w:eastAsia="宋体" w:cs="宋体"/>
          <w:snapToGrid w:val="0"/>
          <w:color w:val="auto"/>
          <w:kern w:val="0"/>
          <w:sz w:val="24"/>
          <w:szCs w:val="24"/>
          <w:highlight w:val="none"/>
        </w:rPr>
        <w:t xml:space="preserve"> 投标人须具备以下资质：具备建设行政主管部门颁发的</w:t>
      </w:r>
      <w:r>
        <w:rPr>
          <w:rFonts w:hint="eastAsia" w:ascii="宋体" w:hAnsi="宋体" w:eastAsia="宋体" w:cs="宋体"/>
          <w:b/>
          <w:bCs/>
          <w:snapToGrid w:val="0"/>
          <w:color w:val="auto"/>
          <w:kern w:val="0"/>
          <w:sz w:val="24"/>
          <w:szCs w:val="24"/>
          <w:highlight w:val="none"/>
          <w:u w:val="single"/>
        </w:rPr>
        <w:t>电力工程施工总承包叁级或以上资质</w:t>
      </w:r>
      <w:r>
        <w:rPr>
          <w:rFonts w:hint="eastAsia" w:ascii="宋体" w:hAnsi="宋体" w:eastAsia="宋体" w:cs="宋体"/>
          <w:snapToGrid w:val="0"/>
          <w:color w:val="auto"/>
          <w:kern w:val="0"/>
          <w:sz w:val="24"/>
          <w:szCs w:val="24"/>
          <w:highlight w:val="none"/>
        </w:rPr>
        <w:t>，同时</w:t>
      </w:r>
      <w:r>
        <w:rPr>
          <w:rFonts w:hint="eastAsia" w:ascii="宋体" w:hAnsi="宋体" w:eastAsia="宋体" w:cs="宋体"/>
          <w:snapToGrid w:val="0"/>
          <w:color w:val="auto"/>
          <w:kern w:val="0"/>
          <w:sz w:val="24"/>
          <w:szCs w:val="24"/>
          <w:highlight w:val="none"/>
          <w:lang w:val="en-US" w:eastAsia="zh-CN"/>
        </w:rPr>
        <w:t>持有国家能源局颁发的《承装(修、试)电力设施许可证》承装</w:t>
      </w:r>
      <w:r>
        <w:rPr>
          <w:rFonts w:hint="eastAsia" w:hAnsi="宋体" w:cs="宋体"/>
          <w:snapToGrid w:val="0"/>
          <w:color w:val="auto"/>
          <w:kern w:val="0"/>
          <w:sz w:val="24"/>
          <w:szCs w:val="24"/>
          <w:highlight w:val="none"/>
          <w:lang w:val="en-US" w:eastAsia="zh-CN"/>
        </w:rPr>
        <w:t>类</w:t>
      </w:r>
      <w:r>
        <w:rPr>
          <w:rFonts w:hint="eastAsia" w:ascii="宋体" w:hAnsi="宋体" w:eastAsia="宋体" w:cs="宋体"/>
          <w:snapToGrid w:val="0"/>
          <w:color w:val="auto"/>
          <w:kern w:val="0"/>
          <w:sz w:val="24"/>
          <w:szCs w:val="24"/>
          <w:highlight w:val="none"/>
          <w:lang w:val="en-US" w:eastAsia="zh-CN"/>
        </w:rPr>
        <w:t>五级或以上许可，资质须在有效期内。对应于2025年7月1日起换发的电子证照，应为承装类三级或以上许可资格。 【注:依据国家能源局关于做好承装(修、试)电力设施许可证换领和延续工作的通知(国能发资质(2025)44 号)。如有最新政策文件的，从其规定。</w:t>
      </w:r>
    </w:p>
    <w:p w14:paraId="7C96D109">
      <w:pPr>
        <w:pStyle w:val="138"/>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2.2.4</w:t>
      </w:r>
      <w:r>
        <w:rPr>
          <w:rFonts w:hint="eastAsia" w:ascii="宋体" w:hAnsi="宋体" w:eastAsia="宋体" w:cs="宋体"/>
          <w:snapToGrid w:val="0"/>
          <w:color w:val="auto"/>
          <w:kern w:val="0"/>
          <w:sz w:val="24"/>
          <w:szCs w:val="24"/>
          <w:highlight w:val="none"/>
        </w:rPr>
        <w:t xml:space="preserve">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34CD375A">
      <w:pPr>
        <w:pStyle w:val="138"/>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w:t>
      </w:r>
      <w:r>
        <w:rPr>
          <w:rFonts w:hint="eastAsia" w:ascii="宋体" w:hAnsi="宋体" w:eastAsia="宋体" w:cs="宋体"/>
          <w:snapToGrid w:val="0"/>
          <w:color w:val="auto"/>
          <w:kern w:val="0"/>
          <w:sz w:val="24"/>
          <w:szCs w:val="24"/>
          <w:highlight w:val="none"/>
        </w:rPr>
        <w:t xml:space="preserve"> 相关人员要求</w:t>
      </w:r>
    </w:p>
    <w:p w14:paraId="0419F19B">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2.3.1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lang w:eastAsia="zh-CN"/>
        </w:rPr>
        <w:t>拟派项目经理为</w:t>
      </w:r>
      <w:r>
        <w:rPr>
          <w:rFonts w:hint="eastAsia" w:ascii="宋体" w:hAnsi="宋体" w:eastAsia="宋体" w:cs="宋体"/>
          <w:b/>
          <w:bCs/>
          <w:color w:val="auto"/>
          <w:sz w:val="24"/>
          <w:szCs w:val="24"/>
          <w:highlight w:val="none"/>
          <w:u w:val="single"/>
          <w:lang w:eastAsia="zh-CN"/>
        </w:rPr>
        <w:t>机电工程</w:t>
      </w:r>
      <w:r>
        <w:rPr>
          <w:rFonts w:hint="eastAsia" w:ascii="宋体" w:hAnsi="宋体" w:eastAsia="宋体" w:cs="宋体"/>
          <w:color w:val="auto"/>
          <w:sz w:val="24"/>
          <w:szCs w:val="24"/>
          <w:highlight w:val="none"/>
          <w:u w:val="none"/>
          <w:lang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p>
    <w:p w14:paraId="512E4BF0">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0000FF"/>
          <w:kern w:val="0"/>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2.3.2</w:t>
      </w:r>
      <w:r>
        <w:rPr>
          <w:rFonts w:hint="eastAsia" w:ascii="宋体" w:hAnsi="宋体" w:eastAsia="宋体" w:cs="宋体"/>
          <w:b w:val="0"/>
          <w:bCs w:val="0"/>
          <w:snapToGrid w:val="0"/>
          <w:color w:val="auto"/>
          <w:kern w:val="0"/>
          <w:sz w:val="24"/>
          <w:szCs w:val="24"/>
          <w:highlight w:val="none"/>
        </w:rPr>
        <w:t xml:space="preserve"> 拟派项目技术负责人须具备</w:t>
      </w:r>
      <w:r>
        <w:rPr>
          <w:rFonts w:hint="eastAsia" w:ascii="宋体" w:hAnsi="宋体" w:eastAsia="宋体" w:cs="宋体"/>
          <w:b w:val="0"/>
          <w:bCs w:val="0"/>
          <w:snapToGrid w:val="0"/>
          <w:color w:val="auto"/>
          <w:kern w:val="0"/>
          <w:sz w:val="24"/>
          <w:szCs w:val="24"/>
          <w:highlight w:val="none"/>
          <w:u w:val="single"/>
          <w:lang w:val="en-US" w:eastAsia="zh-CN"/>
        </w:rPr>
        <w:t>中</w:t>
      </w:r>
      <w:r>
        <w:rPr>
          <w:rFonts w:hint="eastAsia" w:ascii="宋体" w:hAnsi="宋体" w:eastAsia="宋体" w:cs="宋体"/>
          <w:b w:val="0"/>
          <w:bCs w:val="0"/>
          <w:snapToGrid w:val="0"/>
          <w:color w:val="auto"/>
          <w:kern w:val="0"/>
          <w:sz w:val="24"/>
          <w:szCs w:val="24"/>
          <w:highlight w:val="none"/>
        </w:rPr>
        <w:t>级以上（含</w:t>
      </w:r>
      <w:r>
        <w:rPr>
          <w:rFonts w:hint="eastAsia" w:ascii="宋体" w:hAnsi="宋体" w:eastAsia="宋体" w:cs="宋体"/>
          <w:b w:val="0"/>
          <w:bCs w:val="0"/>
          <w:snapToGrid w:val="0"/>
          <w:color w:val="auto"/>
          <w:kern w:val="0"/>
          <w:sz w:val="24"/>
          <w:szCs w:val="24"/>
          <w:highlight w:val="none"/>
          <w:u w:val="single"/>
          <w:lang w:val="en-US" w:eastAsia="zh-CN"/>
        </w:rPr>
        <w:t>中</w:t>
      </w:r>
      <w:r>
        <w:rPr>
          <w:rFonts w:hint="eastAsia" w:ascii="宋体" w:hAnsi="宋体" w:eastAsia="宋体" w:cs="宋体"/>
          <w:b w:val="0"/>
          <w:bCs w:val="0"/>
          <w:snapToGrid w:val="0"/>
          <w:color w:val="auto"/>
          <w:kern w:val="0"/>
          <w:sz w:val="24"/>
          <w:szCs w:val="24"/>
          <w:highlight w:val="none"/>
        </w:rPr>
        <w:t>级）技术职称。</w:t>
      </w:r>
    </w:p>
    <w:p w14:paraId="3B1EE08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2.3.3</w:t>
      </w:r>
      <w:r>
        <w:rPr>
          <w:rFonts w:hint="eastAsia" w:ascii="宋体" w:hAnsi="宋体" w:eastAsia="宋体" w:cs="宋体"/>
          <w:snapToGrid w:val="0"/>
          <w:color w:val="auto"/>
          <w:kern w:val="0"/>
          <w:sz w:val="24"/>
          <w:szCs w:val="24"/>
          <w:highlight w:val="none"/>
        </w:rPr>
        <w:t xml:space="preserve"> 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b/>
          <w:bCs/>
          <w:snapToGrid w:val="0"/>
          <w:color w:val="auto"/>
          <w:kern w:val="0"/>
          <w:sz w:val="24"/>
          <w:szCs w:val="24"/>
          <w:highlight w:val="none"/>
          <w:u w:val="single"/>
        </w:rPr>
        <w:t xml:space="preserve"> </w:t>
      </w:r>
      <w:r>
        <w:rPr>
          <w:rFonts w:hint="eastAsia" w:ascii="宋体" w:hAnsi="宋体" w:eastAsia="宋体" w:cs="宋体"/>
          <w:b w:val="0"/>
          <w:bCs w:val="0"/>
          <w:snapToGrid w:val="0"/>
          <w:color w:val="auto"/>
          <w:kern w:val="0"/>
          <w:sz w:val="24"/>
          <w:szCs w:val="24"/>
          <w:highlight w:val="none"/>
          <w:u w:val="single"/>
          <w:lang w:val="en-US" w:eastAsia="zh-CN"/>
        </w:rPr>
        <w:t>1</w:t>
      </w:r>
      <w:r>
        <w:rPr>
          <w:rFonts w:hint="eastAsia" w:ascii="宋体" w:hAnsi="宋体" w:eastAsia="宋体" w:cs="宋体"/>
          <w:b w:val="0"/>
          <w:bCs w:val="0"/>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 xml:space="preserve">人。 </w:t>
      </w:r>
    </w:p>
    <w:p w14:paraId="3053D1C5">
      <w:pPr>
        <w:pStyle w:val="138"/>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2.3.4</w:t>
      </w:r>
      <w:r>
        <w:rPr>
          <w:rFonts w:hint="eastAsia" w:ascii="宋体" w:hAnsi="宋体" w:eastAsia="宋体" w:cs="宋体"/>
          <w:snapToGrid w:val="0"/>
          <w:color w:val="auto"/>
          <w:kern w:val="0"/>
          <w:sz w:val="24"/>
          <w:szCs w:val="24"/>
          <w:highlight w:val="none"/>
        </w:rPr>
        <w:t xml:space="preserve"> 投标人与其拟派往本项目管理机构的所有人员之间必须具备合法、唯一的劳动聘用关系（提供社保证明或劳动合同）。拟派人员中具备注册执业资格的，其注册单位须与投标人保持一致。</w:t>
      </w:r>
    </w:p>
    <w:p w14:paraId="2D1FB1FB">
      <w:pPr>
        <w:pStyle w:val="138"/>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2.4</w:t>
      </w:r>
      <w:r>
        <w:rPr>
          <w:rFonts w:hint="eastAsia" w:ascii="宋体" w:hAnsi="宋体" w:eastAsia="宋体" w:cs="宋体"/>
          <w:snapToGrid w:val="0"/>
          <w:color w:val="auto"/>
          <w:kern w:val="0"/>
          <w:sz w:val="24"/>
          <w:szCs w:val="24"/>
          <w:highlight w:val="none"/>
        </w:rPr>
        <w:t xml:space="preserve"> 禁止投标条款</w:t>
      </w:r>
    </w:p>
    <w:p w14:paraId="0C20DC31">
      <w:pPr>
        <w:pStyle w:val="138"/>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2.4.1</w:t>
      </w:r>
      <w:r>
        <w:rPr>
          <w:rFonts w:hint="eastAsia" w:ascii="宋体" w:hAnsi="宋体" w:eastAsia="宋体" w:cs="宋体"/>
          <w:snapToGrid w:val="0"/>
          <w:color w:val="auto"/>
          <w:kern w:val="0"/>
          <w:sz w:val="24"/>
          <w:szCs w:val="24"/>
          <w:highlight w:val="none"/>
        </w:rPr>
        <w:t xml:space="preserve"> 投标人不得存在下列情形之一：</w:t>
      </w:r>
    </w:p>
    <w:p w14:paraId="5A630184">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（1）为招标人不具有独立法人资格的附属机构（单位）；</w:t>
      </w:r>
    </w:p>
    <w:p w14:paraId="37AACD8F">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（2）为本招标项目前期准备提供设计或咨询服务的；</w:t>
      </w:r>
    </w:p>
    <w:p w14:paraId="6ED5380C">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（3）与本招标项目的其他投标人为同一个单位负责人；</w:t>
      </w:r>
    </w:p>
    <w:p w14:paraId="45D1E826">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（4）与本招标项目的其他投标人存在控股、管理关系；</w:t>
      </w:r>
    </w:p>
    <w:p w14:paraId="48C03CCF">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（5）为本招标项目的监理人；</w:t>
      </w:r>
    </w:p>
    <w:p w14:paraId="26427379">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（6）为本招标项目的代建人；</w:t>
      </w:r>
    </w:p>
    <w:p w14:paraId="21AD29A6">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（7）为本招标项目的招标代理机构；</w:t>
      </w:r>
    </w:p>
    <w:p w14:paraId="32386F3B">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（8）与本招标项目的监理人或代建人或招标代理机构同为一个法定代表人；</w:t>
      </w:r>
    </w:p>
    <w:p w14:paraId="6E6DF385">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（9）与本招标项目的监理人或代建人或招标代理机构存在控股或参股关系；</w:t>
      </w:r>
    </w:p>
    <w:p w14:paraId="676F3247">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（10）与本招标项目的监理人或代建人或招标代理机构存在相互任职或工作关系；</w:t>
      </w:r>
    </w:p>
    <w:p w14:paraId="1AABBAF7">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（11）被依法暂停或者取消投标资格；</w:t>
      </w:r>
    </w:p>
    <w:p w14:paraId="42A8425B">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（12）被责令停产停业、暂扣或者吊销许可证、暂扣或者吊销执照；</w:t>
      </w:r>
    </w:p>
    <w:p w14:paraId="4E7DF616">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（13）进入清算程序，或被宣告破产，或其他丧失履约能力的情形；</w:t>
      </w:r>
    </w:p>
    <w:p w14:paraId="4A09F6A2">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（14）在最近三年内发生重大工程质量或安全问题（以相关行业主管部门的行政处罚决定或司法机关出具的有关法律文书为准）；</w:t>
      </w:r>
    </w:p>
    <w:p w14:paraId="3FAD7B02">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（15）被“信用中国”网站（https://www.creditchina.gov.cn）发布的《</w:t>
      </w:r>
      <w:r>
        <w:rPr>
          <w:rFonts w:hint="eastAsia" w:ascii="宋体" w:hAnsi="宋体" w:eastAsia="宋体" w:cs="宋体"/>
          <w:snapToGrid w:val="0"/>
          <w:color w:val="auto"/>
          <w:kern w:val="0"/>
          <w:sz w:val="24"/>
          <w:szCs w:val="24"/>
          <w:highlight w:val="none"/>
          <w:lang w:eastAsia="zh-CN"/>
        </w:rPr>
        <w:t>法人和非法人组织公共信用信息报告</w:t>
      </w:r>
      <w:r>
        <w:rPr>
          <w:rFonts w:hint="eastAsia" w:ascii="宋体" w:hAnsi="宋体" w:eastAsia="宋体" w:cs="宋体"/>
          <w:snapToGrid w:val="0"/>
          <w:color w:val="auto"/>
          <w:kern w:val="0"/>
          <w:sz w:val="24"/>
          <w:szCs w:val="24"/>
          <w:highlight w:val="none"/>
        </w:rPr>
        <w:t>》列为严重失信主体名单的。</w:t>
      </w:r>
    </w:p>
    <w:p w14:paraId="71572E2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2.4.2</w:t>
      </w:r>
      <w:r>
        <w:rPr>
          <w:rFonts w:hint="eastAsia" w:ascii="宋体" w:hAnsi="宋体" w:eastAsia="宋体" w:cs="宋体"/>
          <w:snapToGrid w:val="0"/>
          <w:color w:val="auto"/>
          <w:kern w:val="0"/>
          <w:sz w:val="24"/>
          <w:szCs w:val="24"/>
          <w:highlight w:val="none"/>
        </w:rPr>
        <w:t xml:space="preserve"> 招标人拒绝以下名单中的单位参加本次投标：</w:t>
      </w:r>
    </w:p>
    <w:tbl>
      <w:tblPr>
        <w:tblStyle w:val="32"/>
        <w:tblW w:w="8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4368"/>
        <w:gridCol w:w="3690"/>
      </w:tblGrid>
      <w:tr w14:paraId="0796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65" w:type="dxa"/>
            <w:noWrap w:val="0"/>
            <w:vAlign w:val="center"/>
          </w:tcPr>
          <w:p w14:paraId="25A1B51C">
            <w:pPr>
              <w:pageBreakBefore w:val="0"/>
              <w:kinsoku/>
              <w:wordWrap w:val="0"/>
              <w:overflowPunct/>
              <w:topLinePunct w:val="0"/>
              <w:autoSpaceDE/>
              <w:autoSpaceDN/>
              <w:bidi w:val="0"/>
              <w:adjustRightInd w:val="0"/>
              <w:snapToGrid w:val="0"/>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368" w:type="dxa"/>
            <w:noWrap w:val="0"/>
            <w:vAlign w:val="center"/>
          </w:tcPr>
          <w:p w14:paraId="02669242">
            <w:pPr>
              <w:pageBreakBefore w:val="0"/>
              <w:kinsoku/>
              <w:wordWrap w:val="0"/>
              <w:overflowPunct/>
              <w:topLinePunct w:val="0"/>
              <w:autoSpaceDE/>
              <w:autoSpaceDN/>
              <w:bidi w:val="0"/>
              <w:adjustRightInd w:val="0"/>
              <w:snapToGrid w:val="0"/>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tc>
        <w:tc>
          <w:tcPr>
            <w:tcW w:w="3690" w:type="dxa"/>
            <w:noWrap w:val="0"/>
            <w:vAlign w:val="center"/>
          </w:tcPr>
          <w:p w14:paraId="7C48B829">
            <w:pPr>
              <w:pageBreakBefore w:val="0"/>
              <w:kinsoku/>
              <w:wordWrap w:val="0"/>
              <w:overflowPunct/>
              <w:topLinePunct w:val="0"/>
              <w:autoSpaceDE/>
              <w:autoSpaceDN/>
              <w:bidi w:val="0"/>
              <w:adjustRightInd w:val="0"/>
              <w:snapToGrid w:val="0"/>
              <w:spacing w:line="360" w:lineRule="auto"/>
              <w:ind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拒绝原因</w:t>
            </w:r>
          </w:p>
        </w:tc>
      </w:tr>
      <w:tr w14:paraId="3057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65" w:type="dxa"/>
            <w:noWrap w:val="0"/>
            <w:vAlign w:val="center"/>
          </w:tcPr>
          <w:p w14:paraId="4336E695">
            <w:pPr>
              <w:pStyle w:val="138"/>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4368" w:type="dxa"/>
            <w:noWrap w:val="0"/>
            <w:vAlign w:val="center"/>
          </w:tcPr>
          <w:p w14:paraId="1374F252">
            <w:pPr>
              <w:pageBreakBefore w:val="0"/>
              <w:tabs>
                <w:tab w:val="left" w:pos="1180"/>
              </w:tabs>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广东宝骏工程咨询有限公司</w:t>
            </w:r>
          </w:p>
        </w:tc>
        <w:tc>
          <w:tcPr>
            <w:tcW w:w="3690" w:type="dxa"/>
            <w:noWrap w:val="0"/>
            <w:vAlign w:val="center"/>
          </w:tcPr>
          <w:p w14:paraId="03F38670">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w:t>
            </w:r>
            <w:r>
              <w:rPr>
                <w:rFonts w:hint="eastAsia" w:ascii="宋体" w:hAnsi="宋体" w:eastAsia="宋体" w:cs="宋体"/>
                <w:color w:val="auto"/>
                <w:sz w:val="24"/>
                <w:szCs w:val="24"/>
                <w:highlight w:val="none"/>
                <w:lang w:val="en-US" w:eastAsia="zh-CN"/>
              </w:rPr>
              <w:t>造价</w:t>
            </w:r>
            <w:r>
              <w:rPr>
                <w:rFonts w:hint="eastAsia" w:ascii="宋体" w:hAnsi="宋体" w:eastAsia="宋体" w:cs="宋体"/>
                <w:color w:val="auto"/>
                <w:sz w:val="24"/>
                <w:szCs w:val="24"/>
                <w:highlight w:val="none"/>
              </w:rPr>
              <w:t>单位</w:t>
            </w:r>
          </w:p>
        </w:tc>
      </w:tr>
      <w:tr w14:paraId="0E4C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65" w:type="dxa"/>
            <w:noWrap w:val="0"/>
            <w:vAlign w:val="center"/>
          </w:tcPr>
          <w:p w14:paraId="69099EE8">
            <w:pPr>
              <w:pStyle w:val="138"/>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p>
        </w:tc>
        <w:tc>
          <w:tcPr>
            <w:tcW w:w="4368" w:type="dxa"/>
            <w:noWrap w:val="0"/>
            <w:vAlign w:val="center"/>
          </w:tcPr>
          <w:p w14:paraId="4F1D218D">
            <w:pPr>
              <w:pageBreakBefore w:val="0"/>
              <w:tabs>
                <w:tab w:val="left" w:pos="1180"/>
              </w:tabs>
              <w:kinsoku/>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海南瑞拓工程勘察设计有限公司</w:t>
            </w:r>
          </w:p>
        </w:tc>
        <w:tc>
          <w:tcPr>
            <w:tcW w:w="3690" w:type="dxa"/>
            <w:noWrap w:val="0"/>
            <w:vAlign w:val="center"/>
          </w:tcPr>
          <w:p w14:paraId="7655CC5B">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为本招标项目的设计单位</w:t>
            </w:r>
          </w:p>
        </w:tc>
      </w:tr>
      <w:tr w14:paraId="4768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65" w:type="dxa"/>
            <w:noWrap w:val="0"/>
            <w:vAlign w:val="center"/>
          </w:tcPr>
          <w:p w14:paraId="1EEFA53E">
            <w:pPr>
              <w:pStyle w:val="138"/>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4368" w:type="dxa"/>
            <w:noWrap w:val="0"/>
            <w:vAlign w:val="center"/>
          </w:tcPr>
          <w:p w14:paraId="50679C12">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eastAsia="zh-CN"/>
              </w:rPr>
              <w:t>广州穗图项目管理有限公司</w:t>
            </w:r>
          </w:p>
        </w:tc>
        <w:tc>
          <w:tcPr>
            <w:tcW w:w="3690" w:type="dxa"/>
            <w:noWrap w:val="0"/>
            <w:vAlign w:val="center"/>
          </w:tcPr>
          <w:p w14:paraId="1ADDACC2">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为本招标项目的招标代理机构</w:t>
            </w:r>
          </w:p>
        </w:tc>
      </w:tr>
      <w:tr w14:paraId="3C11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65" w:type="dxa"/>
            <w:noWrap w:val="0"/>
            <w:vAlign w:val="center"/>
          </w:tcPr>
          <w:p w14:paraId="1E8109E4">
            <w:pPr>
              <w:pStyle w:val="138"/>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p>
        </w:tc>
        <w:tc>
          <w:tcPr>
            <w:tcW w:w="4368" w:type="dxa"/>
            <w:noWrap w:val="0"/>
            <w:vAlign w:val="center"/>
          </w:tcPr>
          <w:p w14:paraId="64368625">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eastAsia="zh-CN"/>
              </w:rPr>
              <w:t>仁化县红山镇水电管理所</w:t>
            </w:r>
          </w:p>
        </w:tc>
        <w:tc>
          <w:tcPr>
            <w:tcW w:w="3690" w:type="dxa"/>
            <w:noWrap w:val="0"/>
            <w:vAlign w:val="center"/>
          </w:tcPr>
          <w:p w14:paraId="2198F98C">
            <w:pPr>
              <w:pStyle w:val="138"/>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为本招标项目的招标人</w:t>
            </w:r>
          </w:p>
        </w:tc>
      </w:tr>
      <w:tr w14:paraId="44FA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65" w:type="dxa"/>
            <w:noWrap w:val="0"/>
            <w:vAlign w:val="center"/>
          </w:tcPr>
          <w:p w14:paraId="462D0013">
            <w:pPr>
              <w:pStyle w:val="138"/>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4368" w:type="dxa"/>
            <w:noWrap w:val="0"/>
            <w:vAlign w:val="center"/>
          </w:tcPr>
          <w:p w14:paraId="53A63BE4">
            <w:pPr>
              <w:pStyle w:val="138"/>
              <w:wordWrap w:val="0"/>
              <w:adjustRightInd w:val="0"/>
              <w:snapToGri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仁化县红山镇人民政府</w:t>
            </w:r>
          </w:p>
        </w:tc>
        <w:tc>
          <w:tcPr>
            <w:tcW w:w="3690" w:type="dxa"/>
            <w:noWrap w:val="0"/>
            <w:vAlign w:val="center"/>
          </w:tcPr>
          <w:p w14:paraId="02D74343">
            <w:pPr>
              <w:pStyle w:val="138"/>
              <w:wordWrap w:val="0"/>
              <w:adjustRightInd w:val="0"/>
              <w:snapToGri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监督单位</w:t>
            </w:r>
          </w:p>
        </w:tc>
      </w:tr>
      <w:tr w14:paraId="3241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65" w:type="dxa"/>
            <w:noWrap w:val="0"/>
            <w:vAlign w:val="center"/>
          </w:tcPr>
          <w:p w14:paraId="272061D0">
            <w:pPr>
              <w:pStyle w:val="138"/>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4368" w:type="dxa"/>
            <w:noWrap w:val="0"/>
            <w:vAlign w:val="center"/>
          </w:tcPr>
          <w:p w14:paraId="4765AB9D">
            <w:pPr>
              <w:pStyle w:val="138"/>
              <w:wordWrap w:val="0"/>
              <w:adjustRightInd w:val="0"/>
              <w:snapToGri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韶关锦成建设工程监理有限公司</w:t>
            </w:r>
          </w:p>
        </w:tc>
        <w:tc>
          <w:tcPr>
            <w:tcW w:w="3690" w:type="dxa"/>
            <w:noWrap w:val="0"/>
            <w:vAlign w:val="center"/>
          </w:tcPr>
          <w:p w14:paraId="14C39424">
            <w:pPr>
              <w:pStyle w:val="138"/>
              <w:wordWrap w:val="0"/>
              <w:adjustRightInd w:val="0"/>
              <w:snapToGrid w:val="0"/>
              <w:spacing w:line="36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w:t>
            </w:r>
            <w:r>
              <w:rPr>
                <w:rFonts w:hint="eastAsia" w:ascii="宋体" w:hAnsi="宋体" w:cs="宋体"/>
                <w:snapToGrid w:val="0"/>
                <w:color w:val="auto"/>
                <w:kern w:val="0"/>
                <w:sz w:val="24"/>
                <w:szCs w:val="24"/>
                <w:highlight w:val="none"/>
                <w:lang w:val="en-US" w:eastAsia="zh-CN"/>
              </w:rPr>
              <w:t>监理单位</w:t>
            </w:r>
          </w:p>
        </w:tc>
      </w:tr>
    </w:tbl>
    <w:p w14:paraId="5E9B2F75">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2.5</w:t>
      </w:r>
      <w:r>
        <w:rPr>
          <w:rFonts w:hint="eastAsia" w:ascii="宋体" w:hAnsi="宋体" w:eastAsia="宋体" w:cs="宋体"/>
          <w:snapToGrid w:val="0"/>
          <w:color w:val="auto"/>
          <w:kern w:val="0"/>
          <w:sz w:val="24"/>
          <w:szCs w:val="24"/>
          <w:highlight w:val="none"/>
        </w:rPr>
        <w:t xml:space="preserve"> 其他要求</w:t>
      </w:r>
    </w:p>
    <w:p w14:paraId="3ED53606">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color w:val="auto"/>
          <w:sz w:val="24"/>
          <w:szCs w:val="24"/>
        </w:rPr>
      </w:pPr>
      <w:r>
        <w:rPr>
          <w:rFonts w:hint="eastAsia" w:ascii="宋体" w:hAnsi="宋体" w:eastAsia="宋体" w:cs="宋体"/>
          <w:snapToGrid w:val="0"/>
          <w:color w:val="auto"/>
          <w:kern w:val="0"/>
          <w:sz w:val="24"/>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bookmarkStart w:id="44" w:name="_Toc22815"/>
      <w:bookmarkStart w:id="45" w:name="_Toc7546"/>
      <w:bookmarkStart w:id="46" w:name="_Toc6745"/>
      <w:bookmarkStart w:id="47" w:name="_Toc4046"/>
    </w:p>
    <w:p w14:paraId="09B3CBD5">
      <w:pPr>
        <w:rPr>
          <w:rFonts w:hint="eastAsia" w:ascii="宋体" w:hAnsi="宋体" w:eastAsia="宋体" w:cs="宋体"/>
          <w:color w:val="auto"/>
        </w:rPr>
      </w:pPr>
    </w:p>
    <w:p w14:paraId="50A33841">
      <w:pPr>
        <w:pStyle w:val="5"/>
        <w:keepNext/>
        <w:keepLines/>
        <w:pageBreakBefore w:val="0"/>
        <w:widowControl/>
        <w:kinsoku/>
        <w:wordWrap/>
        <w:overflowPunct/>
        <w:topLinePunct w:val="0"/>
        <w:autoSpaceDE/>
        <w:autoSpaceDN/>
        <w:bidi w:val="0"/>
        <w:adjustRightInd/>
        <w:snapToGrid/>
        <w:spacing w:beforeLines="0" w:afterLines="0" w:line="360" w:lineRule="auto"/>
        <w:ind w:left="0" w:leftChars="0" w:right="0" w:firstLine="482"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3．招标文件的获取</w:t>
      </w:r>
      <w:bookmarkEnd w:id="44"/>
      <w:bookmarkEnd w:id="45"/>
      <w:bookmarkEnd w:id="46"/>
      <w:bookmarkEnd w:id="47"/>
    </w:p>
    <w:p w14:paraId="1562302D">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3.1 </w:t>
      </w:r>
      <w:r>
        <w:rPr>
          <w:rFonts w:hint="eastAsia" w:ascii="宋体" w:hAnsi="宋体" w:eastAsia="宋体" w:cs="宋体"/>
          <w:snapToGrid w:val="0"/>
          <w:color w:val="auto"/>
          <w:kern w:val="0"/>
          <w:sz w:val="24"/>
          <w:szCs w:val="24"/>
          <w:highlight w:val="none"/>
        </w:rPr>
        <w:t>本次招标实行电子投标。</w:t>
      </w:r>
    </w:p>
    <w:p w14:paraId="5028BEF8">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本次招标实行电子投标。本项目招标文件随招标公告一并在</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网站发布。招标文件一经在</w:t>
      </w:r>
      <w:r>
        <w:rPr>
          <w:rFonts w:hint="eastAsia" w:ascii="宋体" w:hAnsi="宋体" w:eastAsia="宋体" w:cs="宋体"/>
          <w:snapToGrid w:val="0"/>
          <w:color w:val="auto"/>
          <w:kern w:val="0"/>
          <w:sz w:val="24"/>
          <w:szCs w:val="24"/>
          <w:highlight w:val="none"/>
          <w:lang w:eastAsia="zh-CN"/>
        </w:rPr>
        <w:t>全国公共资源交易平台（广东省·韶关市）</w:t>
      </w:r>
      <w:r>
        <w:rPr>
          <w:rFonts w:hint="eastAsia" w:ascii="宋体" w:hAnsi="宋体" w:eastAsia="宋体" w:cs="宋体"/>
          <w:snapToGrid w:val="0"/>
          <w:color w:val="auto"/>
          <w:kern w:val="0"/>
          <w:sz w:val="24"/>
          <w:szCs w:val="24"/>
          <w:highlight w:val="none"/>
        </w:rPr>
        <w:t>发布，视为</w:t>
      </w:r>
      <w:r>
        <w:rPr>
          <w:rFonts w:hint="eastAsia" w:ascii="宋体" w:hAnsi="宋体" w:eastAsia="宋体" w:cs="宋体"/>
          <w:snapToGrid w:val="0"/>
          <w:color w:val="auto"/>
          <w:kern w:val="0"/>
          <w:sz w:val="24"/>
          <w:szCs w:val="24"/>
          <w:highlight w:val="none"/>
          <w:lang w:eastAsia="zh-CN"/>
        </w:rPr>
        <w:t>发送</w:t>
      </w:r>
      <w:r>
        <w:rPr>
          <w:rFonts w:hint="eastAsia" w:ascii="宋体" w:hAnsi="宋体" w:eastAsia="宋体" w:cs="宋体"/>
          <w:snapToGrid w:val="0"/>
          <w:color w:val="auto"/>
          <w:kern w:val="0"/>
          <w:sz w:val="24"/>
          <w:szCs w:val="24"/>
          <w:highlight w:val="none"/>
        </w:rPr>
        <w:t>投标人，招标文件及相关附件由投标人自行在</w:t>
      </w:r>
      <w:r>
        <w:rPr>
          <w:rFonts w:hint="eastAsia" w:ascii="宋体" w:hAnsi="宋体" w:eastAsia="宋体" w:cs="宋体"/>
          <w:snapToGrid w:val="0"/>
          <w:color w:val="auto"/>
          <w:kern w:val="0"/>
          <w:sz w:val="24"/>
          <w:szCs w:val="24"/>
          <w:highlight w:val="none"/>
          <w:lang w:eastAsia="zh-CN"/>
        </w:rPr>
        <w:t>全国公共资源交易平台（广东省·韶关市）</w:t>
      </w:r>
      <w:r>
        <w:rPr>
          <w:rFonts w:hint="eastAsia" w:ascii="宋体" w:hAnsi="宋体" w:eastAsia="宋体" w:cs="宋体"/>
          <w:snapToGrid w:val="0"/>
          <w:color w:val="auto"/>
          <w:kern w:val="0"/>
          <w:sz w:val="24"/>
          <w:szCs w:val="24"/>
          <w:highlight w:val="none"/>
        </w:rPr>
        <w:t>网站下载。请于招标文件获取期间,（见本章第二节“重要事项时间地点一览表”）招标文件获取期间与招标公告发布时间一致，投标人须登录</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，使用新建设工程交易系统进行下载招标文件及相关附件，并于电子投标截止时间（见本章第二节“重要事项时间地点一览表”）前完成电子投标。投标人可登录</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，在【</w:t>
      </w:r>
      <w:r>
        <w:rPr>
          <w:rFonts w:hint="eastAsia" w:ascii="宋体" w:hAnsi="宋体" w:eastAsia="宋体" w:cs="宋体"/>
          <w:snapToGrid w:val="0"/>
          <w:color w:val="auto"/>
          <w:kern w:val="0"/>
          <w:sz w:val="24"/>
          <w:szCs w:val="24"/>
          <w:highlight w:val="none"/>
          <w:lang w:val="en-US" w:eastAsia="zh-CN"/>
        </w:rPr>
        <w:t>服务指南</w:t>
      </w:r>
      <w:r>
        <w:rPr>
          <w:rFonts w:hint="eastAsia" w:ascii="宋体" w:hAnsi="宋体" w:eastAsia="宋体" w:cs="宋体"/>
          <w:snapToGrid w:val="0"/>
          <w:color w:val="auto"/>
          <w:kern w:val="0"/>
          <w:sz w:val="24"/>
          <w:szCs w:val="24"/>
          <w:highlight w:val="none"/>
        </w:rPr>
        <w:t>】栏目中建设工程交易中下载《韶关市公共资源一体化平台——建设工程交易投标人操作指南（电子评标）》（附件</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），了解网上获取招标文件操作流程。技术咨询电话：0751-8379671 伍先生，业务咨询电话：0751-8633211、8379023。</w:t>
      </w:r>
    </w:p>
    <w:p w14:paraId="04BC3524">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3.2 </w:t>
      </w:r>
      <w:r>
        <w:rPr>
          <w:rFonts w:hint="eastAsia" w:ascii="宋体" w:hAnsi="宋体" w:eastAsia="宋体" w:cs="宋体"/>
          <w:snapToGrid w:val="0"/>
          <w:color w:val="auto"/>
          <w:kern w:val="0"/>
          <w:sz w:val="24"/>
          <w:szCs w:val="24"/>
          <w:highlight w:val="none"/>
        </w:rPr>
        <w:t>只有申领了数字证书（CA）、“粤企签”或GDCA/SZCA/NETCA等符合法律法规规定的电子印章，并在交易系统中完成企业信息数据入库的投标人，方可使用建设工程交易系统进行招标文件及附件获取和电子投标。</w:t>
      </w:r>
    </w:p>
    <w:p w14:paraId="0F65984B">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首次在韶关市参与建设工程招标投标活动的投标人，必须在平台系统上传企业相关资料办理企业入库事宜。投标人可登录</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办理办理企业入库、数字证书及电子印章事宜，具体请在平台查阅相应的交易指引。</w:t>
      </w:r>
    </w:p>
    <w:p w14:paraId="355CC6E4">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6EA60F7D">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5533CA0C">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投标保证</w:t>
      </w:r>
    </w:p>
    <w:p w14:paraId="0941DE31">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3.3.1</w:t>
      </w:r>
      <w:r>
        <w:rPr>
          <w:rFonts w:hint="eastAsia" w:ascii="宋体" w:hAnsi="宋体" w:eastAsia="宋体" w:cs="宋体"/>
          <w:snapToGrid w:val="0"/>
          <w:color w:val="auto"/>
          <w:kern w:val="0"/>
          <w:sz w:val="24"/>
          <w:szCs w:val="24"/>
          <w:highlight w:val="none"/>
        </w:rPr>
        <w:t xml:space="preserve"> 投标人须缴纳金额为人民币</w:t>
      </w:r>
      <w:r>
        <w:rPr>
          <w:rFonts w:hint="eastAsia" w:hAnsi="宋体" w:cs="宋体"/>
          <w:b/>
          <w:bCs/>
          <w:snapToGrid w:val="0"/>
          <w:color w:val="auto"/>
          <w:kern w:val="0"/>
          <w:sz w:val="24"/>
          <w:szCs w:val="24"/>
          <w:highlight w:val="none"/>
          <w:u w:val="single"/>
          <w:lang w:val="en-US" w:eastAsia="zh-CN"/>
        </w:rPr>
        <w:t>2</w:t>
      </w:r>
      <w:r>
        <w:rPr>
          <w:rFonts w:hint="eastAsia" w:ascii="宋体" w:hAnsi="宋体" w:eastAsia="宋体" w:cs="宋体"/>
          <w:b/>
          <w:bCs/>
          <w:snapToGrid w:val="0"/>
          <w:color w:val="auto"/>
          <w:kern w:val="0"/>
          <w:sz w:val="24"/>
          <w:szCs w:val="24"/>
          <w:highlight w:val="none"/>
          <w:u w:val="single"/>
          <w:lang w:val="en-US" w:eastAsia="zh-CN"/>
        </w:rPr>
        <w:t>万元</w:t>
      </w:r>
      <w:r>
        <w:rPr>
          <w:rFonts w:hint="eastAsia" w:ascii="宋体" w:hAnsi="宋体" w:eastAsia="宋体" w:cs="宋体"/>
          <w:snapToGrid w:val="0"/>
          <w:color w:val="auto"/>
          <w:kern w:val="0"/>
          <w:sz w:val="24"/>
          <w:szCs w:val="24"/>
          <w:highlight w:val="none"/>
        </w:rPr>
        <w:t xml:space="preserve">的投标保证。  </w:t>
      </w:r>
    </w:p>
    <w:p w14:paraId="0D951ABB">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3.3.2</w:t>
      </w:r>
      <w:r>
        <w:rPr>
          <w:rFonts w:hint="eastAsia" w:ascii="宋体" w:hAnsi="宋体" w:eastAsia="宋体" w:cs="宋体"/>
          <w:snapToGrid w:val="0"/>
          <w:color w:val="auto"/>
          <w:kern w:val="0"/>
          <w:sz w:val="24"/>
          <w:szCs w:val="24"/>
          <w:highlight w:val="none"/>
        </w:rPr>
        <w:t xml:space="preserve"> 投标保证的形式包括投标保证金、投标保证担保、投标保证保险三种，由投标人自主选择。</w:t>
      </w:r>
    </w:p>
    <w:p w14:paraId="469F208C">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47608B81">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采用投标保证担保的，投标人应提交有效的电子保函或保证保险，电子保函或保证保险的有效期不得短于投标有效期。投标人必须在投标保证担保截止时间（见本章第二节“重要事项时间地点一览表”）前，使用工程建设交易系统完成网上办理电子保函或保证保险。</w:t>
      </w:r>
    </w:p>
    <w:p w14:paraId="13E6C517">
      <w:pPr>
        <w:pageBreakBefore w:val="0"/>
        <w:tabs>
          <w:tab w:val="left" w:pos="7020"/>
        </w:tabs>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在【服务指南】栏目中下载《韶关市公共资源建设工程交易系统-投标人操作指南》，了解网上投保具体操作流程。逾期投保的，其投标无效。</w:t>
      </w:r>
      <w:r>
        <w:rPr>
          <w:rFonts w:hint="eastAsia" w:ascii="宋体" w:hAnsi="宋体" w:eastAsia="宋体" w:cs="宋体"/>
          <w:color w:val="auto"/>
          <w:sz w:val="24"/>
          <w:szCs w:val="24"/>
          <w:highlight w:val="none"/>
        </w:rPr>
        <w:t xml:space="preserve">    </w:t>
      </w:r>
    </w:p>
    <w:p w14:paraId="7D1E5CAA">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7026"/>
        </w:tabs>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宋体" w:hAnsi="宋体" w:eastAsia="宋体" w:cs="宋体"/>
          <w:color w:val="auto"/>
        </w:rPr>
      </w:pPr>
      <w:r>
        <w:rPr>
          <w:rFonts w:hint="eastAsia" w:ascii="宋体" w:hAnsi="宋体" w:eastAsia="宋体" w:cs="宋体"/>
          <w:snapToGrid w:val="0"/>
          <w:color w:val="auto"/>
          <w:kern w:val="0"/>
          <w:sz w:val="24"/>
          <w:szCs w:val="24"/>
          <w:highlight w:val="none"/>
        </w:rPr>
        <w:t>温馨提醒：</w:t>
      </w:r>
      <w:r>
        <w:rPr>
          <w:rFonts w:hint="eastAsia" w:ascii="宋体" w:hAnsi="宋体" w:eastAsia="宋体" w:cs="宋体"/>
          <w:color w:val="auto"/>
          <w:sz w:val="24"/>
          <w:szCs w:val="24"/>
        </w:rPr>
        <w:t>1.投标人采用投标保证担保或投标保证保险的，为避免在评标过程中因有效期发生争议，建议投标人将银行保函或电子保单有效期设置为较招标文件规定的投标有效期延长不少于20个日历天。</w:t>
      </w:r>
    </w:p>
    <w:p w14:paraId="62682BE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7026"/>
        </w:tabs>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hint="eastAsia" w:ascii="宋体" w:hAnsi="宋体" w:eastAsia="宋体" w:cs="宋体"/>
          <w:color w:val="auto"/>
        </w:rPr>
      </w:pPr>
      <w:r>
        <w:rPr>
          <w:rFonts w:hint="eastAsia" w:ascii="宋体" w:hAnsi="宋体" w:eastAsia="宋体" w:cs="宋体"/>
          <w:color w:val="auto"/>
          <w:sz w:val="24"/>
          <w:szCs w:val="24"/>
        </w:rPr>
        <w:t>2.根据《建设工程质量保证金管理办法》等有关规定，发包人应按照合同约定方式预留保证金（按规定，比例不得高于工程价款结算总额的3%）。合同约定由承包人以银行保函替代预留保证金的，保函金额不得高于工程价款结算总额的3%。</w:t>
      </w:r>
    </w:p>
    <w:p w14:paraId="76A40EF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7026"/>
        </w:tabs>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hint="eastAsia" w:ascii="宋体" w:hAnsi="宋体" w:eastAsia="宋体" w:cs="宋体"/>
          <w:color w:val="auto"/>
        </w:rPr>
      </w:pPr>
      <w:r>
        <w:rPr>
          <w:rFonts w:hint="eastAsia" w:ascii="宋体" w:hAnsi="宋体" w:eastAsia="宋体" w:cs="宋体"/>
          <w:color w:val="auto"/>
          <w:sz w:val="24"/>
          <w:szCs w:val="24"/>
        </w:rPr>
        <w:t>3.根据《保障农民工工资支付条例》，发包人必须落实工程款支付担保制度，需有项目预付款。2017年2月，国务院出台《关于促进建筑业持续健康发展的意见》，要求“严格执行工程预付款制度，及时按合同约定足额向承包单位支付预付款。通过工程款支付担保等经济、法律手段约束建设单位履约行为，预防拖欠工程款。”</w:t>
      </w:r>
    </w:p>
    <w:p w14:paraId="6A8AEEFC">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7026"/>
        </w:tabs>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color w:val="auto"/>
          <w:sz w:val="24"/>
          <w:szCs w:val="24"/>
        </w:rPr>
        <w:t>4.根据《关于印发广东省根治欠薪冬季专项行动工作方案的通知》（粤治欠办函〔2021〕49号）要求，鼓励项目采用担保，担保形式可包括银行保函、工程保证保险以及专业工程担保公司保函等。</w:t>
      </w:r>
    </w:p>
    <w:p w14:paraId="148B7AEB">
      <w:pPr>
        <w:pageBreakBefore w:val="0"/>
        <w:tabs>
          <w:tab w:val="left" w:pos="7020"/>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3.4</w:t>
      </w:r>
      <w:r>
        <w:rPr>
          <w:rFonts w:hint="eastAsia" w:ascii="宋体" w:hAnsi="宋体" w:eastAsia="宋体" w:cs="宋体"/>
          <w:snapToGrid w:val="0"/>
          <w:color w:val="auto"/>
          <w:kern w:val="0"/>
          <w:sz w:val="24"/>
          <w:szCs w:val="24"/>
          <w:highlight w:val="none"/>
        </w:rPr>
        <w:t xml:space="preserve"> 若投标人因自身原因未能正确完成</w:t>
      </w:r>
      <w:r>
        <w:rPr>
          <w:rFonts w:hint="eastAsia" w:ascii="宋体" w:hAnsi="宋体" w:eastAsia="宋体" w:cs="宋体"/>
          <w:snapToGrid w:val="0"/>
          <w:color w:val="auto"/>
          <w:kern w:val="0"/>
          <w:sz w:val="24"/>
          <w:szCs w:val="24"/>
          <w:highlight w:val="none"/>
          <w:lang w:eastAsia="zh-CN"/>
        </w:rPr>
        <w:t>获取招标文件</w:t>
      </w:r>
      <w:r>
        <w:rPr>
          <w:rFonts w:hint="eastAsia" w:ascii="宋体" w:hAnsi="宋体" w:eastAsia="宋体" w:cs="宋体"/>
          <w:snapToGrid w:val="0"/>
          <w:color w:val="auto"/>
          <w:kern w:val="0"/>
          <w:sz w:val="24"/>
          <w:szCs w:val="24"/>
          <w:highlight w:val="none"/>
        </w:rPr>
        <w:t>、电子投标、缴纳投标保证的，其投标无效。</w:t>
      </w:r>
    </w:p>
    <w:p w14:paraId="0D225CE9">
      <w:pPr>
        <w:pageBreakBefore w:val="0"/>
        <w:numPr>
          <w:ilvl w:val="0"/>
          <w:numId w:val="0"/>
        </w:numPr>
        <w:tabs>
          <w:tab w:val="left" w:pos="288"/>
        </w:tabs>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lang w:val="en-US" w:eastAsia="zh-CN" w:bidi="ar-SA"/>
        </w:rPr>
      </w:pPr>
    </w:p>
    <w:p w14:paraId="53AE0C50">
      <w:pPr>
        <w:pStyle w:val="5"/>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color w:val="auto"/>
          <w:sz w:val="24"/>
          <w:szCs w:val="24"/>
        </w:rPr>
      </w:pPr>
      <w:bookmarkStart w:id="48" w:name="_Toc10093"/>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工期要求</w:t>
      </w:r>
      <w:bookmarkEnd w:id="48"/>
      <w:bookmarkStart w:id="49" w:name="_Toc7508"/>
    </w:p>
    <w:p w14:paraId="271E14BC">
      <w:pPr>
        <w:pStyle w:val="2"/>
        <w:keepNext/>
        <w:keepLines/>
        <w:pageBreakBefore w:val="0"/>
        <w:widowControl w:val="0"/>
        <w:kinsoku/>
        <w:wordWrap/>
        <w:overflowPunct/>
        <w:topLinePunct w:val="0"/>
        <w:autoSpaceDE/>
        <w:autoSpaceDN/>
        <w:bidi w:val="0"/>
        <w:adjustRightInd/>
        <w:snapToGrid/>
        <w:spacing w:before="0" w:beforeLines="0" w:after="0" w:afterLines="0" w:line="360" w:lineRule="auto"/>
        <w:ind w:left="0" w:leftChars="0" w:right="0" w:firstLine="480" w:firstLineChars="200"/>
        <w:textAlignment w:val="auto"/>
        <w:rPr>
          <w:rFonts w:hint="eastAsia" w:ascii="宋体" w:hAnsi="宋体" w:eastAsia="宋体" w:cs="宋体"/>
          <w:b w:val="0"/>
          <w:bCs/>
          <w:snapToGrid w:val="0"/>
          <w:color w:val="auto"/>
          <w:sz w:val="24"/>
          <w:szCs w:val="24"/>
          <w:highlight w:val="none"/>
          <w:lang w:val="en-US" w:eastAsia="zh-CN"/>
        </w:rPr>
      </w:pPr>
      <w:bookmarkStart w:id="50" w:name="_Toc16606"/>
      <w:bookmarkStart w:id="51" w:name="_Toc3615"/>
      <w:r>
        <w:rPr>
          <w:rFonts w:hint="eastAsia" w:ascii="宋体" w:hAnsi="宋体" w:eastAsia="宋体" w:cs="宋体"/>
          <w:b w:val="0"/>
          <w:bCs/>
          <w:snapToGrid w:val="0"/>
          <w:color w:val="auto"/>
          <w:sz w:val="24"/>
          <w:szCs w:val="24"/>
          <w:highlight w:val="none"/>
        </w:rPr>
        <w:t>本招标项目施工工期为</w:t>
      </w:r>
      <w:r>
        <w:rPr>
          <w:rFonts w:hint="eastAsia" w:ascii="宋体" w:hAnsi="宋体" w:cs="宋体"/>
          <w:b w:val="0"/>
          <w:bCs/>
          <w:snapToGrid w:val="0"/>
          <w:color w:val="auto"/>
          <w:sz w:val="24"/>
          <w:szCs w:val="24"/>
          <w:highlight w:val="none"/>
          <w:u w:val="single"/>
          <w:lang w:val="en-US" w:eastAsia="zh-CN"/>
        </w:rPr>
        <w:t>90</w:t>
      </w:r>
      <w:r>
        <w:rPr>
          <w:rFonts w:hint="eastAsia" w:ascii="宋体" w:hAnsi="宋体" w:eastAsia="宋体" w:cs="宋体"/>
          <w:b w:val="0"/>
          <w:bCs/>
          <w:snapToGrid w:val="0"/>
          <w:color w:val="auto"/>
          <w:sz w:val="24"/>
          <w:szCs w:val="24"/>
          <w:highlight w:val="none"/>
        </w:rPr>
        <w:t>个日历天</w:t>
      </w:r>
      <w:r>
        <w:rPr>
          <w:rFonts w:hint="eastAsia" w:ascii="宋体" w:hAnsi="宋体" w:eastAsia="宋体" w:cs="宋体"/>
          <w:b w:val="0"/>
          <w:bCs/>
          <w:snapToGrid w:val="0"/>
          <w:color w:val="auto"/>
          <w:sz w:val="24"/>
          <w:szCs w:val="24"/>
          <w:highlight w:val="none"/>
          <w:lang w:eastAsia="zh-CN"/>
        </w:rPr>
        <w:t>，</w:t>
      </w:r>
      <w:r>
        <w:rPr>
          <w:rFonts w:hint="eastAsia" w:ascii="宋体" w:hAnsi="宋体" w:eastAsia="宋体" w:cs="宋体"/>
          <w:b w:val="0"/>
          <w:bCs/>
          <w:snapToGrid w:val="0"/>
          <w:color w:val="auto"/>
          <w:sz w:val="24"/>
          <w:szCs w:val="24"/>
          <w:highlight w:val="none"/>
          <w:lang w:val="en-US" w:eastAsia="zh-CN"/>
        </w:rPr>
        <w:t>中标人必须在招标工期内完成招标范围内的全部内容。</w:t>
      </w:r>
    </w:p>
    <w:p w14:paraId="37EC3B82">
      <w:pPr>
        <w:rPr>
          <w:rFonts w:hint="eastAsia" w:ascii="宋体" w:hAnsi="宋体" w:eastAsia="宋体" w:cs="宋体"/>
          <w:color w:val="auto"/>
          <w:sz w:val="13"/>
          <w:szCs w:val="8"/>
        </w:rPr>
      </w:pPr>
      <w:bookmarkStart w:id="52" w:name="_Toc762"/>
    </w:p>
    <w:p w14:paraId="7DA76FA1">
      <w:pPr>
        <w:pStyle w:val="5"/>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color w:val="auto"/>
          <w:sz w:val="24"/>
          <w:szCs w:val="24"/>
        </w:rPr>
      </w:pPr>
      <w:r>
        <w:rPr>
          <w:rFonts w:hint="eastAsia" w:ascii="宋体" w:hAnsi="宋体" w:eastAsia="宋体" w:cs="宋体"/>
          <w:color w:val="auto"/>
          <w:sz w:val="24"/>
          <w:szCs w:val="24"/>
        </w:rPr>
        <w:t>5．质量标准和材料、机械要求</w:t>
      </w:r>
      <w:bookmarkEnd w:id="49"/>
      <w:bookmarkEnd w:id="50"/>
      <w:bookmarkEnd w:id="51"/>
      <w:bookmarkEnd w:id="52"/>
    </w:p>
    <w:p w14:paraId="6A1DD7B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5.1</w:t>
      </w:r>
      <w:r>
        <w:rPr>
          <w:rFonts w:hint="eastAsia" w:ascii="宋体" w:hAnsi="宋体" w:eastAsia="宋体" w:cs="宋体"/>
          <w:snapToGrid w:val="0"/>
          <w:color w:val="auto"/>
          <w:kern w:val="0"/>
          <w:sz w:val="24"/>
          <w:szCs w:val="24"/>
          <w:highlight w:val="none"/>
        </w:rPr>
        <w:t xml:space="preserve"> 施工工艺严格按照国家和广东省的有关现行施工技术规范及标准执行，工程质量标准须达到</w:t>
      </w:r>
      <w:r>
        <w:rPr>
          <w:rFonts w:hint="eastAsia" w:ascii="宋体" w:hAnsi="宋体" w:eastAsia="宋体" w:cs="宋体"/>
          <w:snapToGrid w:val="0"/>
          <w:color w:val="auto"/>
          <w:kern w:val="0"/>
          <w:sz w:val="24"/>
          <w:szCs w:val="24"/>
          <w:highlight w:val="none"/>
          <w:u w:val="single"/>
          <w:lang w:val="en-US" w:eastAsia="zh-CN"/>
        </w:rPr>
        <w:t>符合现行国家有关工程施工质量验收规范和标准的要求，质量目标达到合格</w:t>
      </w:r>
      <w:r>
        <w:rPr>
          <w:rFonts w:hint="eastAsia" w:ascii="宋体" w:hAnsi="宋体" w:eastAsia="宋体" w:cs="宋体"/>
          <w:snapToGrid w:val="0"/>
          <w:color w:val="auto"/>
          <w:kern w:val="0"/>
          <w:sz w:val="24"/>
          <w:szCs w:val="24"/>
          <w:highlight w:val="none"/>
          <w:u w:val="single"/>
        </w:rPr>
        <w:t>。如未达到合格标准，则按合同价款的 1 %向招标人返纳质量违约金，并由中标人负责返修至合格标准，返修费用由中标人承担，同时承担所有的责任及经济损失。</w:t>
      </w:r>
    </w:p>
    <w:p w14:paraId="384D25AC">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5.2</w:t>
      </w:r>
      <w:r>
        <w:rPr>
          <w:rFonts w:hint="eastAsia" w:ascii="宋体" w:hAnsi="宋体" w:eastAsia="宋体" w:cs="宋体"/>
          <w:snapToGrid w:val="0"/>
          <w:color w:val="auto"/>
          <w:kern w:val="0"/>
          <w:sz w:val="24"/>
          <w:szCs w:val="24"/>
          <w:highlight w:val="none"/>
        </w:rPr>
        <w:t xml:space="preserve"> 中标人在施工中如果工程质量不符合设计要求和有关规定，招标人或监理单位要求停工和返工的必须立即执行，并承担由此产生的各种费用，工期不予顺延。</w:t>
      </w:r>
    </w:p>
    <w:p w14:paraId="21E1F180">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5.3</w:t>
      </w:r>
      <w:r>
        <w:rPr>
          <w:rFonts w:hint="eastAsia" w:ascii="宋体" w:hAnsi="宋体" w:eastAsia="宋体" w:cs="宋体"/>
          <w:snapToGrid w:val="0"/>
          <w:color w:val="auto"/>
          <w:kern w:val="0"/>
          <w:sz w:val="24"/>
          <w:szCs w:val="24"/>
          <w:highlight w:val="none"/>
        </w:rPr>
        <w:t xml:space="preserve"> 保修期限按《建设工程质量管理条例》（中华人民共和国国务院令第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73DF636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5.4</w:t>
      </w:r>
      <w:r>
        <w:rPr>
          <w:rFonts w:hint="eastAsia" w:ascii="宋体" w:hAnsi="宋体" w:eastAsia="宋体" w:cs="宋体"/>
          <w:snapToGrid w:val="0"/>
          <w:color w:val="auto"/>
          <w:kern w:val="0"/>
          <w:sz w:val="24"/>
          <w:szCs w:val="24"/>
          <w:highlight w:val="none"/>
        </w:rPr>
        <w:t xml:space="preserve"> 工程使用的主要材料质量要求不低于招标工程量清单所列的要求。主要材料必须先提供样板给招标人确定其颜色、等级等，</w:t>
      </w:r>
      <w:r>
        <w:rPr>
          <w:rFonts w:hint="eastAsia" w:ascii="宋体" w:hAnsi="宋体" w:eastAsia="宋体" w:cs="宋体"/>
          <w:snapToGrid w:val="0"/>
          <w:color w:val="auto"/>
          <w:kern w:val="0"/>
          <w:sz w:val="24"/>
          <w:szCs w:val="24"/>
          <w:highlight w:val="none"/>
          <w:lang w:val="zh-CN"/>
        </w:rPr>
        <w:t>并经检测部门检测合格</w:t>
      </w:r>
      <w:r>
        <w:rPr>
          <w:rFonts w:hint="eastAsia" w:ascii="宋体" w:hAnsi="宋体" w:eastAsia="宋体" w:cs="宋体"/>
          <w:snapToGrid w:val="0"/>
          <w:color w:val="auto"/>
          <w:kern w:val="0"/>
          <w:sz w:val="24"/>
          <w:szCs w:val="24"/>
          <w:highlight w:val="none"/>
        </w:rPr>
        <w:t>方可使用，所有材料必须使用合格产品。</w:t>
      </w:r>
    </w:p>
    <w:p w14:paraId="5453B2A0">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i/>
          <w:iCs/>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rPr>
        <w:t>5.5</w:t>
      </w:r>
      <w:r>
        <w:rPr>
          <w:rFonts w:hint="eastAsia" w:ascii="宋体" w:hAnsi="宋体" w:eastAsia="宋体" w:cs="宋体"/>
          <w:snapToGrid w:val="0"/>
          <w:color w:val="auto"/>
          <w:kern w:val="0"/>
          <w:sz w:val="24"/>
          <w:szCs w:val="24"/>
          <w:highlight w:val="none"/>
        </w:rPr>
        <w:t xml:space="preserve"> 根据韶关市人民政府《关于加快推进全市绿色建筑发展工作的通知》（韶府办明电〔2013〕277号）有关规定，本招标项目</w:t>
      </w:r>
      <w:r>
        <w:rPr>
          <w:rFonts w:hint="eastAsia" w:ascii="宋体" w:hAnsi="宋体" w:eastAsia="宋体" w:cs="宋体"/>
          <w:snapToGrid w:val="0"/>
          <w:color w:val="auto"/>
          <w:kern w:val="0"/>
          <w:sz w:val="24"/>
          <w:szCs w:val="24"/>
          <w:highlight w:val="none"/>
          <w:lang w:val="en-US" w:eastAsia="zh-CN"/>
        </w:rPr>
        <w:t>不</w:t>
      </w:r>
      <w:r>
        <w:rPr>
          <w:rFonts w:hint="eastAsia" w:ascii="宋体" w:hAnsi="宋体" w:eastAsia="宋体" w:cs="宋体"/>
          <w:snapToGrid w:val="0"/>
          <w:color w:val="auto"/>
          <w:kern w:val="0"/>
          <w:sz w:val="24"/>
          <w:szCs w:val="24"/>
          <w:highlight w:val="none"/>
        </w:rPr>
        <w:t>纳入绿色建设实施范围</w:t>
      </w:r>
      <w:r>
        <w:rPr>
          <w:rFonts w:hint="eastAsia" w:ascii="宋体" w:hAnsi="宋体" w:eastAsia="宋体" w:cs="宋体"/>
          <w:snapToGrid w:val="0"/>
          <w:color w:val="auto"/>
          <w:kern w:val="0"/>
          <w:sz w:val="24"/>
          <w:szCs w:val="24"/>
          <w:highlight w:val="none"/>
          <w:lang w:eastAsia="zh-CN"/>
        </w:rPr>
        <w:t>。</w:t>
      </w:r>
    </w:p>
    <w:p w14:paraId="6BBD86A2">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bookmarkStart w:id="53" w:name="_Hlt111690342"/>
      <w:bookmarkEnd w:id="53"/>
      <w:bookmarkStart w:id="54" w:name="_Hlt88974078"/>
      <w:bookmarkEnd w:id="54"/>
      <w:bookmarkStart w:id="55" w:name="_Hlt69699204"/>
      <w:bookmarkEnd w:id="55"/>
      <w:bookmarkStart w:id="56" w:name="_Hlt74496537"/>
      <w:bookmarkEnd w:id="56"/>
      <w:bookmarkStart w:id="57" w:name="_Hlt120502666"/>
      <w:bookmarkEnd w:id="57"/>
      <w:bookmarkStart w:id="58" w:name="_Hlt74493474"/>
      <w:bookmarkEnd w:id="58"/>
      <w:bookmarkStart w:id="59" w:name="_Hlt121563076"/>
      <w:bookmarkEnd w:id="59"/>
      <w:bookmarkStart w:id="60" w:name="_Hlt69356505"/>
      <w:bookmarkEnd w:id="60"/>
      <w:bookmarkStart w:id="61" w:name="_Toc2679"/>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主要材料和设备在使用之前通知监理工程师验收，经验收合格后方可使用。</w:t>
      </w:r>
    </w:p>
    <w:p w14:paraId="77196407">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snapToGrid w:val="0"/>
          <w:color w:val="auto"/>
          <w:sz w:val="24"/>
          <w:szCs w:val="24"/>
          <w:highlight w:val="none"/>
        </w:rPr>
      </w:pPr>
      <w:r>
        <w:rPr>
          <w:rFonts w:hint="eastAsia" w:ascii="宋体" w:hAnsi="宋体" w:eastAsia="宋体" w:cs="宋体"/>
          <w:b/>
          <w:bCs/>
          <w:snapToGrid w:val="0"/>
          <w:color w:val="auto"/>
          <w:kern w:val="0"/>
          <w:sz w:val="24"/>
          <w:szCs w:val="24"/>
          <w:highlight w:val="none"/>
        </w:rPr>
        <w:t>5.</w:t>
      </w: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工程使用的主要材料质量要求：不低于强制标准所列的要求，主要材料必须先提供样板或相关资料给招标人同意确定其规格、型号、颜色、等级等，</w:t>
      </w:r>
      <w:r>
        <w:rPr>
          <w:rFonts w:hint="eastAsia" w:ascii="宋体" w:hAnsi="宋体" w:eastAsia="宋体" w:cs="宋体"/>
          <w:color w:val="auto"/>
          <w:sz w:val="24"/>
          <w:szCs w:val="24"/>
          <w:highlight w:val="none"/>
          <w:lang w:val="zh-CN"/>
        </w:rPr>
        <w:t>并经发包人委托的第三方检测部门检测合格</w:t>
      </w:r>
      <w:r>
        <w:rPr>
          <w:rFonts w:hint="eastAsia" w:ascii="宋体" w:hAnsi="宋体" w:eastAsia="宋体" w:cs="宋体"/>
          <w:color w:val="auto"/>
          <w:sz w:val="24"/>
          <w:szCs w:val="24"/>
          <w:highlight w:val="none"/>
        </w:rPr>
        <w:t>方可使用，所有材料必须使用合格产品。</w:t>
      </w:r>
      <w:bookmarkStart w:id="62" w:name="_Toc2752"/>
      <w:bookmarkStart w:id="63" w:name="_Toc26469"/>
    </w:p>
    <w:p w14:paraId="08FCA397">
      <w:pPr>
        <w:pStyle w:val="4"/>
        <w:pageBreakBefore w:val="0"/>
        <w:kinsoku/>
        <w:wordWrap w:val="0"/>
        <w:overflowPunct/>
        <w:topLinePunct w:val="0"/>
        <w:autoSpaceDE/>
        <w:autoSpaceDN/>
        <w:bidi w:val="0"/>
        <w:snapToGrid w:val="0"/>
        <w:spacing w:line="360" w:lineRule="auto"/>
        <w:ind w:left="0" w:leftChars="0" w:right="0" w:firstLine="482" w:firstLineChars="200"/>
        <w:jc w:val="both"/>
        <w:rPr>
          <w:rFonts w:hint="eastAsia" w:ascii="宋体" w:hAnsi="宋体" w:eastAsia="宋体" w:cs="宋体"/>
          <w:b/>
          <w:snapToGrid w:val="0"/>
          <w:color w:val="auto"/>
          <w:sz w:val="24"/>
          <w:szCs w:val="24"/>
          <w:highlight w:val="none"/>
        </w:rPr>
      </w:pPr>
    </w:p>
    <w:p w14:paraId="19E19CD1">
      <w:pPr>
        <w:pStyle w:val="5"/>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color w:val="auto"/>
          <w:sz w:val="24"/>
          <w:szCs w:val="24"/>
        </w:rPr>
      </w:pPr>
      <w:bookmarkStart w:id="64" w:name="_Toc23462"/>
      <w:r>
        <w:rPr>
          <w:rFonts w:hint="eastAsia" w:ascii="宋体" w:hAnsi="宋体" w:eastAsia="宋体" w:cs="宋体"/>
          <w:color w:val="auto"/>
          <w:sz w:val="24"/>
          <w:szCs w:val="24"/>
        </w:rPr>
        <w:t>6．施工条件及现场踏勘</w:t>
      </w:r>
      <w:bookmarkEnd w:id="61"/>
      <w:bookmarkEnd w:id="62"/>
      <w:bookmarkEnd w:id="63"/>
      <w:bookmarkEnd w:id="64"/>
    </w:p>
    <w:p w14:paraId="7851656B">
      <w:pPr>
        <w:pStyle w:val="12"/>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6.1</w:t>
      </w:r>
      <w:r>
        <w:rPr>
          <w:rFonts w:hint="eastAsia" w:ascii="宋体" w:hAnsi="宋体" w:eastAsia="宋体" w:cs="宋体"/>
          <w:snapToGrid w:val="0"/>
          <w:color w:val="auto"/>
          <w:kern w:val="0"/>
          <w:sz w:val="24"/>
          <w:szCs w:val="24"/>
          <w:highlight w:val="none"/>
        </w:rPr>
        <w:t xml:space="preserve"> 招标人仅在本招标项目征地红线范围内提供场地，其他一切场地费用由中标人自行负责（含临时道路）。</w:t>
      </w:r>
    </w:p>
    <w:p w14:paraId="2BAA9CA2">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6.2</w:t>
      </w:r>
      <w:r>
        <w:rPr>
          <w:rFonts w:hint="eastAsia" w:ascii="宋体" w:hAnsi="宋体" w:eastAsia="宋体" w:cs="宋体"/>
          <w:snapToGrid w:val="0"/>
          <w:color w:val="auto"/>
          <w:kern w:val="0"/>
          <w:sz w:val="24"/>
          <w:szCs w:val="24"/>
          <w:highlight w:val="none"/>
        </w:rPr>
        <w:t xml:space="preserve"> 施工用水：</w:t>
      </w:r>
      <w:r>
        <w:rPr>
          <w:rFonts w:hint="eastAsia" w:ascii="宋体" w:hAnsi="宋体" w:eastAsia="宋体" w:cs="宋体"/>
          <w:snapToGrid w:val="0"/>
          <w:color w:val="auto"/>
          <w:kern w:val="0"/>
          <w:sz w:val="24"/>
          <w:szCs w:val="24"/>
          <w:highlight w:val="none"/>
          <w:u w:val="single"/>
        </w:rPr>
        <w:t xml:space="preserve"> 由中标人自行解决，费用考虑在投标报价中。</w:t>
      </w:r>
    </w:p>
    <w:p w14:paraId="6D0CB70F">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6.3</w:t>
      </w:r>
      <w:r>
        <w:rPr>
          <w:rFonts w:hint="eastAsia" w:ascii="宋体" w:hAnsi="宋体" w:eastAsia="宋体" w:cs="宋体"/>
          <w:snapToGrid w:val="0"/>
          <w:color w:val="auto"/>
          <w:kern w:val="0"/>
          <w:sz w:val="24"/>
          <w:szCs w:val="24"/>
          <w:highlight w:val="none"/>
        </w:rPr>
        <w:t xml:space="preserve"> 施工用电：</w:t>
      </w:r>
      <w:r>
        <w:rPr>
          <w:rFonts w:hint="eastAsia" w:ascii="宋体" w:hAnsi="宋体" w:eastAsia="宋体" w:cs="宋体"/>
          <w:snapToGrid w:val="0"/>
          <w:color w:val="auto"/>
          <w:kern w:val="0"/>
          <w:sz w:val="24"/>
          <w:szCs w:val="24"/>
          <w:highlight w:val="none"/>
          <w:u w:val="single"/>
        </w:rPr>
        <w:t xml:space="preserve"> 由中标人自行解决，费用考虑在投标报价中。</w:t>
      </w:r>
    </w:p>
    <w:p w14:paraId="2FF35390">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6.4</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highlight w:val="none"/>
        </w:rPr>
        <w:t>施工用水、用电各提供一驳接点</w:t>
      </w:r>
      <w:r>
        <w:rPr>
          <w:rFonts w:hint="eastAsia" w:ascii="宋体" w:hAnsi="宋体" w:eastAsia="宋体" w:cs="宋体"/>
          <w:snapToGrid w:val="0"/>
          <w:color w:val="auto"/>
          <w:kern w:val="0"/>
          <w:highlight w:val="none"/>
          <w:lang w:val="en-US" w:eastAsia="zh-CN"/>
        </w:rPr>
        <w:t>到现场旁边</w:t>
      </w:r>
      <w:r>
        <w:rPr>
          <w:rFonts w:hint="eastAsia" w:ascii="宋体" w:hAnsi="宋体" w:eastAsia="宋体" w:cs="宋体"/>
          <w:snapToGrid w:val="0"/>
          <w:color w:val="auto"/>
          <w:kern w:val="0"/>
          <w:highlight w:val="none"/>
        </w:rPr>
        <w:t>。要求中标人单独安装水表、电表，其水、电费按项目所在地</w:t>
      </w:r>
      <w:r>
        <w:rPr>
          <w:rFonts w:hint="eastAsia" w:hAnsi="宋体" w:cs="宋体"/>
          <w:snapToGrid w:val="0"/>
          <w:color w:val="auto"/>
          <w:kern w:val="0"/>
          <w:highlight w:val="none"/>
          <w:u w:val="single"/>
          <w:lang w:val="en-US" w:eastAsia="zh-CN"/>
        </w:rPr>
        <w:t>仁化县</w:t>
      </w:r>
      <w:r>
        <w:rPr>
          <w:rFonts w:hint="eastAsia" w:ascii="宋体" w:hAnsi="宋体" w:eastAsia="宋体" w:cs="宋体"/>
          <w:snapToGrid w:val="0"/>
          <w:color w:val="auto"/>
          <w:kern w:val="0"/>
          <w:highlight w:val="none"/>
        </w:rPr>
        <w:t>基建工程水、电计费标准计算并由中标人缴纳。</w:t>
      </w:r>
    </w:p>
    <w:p w14:paraId="7467803A">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6.5</w:t>
      </w:r>
      <w:r>
        <w:rPr>
          <w:rFonts w:hint="eastAsia" w:ascii="宋体" w:hAnsi="宋体" w:eastAsia="宋体" w:cs="宋体"/>
          <w:snapToGrid w:val="0"/>
          <w:color w:val="auto"/>
          <w:kern w:val="0"/>
          <w:sz w:val="24"/>
          <w:szCs w:val="24"/>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12C0155D">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6.6</w:t>
      </w:r>
      <w:r>
        <w:rPr>
          <w:rFonts w:hint="eastAsia" w:ascii="宋体" w:hAnsi="宋体" w:eastAsia="宋体" w:cs="宋体"/>
          <w:snapToGrid w:val="0"/>
          <w:color w:val="auto"/>
          <w:kern w:val="0"/>
          <w:sz w:val="24"/>
          <w:szCs w:val="24"/>
          <w:highlight w:val="none"/>
        </w:rPr>
        <w:t xml:space="preserve"> 在现场踏勘过程中，投标人应确保自身安全，投标人如果发生人身伤亡、财物或其他损失，法律法规有规定的按有关规定处理，没有规定的由投标人自行负责。</w:t>
      </w:r>
    </w:p>
    <w:p w14:paraId="1CF78041">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snapToGrid w:val="0"/>
          <w:color w:val="auto"/>
          <w:sz w:val="24"/>
          <w:szCs w:val="24"/>
          <w:highlight w:val="none"/>
        </w:rPr>
      </w:pPr>
      <w:r>
        <w:rPr>
          <w:rFonts w:hint="eastAsia" w:ascii="宋体" w:hAnsi="宋体" w:eastAsia="宋体" w:cs="宋体"/>
          <w:b/>
          <w:bCs/>
          <w:snapToGrid w:val="0"/>
          <w:color w:val="auto"/>
          <w:kern w:val="0"/>
          <w:sz w:val="24"/>
          <w:szCs w:val="24"/>
          <w:highlight w:val="none"/>
        </w:rPr>
        <w:t>6.7</w:t>
      </w:r>
      <w:r>
        <w:rPr>
          <w:rFonts w:hint="eastAsia" w:ascii="宋体" w:hAnsi="宋体" w:eastAsia="宋体" w:cs="宋体"/>
          <w:snapToGrid w:val="0"/>
          <w:color w:val="auto"/>
          <w:kern w:val="0"/>
          <w:sz w:val="24"/>
          <w:szCs w:val="24"/>
          <w:highlight w:val="none"/>
        </w:rPr>
        <w:t xml:space="preserve"> 现场踏勘期间的交通、食宿由投标人自行安排，费用自理。</w:t>
      </w:r>
      <w:bookmarkStart w:id="65" w:name="_Toc18204"/>
    </w:p>
    <w:p w14:paraId="24C56DCB">
      <w:pPr>
        <w:pStyle w:val="4"/>
        <w:pageBreakBefore w:val="0"/>
        <w:kinsoku/>
        <w:wordWrap w:val="0"/>
        <w:overflowPunct/>
        <w:topLinePunct w:val="0"/>
        <w:autoSpaceDE/>
        <w:autoSpaceDN/>
        <w:bidi w:val="0"/>
        <w:snapToGrid w:val="0"/>
        <w:spacing w:line="360" w:lineRule="auto"/>
        <w:ind w:left="0" w:leftChars="0" w:right="0" w:firstLine="482" w:firstLineChars="200"/>
        <w:jc w:val="both"/>
        <w:rPr>
          <w:rFonts w:hint="eastAsia" w:ascii="宋体" w:hAnsi="宋体" w:eastAsia="宋体" w:cs="宋体"/>
          <w:b/>
          <w:snapToGrid w:val="0"/>
          <w:color w:val="auto"/>
          <w:sz w:val="24"/>
          <w:szCs w:val="24"/>
          <w:highlight w:val="none"/>
        </w:rPr>
      </w:pPr>
      <w:bookmarkStart w:id="66" w:name="_Toc7565"/>
      <w:bookmarkStart w:id="67" w:name="_Toc17908"/>
    </w:p>
    <w:p w14:paraId="32888A14">
      <w:pPr>
        <w:pStyle w:val="5"/>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color w:val="auto"/>
          <w:sz w:val="24"/>
          <w:szCs w:val="24"/>
        </w:rPr>
      </w:pPr>
      <w:bookmarkStart w:id="68" w:name="_Toc29845"/>
      <w:r>
        <w:rPr>
          <w:rFonts w:hint="eastAsia" w:ascii="宋体" w:hAnsi="宋体" w:eastAsia="宋体" w:cs="宋体"/>
          <w:color w:val="auto"/>
          <w:sz w:val="24"/>
          <w:szCs w:val="24"/>
        </w:rPr>
        <w:t>7．招标文件的提问和答疑</w:t>
      </w:r>
      <w:bookmarkEnd w:id="65"/>
      <w:bookmarkEnd w:id="66"/>
      <w:bookmarkEnd w:id="67"/>
      <w:bookmarkEnd w:id="68"/>
      <w:bookmarkStart w:id="69" w:name="_Hlt74496410"/>
      <w:bookmarkEnd w:id="69"/>
    </w:p>
    <w:p w14:paraId="691B5C13">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bCs/>
          <w:snapToGrid w:val="0"/>
          <w:color w:val="auto"/>
          <w:kern w:val="0"/>
          <w:sz w:val="24"/>
          <w:szCs w:val="24"/>
          <w:highlight w:val="none"/>
        </w:rPr>
        <w:t>7.1</w:t>
      </w:r>
      <w:r>
        <w:rPr>
          <w:rFonts w:hint="eastAsia" w:ascii="宋体" w:hAnsi="宋体" w:eastAsia="宋体" w:cs="宋体"/>
          <w:snapToGrid w:val="0"/>
          <w:color w:val="auto"/>
          <w:kern w:val="0"/>
          <w:sz w:val="24"/>
          <w:szCs w:val="24"/>
          <w:highlight w:val="none"/>
        </w:rPr>
        <w:t xml:space="preserve"> 投标人若对招标文件（含施工图、招标工程量清单）有疑问，应在提问截止时间（见本章第二节“重要事项时间地点一览表”）前使用建设工程交易系统提出问题。未在指定时间前、未采用指定方式提出的，招标人不予受理</w:t>
      </w:r>
      <w:r>
        <w:rPr>
          <w:rFonts w:hint="eastAsia" w:ascii="宋体" w:hAnsi="宋体" w:eastAsia="宋体" w:cs="宋体"/>
          <w:snapToGrid w:val="0"/>
          <w:color w:val="auto"/>
          <w:kern w:val="0"/>
          <w:sz w:val="24"/>
          <w:szCs w:val="24"/>
          <w:highlight w:val="none"/>
          <w:lang w:bidi="ar"/>
        </w:rPr>
        <w:t>。</w:t>
      </w:r>
    </w:p>
    <w:p w14:paraId="322C7C4E">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7.2 </w:t>
      </w:r>
      <w:r>
        <w:rPr>
          <w:rFonts w:hint="eastAsia" w:ascii="宋体" w:hAnsi="宋体" w:eastAsia="宋体" w:cs="宋体"/>
          <w:snapToGrid w:val="0"/>
          <w:color w:val="auto"/>
          <w:kern w:val="0"/>
          <w:sz w:val="24"/>
          <w:szCs w:val="24"/>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74BD811A">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snapToGrid w:val="0"/>
          <w:color w:val="auto"/>
          <w:sz w:val="24"/>
          <w:szCs w:val="24"/>
          <w:highlight w:val="none"/>
        </w:rPr>
      </w:pPr>
      <w:r>
        <w:rPr>
          <w:rFonts w:hint="eastAsia" w:ascii="宋体" w:hAnsi="宋体" w:eastAsia="宋体" w:cs="宋体"/>
          <w:b/>
          <w:bCs/>
          <w:snapToGrid w:val="0"/>
          <w:color w:val="auto"/>
          <w:kern w:val="0"/>
          <w:sz w:val="24"/>
          <w:szCs w:val="24"/>
          <w:highlight w:val="none"/>
        </w:rPr>
        <w:t>7.3</w:t>
      </w:r>
      <w:r>
        <w:rPr>
          <w:rFonts w:hint="eastAsia" w:ascii="宋体" w:hAnsi="宋体" w:eastAsia="宋体" w:cs="宋体"/>
          <w:snapToGrid w:val="0"/>
          <w:color w:val="auto"/>
          <w:kern w:val="0"/>
          <w:sz w:val="24"/>
          <w:szCs w:val="24"/>
          <w:highlight w:val="none"/>
        </w:rPr>
        <w:t xml:space="preserve"> 招标人对招标文件所作的答疑（或修改）公告，构成招标文件的组成部分。</w:t>
      </w:r>
      <w:bookmarkStart w:id="70" w:name="_Hlt92513715"/>
      <w:bookmarkEnd w:id="70"/>
      <w:bookmarkStart w:id="71" w:name="_Hlt69699188"/>
      <w:bookmarkEnd w:id="71"/>
      <w:bookmarkStart w:id="72" w:name="_Hlt92513711"/>
      <w:bookmarkEnd w:id="72"/>
      <w:bookmarkStart w:id="73" w:name="_Toc15556"/>
      <w:bookmarkStart w:id="74" w:name="_Toc12685"/>
      <w:bookmarkStart w:id="75" w:name="_Toc29680"/>
    </w:p>
    <w:p w14:paraId="7161F84D">
      <w:pPr>
        <w:pStyle w:val="4"/>
        <w:pageBreakBefore w:val="0"/>
        <w:kinsoku/>
        <w:wordWrap w:val="0"/>
        <w:overflowPunct/>
        <w:topLinePunct w:val="0"/>
        <w:autoSpaceDE/>
        <w:autoSpaceDN/>
        <w:bidi w:val="0"/>
        <w:snapToGrid w:val="0"/>
        <w:spacing w:line="360" w:lineRule="auto"/>
        <w:ind w:left="0" w:leftChars="0" w:right="0" w:firstLine="482" w:firstLineChars="200"/>
        <w:jc w:val="both"/>
        <w:rPr>
          <w:rFonts w:hint="eastAsia" w:ascii="宋体" w:hAnsi="宋体" w:eastAsia="宋体" w:cs="宋体"/>
          <w:b/>
          <w:snapToGrid w:val="0"/>
          <w:color w:val="auto"/>
          <w:sz w:val="24"/>
          <w:szCs w:val="24"/>
          <w:highlight w:val="none"/>
        </w:rPr>
      </w:pPr>
    </w:p>
    <w:bookmarkEnd w:id="73"/>
    <w:bookmarkEnd w:id="74"/>
    <w:p w14:paraId="170D590C">
      <w:pPr>
        <w:pStyle w:val="5"/>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color w:val="auto"/>
          <w:sz w:val="24"/>
          <w:szCs w:val="24"/>
          <w:lang w:eastAsia="zh-CN"/>
        </w:rPr>
      </w:pPr>
      <w:bookmarkStart w:id="76" w:name="_Toc21026"/>
      <w:r>
        <w:rPr>
          <w:rFonts w:hint="eastAsia" w:ascii="宋体" w:hAnsi="宋体" w:eastAsia="宋体" w:cs="宋体"/>
          <w:color w:val="auto"/>
          <w:sz w:val="24"/>
          <w:szCs w:val="24"/>
        </w:rPr>
        <w:t>8．</w:t>
      </w:r>
      <w:bookmarkEnd w:id="76"/>
      <w:r>
        <w:rPr>
          <w:rFonts w:hint="eastAsia" w:ascii="宋体" w:hAnsi="宋体" w:eastAsia="宋体" w:cs="宋体"/>
          <w:color w:val="auto"/>
          <w:sz w:val="24"/>
          <w:szCs w:val="24"/>
          <w:lang w:eastAsia="zh-CN"/>
        </w:rPr>
        <w:t>最高投标限价</w:t>
      </w:r>
    </w:p>
    <w:p w14:paraId="569EAAB0">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8.1</w:t>
      </w:r>
      <w:r>
        <w:rPr>
          <w:rFonts w:hint="eastAsia" w:ascii="宋体" w:hAnsi="宋体" w:eastAsia="宋体" w:cs="宋体"/>
          <w:snapToGrid w:val="0"/>
          <w:color w:val="auto"/>
          <w:kern w:val="0"/>
          <w:sz w:val="24"/>
          <w:szCs w:val="24"/>
          <w:highlight w:val="none"/>
        </w:rPr>
        <w:t xml:space="preserve"> 本招标项目按照以下依据编制</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w:t>
      </w:r>
    </w:p>
    <w:p w14:paraId="78D837A7">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eastAsia="zh-CN"/>
        </w:rPr>
        <w:t>《建设工程工程量清单计价标准》(GB/T50500-2024)</w:t>
      </w:r>
      <w:r>
        <w:rPr>
          <w:rFonts w:hint="eastAsia" w:ascii="宋体" w:hAnsi="宋体" w:eastAsia="宋体" w:cs="宋体"/>
          <w:snapToGrid w:val="0"/>
          <w:color w:val="auto"/>
          <w:kern w:val="0"/>
          <w:sz w:val="24"/>
          <w:szCs w:val="24"/>
          <w:highlight w:val="none"/>
        </w:rPr>
        <w:t>；</w:t>
      </w:r>
    </w:p>
    <w:p w14:paraId="517A7435">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当广东省综合定额子目缺项时，可参考套用最新的电力定额编制。</w:t>
      </w:r>
    </w:p>
    <w:p w14:paraId="41CA9D5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snapToGrid w:val="0"/>
          <w:color w:val="auto"/>
          <w:kern w:val="0"/>
          <w:sz w:val="24"/>
          <w:szCs w:val="24"/>
          <w:highlight w:val="none"/>
          <w:lang w:val="en-US" w:eastAsia="zh-CN"/>
        </w:rPr>
        <w:t>（3）</w:t>
      </w:r>
      <w:r>
        <w:rPr>
          <w:rFonts w:hint="eastAsia" w:hAnsi="宋体" w:cs="宋体"/>
          <w:snapToGrid w:val="0"/>
          <w:color w:val="auto"/>
          <w:kern w:val="0"/>
          <w:sz w:val="24"/>
          <w:szCs w:val="24"/>
          <w:highlight w:val="none"/>
          <w:lang w:val="en-US" w:eastAsia="zh-CN"/>
        </w:rPr>
        <w:t>《光伏发电工程工程量清单计价规范》</w:t>
      </w:r>
      <w:r>
        <w:rPr>
          <w:rFonts w:hint="eastAsia" w:ascii="宋体" w:hAnsi="宋体" w:eastAsia="宋体" w:cs="宋体"/>
          <w:snapToGrid w:val="0"/>
          <w:color w:val="auto"/>
          <w:kern w:val="0"/>
          <w:sz w:val="24"/>
          <w:szCs w:val="24"/>
          <w:highlight w:val="none"/>
          <w:lang w:val="en-US" w:eastAsia="zh-CN"/>
        </w:rPr>
        <w:t>；</w:t>
      </w:r>
    </w:p>
    <w:p w14:paraId="75DF131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）施工图及相关资料；</w:t>
      </w:r>
    </w:p>
    <w:p w14:paraId="769F8315">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）招标文件及招标工程量清单；</w:t>
      </w:r>
    </w:p>
    <w:p w14:paraId="5CC36838">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）施工现场情况、工程特点及常规施工方案；</w:t>
      </w:r>
    </w:p>
    <w:p w14:paraId="00CF2A5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）项目所在地工程造价管理机构发布的工程造价信息，工程造价信息缺项的，参照市场价格；</w:t>
      </w:r>
    </w:p>
    <w:p w14:paraId="3B78A1B0">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）与建设项目相关的标准、规范、技术资料。</w:t>
      </w:r>
    </w:p>
    <w:p w14:paraId="5F063D32">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u w:val="single"/>
        </w:rPr>
      </w:pPr>
      <w:r>
        <w:rPr>
          <w:rFonts w:hint="eastAsia" w:ascii="宋体" w:hAnsi="宋体" w:eastAsia="宋体" w:cs="宋体"/>
          <w:b/>
          <w:bCs/>
          <w:color w:val="auto"/>
          <w:sz w:val="24"/>
          <w:szCs w:val="24"/>
          <w:highlight w:val="none"/>
          <w:shd w:val="clear" w:fill="FFFFFF"/>
          <w:lang w:val="en-US" w:eastAsia="zh-CN"/>
        </w:rPr>
        <w:t>8.2</w:t>
      </w:r>
      <w:r>
        <w:rPr>
          <w:rFonts w:hint="eastAsia" w:ascii="宋体" w:hAnsi="宋体" w:eastAsia="宋体" w:cs="宋体"/>
          <w:color w:val="auto"/>
          <w:sz w:val="24"/>
          <w:szCs w:val="24"/>
          <w:highlight w:val="none"/>
          <w:shd w:val="clear" w:fill="FFFFFF"/>
        </w:rPr>
        <w:t>本项目的</w:t>
      </w:r>
      <w:r>
        <w:rPr>
          <w:rFonts w:hint="eastAsia" w:ascii="宋体" w:hAnsi="宋体" w:eastAsia="宋体" w:cs="宋体"/>
          <w:color w:val="auto"/>
          <w:sz w:val="24"/>
          <w:szCs w:val="24"/>
          <w:highlight w:val="none"/>
          <w:shd w:val="clear" w:fill="FFFFFF"/>
          <w:lang w:eastAsia="zh-CN"/>
        </w:rPr>
        <w:t>最高投标限价</w:t>
      </w:r>
      <w:r>
        <w:rPr>
          <w:rFonts w:hint="eastAsia" w:ascii="宋体" w:hAnsi="宋体" w:eastAsia="宋体" w:cs="宋体"/>
          <w:color w:val="auto"/>
          <w:sz w:val="24"/>
          <w:szCs w:val="24"/>
          <w:highlight w:val="none"/>
          <w:shd w:val="clear" w:fill="FFFFFF"/>
        </w:rPr>
        <w:t>为人民币（大写）：</w:t>
      </w:r>
      <w:r>
        <w:rPr>
          <w:rFonts w:hint="eastAsia" w:hAnsi="宋体" w:cs="宋体"/>
          <w:color w:val="auto"/>
          <w:sz w:val="24"/>
          <w:szCs w:val="24"/>
          <w:highlight w:val="none"/>
          <w:u w:val="single"/>
          <w:shd w:val="clear" w:fill="FFFFFF"/>
          <w:lang w:val="en-US" w:eastAsia="zh-CN"/>
        </w:rPr>
        <w:t xml:space="preserve">壹佰叁拾伍万零捌佰叁拾元零叁分 </w:t>
      </w:r>
      <w:r>
        <w:rPr>
          <w:rFonts w:hint="eastAsia" w:ascii="宋体" w:hAnsi="宋体" w:eastAsia="宋体" w:cs="宋体"/>
          <w:color w:val="auto"/>
          <w:sz w:val="24"/>
          <w:szCs w:val="24"/>
          <w:highlight w:val="none"/>
          <w:u w:val="single"/>
          <w:shd w:val="clear" w:fill="FFFFFF"/>
        </w:rPr>
        <w:t>(</w:t>
      </w:r>
      <w:r>
        <w:rPr>
          <w:rFonts w:hint="eastAsia" w:ascii="宋体" w:hAnsi="宋体" w:eastAsia="宋体" w:cs="宋体"/>
          <w:color w:val="auto"/>
          <w:sz w:val="24"/>
          <w:szCs w:val="24"/>
          <w:highlight w:val="none"/>
          <w:u w:val="single"/>
          <w:shd w:val="clear" w:fill="FFFFFF"/>
          <w:lang w:val="en-US" w:eastAsia="zh-CN"/>
        </w:rPr>
        <w:t>小写：</w:t>
      </w:r>
      <w:r>
        <w:rPr>
          <w:rFonts w:hint="eastAsia" w:ascii="宋体" w:hAnsi="宋体" w:eastAsia="宋体" w:cs="宋体"/>
          <w:snapToGrid w:val="0"/>
          <w:color w:val="auto"/>
          <w:kern w:val="0"/>
          <w:highlight w:val="none"/>
          <w:u w:val="single"/>
        </w:rPr>
        <w:t>¥</w:t>
      </w:r>
      <w:r>
        <w:rPr>
          <w:rFonts w:hint="eastAsia" w:ascii="宋体" w:hAnsi="宋体" w:eastAsia="宋体" w:cs="宋体"/>
          <w:snapToGrid w:val="0"/>
          <w:color w:val="auto"/>
          <w:kern w:val="0"/>
          <w:highlight w:val="none"/>
          <w:u w:val="single"/>
          <w:lang w:val="en-US" w:eastAsia="zh-CN"/>
        </w:rPr>
        <w:t>1350830.03</w:t>
      </w:r>
      <w:r>
        <w:rPr>
          <w:rFonts w:hint="eastAsia" w:ascii="宋体" w:hAnsi="宋体" w:eastAsia="宋体" w:cs="宋体"/>
          <w:color w:val="auto"/>
          <w:sz w:val="24"/>
          <w:szCs w:val="24"/>
          <w:highlight w:val="none"/>
          <w:u w:val="single"/>
          <w:shd w:val="clear" w:fill="FFFFFF"/>
        </w:rPr>
        <w:t>元)</w:t>
      </w:r>
      <w:r>
        <w:rPr>
          <w:rFonts w:hint="eastAsia" w:hAnsi="宋体" w:cs="宋体"/>
          <w:color w:val="auto"/>
          <w:sz w:val="24"/>
          <w:szCs w:val="24"/>
          <w:highlight w:val="none"/>
          <w:u w:val="single"/>
          <w:shd w:val="clear" w:fill="FFFFFF"/>
          <w:lang w:eastAsia="zh-CN"/>
        </w:rPr>
        <w:t>，</w:t>
      </w:r>
      <w:r>
        <w:rPr>
          <w:rFonts w:hint="eastAsia" w:ascii="宋体" w:hAnsi="宋体" w:eastAsia="宋体" w:cs="宋体"/>
          <w:color w:val="auto"/>
          <w:sz w:val="24"/>
          <w:szCs w:val="24"/>
          <w:highlight w:val="none"/>
          <w:u w:val="single"/>
          <w:shd w:val="clear" w:fill="FFFFFF"/>
        </w:rPr>
        <w:t>其中</w:t>
      </w:r>
      <w:r>
        <w:rPr>
          <w:rFonts w:hint="eastAsia" w:ascii="宋体" w:hAnsi="宋体" w:eastAsia="宋体" w:cs="宋体"/>
          <w:color w:val="auto"/>
          <w:sz w:val="24"/>
          <w:szCs w:val="24"/>
          <w:highlight w:val="none"/>
          <w:u w:val="single"/>
          <w:shd w:val="clear" w:fill="FFFFFF"/>
          <w:lang w:eastAsia="zh-CN"/>
        </w:rPr>
        <w:t>安全生产措施费不得少于</w:t>
      </w:r>
      <w:r>
        <w:rPr>
          <w:rFonts w:hint="eastAsia" w:ascii="宋体" w:hAnsi="宋体" w:eastAsia="宋体" w:cs="宋体"/>
          <w:color w:val="auto"/>
          <w:sz w:val="24"/>
          <w:szCs w:val="24"/>
          <w:highlight w:val="none"/>
          <w:u w:val="single"/>
          <w:shd w:val="clear" w:fill="FFFFFF"/>
        </w:rPr>
        <w:t>¥</w:t>
      </w:r>
      <w:r>
        <w:rPr>
          <w:rFonts w:hint="eastAsia" w:ascii="宋体" w:hAnsi="宋体" w:eastAsia="宋体" w:cs="宋体"/>
          <w:color w:val="auto"/>
          <w:sz w:val="24"/>
          <w:szCs w:val="24"/>
          <w:highlight w:val="none"/>
          <w:u w:val="single"/>
          <w:shd w:val="clear" w:fill="FFFFFF"/>
          <w:lang w:val="en-US" w:eastAsia="zh-CN"/>
        </w:rPr>
        <w:t>57017.47</w:t>
      </w:r>
      <w:r>
        <w:rPr>
          <w:rFonts w:hint="eastAsia" w:ascii="宋体" w:hAnsi="宋体" w:eastAsia="宋体" w:cs="宋体"/>
          <w:color w:val="auto"/>
          <w:sz w:val="24"/>
          <w:szCs w:val="24"/>
          <w:highlight w:val="none"/>
          <w:u w:val="single"/>
          <w:shd w:val="clear" w:fill="FFFFFF"/>
        </w:rPr>
        <w:t>元，</w:t>
      </w:r>
      <w:r>
        <w:rPr>
          <w:rFonts w:hint="eastAsia" w:ascii="宋体" w:hAnsi="宋体" w:eastAsia="宋体" w:cs="宋体"/>
          <w:color w:val="auto"/>
          <w:sz w:val="24"/>
          <w:szCs w:val="24"/>
          <w:highlight w:val="none"/>
          <w:u w:val="single"/>
          <w:shd w:val="clear" w:fill="FFFFFF"/>
          <w:lang w:val="en-US" w:eastAsia="zh-CN"/>
        </w:rPr>
        <w:t>暂列金额</w:t>
      </w:r>
      <w:r>
        <w:rPr>
          <w:rFonts w:hint="eastAsia" w:ascii="宋体" w:hAnsi="宋体" w:eastAsia="宋体" w:cs="宋体"/>
          <w:color w:val="auto"/>
          <w:sz w:val="24"/>
          <w:szCs w:val="24"/>
          <w:highlight w:val="none"/>
          <w:u w:val="single"/>
          <w:shd w:val="clear" w:fill="FFFFFF"/>
        </w:rPr>
        <w:t>为</w:t>
      </w:r>
      <w:r>
        <w:rPr>
          <w:rFonts w:hint="eastAsia" w:ascii="宋体" w:hAnsi="宋体" w:eastAsia="宋体" w:cs="宋体"/>
          <w:snapToGrid w:val="0"/>
          <w:color w:val="auto"/>
          <w:kern w:val="0"/>
          <w:highlight w:val="none"/>
          <w:u w:val="single"/>
        </w:rPr>
        <w:t>¥</w:t>
      </w:r>
      <w:r>
        <w:rPr>
          <w:rFonts w:hint="eastAsia" w:hAnsi="宋体" w:cs="宋体"/>
          <w:snapToGrid w:val="0"/>
          <w:color w:val="auto"/>
          <w:kern w:val="0"/>
          <w:highlight w:val="none"/>
          <w:u w:val="single"/>
          <w:lang w:val="en-US" w:eastAsia="zh-CN"/>
        </w:rPr>
        <w:t>/</w:t>
      </w:r>
      <w:r>
        <w:rPr>
          <w:rFonts w:hint="eastAsia" w:ascii="宋体" w:hAnsi="宋体" w:eastAsia="宋体" w:cs="宋体"/>
          <w:color w:val="auto"/>
          <w:sz w:val="24"/>
          <w:szCs w:val="24"/>
          <w:highlight w:val="none"/>
          <w:u w:val="single"/>
          <w:shd w:val="clear" w:fill="FFFFFF"/>
        </w:rPr>
        <w:t>元</w:t>
      </w:r>
      <w:r>
        <w:rPr>
          <w:rFonts w:hint="eastAsia" w:ascii="宋体" w:hAnsi="宋体" w:eastAsia="宋体" w:cs="宋体"/>
          <w:color w:val="auto"/>
          <w:sz w:val="24"/>
          <w:szCs w:val="24"/>
          <w:highlight w:val="none"/>
          <w:u w:val="single"/>
          <w:shd w:val="clear" w:fill="FFFFFF"/>
          <w:lang w:eastAsia="zh-CN"/>
        </w:rPr>
        <w:t>，</w:t>
      </w:r>
      <w:r>
        <w:rPr>
          <w:rFonts w:hint="eastAsia" w:ascii="宋体" w:hAnsi="宋体" w:eastAsia="宋体" w:cs="宋体"/>
          <w:color w:val="auto"/>
          <w:sz w:val="24"/>
          <w:szCs w:val="24"/>
          <w:highlight w:val="none"/>
          <w:u w:val="single"/>
          <w:shd w:val="clear" w:fill="FFFFFF"/>
          <w:lang w:val="en-US" w:eastAsia="zh-CN"/>
        </w:rPr>
        <w:t>暂估价</w:t>
      </w:r>
      <w:r>
        <w:rPr>
          <w:rFonts w:hint="eastAsia" w:ascii="宋体" w:hAnsi="宋体" w:eastAsia="宋体" w:cs="宋体"/>
          <w:color w:val="auto"/>
          <w:sz w:val="24"/>
          <w:szCs w:val="24"/>
          <w:highlight w:val="none"/>
          <w:u w:val="single"/>
          <w:shd w:val="clear" w:fill="FFFFFF"/>
        </w:rPr>
        <w:t>为</w:t>
      </w:r>
      <w:r>
        <w:rPr>
          <w:rFonts w:hint="eastAsia" w:ascii="宋体" w:hAnsi="宋体" w:eastAsia="宋体" w:cs="宋体"/>
          <w:snapToGrid w:val="0"/>
          <w:color w:val="auto"/>
          <w:kern w:val="0"/>
          <w:highlight w:val="none"/>
          <w:u w:val="single"/>
        </w:rPr>
        <w:t>¥</w:t>
      </w:r>
      <w:r>
        <w:rPr>
          <w:rFonts w:hint="eastAsia" w:hAnsi="宋体" w:cs="宋体"/>
          <w:snapToGrid w:val="0"/>
          <w:color w:val="auto"/>
          <w:kern w:val="0"/>
          <w:highlight w:val="none"/>
          <w:u w:val="single"/>
          <w:lang w:val="en-US" w:eastAsia="zh-CN"/>
        </w:rPr>
        <w:t>/</w:t>
      </w:r>
      <w:r>
        <w:rPr>
          <w:rFonts w:hint="eastAsia" w:ascii="宋体" w:hAnsi="宋体" w:eastAsia="宋体" w:cs="宋体"/>
          <w:color w:val="auto"/>
          <w:sz w:val="24"/>
          <w:szCs w:val="24"/>
          <w:highlight w:val="none"/>
          <w:u w:val="single"/>
          <w:shd w:val="clear" w:fill="FFFFFF"/>
        </w:rPr>
        <w:t>元。</w:t>
      </w:r>
    </w:p>
    <w:p w14:paraId="26E433D6">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8.3</w:t>
      </w:r>
      <w:r>
        <w:rPr>
          <w:rFonts w:hint="eastAsia" w:ascii="宋体" w:hAnsi="宋体" w:eastAsia="宋体" w:cs="宋体"/>
          <w:snapToGrid w:val="0"/>
          <w:color w:val="auto"/>
          <w:kern w:val="0"/>
          <w:sz w:val="24"/>
          <w:szCs w:val="24"/>
          <w:highlight w:val="none"/>
        </w:rPr>
        <w:t xml:space="preserve"> 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5DDF4C56">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8.4</w:t>
      </w:r>
      <w:r>
        <w:rPr>
          <w:rFonts w:hint="eastAsia" w:ascii="宋体" w:hAnsi="宋体" w:eastAsia="宋体" w:cs="宋体"/>
          <w:snapToGrid w:val="0"/>
          <w:color w:val="auto"/>
          <w:kern w:val="0"/>
          <w:sz w:val="24"/>
          <w:szCs w:val="24"/>
          <w:highlight w:val="none"/>
        </w:rPr>
        <w:t xml:space="preserve"> 本招标项目以暂估价形式列入招标工程量清单中的材料、工程设备、专业工程（以下统称“暂估价项目”）包括：</w:t>
      </w:r>
      <w:r>
        <w:rPr>
          <w:rFonts w:hint="eastAsia" w:ascii="宋体" w:hAnsi="宋体" w:eastAsia="宋体" w:cs="宋体"/>
          <w:snapToGrid w:val="0"/>
          <w:color w:val="auto"/>
          <w:kern w:val="0"/>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ascii="宋体" w:hAnsi="宋体" w:eastAsia="宋体" w:cs="宋体"/>
          <w:snapToGrid w:val="0"/>
          <w:color w:val="auto"/>
          <w:kern w:val="0"/>
          <w:sz w:val="24"/>
          <w:szCs w:val="24"/>
          <w:highlight w:val="none"/>
        </w:rPr>
        <w:t>。</w:t>
      </w:r>
    </w:p>
    <w:p w14:paraId="6E91E6D2">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8.5</w:t>
      </w:r>
      <w:r>
        <w:rPr>
          <w:rFonts w:hint="eastAsia" w:ascii="宋体" w:hAnsi="宋体" w:eastAsia="宋体" w:cs="宋体"/>
          <w:snapToGrid w:val="0"/>
          <w:color w:val="auto"/>
          <w:kern w:val="0"/>
          <w:sz w:val="24"/>
          <w:szCs w:val="24"/>
          <w:highlight w:val="none"/>
        </w:rPr>
        <w:t xml:space="preserve"> 当暂估价项目的内容、标准、要求在项目实施过程中得以深化、明确、固定后，按以下原则发包：</w:t>
      </w:r>
    </w:p>
    <w:p w14:paraId="1A0A5730">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（1）暂估价项目按工程、货物（指材料或工程设备，下同）的类别分类汇总的金额，达到必须招标规模标准的，由</w:t>
      </w:r>
      <w:r>
        <w:rPr>
          <w:rFonts w:hint="eastAsia" w:ascii="宋体" w:hAnsi="宋体" w:eastAsia="宋体" w:cs="宋体"/>
          <w:snapToGrid w:val="0"/>
          <w:color w:val="auto"/>
          <w:kern w:val="0"/>
          <w:sz w:val="24"/>
          <w:szCs w:val="24"/>
          <w:highlight w:val="none"/>
          <w:u w:val="single"/>
        </w:rPr>
        <w:t xml:space="preserve"> 中标人招标，招标人参与管理 </w:t>
      </w:r>
      <w:r>
        <w:rPr>
          <w:rFonts w:hint="eastAsia" w:ascii="宋体" w:hAnsi="宋体" w:eastAsia="宋体" w:cs="宋体"/>
          <w:snapToGrid w:val="0"/>
          <w:color w:val="auto"/>
          <w:kern w:val="0"/>
          <w:sz w:val="24"/>
          <w:szCs w:val="24"/>
          <w:highlight w:val="none"/>
        </w:rPr>
        <w:t>，确定专业工程承包人（或材料、工程设备供应商）和合同价格。</w:t>
      </w:r>
    </w:p>
    <w:p w14:paraId="6FE7774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49BC859B">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01F343F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（4）暂估价项目按工程、货物的类别分类汇总的金额，未达到必须招标规模标准也不适用政府采购规定，中标人既不具备相应资格条件又不具备分包权的，由招标人另行发包。</w:t>
      </w:r>
    </w:p>
    <w:p w14:paraId="3E0DBD37">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（5）暂估价项目由其他承包人承包的，纳入中标人的管理和协调范围，由其他承包人向中标人承担质量、安全、文明施工、工期责任，中标人向招标人承担责任。</w:t>
      </w:r>
    </w:p>
    <w:p w14:paraId="258019DE">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sz w:val="24"/>
          <w:szCs w:val="24"/>
          <w:highlight w:val="none"/>
        </w:rPr>
      </w:pPr>
      <w:r>
        <w:rPr>
          <w:rFonts w:hint="eastAsia" w:ascii="宋体" w:hAnsi="宋体" w:eastAsia="宋体" w:cs="宋体"/>
          <w:b/>
          <w:bCs/>
          <w:snapToGrid w:val="0"/>
          <w:color w:val="auto"/>
          <w:kern w:val="0"/>
          <w:sz w:val="24"/>
          <w:szCs w:val="24"/>
          <w:highlight w:val="none"/>
        </w:rPr>
        <w:t>8.6</w:t>
      </w:r>
      <w:r>
        <w:rPr>
          <w:rFonts w:hint="eastAsia" w:ascii="宋体" w:hAnsi="宋体" w:eastAsia="宋体" w:cs="宋体"/>
          <w:snapToGrid w:val="0"/>
          <w:color w:val="auto"/>
          <w:kern w:val="0"/>
          <w:sz w:val="24"/>
          <w:szCs w:val="24"/>
          <w:highlight w:val="none"/>
        </w:rPr>
        <w:t xml:space="preserve"> 本招标项目以</w:t>
      </w:r>
      <w:r>
        <w:rPr>
          <w:rFonts w:hint="eastAsia" w:ascii="宋体" w:hAnsi="宋体" w:eastAsia="宋体" w:cs="宋体"/>
          <w:snapToGrid w:val="0"/>
          <w:color w:val="auto"/>
          <w:sz w:val="24"/>
          <w:szCs w:val="24"/>
          <w:highlight w:val="none"/>
        </w:rPr>
        <w:t>暂列金额</w:t>
      </w:r>
      <w:r>
        <w:rPr>
          <w:rFonts w:hint="eastAsia" w:ascii="宋体" w:hAnsi="宋体" w:eastAsia="宋体" w:cs="宋体"/>
          <w:snapToGrid w:val="0"/>
          <w:color w:val="auto"/>
          <w:kern w:val="0"/>
          <w:sz w:val="24"/>
          <w:szCs w:val="24"/>
          <w:highlight w:val="none"/>
        </w:rPr>
        <w:t>形式列入招标工程量清单中的</w:t>
      </w:r>
      <w:r>
        <w:rPr>
          <w:rFonts w:hint="eastAsia" w:ascii="宋体" w:hAnsi="宋体" w:eastAsia="宋体" w:cs="宋体"/>
          <w:snapToGrid w:val="0"/>
          <w:color w:val="auto"/>
          <w:sz w:val="24"/>
          <w:szCs w:val="24"/>
          <w:highlight w:val="none"/>
        </w:rPr>
        <w:t>所需货物和服务的采购</w:t>
      </w:r>
      <w:r>
        <w:rPr>
          <w:rFonts w:hint="eastAsia" w:ascii="宋体" w:hAnsi="宋体" w:eastAsia="宋体" w:cs="宋体"/>
          <w:snapToGrid w:val="0"/>
          <w:color w:val="auto"/>
          <w:kern w:val="0"/>
          <w:sz w:val="24"/>
          <w:szCs w:val="24"/>
          <w:highlight w:val="none"/>
        </w:rPr>
        <w:t>（以下统称“暂列金额项目”）若有</w:t>
      </w:r>
      <w:r>
        <w:rPr>
          <w:rFonts w:hint="eastAsia" w:ascii="宋体" w:hAnsi="宋体" w:eastAsia="宋体" w:cs="宋体"/>
          <w:snapToGrid w:val="0"/>
          <w:color w:val="auto"/>
          <w:sz w:val="24"/>
          <w:szCs w:val="24"/>
          <w:highlight w:val="none"/>
        </w:rPr>
        <w:t>发生，按照本节第</w:t>
      </w:r>
      <w:r>
        <w:rPr>
          <w:rFonts w:hint="eastAsia" w:ascii="宋体" w:hAnsi="宋体" w:eastAsia="宋体" w:cs="宋体"/>
          <w:b/>
          <w:bCs/>
          <w:snapToGrid w:val="0"/>
          <w:color w:val="auto"/>
          <w:kern w:val="0"/>
          <w:sz w:val="24"/>
          <w:szCs w:val="24"/>
          <w:highlight w:val="none"/>
        </w:rPr>
        <w:t>8.5</w:t>
      </w:r>
      <w:r>
        <w:rPr>
          <w:rFonts w:hint="eastAsia" w:ascii="宋体" w:hAnsi="宋体" w:eastAsia="宋体" w:cs="宋体"/>
          <w:snapToGrid w:val="0"/>
          <w:color w:val="auto"/>
          <w:sz w:val="24"/>
          <w:szCs w:val="24"/>
          <w:highlight w:val="none"/>
        </w:rPr>
        <w:t>条的规定确定货物（或服务）供应商和合同价格。暂列金额项目由其他承包人承包的，纳入中标人的管理和协调范围，由其他承包人向中标人承担质量、安全、文明施工、工期责任，中标人向招标人承担责任。</w:t>
      </w:r>
    </w:p>
    <w:p w14:paraId="77B2F1D7">
      <w:pPr>
        <w:pStyle w:val="4"/>
        <w:pageBreakBefore w:val="0"/>
        <w:kinsoku/>
        <w:wordWrap w:val="0"/>
        <w:overflowPunct/>
        <w:topLinePunct w:val="0"/>
        <w:autoSpaceDE/>
        <w:autoSpaceDN/>
        <w:bidi w:val="0"/>
        <w:snapToGrid w:val="0"/>
        <w:spacing w:line="360" w:lineRule="auto"/>
        <w:ind w:left="0" w:leftChars="0" w:right="0" w:firstLine="482" w:firstLineChars="200"/>
        <w:jc w:val="both"/>
        <w:rPr>
          <w:rFonts w:hint="eastAsia" w:ascii="宋体" w:hAnsi="宋体" w:eastAsia="宋体" w:cs="宋体"/>
          <w:b/>
          <w:snapToGrid w:val="0"/>
          <w:color w:val="auto"/>
          <w:sz w:val="24"/>
          <w:szCs w:val="24"/>
          <w:highlight w:val="none"/>
        </w:rPr>
      </w:pPr>
      <w:bookmarkStart w:id="77" w:name="_Toc8163"/>
      <w:bookmarkStart w:id="78" w:name="_Toc17205"/>
    </w:p>
    <w:p w14:paraId="6F87D27A">
      <w:pPr>
        <w:pStyle w:val="5"/>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color w:val="auto"/>
          <w:sz w:val="24"/>
          <w:szCs w:val="24"/>
        </w:rPr>
      </w:pPr>
      <w:bookmarkStart w:id="79" w:name="_Toc19680"/>
      <w:r>
        <w:rPr>
          <w:rFonts w:hint="eastAsia" w:ascii="宋体" w:hAnsi="宋体" w:eastAsia="宋体" w:cs="宋体"/>
          <w:color w:val="auto"/>
          <w:sz w:val="24"/>
          <w:szCs w:val="24"/>
        </w:rPr>
        <w:t>9．投标报价</w:t>
      </w:r>
      <w:bookmarkEnd w:id="75"/>
      <w:bookmarkEnd w:id="77"/>
      <w:bookmarkEnd w:id="78"/>
      <w:bookmarkEnd w:id="79"/>
      <w:bookmarkStart w:id="80" w:name="_Hlt74498519"/>
      <w:bookmarkEnd w:id="80"/>
    </w:p>
    <w:p w14:paraId="1EDAD067">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9.1</w:t>
      </w:r>
      <w:r>
        <w:rPr>
          <w:rFonts w:hint="eastAsia" w:ascii="宋体" w:hAnsi="宋体" w:eastAsia="宋体" w:cs="宋体"/>
          <w:snapToGrid w:val="0"/>
          <w:color w:val="auto"/>
          <w:kern w:val="0"/>
          <w:sz w:val="24"/>
          <w:szCs w:val="24"/>
          <w:highlight w:val="none"/>
        </w:rPr>
        <w:t xml:space="preserve"> 投标人应按照以下依据编制投标报价：</w:t>
      </w:r>
    </w:p>
    <w:p w14:paraId="0CE2ACB5">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eastAsia="zh-CN"/>
        </w:rPr>
        <w:t>《建设工程工程量清单计价标准》(GB/T50500-2024)</w:t>
      </w:r>
      <w:r>
        <w:rPr>
          <w:rFonts w:hint="eastAsia" w:ascii="宋体" w:hAnsi="宋体" w:eastAsia="宋体" w:cs="宋体"/>
          <w:snapToGrid w:val="0"/>
          <w:color w:val="auto"/>
          <w:kern w:val="0"/>
          <w:sz w:val="24"/>
          <w:szCs w:val="24"/>
          <w:highlight w:val="none"/>
        </w:rPr>
        <w:t>；</w:t>
      </w:r>
    </w:p>
    <w:p w14:paraId="78B1CF2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w:t>
      </w:r>
      <w:r>
        <w:rPr>
          <w:rFonts w:hint="eastAsia" w:hAnsi="宋体" w:cs="宋体"/>
          <w:snapToGrid w:val="0"/>
          <w:color w:val="auto"/>
          <w:kern w:val="0"/>
          <w:sz w:val="24"/>
          <w:szCs w:val="24"/>
          <w:highlight w:val="none"/>
          <w:lang w:val="en-US" w:eastAsia="zh-CN"/>
        </w:rPr>
        <w:t>《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当广东省综合定额子目缺项时，可参考套用最新的电力定额编制。</w:t>
      </w:r>
    </w:p>
    <w:p w14:paraId="2E83F07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snapToGrid w:val="0"/>
          <w:color w:val="auto"/>
          <w:kern w:val="0"/>
          <w:sz w:val="24"/>
          <w:szCs w:val="24"/>
          <w:highlight w:val="none"/>
          <w:lang w:val="en-US" w:eastAsia="zh-CN"/>
        </w:rPr>
        <w:t>（3）</w:t>
      </w:r>
      <w:r>
        <w:rPr>
          <w:rFonts w:hint="eastAsia" w:hAnsi="宋体" w:cs="宋体"/>
          <w:snapToGrid w:val="0"/>
          <w:color w:val="auto"/>
          <w:kern w:val="0"/>
          <w:sz w:val="24"/>
          <w:szCs w:val="24"/>
          <w:highlight w:val="none"/>
          <w:lang w:val="en-US" w:eastAsia="zh-CN"/>
        </w:rPr>
        <w:t>《光伏发电工程工程量清单计价规范》</w:t>
      </w:r>
      <w:r>
        <w:rPr>
          <w:rFonts w:hint="eastAsia" w:ascii="宋体" w:hAnsi="宋体" w:eastAsia="宋体" w:cs="宋体"/>
          <w:snapToGrid w:val="0"/>
          <w:color w:val="auto"/>
          <w:kern w:val="0"/>
          <w:sz w:val="24"/>
          <w:szCs w:val="24"/>
          <w:highlight w:val="none"/>
          <w:lang w:val="en-US" w:eastAsia="zh-CN"/>
        </w:rPr>
        <w:t>；</w:t>
      </w:r>
    </w:p>
    <w:p w14:paraId="3A15E6F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）企业定额；</w:t>
      </w:r>
    </w:p>
    <w:p w14:paraId="5E48E41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）招标文件及其答疑（或修改）公告、招标工程量清单；</w:t>
      </w:r>
    </w:p>
    <w:p w14:paraId="75C244C2">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）施工图及相关资料；</w:t>
      </w:r>
    </w:p>
    <w:p w14:paraId="7BD286AC">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）施工现场情况、工程特点及投标时拟定的施工组织设计或施工方案；</w:t>
      </w:r>
    </w:p>
    <w:p w14:paraId="3E2BF5DF">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）市场价格信息或项目所在地工程造价管理机构发布的工程造价信息；</w:t>
      </w:r>
    </w:p>
    <w:p w14:paraId="1DC0034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）与建设项目相关的标准、规范、技术资料。</w:t>
      </w:r>
    </w:p>
    <w:p w14:paraId="6924CD51">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9.2</w:t>
      </w:r>
      <w:r>
        <w:rPr>
          <w:rFonts w:hint="eastAsia" w:ascii="宋体" w:hAnsi="宋体" w:eastAsia="宋体" w:cs="宋体"/>
          <w:snapToGrid w:val="0"/>
          <w:color w:val="auto"/>
          <w:kern w:val="0"/>
          <w:sz w:val="24"/>
          <w:szCs w:val="24"/>
          <w:highlight w:val="none"/>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w:t>
      </w:r>
      <w:bookmarkStart w:id="81" w:name="_Hlt66594003"/>
      <w:bookmarkEnd w:id="81"/>
      <w:r>
        <w:rPr>
          <w:rFonts w:hint="eastAsia" w:ascii="宋体" w:hAnsi="宋体" w:eastAsia="宋体" w:cs="宋体"/>
          <w:snapToGrid w:val="0"/>
          <w:color w:val="auto"/>
          <w:kern w:val="0"/>
          <w:sz w:val="24"/>
          <w:szCs w:val="24"/>
          <w:highlight w:val="none"/>
        </w:rPr>
        <w:t>所谓“一定范围内的风险”是指合同约定的风险。</w:t>
      </w:r>
      <w:bookmarkStart w:id="82" w:name="_Hlt69335755"/>
      <w:bookmarkEnd w:id="82"/>
    </w:p>
    <w:p w14:paraId="5ED40A69">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9.3</w:t>
      </w:r>
      <w:r>
        <w:rPr>
          <w:rFonts w:hint="eastAsia" w:ascii="宋体" w:hAnsi="宋体" w:eastAsia="宋体" w:cs="宋体"/>
          <w:snapToGrid w:val="0"/>
          <w:color w:val="auto"/>
          <w:kern w:val="0"/>
          <w:sz w:val="24"/>
          <w:szCs w:val="24"/>
          <w:highlight w:val="none"/>
        </w:rPr>
        <w:t xml:space="preserve"> 招标人及招标代理机构不集中组织现场踏勘，投标人需要了解现场情况的，可自行进行现场踏勘。各投标人应勘察施工现场及周围环境、地形、地貌、水文、交通等情况，以获得一切可能影响到投标的直</w:t>
      </w:r>
      <w:bookmarkStart w:id="83" w:name="_Hlt66509056"/>
      <w:bookmarkEnd w:id="83"/>
      <w:r>
        <w:rPr>
          <w:rFonts w:hint="eastAsia" w:ascii="宋体" w:hAnsi="宋体" w:eastAsia="宋体" w:cs="宋体"/>
          <w:snapToGrid w:val="0"/>
          <w:color w:val="auto"/>
          <w:kern w:val="0"/>
          <w:sz w:val="24"/>
          <w:szCs w:val="24"/>
          <w:highlight w:val="none"/>
        </w:rPr>
        <w:t>接资料。投标人应针对现场情况编制施工组织设计，并在编制投标报价时考虑现场情况的影响。</w:t>
      </w:r>
    </w:p>
    <w:p w14:paraId="77A54009">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9.4</w:t>
      </w:r>
      <w:r>
        <w:rPr>
          <w:rFonts w:hint="eastAsia" w:ascii="宋体" w:hAnsi="宋体" w:eastAsia="宋体" w:cs="宋体"/>
          <w:snapToGrid w:val="0"/>
          <w:color w:val="auto"/>
          <w:kern w:val="0"/>
          <w:sz w:val="24"/>
          <w:szCs w:val="24"/>
          <w:highlight w:val="none"/>
        </w:rPr>
        <w:t xml:space="preserve"> 招标人向投标人提供的有关现场的数据和资料，是招标人现有的能被投标人利用的资料，招标人对投标人做出的任何推论、理解和结论均不负责任。</w:t>
      </w:r>
    </w:p>
    <w:p w14:paraId="7BFC179B">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9.5</w:t>
      </w:r>
      <w:r>
        <w:rPr>
          <w:rFonts w:hint="eastAsia" w:ascii="宋体" w:hAnsi="宋体" w:eastAsia="宋体" w:cs="宋体"/>
          <w:snapToGrid w:val="0"/>
          <w:color w:val="auto"/>
          <w:kern w:val="0"/>
          <w:sz w:val="24"/>
          <w:szCs w:val="24"/>
          <w:highlight w:val="none"/>
        </w:rPr>
        <w:t xml:space="preserve"> 投标人必须按照招标工程量清单及表格填报价格。项目编码、项目名称、项目特征、计量单位、工程量必须与招标工程量清单一致。所有报价均以人民币“元”为单位，并保留小数点后两位。</w:t>
      </w:r>
    </w:p>
    <w:p w14:paraId="7C6B3BEC">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9.6</w:t>
      </w:r>
      <w:r>
        <w:rPr>
          <w:rFonts w:hint="eastAsia" w:ascii="宋体" w:hAnsi="宋体" w:eastAsia="宋体" w:cs="宋体"/>
          <w:snapToGrid w:val="0"/>
          <w:color w:val="auto"/>
          <w:kern w:val="0"/>
          <w:sz w:val="24"/>
          <w:szCs w:val="24"/>
          <w:highlight w:val="none"/>
        </w:rPr>
        <w:t xml:space="preserve"> 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44F45FE9">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9.7</w:t>
      </w:r>
      <w:r>
        <w:rPr>
          <w:rFonts w:hint="eastAsia" w:ascii="宋体" w:hAnsi="宋体" w:eastAsia="宋体" w:cs="宋体"/>
          <w:snapToGrid w:val="0"/>
          <w:color w:val="auto"/>
          <w:kern w:val="0"/>
          <w:sz w:val="24"/>
          <w:szCs w:val="24"/>
          <w:highlight w:val="none"/>
        </w:rPr>
        <w:t xml:space="preserve"> 投标人的投标总价不得高于</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，也不得低于工程成本。投标人对投标总价的所有优惠（降价、让利等），均应当反映在具体清单项目或其综合单价的报价上。</w:t>
      </w:r>
      <w:r>
        <w:rPr>
          <w:rFonts w:hint="eastAsia" w:ascii="宋体" w:hAnsi="宋体" w:eastAsia="宋体" w:cs="宋体"/>
          <w:b w:val="0"/>
          <w:bCs/>
          <w:snapToGrid w:val="0"/>
          <w:color w:val="auto"/>
          <w:kern w:val="0"/>
          <w:sz w:val="24"/>
          <w:szCs w:val="24"/>
          <w:highlight w:val="none"/>
        </w:rPr>
        <w:t>如果投标人的投标总价下浮率（投标总价下浮率＝100%－投标总价÷</w:t>
      </w:r>
      <w:r>
        <w:rPr>
          <w:rFonts w:hint="eastAsia" w:ascii="宋体" w:hAnsi="宋体" w:eastAsia="宋体" w:cs="宋体"/>
          <w:b w:val="0"/>
          <w:bCs/>
          <w:snapToGrid w:val="0"/>
          <w:color w:val="auto"/>
          <w:kern w:val="0"/>
          <w:sz w:val="24"/>
          <w:szCs w:val="24"/>
          <w:highlight w:val="none"/>
          <w:lang w:eastAsia="zh-CN"/>
        </w:rPr>
        <w:t>最高投标限价</w:t>
      </w:r>
      <w:r>
        <w:rPr>
          <w:rFonts w:hint="eastAsia" w:ascii="宋体" w:hAnsi="宋体" w:eastAsia="宋体" w:cs="宋体"/>
          <w:b w:val="0"/>
          <w:bCs/>
          <w:snapToGrid w:val="0"/>
          <w:color w:val="auto"/>
          <w:kern w:val="0"/>
          <w:sz w:val="24"/>
          <w:szCs w:val="24"/>
          <w:highlight w:val="none"/>
        </w:rPr>
        <w:t>×100%）高于15%时，投标人必须在投标文件中专项作出详细合理的书面说明并提供以往类似工程详细成本分析报告供评标委员会审查。</w:t>
      </w:r>
    </w:p>
    <w:p w14:paraId="4F1621F2">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9.8</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
          <w:bCs/>
          <w:snapToGrid w:val="0"/>
          <w:color w:val="auto"/>
          <w:kern w:val="0"/>
          <w:sz w:val="24"/>
          <w:szCs w:val="24"/>
          <w:highlight w:val="none"/>
        </w:rPr>
        <w:t>投标人的</w:t>
      </w:r>
      <w:r>
        <w:rPr>
          <w:rFonts w:hint="eastAsia" w:ascii="宋体" w:hAnsi="宋体" w:eastAsia="宋体" w:cs="宋体"/>
          <w:b/>
          <w:bCs/>
          <w:snapToGrid w:val="0"/>
          <w:color w:val="auto"/>
          <w:kern w:val="0"/>
          <w:sz w:val="24"/>
          <w:szCs w:val="24"/>
          <w:highlight w:val="none"/>
          <w:lang w:eastAsia="zh-CN"/>
        </w:rPr>
        <w:t>安全生产措施费</w:t>
      </w:r>
      <w:r>
        <w:rPr>
          <w:rFonts w:hint="eastAsia" w:ascii="宋体" w:hAnsi="宋体" w:eastAsia="宋体" w:cs="宋体"/>
          <w:b/>
          <w:bCs/>
          <w:snapToGrid w:val="0"/>
          <w:color w:val="auto"/>
          <w:kern w:val="0"/>
          <w:sz w:val="24"/>
          <w:szCs w:val="24"/>
          <w:highlight w:val="none"/>
        </w:rPr>
        <w:t>报价必须达到或超过招标</w:t>
      </w:r>
      <w:r>
        <w:rPr>
          <w:rFonts w:hint="eastAsia" w:ascii="宋体" w:hAnsi="宋体" w:eastAsia="宋体" w:cs="宋体"/>
          <w:b/>
          <w:bCs/>
          <w:snapToGrid w:val="0"/>
          <w:color w:val="auto"/>
          <w:kern w:val="0"/>
          <w:sz w:val="24"/>
          <w:szCs w:val="24"/>
          <w:highlight w:val="none"/>
          <w:lang w:val="en-US" w:eastAsia="zh-CN"/>
        </w:rPr>
        <w:t>文件</w:t>
      </w:r>
      <w:r>
        <w:rPr>
          <w:rFonts w:hint="eastAsia" w:ascii="宋体" w:hAnsi="宋体" w:eastAsia="宋体" w:cs="宋体"/>
          <w:b/>
          <w:bCs/>
          <w:snapToGrid w:val="0"/>
          <w:color w:val="auto"/>
          <w:kern w:val="0"/>
          <w:sz w:val="24"/>
          <w:szCs w:val="24"/>
          <w:highlight w:val="none"/>
        </w:rPr>
        <w:t>中提供的</w:t>
      </w:r>
      <w:r>
        <w:rPr>
          <w:rFonts w:hint="eastAsia" w:ascii="宋体" w:hAnsi="宋体" w:eastAsia="宋体" w:cs="宋体"/>
          <w:b/>
          <w:bCs/>
          <w:snapToGrid w:val="0"/>
          <w:color w:val="auto"/>
          <w:kern w:val="0"/>
          <w:sz w:val="24"/>
          <w:szCs w:val="24"/>
          <w:highlight w:val="none"/>
          <w:lang w:eastAsia="zh-CN"/>
        </w:rPr>
        <w:t>安全生产措施费</w:t>
      </w:r>
      <w:r>
        <w:rPr>
          <w:rFonts w:hint="eastAsia" w:ascii="宋体" w:hAnsi="宋体" w:eastAsia="宋体" w:cs="宋体"/>
          <w:b/>
          <w:bCs/>
          <w:snapToGrid w:val="0"/>
          <w:color w:val="auto"/>
          <w:kern w:val="0"/>
          <w:sz w:val="24"/>
          <w:szCs w:val="24"/>
          <w:highlight w:val="none"/>
        </w:rPr>
        <w:t>。</w:t>
      </w:r>
    </w:p>
    <w:p w14:paraId="72E6963D">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snapToGrid w:val="0"/>
          <w:color w:val="auto"/>
          <w:sz w:val="24"/>
          <w:szCs w:val="24"/>
          <w:highlight w:val="none"/>
        </w:rPr>
      </w:pPr>
      <w:r>
        <w:rPr>
          <w:rFonts w:hint="eastAsia" w:ascii="宋体" w:hAnsi="宋体" w:eastAsia="宋体" w:cs="宋体"/>
          <w:b/>
          <w:bCs/>
          <w:snapToGrid w:val="0"/>
          <w:color w:val="auto"/>
          <w:kern w:val="0"/>
          <w:sz w:val="24"/>
          <w:szCs w:val="24"/>
          <w:highlight w:val="none"/>
        </w:rPr>
        <w:t>9.9</w:t>
      </w:r>
      <w:r>
        <w:rPr>
          <w:rFonts w:hint="eastAsia" w:ascii="宋体" w:hAnsi="宋体" w:eastAsia="宋体" w:cs="宋体"/>
          <w:snapToGrid w:val="0"/>
          <w:color w:val="auto"/>
          <w:kern w:val="0"/>
          <w:sz w:val="24"/>
          <w:szCs w:val="24"/>
          <w:highlight w:val="none"/>
        </w:rPr>
        <w:t xml:space="preserve"> 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bookmarkStart w:id="84" w:name="_（十）投标文件的编制、包装、密封"/>
      <w:bookmarkEnd w:id="84"/>
      <w:bookmarkStart w:id="85" w:name="_Toc721"/>
      <w:bookmarkStart w:id="86" w:name="_Toc11437"/>
      <w:bookmarkStart w:id="87" w:name="_Toc28889"/>
    </w:p>
    <w:p w14:paraId="68ED725C">
      <w:pPr>
        <w:rPr>
          <w:rFonts w:hint="eastAsia"/>
        </w:rPr>
      </w:pPr>
    </w:p>
    <w:bookmarkEnd w:id="85"/>
    <w:bookmarkEnd w:id="86"/>
    <w:bookmarkEnd w:id="87"/>
    <w:p w14:paraId="1D853762">
      <w:pPr>
        <w:pStyle w:val="5"/>
        <w:pageBreakBefore w:val="0"/>
        <w:kinsoku/>
        <w:overflowPunct/>
        <w:topLinePunct w:val="0"/>
        <w:autoSpaceDE/>
        <w:autoSpaceDN/>
        <w:bidi w:val="0"/>
        <w:spacing w:beforeLines="0" w:afterLines="0" w:line="360" w:lineRule="auto"/>
        <w:ind w:left="0" w:leftChars="0" w:right="0" w:firstLine="482" w:firstLineChars="200"/>
        <w:rPr>
          <w:rFonts w:hint="eastAsia" w:ascii="宋体" w:hAnsi="宋体" w:eastAsia="宋体" w:cs="宋体"/>
          <w:color w:val="auto"/>
          <w:sz w:val="24"/>
          <w:szCs w:val="24"/>
        </w:rPr>
      </w:pPr>
      <w:bookmarkStart w:id="88" w:name="_Toc15652"/>
      <w:bookmarkStart w:id="89" w:name="_Hlt121629839"/>
      <w:r>
        <w:rPr>
          <w:rFonts w:hint="eastAsia" w:ascii="宋体" w:hAnsi="宋体" w:eastAsia="宋体" w:cs="宋体"/>
          <w:color w:val="auto"/>
          <w:sz w:val="24"/>
          <w:szCs w:val="24"/>
        </w:rPr>
        <w:t>10．投标文件的编制</w:t>
      </w:r>
      <w:bookmarkStart w:id="90" w:name="_Hlt69208262"/>
      <w:bookmarkEnd w:id="90"/>
      <w:bookmarkStart w:id="91" w:name="_Hlt69332370"/>
      <w:bookmarkEnd w:id="91"/>
      <w:r>
        <w:rPr>
          <w:rFonts w:hint="eastAsia" w:ascii="宋体" w:hAnsi="宋体" w:eastAsia="宋体" w:cs="宋体"/>
          <w:color w:val="auto"/>
          <w:sz w:val="24"/>
          <w:szCs w:val="24"/>
        </w:rPr>
        <w:t>要求</w:t>
      </w:r>
      <w:bookmarkEnd w:id="88"/>
      <w:bookmarkStart w:id="92" w:name="_Hlt74495594"/>
      <w:bookmarkEnd w:id="92"/>
      <w:bookmarkStart w:id="93" w:name="_Hlt74497202"/>
      <w:bookmarkEnd w:id="93"/>
      <w:bookmarkStart w:id="94" w:name="_Hlt78768224"/>
      <w:bookmarkEnd w:id="94"/>
      <w:bookmarkStart w:id="95" w:name="_Toc17114"/>
    </w:p>
    <w:p w14:paraId="59672748">
      <w:pPr>
        <w:pStyle w:val="5"/>
        <w:keepNext w:val="0"/>
        <w:keepLines w:val="0"/>
        <w:pageBreakBefore w:val="0"/>
        <w:kinsoku/>
        <w:wordWrap w:val="0"/>
        <w:overflowPunct/>
        <w:topLinePunct w:val="0"/>
        <w:autoSpaceDE/>
        <w:autoSpaceDN/>
        <w:bidi w:val="0"/>
        <w:adjustRightInd w:val="0"/>
        <w:snapToGrid w:val="0"/>
        <w:spacing w:beforeLines="0" w:afterLines="0" w:line="360" w:lineRule="auto"/>
        <w:ind w:left="0" w:leftChars="0" w:right="0" w:firstLine="482" w:firstLineChars="200"/>
        <w:jc w:val="both"/>
        <w:rPr>
          <w:rFonts w:hint="eastAsia" w:ascii="宋体" w:hAnsi="宋体" w:eastAsia="宋体" w:cs="宋体"/>
          <w:b/>
          <w:snapToGrid w:val="0"/>
          <w:color w:val="auto"/>
          <w:kern w:val="0"/>
          <w:sz w:val="24"/>
          <w:szCs w:val="24"/>
          <w:highlight w:val="none"/>
        </w:rPr>
      </w:pPr>
      <w:bookmarkStart w:id="96" w:name="_Toc8710"/>
      <w:bookmarkStart w:id="97" w:name="_Toc15062"/>
      <w:bookmarkStart w:id="98" w:name="_Toc3493"/>
      <w:bookmarkStart w:id="99" w:name="_Toc32090"/>
      <w:r>
        <w:rPr>
          <w:rFonts w:hint="eastAsia" w:ascii="宋体" w:hAnsi="宋体" w:eastAsia="宋体" w:cs="宋体"/>
          <w:b/>
          <w:bCs/>
          <w:snapToGrid w:val="0"/>
          <w:color w:val="auto"/>
          <w:kern w:val="0"/>
          <w:sz w:val="24"/>
          <w:szCs w:val="24"/>
          <w:highlight w:val="none"/>
        </w:rPr>
        <w:t>10.1</w:t>
      </w:r>
      <w:r>
        <w:rPr>
          <w:rFonts w:hint="eastAsia" w:ascii="宋体" w:hAnsi="宋体" w:eastAsia="宋体" w:cs="宋体"/>
          <w:bCs/>
          <w:snapToGrid w:val="0"/>
          <w:color w:val="auto"/>
          <w:kern w:val="0"/>
          <w:sz w:val="24"/>
          <w:szCs w:val="24"/>
          <w:highlight w:val="none"/>
        </w:rPr>
        <w:t xml:space="preserve"> 一般要求</w:t>
      </w:r>
      <w:bookmarkEnd w:id="95"/>
      <w:bookmarkEnd w:id="96"/>
      <w:bookmarkEnd w:id="97"/>
      <w:bookmarkEnd w:id="98"/>
      <w:bookmarkEnd w:id="99"/>
    </w:p>
    <w:p w14:paraId="7042858A">
      <w:pPr>
        <w:pStyle w:val="12"/>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投标文件应按第六章 投标文件格式规定的内容，投标人提交的投标文件应当使用招标文件所提供的投标文件全部格式。</w:t>
      </w:r>
    </w:p>
    <w:p w14:paraId="4B261205">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10.1.1</w:t>
      </w:r>
      <w:r>
        <w:rPr>
          <w:rFonts w:hint="eastAsia" w:ascii="宋体" w:hAnsi="宋体" w:eastAsia="宋体" w:cs="宋体"/>
          <w:snapToGrid w:val="0"/>
          <w:color w:val="auto"/>
          <w:kern w:val="0"/>
          <w:sz w:val="24"/>
          <w:szCs w:val="24"/>
          <w:highlight w:val="none"/>
        </w:rPr>
        <w:t xml:space="preserve"> 投标人必须响应招标文件，并在充分理解招标人提供的全部文件、设计图纸、资料及现场条件的基础</w:t>
      </w:r>
      <w:bookmarkStart w:id="100" w:name="_Hlt78709790"/>
      <w:bookmarkEnd w:id="100"/>
      <w:r>
        <w:rPr>
          <w:rFonts w:hint="eastAsia" w:ascii="宋体" w:hAnsi="宋体" w:eastAsia="宋体" w:cs="宋体"/>
          <w:snapToGrid w:val="0"/>
          <w:color w:val="auto"/>
          <w:kern w:val="0"/>
          <w:sz w:val="24"/>
          <w:szCs w:val="24"/>
          <w:highlight w:val="none"/>
        </w:rPr>
        <w:t>上编制投标文件。因投标文件不符合招标文件的要求而造成的损失和后果，由投标人自行承担。</w:t>
      </w:r>
      <w:bookmarkStart w:id="101" w:name="_Hlt74496890"/>
      <w:bookmarkEnd w:id="101"/>
    </w:p>
    <w:p w14:paraId="4FBAC89E">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10.1.2</w:t>
      </w:r>
      <w:r>
        <w:rPr>
          <w:rFonts w:hint="eastAsia" w:ascii="宋体" w:hAnsi="宋体" w:eastAsia="宋体" w:cs="宋体"/>
          <w:snapToGrid w:val="0"/>
          <w:color w:val="auto"/>
          <w:kern w:val="0"/>
          <w:sz w:val="24"/>
          <w:szCs w:val="24"/>
          <w:highlight w:val="none"/>
        </w:rPr>
        <w:t xml:space="preserve"> 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w:t>
      </w:r>
      <w:r>
        <w:rPr>
          <w:rFonts w:hint="eastAsia" w:ascii="宋体" w:hAnsi="宋体" w:eastAsia="宋体" w:cs="宋体"/>
          <w:snapToGrid w:val="0"/>
          <w:color w:val="auto"/>
          <w:kern w:val="0"/>
          <w:sz w:val="24"/>
          <w:szCs w:val="24"/>
          <w:highlight w:val="none"/>
          <w:lang w:eastAsia="zh-CN"/>
        </w:rPr>
        <w:t>全国公共资源交易平台（广东省·韶关市）</w:t>
      </w:r>
      <w:r>
        <w:rPr>
          <w:rFonts w:hint="eastAsia" w:ascii="宋体" w:hAnsi="宋体" w:eastAsia="宋体" w:cs="宋体"/>
          <w:snapToGrid w:val="0"/>
          <w:color w:val="auto"/>
          <w:kern w:val="0"/>
          <w:sz w:val="24"/>
          <w:szCs w:val="24"/>
          <w:highlight w:val="none"/>
        </w:rPr>
        <w:t>交易指引。</w:t>
      </w:r>
    </w:p>
    <w:p w14:paraId="3188623D">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w:t>
      </w:r>
      <w:r>
        <w:rPr>
          <w:rFonts w:hint="eastAsia" w:ascii="宋体" w:hAnsi="宋体" w:eastAsia="宋体" w:cs="宋体"/>
          <w:snapToGrid w:val="0"/>
          <w:color w:val="auto"/>
          <w:kern w:val="0"/>
          <w:sz w:val="24"/>
          <w:szCs w:val="24"/>
          <w:highlight w:val="none"/>
        </w:rPr>
        <w:t>投标文件需按以下要求签字、盖章：电子投标文件：</w:t>
      </w:r>
    </w:p>
    <w:p w14:paraId="6012A029">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10.1.3.1</w:t>
      </w:r>
      <w:r>
        <w:rPr>
          <w:rFonts w:hint="eastAsia" w:ascii="宋体" w:hAnsi="宋体" w:eastAsia="宋体" w:cs="宋体"/>
          <w:snapToGrid w:val="0"/>
          <w:color w:val="auto"/>
          <w:kern w:val="0"/>
          <w:sz w:val="24"/>
          <w:szCs w:val="24"/>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65CB7E9D">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10.1.3.2</w:t>
      </w:r>
      <w:r>
        <w:rPr>
          <w:rFonts w:hint="eastAsia" w:ascii="宋体" w:hAnsi="宋体" w:eastAsia="宋体" w:cs="宋体"/>
          <w:snapToGrid w:val="0"/>
          <w:color w:val="auto"/>
          <w:kern w:val="0"/>
          <w:sz w:val="24"/>
          <w:szCs w:val="24"/>
          <w:highlight w:val="none"/>
        </w:rPr>
        <w:t>投标文件封套、封面、组成内容中凡要求录入投标人名称且注明“盖单位章”处盖单位法人公章（电子印章）。</w:t>
      </w:r>
    </w:p>
    <w:p w14:paraId="76BF475D">
      <w:pPr>
        <w:pStyle w:val="12"/>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10.1.3.3 </w:t>
      </w:r>
      <w:r>
        <w:rPr>
          <w:rFonts w:hint="eastAsia" w:ascii="宋体" w:hAnsi="宋体" w:eastAsia="宋体" w:cs="宋体"/>
          <w:snapToGrid w:val="0"/>
          <w:color w:val="auto"/>
          <w:kern w:val="0"/>
          <w:sz w:val="24"/>
          <w:szCs w:val="24"/>
          <w:highlight w:val="none"/>
        </w:rPr>
        <w:t>投标文件的签字均为签字人本人亲笔署名或签章（电子印章），其余部分的复印件无须另行签字、盖章。</w:t>
      </w:r>
    </w:p>
    <w:p w14:paraId="557D78DE">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10.1.3.4</w:t>
      </w:r>
      <w:r>
        <w:rPr>
          <w:rFonts w:hint="eastAsia" w:ascii="宋体" w:hAnsi="宋体" w:eastAsia="宋体" w:cs="宋体"/>
          <w:snapToGrid w:val="0"/>
          <w:color w:val="auto"/>
          <w:kern w:val="0"/>
          <w:sz w:val="24"/>
          <w:szCs w:val="24"/>
          <w:highlight w:val="none"/>
        </w:rPr>
        <w:t xml:space="preserve"> 联合体投标的，除《联合体协议书》外，由联合体牵头人按以上要求签亲笔署名或签章（电子印章）即可。</w:t>
      </w:r>
      <w:bookmarkStart w:id="102" w:name="_Toc29774"/>
      <w:bookmarkStart w:id="103" w:name="_Toc257031159"/>
      <w:bookmarkStart w:id="104" w:name="_Toc274313880"/>
    </w:p>
    <w:p w14:paraId="56CC41CD">
      <w:pPr>
        <w:pStyle w:val="5"/>
        <w:keepNext w:val="0"/>
        <w:keepLines w:val="0"/>
        <w:pageBreakBefore w:val="0"/>
        <w:kinsoku/>
        <w:wordWrap w:val="0"/>
        <w:overflowPunct/>
        <w:topLinePunct w:val="0"/>
        <w:autoSpaceDE/>
        <w:autoSpaceDN/>
        <w:bidi w:val="0"/>
        <w:adjustRightInd w:val="0"/>
        <w:snapToGrid w:val="0"/>
        <w:spacing w:beforeLines="0" w:afterLines="0" w:line="360" w:lineRule="auto"/>
        <w:ind w:left="0" w:leftChars="0" w:right="0" w:firstLine="482" w:firstLineChars="200"/>
        <w:jc w:val="both"/>
        <w:rPr>
          <w:rFonts w:hint="eastAsia" w:ascii="宋体" w:hAnsi="宋体" w:eastAsia="宋体" w:cs="宋体"/>
          <w:b w:val="0"/>
          <w:bCs w:val="0"/>
          <w:snapToGrid w:val="0"/>
          <w:color w:val="auto"/>
          <w:kern w:val="0"/>
          <w:sz w:val="24"/>
          <w:szCs w:val="24"/>
          <w:highlight w:val="none"/>
        </w:rPr>
      </w:pPr>
      <w:bookmarkStart w:id="105" w:name="_Toc18037"/>
      <w:bookmarkStart w:id="106" w:name="_Toc3004"/>
      <w:bookmarkStart w:id="107" w:name="_Toc2278"/>
      <w:bookmarkStart w:id="108" w:name="_Toc27367"/>
      <w:r>
        <w:rPr>
          <w:rFonts w:hint="eastAsia" w:ascii="宋体" w:hAnsi="宋体" w:eastAsia="宋体" w:cs="宋体"/>
          <w:b/>
          <w:bCs/>
          <w:snapToGrid w:val="0"/>
          <w:color w:val="auto"/>
          <w:kern w:val="0"/>
          <w:sz w:val="24"/>
          <w:szCs w:val="24"/>
          <w:highlight w:val="none"/>
        </w:rPr>
        <w:t xml:space="preserve">10.2 </w:t>
      </w:r>
      <w:r>
        <w:rPr>
          <w:rFonts w:hint="eastAsia" w:ascii="宋体" w:hAnsi="宋体" w:eastAsia="宋体" w:cs="宋体"/>
          <w:b w:val="0"/>
          <w:bCs w:val="0"/>
          <w:snapToGrid w:val="0"/>
          <w:color w:val="auto"/>
          <w:kern w:val="0"/>
          <w:sz w:val="24"/>
          <w:szCs w:val="24"/>
          <w:highlight w:val="none"/>
        </w:rPr>
        <w:t>商务标书的编制要求</w:t>
      </w:r>
      <w:bookmarkEnd w:id="102"/>
      <w:bookmarkEnd w:id="103"/>
      <w:bookmarkEnd w:id="104"/>
      <w:bookmarkEnd w:id="105"/>
      <w:bookmarkEnd w:id="106"/>
      <w:bookmarkEnd w:id="107"/>
      <w:bookmarkEnd w:id="108"/>
    </w:p>
    <w:p w14:paraId="6599076A">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u w:val="single"/>
        </w:rPr>
      </w:pP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bCs/>
          <w:snapToGrid w:val="0"/>
          <w:color w:val="auto"/>
          <w:kern w:val="0"/>
          <w:sz w:val="24"/>
          <w:szCs w:val="24"/>
          <w:highlight w:val="none"/>
        </w:rPr>
        <w:t>商务标书</w:t>
      </w:r>
      <w:r>
        <w:rPr>
          <w:rFonts w:hint="eastAsia" w:ascii="宋体" w:hAnsi="宋体" w:eastAsia="宋体" w:cs="宋体"/>
          <w:snapToGrid w:val="0"/>
          <w:color w:val="auto"/>
          <w:kern w:val="0"/>
          <w:sz w:val="24"/>
          <w:szCs w:val="24"/>
          <w:highlight w:val="none"/>
        </w:rPr>
        <w:t>包括但不限于以下内容：</w:t>
      </w:r>
    </w:p>
    <w:p w14:paraId="57244A7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334047B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（2）目录； </w:t>
      </w:r>
    </w:p>
    <w:p w14:paraId="259C4E97">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（3）《投标函》（格式二）；</w:t>
      </w:r>
    </w:p>
    <w:p w14:paraId="11BEC83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（4）《各项承诺一览表》（格式三）；</w:t>
      </w:r>
    </w:p>
    <w:p w14:paraId="37F2EC2F">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（5）《授权委托书》（格式四）；</w:t>
      </w:r>
    </w:p>
    <w:p w14:paraId="3969470A">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（6）《法定代表人身份证明》（格式五）；</w:t>
      </w:r>
    </w:p>
    <w:p w14:paraId="25A3E1B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（7）《联合体协议书》（格式六）及所附资料；</w:t>
      </w:r>
    </w:p>
    <w:p w14:paraId="3EA17C45">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（8）投标保证缴纳证明（投标人采用投标保证金的，附建设工程交易系统《缴纳投标保证金通知书》页面截图打印件和银行转账单</w:t>
      </w:r>
      <w:r>
        <w:rPr>
          <w:rFonts w:hint="eastAsia" w:ascii="宋体" w:hAnsi="宋体" w:eastAsia="宋体" w:cs="宋体"/>
          <w:snapToGrid w:val="0"/>
          <w:color w:val="auto"/>
          <w:kern w:val="0"/>
          <w:sz w:val="24"/>
          <w:szCs w:val="24"/>
          <w:highlight w:val="none"/>
          <w:lang w:val="en-US" w:eastAsia="zh-CN"/>
        </w:rPr>
        <w:t>彩色扫描件</w:t>
      </w:r>
      <w:r>
        <w:rPr>
          <w:rFonts w:hint="eastAsia" w:ascii="宋体" w:hAnsi="宋体" w:eastAsia="宋体" w:cs="宋体"/>
          <w:snapToGrid w:val="0"/>
          <w:color w:val="auto"/>
          <w:kern w:val="0"/>
          <w:sz w:val="24"/>
          <w:szCs w:val="24"/>
          <w:highlight w:val="none"/>
        </w:rPr>
        <w:t>；采用投标保证担保的，附银行保函</w:t>
      </w:r>
      <w:r>
        <w:rPr>
          <w:rFonts w:hint="eastAsia" w:ascii="宋体" w:hAnsi="宋体" w:eastAsia="宋体" w:cs="宋体"/>
          <w:snapToGrid w:val="0"/>
          <w:color w:val="auto"/>
          <w:kern w:val="0"/>
          <w:sz w:val="24"/>
          <w:szCs w:val="24"/>
          <w:highlight w:val="none"/>
          <w:lang w:val="en-US" w:eastAsia="zh-CN"/>
        </w:rPr>
        <w:t>彩色扫描件</w:t>
      </w:r>
      <w:r>
        <w:rPr>
          <w:rFonts w:hint="eastAsia" w:ascii="宋体" w:hAnsi="宋体" w:eastAsia="宋体" w:cs="宋体"/>
          <w:snapToGrid w:val="0"/>
          <w:color w:val="auto"/>
          <w:kern w:val="0"/>
          <w:sz w:val="24"/>
          <w:szCs w:val="24"/>
          <w:highlight w:val="none"/>
        </w:rPr>
        <w:t>；采用投标保证保险的，附电子保单和</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韶关市公共资源交易一体化平台保证金缴纳信息</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snapToGrid w:val="0"/>
          <w:color w:val="auto"/>
          <w:kern w:val="0"/>
          <w:sz w:val="24"/>
          <w:szCs w:val="24"/>
          <w:highlight w:val="none"/>
        </w:rPr>
        <w:t>页面截图）；</w:t>
      </w:r>
    </w:p>
    <w:p w14:paraId="0D262DD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（9）《投标人基本情况表》（格式七）及所附资料；</w:t>
      </w:r>
    </w:p>
    <w:p w14:paraId="3180A4A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（10）《项目经理简历表》（格式八）及所附资料；</w:t>
      </w:r>
    </w:p>
    <w:p w14:paraId="479569D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（11）《项目经理任职声明》（格式九）；</w:t>
      </w:r>
    </w:p>
    <w:p w14:paraId="55D40E71">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（12）《项目技术负责人简历表》（格式十）及所附资料；</w:t>
      </w:r>
    </w:p>
    <w:p w14:paraId="17540D2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13</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《专职安全员简历表》（格式十一）及所附资料</w:t>
      </w:r>
      <w:r>
        <w:rPr>
          <w:rFonts w:hint="eastAsia" w:ascii="宋体" w:hAnsi="宋体" w:eastAsia="宋体" w:cs="宋体"/>
          <w:snapToGrid w:val="0"/>
          <w:color w:val="auto"/>
          <w:kern w:val="0"/>
          <w:sz w:val="24"/>
          <w:szCs w:val="24"/>
          <w:highlight w:val="none"/>
          <w:lang w:val="en-US" w:eastAsia="zh-CN"/>
        </w:rPr>
        <w:t>；</w:t>
      </w:r>
    </w:p>
    <w:p w14:paraId="2338B1D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）《项目管理机构组成表》（格式十</w:t>
      </w:r>
      <w:r>
        <w:rPr>
          <w:rFonts w:hint="eastAsia" w:ascii="宋体" w:hAnsi="宋体" w:eastAsia="宋体" w:cs="宋体"/>
          <w:snapToGrid w:val="0"/>
          <w:color w:val="auto"/>
          <w:kern w:val="0"/>
          <w:sz w:val="24"/>
          <w:szCs w:val="24"/>
          <w:highlight w:val="none"/>
          <w:lang w:val="en-US" w:eastAsia="zh-CN"/>
        </w:rPr>
        <w:t>二</w:t>
      </w:r>
      <w:r>
        <w:rPr>
          <w:rFonts w:hint="eastAsia" w:ascii="宋体" w:hAnsi="宋体" w:eastAsia="宋体" w:cs="宋体"/>
          <w:snapToGrid w:val="0"/>
          <w:color w:val="auto"/>
          <w:kern w:val="0"/>
          <w:sz w:val="24"/>
          <w:szCs w:val="24"/>
          <w:highlight w:val="none"/>
        </w:rPr>
        <w:t>）及所附资料；</w:t>
      </w:r>
    </w:p>
    <w:p w14:paraId="10DE681F">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）本节第15.5.1目“评标方法”要求提供的评审资料；</w:t>
      </w:r>
    </w:p>
    <w:p w14:paraId="0A54ABB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投标人认为有必要补充的其他资料。（例如投标人已经工商变更，但其企业资质证书、安全生产许可证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2106DCE8">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10.2.2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10.2.1</w:t>
      </w:r>
      <w:r>
        <w:rPr>
          <w:rFonts w:hint="eastAsia" w:ascii="宋体" w:hAnsi="宋体" w:eastAsia="宋体" w:cs="宋体"/>
          <w:snapToGrid w:val="0"/>
          <w:color w:val="auto"/>
          <w:kern w:val="0"/>
          <w:sz w:val="24"/>
          <w:szCs w:val="24"/>
          <w:highlight w:val="none"/>
        </w:rPr>
        <w:t>目中所列出的商务标书组成内容中，第（1）至第（1</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）项所有投标人均应提供，</w:t>
      </w:r>
      <w:r>
        <w:rPr>
          <w:rFonts w:hint="eastAsia" w:ascii="宋体" w:hAnsi="宋体" w:eastAsia="宋体" w:cs="宋体"/>
          <w:b/>
          <w:bCs/>
          <w:snapToGrid w:val="0"/>
          <w:color w:val="auto"/>
          <w:kern w:val="0"/>
          <w:sz w:val="24"/>
          <w:szCs w:val="24"/>
          <w:highlight w:val="none"/>
        </w:rPr>
        <w:t>但非联合体投标的，无需提供第（7）项内容。</w:t>
      </w:r>
    </w:p>
    <w:p w14:paraId="2E24DA0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10.2.3</w:t>
      </w:r>
      <w:r>
        <w:rPr>
          <w:rFonts w:hint="eastAsia" w:ascii="宋体" w:hAnsi="宋体" w:eastAsia="宋体" w:cs="宋体"/>
          <w:b w:val="0"/>
          <w:bCs w:val="0"/>
          <w:snapToGrid w:val="0"/>
          <w:color w:val="auto"/>
          <w:kern w:val="0"/>
          <w:sz w:val="24"/>
          <w:szCs w:val="24"/>
          <w:highlight w:val="none"/>
          <w:lang w:val="en-US" w:eastAsia="zh-CN"/>
        </w:rPr>
        <w:t>商务标书的组成内容按本节第 10.2.1 目规定的顺序整理、编排后，逐页（页码起始从封面开始）连续标记页码。</w:t>
      </w:r>
    </w:p>
    <w:p w14:paraId="5E0D2034">
      <w:pPr>
        <w:pStyle w:val="5"/>
        <w:keepNext w:val="0"/>
        <w:keepLines w:val="0"/>
        <w:pageBreakBefore w:val="0"/>
        <w:kinsoku/>
        <w:wordWrap w:val="0"/>
        <w:overflowPunct/>
        <w:topLinePunct w:val="0"/>
        <w:autoSpaceDE/>
        <w:autoSpaceDN/>
        <w:bidi w:val="0"/>
        <w:adjustRightInd w:val="0"/>
        <w:snapToGrid w:val="0"/>
        <w:spacing w:beforeLines="0" w:afterLines="0" w:line="360" w:lineRule="auto"/>
        <w:ind w:left="0" w:leftChars="0" w:right="0" w:firstLine="482" w:firstLineChars="200"/>
        <w:jc w:val="both"/>
        <w:rPr>
          <w:rFonts w:hint="eastAsia" w:ascii="宋体" w:hAnsi="宋体" w:eastAsia="宋体" w:cs="宋体"/>
          <w:b/>
          <w:bCs/>
          <w:snapToGrid w:val="0"/>
          <w:color w:val="auto"/>
          <w:kern w:val="0"/>
          <w:sz w:val="24"/>
          <w:szCs w:val="24"/>
          <w:highlight w:val="none"/>
        </w:rPr>
      </w:pPr>
      <w:bookmarkStart w:id="109" w:name="_Toc24061"/>
      <w:bookmarkStart w:id="110" w:name="_Toc30069"/>
      <w:bookmarkStart w:id="111" w:name="_Toc23486"/>
      <w:bookmarkStart w:id="112" w:name="_Toc1257"/>
      <w:bookmarkStart w:id="113" w:name="_Toc6621"/>
      <w:bookmarkStart w:id="114" w:name="_Toc274313881"/>
      <w:r>
        <w:rPr>
          <w:rFonts w:hint="eastAsia" w:ascii="宋体" w:hAnsi="宋体" w:eastAsia="宋体" w:cs="宋体"/>
          <w:b/>
          <w:bCs/>
          <w:snapToGrid w:val="0"/>
          <w:color w:val="auto"/>
          <w:kern w:val="0"/>
          <w:sz w:val="24"/>
          <w:szCs w:val="24"/>
          <w:highlight w:val="none"/>
        </w:rPr>
        <w:t>10.3</w:t>
      </w:r>
      <w:bookmarkStart w:id="115" w:name="_Hlt69670035"/>
      <w:bookmarkEnd w:id="115"/>
      <w:r>
        <w:rPr>
          <w:rFonts w:hint="eastAsia" w:ascii="宋体" w:hAnsi="宋体" w:eastAsia="宋体" w:cs="宋体"/>
          <w:b/>
          <w:bCs/>
          <w:snapToGrid w:val="0"/>
          <w:color w:val="auto"/>
          <w:kern w:val="0"/>
          <w:sz w:val="24"/>
          <w:szCs w:val="24"/>
          <w:highlight w:val="none"/>
        </w:rPr>
        <w:t xml:space="preserve"> 经济标书的编制要求</w:t>
      </w:r>
      <w:bookmarkEnd w:id="109"/>
      <w:bookmarkEnd w:id="110"/>
      <w:bookmarkEnd w:id="111"/>
      <w:bookmarkEnd w:id="112"/>
      <w:bookmarkEnd w:id="113"/>
      <w:bookmarkEnd w:id="114"/>
    </w:p>
    <w:p w14:paraId="7CEA28A2">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 xml:space="preserve"> 经济标书包括以下内容：</w:t>
      </w:r>
    </w:p>
    <w:p w14:paraId="19ADA4F4">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00FD861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185A08A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（3）《投标总价》；</w:t>
      </w:r>
    </w:p>
    <w:p w14:paraId="1D9C0D47">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说明：《投标总价》的格式按照</w:t>
      </w:r>
      <w:r>
        <w:rPr>
          <w:rFonts w:hint="eastAsia" w:ascii="宋体" w:hAnsi="宋体" w:eastAsia="宋体" w:cs="宋体"/>
          <w:snapToGrid w:val="0"/>
          <w:color w:val="auto"/>
          <w:kern w:val="0"/>
          <w:sz w:val="24"/>
          <w:szCs w:val="24"/>
          <w:highlight w:val="none"/>
          <w:lang w:val="en-US" w:eastAsia="zh-CN"/>
        </w:rPr>
        <w:t>《建设工程工程量清单计价标准》(GB/T50500-2024)</w:t>
      </w:r>
      <w:r>
        <w:rPr>
          <w:rFonts w:hint="eastAsia" w:ascii="宋体" w:hAnsi="宋体" w:eastAsia="宋体" w:cs="宋体"/>
          <w:snapToGrid w:val="0"/>
          <w:color w:val="auto"/>
          <w:kern w:val="0"/>
          <w:sz w:val="24"/>
          <w:szCs w:val="24"/>
          <w:highlight w:val="none"/>
        </w:rPr>
        <w:t>执行，并应满足以下要求：</w:t>
      </w:r>
    </w:p>
    <w:p w14:paraId="62970EB2">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w:t>
      </w:r>
      <w:r>
        <w:rPr>
          <w:rFonts w:hint="eastAsia" w:ascii="宋体" w:hAnsi="宋体" w:eastAsia="宋体" w:cs="宋体"/>
          <w:color w:val="auto"/>
          <w:spacing w:val="-2"/>
          <w:sz w:val="24"/>
          <w:szCs w:val="24"/>
          <w:highlight w:val="none"/>
        </w:rPr>
        <w:t>《投标总价》后应附编制人的造价工程师注册证书彩色扫描件（须扫描至变更注册栏，</w:t>
      </w:r>
      <w:r>
        <w:rPr>
          <w:rFonts w:hint="eastAsia" w:ascii="宋体" w:hAnsi="宋体" w:eastAsia="宋体" w:cs="宋体"/>
          <w:b w:val="0"/>
          <w:bCs w:val="0"/>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并在该页后附造价咨询人的营业执照扫描件。</w:t>
      </w:r>
    </w:p>
    <w:p w14:paraId="37409A4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w:t>
      </w:r>
      <w:bookmarkStart w:id="116" w:name="_Hlt69699579"/>
      <w:bookmarkEnd w:id="116"/>
      <w:r>
        <w:rPr>
          <w:rFonts w:hint="eastAsia" w:ascii="宋体" w:hAnsi="宋体" w:eastAsia="宋体" w:cs="宋体"/>
          <w:snapToGrid w:val="0"/>
          <w:color w:val="auto"/>
          <w:kern w:val="0"/>
          <w:sz w:val="24"/>
          <w:szCs w:val="24"/>
          <w:highlight w:val="none"/>
        </w:rPr>
        <w:t>投标人认为有必要补充的其他资料（例如关于投标总价下浮率超过15%的书面说明和佐证材料）。</w:t>
      </w:r>
    </w:p>
    <w:p w14:paraId="18AF6EA4">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10.3.2</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10.3.1</w:t>
      </w:r>
      <w:r>
        <w:rPr>
          <w:rFonts w:hint="eastAsia" w:ascii="宋体" w:hAnsi="宋体" w:eastAsia="宋体" w:cs="宋体"/>
          <w:snapToGrid w:val="0"/>
          <w:color w:val="auto"/>
          <w:kern w:val="0"/>
          <w:sz w:val="24"/>
          <w:szCs w:val="24"/>
          <w:highlight w:val="none"/>
        </w:rPr>
        <w:t>目中所列出的经济标书组成内容中，第（1）至第（3）项所有投标人均应提供</w:t>
      </w:r>
      <w:bookmarkStart w:id="117" w:name="_Hlt145127239"/>
      <w:bookmarkEnd w:id="117"/>
      <w:bookmarkStart w:id="118" w:name="_Toc7035"/>
      <w:r>
        <w:rPr>
          <w:rFonts w:hint="eastAsia" w:ascii="宋体" w:hAnsi="宋体" w:eastAsia="宋体" w:cs="宋体"/>
          <w:snapToGrid w:val="0"/>
          <w:color w:val="auto"/>
          <w:kern w:val="0"/>
          <w:sz w:val="24"/>
          <w:szCs w:val="24"/>
          <w:highlight w:val="none"/>
        </w:rPr>
        <w:t>。</w:t>
      </w:r>
    </w:p>
    <w:p w14:paraId="4DC13290">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10.3.3</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经济标书的组成内容按本节第10.3.1目规定的顺序整理、编排后，逐页（页码起始从封面开始）连续标记页码。</w:t>
      </w:r>
    </w:p>
    <w:p w14:paraId="1108FDA3">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10.4</w:t>
      </w:r>
      <w:r>
        <w:rPr>
          <w:rFonts w:hint="eastAsia" w:ascii="宋体" w:hAnsi="宋体" w:eastAsia="宋体" w:cs="宋体"/>
          <w:bCs/>
          <w:snapToGrid w:val="0"/>
          <w:color w:val="auto"/>
          <w:kern w:val="0"/>
          <w:sz w:val="24"/>
          <w:szCs w:val="24"/>
          <w:highlight w:val="none"/>
        </w:rPr>
        <w:t xml:space="preserve"> 施工组织设计的编制要求</w:t>
      </w:r>
    </w:p>
    <w:p w14:paraId="53FC768B">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10.4.1</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施工组织设计的编制依据包括且不限于</w:t>
      </w:r>
      <w:r>
        <w:rPr>
          <w:rFonts w:hint="eastAsia" w:ascii="宋体" w:hAnsi="宋体" w:eastAsia="宋体" w:cs="宋体"/>
          <w:bCs/>
          <w:snapToGrid w:val="0"/>
          <w:color w:val="auto"/>
          <w:kern w:val="0"/>
          <w:sz w:val="24"/>
          <w:szCs w:val="24"/>
          <w:highlight w:val="none"/>
        </w:rPr>
        <w:t>：</w:t>
      </w:r>
    </w:p>
    <w:p w14:paraId="4792F47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（1）招标文件及</w:t>
      </w:r>
      <w:r>
        <w:rPr>
          <w:rFonts w:hint="eastAsia" w:ascii="宋体" w:hAnsi="宋体" w:eastAsia="宋体" w:cs="宋体"/>
          <w:snapToGrid w:val="0"/>
          <w:color w:val="auto"/>
          <w:kern w:val="0"/>
          <w:sz w:val="24"/>
          <w:szCs w:val="24"/>
          <w:highlight w:val="none"/>
        </w:rPr>
        <w:t>其答疑（或修改）公告；</w:t>
      </w:r>
    </w:p>
    <w:p w14:paraId="00898461">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（2）施工图及相关资料；</w:t>
      </w:r>
    </w:p>
    <w:p w14:paraId="7FFDB39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（3）施工现场情况、工程特点；</w:t>
      </w:r>
    </w:p>
    <w:p w14:paraId="77A22E1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（4）相关法律、法规、规定；</w:t>
      </w:r>
    </w:p>
    <w:p w14:paraId="5F6096B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0FF00AE4">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kern w:val="0"/>
          <w:sz w:val="24"/>
          <w:szCs w:val="24"/>
          <w:highlight w:val="none"/>
        </w:rPr>
        <w:t>（6）企业内部标准、工法。</w:t>
      </w:r>
    </w:p>
    <w:p w14:paraId="215DB10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10.4.2</w:t>
      </w:r>
      <w:r>
        <w:rPr>
          <w:rFonts w:hint="eastAsia" w:ascii="宋体" w:hAnsi="宋体" w:eastAsia="宋体" w:cs="宋体"/>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施工组织设计包括但不限于以下内容：</w:t>
      </w:r>
    </w:p>
    <w:p w14:paraId="118F7F61">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（1）封面（格式一）；</w:t>
      </w:r>
    </w:p>
    <w:p w14:paraId="0418AE01">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（2）目录；</w:t>
      </w:r>
    </w:p>
    <w:p w14:paraId="2941539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（3）总体概述（包括施工程序总体设想及施工段划分等内容）；</w:t>
      </w:r>
    </w:p>
    <w:p w14:paraId="059C77A2">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5247D07A">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（5）质量保证措施（包括质量管理目标；相应保证措施；违约责任承诺等内容）；</w:t>
      </w:r>
    </w:p>
    <w:p w14:paraId="1993F8D7">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（6）施工技术措施（包括关键施工技术、工艺及工程项目实施的重点、难点分析和解决方案；新技术应用与承诺等内容）；</w:t>
      </w:r>
    </w:p>
    <w:p w14:paraId="2608709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（7）绿色施工、安全防护、文明施工措施计划；</w:t>
      </w:r>
    </w:p>
    <w:p w14:paraId="0CB5FB94">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施工现场总平面布置（投标人应递交一份施工现场总平面布置图，绘出现场临时设施布置图表并附文字说明，说明临时设施、加工车间、现场办公、设备及仓储、供电、供水、卫生、生活、道路、消防等设施的情况和布置）；</w:t>
      </w:r>
    </w:p>
    <w:p w14:paraId="7D2AA36C">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i/>
          <w:i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（9）项目管理机构。</w:t>
      </w:r>
    </w:p>
    <w:p w14:paraId="579062E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（10）投标人认为有必要补充的其他内容（例如对总包管理的认识以及对专业分包工程的管理、协调、配合、服务方案）。</w:t>
      </w:r>
    </w:p>
    <w:p w14:paraId="40970C5B">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10.4.3</w:t>
      </w:r>
      <w:r>
        <w:rPr>
          <w:rFonts w:hint="eastAsia" w:ascii="宋体" w:hAnsi="宋体" w:eastAsia="宋体" w:cs="宋体"/>
          <w:snapToGrid w:val="0"/>
          <w:color w:val="auto"/>
          <w:kern w:val="0"/>
          <w:sz w:val="24"/>
          <w:szCs w:val="24"/>
          <w:highlight w:val="none"/>
        </w:rPr>
        <w:t xml:space="preserve"> 本节第</w:t>
      </w:r>
      <w:r>
        <w:rPr>
          <w:rFonts w:hint="eastAsia" w:ascii="宋体" w:hAnsi="宋体" w:eastAsia="宋体" w:cs="宋体"/>
          <w:b/>
          <w:bCs/>
          <w:snapToGrid w:val="0"/>
          <w:color w:val="auto"/>
          <w:kern w:val="0"/>
          <w:sz w:val="24"/>
          <w:szCs w:val="24"/>
          <w:highlight w:val="none"/>
        </w:rPr>
        <w:t>10.4.2</w:t>
      </w:r>
      <w:r>
        <w:rPr>
          <w:rFonts w:hint="eastAsia" w:ascii="宋体" w:hAnsi="宋体" w:eastAsia="宋体" w:cs="宋体"/>
          <w:snapToGrid w:val="0"/>
          <w:color w:val="auto"/>
          <w:kern w:val="0"/>
          <w:sz w:val="24"/>
          <w:szCs w:val="24"/>
          <w:highlight w:val="none"/>
        </w:rPr>
        <w:t>目中所列出的施工组织设计组成内容中，第（1）至第（9）项所有投标人均应提供。</w:t>
      </w:r>
    </w:p>
    <w:p w14:paraId="535615BE">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10.4.4</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施工组织设计的组成内容按本节第10.4.2目规定的顺序整理、编排后，逐页（页码起始从封面开始）连续标记页码。</w:t>
      </w:r>
      <w:r>
        <w:rPr>
          <w:rFonts w:hint="eastAsia" w:ascii="宋体" w:hAnsi="宋体" w:eastAsia="宋体" w:cs="宋体"/>
          <w:snapToGrid w:val="0"/>
          <w:color w:val="auto"/>
          <w:kern w:val="0"/>
          <w:sz w:val="24"/>
          <w:szCs w:val="24"/>
          <w:highlight w:val="none"/>
        </w:rPr>
        <w:t xml:space="preserve">  </w:t>
      </w:r>
    </w:p>
    <w:bookmarkEnd w:id="118"/>
    <w:p w14:paraId="52E748F8">
      <w:pPr>
        <w:rPr>
          <w:rFonts w:hint="eastAsia" w:ascii="宋体" w:hAnsi="宋体" w:eastAsia="宋体" w:cs="宋体"/>
          <w:color w:val="auto"/>
        </w:rPr>
      </w:pPr>
      <w:bookmarkStart w:id="119" w:name="_Toc18012"/>
      <w:bookmarkStart w:id="120" w:name="_Toc32203"/>
    </w:p>
    <w:p w14:paraId="7A9E63DC">
      <w:pPr>
        <w:keepNext w:val="0"/>
        <w:keepLines w:val="0"/>
        <w:pageBreakBefore w:val="0"/>
        <w:widowControl w:val="0"/>
        <w:kinsoku/>
        <w:wordWrap/>
        <w:overflowPunct/>
        <w:topLinePunct w:val="0"/>
        <w:autoSpaceDE/>
        <w:autoSpaceDN/>
        <w:bidi w:val="0"/>
        <w:adjustRightInd/>
        <w:snapToGrid/>
        <w:spacing w:line="360" w:lineRule="auto"/>
        <w:ind w:left="0" w:leftChars="0" w:right="0" w:firstLine="482" w:firstLineChars="200"/>
        <w:textAlignment w:val="auto"/>
        <w:outlineLvl w:val="1"/>
        <w:rPr>
          <w:rFonts w:hint="eastAsia" w:ascii="宋体" w:hAnsi="宋体" w:eastAsia="宋体" w:cs="宋体"/>
          <w:bCs/>
          <w:snapToGrid w:val="0"/>
          <w:color w:val="auto"/>
          <w:sz w:val="24"/>
          <w:szCs w:val="24"/>
          <w:highlight w:val="none"/>
        </w:rPr>
      </w:pPr>
      <w:bookmarkStart w:id="121" w:name="_Toc5963"/>
      <w:r>
        <w:rPr>
          <w:rStyle w:val="156"/>
          <w:rFonts w:hint="eastAsia" w:ascii="宋体" w:hAnsi="宋体" w:eastAsia="宋体" w:cs="宋体"/>
          <w:color w:val="auto"/>
          <w:sz w:val="24"/>
          <w:szCs w:val="24"/>
          <w:lang w:val="en-US" w:eastAsia="zh-CN"/>
        </w:rPr>
        <w:t>11.电子投标</w:t>
      </w:r>
      <w:bookmarkEnd w:id="119"/>
      <w:bookmarkEnd w:id="121"/>
    </w:p>
    <w:p w14:paraId="31CB50F9">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
          <w:snapToGrid w:val="0"/>
          <w:color w:val="auto"/>
          <w:sz w:val="24"/>
          <w:szCs w:val="24"/>
          <w:highlight w:val="none"/>
        </w:rPr>
      </w:pPr>
      <w:bookmarkStart w:id="122" w:name="_Hlt88627590"/>
      <w:bookmarkEnd w:id="122"/>
      <w:r>
        <w:rPr>
          <w:rFonts w:hint="eastAsia" w:ascii="宋体" w:hAnsi="宋体" w:eastAsia="宋体" w:cs="宋体"/>
          <w:b/>
          <w:bCs w:val="0"/>
          <w:snapToGrid w:val="0"/>
          <w:color w:val="auto"/>
          <w:sz w:val="24"/>
          <w:szCs w:val="24"/>
          <w:highlight w:val="none"/>
        </w:rPr>
        <w:t>11.1</w:t>
      </w:r>
      <w:r>
        <w:rPr>
          <w:rFonts w:hint="eastAsia" w:ascii="宋体" w:hAnsi="宋体" w:eastAsia="宋体" w:cs="宋体"/>
          <w:b w:val="0"/>
          <w:bCs/>
          <w:snapToGrid w:val="0"/>
          <w:color w:val="auto"/>
          <w:sz w:val="24"/>
          <w:szCs w:val="24"/>
          <w:highlight w:val="none"/>
          <w:lang w:val="en-US" w:eastAsia="zh-CN"/>
        </w:rPr>
        <w:t>在建设工程交易系统上传加盖了电子印章的投标文件、录入相关信息及标书页码信息，（页码起始从封面开始）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D2DB26E">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bookmarkStart w:id="123" w:name="_Hlt127590288"/>
      <w:bookmarkEnd w:id="123"/>
      <w:r>
        <w:rPr>
          <w:rFonts w:hint="eastAsia" w:ascii="宋体" w:hAnsi="宋体" w:eastAsia="宋体" w:cs="宋体"/>
          <w:b/>
          <w:bCs w:val="0"/>
          <w:snapToGrid w:val="0"/>
          <w:color w:val="auto"/>
          <w:sz w:val="24"/>
          <w:szCs w:val="24"/>
          <w:highlight w:val="none"/>
        </w:rPr>
        <w:t>11.2</w:t>
      </w:r>
      <w:r>
        <w:rPr>
          <w:rFonts w:hint="eastAsia" w:ascii="宋体" w:hAnsi="宋体" w:eastAsia="宋体" w:cs="宋体"/>
          <w:bCs/>
          <w:snapToGrid w:val="0"/>
          <w:color w:val="auto"/>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bookmarkEnd w:id="120"/>
    </w:p>
    <w:p w14:paraId="1CE24FDD">
      <w:pPr>
        <w:rPr>
          <w:rFonts w:hint="eastAsia"/>
          <w:lang w:val="en-US" w:eastAsia="zh-CN"/>
        </w:rPr>
      </w:pPr>
      <w:bookmarkStart w:id="124" w:name="_Toc25051"/>
    </w:p>
    <w:p w14:paraId="28E13027">
      <w:pPr>
        <w:pStyle w:val="138"/>
        <w:keepNext w:val="0"/>
        <w:keepLines w:val="0"/>
        <w:pageBreakBefore w:val="0"/>
        <w:widowControl w:val="0"/>
        <w:kinsoku/>
        <w:wordWrap w:val="0"/>
        <w:overflowPunct/>
        <w:topLinePunct w:val="0"/>
        <w:autoSpaceDE/>
        <w:autoSpaceDN/>
        <w:bidi w:val="0"/>
        <w:adjustRightInd w:val="0"/>
        <w:snapToGrid w:val="0"/>
        <w:spacing w:line="360" w:lineRule="auto"/>
        <w:ind w:right="0" w:firstLine="482" w:firstLineChars="200"/>
        <w:jc w:val="left"/>
        <w:textAlignment w:val="auto"/>
        <w:rPr>
          <w:rStyle w:val="156"/>
          <w:rFonts w:hint="eastAsia" w:ascii="宋体" w:hAnsi="宋体" w:eastAsia="宋体" w:cs="宋体"/>
          <w:color w:val="auto"/>
          <w:kern w:val="2"/>
          <w:sz w:val="24"/>
          <w:szCs w:val="24"/>
          <w:lang w:val="en-US" w:eastAsia="zh-CN" w:bidi="ar-SA"/>
        </w:rPr>
      </w:pPr>
      <w:r>
        <w:rPr>
          <w:rStyle w:val="156"/>
          <w:rFonts w:hint="eastAsia" w:ascii="宋体" w:hAnsi="宋体" w:eastAsia="宋体" w:cs="宋体"/>
          <w:color w:val="auto"/>
          <w:kern w:val="2"/>
          <w:sz w:val="24"/>
          <w:szCs w:val="24"/>
          <w:lang w:val="en-US" w:eastAsia="zh-CN" w:bidi="ar-SA"/>
        </w:rPr>
        <w:t>12.电子投标及投标解密失败及突发情况的补救方案</w:t>
      </w:r>
    </w:p>
    <w:bookmarkEnd w:id="124"/>
    <w:p w14:paraId="2A11A4DB">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Cs/>
          <w:snapToGrid w:val="0"/>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12.1</w:t>
      </w:r>
      <w:r>
        <w:rPr>
          <w:rFonts w:hint="eastAsia" w:ascii="宋体" w:hAnsi="宋体" w:eastAsia="宋体" w:cs="宋体"/>
          <w:bCs/>
          <w:snapToGrid w:val="0"/>
          <w:color w:val="auto"/>
          <w:sz w:val="24"/>
          <w:szCs w:val="24"/>
          <w:highlight w:val="none"/>
        </w:rPr>
        <w:t xml:space="preserve">按照交易平台关于全流程电子化项目的相关指南进行操作。详见：全国公共资源交易平台（广东省·韶关市）（https://ygp.gdzwfw.gov.cn/ggzy-portal/#/440200/index）交易指引栏目发布的最新版操作指引。  </w:t>
      </w:r>
    </w:p>
    <w:p w14:paraId="5A18F35F">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Cs/>
          <w:snapToGrid w:val="0"/>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bidi="ar-SA"/>
        </w:rPr>
        <w:t>12.2</w:t>
      </w:r>
      <w:r>
        <w:rPr>
          <w:rFonts w:hint="eastAsia" w:ascii="宋体" w:hAnsi="宋体" w:eastAsia="宋体" w:cs="宋体"/>
          <w:bCs/>
          <w:snapToGrid w:val="0"/>
          <w:color w:val="auto"/>
          <w:sz w:val="24"/>
          <w:szCs w:val="24"/>
          <w:highlight w:val="none"/>
        </w:rPr>
        <w:t>补救方案：</w:t>
      </w:r>
    </w:p>
    <w:p w14:paraId="73FF47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2" w:firstLineChars="200"/>
        <w:textAlignment w:val="auto"/>
        <w:rPr>
          <w:rFonts w:hint="eastAsia" w:ascii="宋体" w:hAnsi="宋体" w:eastAsia="宋体" w:cs="宋体"/>
          <w:bCs/>
          <w:snapToGrid w:val="0"/>
          <w:color w:val="auto"/>
          <w:sz w:val="24"/>
          <w:szCs w:val="24"/>
          <w:highlight w:val="none"/>
        </w:rPr>
      </w:pPr>
      <w:r>
        <w:rPr>
          <w:rFonts w:hint="eastAsia" w:ascii="宋体" w:hAnsi="宋体" w:eastAsia="宋体" w:cs="宋体"/>
          <w:b/>
          <w:bCs w:val="0"/>
          <w:snapToGrid w:val="0"/>
          <w:color w:val="auto"/>
          <w:sz w:val="24"/>
          <w:szCs w:val="24"/>
          <w:highlight w:val="none"/>
          <w:lang w:val="en-US" w:eastAsia="zh-CN"/>
        </w:rPr>
        <w:t>12.2.1</w:t>
      </w:r>
      <w:r>
        <w:rPr>
          <w:rFonts w:hint="eastAsia" w:ascii="宋体" w:hAnsi="宋体" w:eastAsia="宋体" w:cs="宋体"/>
          <w:bCs/>
          <w:snapToGrid w:val="0"/>
          <w:color w:val="auto"/>
          <w:sz w:val="24"/>
          <w:szCs w:val="24"/>
          <w:highlight w:val="none"/>
        </w:rPr>
        <w:t>投标文件解密失败的补救方案：</w:t>
      </w:r>
    </w:p>
    <w:p w14:paraId="58EDECDB">
      <w:pPr>
        <w:pageBreakBefore w:val="0"/>
        <w:kinsoku/>
        <w:wordWrap w:val="0"/>
        <w:overflowPunct/>
        <w:topLinePunct w:val="0"/>
        <w:autoSpaceDE/>
        <w:autoSpaceDN/>
        <w:bidi w:val="0"/>
        <w:adjustRightInd w:val="0"/>
        <w:spacing w:line="360" w:lineRule="auto"/>
        <w:ind w:left="0" w:leftChars="0" w:right="0"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2778DE7F">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Cs/>
          <w:snapToGrid w:val="0"/>
          <w:color w:val="auto"/>
          <w:sz w:val="24"/>
          <w:szCs w:val="24"/>
          <w:highlight w:val="none"/>
        </w:rPr>
      </w:pPr>
      <w:r>
        <w:rPr>
          <w:rFonts w:hint="eastAsia" w:ascii="宋体" w:hAnsi="宋体" w:eastAsia="宋体" w:cs="宋体"/>
          <w:b/>
          <w:bCs w:val="0"/>
          <w:snapToGrid w:val="0"/>
          <w:color w:val="auto"/>
          <w:sz w:val="24"/>
          <w:szCs w:val="24"/>
          <w:highlight w:val="none"/>
          <w:lang w:val="en-US" w:eastAsia="zh-CN"/>
        </w:rPr>
        <w:t>12.2.2</w:t>
      </w:r>
      <w:r>
        <w:rPr>
          <w:rFonts w:hint="eastAsia" w:ascii="宋体" w:hAnsi="宋体" w:eastAsia="宋体" w:cs="宋体"/>
          <w:bCs/>
          <w:snapToGrid w:val="0"/>
          <w:color w:val="auto"/>
          <w:sz w:val="24"/>
          <w:szCs w:val="24"/>
          <w:highlight w:val="none"/>
        </w:rPr>
        <w:t>评标时突发情况的补救方案</w:t>
      </w:r>
    </w:p>
    <w:p w14:paraId="02506F98">
      <w:pPr>
        <w:pageBreakBefore w:val="0"/>
        <w:kinsoku/>
        <w:wordWrap w:val="0"/>
        <w:overflowPunct/>
        <w:topLinePunct w:val="0"/>
        <w:autoSpaceDE/>
        <w:autoSpaceDN/>
        <w:bidi w:val="0"/>
        <w:adjustRightInd w:val="0"/>
        <w:spacing w:line="360" w:lineRule="auto"/>
        <w:ind w:left="0" w:leftChars="0" w:right="0"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107179AD">
      <w:pPr>
        <w:pageBreakBefore w:val="0"/>
        <w:kinsoku/>
        <w:wordWrap w:val="0"/>
        <w:overflowPunct/>
        <w:topLinePunct w:val="0"/>
        <w:autoSpaceDE/>
        <w:autoSpaceDN/>
        <w:bidi w:val="0"/>
        <w:adjustRightInd w:val="0"/>
        <w:spacing w:line="360" w:lineRule="auto"/>
        <w:ind w:left="0" w:leftChars="0" w:right="0" w:firstLine="482" w:firstLineChars="200"/>
        <w:rPr>
          <w:rFonts w:hint="eastAsia" w:ascii="宋体" w:hAnsi="宋体" w:eastAsia="宋体" w:cs="宋体"/>
          <w:bCs/>
          <w:snapToGrid w:val="0"/>
          <w:color w:val="auto"/>
          <w:kern w:val="2"/>
          <w:sz w:val="24"/>
          <w:szCs w:val="24"/>
          <w:highlight w:val="none"/>
          <w:lang w:val="en-US" w:eastAsia="zh-CN" w:bidi="ar-SA"/>
        </w:rPr>
      </w:pPr>
      <w:r>
        <w:rPr>
          <w:rFonts w:hint="eastAsia" w:ascii="宋体" w:hAnsi="宋体" w:eastAsia="宋体" w:cs="宋体"/>
          <w:b/>
          <w:bCs w:val="0"/>
          <w:snapToGrid w:val="0"/>
          <w:color w:val="auto"/>
          <w:sz w:val="24"/>
          <w:szCs w:val="24"/>
          <w:highlight w:val="none"/>
          <w:lang w:val="en-US" w:eastAsia="zh-CN"/>
        </w:rPr>
        <w:t>12.2.3</w:t>
      </w:r>
      <w:r>
        <w:rPr>
          <w:rFonts w:hint="eastAsia" w:ascii="宋体" w:hAnsi="宋体" w:eastAsia="宋体" w:cs="宋体"/>
          <w:b w:val="0"/>
          <w:bCs/>
          <w:snapToGrid w:val="0"/>
          <w:color w:val="auto"/>
          <w:sz w:val="24"/>
          <w:szCs w:val="24"/>
          <w:highlight w:val="none"/>
          <w:lang w:val="en-US" w:eastAsia="zh-CN"/>
        </w:rPr>
        <w:t>除发生上述情况外，开标评标均以投标人（联合体投标的，由联合体牵头人）通过交易平台网上递交的电子投标文件为准。</w:t>
      </w:r>
    </w:p>
    <w:p w14:paraId="42346281">
      <w:pPr>
        <w:rPr>
          <w:rFonts w:hint="eastAsia" w:ascii="宋体" w:hAnsi="宋体" w:eastAsia="宋体" w:cs="宋体"/>
          <w:color w:val="auto"/>
        </w:rPr>
      </w:pPr>
    </w:p>
    <w:p w14:paraId="34E872B4">
      <w:pPr>
        <w:keepNext w:val="0"/>
        <w:keepLines w:val="0"/>
        <w:pageBreakBefore w:val="0"/>
        <w:widowControl w:val="0"/>
        <w:kinsoku/>
        <w:wordWrap/>
        <w:overflowPunct/>
        <w:topLinePunct w:val="0"/>
        <w:autoSpaceDE/>
        <w:autoSpaceDN/>
        <w:bidi w:val="0"/>
        <w:adjustRightInd/>
        <w:snapToGrid/>
        <w:spacing w:line="360" w:lineRule="auto"/>
        <w:ind w:left="0" w:leftChars="0" w:right="0" w:firstLine="482" w:firstLineChars="200"/>
        <w:textAlignment w:val="auto"/>
        <w:outlineLvl w:val="1"/>
        <w:rPr>
          <w:rStyle w:val="156"/>
          <w:rFonts w:hint="eastAsia" w:ascii="宋体" w:hAnsi="宋体" w:eastAsia="宋体" w:cs="宋体"/>
          <w:color w:val="auto"/>
          <w:sz w:val="24"/>
          <w:szCs w:val="24"/>
          <w:lang w:val="en-US" w:eastAsia="zh-CN"/>
        </w:rPr>
      </w:pPr>
      <w:bookmarkStart w:id="125" w:name="_Toc31800"/>
      <w:r>
        <w:rPr>
          <w:rStyle w:val="156"/>
          <w:rFonts w:hint="eastAsia" w:ascii="宋体" w:hAnsi="宋体" w:eastAsia="宋体" w:cs="宋体"/>
          <w:color w:val="auto"/>
          <w:sz w:val="24"/>
          <w:szCs w:val="24"/>
          <w:lang w:val="en-US" w:eastAsia="zh-CN"/>
        </w:rPr>
        <w:t>13．投标文件的提交</w:t>
      </w:r>
      <w:bookmarkEnd w:id="125"/>
    </w:p>
    <w:p w14:paraId="5BEEDFBF">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13.1</w:t>
      </w:r>
      <w:r>
        <w:rPr>
          <w:rFonts w:hint="eastAsia" w:ascii="宋体" w:hAnsi="宋体" w:eastAsia="宋体" w:cs="宋体"/>
          <w:snapToGrid w:val="0"/>
          <w:color w:val="auto"/>
          <w:kern w:val="0"/>
          <w:sz w:val="24"/>
          <w:szCs w:val="24"/>
          <w:highlight w:val="none"/>
        </w:rPr>
        <w:t>在投标文件提交截止时间前，投标人通过</w:t>
      </w:r>
      <w:r>
        <w:rPr>
          <w:rFonts w:hint="eastAsia" w:ascii="宋体" w:hAnsi="宋体" w:eastAsia="宋体" w:cs="宋体"/>
          <w:bCs/>
          <w:snapToGrid w:val="0"/>
          <w:color w:val="auto"/>
          <w:sz w:val="24"/>
          <w:szCs w:val="24"/>
          <w:highlight w:val="none"/>
        </w:rPr>
        <w:t>全国公共资源交易平台（广东省·韶关市）</w:t>
      </w:r>
      <w:r>
        <w:rPr>
          <w:rFonts w:hint="eastAsia" w:ascii="宋体" w:hAnsi="宋体" w:eastAsia="宋体" w:cs="宋体"/>
          <w:snapToGrid w:val="0"/>
          <w:color w:val="auto"/>
          <w:kern w:val="0"/>
          <w:sz w:val="24"/>
          <w:szCs w:val="24"/>
          <w:highlight w:val="none"/>
        </w:rPr>
        <w:t>提交已加密投标文件。逾期提交的电子投标文件，</w:t>
      </w:r>
      <w:r>
        <w:rPr>
          <w:rFonts w:hint="eastAsia" w:ascii="宋体" w:hAnsi="宋体" w:eastAsia="宋体" w:cs="宋体"/>
          <w:bCs/>
          <w:snapToGrid w:val="0"/>
          <w:color w:val="auto"/>
          <w:sz w:val="24"/>
          <w:szCs w:val="24"/>
          <w:highlight w:val="none"/>
        </w:rPr>
        <w:t>全国公共资源交易平台（广东省·韶关市）</w:t>
      </w:r>
      <w:r>
        <w:rPr>
          <w:rFonts w:hint="eastAsia" w:ascii="宋体" w:hAnsi="宋体" w:eastAsia="宋体" w:cs="宋体"/>
          <w:snapToGrid w:val="0"/>
          <w:color w:val="auto"/>
          <w:kern w:val="0"/>
          <w:sz w:val="24"/>
          <w:szCs w:val="24"/>
          <w:highlight w:val="none"/>
        </w:rPr>
        <w:t>将予以拒收。</w:t>
      </w:r>
    </w:p>
    <w:p w14:paraId="3A866581">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13.2</w:t>
      </w:r>
      <w:r>
        <w:rPr>
          <w:rFonts w:hint="eastAsia" w:ascii="宋体" w:hAnsi="宋体" w:eastAsia="宋体" w:cs="宋体"/>
          <w:snapToGrid w:val="0"/>
          <w:color w:val="auto"/>
          <w:kern w:val="0"/>
          <w:sz w:val="24"/>
          <w:szCs w:val="24"/>
          <w:highlight w:val="none"/>
        </w:rPr>
        <w:t>提交时间和地点：见本章第二节“重要事项时间地点一览表”</w:t>
      </w:r>
    </w:p>
    <w:p w14:paraId="447F6263">
      <w:pPr>
        <w:pStyle w:val="10"/>
        <w:keepNext w:val="0"/>
        <w:keepLines w:val="0"/>
        <w:pageBreakBefore w:val="0"/>
        <w:widowControl w:val="0"/>
        <w:kinsoku/>
        <w:overflowPunct/>
        <w:topLinePunct w:val="0"/>
        <w:autoSpaceDE/>
        <w:autoSpaceDN/>
        <w:bidi w:val="0"/>
        <w:spacing w:line="360" w:lineRule="auto"/>
        <w:ind w:left="0" w:leftChars="0" w:right="0" w:firstLine="482" w:firstLineChars="200"/>
        <w:rPr>
          <w:rFonts w:hint="eastAsia" w:ascii="宋体" w:hAnsi="宋体" w:eastAsia="宋体" w:cs="宋体"/>
          <w:b/>
          <w:bCs/>
          <w:snapToGrid w:val="0"/>
          <w:color w:val="auto"/>
          <w:sz w:val="24"/>
          <w:szCs w:val="24"/>
          <w:highlight w:val="none"/>
        </w:rPr>
      </w:pPr>
      <w:r>
        <w:rPr>
          <w:rFonts w:hint="eastAsia" w:ascii="宋体" w:hAnsi="宋体" w:eastAsia="宋体" w:cs="宋体"/>
          <w:b/>
          <w:bCs/>
          <w:snapToGrid w:val="0"/>
          <w:color w:val="auto"/>
          <w:sz w:val="24"/>
          <w:szCs w:val="24"/>
          <w:highlight w:val="none"/>
        </w:rPr>
        <w:t xml:space="preserve">13.3 </w:t>
      </w:r>
      <w:r>
        <w:rPr>
          <w:rFonts w:hint="eastAsia" w:ascii="宋体" w:hAnsi="宋体" w:eastAsia="宋体" w:cs="宋体"/>
          <w:snapToGrid w:val="0"/>
          <w:color w:val="auto"/>
          <w:kern w:val="0"/>
          <w:sz w:val="24"/>
          <w:szCs w:val="24"/>
          <w:highlight w:val="none"/>
        </w:rPr>
        <w:t>递交时间和地点：投标人如有招标文件要求提交的用于评审的证书、证件、证明原件（附一式两份清单），由投标人法定代表人或其委托代理人在指定的时间和地点递交（见“重要事项时间地点一览表”）</w:t>
      </w:r>
    </w:p>
    <w:p w14:paraId="3B250463">
      <w:pPr>
        <w:pStyle w:val="10"/>
        <w:keepNext w:val="0"/>
        <w:keepLines w:val="0"/>
        <w:pageBreakBefore w:val="0"/>
        <w:widowControl w:val="0"/>
        <w:kinsoku/>
        <w:overflowPunct/>
        <w:topLinePunct w:val="0"/>
        <w:autoSpaceDE/>
        <w:autoSpaceDN/>
        <w:bidi w:val="0"/>
        <w:spacing w:line="360" w:lineRule="auto"/>
        <w:ind w:left="0" w:leftChars="0" w:right="0" w:firstLine="482" w:firstLineChars="200"/>
        <w:rPr>
          <w:rFonts w:hint="eastAsia" w:ascii="宋体" w:hAnsi="宋体" w:eastAsia="宋体" w:cs="宋体"/>
          <w:bCs/>
          <w:snapToGrid w:val="0"/>
          <w:color w:val="auto"/>
          <w:sz w:val="24"/>
          <w:szCs w:val="24"/>
          <w:highlight w:val="none"/>
          <w:lang w:val="en-US" w:eastAsia="zh-CN"/>
        </w:rPr>
      </w:pPr>
      <w:r>
        <w:rPr>
          <w:rFonts w:hint="eastAsia" w:ascii="宋体" w:hAnsi="宋体" w:eastAsia="宋体" w:cs="宋体"/>
          <w:b/>
          <w:bCs w:val="0"/>
          <w:snapToGrid w:val="0"/>
          <w:color w:val="auto"/>
          <w:sz w:val="24"/>
          <w:szCs w:val="24"/>
          <w:highlight w:val="none"/>
          <w:lang w:val="en-US" w:eastAsia="zh-CN"/>
        </w:rPr>
        <w:t xml:space="preserve">13.4 </w:t>
      </w:r>
      <w:r>
        <w:rPr>
          <w:rFonts w:hint="eastAsia" w:ascii="宋体" w:hAnsi="宋体" w:eastAsia="宋体" w:cs="宋体"/>
          <w:snapToGrid w:val="0"/>
          <w:color w:val="auto"/>
          <w:kern w:val="0"/>
          <w:sz w:val="24"/>
          <w:szCs w:val="24"/>
          <w:highlight w:val="none"/>
        </w:rPr>
        <w:t>代理机构对因不可抗力事件造成的投标文件的损坏、丢失的，不承担责任。</w:t>
      </w:r>
    </w:p>
    <w:p w14:paraId="0D98FEB5">
      <w:pPr>
        <w:pStyle w:val="10"/>
        <w:keepNext w:val="0"/>
        <w:keepLines w:val="0"/>
        <w:pageBreakBefore w:val="0"/>
        <w:widowControl w:val="0"/>
        <w:kinsoku/>
        <w:overflowPunct/>
        <w:topLinePunct w:val="0"/>
        <w:autoSpaceDE/>
        <w:autoSpaceDN/>
        <w:bidi w:val="0"/>
        <w:spacing w:line="360" w:lineRule="auto"/>
        <w:ind w:left="0" w:leftChars="0" w:right="0" w:firstLine="480" w:firstLineChars="200"/>
        <w:rPr>
          <w:rFonts w:hint="eastAsia" w:ascii="宋体" w:hAnsi="宋体" w:eastAsia="宋体" w:cs="宋体"/>
          <w:strike/>
          <w:dstrike w:val="0"/>
          <w:snapToGrid w:val="0"/>
          <w:color w:val="auto"/>
          <w:kern w:val="0"/>
          <w:sz w:val="24"/>
          <w:szCs w:val="24"/>
          <w:highlight w:val="none"/>
        </w:rPr>
      </w:pPr>
      <w:r>
        <w:rPr>
          <w:rFonts w:hint="eastAsia" w:ascii="宋体" w:hAnsi="宋体" w:eastAsia="宋体" w:cs="宋体"/>
          <w:bCs/>
          <w:snapToGrid w:val="0"/>
          <w:color w:val="auto"/>
          <w:sz w:val="24"/>
          <w:szCs w:val="24"/>
          <w:highlight w:val="none"/>
        </w:rPr>
        <w:t>投标人法定代表人或其委托代理人（以下简称“投标人代表”）应在指定的时间和地点递交投标相关资料（如有）。</w:t>
      </w:r>
    </w:p>
    <w:p w14:paraId="444F38AE">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b/>
          <w:bCs/>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出现下述情形之一，属于未成功提交投标文件，按无效投标处理：</w:t>
      </w:r>
    </w:p>
    <w:p w14:paraId="102CFAE0">
      <w:pPr>
        <w:keepNext w:val="0"/>
        <w:keepLines w:val="0"/>
        <w:pageBreakBefore w:val="0"/>
        <w:widowControl w:val="0"/>
        <w:numPr>
          <w:ilvl w:val="0"/>
          <w:numId w:val="0"/>
        </w:numPr>
        <w:kinsoku/>
        <w:overflowPunct/>
        <w:topLinePunct w:val="0"/>
        <w:autoSpaceDE/>
        <w:autoSpaceDN/>
        <w:bidi w:val="0"/>
        <w:spacing w:line="360"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lang w:val="en-US" w:eastAsia="zh-CN" w:bidi="ar-SA"/>
        </w:rPr>
        <w:t>（1）</w:t>
      </w:r>
      <w:r>
        <w:rPr>
          <w:rFonts w:hint="eastAsia" w:ascii="宋体" w:hAnsi="宋体" w:eastAsia="宋体" w:cs="宋体"/>
          <w:snapToGrid w:val="0"/>
          <w:color w:val="auto"/>
          <w:kern w:val="0"/>
          <w:sz w:val="24"/>
          <w:szCs w:val="24"/>
          <w:highlight w:val="none"/>
        </w:rPr>
        <w:t>至提交投标文件截止时，投标文件未完整上传及提交标书；</w:t>
      </w:r>
    </w:p>
    <w:p w14:paraId="1F4ECA62">
      <w:pPr>
        <w:keepNext w:val="0"/>
        <w:keepLines w:val="0"/>
        <w:pageBreakBefore w:val="0"/>
        <w:widowControl w:val="0"/>
        <w:numPr>
          <w:ilvl w:val="0"/>
          <w:numId w:val="0"/>
        </w:numPr>
        <w:kinsoku/>
        <w:overflowPunct/>
        <w:topLinePunct w:val="0"/>
        <w:autoSpaceDE/>
        <w:autoSpaceDN/>
        <w:bidi w:val="0"/>
        <w:spacing w:line="360"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lang w:val="en-US" w:eastAsia="zh-CN" w:bidi="ar-SA"/>
        </w:rPr>
        <w:t>（2）</w:t>
      </w:r>
      <w:r>
        <w:rPr>
          <w:rFonts w:hint="eastAsia" w:ascii="宋体" w:hAnsi="宋体" w:eastAsia="宋体" w:cs="宋体"/>
          <w:snapToGrid w:val="0"/>
          <w:color w:val="auto"/>
          <w:kern w:val="0"/>
          <w:sz w:val="24"/>
          <w:szCs w:val="24"/>
          <w:highlight w:val="none"/>
        </w:rPr>
        <w:t>解密失败且在规定时间内未重新提交投标文件的</w:t>
      </w:r>
      <w:r>
        <w:rPr>
          <w:rFonts w:hint="eastAsia" w:ascii="宋体" w:hAnsi="宋体" w:eastAsia="宋体" w:cs="宋体"/>
          <w:snapToGrid w:val="0"/>
          <w:color w:val="auto"/>
          <w:kern w:val="0"/>
          <w:sz w:val="24"/>
          <w:szCs w:val="24"/>
          <w:highlight w:val="none"/>
          <w:lang w:eastAsia="zh-CN"/>
        </w:rPr>
        <w:t>；</w:t>
      </w:r>
    </w:p>
    <w:p w14:paraId="4B336C96">
      <w:pPr>
        <w:keepNext w:val="0"/>
        <w:keepLines w:val="0"/>
        <w:pageBreakBefore w:val="0"/>
        <w:widowControl w:val="0"/>
        <w:numPr>
          <w:ilvl w:val="0"/>
          <w:numId w:val="0"/>
        </w:numPr>
        <w:kinsoku/>
        <w:overflowPunct/>
        <w:topLinePunct w:val="0"/>
        <w:autoSpaceDE/>
        <w:autoSpaceDN/>
        <w:bidi w:val="0"/>
        <w:spacing w:line="360"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lang w:val="en-US" w:eastAsia="zh-CN" w:bidi="ar-SA"/>
        </w:rPr>
        <w:t>（3）</w:t>
      </w:r>
      <w:r>
        <w:rPr>
          <w:rFonts w:hint="eastAsia" w:ascii="宋体" w:hAnsi="宋体" w:eastAsia="宋体" w:cs="宋体"/>
          <w:snapToGrid w:val="0"/>
          <w:color w:val="auto"/>
          <w:kern w:val="0"/>
          <w:sz w:val="24"/>
          <w:szCs w:val="24"/>
          <w:highlight w:val="none"/>
        </w:rPr>
        <w:t>投标文件损坏或格式不正确的；</w:t>
      </w:r>
    </w:p>
    <w:p w14:paraId="56ACA964">
      <w:pPr>
        <w:keepNext w:val="0"/>
        <w:keepLines w:val="0"/>
        <w:pageBreakBefore w:val="0"/>
        <w:widowControl w:val="0"/>
        <w:numPr>
          <w:ilvl w:val="0"/>
          <w:numId w:val="0"/>
        </w:numPr>
        <w:kinsoku/>
        <w:overflowPunct/>
        <w:topLinePunct w:val="0"/>
        <w:autoSpaceDE/>
        <w:autoSpaceDN/>
        <w:bidi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13.6</w:t>
      </w:r>
      <w:r>
        <w:rPr>
          <w:rFonts w:hint="eastAsia" w:ascii="宋体" w:hAnsi="宋体" w:eastAsia="宋体" w:cs="宋体"/>
          <w:snapToGrid w:val="0"/>
          <w:color w:val="auto"/>
          <w:kern w:val="0"/>
          <w:sz w:val="24"/>
          <w:szCs w:val="24"/>
          <w:highlight w:val="none"/>
          <w:lang w:val="en-US" w:eastAsia="zh-CN"/>
        </w:rPr>
        <w:t xml:space="preserve"> 联合体投标的，由联合体牵头人按以上要求递交相关资料。</w:t>
      </w:r>
    </w:p>
    <w:p w14:paraId="5BA01358">
      <w:pPr>
        <w:keepNext w:val="0"/>
        <w:keepLines w:val="0"/>
        <w:pageBreakBefore w:val="0"/>
        <w:widowControl w:val="0"/>
        <w:kinsoku/>
        <w:overflowPunct/>
        <w:topLinePunct w:val="0"/>
        <w:autoSpaceDE/>
        <w:autoSpaceDN/>
        <w:bidi w:val="0"/>
        <w:spacing w:line="360" w:lineRule="auto"/>
        <w:ind w:left="0" w:leftChars="0" w:right="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13.</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color w:val="auto"/>
          <w:sz w:val="24"/>
          <w:szCs w:val="24"/>
          <w:highlight w:val="none"/>
        </w:rPr>
        <w:t>招标人或其授权的招标代理机构核对、接收投标人递交的投标相关资料后，应向投标人出具标明签收人和签收时间的凭证，并妥善保管。</w:t>
      </w:r>
    </w:p>
    <w:p w14:paraId="68A4EE6B">
      <w:pPr>
        <w:pageBreakBefore w:val="0"/>
        <w:kinsoku/>
        <w:overflowPunct/>
        <w:topLinePunct w:val="0"/>
        <w:autoSpaceDE/>
        <w:autoSpaceDN/>
        <w:bidi w:val="0"/>
        <w:spacing w:line="360" w:lineRule="auto"/>
        <w:ind w:left="0" w:leftChars="0" w:right="0" w:firstLine="482" w:firstLineChars="200"/>
        <w:rPr>
          <w:rFonts w:hint="eastAsia" w:ascii="宋体" w:hAnsi="宋体" w:eastAsia="宋体" w:cs="宋体"/>
          <w:color w:val="auto"/>
        </w:rPr>
      </w:pPr>
      <w:r>
        <w:rPr>
          <w:rFonts w:hint="eastAsia" w:ascii="宋体" w:hAnsi="宋体" w:eastAsia="宋体" w:cs="宋体"/>
          <w:b/>
          <w:bCs/>
          <w:color w:val="auto"/>
          <w:sz w:val="24"/>
          <w:szCs w:val="24"/>
          <w:highlight w:val="none"/>
        </w:rPr>
        <w:t>13.</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color w:val="auto"/>
          <w:sz w:val="24"/>
          <w:szCs w:val="24"/>
          <w:highlight w:val="none"/>
        </w:rPr>
        <w:t>本次招标投标有效期为</w:t>
      </w:r>
      <w:r>
        <w:rPr>
          <w:rFonts w:hint="eastAsia" w:ascii="宋体" w:hAnsi="宋体" w:eastAsia="宋体" w:cs="宋体"/>
          <w:color w:val="auto"/>
          <w:sz w:val="24"/>
          <w:szCs w:val="24"/>
          <w:highlight w:val="none"/>
          <w:lang w:val="en-US" w:eastAsia="zh-CN"/>
        </w:rPr>
        <w:t>90</w:t>
      </w:r>
      <w:r>
        <w:rPr>
          <w:rFonts w:hint="eastAsia" w:ascii="宋体" w:hAnsi="宋体" w:eastAsia="宋体" w:cs="宋体"/>
          <w:color w:val="auto"/>
          <w:sz w:val="24"/>
          <w:szCs w:val="24"/>
          <w:highlight w:val="none"/>
        </w:rPr>
        <w:t>个日历天，投标有效期从提交投标文件的截止之日起计算。在此期间，投标人不得撤销或修改其投标文件，否则其投标保证不予退还。</w:t>
      </w:r>
    </w:p>
    <w:p w14:paraId="1F956CB3">
      <w:pPr>
        <w:keepNext w:val="0"/>
        <w:keepLines w:val="0"/>
        <w:pageBreakBefore w:val="0"/>
        <w:widowControl w:val="0"/>
        <w:kinsoku/>
        <w:wordWrap/>
        <w:overflowPunct/>
        <w:topLinePunct w:val="0"/>
        <w:autoSpaceDE/>
        <w:autoSpaceDN/>
        <w:bidi w:val="0"/>
        <w:adjustRightInd/>
        <w:snapToGrid/>
        <w:spacing w:line="360" w:lineRule="auto"/>
        <w:ind w:left="0" w:leftChars="0" w:right="0" w:firstLine="482" w:firstLineChars="200"/>
        <w:textAlignment w:val="auto"/>
        <w:outlineLvl w:val="1"/>
        <w:rPr>
          <w:rStyle w:val="156"/>
          <w:rFonts w:hint="eastAsia" w:ascii="宋体" w:hAnsi="宋体" w:eastAsia="宋体" w:cs="宋体"/>
          <w:color w:val="auto"/>
          <w:sz w:val="24"/>
          <w:szCs w:val="24"/>
          <w:lang w:val="en-US" w:eastAsia="zh-CN"/>
        </w:rPr>
      </w:pPr>
      <w:bookmarkStart w:id="126" w:name="_Toc358"/>
      <w:r>
        <w:rPr>
          <w:rStyle w:val="156"/>
          <w:rFonts w:hint="eastAsia" w:ascii="宋体" w:hAnsi="宋体" w:eastAsia="宋体" w:cs="宋体"/>
          <w:color w:val="auto"/>
          <w:sz w:val="24"/>
          <w:szCs w:val="24"/>
          <w:lang w:val="en-US" w:eastAsia="zh-CN"/>
        </w:rPr>
        <w:t>14．开标</w:t>
      </w:r>
      <w:bookmarkEnd w:id="126"/>
    </w:p>
    <w:p w14:paraId="29C3732F">
      <w:pPr>
        <w:pStyle w:val="138"/>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w:t>
      </w:r>
      <w:r>
        <w:rPr>
          <w:rFonts w:hint="eastAsia" w:ascii="宋体" w:hAnsi="宋体" w:eastAsia="宋体" w:cs="宋体"/>
          <w:snapToGrid w:val="0"/>
          <w:color w:val="auto"/>
          <w:kern w:val="0"/>
          <w:sz w:val="24"/>
          <w:szCs w:val="24"/>
          <w:highlight w:val="none"/>
        </w:rPr>
        <w:t xml:space="preserve"> 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标的，视其默认开标结果，以及放弃在开标期间见证、监督、投诉、申辩的权利。</w:t>
      </w:r>
    </w:p>
    <w:p w14:paraId="74FDBAFD">
      <w:pPr>
        <w:pStyle w:val="138"/>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14.1.1</w:t>
      </w:r>
      <w:r>
        <w:rPr>
          <w:rFonts w:hint="eastAsia" w:ascii="宋体" w:hAnsi="宋体" w:eastAsia="宋体" w:cs="宋体"/>
          <w:snapToGrid w:val="0"/>
          <w:color w:val="auto"/>
          <w:kern w:val="0"/>
          <w:sz w:val="24"/>
          <w:szCs w:val="24"/>
          <w:highlight w:val="none"/>
        </w:rPr>
        <w:t xml:space="preserve"> 开标时间和地点：见本章第二节“重要事项时间地点一览表”。</w:t>
      </w:r>
    </w:p>
    <w:p w14:paraId="7AB82DEA">
      <w:pPr>
        <w:pStyle w:val="138"/>
        <w:pageBreakBefore w:val="0"/>
        <w:kinsoku/>
        <w:wordWrap w:val="0"/>
        <w:overflowPunct/>
        <w:topLinePunct w:val="0"/>
        <w:autoSpaceDE/>
        <w:autoSpaceDN/>
        <w:bidi w:val="0"/>
        <w:adjustRightInd w:val="0"/>
        <w:snapToGrid w:val="0"/>
        <w:spacing w:line="360" w:lineRule="auto"/>
        <w:ind w:left="0" w:leftChars="0" w:right="0"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14.1.2</w:t>
      </w:r>
      <w:r>
        <w:rPr>
          <w:rFonts w:hint="eastAsia" w:ascii="宋体" w:hAnsi="宋体" w:eastAsia="宋体" w:cs="宋体"/>
          <w:snapToGrid w:val="0"/>
          <w:color w:val="auto"/>
          <w:kern w:val="0"/>
          <w:sz w:val="24"/>
          <w:szCs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w:t>
      </w:r>
      <w:r>
        <w:rPr>
          <w:rFonts w:hint="eastAsia" w:ascii="宋体" w:hAnsi="宋体" w:eastAsia="宋体" w:cs="宋体"/>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查询是否发布了取消开标活动的相关信息。</w:t>
      </w:r>
    </w:p>
    <w:p w14:paraId="5FC547AC">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14.1.3</w:t>
      </w:r>
      <w:r>
        <w:rPr>
          <w:rFonts w:hint="eastAsia" w:ascii="宋体" w:hAnsi="宋体" w:eastAsia="宋体" w:cs="宋体"/>
          <w:snapToGrid w:val="0"/>
          <w:color w:val="auto"/>
          <w:kern w:val="0"/>
          <w:sz w:val="24"/>
          <w:szCs w:val="24"/>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18105194">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14.2</w:t>
      </w:r>
      <w:r>
        <w:rPr>
          <w:rFonts w:hint="eastAsia" w:ascii="宋体" w:hAnsi="宋体" w:eastAsia="宋体" w:cs="宋体"/>
          <w:snapToGrid w:val="0"/>
          <w:color w:val="auto"/>
          <w:kern w:val="0"/>
          <w:sz w:val="24"/>
          <w:szCs w:val="24"/>
          <w:highlight w:val="none"/>
        </w:rPr>
        <w:t xml:space="preserve"> 开标程序</w:t>
      </w:r>
      <w:bookmarkStart w:id="127" w:name="_Toc1282"/>
      <w:bookmarkStart w:id="128" w:name="_Toc7418"/>
    </w:p>
    <w:p w14:paraId="19BC4552">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（1）主持人（招标人代表或招标人授权的招标代理机构人员）宣读开标纪律。</w:t>
      </w:r>
      <w:bookmarkEnd w:id="127"/>
      <w:bookmarkEnd w:id="128"/>
      <w:bookmarkStart w:id="129" w:name="_Toc4807"/>
      <w:bookmarkStart w:id="130" w:name="_Toc30474"/>
    </w:p>
    <w:p w14:paraId="1C5847E5">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（2）主持人宣布唱标人、记录人、见证人、监督人等有关人员姓名。</w:t>
      </w:r>
      <w:bookmarkEnd w:id="129"/>
      <w:bookmarkEnd w:id="130"/>
      <w:bookmarkStart w:id="131" w:name="_Toc28242"/>
      <w:bookmarkStart w:id="132" w:name="_Toc3180"/>
    </w:p>
    <w:p w14:paraId="1EA7D9B0">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（3）唱标人公布在投标截止时间前进行投标文件的投标人数量和名称</w:t>
      </w:r>
      <w:bookmarkEnd w:id="131"/>
      <w:bookmarkEnd w:id="132"/>
      <w:bookmarkStart w:id="133" w:name="_Toc29778"/>
      <w:bookmarkStart w:id="134" w:name="_Toc10498"/>
      <w:r>
        <w:rPr>
          <w:rFonts w:hint="eastAsia" w:ascii="宋体" w:hAnsi="宋体" w:eastAsia="宋体" w:cs="宋体"/>
          <w:snapToGrid w:val="0"/>
          <w:color w:val="auto"/>
          <w:kern w:val="0"/>
          <w:sz w:val="24"/>
          <w:szCs w:val="24"/>
          <w:highlight w:val="none"/>
          <w:lang w:eastAsia="zh-CN"/>
        </w:rPr>
        <w:t>。</w:t>
      </w:r>
    </w:p>
    <w:p w14:paraId="61B11B3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bCs/>
          <w:color w:val="auto"/>
          <w:sz w:val="24"/>
          <w:szCs w:val="24"/>
          <w:highlight w:val="none"/>
        </w:rPr>
      </w:pPr>
      <w:r>
        <w:rPr>
          <w:rFonts w:hint="eastAsia" w:ascii="宋体" w:hAnsi="宋体" w:eastAsia="宋体" w:cs="宋体"/>
          <w:snapToGrid w:val="0"/>
          <w:color w:val="auto"/>
          <w:kern w:val="0"/>
          <w:sz w:val="24"/>
          <w:szCs w:val="24"/>
          <w:highlight w:val="none"/>
        </w:rPr>
        <w:t>（4）招标代理机构</w:t>
      </w:r>
      <w:r>
        <w:rPr>
          <w:rFonts w:hint="eastAsia" w:ascii="宋体" w:hAnsi="宋体" w:eastAsia="宋体" w:cs="宋体"/>
          <w:snapToGrid w:val="0"/>
          <w:color w:val="auto"/>
          <w:kern w:val="0"/>
          <w:sz w:val="24"/>
          <w:szCs w:val="24"/>
          <w:highlight w:val="none"/>
          <w:lang w:val="en-US" w:eastAsia="zh-CN"/>
        </w:rPr>
        <w:t>在</w:t>
      </w:r>
      <w:r>
        <w:rPr>
          <w:rFonts w:hint="eastAsia" w:ascii="宋体" w:hAnsi="宋体" w:eastAsia="宋体" w:cs="宋体"/>
          <w:snapToGrid w:val="0"/>
          <w:color w:val="auto"/>
          <w:kern w:val="0"/>
          <w:sz w:val="24"/>
          <w:szCs w:val="24"/>
          <w:highlight w:val="none"/>
        </w:rPr>
        <w:t>交易场所工作人员</w:t>
      </w:r>
      <w:r>
        <w:rPr>
          <w:rFonts w:hint="eastAsia" w:ascii="宋体" w:hAnsi="宋体" w:eastAsia="宋体" w:cs="宋体"/>
          <w:snapToGrid w:val="0"/>
          <w:color w:val="auto"/>
          <w:kern w:val="0"/>
          <w:sz w:val="24"/>
          <w:szCs w:val="24"/>
          <w:highlight w:val="none"/>
          <w:lang w:val="en-US" w:eastAsia="zh-CN"/>
        </w:rPr>
        <w:t>见证下</w:t>
      </w:r>
      <w:r>
        <w:rPr>
          <w:rFonts w:hint="eastAsia" w:ascii="宋体" w:hAnsi="宋体" w:eastAsia="宋体" w:cs="宋体"/>
          <w:snapToGrid w:val="0"/>
          <w:color w:val="auto"/>
          <w:kern w:val="0"/>
          <w:sz w:val="24"/>
          <w:szCs w:val="24"/>
          <w:highlight w:val="none"/>
        </w:rPr>
        <w:t>对投标人的电子投标信息进行解密，建设工程交易系统自动生成《投标保证缴纳情况表》和《开标一览表》。</w:t>
      </w:r>
      <w:bookmarkEnd w:id="133"/>
      <w:bookmarkEnd w:id="134"/>
    </w:p>
    <w:p w14:paraId="174B74FB">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color w:val="auto"/>
          <w:sz w:val="24"/>
          <w:szCs w:val="24"/>
          <w:highlight w:val="none"/>
        </w:rPr>
        <w:t>温馨提示：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508A6E42">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14.3</w:t>
      </w:r>
      <w:r>
        <w:rPr>
          <w:rFonts w:hint="eastAsia" w:ascii="宋体" w:hAnsi="宋体" w:eastAsia="宋体" w:cs="宋体"/>
          <w:snapToGrid w:val="0"/>
          <w:color w:val="auto"/>
          <w:kern w:val="0"/>
          <w:sz w:val="24"/>
          <w:szCs w:val="24"/>
          <w:highlight w:val="none"/>
        </w:rPr>
        <w:t xml:space="preserve">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2959DE12">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14.</w:t>
      </w:r>
      <w:bookmarkStart w:id="135" w:name="_Hlt127093805"/>
      <w:bookmarkEnd w:id="135"/>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招标代理机构将资料原件</w:t>
      </w:r>
      <w:r>
        <w:rPr>
          <w:rFonts w:hint="eastAsia" w:ascii="宋体" w:hAnsi="宋体" w:eastAsia="宋体" w:cs="宋体"/>
          <w:snapToGrid w:val="0"/>
          <w:color w:val="auto"/>
          <w:kern w:val="0"/>
          <w:sz w:val="24"/>
          <w:szCs w:val="24"/>
          <w:highlight w:val="none"/>
          <w:lang w:eastAsia="zh-CN"/>
        </w:rPr>
        <w:t>（如有）</w:t>
      </w:r>
      <w:r>
        <w:rPr>
          <w:rFonts w:hint="eastAsia" w:ascii="宋体" w:hAnsi="宋体" w:eastAsia="宋体" w:cs="宋体"/>
          <w:snapToGrid w:val="0"/>
          <w:color w:val="auto"/>
          <w:kern w:val="0"/>
          <w:sz w:val="24"/>
          <w:szCs w:val="24"/>
          <w:highlight w:val="none"/>
        </w:rPr>
        <w:t>、《开标一览表》以及其他有关资料移交评标委员会。</w:t>
      </w:r>
    </w:p>
    <w:p w14:paraId="60D6BDB4">
      <w:pPr>
        <w:rPr>
          <w:rFonts w:hint="eastAsia" w:ascii="宋体" w:hAnsi="宋体" w:eastAsia="宋体" w:cs="宋体"/>
          <w:color w:val="auto"/>
          <w:sz w:val="22"/>
          <w:szCs w:val="18"/>
          <w:lang w:val="en-US" w:eastAsia="zh-CN"/>
        </w:rPr>
      </w:pPr>
      <w:bookmarkStart w:id="136" w:name="_Toc28090"/>
    </w:p>
    <w:p w14:paraId="368AF657">
      <w:pPr>
        <w:keepNext w:val="0"/>
        <w:keepLines w:val="0"/>
        <w:pageBreakBefore w:val="0"/>
        <w:widowControl w:val="0"/>
        <w:kinsoku/>
        <w:wordWrap/>
        <w:overflowPunct/>
        <w:topLinePunct w:val="0"/>
        <w:autoSpaceDE/>
        <w:autoSpaceDN/>
        <w:bidi w:val="0"/>
        <w:adjustRightInd/>
        <w:snapToGrid/>
        <w:spacing w:line="360" w:lineRule="auto"/>
        <w:ind w:left="0" w:leftChars="0" w:right="0" w:firstLine="482" w:firstLineChars="200"/>
        <w:textAlignment w:val="auto"/>
        <w:outlineLvl w:val="1"/>
        <w:rPr>
          <w:rStyle w:val="156"/>
          <w:rFonts w:hint="eastAsia" w:ascii="宋体" w:hAnsi="宋体" w:eastAsia="宋体" w:cs="宋体"/>
          <w:color w:val="auto"/>
          <w:sz w:val="24"/>
          <w:szCs w:val="24"/>
          <w:lang w:val="en-US" w:eastAsia="zh-CN"/>
        </w:rPr>
      </w:pPr>
      <w:r>
        <w:rPr>
          <w:rStyle w:val="156"/>
          <w:rFonts w:hint="eastAsia" w:ascii="宋体" w:hAnsi="宋体" w:eastAsia="宋体" w:cs="宋体"/>
          <w:color w:val="auto"/>
          <w:sz w:val="24"/>
          <w:szCs w:val="24"/>
          <w:lang w:val="en-US" w:eastAsia="zh-CN"/>
        </w:rPr>
        <w:t>15．评标</w:t>
      </w:r>
      <w:bookmarkEnd w:id="136"/>
    </w:p>
    <w:p w14:paraId="7D30E67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个中标候选人，并向招标人提交由全体评标委员会成员签字的评标报告。</w:t>
      </w:r>
    </w:p>
    <w:p w14:paraId="78DD9487">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w:t>
      </w:r>
      <w:r>
        <w:rPr>
          <w:rFonts w:hint="eastAsia" w:ascii="宋体" w:hAnsi="宋体" w:eastAsia="宋体" w:cs="宋体"/>
          <w:bCs/>
          <w:snapToGrid w:val="0"/>
          <w:color w:val="auto"/>
          <w:kern w:val="0"/>
          <w:sz w:val="24"/>
          <w:szCs w:val="24"/>
          <w:highlight w:val="none"/>
        </w:rPr>
        <w:t xml:space="preserve"> 评标委员会</w:t>
      </w:r>
    </w:p>
    <w:p w14:paraId="6149B2D5">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15.1.1</w:t>
      </w:r>
      <w:r>
        <w:rPr>
          <w:rFonts w:hint="eastAsia" w:ascii="宋体" w:hAnsi="宋体" w:eastAsia="宋体" w:cs="宋体"/>
          <w:snapToGrid w:val="0"/>
          <w:color w:val="auto"/>
          <w:kern w:val="0"/>
          <w:sz w:val="24"/>
          <w:szCs w:val="24"/>
          <w:highlight w:val="none"/>
        </w:rPr>
        <w:t xml:space="preserve"> 评标委员会由</w:t>
      </w:r>
      <w:r>
        <w:rPr>
          <w:rFonts w:hint="eastAsia" w:ascii="宋体" w:hAnsi="宋体" w:eastAsia="宋体" w:cs="宋体"/>
          <w:snapToGrid w:val="0"/>
          <w:color w:val="auto"/>
          <w:kern w:val="0"/>
          <w:sz w:val="24"/>
          <w:szCs w:val="24"/>
          <w:highlight w:val="none"/>
          <w:u w:val="single"/>
        </w:rPr>
        <w:t>5</w:t>
      </w:r>
      <w:r>
        <w:rPr>
          <w:rFonts w:hint="eastAsia" w:ascii="宋体" w:hAnsi="宋体" w:eastAsia="宋体" w:cs="宋体"/>
          <w:snapToGrid w:val="0"/>
          <w:color w:val="auto"/>
          <w:kern w:val="0"/>
          <w:sz w:val="24"/>
          <w:szCs w:val="24"/>
          <w:highlight w:val="none"/>
        </w:rPr>
        <w:t>人组成，其中招标人代表</w:t>
      </w:r>
      <w:r>
        <w:rPr>
          <w:rFonts w:hint="eastAsia" w:ascii="宋体" w:hAnsi="宋体" w:eastAsia="宋体" w:cs="宋体"/>
          <w:snapToGrid w:val="0"/>
          <w:color w:val="auto"/>
          <w:kern w:val="0"/>
          <w:sz w:val="24"/>
          <w:szCs w:val="24"/>
          <w:highlight w:val="none"/>
          <w:u w:val="single"/>
        </w:rPr>
        <w:t>0</w:t>
      </w:r>
      <w:r>
        <w:rPr>
          <w:rFonts w:hint="eastAsia" w:ascii="宋体" w:hAnsi="宋体" w:eastAsia="宋体" w:cs="宋体"/>
          <w:snapToGrid w:val="0"/>
          <w:color w:val="auto"/>
          <w:kern w:val="0"/>
          <w:sz w:val="24"/>
          <w:szCs w:val="24"/>
          <w:highlight w:val="none"/>
        </w:rPr>
        <w:t>人，专家</w:t>
      </w:r>
      <w:r>
        <w:rPr>
          <w:rFonts w:hint="eastAsia" w:ascii="宋体" w:hAnsi="宋体" w:eastAsia="宋体" w:cs="宋体"/>
          <w:snapToGrid w:val="0"/>
          <w:color w:val="auto"/>
          <w:kern w:val="0"/>
          <w:sz w:val="24"/>
          <w:szCs w:val="24"/>
          <w:highlight w:val="none"/>
          <w:u w:val="single"/>
        </w:rPr>
        <w:t>5</w:t>
      </w:r>
      <w:r>
        <w:rPr>
          <w:rFonts w:hint="eastAsia" w:ascii="宋体" w:hAnsi="宋体" w:eastAsia="宋体" w:cs="宋体"/>
          <w:snapToGrid w:val="0"/>
          <w:color w:val="auto"/>
          <w:kern w:val="0"/>
          <w:sz w:val="24"/>
          <w:szCs w:val="24"/>
          <w:highlight w:val="none"/>
        </w:rPr>
        <w:t>人。</w:t>
      </w:r>
      <w:r>
        <w:rPr>
          <w:rFonts w:hint="eastAsia" w:ascii="宋体" w:hAnsi="宋体" w:eastAsia="宋体" w:cs="宋体"/>
          <w:b w:val="0"/>
          <w:bCs w:val="0"/>
          <w:snapToGrid w:val="0"/>
          <w:color w:val="auto"/>
          <w:kern w:val="0"/>
          <w:sz w:val="24"/>
          <w:szCs w:val="24"/>
          <w:highlight w:val="none"/>
          <w:u w:val="none"/>
        </w:rPr>
        <w:t>专家从广东省综合评标评审专家库</w:t>
      </w:r>
      <w:r>
        <w:rPr>
          <w:rFonts w:hint="eastAsia" w:ascii="宋体" w:hAnsi="宋体" w:eastAsia="宋体" w:cs="宋体"/>
          <w:b w:val="0"/>
          <w:bCs w:val="0"/>
          <w:snapToGrid w:val="0"/>
          <w:color w:val="auto"/>
          <w:kern w:val="0"/>
          <w:sz w:val="24"/>
          <w:szCs w:val="24"/>
          <w:highlight w:val="none"/>
          <w:u w:val="none"/>
          <w:lang w:val="en-US" w:eastAsia="zh-CN"/>
        </w:rPr>
        <w:t>-韶关区域中</w:t>
      </w:r>
      <w:r>
        <w:rPr>
          <w:rFonts w:hint="eastAsia" w:ascii="宋体" w:hAnsi="宋体" w:eastAsia="宋体" w:cs="宋体"/>
          <w:b w:val="0"/>
          <w:bCs w:val="0"/>
          <w:snapToGrid w:val="0"/>
          <w:color w:val="auto"/>
          <w:kern w:val="0"/>
          <w:sz w:val="24"/>
          <w:szCs w:val="24"/>
          <w:highlight w:val="none"/>
          <w:u w:val="none"/>
        </w:rPr>
        <w:t>随机抽取，</w:t>
      </w:r>
      <w:r>
        <w:rPr>
          <w:rFonts w:hint="eastAsia" w:ascii="宋体" w:hAnsi="宋体" w:eastAsia="宋体" w:cs="宋体"/>
          <w:snapToGrid w:val="0"/>
          <w:color w:val="auto"/>
          <w:kern w:val="0"/>
          <w:sz w:val="24"/>
          <w:szCs w:val="24"/>
          <w:highlight w:val="none"/>
        </w:rPr>
        <w:t>其中技术类专家</w:t>
      </w:r>
      <w:r>
        <w:rPr>
          <w:rFonts w:hint="eastAsia" w:ascii="宋体" w:hAnsi="宋体" w:eastAsia="宋体" w:cs="宋体"/>
          <w:snapToGrid w:val="0"/>
          <w:color w:val="auto"/>
          <w:kern w:val="0"/>
          <w:sz w:val="24"/>
          <w:szCs w:val="24"/>
          <w:highlight w:val="none"/>
          <w:u w:val="single"/>
        </w:rPr>
        <w:t>3</w:t>
      </w:r>
      <w:r>
        <w:rPr>
          <w:rFonts w:hint="eastAsia" w:ascii="宋体" w:hAnsi="宋体" w:eastAsia="宋体" w:cs="宋体"/>
          <w:snapToGrid w:val="0"/>
          <w:color w:val="auto"/>
          <w:kern w:val="0"/>
          <w:sz w:val="24"/>
          <w:szCs w:val="24"/>
          <w:highlight w:val="none"/>
        </w:rPr>
        <w:t>人，经济类专家</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人。评标委员会设负责人，由评标委员会成员推举产生。评标委员会负责人与评标委员会的其他成员有同等的表决权。</w:t>
      </w:r>
    </w:p>
    <w:p w14:paraId="63B4E1FE">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15.1.2</w:t>
      </w:r>
      <w:r>
        <w:rPr>
          <w:rFonts w:hint="eastAsia" w:ascii="宋体" w:hAnsi="宋体" w:eastAsia="宋体" w:cs="宋体"/>
          <w:snapToGrid w:val="0"/>
          <w:color w:val="auto"/>
          <w:kern w:val="0"/>
          <w:sz w:val="24"/>
          <w:szCs w:val="24"/>
          <w:highlight w:val="none"/>
        </w:rPr>
        <w:t xml:space="preserve"> 评标委员会应认真、公正、诚实、廉洁地履行职责。有下列情形之一的，不得担任评标委员会成员：</w:t>
      </w:r>
    </w:p>
    <w:p w14:paraId="344982C2">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（1）投标人或投标人主要负责人的近亲属；</w:t>
      </w:r>
    </w:p>
    <w:p w14:paraId="6C0B912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（2）项目主管部门或者行政监督部门的人员；</w:t>
      </w:r>
    </w:p>
    <w:p w14:paraId="7522E6D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（3）与投标人有经济利益关系，可能影响对投标公正评审的；</w:t>
      </w:r>
    </w:p>
    <w:p w14:paraId="6995E11C">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（4）曾因在招标、评标以及其他与招标投标有关活动中从事违法行为而受过行政处罚或刑事处罚的。</w:t>
      </w:r>
    </w:p>
    <w:p w14:paraId="6042B65D">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评标委员会成员有以上情形之一的，应主动提出回避。</w:t>
      </w:r>
    </w:p>
    <w:p w14:paraId="7ED48367">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15.1.3</w:t>
      </w:r>
      <w:r>
        <w:rPr>
          <w:rFonts w:hint="eastAsia" w:ascii="宋体" w:hAnsi="宋体" w:eastAsia="宋体" w:cs="宋体"/>
          <w:snapToGrid w:val="0"/>
          <w:color w:val="auto"/>
          <w:kern w:val="0"/>
          <w:sz w:val="24"/>
          <w:szCs w:val="24"/>
          <w:highlight w:val="none"/>
        </w:rPr>
        <w:t xml:space="preserve"> 评标全过程实行封闭式管理，在中标结果公布前，禁止评标委员会成员以任何方式私下接触投标人。</w:t>
      </w:r>
    </w:p>
    <w:p w14:paraId="3C89B68E">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15.1.4</w:t>
      </w:r>
      <w:r>
        <w:rPr>
          <w:rFonts w:hint="eastAsia" w:ascii="宋体" w:hAnsi="宋体" w:eastAsia="宋体" w:cs="宋体"/>
          <w:snapToGrid w:val="0"/>
          <w:color w:val="auto"/>
          <w:kern w:val="0"/>
          <w:sz w:val="24"/>
          <w:szCs w:val="24"/>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63D9DF4A">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15.1.5</w:t>
      </w:r>
      <w:r>
        <w:rPr>
          <w:rFonts w:hint="eastAsia" w:ascii="宋体" w:hAnsi="宋体" w:eastAsia="宋体" w:cs="宋体"/>
          <w:snapToGrid w:val="0"/>
          <w:color w:val="auto"/>
          <w:kern w:val="0"/>
          <w:sz w:val="24"/>
          <w:szCs w:val="24"/>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7799B011">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15.2</w:t>
      </w:r>
      <w:r>
        <w:rPr>
          <w:rFonts w:hint="eastAsia" w:ascii="宋体" w:hAnsi="宋体" w:eastAsia="宋体" w:cs="宋体"/>
          <w:bCs/>
          <w:snapToGrid w:val="0"/>
          <w:color w:val="auto"/>
          <w:kern w:val="0"/>
          <w:sz w:val="24"/>
          <w:szCs w:val="24"/>
          <w:highlight w:val="none"/>
        </w:rPr>
        <w:t xml:space="preserve"> 评标方法</w:t>
      </w:r>
    </w:p>
    <w:p w14:paraId="4C7343E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根据有关法律、法规的相关规定，结合本招标项目资金来源和规模特点，本次招标采用</w:t>
      </w:r>
      <w:r>
        <w:rPr>
          <w:rFonts w:hint="eastAsia" w:ascii="宋体" w:hAnsi="宋体" w:eastAsia="宋体" w:cs="宋体"/>
          <w:b/>
          <w:bCs/>
          <w:snapToGrid w:val="0"/>
          <w:color w:val="auto"/>
          <w:kern w:val="0"/>
          <w:sz w:val="24"/>
          <w:szCs w:val="24"/>
          <w:highlight w:val="none"/>
          <w:u w:val="single"/>
        </w:rPr>
        <w:t>综合评估法</w:t>
      </w:r>
      <w:r>
        <w:rPr>
          <w:rFonts w:hint="eastAsia" w:ascii="宋体" w:hAnsi="宋体" w:eastAsia="宋体" w:cs="宋体"/>
          <w:snapToGrid w:val="0"/>
          <w:color w:val="auto"/>
          <w:kern w:val="0"/>
          <w:sz w:val="24"/>
          <w:szCs w:val="24"/>
          <w:highlight w:val="none"/>
        </w:rPr>
        <w:t>（评标方法名称）进行评标。</w:t>
      </w:r>
    </w:p>
    <w:p w14:paraId="1EB910AE">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15.3 </w:t>
      </w:r>
      <w:r>
        <w:rPr>
          <w:rFonts w:hint="eastAsia" w:ascii="宋体" w:hAnsi="宋体" w:eastAsia="宋体" w:cs="宋体"/>
          <w:snapToGrid w:val="0"/>
          <w:color w:val="auto"/>
          <w:kern w:val="0"/>
          <w:sz w:val="24"/>
          <w:szCs w:val="24"/>
          <w:highlight w:val="none"/>
        </w:rPr>
        <w:t>评审范围：评标委员会应对所有投标人的投标文件进行评审。</w:t>
      </w:r>
    </w:p>
    <w:p w14:paraId="4C44A4C4">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w:t>
      </w:r>
      <w:r>
        <w:rPr>
          <w:rFonts w:hint="eastAsia" w:ascii="宋体" w:hAnsi="宋体" w:eastAsia="宋体" w:cs="宋体"/>
          <w:snapToGrid w:val="0"/>
          <w:color w:val="auto"/>
          <w:kern w:val="0"/>
          <w:sz w:val="24"/>
          <w:szCs w:val="24"/>
          <w:highlight w:val="none"/>
        </w:rPr>
        <w:t xml:space="preserve"> 初步评审阶段</w:t>
      </w:r>
    </w:p>
    <w:p w14:paraId="6EF661E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初步评审阶段分为资格评审、形式评审和响应性评审三个环节。</w:t>
      </w:r>
    </w:p>
    <w:p w14:paraId="0A45EA58">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15.4.1</w:t>
      </w:r>
      <w:r>
        <w:rPr>
          <w:rFonts w:hint="eastAsia" w:ascii="宋体" w:hAnsi="宋体" w:eastAsia="宋体" w:cs="宋体"/>
          <w:snapToGrid w:val="0"/>
          <w:color w:val="auto"/>
          <w:kern w:val="0"/>
          <w:sz w:val="24"/>
          <w:szCs w:val="24"/>
          <w:highlight w:val="none"/>
        </w:rPr>
        <w:t xml:space="preserve"> 资格评审环节</w:t>
      </w:r>
    </w:p>
    <w:p w14:paraId="66EC6A7E">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资格评审事项包括：</w:t>
      </w:r>
    </w:p>
    <w:p w14:paraId="1E1D6D9E">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（1）投标人是否符合本章第三节第2.4条“禁止投标条款”规定。</w:t>
      </w:r>
    </w:p>
    <w:p w14:paraId="282D6052">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（2）投标人名称是否与营业执照、资质证书、安全生产许可证一致。</w:t>
      </w:r>
    </w:p>
    <w:p w14:paraId="5AFD67B3">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（3）投标人的资质是否符合招标文件规定；其营业执照、资质证书、安全生产许可证是否合法、有效、准确。</w:t>
      </w:r>
    </w:p>
    <w:p w14:paraId="222F0511">
      <w:pPr>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color w:val="auto"/>
          <w:sz w:val="24"/>
          <w:szCs w:val="24"/>
          <w:highlight w:val="none"/>
        </w:rPr>
        <w:t>《项目经理简历表》中拟派项目经理是否与《开标一览表》一致。</w:t>
      </w:r>
    </w:p>
    <w:p w14:paraId="1391DD89">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拟派项目经理、项目技术负责人、专职安全员的条件是否符合招标文件规定；项目管理机构组成人员的各类证书、证件、证明是否合法、有效、准确；是否擅自修改、遗漏《项目经理任职声明》的实质性内容。</w:t>
      </w:r>
    </w:p>
    <w:p w14:paraId="7CC8CA5A">
      <w:pPr>
        <w:pStyle w:val="138"/>
        <w:pageBreakBefore w:val="0"/>
        <w:kinsoku/>
        <w:wordWrap w:val="0"/>
        <w:overflowPunct/>
        <w:topLinePunct w:val="0"/>
        <w:autoSpaceDE/>
        <w:autoSpaceDN/>
        <w:bidi w:val="0"/>
        <w:adjustRightInd w:val="0"/>
        <w:snapToGrid w:val="0"/>
        <w:spacing w:line="360" w:lineRule="auto"/>
        <w:ind w:left="0" w:leftChars="0" w:right="0" w:firstLine="480" w:firstLineChars="200"/>
        <w:jc w:val="left"/>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）投标人为外省建筑企业的，是否按规定在“进粤企业和人员诚信信息登记平台”录入企业及其拟派人员有关信息并通过数据规范检查。</w:t>
      </w:r>
    </w:p>
    <w:p w14:paraId="7C7FDDAC">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15.4.2</w:t>
      </w:r>
      <w:r>
        <w:rPr>
          <w:rFonts w:hint="eastAsia" w:ascii="宋体" w:hAnsi="宋体" w:eastAsia="宋体" w:cs="宋体"/>
          <w:snapToGrid w:val="0"/>
          <w:color w:val="auto"/>
          <w:kern w:val="0"/>
          <w:sz w:val="24"/>
          <w:szCs w:val="24"/>
          <w:highlight w:val="none"/>
        </w:rPr>
        <w:t xml:space="preserve"> 形式评审环节</w:t>
      </w:r>
    </w:p>
    <w:p w14:paraId="0303D0E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形式评审事项包括：</w:t>
      </w:r>
    </w:p>
    <w:p w14:paraId="42F28010">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各分册是否按招标文件规定加盖电子印章。</w:t>
      </w:r>
    </w:p>
    <w:p w14:paraId="67184E70">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）本节第10.2.2目、第10.3.2目、第10.4.3目中规定的“所有投标人均应提供”的组成内容（包括该组成内容的所附资料）是否完整、齐全</w:t>
      </w:r>
      <w:r>
        <w:rPr>
          <w:rFonts w:hint="eastAsia" w:ascii="宋体" w:hAnsi="宋体" w:eastAsia="宋体" w:cs="宋体"/>
          <w:snapToGrid w:val="0"/>
          <w:color w:val="auto"/>
          <w:kern w:val="0"/>
          <w:sz w:val="24"/>
          <w:szCs w:val="24"/>
          <w:highlight w:val="none"/>
          <w:lang w:eastAsia="zh-CN"/>
        </w:rPr>
        <w:t>。</w:t>
      </w:r>
    </w:p>
    <w:p w14:paraId="666AF006">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15.4.3</w:t>
      </w:r>
      <w:r>
        <w:rPr>
          <w:rFonts w:hint="eastAsia" w:ascii="宋体" w:hAnsi="宋体" w:eastAsia="宋体" w:cs="宋体"/>
          <w:snapToGrid w:val="0"/>
          <w:color w:val="auto"/>
          <w:kern w:val="0"/>
          <w:sz w:val="24"/>
          <w:szCs w:val="24"/>
          <w:highlight w:val="none"/>
        </w:rPr>
        <w:t xml:space="preserve"> 响应性评审环节</w:t>
      </w:r>
    </w:p>
    <w:p w14:paraId="179454E3">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响应性评审事项包括：</w:t>
      </w:r>
    </w:p>
    <w:p w14:paraId="5ED68A82">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（1）投标有效期、质量标准、工期等是否响应招标文件实质性要求；是否擅自修改、遗漏《投标函》《各项承诺一览表》的实质性内容。</w:t>
      </w:r>
    </w:p>
    <w:p w14:paraId="2F181F2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（2）编制《投标总价》的造价工程师，其注册证书是否合法、有效。</w:t>
      </w:r>
    </w:p>
    <w:p w14:paraId="3A8C3B06">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（3）投标人委托造价咨询单位编制《投标总价》的，是否在《投标总价》“投标人”栏目加盖造价咨询人公章；是否提供造价咨询人的营业执照</w:t>
      </w:r>
      <w:r>
        <w:rPr>
          <w:rFonts w:hint="eastAsia" w:ascii="宋体" w:hAnsi="宋体" w:eastAsia="宋体" w:cs="宋体"/>
          <w:snapToGrid w:val="0"/>
          <w:color w:val="auto"/>
          <w:kern w:val="0"/>
          <w:sz w:val="24"/>
          <w:szCs w:val="24"/>
          <w:highlight w:val="none"/>
          <w:lang w:eastAsia="zh-CN"/>
        </w:rPr>
        <w:t>扫描件</w:t>
      </w:r>
      <w:r>
        <w:rPr>
          <w:rFonts w:hint="eastAsia" w:ascii="宋体" w:hAnsi="宋体" w:eastAsia="宋体" w:cs="宋体"/>
          <w:snapToGrid w:val="0"/>
          <w:color w:val="auto"/>
          <w:kern w:val="0"/>
          <w:sz w:val="24"/>
          <w:szCs w:val="24"/>
          <w:highlight w:val="none"/>
        </w:rPr>
        <w:t>；</w:t>
      </w:r>
    </w:p>
    <w:p w14:paraId="693F49D1">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（4）投标总价是否唯一；投标总价是否超出</w:t>
      </w:r>
      <w:r>
        <w:rPr>
          <w:rFonts w:hint="eastAsia" w:ascii="宋体" w:hAnsi="宋体" w:eastAsia="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eastAsia="zh-CN"/>
        </w:rPr>
        <w:t>安全生产措施费</w:t>
      </w:r>
      <w:r>
        <w:rPr>
          <w:rFonts w:hint="eastAsia" w:ascii="宋体" w:hAnsi="宋体" w:eastAsia="宋体" w:cs="宋体"/>
          <w:snapToGrid w:val="0"/>
          <w:color w:val="auto"/>
          <w:kern w:val="0"/>
          <w:sz w:val="24"/>
          <w:szCs w:val="24"/>
          <w:highlight w:val="none"/>
        </w:rPr>
        <w:t>是否达到最低要求；暂列金额、暂估价是否按照招标工程量清单统一报价；投标人是否以低于成本的价格竞标。</w:t>
      </w:r>
    </w:p>
    <w:p w14:paraId="5B28F3E0">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注：如果某投标人的投标总价下浮率（投标总价下浮率＝100%－投标总价÷</w:t>
      </w:r>
      <w:r>
        <w:rPr>
          <w:rFonts w:hint="eastAsia" w:ascii="宋体" w:hAnsi="宋体" w:eastAsia="宋体" w:cs="宋体"/>
          <w:b/>
          <w:bCs/>
          <w:snapToGrid w:val="0"/>
          <w:color w:val="auto"/>
          <w:kern w:val="0"/>
          <w:sz w:val="24"/>
          <w:szCs w:val="24"/>
          <w:highlight w:val="none"/>
          <w:lang w:eastAsia="zh-CN"/>
        </w:rPr>
        <w:t>最高投标限价</w:t>
      </w:r>
      <w:r>
        <w:rPr>
          <w:rFonts w:hint="eastAsia" w:ascii="宋体" w:hAnsi="宋体" w:eastAsia="宋体" w:cs="宋体"/>
          <w:b/>
          <w:bCs/>
          <w:snapToGrid w:val="0"/>
          <w:color w:val="auto"/>
          <w:kern w:val="0"/>
          <w:sz w:val="24"/>
          <w:szCs w:val="24"/>
          <w:highlight w:val="none"/>
        </w:rPr>
        <w:t>×100%）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67EFFC5A">
      <w:pPr>
        <w:pageBreakBefore w:val="0"/>
        <w:kinsoku/>
        <w:wordWrap w:val="0"/>
        <w:overflowPunct/>
        <w:topLinePunct w:val="0"/>
        <w:autoSpaceDE/>
        <w:autoSpaceDN/>
        <w:bidi w:val="0"/>
        <w:adjustRightInd w:val="0"/>
        <w:spacing w:line="360" w:lineRule="auto"/>
        <w:ind w:left="0" w:leftChars="0" w:right="0"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（5）施工组织设计的质量、进度保障措施是否符合国家和省市现行有关规范、规定、标准，是否能实现工程质量、进度管理目标。  </w:t>
      </w:r>
    </w:p>
    <w:p w14:paraId="1F78BC51">
      <w:pPr>
        <w:pageBreakBefore w:val="0"/>
        <w:kinsoku/>
        <w:wordWrap w:val="0"/>
        <w:overflowPunct/>
        <w:topLinePunct w:val="0"/>
        <w:autoSpaceDE/>
        <w:autoSpaceDN/>
        <w:bidi w:val="0"/>
        <w:adjustRightInd w:val="0"/>
        <w:snapToGrid w:val="0"/>
        <w:spacing w:line="360" w:lineRule="auto"/>
        <w:ind w:left="0" w:leftChars="0" w:right="0"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15.4.4</w:t>
      </w:r>
      <w:r>
        <w:rPr>
          <w:rFonts w:hint="eastAsia" w:ascii="宋体" w:hAnsi="宋体" w:eastAsia="宋体" w:cs="宋体"/>
          <w:snapToGrid w:val="0"/>
          <w:color w:val="auto"/>
          <w:kern w:val="0"/>
          <w:sz w:val="24"/>
          <w:szCs w:val="24"/>
          <w:highlight w:val="none"/>
        </w:rPr>
        <w:t xml:space="preserve"> 否决投标说明</w:t>
      </w:r>
    </w:p>
    <w:p w14:paraId="71E2841F">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初步评审阶段各个环节否决投标的全部条件，在本章第四节“否决投标条件”第</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条至第</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14:paraId="591D577B">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15.5</w:t>
      </w:r>
      <w:r>
        <w:rPr>
          <w:rFonts w:hint="eastAsia" w:ascii="宋体" w:hAnsi="宋体" w:eastAsia="宋体" w:cs="宋体"/>
          <w:snapToGrid w:val="0"/>
          <w:color w:val="auto"/>
          <w:kern w:val="0"/>
          <w:sz w:val="24"/>
          <w:szCs w:val="24"/>
          <w:highlight w:val="none"/>
        </w:rPr>
        <w:t xml:space="preserve"> 详细评审阶段</w:t>
      </w:r>
    </w:p>
    <w:p w14:paraId="6F5ABB79">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15.5.1</w:t>
      </w:r>
      <w:r>
        <w:rPr>
          <w:rFonts w:hint="eastAsia" w:ascii="宋体" w:hAnsi="宋体" w:eastAsia="宋体" w:cs="宋体"/>
          <w:bCs/>
          <w:snapToGrid w:val="0"/>
          <w:color w:val="auto"/>
          <w:kern w:val="0"/>
          <w:sz w:val="24"/>
          <w:szCs w:val="24"/>
          <w:highlight w:val="none"/>
        </w:rPr>
        <w:t xml:space="preserve"> “综合评估法”评审程序</w:t>
      </w:r>
    </w:p>
    <w:p w14:paraId="43B4D432">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评审内容分为商务技术和投标报价两大部分。其中，商务技术合计满分</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100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分，权重为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40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%；投标报价满分100分，权重为</w:t>
      </w:r>
      <w:r>
        <w:rPr>
          <w:rFonts w:hint="eastAsia" w:ascii="宋体" w:hAnsi="宋体" w:eastAsia="宋体" w:cs="宋体"/>
          <w:snapToGrid w:val="0"/>
          <w:color w:val="auto"/>
          <w:kern w:val="0"/>
          <w:sz w:val="24"/>
          <w:szCs w:val="24"/>
          <w:highlight w:val="none"/>
          <w:u w:val="single"/>
          <w:lang w:val="en-US" w:eastAsia="zh-CN"/>
        </w:rPr>
        <w:t>60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%。两大部分权重之和应为</w:t>
      </w:r>
      <w:r>
        <w:rPr>
          <w:rFonts w:hint="eastAsia" w:ascii="宋体" w:hAnsi="宋体" w:eastAsia="宋体" w:cs="宋体"/>
          <w:snapToGrid w:val="0"/>
          <w:color w:val="auto"/>
          <w:kern w:val="0"/>
          <w:sz w:val="24"/>
          <w:szCs w:val="24"/>
          <w:highlight w:val="none"/>
          <w:u w:val="single"/>
        </w:rPr>
        <w:t>100</w:t>
      </w:r>
      <w:r>
        <w:rPr>
          <w:rFonts w:hint="eastAsia" w:ascii="宋体" w:hAnsi="宋体" w:eastAsia="宋体" w:cs="宋体"/>
          <w:snapToGrid w:val="0"/>
          <w:color w:val="auto"/>
          <w:kern w:val="0"/>
          <w:sz w:val="24"/>
          <w:szCs w:val="24"/>
          <w:highlight w:val="none"/>
        </w:rPr>
        <w:t>%。</w:t>
      </w:r>
    </w:p>
    <w:p w14:paraId="6800A856">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除特别注明外，综合得分以及商务技术得分、投标报价得分的中间过程计算值和最终值，均按“四舍五入”原则精确到两位小数。</w:t>
      </w:r>
    </w:p>
    <w:p w14:paraId="3800178D">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（1）商务技术得分M</w:t>
      </w:r>
    </w:p>
    <w:p w14:paraId="27315233">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w:t>
      </w:r>
    </w:p>
    <w:p w14:paraId="52A417FF">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w:t>
      </w:r>
    </w:p>
    <w:p w14:paraId="643640C6">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．M＝M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＋M</w:t>
      </w:r>
      <w:r>
        <w:rPr>
          <w:rFonts w:hint="eastAsia" w:ascii="宋体" w:hAnsi="宋体" w:eastAsia="宋体" w:cs="宋体"/>
          <w:snapToGrid w:val="0"/>
          <w:color w:val="auto"/>
          <w:kern w:val="0"/>
          <w:sz w:val="24"/>
          <w:szCs w:val="24"/>
          <w:highlight w:val="none"/>
          <w:vertAlign w:val="subscript"/>
        </w:rPr>
        <w:t>2</w:t>
      </w:r>
    </w:p>
    <w:p w14:paraId="7E05BCFC">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式中：M</w:t>
      </w:r>
      <w:r>
        <w:rPr>
          <w:rFonts w:hint="eastAsia" w:ascii="宋体" w:hAnsi="宋体" w:eastAsia="宋体" w:cs="宋体"/>
          <w:snapToGrid w:val="0"/>
          <w:color w:val="auto"/>
          <w:kern w:val="0"/>
          <w:sz w:val="24"/>
          <w:szCs w:val="24"/>
          <w:highlight w:val="none"/>
          <w:vertAlign w:val="subscript"/>
        </w:rPr>
        <w:t>1</w:t>
      </w:r>
      <w:r>
        <w:rPr>
          <w:rFonts w:hint="eastAsia" w:ascii="宋体" w:hAnsi="宋体" w:eastAsia="宋体" w:cs="宋体"/>
          <w:snapToGrid w:val="0"/>
          <w:color w:val="auto"/>
          <w:kern w:val="0"/>
          <w:sz w:val="24"/>
          <w:szCs w:val="24"/>
          <w:highlight w:val="none"/>
        </w:rPr>
        <w:t>为某投标人的商务得分，M</w:t>
      </w:r>
      <w:r>
        <w:rPr>
          <w:rFonts w:hint="eastAsia" w:ascii="宋体" w:hAnsi="宋体" w:eastAsia="宋体" w:cs="宋体"/>
          <w:snapToGrid w:val="0"/>
          <w:color w:val="auto"/>
          <w:kern w:val="0"/>
          <w:sz w:val="24"/>
          <w:szCs w:val="24"/>
          <w:highlight w:val="none"/>
          <w:vertAlign w:val="subscript"/>
        </w:rPr>
        <w:t>2</w:t>
      </w:r>
      <w:r>
        <w:rPr>
          <w:rFonts w:hint="eastAsia" w:ascii="宋体" w:hAnsi="宋体" w:eastAsia="宋体" w:cs="宋体"/>
          <w:snapToGrid w:val="0"/>
          <w:color w:val="auto"/>
          <w:kern w:val="0"/>
          <w:sz w:val="24"/>
          <w:szCs w:val="24"/>
          <w:highlight w:val="none"/>
        </w:rPr>
        <w:t>为某投标人的技术得分。</w:t>
      </w:r>
    </w:p>
    <w:p w14:paraId="65688A7A">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（2）投标报价得分N</w:t>
      </w:r>
    </w:p>
    <w:p w14:paraId="4959AEE7">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a</w:t>
      </w:r>
      <w:r>
        <w:rPr>
          <w:rFonts w:hint="eastAsia" w:ascii="宋体" w:hAnsi="宋体" w:eastAsia="宋体" w:cs="宋体"/>
          <w:snapToGrid w:val="0"/>
          <w:color w:val="auto"/>
          <w:kern w:val="0"/>
          <w:sz w:val="24"/>
          <w:szCs w:val="24"/>
          <w:highlight w:val="none"/>
        </w:rPr>
        <w:t>．评标委员会按照《综合评分表》投标报价部分指定的方法计算评标基准价D。</w:t>
      </w:r>
    </w:p>
    <w:p w14:paraId="2A56735D">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2" w:firstLineChars="20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．采用内插法计算某投标人的投标报价得分N，即当投标人的投标总价等于评标基准价时得100分，每高于评标基准价一个百分点扣</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分, 每低于评标基准价一个百分点扣</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分，扣完为止。公式如下：</w:t>
      </w:r>
    </w:p>
    <w:p w14:paraId="7457B9F0">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N＝100－（| Di－D | ÷D）×100×E</w:t>
      </w:r>
    </w:p>
    <w:p w14:paraId="0FF61F3C">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；当Di＜D时，E＝</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p>
    <w:p w14:paraId="5D56130C">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（3）综合得分</w:t>
      </w:r>
    </w:p>
    <w:p w14:paraId="7CBD7B16">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综合得分换算为百分制，满分100分，公式如下：</w:t>
      </w:r>
    </w:p>
    <w:p w14:paraId="03CF0169">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综合得分＝M÷商务技术合计满分×100×商务技术权重＋N×投标报价权重</w:t>
      </w:r>
    </w:p>
    <w:p w14:paraId="0F3ED5EB">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式中：M为商务技术得分，N为投标报价得分。</w:t>
      </w:r>
    </w:p>
    <w:p w14:paraId="5A7138CF">
      <w:pPr>
        <w:keepNext w:val="0"/>
        <w:keepLines w:val="0"/>
        <w:pageBreakBefore w:val="0"/>
        <w:widowControl w:val="0"/>
        <w:kinsoku/>
        <w:wordWrap w:val="0"/>
        <w:overflowPunct/>
        <w:topLinePunct w:val="0"/>
        <w:autoSpaceDE/>
        <w:autoSpaceDN/>
        <w:bidi w:val="0"/>
        <w:adjustRightInd w:val="0"/>
        <w:snapToGrid w:val="0"/>
        <w:spacing w:line="351" w:lineRule="auto"/>
        <w:ind w:left="0" w:leftChars="0" w:right="0" w:firstLine="480" w:firstLineChars="200"/>
        <w:textAlignment w:val="auto"/>
        <w:rPr>
          <w:rFonts w:hint="eastAsia" w:ascii="宋体" w:hAnsi="宋体" w:eastAsia="宋体" w:cs="宋体"/>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r>
        <w:rPr>
          <w:rFonts w:hint="eastAsia" w:ascii="宋体" w:hAnsi="宋体" w:eastAsia="宋体" w:cs="宋体"/>
          <w:snapToGrid w:val="0"/>
          <w:color w:val="auto"/>
          <w:kern w:val="0"/>
          <w:sz w:val="24"/>
          <w:szCs w:val="24"/>
          <w:highlight w:val="none"/>
        </w:rPr>
        <w:t>（4）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5B7DBDBF">
      <w:pPr>
        <w:keepNext w:val="0"/>
        <w:keepLines w:val="0"/>
        <w:pageBreakBefore w:val="0"/>
        <w:widowControl w:val="0"/>
        <w:kinsoku/>
        <w:wordWrap w:val="0"/>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b/>
          <w:bCs/>
          <w:snapToGrid w:val="0"/>
          <w:color w:val="auto"/>
          <w:kern w:val="0"/>
          <w:sz w:val="28"/>
          <w:szCs w:val="28"/>
          <w:highlight w:val="none"/>
        </w:rPr>
      </w:pPr>
      <w:r>
        <w:rPr>
          <w:rFonts w:hint="eastAsia" w:ascii="宋体" w:hAnsi="宋体" w:eastAsia="宋体" w:cs="宋体"/>
          <w:b/>
          <w:bCs/>
          <w:snapToGrid w:val="0"/>
          <w:color w:val="auto"/>
          <w:kern w:val="0"/>
          <w:sz w:val="28"/>
          <w:szCs w:val="28"/>
          <w:highlight w:val="none"/>
        </w:rPr>
        <w:t>综合评分表</w:t>
      </w:r>
    </w:p>
    <w:tbl>
      <w:tblPr>
        <w:tblStyle w:val="32"/>
        <w:tblW w:w="10853" w:type="dxa"/>
        <w:jc w:val="center"/>
        <w:tblLayout w:type="fixed"/>
        <w:tblCellMar>
          <w:top w:w="0" w:type="dxa"/>
          <w:left w:w="108" w:type="dxa"/>
          <w:bottom w:w="0" w:type="dxa"/>
          <w:right w:w="108" w:type="dxa"/>
        </w:tblCellMar>
      </w:tblPr>
      <w:tblGrid>
        <w:gridCol w:w="1493"/>
        <w:gridCol w:w="3927"/>
        <w:gridCol w:w="690"/>
        <w:gridCol w:w="4743"/>
      </w:tblGrid>
      <w:tr w14:paraId="2515FCC3">
        <w:tblPrEx>
          <w:tblCellMar>
            <w:top w:w="0" w:type="dxa"/>
            <w:left w:w="108" w:type="dxa"/>
            <w:bottom w:w="0" w:type="dxa"/>
            <w:right w:w="108" w:type="dxa"/>
          </w:tblCellMar>
        </w:tblPrEx>
        <w:trPr>
          <w:trHeight w:val="23" w:hRule="atLeast"/>
          <w:jc w:val="center"/>
        </w:trPr>
        <w:tc>
          <w:tcPr>
            <w:tcW w:w="10853"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163E87D1">
            <w:pPr>
              <w:pStyle w:val="11"/>
              <w:tabs>
                <w:tab w:val="left" w:pos="1354"/>
                <w:tab w:val="left" w:pos="1459"/>
                <w:tab w:val="center" w:pos="3902"/>
                <w:tab w:val="right" w:pos="7805"/>
              </w:tabs>
              <w:wordWrap w:val="0"/>
              <w:adjustRightInd w:val="0"/>
              <w:snapToGrid w:val="0"/>
              <w:spacing w:after="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商务部分，满分：</w:t>
            </w:r>
            <w:r>
              <w:rPr>
                <w:rFonts w:hint="eastAsia" w:ascii="宋体" w:hAnsi="宋体" w:eastAsia="宋体" w:cs="宋体"/>
                <w:b/>
                <w:bCs/>
                <w:snapToGrid w:val="0"/>
                <w:color w:val="auto"/>
                <w:kern w:val="0"/>
                <w:sz w:val="24"/>
                <w:szCs w:val="24"/>
                <w:highlight w:val="none"/>
                <w:u w:val="single"/>
                <w:lang w:val="en-US" w:eastAsia="zh-CN"/>
              </w:rPr>
              <w:t>80</w:t>
            </w:r>
            <w:r>
              <w:rPr>
                <w:rFonts w:hint="eastAsia" w:ascii="宋体" w:hAnsi="宋体" w:eastAsia="宋体" w:cs="宋体"/>
                <w:b/>
                <w:bCs/>
                <w:snapToGrid w:val="0"/>
                <w:color w:val="auto"/>
                <w:kern w:val="0"/>
                <w:sz w:val="24"/>
                <w:szCs w:val="24"/>
                <w:highlight w:val="none"/>
                <w:u w:val="single"/>
              </w:rPr>
              <w:t xml:space="preserve"> </w:t>
            </w:r>
            <w:r>
              <w:rPr>
                <w:rFonts w:hint="eastAsia" w:ascii="宋体" w:hAnsi="宋体" w:eastAsia="宋体" w:cs="宋体"/>
                <w:b/>
                <w:bCs/>
                <w:snapToGrid w:val="0"/>
                <w:color w:val="auto"/>
                <w:kern w:val="0"/>
                <w:sz w:val="24"/>
                <w:szCs w:val="24"/>
                <w:highlight w:val="none"/>
              </w:rPr>
              <w:t>分。</w:t>
            </w:r>
          </w:p>
        </w:tc>
      </w:tr>
      <w:tr w14:paraId="715481E6">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5E5B5EE4">
            <w:pPr>
              <w:pStyle w:val="11"/>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评分因素</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63478C55">
            <w:pPr>
              <w:pStyle w:val="11"/>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评分标准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2DD875DA">
            <w:pPr>
              <w:pStyle w:val="11"/>
              <w:keepNext w:val="0"/>
              <w:keepLines w:val="0"/>
              <w:pageBreakBefore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r>
      <w:tr w14:paraId="59847AB3">
        <w:tblPrEx>
          <w:tblCellMar>
            <w:top w:w="0" w:type="dxa"/>
            <w:left w:w="108" w:type="dxa"/>
            <w:bottom w:w="0" w:type="dxa"/>
            <w:right w:w="108" w:type="dxa"/>
          </w:tblCellMar>
        </w:tblPrEx>
        <w:trPr>
          <w:trHeight w:val="318"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2E0B2A14">
            <w:pPr>
              <w:pStyle w:val="11"/>
              <w:keepNext w:val="0"/>
              <w:keepLines w:val="0"/>
              <w:suppressLineNumbers w:val="0"/>
              <w:adjustRightInd w:val="0"/>
              <w:snapToGrid w:val="0"/>
              <w:spacing w:before="0" w:beforeAutospacing="0" w:after="0" w:afterAutospacing="0" w:line="360" w:lineRule="auto"/>
              <w:ind w:left="0" w:right="0"/>
              <w:jc w:val="center"/>
              <w:rPr>
                <w:rFonts w:hint="default" w:hAnsi="宋体" w:cs="宋体"/>
                <w:snapToGrid w:val="0"/>
                <w:color w:val="000000"/>
                <w:kern w:val="0"/>
                <w:sz w:val="24"/>
                <w:szCs w:val="24"/>
                <w:highlight w:val="none"/>
              </w:rPr>
            </w:pPr>
            <w:r>
              <w:rPr>
                <w:rFonts w:hint="eastAsia" w:hAnsi="宋体" w:cs="宋体"/>
                <w:snapToGrid w:val="0"/>
                <w:color w:val="000000"/>
                <w:kern w:val="0"/>
                <w:sz w:val="24"/>
                <w:szCs w:val="24"/>
                <w:highlight w:val="none"/>
              </w:rPr>
              <w:t>企业奖项</w:t>
            </w:r>
          </w:p>
          <w:p w14:paraId="67E5D195">
            <w:pPr>
              <w:pStyle w:val="11"/>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宋体" w:hAnsi="宋体" w:eastAsia="宋体" w:cs="宋体"/>
                <w:snapToGrid w:val="0"/>
                <w:color w:val="auto"/>
                <w:kern w:val="0"/>
                <w:sz w:val="22"/>
                <w:szCs w:val="22"/>
                <w:highlight w:val="none"/>
              </w:rPr>
            </w:pPr>
            <w:r>
              <w:rPr>
                <w:rFonts w:hint="eastAsia" w:hAnsi="宋体" w:cs="宋体"/>
                <w:snapToGrid w:val="0"/>
                <w:color w:val="000000"/>
                <w:kern w:val="0"/>
                <w:sz w:val="24"/>
                <w:szCs w:val="24"/>
                <w:highlight w:val="none"/>
              </w:rPr>
              <w:t>（</w:t>
            </w:r>
            <w:r>
              <w:rPr>
                <w:rFonts w:hint="eastAsia" w:hAnsi="宋体" w:cs="宋体"/>
                <w:snapToGrid w:val="0"/>
                <w:color w:val="000000"/>
                <w:kern w:val="0"/>
                <w:sz w:val="24"/>
                <w:szCs w:val="24"/>
                <w:highlight w:val="none"/>
                <w:lang w:val="en-US" w:eastAsia="zh-CN"/>
              </w:rPr>
              <w:t>15</w:t>
            </w:r>
            <w:r>
              <w:rPr>
                <w:rFonts w:hint="eastAsia" w:hAnsi="宋体" w:cs="宋体"/>
                <w:snapToGrid w:val="0"/>
                <w:color w:val="000000"/>
                <w:kern w:val="0"/>
                <w:sz w:val="24"/>
                <w:szCs w:val="24"/>
                <w:highlight w:val="none"/>
              </w:rPr>
              <w:t>分）</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568E0F36">
            <w:pPr>
              <w:pStyle w:val="11"/>
              <w:keepNext w:val="0"/>
              <w:keepLines w:val="0"/>
              <w:suppressLineNumbers w:val="0"/>
              <w:adjustRightInd w:val="0"/>
              <w:snapToGrid w:val="0"/>
              <w:spacing w:before="0" w:beforeAutospacing="0" w:after="0" w:afterAutospacing="0" w:line="360" w:lineRule="auto"/>
              <w:ind w:left="0" w:right="0"/>
              <w:jc w:val="left"/>
              <w:rPr>
                <w:rFonts w:hint="default" w:hAnsi="宋体"/>
                <w:snapToGrid w:val="0"/>
                <w:color w:val="auto"/>
                <w:kern w:val="0"/>
                <w:sz w:val="24"/>
                <w:szCs w:val="24"/>
                <w:highlight w:val="none"/>
              </w:rPr>
            </w:pPr>
            <w:r>
              <w:rPr>
                <w:rFonts w:hint="eastAsia" w:hAnsi="宋体"/>
                <w:snapToGrid w:val="0"/>
                <w:color w:val="auto"/>
                <w:kern w:val="0"/>
                <w:sz w:val="24"/>
                <w:szCs w:val="24"/>
                <w:highlight w:val="none"/>
              </w:rPr>
              <w:t xml:space="preserve">企业近 </w:t>
            </w:r>
            <w:r>
              <w:rPr>
                <w:rFonts w:hint="eastAsia" w:hAnsi="宋体"/>
                <w:snapToGrid w:val="0"/>
                <w:color w:val="auto"/>
                <w:kern w:val="0"/>
                <w:sz w:val="24"/>
                <w:szCs w:val="24"/>
                <w:highlight w:val="none"/>
                <w:lang w:val="en-US" w:eastAsia="zh-CN"/>
              </w:rPr>
              <w:t>3</w:t>
            </w:r>
            <w:r>
              <w:rPr>
                <w:rFonts w:hint="eastAsia" w:hAnsi="宋体"/>
                <w:snapToGrid w:val="0"/>
                <w:color w:val="auto"/>
                <w:kern w:val="0"/>
                <w:sz w:val="24"/>
                <w:szCs w:val="24"/>
                <w:highlight w:val="none"/>
              </w:rPr>
              <w:t xml:space="preserve"> 年来（</w:t>
            </w:r>
            <w:r>
              <w:rPr>
                <w:rFonts w:hint="eastAsia" w:hAnsi="宋体"/>
                <w:snapToGrid w:val="0"/>
                <w:color w:val="auto"/>
                <w:kern w:val="0"/>
                <w:sz w:val="24"/>
                <w:szCs w:val="24"/>
                <w:highlight w:val="none"/>
                <w:lang w:val="en-US" w:eastAsia="zh-CN"/>
              </w:rPr>
              <w:t>2023年1月1日至今</w:t>
            </w:r>
            <w:r>
              <w:rPr>
                <w:rFonts w:hint="eastAsia" w:hAnsi="宋体"/>
                <w:snapToGrid w:val="0"/>
                <w:color w:val="auto"/>
                <w:kern w:val="0"/>
                <w:sz w:val="24"/>
                <w:szCs w:val="24"/>
                <w:highlight w:val="none"/>
              </w:rPr>
              <w:t>）获得同类项目“优质工程”奖项情况：</w:t>
            </w:r>
          </w:p>
          <w:p w14:paraId="6B9CFD92">
            <w:pPr>
              <w:pStyle w:val="11"/>
              <w:keepNext w:val="0"/>
              <w:keepLines w:val="0"/>
              <w:suppressLineNumbers w:val="0"/>
              <w:adjustRightInd w:val="0"/>
              <w:snapToGrid w:val="0"/>
              <w:spacing w:before="0" w:beforeAutospacing="0" w:after="0" w:afterAutospacing="0" w:line="360" w:lineRule="auto"/>
              <w:ind w:left="0" w:right="0"/>
              <w:jc w:val="left"/>
              <w:rPr>
                <w:rFonts w:hint="default" w:hAnsi="宋体"/>
                <w:snapToGrid w:val="0"/>
                <w:color w:val="auto"/>
                <w:kern w:val="0"/>
                <w:sz w:val="24"/>
                <w:szCs w:val="24"/>
                <w:highlight w:val="none"/>
              </w:rPr>
            </w:pPr>
            <w:r>
              <w:rPr>
                <w:rFonts w:hint="eastAsia" w:hAnsi="宋体"/>
                <w:snapToGrid w:val="0"/>
                <w:color w:val="auto"/>
                <w:kern w:val="0"/>
                <w:sz w:val="24"/>
                <w:szCs w:val="24"/>
                <w:highlight w:val="none"/>
                <w:lang w:val="en-US" w:eastAsia="zh-CN"/>
              </w:rPr>
              <w:t>1</w:t>
            </w:r>
            <w:r>
              <w:rPr>
                <w:rFonts w:hint="eastAsia" w:hAnsi="宋体"/>
                <w:snapToGrid w:val="0"/>
                <w:color w:val="auto"/>
                <w:kern w:val="0"/>
                <w:sz w:val="24"/>
                <w:szCs w:val="24"/>
                <w:highlight w:val="none"/>
              </w:rPr>
              <w:t>．获得省级或以上等级奖项</w:t>
            </w:r>
            <w:r>
              <w:rPr>
                <w:rFonts w:hint="default" w:hAnsi="宋体" w:cs="宋体"/>
                <w:snapToGrid w:val="0"/>
                <w:color w:val="auto"/>
                <w:kern w:val="0"/>
                <w:sz w:val="24"/>
                <w:szCs w:val="24"/>
                <w:highlight w:val="none"/>
              </w:rPr>
              <w:t>的，</w:t>
            </w:r>
            <w:r>
              <w:rPr>
                <w:rFonts w:hint="eastAsia" w:hAnsi="宋体"/>
                <w:snapToGrid w:val="0"/>
                <w:color w:val="auto"/>
                <w:kern w:val="0"/>
                <w:sz w:val="24"/>
                <w:szCs w:val="24"/>
                <w:highlight w:val="none"/>
                <w:lang w:eastAsia="zh-CN"/>
              </w:rPr>
              <w:t>每个</w:t>
            </w:r>
            <w:r>
              <w:rPr>
                <w:rFonts w:hint="eastAsia" w:hAnsi="宋体"/>
                <w:snapToGrid w:val="0"/>
                <w:color w:val="auto"/>
                <w:kern w:val="0"/>
                <w:sz w:val="24"/>
                <w:szCs w:val="24"/>
                <w:highlight w:val="none"/>
              </w:rPr>
              <w:t>得</w:t>
            </w:r>
            <w:r>
              <w:rPr>
                <w:rFonts w:hint="eastAsia" w:hAnsi="宋体"/>
                <w:snapToGrid w:val="0"/>
                <w:color w:val="auto"/>
                <w:kern w:val="0"/>
                <w:sz w:val="24"/>
                <w:szCs w:val="24"/>
                <w:highlight w:val="none"/>
                <w:lang w:val="en-US" w:eastAsia="zh-CN"/>
              </w:rPr>
              <w:t>5</w:t>
            </w:r>
            <w:r>
              <w:rPr>
                <w:rFonts w:hint="eastAsia" w:hAnsi="宋体"/>
                <w:snapToGrid w:val="0"/>
                <w:color w:val="auto"/>
                <w:kern w:val="0"/>
                <w:sz w:val="24"/>
                <w:szCs w:val="24"/>
                <w:highlight w:val="none"/>
              </w:rPr>
              <w:t>分；</w:t>
            </w:r>
          </w:p>
          <w:p w14:paraId="66DDE5BB">
            <w:pPr>
              <w:pStyle w:val="11"/>
              <w:keepNext w:val="0"/>
              <w:keepLines w:val="0"/>
              <w:suppressLineNumbers w:val="0"/>
              <w:adjustRightInd w:val="0"/>
              <w:snapToGrid w:val="0"/>
              <w:spacing w:before="0" w:beforeAutospacing="0" w:after="0" w:afterAutospacing="0" w:line="360" w:lineRule="auto"/>
              <w:ind w:left="0" w:right="0"/>
              <w:jc w:val="left"/>
              <w:rPr>
                <w:rFonts w:hint="default" w:hAnsi="宋体"/>
                <w:snapToGrid w:val="0"/>
                <w:color w:val="auto"/>
                <w:kern w:val="0"/>
                <w:sz w:val="24"/>
                <w:szCs w:val="24"/>
                <w:highlight w:val="none"/>
              </w:rPr>
            </w:pPr>
            <w:r>
              <w:rPr>
                <w:rFonts w:hint="eastAsia" w:hAnsi="宋体"/>
                <w:snapToGrid w:val="0"/>
                <w:color w:val="auto"/>
                <w:kern w:val="0"/>
                <w:sz w:val="24"/>
                <w:szCs w:val="24"/>
                <w:highlight w:val="none"/>
                <w:lang w:val="en-US" w:eastAsia="zh-CN"/>
              </w:rPr>
              <w:t>2</w:t>
            </w:r>
            <w:r>
              <w:rPr>
                <w:rFonts w:hint="eastAsia" w:hAnsi="宋体"/>
                <w:snapToGrid w:val="0"/>
                <w:color w:val="auto"/>
                <w:kern w:val="0"/>
                <w:sz w:val="24"/>
                <w:szCs w:val="24"/>
                <w:highlight w:val="none"/>
              </w:rPr>
              <w:t>．获得地市级奖项</w:t>
            </w:r>
            <w:r>
              <w:rPr>
                <w:rFonts w:hint="default" w:hAnsi="宋体" w:cs="宋体"/>
                <w:snapToGrid w:val="0"/>
                <w:color w:val="auto"/>
                <w:kern w:val="0"/>
                <w:sz w:val="24"/>
                <w:szCs w:val="24"/>
                <w:highlight w:val="none"/>
              </w:rPr>
              <w:t>的，</w:t>
            </w:r>
            <w:r>
              <w:rPr>
                <w:rFonts w:hint="eastAsia" w:hAnsi="宋体"/>
                <w:snapToGrid w:val="0"/>
                <w:color w:val="auto"/>
                <w:kern w:val="0"/>
                <w:sz w:val="24"/>
                <w:szCs w:val="24"/>
                <w:highlight w:val="none"/>
                <w:lang w:eastAsia="zh-CN"/>
              </w:rPr>
              <w:t>每个</w:t>
            </w:r>
            <w:r>
              <w:rPr>
                <w:rFonts w:hint="eastAsia" w:hAnsi="宋体"/>
                <w:snapToGrid w:val="0"/>
                <w:color w:val="auto"/>
                <w:kern w:val="0"/>
                <w:sz w:val="24"/>
                <w:szCs w:val="24"/>
                <w:highlight w:val="none"/>
              </w:rPr>
              <w:t>得</w:t>
            </w:r>
            <w:r>
              <w:rPr>
                <w:rFonts w:hint="eastAsia" w:hAnsi="宋体"/>
                <w:snapToGrid w:val="0"/>
                <w:color w:val="auto"/>
                <w:kern w:val="0"/>
                <w:sz w:val="24"/>
                <w:szCs w:val="24"/>
                <w:highlight w:val="none"/>
                <w:lang w:val="en-US" w:eastAsia="zh-CN"/>
              </w:rPr>
              <w:t>3</w:t>
            </w:r>
            <w:r>
              <w:rPr>
                <w:rFonts w:hint="eastAsia" w:hAnsi="宋体"/>
                <w:snapToGrid w:val="0"/>
                <w:color w:val="auto"/>
                <w:kern w:val="0"/>
                <w:sz w:val="24"/>
                <w:szCs w:val="24"/>
                <w:highlight w:val="none"/>
              </w:rPr>
              <w:t>分</w:t>
            </w:r>
            <w:r>
              <w:rPr>
                <w:rFonts w:hint="eastAsia" w:hAnsi="宋体"/>
                <w:snapToGrid w:val="0"/>
                <w:color w:val="auto"/>
                <w:kern w:val="0"/>
                <w:sz w:val="24"/>
                <w:szCs w:val="24"/>
                <w:highlight w:val="none"/>
                <w:lang w:eastAsia="zh-CN"/>
              </w:rPr>
              <w:t>；</w:t>
            </w:r>
          </w:p>
          <w:p w14:paraId="6E0A705C">
            <w:pPr>
              <w:pStyle w:val="11"/>
              <w:keepNext w:val="0"/>
              <w:keepLines w:val="0"/>
              <w:suppressLineNumbers w:val="0"/>
              <w:adjustRightInd w:val="0"/>
              <w:snapToGrid w:val="0"/>
              <w:spacing w:before="0" w:beforeAutospacing="0" w:after="0" w:afterAutospacing="0" w:line="360" w:lineRule="auto"/>
              <w:ind w:left="0" w:right="0"/>
              <w:jc w:val="left"/>
              <w:rPr>
                <w:rFonts w:hint="default" w:hAnsi="宋体"/>
                <w:snapToGrid w:val="0"/>
                <w:color w:val="auto"/>
                <w:kern w:val="0"/>
                <w:sz w:val="24"/>
                <w:szCs w:val="24"/>
                <w:highlight w:val="none"/>
              </w:rPr>
            </w:pPr>
            <w:r>
              <w:rPr>
                <w:rFonts w:hint="eastAsia" w:hAnsi="宋体"/>
                <w:snapToGrid w:val="0"/>
                <w:color w:val="auto"/>
                <w:kern w:val="0"/>
                <w:sz w:val="24"/>
                <w:szCs w:val="24"/>
                <w:highlight w:val="none"/>
                <w:lang w:val="en-US" w:eastAsia="zh-CN"/>
              </w:rPr>
              <w:t>3</w:t>
            </w:r>
            <w:r>
              <w:rPr>
                <w:rFonts w:hint="eastAsia" w:hAnsi="宋体"/>
                <w:snapToGrid w:val="0"/>
                <w:color w:val="auto"/>
                <w:kern w:val="0"/>
                <w:sz w:val="24"/>
                <w:szCs w:val="24"/>
                <w:highlight w:val="none"/>
              </w:rPr>
              <w:t>．以上奖项均未获得的，不予计分。</w:t>
            </w:r>
          </w:p>
          <w:p w14:paraId="10728370">
            <w:pPr>
              <w:pStyle w:val="11"/>
              <w:keepNext w:val="0"/>
              <w:keepLines w:val="0"/>
              <w:suppressLineNumbers w:val="0"/>
              <w:adjustRightInd w:val="0"/>
              <w:snapToGrid w:val="0"/>
              <w:spacing w:before="0" w:beforeAutospacing="0" w:after="0" w:afterAutospacing="0" w:line="360" w:lineRule="auto"/>
              <w:ind w:left="0" w:leftChars="0" w:right="0" w:rightChars="0"/>
              <w:jc w:val="left"/>
              <w:rPr>
                <w:rFonts w:hint="eastAsia" w:ascii="宋体" w:hAnsi="宋体" w:eastAsia="宋体" w:cs="宋体"/>
                <w:snapToGrid w:val="0"/>
                <w:color w:val="auto"/>
                <w:kern w:val="0"/>
                <w:sz w:val="22"/>
                <w:szCs w:val="22"/>
                <w:highlight w:val="none"/>
              </w:rPr>
            </w:pPr>
            <w:r>
              <w:rPr>
                <w:rFonts w:hint="eastAsia" w:hAnsi="宋体"/>
                <w:snapToGrid w:val="0"/>
                <w:color w:val="auto"/>
                <w:kern w:val="0"/>
                <w:sz w:val="24"/>
                <w:szCs w:val="24"/>
                <w:highlight w:val="none"/>
              </w:rPr>
              <w:t>本项最高得</w:t>
            </w:r>
            <w:r>
              <w:rPr>
                <w:rFonts w:hint="eastAsia" w:hAnsi="宋体"/>
                <w:snapToGrid w:val="0"/>
                <w:color w:val="auto"/>
                <w:kern w:val="0"/>
                <w:sz w:val="24"/>
                <w:szCs w:val="24"/>
                <w:highlight w:val="none"/>
                <w:lang w:val="en-US" w:eastAsia="zh-CN"/>
              </w:rPr>
              <w:t>15</w:t>
            </w:r>
            <w:r>
              <w:rPr>
                <w:rFonts w:hint="eastAsia" w:hAnsi="宋体"/>
                <w:snapToGrid w:val="0"/>
                <w:color w:val="auto"/>
                <w:kern w:val="0"/>
                <w:sz w:val="24"/>
                <w:szCs w:val="24"/>
                <w:highlight w:val="none"/>
              </w:rPr>
              <w:t>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264A2E78">
            <w:pPr>
              <w:keepNext w:val="0"/>
              <w:keepLines w:val="0"/>
              <w:numPr>
                <w:ilvl w:val="0"/>
                <w:numId w:val="1"/>
              </w:numPr>
              <w:suppressLineNumbers w:val="0"/>
              <w:adjustRightInd w:val="0"/>
              <w:snapToGrid w:val="0"/>
              <w:spacing w:before="0" w:beforeAutospacing="0" w:after="0" w:afterAutospacing="0" w:line="360" w:lineRule="auto"/>
              <w:ind w:left="0" w:right="0"/>
              <w:rPr>
                <w:rFonts w:hint="default" w:hAnsi="宋体"/>
                <w:snapToGrid w:val="0"/>
                <w:color w:val="auto"/>
                <w:kern w:val="0"/>
                <w:sz w:val="24"/>
                <w:szCs w:val="24"/>
                <w:highlight w:val="none"/>
              </w:rPr>
            </w:pPr>
            <w:r>
              <w:rPr>
                <w:rFonts w:hint="eastAsia" w:hAnsi="宋体"/>
                <w:snapToGrid w:val="0"/>
                <w:color w:val="auto"/>
                <w:kern w:val="0"/>
                <w:sz w:val="24"/>
                <w:szCs w:val="24"/>
                <w:highlight w:val="none"/>
                <w:lang w:val="en-US" w:eastAsia="zh-CN"/>
              </w:rPr>
              <w:t>不同项目</w:t>
            </w:r>
            <w:r>
              <w:rPr>
                <w:rFonts w:hint="default" w:hAnsi="宋体"/>
                <w:snapToGrid w:val="0"/>
                <w:color w:val="auto"/>
                <w:kern w:val="0"/>
                <w:sz w:val="24"/>
                <w:szCs w:val="24"/>
                <w:highlight w:val="none"/>
              </w:rPr>
              <w:t>可累计计分，同一项目业绩只按最高获奖等级计分一次。</w:t>
            </w:r>
          </w:p>
          <w:p w14:paraId="3B7070E7">
            <w:pPr>
              <w:keepNext w:val="0"/>
              <w:keepLines w:val="0"/>
              <w:numPr>
                <w:ilvl w:val="0"/>
                <w:numId w:val="1"/>
              </w:numPr>
              <w:suppressLineNumbers w:val="0"/>
              <w:adjustRightInd w:val="0"/>
              <w:snapToGrid w:val="0"/>
              <w:spacing w:before="0" w:beforeAutospacing="0" w:after="0" w:afterAutospacing="0" w:line="360" w:lineRule="auto"/>
              <w:ind w:left="0" w:right="0"/>
              <w:rPr>
                <w:rFonts w:hint="default" w:hAnsi="宋体" w:cs="宋体"/>
                <w:snapToGrid w:val="0"/>
                <w:color w:val="auto"/>
                <w:kern w:val="0"/>
                <w:sz w:val="24"/>
                <w:szCs w:val="24"/>
                <w:highlight w:val="none"/>
              </w:rPr>
            </w:pPr>
            <w:r>
              <w:rPr>
                <w:rFonts w:hint="default" w:hAnsi="宋体"/>
                <w:snapToGrid w:val="0"/>
                <w:color w:val="auto"/>
                <w:kern w:val="0"/>
                <w:sz w:val="24"/>
                <w:szCs w:val="24"/>
                <w:highlight w:val="none"/>
              </w:rPr>
              <w:t>同类项目</w:t>
            </w:r>
            <w:r>
              <w:rPr>
                <w:rFonts w:hint="default" w:hAnsi="宋体" w:cs="宋体"/>
                <w:snapToGrid w:val="0"/>
                <w:color w:val="auto"/>
                <w:kern w:val="0"/>
                <w:sz w:val="24"/>
                <w:szCs w:val="24"/>
                <w:highlight w:val="none"/>
              </w:rPr>
              <w:t>指：10kV同等电压等级及以上工程施工业绩。</w:t>
            </w:r>
          </w:p>
          <w:p w14:paraId="307BB513">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auto"/>
                <w:kern w:val="0"/>
                <w:sz w:val="24"/>
                <w:szCs w:val="24"/>
                <w:highlight w:val="none"/>
                <w:u w:val="none"/>
              </w:rPr>
            </w:pPr>
            <w:r>
              <w:rPr>
                <w:rFonts w:hint="default" w:hAnsi="宋体" w:cs="宋体"/>
                <w:snapToGrid w:val="0"/>
                <w:color w:val="auto"/>
                <w:kern w:val="0"/>
                <w:sz w:val="24"/>
                <w:szCs w:val="24"/>
                <w:highlight w:val="none"/>
              </w:rPr>
              <w:t>3.颁发机构限定以下范围：</w:t>
            </w:r>
            <w:r>
              <w:rPr>
                <w:rFonts w:hint="default" w:hAnsi="宋体" w:cs="宋体"/>
                <w:snapToGrid w:val="0"/>
                <w:color w:val="auto"/>
                <w:kern w:val="0"/>
                <w:sz w:val="24"/>
                <w:szCs w:val="24"/>
                <w:highlight w:val="none"/>
                <w:u w:val="single"/>
              </w:rPr>
              <w:t>供电部门颁发。</w:t>
            </w:r>
          </w:p>
          <w:p w14:paraId="130F15BA">
            <w:pPr>
              <w:keepNext w:val="0"/>
              <w:keepLines w:val="0"/>
              <w:suppressLineNumbers w:val="0"/>
              <w:adjustRightInd w:val="0"/>
              <w:snapToGrid w:val="0"/>
              <w:spacing w:before="0" w:beforeAutospacing="0" w:after="0" w:afterAutospacing="0" w:line="360" w:lineRule="auto"/>
              <w:ind w:left="0" w:leftChars="0" w:right="0" w:rightChars="0"/>
              <w:rPr>
                <w:rFonts w:hint="eastAsia" w:ascii="宋体" w:hAnsi="宋体" w:eastAsia="宋体" w:cs="宋体"/>
                <w:snapToGrid w:val="0"/>
                <w:color w:val="auto"/>
                <w:kern w:val="0"/>
                <w:sz w:val="22"/>
                <w:szCs w:val="22"/>
                <w:highlight w:val="none"/>
              </w:rPr>
            </w:pPr>
            <w:r>
              <w:rPr>
                <w:rFonts w:hint="default" w:hAnsi="宋体" w:cs="宋体"/>
                <w:snapToGrid w:val="0"/>
                <w:color w:val="auto"/>
                <w:kern w:val="0"/>
                <w:sz w:val="24"/>
                <w:szCs w:val="24"/>
                <w:highlight w:val="none"/>
              </w:rPr>
              <w:t>4．须提供获奖发文材料扫描件</w:t>
            </w:r>
            <w:r>
              <w:rPr>
                <w:rFonts w:hint="default" w:hAnsi="宋体" w:cs="宋体"/>
                <w:color w:val="auto"/>
                <w:sz w:val="24"/>
                <w:szCs w:val="24"/>
                <w:highlight w:val="none"/>
              </w:rPr>
              <w:t>，获奖时间以获奖发文落款日期为准。</w:t>
            </w:r>
          </w:p>
        </w:tc>
      </w:tr>
      <w:tr w14:paraId="72FF3856">
        <w:tblPrEx>
          <w:tblCellMar>
            <w:top w:w="0" w:type="dxa"/>
            <w:left w:w="108" w:type="dxa"/>
            <w:bottom w:w="0" w:type="dxa"/>
            <w:right w:w="108" w:type="dxa"/>
          </w:tblCellMar>
        </w:tblPrEx>
        <w:trPr>
          <w:trHeight w:val="318"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54F2BA4C">
            <w:pPr>
              <w:keepNext w:val="0"/>
              <w:keepLines w:val="0"/>
              <w:suppressLineNumbers w:val="0"/>
              <w:adjustRightInd w:val="0"/>
              <w:snapToGrid w:val="0"/>
              <w:spacing w:before="0" w:beforeAutospacing="0" w:after="0" w:afterAutospacing="0" w:line="360" w:lineRule="auto"/>
              <w:ind w:left="0" w:right="0"/>
              <w:jc w:val="center"/>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企业业绩</w:t>
            </w:r>
          </w:p>
          <w:p w14:paraId="544CD858">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宋体" w:hAnsi="宋体" w:eastAsia="宋体" w:cs="宋体"/>
                <w:snapToGrid w:val="0"/>
                <w:color w:val="auto"/>
                <w:kern w:val="0"/>
                <w:sz w:val="22"/>
                <w:szCs w:val="22"/>
                <w:highlight w:val="none"/>
              </w:rPr>
            </w:pPr>
            <w:r>
              <w:rPr>
                <w:rFonts w:hint="default" w:hAnsi="宋体" w:cs="宋体"/>
                <w:snapToGrid w:val="0"/>
                <w:color w:val="000000"/>
                <w:kern w:val="0"/>
                <w:sz w:val="24"/>
                <w:szCs w:val="24"/>
                <w:highlight w:val="none"/>
              </w:rPr>
              <w:t>（10分）</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54B9BA71">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snapToGrid w:val="0"/>
                <w:color w:val="000000"/>
                <w:kern w:val="0"/>
                <w:sz w:val="24"/>
                <w:szCs w:val="24"/>
                <w:highlight w:val="none"/>
              </w:rPr>
              <w:t>企业近 3 年来（202</w:t>
            </w:r>
            <w:r>
              <w:rPr>
                <w:rFonts w:hint="eastAsia" w:hAnsi="宋体"/>
                <w:snapToGrid w:val="0"/>
                <w:color w:val="000000"/>
                <w:kern w:val="0"/>
                <w:sz w:val="24"/>
                <w:szCs w:val="24"/>
                <w:highlight w:val="none"/>
                <w:lang w:val="en-US" w:eastAsia="zh-CN"/>
              </w:rPr>
              <w:t>3</w:t>
            </w:r>
            <w:r>
              <w:rPr>
                <w:rFonts w:hint="default" w:hAnsi="宋体"/>
                <w:snapToGrid w:val="0"/>
                <w:color w:val="000000"/>
                <w:kern w:val="0"/>
                <w:sz w:val="24"/>
                <w:szCs w:val="24"/>
                <w:highlight w:val="none"/>
              </w:rPr>
              <w:t>年1月1日至今）</w:t>
            </w:r>
            <w:r>
              <w:rPr>
                <w:rFonts w:hint="default" w:hAnsi="宋体" w:cs="宋体"/>
                <w:snapToGrid w:val="0"/>
                <w:color w:val="000000"/>
                <w:kern w:val="0"/>
                <w:sz w:val="24"/>
                <w:szCs w:val="24"/>
                <w:highlight w:val="none"/>
              </w:rPr>
              <w:t>业绩情况：</w:t>
            </w:r>
          </w:p>
          <w:p w14:paraId="6C391FB4">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1．</w:t>
            </w:r>
            <w:r>
              <w:rPr>
                <w:rFonts w:hint="default" w:hAnsi="宋体" w:cs="宋体"/>
                <w:snapToGrid w:val="0"/>
                <w:color w:val="000000"/>
                <w:kern w:val="0"/>
                <w:sz w:val="24"/>
                <w:szCs w:val="24"/>
                <w:highlight w:val="none"/>
                <w:u w:val="single"/>
              </w:rPr>
              <w:t xml:space="preserve"> 完成 </w:t>
            </w:r>
            <w:r>
              <w:rPr>
                <w:rFonts w:hint="default" w:hAnsi="宋体" w:cs="宋体"/>
                <w:snapToGrid w:val="0"/>
                <w:color w:val="000000"/>
                <w:kern w:val="0"/>
                <w:sz w:val="24"/>
                <w:szCs w:val="24"/>
                <w:highlight w:val="none"/>
              </w:rPr>
              <w:t>过类似工程的，每个得</w:t>
            </w:r>
            <w:r>
              <w:rPr>
                <w:rFonts w:hint="default" w:hAnsi="宋体" w:cs="宋体"/>
                <w:snapToGrid w:val="0"/>
                <w:color w:val="000000"/>
                <w:kern w:val="0"/>
                <w:sz w:val="24"/>
                <w:szCs w:val="24"/>
                <w:highlight w:val="none"/>
                <w:u w:val="single"/>
              </w:rPr>
              <w:t xml:space="preserve"> 2</w:t>
            </w:r>
            <w:r>
              <w:rPr>
                <w:rFonts w:hint="default" w:hAnsi="宋体" w:cs="宋体"/>
                <w:snapToGrid w:val="0"/>
                <w:color w:val="000000"/>
                <w:kern w:val="0"/>
                <w:sz w:val="24"/>
                <w:szCs w:val="24"/>
                <w:highlight w:val="none"/>
              </w:rPr>
              <w:t>分。</w:t>
            </w:r>
          </w:p>
          <w:p w14:paraId="427F308A">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2．未</w:t>
            </w:r>
            <w:r>
              <w:rPr>
                <w:rFonts w:hint="default" w:hAnsi="宋体" w:cs="宋体"/>
                <w:snapToGrid w:val="0"/>
                <w:color w:val="000000"/>
                <w:kern w:val="0"/>
                <w:sz w:val="24"/>
                <w:szCs w:val="24"/>
                <w:highlight w:val="none"/>
                <w:u w:val="single"/>
              </w:rPr>
              <w:t xml:space="preserve"> 完成 </w:t>
            </w:r>
            <w:r>
              <w:rPr>
                <w:rFonts w:hint="default" w:hAnsi="宋体" w:cs="宋体"/>
                <w:snapToGrid w:val="0"/>
                <w:color w:val="000000"/>
                <w:kern w:val="0"/>
                <w:sz w:val="24"/>
                <w:szCs w:val="24"/>
                <w:highlight w:val="none"/>
              </w:rPr>
              <w:t>过类似工程的，不予计分。</w:t>
            </w:r>
          </w:p>
          <w:p w14:paraId="562854B2">
            <w:pPr>
              <w:keepNext w:val="0"/>
              <w:keepLines w:val="0"/>
              <w:suppressLineNumbers w:val="0"/>
              <w:adjustRightInd w:val="0"/>
              <w:snapToGrid w:val="0"/>
              <w:spacing w:before="0" w:beforeAutospacing="0" w:after="0" w:afterAutospacing="0" w:line="360" w:lineRule="auto"/>
              <w:ind w:left="0" w:leftChars="0" w:right="0" w:rightChars="0"/>
              <w:rPr>
                <w:rFonts w:hint="eastAsia" w:ascii="宋体" w:hAnsi="宋体" w:eastAsia="宋体" w:cs="宋体"/>
                <w:snapToGrid w:val="0"/>
                <w:color w:val="auto"/>
                <w:kern w:val="0"/>
                <w:sz w:val="22"/>
                <w:szCs w:val="22"/>
                <w:highlight w:val="none"/>
              </w:rPr>
            </w:pPr>
            <w:r>
              <w:rPr>
                <w:rFonts w:hint="default" w:hAnsi="宋体" w:cs="宋体"/>
                <w:snapToGrid w:val="0"/>
                <w:color w:val="000000"/>
                <w:kern w:val="0"/>
                <w:sz w:val="24"/>
                <w:szCs w:val="24"/>
                <w:highlight w:val="none"/>
              </w:rPr>
              <w:t xml:space="preserve">本项最高得10分。 </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4FAFB6C0">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1．类似工程指：</w:t>
            </w:r>
            <w:r>
              <w:rPr>
                <w:rFonts w:hint="default" w:hAnsi="宋体" w:cs="宋体"/>
                <w:snapToGrid w:val="0"/>
                <w:color w:val="000000"/>
                <w:kern w:val="0"/>
                <w:sz w:val="24"/>
                <w:szCs w:val="24"/>
                <w:highlight w:val="none"/>
                <w:u w:val="single"/>
              </w:rPr>
              <w:t>10kV同等电压等级及以上的电力工程施工</w:t>
            </w:r>
            <w:r>
              <w:rPr>
                <w:rFonts w:hint="default" w:hAnsi="宋体" w:cs="宋体"/>
                <w:snapToGrid w:val="0"/>
                <w:color w:val="000000"/>
                <w:kern w:val="0"/>
                <w:sz w:val="24"/>
                <w:szCs w:val="24"/>
                <w:highlight w:val="none"/>
              </w:rPr>
              <w:t>。</w:t>
            </w:r>
          </w:p>
          <w:p w14:paraId="476123A0">
            <w:pPr>
              <w:keepNext w:val="0"/>
              <w:keepLines w:val="0"/>
              <w:suppressLineNumbers w:val="0"/>
              <w:adjustRightInd w:val="0"/>
              <w:snapToGrid w:val="0"/>
              <w:spacing w:before="0" w:beforeAutospacing="0" w:after="0" w:afterAutospacing="0" w:line="360" w:lineRule="auto"/>
              <w:ind w:left="0" w:right="0"/>
              <w:rPr>
                <w:rFonts w:hint="default" w:hAnsi="宋体" w:cs="宋体"/>
                <w:strike/>
                <w:snapToGrid w:val="0"/>
                <w:color w:val="000000"/>
                <w:kern w:val="0"/>
                <w:sz w:val="24"/>
                <w:szCs w:val="24"/>
                <w:highlight w:val="none"/>
              </w:rPr>
            </w:pPr>
            <w:r>
              <w:rPr>
                <w:rFonts w:hint="default" w:hAnsi="宋体" w:cs="宋体"/>
                <w:snapToGrid w:val="0"/>
                <w:color w:val="000000"/>
                <w:kern w:val="0"/>
                <w:sz w:val="24"/>
                <w:szCs w:val="24"/>
                <w:highlight w:val="none"/>
              </w:rPr>
              <w:t>2．需附有关业绩（仅限于施工</w:t>
            </w:r>
            <w:r>
              <w:rPr>
                <w:rFonts w:hint="default" w:hAnsi="宋体" w:cs="宋体"/>
                <w:snapToGrid w:val="0"/>
                <w:color w:val="000000"/>
                <w:kern w:val="0"/>
                <w:sz w:val="24"/>
                <w:szCs w:val="24"/>
                <w:highlight w:val="none"/>
                <w:u w:val="single"/>
              </w:rPr>
              <w:t xml:space="preserve"> 总承包单位 </w:t>
            </w:r>
            <w:r>
              <w:rPr>
                <w:rFonts w:hint="default" w:hAnsi="宋体" w:cs="宋体"/>
                <w:snapToGrid w:val="0"/>
                <w:color w:val="000000"/>
                <w:kern w:val="0"/>
                <w:sz w:val="24"/>
                <w:szCs w:val="24"/>
                <w:highlight w:val="none"/>
              </w:rPr>
              <w:t>身份参建的项目）合同协议书和竣工验收报告扫描件（或打印件）。</w:t>
            </w:r>
          </w:p>
          <w:p w14:paraId="48A21770">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3．业绩</w:t>
            </w:r>
            <w:r>
              <w:rPr>
                <w:rFonts w:hint="default" w:hAnsi="宋体" w:cs="宋体"/>
                <w:color w:val="000000"/>
                <w:sz w:val="24"/>
                <w:szCs w:val="24"/>
                <w:highlight w:val="none"/>
                <w:lang w:bidi="ar"/>
              </w:rPr>
              <w:t>时间以签订合同日期或竣工报告日期为准。</w:t>
            </w:r>
          </w:p>
          <w:p w14:paraId="4D2DD119">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4．任一业绩有以下情形之一的，该业绩视为无效，不予计分：</w:t>
            </w:r>
          </w:p>
          <w:p w14:paraId="180EA8CA">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①未提供业绩证明材料扫描件的；</w:t>
            </w:r>
          </w:p>
          <w:p w14:paraId="038FD890">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②业绩不属于类似工程的；</w:t>
            </w:r>
          </w:p>
          <w:p w14:paraId="380945EB">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③不是以指定身份参建的；</w:t>
            </w:r>
          </w:p>
          <w:p w14:paraId="43CEFFEE">
            <w:pPr>
              <w:keepNext w:val="0"/>
              <w:keepLines w:val="0"/>
              <w:suppressLineNumbers w:val="0"/>
              <w:adjustRightInd w:val="0"/>
              <w:snapToGrid w:val="0"/>
              <w:spacing w:before="0" w:beforeAutospacing="0" w:after="0" w:afterAutospacing="0" w:line="360" w:lineRule="auto"/>
              <w:ind w:left="0" w:leftChars="0" w:right="0" w:rightChars="0"/>
              <w:rPr>
                <w:rFonts w:hint="eastAsia" w:ascii="宋体" w:hAnsi="宋体" w:eastAsia="宋体" w:cs="宋体"/>
                <w:snapToGrid w:val="0"/>
                <w:color w:val="auto"/>
                <w:kern w:val="0"/>
                <w:sz w:val="22"/>
                <w:szCs w:val="22"/>
                <w:highlight w:val="none"/>
              </w:rPr>
            </w:pPr>
            <w:r>
              <w:rPr>
                <w:rFonts w:hint="default" w:hAnsi="宋体" w:cs="宋体"/>
                <w:snapToGrid w:val="0"/>
                <w:color w:val="000000"/>
                <w:kern w:val="0"/>
                <w:sz w:val="24"/>
                <w:szCs w:val="24"/>
                <w:highlight w:val="none"/>
              </w:rPr>
              <w:t>④业绩时间不符合要求的。</w:t>
            </w:r>
          </w:p>
        </w:tc>
      </w:tr>
      <w:tr w14:paraId="6C4C3AA6">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3ABEEDBF">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宋体" w:hAnsi="宋体" w:eastAsia="宋体" w:cs="宋体"/>
                <w:snapToGrid w:val="0"/>
                <w:color w:val="auto"/>
                <w:kern w:val="0"/>
                <w:sz w:val="22"/>
                <w:szCs w:val="22"/>
                <w:highlight w:val="none"/>
              </w:rPr>
            </w:pPr>
            <w:r>
              <w:rPr>
                <w:rFonts w:hint="default" w:hAnsi="宋体" w:cs="宋体"/>
                <w:snapToGrid w:val="0"/>
                <w:color w:val="000000"/>
                <w:kern w:val="0"/>
                <w:sz w:val="24"/>
                <w:szCs w:val="24"/>
                <w:highlight w:val="none"/>
              </w:rPr>
              <w:t>项目管理团队综合素质（</w:t>
            </w:r>
            <w:r>
              <w:rPr>
                <w:rFonts w:hint="eastAsia" w:hAnsi="宋体" w:cs="宋体"/>
                <w:snapToGrid w:val="0"/>
                <w:color w:val="000000"/>
                <w:kern w:val="0"/>
                <w:sz w:val="24"/>
                <w:szCs w:val="24"/>
                <w:highlight w:val="none"/>
                <w:lang w:val="en-US" w:eastAsia="zh-CN"/>
              </w:rPr>
              <w:t>30</w:t>
            </w:r>
            <w:r>
              <w:rPr>
                <w:rFonts w:hint="default" w:hAnsi="宋体" w:cs="宋体"/>
                <w:snapToGrid w:val="0"/>
                <w:color w:val="000000"/>
                <w:kern w:val="0"/>
                <w:sz w:val="24"/>
                <w:szCs w:val="24"/>
                <w:highlight w:val="none"/>
              </w:rPr>
              <w:t>分）</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45811FCC">
            <w:pPr>
              <w:keepNext w:val="0"/>
              <w:keepLines w:val="0"/>
              <w:suppressLineNumbers w:val="0"/>
              <w:spacing w:before="0" w:beforeAutospacing="0" w:after="0" w:afterAutospacing="0" w:line="360" w:lineRule="auto"/>
              <w:ind w:left="0" w:right="0"/>
              <w:jc w:val="left"/>
              <w:rPr>
                <w:rFonts w:hint="default" w:hAnsi="宋体" w:cs="宋体"/>
                <w:color w:val="000000"/>
                <w:sz w:val="24"/>
                <w:szCs w:val="24"/>
                <w:highlight w:val="none"/>
                <w:lang w:bidi="ar"/>
              </w:rPr>
            </w:pPr>
            <w:r>
              <w:rPr>
                <w:rFonts w:hint="default" w:hAnsi="宋体" w:cs="宋体"/>
                <w:color w:val="000000"/>
                <w:sz w:val="24"/>
                <w:szCs w:val="24"/>
                <w:highlight w:val="none"/>
                <w:lang w:bidi="ar"/>
              </w:rPr>
              <w:t>1.项目管理团队</w:t>
            </w:r>
            <w:r>
              <w:rPr>
                <w:rFonts w:hint="eastAsia" w:hAnsi="宋体" w:cs="宋体"/>
                <w:color w:val="000000"/>
                <w:sz w:val="24"/>
                <w:szCs w:val="24"/>
                <w:highlight w:val="none"/>
                <w:lang w:eastAsia="zh-CN" w:bidi="ar"/>
              </w:rPr>
              <w:t>（</w:t>
            </w:r>
            <w:r>
              <w:rPr>
                <w:rFonts w:hint="default" w:hAnsi="宋体" w:cs="宋体"/>
                <w:color w:val="000000"/>
                <w:sz w:val="24"/>
                <w:szCs w:val="24"/>
                <w:highlight w:val="none"/>
                <w:lang w:bidi="ar"/>
              </w:rPr>
              <w:t>包括项目经理、技术负责人、安全负责人、质量负责人</w:t>
            </w:r>
            <w:r>
              <w:rPr>
                <w:rFonts w:hint="eastAsia" w:hAnsi="宋体" w:cs="宋体"/>
                <w:color w:val="000000"/>
                <w:sz w:val="24"/>
                <w:szCs w:val="24"/>
                <w:highlight w:val="none"/>
                <w:lang w:eastAsia="zh-CN" w:bidi="ar"/>
              </w:rPr>
              <w:t>、</w:t>
            </w:r>
            <w:r>
              <w:rPr>
                <w:rFonts w:hint="default" w:hAnsi="宋体" w:cs="宋体"/>
                <w:color w:val="000000"/>
                <w:sz w:val="24"/>
                <w:szCs w:val="24"/>
                <w:highlight w:val="none"/>
              </w:rPr>
              <w:t>施工员、机械员、材料员、档案员、注册类造价人员（安装）</w:t>
            </w:r>
            <w:r>
              <w:rPr>
                <w:rFonts w:hint="default" w:hAnsi="宋体" w:cs="宋体"/>
                <w:color w:val="000000"/>
                <w:sz w:val="24"/>
                <w:szCs w:val="24"/>
                <w:highlight w:val="none"/>
                <w:lang w:bidi="ar"/>
              </w:rPr>
              <w:t>）的情况下，得基本分</w:t>
            </w:r>
            <w:r>
              <w:rPr>
                <w:rFonts w:hint="eastAsia" w:hAnsi="宋体" w:cs="宋体"/>
                <w:color w:val="000000"/>
                <w:sz w:val="24"/>
                <w:szCs w:val="24"/>
                <w:highlight w:val="none"/>
                <w:lang w:val="en-US" w:eastAsia="zh-CN" w:bidi="ar"/>
              </w:rPr>
              <w:t>6</w:t>
            </w:r>
            <w:r>
              <w:rPr>
                <w:rFonts w:hint="default" w:hAnsi="宋体" w:cs="宋体"/>
                <w:color w:val="000000"/>
                <w:sz w:val="24"/>
                <w:szCs w:val="24"/>
                <w:highlight w:val="none"/>
                <w:lang w:bidi="ar"/>
              </w:rPr>
              <w:t>分，未齐备本项 0 分且不参与第 2 点评审；</w:t>
            </w:r>
          </w:p>
          <w:p w14:paraId="43BDE3FA">
            <w:pPr>
              <w:keepNext w:val="0"/>
              <w:keepLines w:val="0"/>
              <w:suppressLineNumbers w:val="0"/>
              <w:spacing w:before="0" w:beforeAutospacing="0" w:after="0" w:afterAutospacing="0" w:line="360" w:lineRule="auto"/>
              <w:ind w:left="0" w:right="0"/>
              <w:jc w:val="left"/>
              <w:rPr>
                <w:rFonts w:hint="default" w:hAnsi="宋体" w:cs="宋体"/>
                <w:color w:val="000000"/>
                <w:sz w:val="24"/>
                <w:szCs w:val="24"/>
                <w:highlight w:val="none"/>
                <w:lang w:bidi="ar"/>
              </w:rPr>
            </w:pPr>
            <w:r>
              <w:rPr>
                <w:rFonts w:hint="default" w:hAnsi="宋体" w:cs="宋体"/>
                <w:color w:val="000000"/>
                <w:sz w:val="24"/>
                <w:szCs w:val="24"/>
                <w:highlight w:val="none"/>
                <w:lang w:bidi="ar"/>
              </w:rPr>
              <w:t>2.项目管理团队素质：</w:t>
            </w:r>
          </w:p>
          <w:p w14:paraId="052A1076">
            <w:pPr>
              <w:keepNext w:val="0"/>
              <w:keepLines w:val="0"/>
              <w:suppressLineNumbers w:val="0"/>
              <w:spacing w:before="0" w:beforeAutospacing="0" w:after="0" w:afterAutospacing="0" w:line="360" w:lineRule="auto"/>
              <w:ind w:left="0" w:right="0"/>
              <w:jc w:val="left"/>
              <w:rPr>
                <w:rFonts w:hint="default" w:hAnsi="宋体" w:cs="宋体"/>
                <w:color w:val="000000"/>
                <w:sz w:val="24"/>
                <w:szCs w:val="24"/>
                <w:highlight w:val="none"/>
                <w:lang w:bidi="ar"/>
              </w:rPr>
            </w:pPr>
            <w:r>
              <w:rPr>
                <w:rFonts w:hint="default" w:hAnsi="宋体" w:cs="宋体"/>
                <w:color w:val="000000"/>
                <w:sz w:val="24"/>
                <w:szCs w:val="24"/>
                <w:highlight w:val="none"/>
                <w:lang w:bidi="ar"/>
              </w:rPr>
              <w:t>（1）</w:t>
            </w:r>
            <w:r>
              <w:rPr>
                <w:rFonts w:hint="eastAsia" w:hAnsi="宋体" w:cs="宋体"/>
                <w:color w:val="000000"/>
                <w:sz w:val="24"/>
                <w:szCs w:val="24"/>
                <w:highlight w:val="none"/>
                <w:lang w:val="en-US" w:eastAsia="zh-CN" w:bidi="ar"/>
              </w:rPr>
              <w:t>以上人员其中一人</w:t>
            </w:r>
            <w:r>
              <w:rPr>
                <w:rFonts w:hint="default" w:hAnsi="宋体" w:cs="宋体"/>
                <w:color w:val="000000"/>
                <w:sz w:val="24"/>
                <w:szCs w:val="24"/>
                <w:highlight w:val="none"/>
                <w:lang w:bidi="ar"/>
              </w:rPr>
              <w:t>具有高级或以上职称（包括</w:t>
            </w:r>
            <w:r>
              <w:rPr>
                <w:rFonts w:hint="eastAsia" w:hAnsi="宋体" w:cs="宋体"/>
                <w:color w:val="000000"/>
                <w:sz w:val="24"/>
                <w:szCs w:val="24"/>
                <w:highlight w:val="none"/>
                <w:lang w:val="en-US" w:eastAsia="zh-CN" w:bidi="ar"/>
              </w:rPr>
              <w:t>电气工程类或电力工程类</w:t>
            </w:r>
            <w:r>
              <w:rPr>
                <w:rFonts w:hint="default" w:hAnsi="宋体" w:cs="宋体"/>
                <w:color w:val="000000"/>
                <w:sz w:val="24"/>
                <w:szCs w:val="24"/>
                <w:highlight w:val="none"/>
                <w:lang w:bidi="ar"/>
              </w:rPr>
              <w:t xml:space="preserve">）的得 </w:t>
            </w:r>
            <w:r>
              <w:rPr>
                <w:rFonts w:hint="eastAsia" w:hAnsi="宋体" w:cs="宋体"/>
                <w:color w:val="000000"/>
                <w:sz w:val="24"/>
                <w:szCs w:val="24"/>
                <w:highlight w:val="none"/>
                <w:lang w:val="en-US" w:eastAsia="zh-CN" w:bidi="ar"/>
              </w:rPr>
              <w:t>5</w:t>
            </w:r>
            <w:r>
              <w:rPr>
                <w:rFonts w:hint="default" w:hAnsi="宋体" w:cs="宋体"/>
                <w:color w:val="000000"/>
                <w:sz w:val="24"/>
                <w:szCs w:val="24"/>
                <w:highlight w:val="none"/>
                <w:lang w:bidi="ar"/>
              </w:rPr>
              <w:t xml:space="preserve"> 分，中级工程师职称包括</w:t>
            </w:r>
            <w:r>
              <w:rPr>
                <w:rFonts w:hint="eastAsia" w:hAnsi="宋体" w:cs="宋体"/>
                <w:color w:val="000000"/>
                <w:sz w:val="24"/>
                <w:szCs w:val="24"/>
                <w:highlight w:val="none"/>
                <w:lang w:val="en-US" w:eastAsia="zh-CN" w:bidi="ar"/>
              </w:rPr>
              <w:t>电气工程类或电力工程类</w:t>
            </w:r>
            <w:r>
              <w:rPr>
                <w:rFonts w:hint="default" w:hAnsi="宋体" w:cs="宋体"/>
                <w:color w:val="000000"/>
                <w:sz w:val="24"/>
                <w:szCs w:val="24"/>
                <w:highlight w:val="none"/>
                <w:lang w:bidi="ar"/>
              </w:rPr>
              <w:t>）的得 3 分，其他不得分。</w:t>
            </w:r>
          </w:p>
          <w:p w14:paraId="76C9C61D">
            <w:pPr>
              <w:keepNext w:val="0"/>
              <w:keepLines w:val="0"/>
              <w:suppressLineNumbers w:val="0"/>
              <w:spacing w:before="0" w:beforeAutospacing="0" w:after="0" w:afterAutospacing="0" w:line="360" w:lineRule="auto"/>
              <w:ind w:left="0" w:right="0"/>
              <w:jc w:val="left"/>
              <w:rPr>
                <w:rFonts w:hint="eastAsia" w:hAnsi="宋体" w:eastAsia="宋体" w:cs="宋体"/>
                <w:color w:val="000000"/>
                <w:sz w:val="24"/>
                <w:szCs w:val="24"/>
                <w:highlight w:val="none"/>
                <w:lang w:eastAsia="zh-CN" w:bidi="ar"/>
              </w:rPr>
            </w:pPr>
            <w:r>
              <w:rPr>
                <w:rFonts w:hint="default" w:hAnsi="宋体" w:cs="宋体"/>
                <w:color w:val="000000"/>
                <w:sz w:val="24"/>
                <w:szCs w:val="24"/>
                <w:highlight w:val="none"/>
                <w:lang w:bidi="ar"/>
              </w:rPr>
              <w:t>（2）</w:t>
            </w:r>
            <w:r>
              <w:rPr>
                <w:rFonts w:hint="default" w:hAnsi="宋体" w:cs="宋体"/>
                <w:color w:val="000000"/>
                <w:sz w:val="24"/>
                <w:szCs w:val="24"/>
                <w:highlight w:val="none"/>
              </w:rPr>
              <w:t>安全负责人</w:t>
            </w:r>
            <w:r>
              <w:rPr>
                <w:rFonts w:hint="default" w:hAnsi="宋体" w:cs="宋体"/>
                <w:color w:val="000000"/>
                <w:sz w:val="24"/>
                <w:szCs w:val="24"/>
                <w:highlight w:val="none"/>
                <w:lang w:bidi="ar"/>
              </w:rPr>
              <w:t>具备</w:t>
            </w:r>
            <w:r>
              <w:rPr>
                <w:rFonts w:hint="default" w:hAnsi="宋体" w:cs="宋体"/>
                <w:color w:val="000000"/>
                <w:sz w:val="24"/>
                <w:szCs w:val="24"/>
                <w:highlight w:val="none"/>
              </w:rPr>
              <w:t>注册安全工程师证（其他安全专业）的</w:t>
            </w:r>
            <w:r>
              <w:rPr>
                <w:rFonts w:hint="eastAsia" w:hAnsi="宋体" w:cs="宋体"/>
                <w:color w:val="000000"/>
                <w:sz w:val="24"/>
                <w:szCs w:val="24"/>
                <w:highlight w:val="none"/>
                <w:lang w:eastAsia="zh-CN"/>
              </w:rPr>
              <w:t>，</w:t>
            </w:r>
            <w:r>
              <w:rPr>
                <w:rFonts w:hint="eastAsia" w:hAnsi="宋体" w:cs="宋体"/>
                <w:color w:val="000000"/>
                <w:sz w:val="24"/>
                <w:szCs w:val="24"/>
                <w:highlight w:val="none"/>
                <w:lang w:val="en-US" w:eastAsia="zh-CN" w:bidi="ar"/>
              </w:rPr>
              <w:t>得5</w:t>
            </w:r>
            <w:r>
              <w:rPr>
                <w:rFonts w:hint="default" w:hAnsi="宋体" w:cs="宋体"/>
                <w:color w:val="000000"/>
                <w:sz w:val="24"/>
                <w:szCs w:val="24"/>
                <w:highlight w:val="none"/>
                <w:lang w:bidi="ar"/>
              </w:rPr>
              <w:t>分</w:t>
            </w:r>
            <w:r>
              <w:rPr>
                <w:rFonts w:hint="eastAsia" w:hAnsi="宋体" w:cs="宋体"/>
                <w:color w:val="000000"/>
                <w:sz w:val="24"/>
                <w:szCs w:val="24"/>
                <w:highlight w:val="none"/>
                <w:lang w:eastAsia="zh-CN" w:bidi="ar"/>
              </w:rPr>
              <w:t>，</w:t>
            </w:r>
            <w:r>
              <w:rPr>
                <w:rFonts w:hint="default" w:hAnsi="宋体" w:cs="宋体"/>
                <w:color w:val="000000"/>
                <w:sz w:val="24"/>
                <w:szCs w:val="24"/>
                <w:highlight w:val="none"/>
                <w:lang w:bidi="ar"/>
              </w:rPr>
              <w:t>其他不得分。</w:t>
            </w:r>
          </w:p>
          <w:p w14:paraId="7D96F615">
            <w:pPr>
              <w:keepNext w:val="0"/>
              <w:keepLines w:val="0"/>
              <w:suppressLineNumbers w:val="0"/>
              <w:spacing w:before="0" w:beforeAutospacing="0" w:after="0" w:afterAutospacing="0" w:line="360" w:lineRule="auto"/>
              <w:ind w:left="0" w:right="0"/>
              <w:jc w:val="left"/>
              <w:rPr>
                <w:rFonts w:hint="default" w:hAnsi="宋体" w:cs="宋体"/>
                <w:color w:val="000000"/>
                <w:sz w:val="24"/>
                <w:szCs w:val="24"/>
                <w:highlight w:val="none"/>
                <w:lang w:bidi="ar"/>
              </w:rPr>
            </w:pPr>
            <w:r>
              <w:rPr>
                <w:rFonts w:hint="eastAsia" w:hAnsi="宋体" w:cs="宋体"/>
                <w:color w:val="000000"/>
                <w:sz w:val="24"/>
                <w:szCs w:val="24"/>
                <w:highlight w:val="none"/>
                <w:lang w:val="en-US" w:eastAsia="zh-CN" w:bidi="ar"/>
              </w:rPr>
              <w:t>3</w:t>
            </w:r>
            <w:r>
              <w:rPr>
                <w:rFonts w:hint="default" w:hAnsi="宋体" w:cs="宋体"/>
                <w:color w:val="000000"/>
                <w:sz w:val="24"/>
                <w:szCs w:val="24"/>
                <w:highlight w:val="none"/>
                <w:lang w:bidi="ar"/>
              </w:rPr>
              <w:t>.</w:t>
            </w:r>
            <w:r>
              <w:rPr>
                <w:rFonts w:hint="default" w:hAnsi="宋体" w:cs="宋体"/>
                <w:color w:val="auto"/>
                <w:sz w:val="24"/>
                <w:szCs w:val="24"/>
                <w:highlight w:val="none"/>
                <w:lang w:bidi="ar"/>
              </w:rPr>
              <w:t>工作负责人</w:t>
            </w:r>
            <w:r>
              <w:rPr>
                <w:rFonts w:hint="eastAsia" w:hAnsi="宋体" w:cs="宋体"/>
                <w:color w:val="auto"/>
                <w:sz w:val="24"/>
                <w:szCs w:val="24"/>
                <w:highlight w:val="none"/>
                <w:lang w:val="en-US" w:eastAsia="zh-CN" w:bidi="ar"/>
              </w:rPr>
              <w:t>员</w:t>
            </w:r>
            <w:r>
              <w:rPr>
                <w:rFonts w:hint="default" w:hAnsi="宋体" w:cs="宋体"/>
                <w:color w:val="auto"/>
                <w:sz w:val="24"/>
                <w:szCs w:val="24"/>
                <w:highlight w:val="none"/>
                <w:lang w:bidi="ar"/>
              </w:rPr>
              <w:t>（除项目管理团队外）同时具有“高压电工作业证、低压电工作业证、高处作业证、</w:t>
            </w:r>
            <w:r>
              <w:rPr>
                <w:rFonts w:hint="eastAsia" w:hAnsi="宋体" w:cs="宋体"/>
                <w:color w:val="auto"/>
                <w:sz w:val="24"/>
                <w:szCs w:val="24"/>
                <w:highlight w:val="none"/>
                <w:lang w:val="en-US" w:eastAsia="zh-CN" w:bidi="ar"/>
              </w:rPr>
              <w:t>电气试验作业</w:t>
            </w:r>
            <w:r>
              <w:rPr>
                <w:rFonts w:hint="default" w:hAnsi="宋体" w:cs="宋体"/>
                <w:color w:val="auto"/>
                <w:sz w:val="24"/>
                <w:szCs w:val="24"/>
                <w:highlight w:val="none"/>
                <w:lang w:bidi="ar"/>
              </w:rPr>
              <w:t>证”四个特种作业证书中两个证书的人员，每提供一个</w:t>
            </w:r>
            <w:r>
              <w:rPr>
                <w:rFonts w:hint="eastAsia" w:hAnsi="宋体" w:cs="宋体"/>
                <w:color w:val="auto"/>
                <w:sz w:val="24"/>
                <w:szCs w:val="24"/>
                <w:highlight w:val="none"/>
                <w:lang w:val="en-US" w:eastAsia="zh-CN" w:bidi="ar"/>
              </w:rPr>
              <w:t>人员</w:t>
            </w:r>
            <w:r>
              <w:rPr>
                <w:rFonts w:hint="default" w:hAnsi="宋体" w:cs="宋体"/>
                <w:color w:val="auto"/>
                <w:sz w:val="24"/>
                <w:szCs w:val="24"/>
                <w:highlight w:val="none"/>
                <w:lang w:bidi="ar"/>
              </w:rPr>
              <w:t>得2分，最多得</w:t>
            </w:r>
            <w:r>
              <w:rPr>
                <w:rFonts w:hint="eastAsia" w:hAnsi="宋体" w:cs="宋体"/>
                <w:color w:val="auto"/>
                <w:sz w:val="24"/>
                <w:szCs w:val="24"/>
                <w:highlight w:val="none"/>
                <w:lang w:val="en-US" w:eastAsia="zh-CN" w:bidi="ar"/>
              </w:rPr>
              <w:t>10</w:t>
            </w:r>
            <w:r>
              <w:rPr>
                <w:rFonts w:hint="default" w:hAnsi="宋体" w:cs="宋体"/>
                <w:color w:val="auto"/>
                <w:sz w:val="24"/>
                <w:szCs w:val="24"/>
                <w:highlight w:val="none"/>
                <w:lang w:bidi="ar"/>
              </w:rPr>
              <w:t>分。</w:t>
            </w:r>
          </w:p>
          <w:p w14:paraId="3102C128">
            <w:pPr>
              <w:keepNext w:val="0"/>
              <w:keepLines w:val="0"/>
              <w:suppressLineNumbers w:val="0"/>
              <w:spacing w:before="0" w:beforeAutospacing="0" w:after="0" w:afterAutospacing="0" w:line="360" w:lineRule="auto"/>
              <w:ind w:left="0" w:right="0"/>
              <w:jc w:val="left"/>
              <w:rPr>
                <w:rFonts w:hint="default" w:hAnsi="宋体" w:cs="宋体"/>
                <w:color w:val="000000"/>
                <w:sz w:val="24"/>
                <w:szCs w:val="24"/>
                <w:highlight w:val="none"/>
              </w:rPr>
            </w:pPr>
            <w:r>
              <w:rPr>
                <w:rFonts w:hint="eastAsia" w:hAnsi="宋体" w:cs="宋体"/>
                <w:color w:val="000000"/>
                <w:sz w:val="24"/>
                <w:szCs w:val="24"/>
                <w:highlight w:val="none"/>
                <w:lang w:val="en-US" w:eastAsia="zh-CN"/>
              </w:rPr>
              <w:t>4</w:t>
            </w:r>
            <w:r>
              <w:rPr>
                <w:rFonts w:hint="default" w:hAnsi="宋体" w:cs="宋体"/>
                <w:color w:val="000000"/>
                <w:sz w:val="24"/>
                <w:szCs w:val="24"/>
                <w:highlight w:val="none"/>
              </w:rPr>
              <w:t>、</w:t>
            </w:r>
            <w:r>
              <w:rPr>
                <w:rFonts w:hint="default" w:hAnsi="宋体" w:cs="宋体"/>
                <w:color w:val="000000"/>
                <w:sz w:val="24"/>
                <w:szCs w:val="24"/>
                <w:highlight w:val="none"/>
                <w:lang w:bidi="ar"/>
              </w:rPr>
              <w:t>带电作业人员（项目管理团队</w:t>
            </w:r>
            <w:r>
              <w:rPr>
                <w:rFonts w:hint="eastAsia" w:hAnsi="宋体" w:cs="宋体"/>
                <w:color w:val="000000"/>
                <w:sz w:val="24"/>
                <w:szCs w:val="24"/>
                <w:highlight w:val="none"/>
                <w:lang w:eastAsia="zh-CN" w:bidi="ar"/>
              </w:rPr>
              <w:t>、</w:t>
            </w:r>
            <w:r>
              <w:rPr>
                <w:rFonts w:hint="default" w:hAnsi="宋体" w:cs="宋体"/>
                <w:color w:val="000000"/>
                <w:sz w:val="24"/>
                <w:szCs w:val="24"/>
                <w:highlight w:val="none"/>
                <w:lang w:bidi="ar"/>
              </w:rPr>
              <w:t>工作负责人</w:t>
            </w:r>
            <w:r>
              <w:rPr>
                <w:rFonts w:hint="eastAsia" w:hAnsi="宋体" w:cs="宋体"/>
                <w:color w:val="000000"/>
                <w:sz w:val="24"/>
                <w:szCs w:val="24"/>
                <w:highlight w:val="none"/>
                <w:lang w:val="en-US" w:eastAsia="zh-CN" w:bidi="ar"/>
              </w:rPr>
              <w:t>员</w:t>
            </w:r>
            <w:r>
              <w:rPr>
                <w:rFonts w:hint="default" w:hAnsi="宋体" w:cs="宋体"/>
                <w:color w:val="000000"/>
                <w:sz w:val="24"/>
                <w:szCs w:val="24"/>
                <w:highlight w:val="none"/>
                <w:lang w:bidi="ar"/>
              </w:rPr>
              <w:t>外）</w:t>
            </w:r>
            <w:r>
              <w:rPr>
                <w:rFonts w:hint="default" w:hAnsi="宋体" w:cs="宋体"/>
                <w:color w:val="000000"/>
                <w:sz w:val="24"/>
                <w:szCs w:val="24"/>
                <w:highlight w:val="none"/>
              </w:rPr>
              <w:t>具有有效期内的带电作业人员资格证每个得1分，每增加1人加1分，</w:t>
            </w:r>
            <w:r>
              <w:rPr>
                <w:rFonts w:hint="default" w:hAnsi="宋体" w:cs="宋体"/>
                <w:color w:val="000000"/>
                <w:sz w:val="24"/>
                <w:szCs w:val="24"/>
                <w:highlight w:val="none"/>
                <w:lang w:bidi="ar"/>
              </w:rPr>
              <w:t>最多得</w:t>
            </w:r>
            <w:r>
              <w:rPr>
                <w:rFonts w:hint="eastAsia" w:hAnsi="宋体" w:cs="宋体"/>
                <w:color w:val="000000"/>
                <w:sz w:val="24"/>
                <w:szCs w:val="24"/>
                <w:highlight w:val="none"/>
                <w:lang w:val="en-US" w:eastAsia="zh-CN" w:bidi="ar"/>
              </w:rPr>
              <w:t>4</w:t>
            </w:r>
            <w:r>
              <w:rPr>
                <w:rFonts w:hint="default" w:hAnsi="宋体" w:cs="宋体"/>
                <w:color w:val="000000"/>
                <w:sz w:val="24"/>
                <w:szCs w:val="24"/>
                <w:highlight w:val="none"/>
                <w:lang w:bidi="ar"/>
              </w:rPr>
              <w:t>分。</w:t>
            </w:r>
          </w:p>
          <w:p w14:paraId="0D91364B">
            <w:pPr>
              <w:keepNext w:val="0"/>
              <w:keepLines w:val="0"/>
              <w:suppressLineNumbers w:val="0"/>
              <w:spacing w:before="0" w:beforeAutospacing="0" w:after="0" w:afterAutospacing="0" w:line="360" w:lineRule="auto"/>
              <w:ind w:left="0" w:leftChars="0" w:right="0" w:rightChars="0" w:firstLine="480" w:firstLineChars="200"/>
              <w:jc w:val="left"/>
              <w:rPr>
                <w:rFonts w:hint="eastAsia" w:ascii="宋体" w:hAnsi="宋体" w:eastAsia="宋体" w:cs="宋体"/>
                <w:color w:val="auto"/>
                <w:kern w:val="0"/>
                <w:sz w:val="22"/>
                <w:szCs w:val="22"/>
                <w:highlight w:val="none"/>
              </w:rPr>
            </w:pPr>
            <w:r>
              <w:rPr>
                <w:rFonts w:hint="eastAsia" w:hAnsi="宋体" w:cs="宋体"/>
                <w:color w:val="000000"/>
                <w:sz w:val="24"/>
                <w:szCs w:val="24"/>
                <w:highlight w:val="none"/>
                <w:lang w:val="en-US" w:eastAsia="zh-CN"/>
              </w:rPr>
              <w:t>以上人员，同一人有多证的、只计一次分，</w:t>
            </w:r>
            <w:r>
              <w:rPr>
                <w:rFonts w:hint="default" w:hAnsi="宋体" w:cs="宋体"/>
                <w:color w:val="000000"/>
                <w:sz w:val="24"/>
                <w:szCs w:val="24"/>
                <w:highlight w:val="none"/>
              </w:rPr>
              <w:t>本项最高得</w:t>
            </w:r>
            <w:r>
              <w:rPr>
                <w:rFonts w:hint="eastAsia" w:hAnsi="宋体" w:cs="宋体"/>
                <w:color w:val="000000"/>
                <w:sz w:val="24"/>
                <w:szCs w:val="24"/>
                <w:highlight w:val="none"/>
                <w:lang w:val="en-US" w:eastAsia="zh-CN"/>
              </w:rPr>
              <w:t>30</w:t>
            </w:r>
            <w:r>
              <w:rPr>
                <w:rFonts w:hint="default" w:hAnsi="宋体" w:cs="宋体"/>
                <w:color w:val="000000"/>
                <w:sz w:val="24"/>
                <w:szCs w:val="24"/>
                <w:highlight w:val="none"/>
              </w:rPr>
              <w:t>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40A4B839">
            <w:pPr>
              <w:keepNext w:val="0"/>
              <w:keepLines w:val="0"/>
              <w:suppressLineNumbers w:val="0"/>
              <w:adjustRightInd w:val="0"/>
              <w:snapToGrid w:val="0"/>
              <w:spacing w:before="0" w:beforeAutospacing="0" w:after="0" w:afterAutospacing="0" w:line="360" w:lineRule="auto"/>
              <w:ind w:left="0" w:leftChars="0" w:right="0" w:rightChars="0"/>
              <w:jc w:val="left"/>
              <w:rPr>
                <w:rFonts w:hint="eastAsia" w:ascii="宋体" w:hAnsi="宋体" w:eastAsia="宋体" w:cs="宋体"/>
                <w:snapToGrid w:val="0"/>
                <w:color w:val="auto"/>
                <w:kern w:val="0"/>
                <w:sz w:val="22"/>
                <w:szCs w:val="22"/>
                <w:highlight w:val="none"/>
              </w:rPr>
            </w:pPr>
            <w:r>
              <w:rPr>
                <w:rFonts w:hint="eastAsia" w:hAnsi="宋体" w:cs="宋体"/>
                <w:color w:val="000000"/>
                <w:sz w:val="24"/>
                <w:szCs w:val="24"/>
                <w:highlight w:val="none"/>
                <w:lang w:val="en-US" w:eastAsia="zh-CN"/>
              </w:rPr>
              <w:t>1.提供相关人员证书扫描件，</w:t>
            </w:r>
            <w:r>
              <w:rPr>
                <w:rFonts w:hint="default" w:hAnsi="宋体" w:cs="宋体"/>
                <w:color w:val="000000"/>
                <w:sz w:val="24"/>
                <w:szCs w:val="24"/>
                <w:highlight w:val="none"/>
              </w:rPr>
              <w:t>持有岗位证书现场管理人员，是指持有国务院有关行业部门认可单位颁发的岗位（培训）证书的施工现场管理人员；或按住房和城乡建设部职业标准培训考核，取得培训合格证书。档案员是指</w:t>
            </w:r>
            <w:r>
              <w:rPr>
                <w:rFonts w:hint="eastAsia" w:hAnsi="宋体" w:cs="宋体"/>
                <w:color w:val="000000"/>
                <w:sz w:val="24"/>
                <w:szCs w:val="24"/>
                <w:highlight w:val="none"/>
                <w:lang w:eastAsia="zh-CN"/>
              </w:rPr>
              <w:t>在</w:t>
            </w:r>
            <w:r>
              <w:rPr>
                <w:rFonts w:hint="default" w:hAnsi="宋体" w:cs="宋体"/>
                <w:color w:val="000000"/>
                <w:sz w:val="24"/>
                <w:szCs w:val="24"/>
                <w:highlight w:val="none"/>
              </w:rPr>
              <w:t>档案局参加档案员评审或参加</w:t>
            </w:r>
            <w:r>
              <w:rPr>
                <w:rFonts w:hint="eastAsia" w:hAnsi="宋体" w:cs="宋体"/>
                <w:color w:val="000000"/>
                <w:sz w:val="24"/>
                <w:szCs w:val="24"/>
                <w:highlight w:val="none"/>
                <w:lang w:eastAsia="zh-CN"/>
              </w:rPr>
              <w:t>由</w:t>
            </w:r>
            <w:r>
              <w:rPr>
                <w:rFonts w:hint="default" w:hAnsi="宋体" w:cs="宋体"/>
                <w:color w:val="000000"/>
                <w:sz w:val="24"/>
                <w:szCs w:val="24"/>
                <w:highlight w:val="none"/>
              </w:rPr>
              <w:t>档案</w:t>
            </w:r>
            <w:r>
              <w:rPr>
                <w:rFonts w:hint="eastAsia" w:hAnsi="宋体" w:cs="宋体"/>
                <w:color w:val="000000"/>
                <w:sz w:val="24"/>
                <w:szCs w:val="24"/>
                <w:highlight w:val="none"/>
                <w:lang w:eastAsia="zh-CN"/>
              </w:rPr>
              <w:t>局</w:t>
            </w:r>
            <w:r>
              <w:rPr>
                <w:rFonts w:hint="eastAsia" w:hAnsi="宋体" w:cs="宋体"/>
                <w:color w:val="000000"/>
                <w:sz w:val="24"/>
                <w:szCs w:val="24"/>
                <w:highlight w:val="none"/>
                <w:lang w:val="en-US" w:eastAsia="zh-CN"/>
              </w:rPr>
              <w:t>/档案</w:t>
            </w:r>
            <w:r>
              <w:rPr>
                <w:rFonts w:hint="default" w:hAnsi="宋体" w:cs="宋体"/>
                <w:color w:val="000000"/>
                <w:sz w:val="24"/>
                <w:szCs w:val="24"/>
                <w:highlight w:val="none"/>
              </w:rPr>
              <w:t>学会举办的取证培训。</w:t>
            </w:r>
          </w:p>
        </w:tc>
      </w:tr>
      <w:tr w14:paraId="23EEFD50">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4CF1DC4A">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p>
          <w:p w14:paraId="596BE777">
            <w:pPr>
              <w:keepNext w:val="0"/>
              <w:keepLines w:val="0"/>
              <w:suppressLineNumbers w:val="0"/>
              <w:adjustRightInd w:val="0"/>
              <w:snapToGrid w:val="0"/>
              <w:spacing w:before="0" w:beforeAutospacing="0" w:after="0" w:afterAutospacing="0" w:line="360" w:lineRule="auto"/>
              <w:ind w:left="0" w:right="0"/>
              <w:jc w:val="center"/>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企业银行</w:t>
            </w:r>
          </w:p>
          <w:p w14:paraId="59CD16BF">
            <w:pPr>
              <w:keepNext w:val="0"/>
              <w:keepLines w:val="0"/>
              <w:suppressLineNumbers w:val="0"/>
              <w:adjustRightInd w:val="0"/>
              <w:snapToGrid w:val="0"/>
              <w:spacing w:before="0" w:beforeAutospacing="0" w:after="0" w:afterAutospacing="0" w:line="360" w:lineRule="auto"/>
              <w:ind w:left="0" w:right="0"/>
              <w:jc w:val="center"/>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资信评级</w:t>
            </w:r>
          </w:p>
          <w:p w14:paraId="7D981FD0">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宋体" w:hAnsi="宋体" w:eastAsia="宋体" w:cs="宋体"/>
                <w:snapToGrid w:val="0"/>
                <w:color w:val="auto"/>
                <w:kern w:val="0"/>
                <w:sz w:val="22"/>
                <w:szCs w:val="22"/>
                <w:highlight w:val="none"/>
              </w:rPr>
            </w:pPr>
            <w:r>
              <w:rPr>
                <w:rFonts w:hint="default" w:hAnsi="宋体" w:cs="宋体"/>
                <w:snapToGrid w:val="0"/>
                <w:color w:val="000000"/>
                <w:kern w:val="0"/>
                <w:sz w:val="24"/>
                <w:szCs w:val="24"/>
                <w:highlight w:val="none"/>
              </w:rPr>
              <w:t>（</w:t>
            </w:r>
            <w:r>
              <w:rPr>
                <w:rFonts w:hint="eastAsia" w:hAnsi="宋体" w:cs="宋体"/>
                <w:snapToGrid w:val="0"/>
                <w:color w:val="000000"/>
                <w:kern w:val="0"/>
                <w:sz w:val="24"/>
                <w:szCs w:val="24"/>
                <w:highlight w:val="none"/>
                <w:lang w:val="en-US" w:eastAsia="zh-CN"/>
              </w:rPr>
              <w:t>5</w:t>
            </w:r>
            <w:r>
              <w:rPr>
                <w:rFonts w:hint="default" w:hAnsi="宋体" w:cs="宋体"/>
                <w:snapToGrid w:val="0"/>
                <w:color w:val="000000"/>
                <w:kern w:val="0"/>
                <w:sz w:val="24"/>
                <w:szCs w:val="24"/>
                <w:highlight w:val="none"/>
              </w:rPr>
              <w:t>分）</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1F41EB80">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1．银行资信评级AA（含AA＋、AA－）或以上的，得</w:t>
            </w:r>
            <w:r>
              <w:rPr>
                <w:rFonts w:hint="eastAsia" w:hAnsi="宋体" w:cs="宋体"/>
                <w:snapToGrid w:val="0"/>
                <w:color w:val="000000"/>
                <w:kern w:val="0"/>
                <w:sz w:val="24"/>
                <w:szCs w:val="24"/>
                <w:highlight w:val="none"/>
                <w:lang w:val="en-US" w:eastAsia="zh-CN"/>
              </w:rPr>
              <w:t>5</w:t>
            </w:r>
            <w:r>
              <w:rPr>
                <w:rFonts w:hint="default" w:hAnsi="宋体" w:cs="宋体"/>
                <w:snapToGrid w:val="0"/>
                <w:color w:val="000000"/>
                <w:kern w:val="0"/>
                <w:sz w:val="24"/>
                <w:szCs w:val="24"/>
                <w:highlight w:val="none"/>
              </w:rPr>
              <w:t>分。</w:t>
            </w:r>
          </w:p>
          <w:p w14:paraId="1C0F4F1A">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2．银行资信评级A（含A＋、A－）的，得</w:t>
            </w:r>
            <w:r>
              <w:rPr>
                <w:rFonts w:hint="eastAsia" w:hAnsi="宋体" w:cs="宋体"/>
                <w:snapToGrid w:val="0"/>
                <w:color w:val="000000"/>
                <w:kern w:val="0"/>
                <w:sz w:val="24"/>
                <w:szCs w:val="24"/>
                <w:highlight w:val="none"/>
                <w:lang w:val="en-US" w:eastAsia="zh-CN"/>
              </w:rPr>
              <w:t>2</w:t>
            </w:r>
            <w:r>
              <w:rPr>
                <w:rFonts w:hint="default" w:hAnsi="宋体" w:cs="宋体"/>
                <w:snapToGrid w:val="0"/>
                <w:color w:val="000000"/>
                <w:kern w:val="0"/>
                <w:sz w:val="24"/>
                <w:szCs w:val="24"/>
                <w:highlight w:val="none"/>
              </w:rPr>
              <w:t>分。</w:t>
            </w:r>
          </w:p>
          <w:p w14:paraId="749D6BE9">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3．未获得过以上评级的，或评级证书无效的，不予计分。</w:t>
            </w:r>
          </w:p>
          <w:p w14:paraId="5E8FCE82">
            <w:pPr>
              <w:keepNext w:val="0"/>
              <w:keepLines w:val="0"/>
              <w:suppressLineNumbers w:val="0"/>
              <w:adjustRightInd w:val="0"/>
              <w:snapToGrid w:val="0"/>
              <w:spacing w:before="0" w:beforeAutospacing="0" w:after="0" w:afterAutospacing="0" w:line="360" w:lineRule="auto"/>
              <w:ind w:left="0" w:leftChars="0" w:right="0" w:rightChars="0"/>
              <w:rPr>
                <w:rFonts w:hint="eastAsia" w:ascii="宋体" w:hAnsi="宋体" w:eastAsia="宋体" w:cs="宋体"/>
                <w:b w:val="0"/>
                <w:bCs w:val="0"/>
                <w:caps w:val="0"/>
                <w:smallCaps w:val="0"/>
                <w:snapToGrid w:val="0"/>
                <w:color w:val="auto"/>
                <w:spacing w:val="0"/>
                <w:kern w:val="0"/>
                <w:sz w:val="22"/>
                <w:szCs w:val="22"/>
                <w:highlight w:val="none"/>
                <w:lang w:val="en-US" w:eastAsia="zh-CN"/>
              </w:rPr>
            </w:pPr>
            <w:r>
              <w:rPr>
                <w:rFonts w:hint="default" w:hAnsi="宋体" w:cs="宋体"/>
                <w:snapToGrid w:val="0"/>
                <w:color w:val="000000"/>
                <w:kern w:val="0"/>
                <w:sz w:val="24"/>
                <w:szCs w:val="24"/>
                <w:highlight w:val="none"/>
              </w:rPr>
              <w:t>本项最高得</w:t>
            </w:r>
            <w:r>
              <w:rPr>
                <w:rFonts w:hint="eastAsia" w:hAnsi="宋体" w:cs="宋体"/>
                <w:snapToGrid w:val="0"/>
                <w:color w:val="000000"/>
                <w:kern w:val="0"/>
                <w:sz w:val="24"/>
                <w:szCs w:val="24"/>
                <w:highlight w:val="none"/>
                <w:lang w:val="en-US" w:eastAsia="zh-CN"/>
              </w:rPr>
              <w:t>5</w:t>
            </w:r>
            <w:r>
              <w:rPr>
                <w:rFonts w:hint="default" w:hAnsi="宋体" w:cs="宋体"/>
                <w:snapToGrid w:val="0"/>
                <w:color w:val="000000"/>
                <w:kern w:val="0"/>
                <w:sz w:val="24"/>
                <w:szCs w:val="24"/>
                <w:highlight w:val="none"/>
              </w:rPr>
              <w:t>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2BF8A360">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1．需附在有效期内的资信评级证书或证明扫描件（或打印件）。</w:t>
            </w:r>
          </w:p>
          <w:p w14:paraId="35D939E2">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2．评级证书须由</w:t>
            </w:r>
            <w:r>
              <w:rPr>
                <w:rFonts w:hint="default" w:hAnsi="宋体" w:cs="宋体"/>
                <w:snapToGrid w:val="0"/>
                <w:color w:val="000000"/>
                <w:kern w:val="0"/>
                <w:sz w:val="24"/>
                <w:szCs w:val="24"/>
                <w:highlight w:val="none"/>
                <w:u w:val="single"/>
              </w:rPr>
              <w:t xml:space="preserve"> </w:t>
            </w:r>
            <w:r>
              <w:rPr>
                <w:rFonts w:hint="default" w:hAnsi="宋体"/>
                <w:snapToGrid w:val="0"/>
                <w:color w:val="000000"/>
                <w:kern w:val="0"/>
                <w:sz w:val="24"/>
                <w:szCs w:val="24"/>
                <w:highlight w:val="none"/>
                <w:u w:val="single"/>
              </w:rPr>
              <w:t>市级</w:t>
            </w:r>
            <w:r>
              <w:rPr>
                <w:rFonts w:hint="eastAsia" w:hAnsi="宋体"/>
                <w:snapToGrid w:val="0"/>
                <w:color w:val="auto"/>
                <w:kern w:val="0"/>
                <w:sz w:val="24"/>
                <w:szCs w:val="24"/>
                <w:highlight w:val="none"/>
                <w:u w:val="single"/>
                <w:lang w:eastAsia="zh-CN"/>
              </w:rPr>
              <w:t>（或以</w:t>
            </w:r>
            <w:r>
              <w:rPr>
                <w:rFonts w:hint="default" w:hAnsi="宋体"/>
                <w:snapToGrid w:val="0"/>
                <w:color w:val="000000"/>
                <w:kern w:val="0"/>
                <w:sz w:val="24"/>
                <w:szCs w:val="24"/>
                <w:highlight w:val="none"/>
                <w:u w:val="single"/>
              </w:rPr>
              <w:t>上</w:t>
            </w:r>
            <w:r>
              <w:rPr>
                <w:rFonts w:hint="eastAsia" w:hAnsi="宋体"/>
                <w:snapToGrid w:val="0"/>
                <w:color w:val="auto"/>
                <w:kern w:val="0"/>
                <w:sz w:val="24"/>
                <w:szCs w:val="24"/>
                <w:highlight w:val="none"/>
                <w:u w:val="single"/>
                <w:lang w:eastAsia="zh-CN"/>
              </w:rPr>
              <w:t>）</w:t>
            </w:r>
            <w:r>
              <w:rPr>
                <w:rFonts w:hint="default" w:hAnsi="宋体"/>
                <w:snapToGrid w:val="0"/>
                <w:color w:val="000000"/>
                <w:kern w:val="0"/>
                <w:sz w:val="24"/>
                <w:szCs w:val="24"/>
                <w:highlight w:val="none"/>
                <w:u w:val="single"/>
              </w:rPr>
              <w:t>金融机构或企业基本账户开户行</w:t>
            </w:r>
            <w:r>
              <w:rPr>
                <w:rFonts w:hint="default" w:hAnsi="宋体" w:cs="宋体"/>
                <w:snapToGrid w:val="0"/>
                <w:color w:val="000000"/>
                <w:kern w:val="0"/>
                <w:sz w:val="24"/>
                <w:szCs w:val="24"/>
                <w:highlight w:val="none"/>
              </w:rPr>
              <w:t>出具。</w:t>
            </w:r>
          </w:p>
          <w:p w14:paraId="72DBEABD">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3．评级证书有以下情形之一的，视为无效：</w:t>
            </w:r>
          </w:p>
          <w:p w14:paraId="48158913">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①未提供评级证书扫描件的；</w:t>
            </w:r>
          </w:p>
          <w:p w14:paraId="55053570">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②评级证书不在有效期内的；</w:t>
            </w:r>
          </w:p>
          <w:p w14:paraId="40DB2E2E">
            <w:pPr>
              <w:keepNext w:val="0"/>
              <w:keepLines w:val="0"/>
              <w:suppressLineNumbers w:val="0"/>
              <w:adjustRightInd w:val="0"/>
              <w:snapToGrid w:val="0"/>
              <w:spacing w:before="0" w:beforeAutospacing="0" w:after="0" w:afterAutospacing="0" w:line="360" w:lineRule="auto"/>
              <w:ind w:left="0" w:leftChars="0" w:right="0" w:rightChars="0"/>
              <w:rPr>
                <w:rFonts w:hint="eastAsia" w:ascii="宋体" w:hAnsi="宋体" w:eastAsia="宋体" w:cs="宋体"/>
                <w:snapToGrid w:val="0"/>
                <w:color w:val="auto"/>
                <w:kern w:val="0"/>
                <w:sz w:val="22"/>
                <w:szCs w:val="22"/>
                <w:highlight w:val="none"/>
              </w:rPr>
            </w:pPr>
            <w:r>
              <w:rPr>
                <w:rFonts w:hint="default" w:hAnsi="宋体" w:cs="宋体"/>
                <w:snapToGrid w:val="0"/>
                <w:color w:val="000000"/>
                <w:kern w:val="0"/>
                <w:sz w:val="24"/>
                <w:szCs w:val="24"/>
                <w:highlight w:val="none"/>
              </w:rPr>
              <w:t>③出具机构不符合要求的。</w:t>
            </w:r>
          </w:p>
        </w:tc>
      </w:tr>
      <w:tr w14:paraId="1876F594">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073493FE">
            <w:pPr>
              <w:keepNext w:val="0"/>
              <w:keepLines w:val="0"/>
              <w:suppressLineNumbers w:val="0"/>
              <w:adjustRightInd w:val="0"/>
              <w:snapToGrid w:val="0"/>
              <w:spacing w:before="0" w:beforeAutospacing="0" w:after="0" w:afterAutospacing="0" w:line="360" w:lineRule="auto"/>
              <w:ind w:left="0" w:right="0"/>
              <w:jc w:val="center"/>
              <w:rPr>
                <w:rFonts w:hint="default" w:hAnsi="宋体" w:cs="宋体"/>
                <w:snapToGrid w:val="0"/>
                <w:color w:val="000000"/>
                <w:kern w:val="0"/>
                <w:sz w:val="24"/>
                <w:szCs w:val="24"/>
                <w:highlight w:val="none"/>
                <w:lang w:bidi="ar"/>
              </w:rPr>
            </w:pPr>
            <w:r>
              <w:rPr>
                <w:rFonts w:hint="default" w:hAnsi="宋体" w:cs="宋体"/>
                <w:snapToGrid w:val="0"/>
                <w:color w:val="000000"/>
                <w:kern w:val="0"/>
                <w:sz w:val="24"/>
                <w:szCs w:val="24"/>
                <w:highlight w:val="none"/>
                <w:lang w:bidi="ar"/>
              </w:rPr>
              <w:t>企业管理</w:t>
            </w:r>
          </w:p>
          <w:p w14:paraId="0A0FCB4B">
            <w:pPr>
              <w:keepNext w:val="0"/>
              <w:keepLines w:val="0"/>
              <w:suppressLineNumbers w:val="0"/>
              <w:adjustRightInd w:val="0"/>
              <w:snapToGrid w:val="0"/>
              <w:spacing w:before="0" w:beforeAutospacing="0" w:after="0" w:afterAutospacing="0" w:line="360" w:lineRule="auto"/>
              <w:ind w:left="0" w:right="0"/>
              <w:jc w:val="center"/>
              <w:rPr>
                <w:rFonts w:hint="default" w:hAnsi="宋体" w:cs="宋体"/>
                <w:snapToGrid w:val="0"/>
                <w:color w:val="000000"/>
                <w:kern w:val="0"/>
                <w:sz w:val="24"/>
                <w:szCs w:val="24"/>
                <w:highlight w:val="none"/>
                <w:lang w:bidi="ar"/>
              </w:rPr>
            </w:pPr>
            <w:r>
              <w:rPr>
                <w:rFonts w:hint="default" w:hAnsi="宋体" w:cs="宋体"/>
                <w:snapToGrid w:val="0"/>
                <w:color w:val="000000"/>
                <w:kern w:val="0"/>
                <w:sz w:val="24"/>
                <w:szCs w:val="24"/>
                <w:highlight w:val="none"/>
                <w:lang w:bidi="ar"/>
              </w:rPr>
              <w:t>体系认证</w:t>
            </w:r>
          </w:p>
          <w:p w14:paraId="6F26E177">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宋体" w:hAnsi="宋体" w:eastAsia="宋体" w:cs="宋体"/>
                <w:snapToGrid w:val="0"/>
                <w:color w:val="auto"/>
                <w:kern w:val="0"/>
                <w:sz w:val="22"/>
                <w:szCs w:val="22"/>
                <w:highlight w:val="none"/>
              </w:rPr>
            </w:pPr>
            <w:r>
              <w:rPr>
                <w:rFonts w:hint="default" w:hAnsi="宋体" w:cs="宋体"/>
                <w:snapToGrid w:val="0"/>
                <w:color w:val="000000"/>
                <w:kern w:val="0"/>
                <w:sz w:val="24"/>
                <w:szCs w:val="24"/>
                <w:highlight w:val="none"/>
                <w:lang w:bidi="ar"/>
              </w:rPr>
              <w:t>（</w:t>
            </w:r>
            <w:r>
              <w:rPr>
                <w:rFonts w:hint="eastAsia" w:hAnsi="宋体" w:cs="宋体"/>
                <w:b w:val="0"/>
                <w:bCs w:val="0"/>
                <w:snapToGrid w:val="0"/>
                <w:color w:val="000000"/>
                <w:kern w:val="0"/>
                <w:sz w:val="24"/>
                <w:szCs w:val="24"/>
                <w:highlight w:val="none"/>
                <w:lang w:val="en-US" w:eastAsia="zh-CN" w:bidi="ar"/>
              </w:rPr>
              <w:t>10</w:t>
            </w:r>
            <w:r>
              <w:rPr>
                <w:rFonts w:hint="default" w:hAnsi="宋体" w:cs="宋体"/>
                <w:snapToGrid w:val="0"/>
                <w:color w:val="000000"/>
                <w:kern w:val="0"/>
                <w:sz w:val="24"/>
                <w:szCs w:val="24"/>
                <w:highlight w:val="none"/>
                <w:lang w:bidi="ar"/>
              </w:rPr>
              <w:t>分）</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5BDA2F2D">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1．</w:t>
            </w:r>
            <w:r>
              <w:rPr>
                <w:rFonts w:hint="default" w:hAnsi="宋体" w:cs="宋体"/>
                <w:snapToGrid w:val="0"/>
                <w:color w:val="000000"/>
                <w:kern w:val="0"/>
                <w:sz w:val="24"/>
                <w:szCs w:val="24"/>
                <w:highlight w:val="none"/>
                <w:lang w:bidi="ar"/>
              </w:rPr>
              <w:t>质量管理体系认证、职业健康安全管理体系认证、环境管理体系认证、企业信用评价认证、诚信管理体系认证中，</w:t>
            </w:r>
            <w:r>
              <w:rPr>
                <w:rFonts w:hint="eastAsia" w:hAnsi="宋体" w:cs="宋体"/>
                <w:snapToGrid w:val="0"/>
                <w:color w:val="000000"/>
                <w:kern w:val="0"/>
                <w:sz w:val="24"/>
                <w:szCs w:val="24"/>
                <w:highlight w:val="none"/>
                <w:lang w:eastAsia="zh-CN" w:bidi="ar"/>
              </w:rPr>
              <w:t>获得</w:t>
            </w:r>
            <w:r>
              <w:rPr>
                <w:rFonts w:hint="default" w:hAnsi="宋体" w:cs="宋体"/>
                <w:color w:val="000000"/>
                <w:sz w:val="24"/>
                <w:szCs w:val="24"/>
                <w:highlight w:val="none"/>
                <w:lang w:bidi="ar"/>
              </w:rPr>
              <w:t>以上</w:t>
            </w:r>
            <w:r>
              <w:rPr>
                <w:rFonts w:hint="eastAsia" w:hAnsi="宋体" w:cs="宋体"/>
                <w:color w:val="000000"/>
                <w:sz w:val="24"/>
                <w:szCs w:val="24"/>
                <w:highlight w:val="none"/>
                <w:lang w:val="en-US" w:eastAsia="zh-CN" w:bidi="ar"/>
              </w:rPr>
              <w:t>5项</w:t>
            </w:r>
            <w:r>
              <w:rPr>
                <w:rFonts w:hint="eastAsia" w:hAnsi="宋体" w:cs="宋体"/>
                <w:color w:val="000000"/>
                <w:sz w:val="24"/>
                <w:szCs w:val="24"/>
                <w:highlight w:val="none"/>
                <w:lang w:eastAsia="zh-CN" w:bidi="ar"/>
              </w:rPr>
              <w:t>认证的</w:t>
            </w:r>
            <w:r>
              <w:rPr>
                <w:rFonts w:hint="default" w:hAnsi="宋体" w:cs="宋体"/>
                <w:color w:val="000000"/>
                <w:sz w:val="24"/>
                <w:szCs w:val="24"/>
                <w:highlight w:val="none"/>
                <w:lang w:bidi="ar"/>
              </w:rPr>
              <w:t>得</w:t>
            </w:r>
            <w:r>
              <w:rPr>
                <w:rFonts w:hint="eastAsia" w:hAnsi="宋体" w:cs="宋体"/>
                <w:color w:val="000000"/>
                <w:sz w:val="24"/>
                <w:szCs w:val="24"/>
                <w:highlight w:val="none"/>
                <w:lang w:val="en-US" w:eastAsia="zh-CN" w:bidi="ar"/>
              </w:rPr>
              <w:t>10</w:t>
            </w:r>
            <w:r>
              <w:rPr>
                <w:rFonts w:hint="default" w:hAnsi="宋体" w:cs="宋体"/>
                <w:color w:val="000000"/>
                <w:sz w:val="24"/>
                <w:szCs w:val="24"/>
                <w:highlight w:val="none"/>
                <w:lang w:bidi="ar"/>
              </w:rPr>
              <w:t>分，</w:t>
            </w:r>
            <w:r>
              <w:rPr>
                <w:rFonts w:hint="eastAsia" w:hAnsi="宋体" w:cs="宋体"/>
                <w:color w:val="000000"/>
                <w:sz w:val="24"/>
                <w:szCs w:val="24"/>
                <w:highlight w:val="none"/>
                <w:lang w:eastAsia="zh-CN" w:bidi="ar"/>
              </w:rPr>
              <w:t>每缺少一项扣</w:t>
            </w:r>
            <w:r>
              <w:rPr>
                <w:rFonts w:hint="eastAsia" w:hAnsi="宋体" w:cs="宋体"/>
                <w:color w:val="000000"/>
                <w:sz w:val="24"/>
                <w:szCs w:val="24"/>
                <w:highlight w:val="none"/>
                <w:lang w:val="en-US" w:eastAsia="zh-CN" w:bidi="ar"/>
              </w:rPr>
              <w:t>2分；</w:t>
            </w:r>
            <w:r>
              <w:rPr>
                <w:rFonts w:hint="default" w:hAnsi="宋体" w:cs="宋体"/>
                <w:snapToGrid w:val="0"/>
                <w:color w:val="000000"/>
                <w:kern w:val="0"/>
                <w:sz w:val="24"/>
                <w:szCs w:val="24"/>
                <w:highlight w:val="none"/>
              </w:rPr>
              <w:t>未获</w:t>
            </w:r>
            <w:r>
              <w:rPr>
                <w:rFonts w:hint="eastAsia" w:hAnsi="宋体" w:cs="宋体"/>
                <w:snapToGrid w:val="0"/>
                <w:color w:val="000000"/>
                <w:kern w:val="0"/>
                <w:sz w:val="24"/>
                <w:szCs w:val="24"/>
                <w:highlight w:val="none"/>
                <w:lang w:eastAsia="zh-CN"/>
              </w:rPr>
              <w:t>得</w:t>
            </w:r>
            <w:r>
              <w:rPr>
                <w:rFonts w:hint="default" w:hAnsi="宋体" w:cs="宋体"/>
                <w:snapToGrid w:val="0"/>
                <w:color w:val="000000"/>
                <w:kern w:val="0"/>
                <w:sz w:val="24"/>
                <w:szCs w:val="24"/>
                <w:highlight w:val="none"/>
              </w:rPr>
              <w:t>以上认证的，不予计分。</w:t>
            </w:r>
          </w:p>
          <w:p w14:paraId="5C36A402">
            <w:pPr>
              <w:keepNext w:val="0"/>
              <w:keepLines w:val="0"/>
              <w:suppressLineNumbers w:val="0"/>
              <w:adjustRightInd w:val="0"/>
              <w:snapToGrid w:val="0"/>
              <w:spacing w:before="0" w:beforeAutospacing="0" w:after="0" w:afterAutospacing="0" w:line="360" w:lineRule="auto"/>
              <w:ind w:left="0" w:leftChars="0" w:right="0" w:rightChars="0"/>
              <w:rPr>
                <w:rFonts w:hint="eastAsia" w:ascii="宋体" w:hAnsi="宋体" w:eastAsia="宋体" w:cs="宋体"/>
                <w:color w:val="auto"/>
                <w:sz w:val="22"/>
                <w:szCs w:val="22"/>
              </w:rPr>
            </w:pPr>
            <w:r>
              <w:rPr>
                <w:rFonts w:hint="default" w:hAnsi="宋体" w:cs="宋体"/>
                <w:snapToGrid w:val="0"/>
                <w:color w:val="000000"/>
                <w:kern w:val="0"/>
                <w:sz w:val="24"/>
                <w:szCs w:val="24"/>
                <w:highlight w:val="none"/>
              </w:rPr>
              <w:t>本项最高得</w:t>
            </w:r>
            <w:r>
              <w:rPr>
                <w:rFonts w:hint="eastAsia" w:hAnsi="宋体" w:cs="宋体"/>
                <w:snapToGrid w:val="0"/>
                <w:color w:val="000000"/>
                <w:kern w:val="0"/>
                <w:sz w:val="24"/>
                <w:szCs w:val="24"/>
                <w:highlight w:val="none"/>
                <w:lang w:val="en-US" w:eastAsia="zh-CN"/>
              </w:rPr>
              <w:t>10</w:t>
            </w:r>
            <w:r>
              <w:rPr>
                <w:rFonts w:hint="default" w:hAnsi="宋体" w:cs="宋体"/>
                <w:snapToGrid w:val="0"/>
                <w:color w:val="000000"/>
                <w:kern w:val="0"/>
                <w:sz w:val="24"/>
                <w:szCs w:val="24"/>
                <w:highlight w:val="none"/>
              </w:rPr>
              <w:t>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5F28E60C">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1．须提供相关有效期内的证书</w:t>
            </w:r>
            <w:r>
              <w:rPr>
                <w:rFonts w:hint="eastAsia" w:hAnsi="宋体" w:cs="宋体"/>
                <w:snapToGrid w:val="0"/>
                <w:color w:val="000000"/>
                <w:kern w:val="0"/>
                <w:sz w:val="24"/>
                <w:szCs w:val="24"/>
                <w:highlight w:val="none"/>
                <w:lang w:val="en-US" w:eastAsia="zh-CN"/>
              </w:rPr>
              <w:t>扫描件</w:t>
            </w:r>
            <w:r>
              <w:rPr>
                <w:rFonts w:hint="default" w:hAnsi="宋体" w:cs="宋体"/>
                <w:snapToGrid w:val="0"/>
                <w:color w:val="000000"/>
                <w:kern w:val="0"/>
                <w:sz w:val="24"/>
                <w:szCs w:val="24"/>
                <w:highlight w:val="none"/>
              </w:rPr>
              <w:t>并加盖供应商公章，并在在国家认证认可监督管理委员会官网（http://www.cnca.gov.cn/)可查，提供查询截图加盖公章。未按要求提供材料不得分。</w:t>
            </w:r>
          </w:p>
          <w:p w14:paraId="4C9B4828">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2．任一认证证书有以下情形之一的，该认证证书视为无效，不予计分：</w:t>
            </w:r>
          </w:p>
          <w:p w14:paraId="77C40D27">
            <w:pPr>
              <w:keepNext w:val="0"/>
              <w:keepLines w:val="0"/>
              <w:suppressLineNumbers w:val="0"/>
              <w:adjustRightInd w:val="0"/>
              <w:snapToGrid w:val="0"/>
              <w:spacing w:before="0" w:beforeAutospacing="0" w:after="0" w:afterAutospacing="0" w:line="360" w:lineRule="auto"/>
              <w:ind w:left="0" w:right="0"/>
              <w:rPr>
                <w:rFonts w:hint="default" w:hAnsi="宋体" w:cs="宋体"/>
                <w:snapToGrid w:val="0"/>
                <w:color w:val="000000"/>
                <w:kern w:val="0"/>
                <w:sz w:val="24"/>
                <w:szCs w:val="24"/>
                <w:highlight w:val="none"/>
              </w:rPr>
            </w:pPr>
            <w:r>
              <w:rPr>
                <w:rFonts w:hint="default" w:hAnsi="宋体" w:cs="宋体"/>
                <w:snapToGrid w:val="0"/>
                <w:color w:val="000000"/>
                <w:kern w:val="0"/>
                <w:sz w:val="24"/>
                <w:szCs w:val="24"/>
                <w:highlight w:val="none"/>
              </w:rPr>
              <w:t>①未提供认证证书扫描件的；</w:t>
            </w:r>
          </w:p>
          <w:p w14:paraId="201B5FE5">
            <w:pPr>
              <w:keepNext w:val="0"/>
              <w:keepLines w:val="0"/>
              <w:suppressLineNumbers w:val="0"/>
              <w:adjustRightInd w:val="0"/>
              <w:snapToGrid w:val="0"/>
              <w:spacing w:before="0" w:beforeAutospacing="0" w:after="0" w:afterAutospacing="0" w:line="360" w:lineRule="auto"/>
              <w:ind w:left="0" w:leftChars="0" w:right="0" w:rightChars="0"/>
              <w:rPr>
                <w:rFonts w:hint="eastAsia" w:ascii="宋体" w:hAnsi="宋体" w:eastAsia="宋体" w:cs="宋体"/>
                <w:color w:val="auto"/>
                <w:sz w:val="22"/>
                <w:szCs w:val="22"/>
              </w:rPr>
            </w:pPr>
            <w:r>
              <w:rPr>
                <w:rFonts w:hint="default" w:hAnsi="宋体" w:cs="宋体"/>
                <w:snapToGrid w:val="0"/>
                <w:color w:val="000000"/>
                <w:kern w:val="0"/>
                <w:sz w:val="24"/>
                <w:szCs w:val="24"/>
                <w:highlight w:val="none"/>
              </w:rPr>
              <w:t>②认证证书不在有效期内的。</w:t>
            </w:r>
          </w:p>
        </w:tc>
      </w:tr>
      <w:tr w14:paraId="5478A7D2">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1C1D5D43">
            <w:pPr>
              <w:pStyle w:val="11"/>
              <w:keepNext w:val="0"/>
              <w:keepLines w:val="0"/>
              <w:suppressLineNumbers w:val="0"/>
              <w:adjustRightInd w:val="0"/>
              <w:snapToGrid w:val="0"/>
              <w:spacing w:before="0" w:beforeAutospacing="0" w:after="0" w:afterAutospacing="0" w:line="360" w:lineRule="auto"/>
              <w:ind w:left="0" w:right="0"/>
              <w:jc w:val="center"/>
              <w:rPr>
                <w:rFonts w:hint="default" w:hAnsi="宋体"/>
                <w:snapToGrid w:val="0"/>
                <w:color w:val="000000"/>
                <w:kern w:val="0"/>
                <w:sz w:val="24"/>
                <w:szCs w:val="24"/>
                <w:highlight w:val="none"/>
              </w:rPr>
            </w:pPr>
            <w:r>
              <w:rPr>
                <w:rFonts w:hint="eastAsia" w:hAnsi="宋体"/>
                <w:snapToGrid w:val="0"/>
                <w:color w:val="000000"/>
                <w:kern w:val="0"/>
                <w:sz w:val="24"/>
                <w:szCs w:val="24"/>
                <w:highlight w:val="none"/>
                <w:lang w:eastAsia="zh-CN"/>
              </w:rPr>
              <w:t>保障服务</w:t>
            </w:r>
          </w:p>
          <w:p w14:paraId="12742F30">
            <w:pPr>
              <w:pStyle w:val="11"/>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宋体" w:hAnsi="宋体" w:eastAsia="宋体" w:cs="宋体"/>
                <w:snapToGrid w:val="0"/>
                <w:color w:val="auto"/>
                <w:kern w:val="0"/>
                <w:sz w:val="22"/>
                <w:szCs w:val="22"/>
                <w:highlight w:val="none"/>
              </w:rPr>
            </w:pPr>
            <w:r>
              <w:rPr>
                <w:rFonts w:hint="default" w:hAnsi="宋体"/>
                <w:snapToGrid w:val="0"/>
                <w:color w:val="000000"/>
                <w:kern w:val="0"/>
                <w:sz w:val="24"/>
                <w:szCs w:val="24"/>
                <w:highlight w:val="none"/>
              </w:rPr>
              <w:t>（</w:t>
            </w:r>
            <w:r>
              <w:rPr>
                <w:rFonts w:hint="eastAsia" w:hAnsi="宋体"/>
                <w:snapToGrid w:val="0"/>
                <w:color w:val="000000"/>
                <w:kern w:val="0"/>
                <w:sz w:val="24"/>
                <w:szCs w:val="24"/>
                <w:highlight w:val="none"/>
                <w:lang w:val="en-US" w:eastAsia="zh-CN"/>
              </w:rPr>
              <w:t>10</w:t>
            </w:r>
            <w:r>
              <w:rPr>
                <w:rFonts w:hint="default" w:hAnsi="宋体"/>
                <w:snapToGrid w:val="0"/>
                <w:color w:val="000000"/>
                <w:kern w:val="0"/>
                <w:sz w:val="24"/>
                <w:szCs w:val="24"/>
                <w:highlight w:val="none"/>
              </w:rPr>
              <w:t>分）</w:t>
            </w:r>
          </w:p>
        </w:tc>
        <w:tc>
          <w:tcPr>
            <w:tcW w:w="4617" w:type="dxa"/>
            <w:gridSpan w:val="2"/>
            <w:tcBorders>
              <w:top w:val="single" w:color="auto" w:sz="4" w:space="0"/>
              <w:left w:val="single" w:color="auto" w:sz="4" w:space="0"/>
              <w:bottom w:val="single" w:color="auto" w:sz="4" w:space="0"/>
              <w:right w:val="single" w:color="auto" w:sz="4" w:space="0"/>
            </w:tcBorders>
            <w:noWrap w:val="0"/>
            <w:vAlign w:val="center"/>
          </w:tcPr>
          <w:p w14:paraId="673D75F6">
            <w:pPr>
              <w:pStyle w:val="11"/>
              <w:keepNext w:val="0"/>
              <w:keepLines w:val="0"/>
              <w:suppressLineNumbers w:val="0"/>
              <w:adjustRightInd w:val="0"/>
              <w:snapToGrid w:val="0"/>
              <w:spacing w:before="0" w:beforeAutospacing="0" w:after="0" w:afterAutospacing="0" w:line="360" w:lineRule="auto"/>
              <w:ind w:left="0" w:right="0"/>
              <w:rPr>
                <w:rFonts w:hint="default" w:hAnsi="宋体"/>
                <w:snapToGrid w:val="0"/>
                <w:color w:val="000000"/>
                <w:kern w:val="0"/>
                <w:sz w:val="24"/>
                <w:szCs w:val="24"/>
                <w:highlight w:val="none"/>
              </w:rPr>
            </w:pPr>
            <w:r>
              <w:rPr>
                <w:rFonts w:hint="eastAsia" w:hAnsi="宋体"/>
                <w:snapToGrid w:val="0"/>
                <w:color w:val="000000"/>
                <w:kern w:val="0"/>
                <w:sz w:val="24"/>
                <w:szCs w:val="24"/>
                <w:highlight w:val="none"/>
              </w:rPr>
              <w:t>在</w:t>
            </w:r>
            <w:r>
              <w:rPr>
                <w:rFonts w:hint="eastAsia" w:hAnsi="宋体"/>
                <w:snapToGrid w:val="0"/>
                <w:color w:val="000000"/>
                <w:kern w:val="0"/>
                <w:sz w:val="24"/>
                <w:szCs w:val="24"/>
                <w:highlight w:val="none"/>
                <w:lang w:eastAsia="zh-CN"/>
              </w:rPr>
              <w:t>施工过程中，为保障附近工厂及周边居民正常用电，在停电过程中，需提供保供电车支援，</w:t>
            </w:r>
            <w:r>
              <w:rPr>
                <w:rFonts w:hint="eastAsia" w:hAnsi="宋体"/>
                <w:snapToGrid w:val="0"/>
                <w:color w:val="000000"/>
                <w:kern w:val="0"/>
                <w:sz w:val="24"/>
                <w:szCs w:val="24"/>
                <w:highlight w:val="none"/>
              </w:rPr>
              <w:t>本电力项目的关键保供电过程中能提供</w:t>
            </w:r>
            <w:r>
              <w:rPr>
                <w:rFonts w:hint="eastAsia" w:hAnsi="宋体"/>
                <w:snapToGrid w:val="0"/>
                <w:color w:val="000000"/>
                <w:kern w:val="0"/>
                <w:sz w:val="24"/>
                <w:szCs w:val="24"/>
                <w:highlight w:val="none"/>
                <w:lang w:eastAsia="zh-CN"/>
              </w:rPr>
              <w:t>：</w:t>
            </w:r>
            <w:r>
              <w:rPr>
                <w:rFonts w:hint="eastAsia" w:hAnsi="宋体"/>
                <w:snapToGrid w:val="0"/>
                <w:color w:val="000000"/>
                <w:kern w:val="0"/>
                <w:sz w:val="24"/>
                <w:szCs w:val="24"/>
                <w:highlight w:val="none"/>
              </w:rPr>
              <w:t>保供电车3台或以上的得</w:t>
            </w:r>
            <w:r>
              <w:rPr>
                <w:rFonts w:hint="eastAsia" w:hAnsi="宋体"/>
                <w:snapToGrid w:val="0"/>
                <w:color w:val="000000"/>
                <w:kern w:val="0"/>
                <w:sz w:val="24"/>
                <w:szCs w:val="24"/>
                <w:highlight w:val="none"/>
                <w:lang w:val="en-US" w:eastAsia="zh-CN"/>
              </w:rPr>
              <w:t>10</w:t>
            </w:r>
            <w:r>
              <w:rPr>
                <w:rFonts w:hint="eastAsia" w:hAnsi="宋体"/>
                <w:snapToGrid w:val="0"/>
                <w:color w:val="000000"/>
                <w:kern w:val="0"/>
                <w:sz w:val="24"/>
                <w:szCs w:val="24"/>
                <w:highlight w:val="none"/>
              </w:rPr>
              <w:t>分，提供1</w:t>
            </w:r>
            <w:r>
              <w:rPr>
                <w:rFonts w:hint="eastAsia" w:ascii="宋体" w:hAnsi="宋体" w:eastAsia="宋体" w:cs="宋体"/>
                <w:snapToGrid w:val="0"/>
                <w:color w:val="000000"/>
                <w:kern w:val="0"/>
                <w:sz w:val="24"/>
                <w:szCs w:val="24"/>
                <w:highlight w:val="none"/>
              </w:rPr>
              <w:t>～</w:t>
            </w:r>
            <w:r>
              <w:rPr>
                <w:rFonts w:hint="eastAsia" w:hAnsi="宋体"/>
                <w:snapToGrid w:val="0"/>
                <w:color w:val="000000"/>
                <w:kern w:val="0"/>
                <w:sz w:val="24"/>
                <w:szCs w:val="24"/>
                <w:highlight w:val="none"/>
              </w:rPr>
              <w:t>2台的得</w:t>
            </w:r>
            <w:r>
              <w:rPr>
                <w:rFonts w:hint="eastAsia" w:hAnsi="宋体"/>
                <w:snapToGrid w:val="0"/>
                <w:color w:val="000000"/>
                <w:kern w:val="0"/>
                <w:sz w:val="24"/>
                <w:szCs w:val="24"/>
                <w:highlight w:val="none"/>
                <w:lang w:val="en-US" w:eastAsia="zh-CN"/>
              </w:rPr>
              <w:t>5</w:t>
            </w:r>
            <w:r>
              <w:rPr>
                <w:rFonts w:hint="eastAsia" w:hAnsi="宋体"/>
                <w:snapToGrid w:val="0"/>
                <w:color w:val="000000"/>
                <w:kern w:val="0"/>
                <w:sz w:val="24"/>
                <w:szCs w:val="24"/>
                <w:highlight w:val="none"/>
              </w:rPr>
              <w:t>分，</w:t>
            </w:r>
            <w:r>
              <w:rPr>
                <w:rFonts w:hint="eastAsia" w:hAnsi="宋体"/>
                <w:snapToGrid w:val="0"/>
                <w:color w:val="000000"/>
                <w:kern w:val="0"/>
                <w:sz w:val="24"/>
                <w:szCs w:val="24"/>
                <w:highlight w:val="none"/>
                <w:lang w:eastAsia="zh-CN"/>
              </w:rPr>
              <w:t>无则</w:t>
            </w:r>
            <w:r>
              <w:rPr>
                <w:rFonts w:hint="eastAsia" w:hAnsi="宋体"/>
                <w:snapToGrid w:val="0"/>
                <w:color w:val="000000"/>
                <w:kern w:val="0"/>
                <w:sz w:val="24"/>
                <w:szCs w:val="24"/>
                <w:highlight w:val="none"/>
              </w:rPr>
              <w:t>不得分。</w:t>
            </w:r>
          </w:p>
          <w:p w14:paraId="1C6CA56A">
            <w:pPr>
              <w:pStyle w:val="11"/>
              <w:keepNext w:val="0"/>
              <w:keepLines w:val="0"/>
              <w:suppressLineNumbers w:val="0"/>
              <w:adjustRightInd w:val="0"/>
              <w:snapToGrid w:val="0"/>
              <w:spacing w:before="0" w:beforeAutospacing="0" w:after="0" w:afterAutospacing="0" w:line="360" w:lineRule="auto"/>
              <w:ind w:left="0" w:leftChars="0" w:right="0" w:rightChars="0"/>
              <w:rPr>
                <w:rFonts w:hint="eastAsia" w:ascii="宋体" w:hAnsi="宋体" w:eastAsia="宋体" w:cs="宋体"/>
                <w:color w:val="auto"/>
                <w:sz w:val="22"/>
                <w:szCs w:val="22"/>
                <w:highlight w:val="none"/>
              </w:rPr>
            </w:pPr>
            <w:r>
              <w:rPr>
                <w:rFonts w:hint="eastAsia" w:hAnsi="宋体" w:cs="宋体"/>
                <w:snapToGrid w:val="0"/>
                <w:color w:val="000000"/>
                <w:kern w:val="0"/>
                <w:sz w:val="24"/>
                <w:szCs w:val="24"/>
                <w:highlight w:val="none"/>
              </w:rPr>
              <w:t>本项最高得</w:t>
            </w:r>
            <w:r>
              <w:rPr>
                <w:rFonts w:hint="eastAsia" w:hAnsi="宋体" w:cs="宋体"/>
                <w:snapToGrid w:val="0"/>
                <w:color w:val="000000"/>
                <w:kern w:val="0"/>
                <w:sz w:val="24"/>
                <w:szCs w:val="24"/>
                <w:highlight w:val="none"/>
                <w:lang w:val="en-US" w:eastAsia="zh-CN"/>
              </w:rPr>
              <w:t>10</w:t>
            </w:r>
            <w:r>
              <w:rPr>
                <w:rFonts w:hint="eastAsia" w:hAnsi="宋体" w:cs="宋体"/>
                <w:snapToGrid w:val="0"/>
                <w:color w:val="000000"/>
                <w:kern w:val="0"/>
                <w:sz w:val="24"/>
                <w:szCs w:val="24"/>
                <w:highlight w:val="none"/>
              </w:rPr>
              <w:t>分。</w:t>
            </w:r>
          </w:p>
        </w:tc>
        <w:tc>
          <w:tcPr>
            <w:tcW w:w="4743" w:type="dxa"/>
            <w:tcBorders>
              <w:top w:val="single" w:color="auto" w:sz="4" w:space="0"/>
              <w:left w:val="single" w:color="auto" w:sz="4" w:space="0"/>
              <w:bottom w:val="single" w:color="auto" w:sz="4" w:space="0"/>
              <w:right w:val="single" w:color="auto" w:sz="4" w:space="0"/>
            </w:tcBorders>
            <w:noWrap w:val="0"/>
            <w:vAlign w:val="center"/>
          </w:tcPr>
          <w:p w14:paraId="7C673BEA">
            <w:pPr>
              <w:keepNext w:val="0"/>
              <w:keepLines w:val="0"/>
              <w:suppressLineNumbers w:val="0"/>
              <w:spacing w:before="0" w:beforeAutospacing="0" w:after="0" w:afterAutospacing="0" w:line="360" w:lineRule="auto"/>
              <w:ind w:left="0" w:leftChars="0" w:right="0" w:rightChars="0"/>
              <w:rPr>
                <w:rFonts w:hint="eastAsia" w:ascii="宋体" w:hAnsi="宋体" w:eastAsia="宋体" w:cs="宋体"/>
                <w:i/>
                <w:iCs/>
                <w:snapToGrid w:val="0"/>
                <w:color w:val="auto"/>
                <w:kern w:val="0"/>
                <w:sz w:val="22"/>
                <w:szCs w:val="22"/>
                <w:highlight w:val="none"/>
              </w:rPr>
            </w:pPr>
            <w:r>
              <w:rPr>
                <w:rFonts w:hint="default" w:hAnsi="宋体" w:cs="宋体"/>
                <w:color w:val="000000"/>
                <w:sz w:val="24"/>
                <w:szCs w:val="24"/>
                <w:highlight w:val="none"/>
              </w:rPr>
              <w:t>自身拥有保电车辆的需提供行驶证</w:t>
            </w:r>
            <w:r>
              <w:rPr>
                <w:rFonts w:hint="default" w:hAnsi="宋体" w:cs="宋体"/>
                <w:snapToGrid w:val="0"/>
                <w:color w:val="000000"/>
                <w:kern w:val="0"/>
                <w:sz w:val="24"/>
                <w:szCs w:val="24"/>
                <w:highlight w:val="none"/>
              </w:rPr>
              <w:t>扫描件</w:t>
            </w:r>
            <w:r>
              <w:rPr>
                <w:rFonts w:hint="default" w:hAnsi="宋体" w:cs="宋体"/>
                <w:color w:val="000000"/>
                <w:sz w:val="24"/>
                <w:szCs w:val="24"/>
                <w:highlight w:val="none"/>
              </w:rPr>
              <w:t>；使用租赁保供电车辆的需提供行驶证</w:t>
            </w:r>
            <w:r>
              <w:rPr>
                <w:rFonts w:hint="default" w:hAnsi="宋体" w:cs="宋体"/>
                <w:snapToGrid w:val="0"/>
                <w:color w:val="000000"/>
                <w:kern w:val="0"/>
                <w:sz w:val="24"/>
                <w:szCs w:val="24"/>
                <w:highlight w:val="none"/>
              </w:rPr>
              <w:t>扫描件</w:t>
            </w:r>
            <w:r>
              <w:rPr>
                <w:rFonts w:hint="default" w:hAnsi="宋体" w:cs="宋体"/>
                <w:color w:val="000000"/>
                <w:sz w:val="24"/>
                <w:szCs w:val="24"/>
                <w:highlight w:val="none"/>
              </w:rPr>
              <w:t>及租赁合同</w:t>
            </w:r>
            <w:r>
              <w:rPr>
                <w:rFonts w:hint="default" w:hAnsi="宋体" w:cs="宋体"/>
                <w:snapToGrid w:val="0"/>
                <w:color w:val="000000"/>
                <w:kern w:val="0"/>
                <w:sz w:val="24"/>
                <w:szCs w:val="24"/>
                <w:highlight w:val="none"/>
              </w:rPr>
              <w:t>扫描件</w:t>
            </w:r>
            <w:r>
              <w:rPr>
                <w:rFonts w:hint="default" w:hAnsi="宋体" w:cs="宋体"/>
                <w:color w:val="000000"/>
                <w:sz w:val="24"/>
                <w:szCs w:val="24"/>
                <w:highlight w:val="none"/>
              </w:rPr>
              <w:t>。相关证件应在有效期内。</w:t>
            </w:r>
          </w:p>
        </w:tc>
      </w:tr>
      <w:tr w14:paraId="1770ED0C">
        <w:tblPrEx>
          <w:tblCellMar>
            <w:top w:w="0" w:type="dxa"/>
            <w:left w:w="108" w:type="dxa"/>
            <w:bottom w:w="0" w:type="dxa"/>
            <w:right w:w="108" w:type="dxa"/>
          </w:tblCellMar>
        </w:tblPrEx>
        <w:trPr>
          <w:trHeight w:val="23" w:hRule="atLeast"/>
          <w:jc w:val="center"/>
        </w:trPr>
        <w:tc>
          <w:tcPr>
            <w:tcW w:w="1085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15776CCB">
            <w:pPr>
              <w:pStyle w:val="11"/>
              <w:wordWrap w:val="0"/>
              <w:adjustRightInd w:val="0"/>
              <w:snapToGrid w:val="0"/>
              <w:spacing w:after="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技术部分（施工组织设计），满分：</w:t>
            </w:r>
            <w:r>
              <w:rPr>
                <w:rFonts w:hint="eastAsia" w:ascii="宋体" w:hAnsi="宋体" w:eastAsia="宋体" w:cs="宋体"/>
                <w:b/>
                <w:bCs/>
                <w:snapToGrid w:val="0"/>
                <w:color w:val="auto"/>
                <w:kern w:val="0"/>
                <w:sz w:val="24"/>
                <w:szCs w:val="24"/>
                <w:highlight w:val="none"/>
                <w:u w:val="single"/>
                <w:lang w:val="en-US" w:eastAsia="zh-CN"/>
              </w:rPr>
              <w:t>20</w:t>
            </w:r>
            <w:r>
              <w:rPr>
                <w:rFonts w:hint="eastAsia" w:ascii="宋体" w:hAnsi="宋体" w:eastAsia="宋体" w:cs="宋体"/>
                <w:b/>
                <w:bCs/>
                <w:snapToGrid w:val="0"/>
                <w:color w:val="auto"/>
                <w:kern w:val="0"/>
                <w:sz w:val="24"/>
                <w:szCs w:val="24"/>
                <w:highlight w:val="none"/>
              </w:rPr>
              <w:t>分。</w:t>
            </w:r>
          </w:p>
        </w:tc>
      </w:tr>
      <w:tr w14:paraId="2AD7B249">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7C000DBD">
            <w:pPr>
              <w:pStyle w:val="11"/>
              <w:wordWrap w:val="0"/>
              <w:adjustRightInd w:val="0"/>
              <w:snapToGrid w:val="0"/>
              <w:spacing w:after="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评分因素</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26C2747E">
            <w:pPr>
              <w:pStyle w:val="11"/>
              <w:wordWrap w:val="0"/>
              <w:adjustRightInd w:val="0"/>
              <w:snapToGrid w:val="0"/>
              <w:spacing w:after="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评分标准</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43F36B56">
            <w:pPr>
              <w:pStyle w:val="11"/>
              <w:wordWrap w:val="0"/>
              <w:adjustRightInd w:val="0"/>
              <w:snapToGrid w:val="0"/>
              <w:spacing w:after="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备注</w:t>
            </w:r>
          </w:p>
        </w:tc>
      </w:tr>
      <w:tr w14:paraId="0943E310">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42011C0D">
            <w:pPr>
              <w:pStyle w:val="120"/>
              <w:wordWrap w:val="0"/>
              <w:adjustRightInd w:val="0"/>
              <w:snapToGrid w:val="0"/>
              <w:spacing w:line="400" w:lineRule="exact"/>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 xml:space="preserve"> 总体概述</w:t>
            </w:r>
          </w:p>
          <w:p w14:paraId="47F5E875">
            <w:pPr>
              <w:pStyle w:val="11"/>
              <w:wordWrap w:val="0"/>
              <w:adjustRightInd w:val="0"/>
              <w:snapToGrid w:val="0"/>
              <w:spacing w:after="0" w:line="400" w:lineRule="exact"/>
              <w:ind w:left="0" w:leftChars="0" w:right="0" w:rightChars="0"/>
              <w:jc w:val="center"/>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w:t>
            </w:r>
            <w:r>
              <w:rPr>
                <w:rFonts w:hint="eastAsia" w:ascii="宋体" w:hAnsi="宋体" w:eastAsia="宋体" w:cs="宋体"/>
                <w:snapToGrid w:val="0"/>
                <w:color w:val="000000"/>
                <w:kern w:val="0"/>
                <w:sz w:val="24"/>
                <w:szCs w:val="24"/>
                <w:highlight w:val="none"/>
                <w:u w:val="single"/>
              </w:rPr>
              <w:t xml:space="preserve"> 3 </w:t>
            </w:r>
            <w:r>
              <w:rPr>
                <w:rFonts w:hint="eastAsia" w:ascii="宋体" w:hAnsi="宋体" w:eastAsia="宋体" w:cs="宋体"/>
                <w:snapToGrid w:val="0"/>
                <w:color w:val="000000"/>
                <w:kern w:val="0"/>
                <w:sz w:val="24"/>
                <w:szCs w:val="24"/>
                <w:highlight w:val="none"/>
              </w:rPr>
              <w:t>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58C2B16C">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【优】得该项评分因素分值的90%～100%（含90%）。</w:t>
            </w:r>
          </w:p>
          <w:p w14:paraId="2E1026EA">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【良】得该项评分因素分值的80%～90%（含80%）。</w:t>
            </w:r>
          </w:p>
          <w:p w14:paraId="50B84776">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【中】得该项评分因素分值的70%～80%（含70%）。</w:t>
            </w:r>
          </w:p>
          <w:p w14:paraId="29FA97C3">
            <w:pPr>
              <w:pStyle w:val="11"/>
              <w:wordWrap w:val="0"/>
              <w:adjustRightInd w:val="0"/>
              <w:snapToGrid w:val="0"/>
              <w:spacing w:after="0" w:line="400" w:lineRule="exact"/>
              <w:ind w:left="0" w:leftChars="0" w:right="0" w:rightChars="0"/>
              <w:jc w:val="left"/>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501F417D">
            <w:pPr>
              <w:pStyle w:val="11"/>
              <w:wordWrap w:val="0"/>
              <w:adjustRightInd w:val="0"/>
              <w:snapToGrid w:val="0"/>
              <w:spacing w:after="0" w:line="400" w:lineRule="exact"/>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【优】对项目总体有深刻认识，表述清晰、完整、严谨、合理，措施先进、具体、有效、成熟，采用了新技术、新工艺、新材料、新设备；施工段划分呼应总体表述，划分清晰、合理，符合规范要求。</w:t>
            </w:r>
          </w:p>
          <w:p w14:paraId="6C63C5EF">
            <w:pPr>
              <w:pStyle w:val="11"/>
              <w:wordWrap w:val="0"/>
              <w:adjustRightInd w:val="0"/>
              <w:snapToGrid w:val="0"/>
              <w:spacing w:after="0" w:line="400" w:lineRule="exact"/>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【良】对项目总体有一定认识，表述清晰、完整，措施具体有效；施工段划分呼应总体表述，划分清晰，符合规范要求。</w:t>
            </w:r>
          </w:p>
          <w:p w14:paraId="406F7F09">
            <w:pPr>
              <w:pStyle w:val="11"/>
              <w:wordWrap w:val="0"/>
              <w:adjustRightInd w:val="0"/>
              <w:snapToGrid w:val="0"/>
              <w:spacing w:after="0" w:line="400" w:lineRule="exact"/>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【中】对项目总体有认识，有一定的措施但部分不具体；施工段划分较合理，符合规范要求。</w:t>
            </w:r>
          </w:p>
          <w:p w14:paraId="2F1D4018">
            <w:pPr>
              <w:pStyle w:val="11"/>
              <w:wordWrap w:val="0"/>
              <w:adjustRightInd w:val="0"/>
              <w:snapToGrid w:val="0"/>
              <w:spacing w:after="0" w:line="400" w:lineRule="exact"/>
              <w:ind w:left="0" w:leftChars="0" w:right="0" w:rightChars="0"/>
              <w:jc w:val="left"/>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【差】对项目认识不足，表述不清晰，措施不具体；施工段划分不合理。</w:t>
            </w:r>
          </w:p>
        </w:tc>
      </w:tr>
      <w:tr w14:paraId="398784B7">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19508C6A">
            <w:pPr>
              <w:pStyle w:val="68"/>
              <w:wordWrap w:val="0"/>
              <w:adjustRightInd w:val="0"/>
              <w:snapToGrid w:val="0"/>
              <w:spacing w:line="400" w:lineRule="exact"/>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施工总进</w:t>
            </w:r>
          </w:p>
          <w:p w14:paraId="44FECB71">
            <w:pPr>
              <w:pStyle w:val="68"/>
              <w:wordWrap w:val="0"/>
              <w:adjustRightInd w:val="0"/>
              <w:snapToGrid w:val="0"/>
              <w:spacing w:line="400" w:lineRule="exact"/>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度计划及</w:t>
            </w:r>
          </w:p>
          <w:p w14:paraId="5262AA49">
            <w:pPr>
              <w:pStyle w:val="68"/>
              <w:wordWrap w:val="0"/>
              <w:adjustRightInd w:val="0"/>
              <w:snapToGrid w:val="0"/>
              <w:spacing w:line="400" w:lineRule="exact"/>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保证措施</w:t>
            </w:r>
          </w:p>
          <w:p w14:paraId="1B604AD1">
            <w:pPr>
              <w:pStyle w:val="68"/>
              <w:wordWrap w:val="0"/>
              <w:adjustRightInd w:val="0"/>
              <w:snapToGrid w:val="0"/>
              <w:spacing w:line="400" w:lineRule="exact"/>
              <w:jc w:val="center"/>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w:t>
            </w:r>
            <w:r>
              <w:rPr>
                <w:rFonts w:hint="eastAsia" w:ascii="宋体" w:hAnsi="宋体" w:eastAsia="宋体" w:cs="宋体"/>
                <w:snapToGrid w:val="0"/>
                <w:color w:val="000000"/>
                <w:kern w:val="0"/>
                <w:sz w:val="24"/>
                <w:szCs w:val="24"/>
                <w:highlight w:val="none"/>
                <w:u w:val="single"/>
              </w:rPr>
              <w:t>3</w:t>
            </w:r>
            <w:r>
              <w:rPr>
                <w:rFonts w:hint="eastAsia" w:ascii="宋体" w:hAnsi="宋体" w:eastAsia="宋体" w:cs="宋体"/>
                <w:snapToGrid w:val="0"/>
                <w:color w:val="000000"/>
                <w:kern w:val="0"/>
                <w:sz w:val="24"/>
                <w:szCs w:val="24"/>
                <w:highlight w:val="none"/>
              </w:rPr>
              <w:t>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22FE5E23">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【优】得该项评分因素分值的90%～100%（含90%）。</w:t>
            </w:r>
          </w:p>
          <w:p w14:paraId="61F9D483">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【良】得该项评分因素分值的80%～90%（含80%）。</w:t>
            </w:r>
          </w:p>
          <w:p w14:paraId="6D221493">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【中】得该项评分因素分值的70%～80%（含70%）。</w:t>
            </w:r>
          </w:p>
          <w:p w14:paraId="36E56F4D">
            <w:pPr>
              <w:pStyle w:val="117"/>
              <w:wordWrap w:val="0"/>
              <w:adjustRightInd w:val="0"/>
              <w:snapToGrid w:val="0"/>
              <w:spacing w:line="400" w:lineRule="exact"/>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35329CE9">
            <w:pPr>
              <w:pStyle w:val="117"/>
              <w:wordWrap w:val="0"/>
              <w:adjustRightInd w:val="0"/>
              <w:snapToGrid w:val="0"/>
              <w:spacing w:line="400" w:lineRule="exact"/>
              <w:rPr>
                <w:rFonts w:hint="eastAsia" w:ascii="宋体" w:hAnsi="宋体" w:eastAsia="宋体" w:cs="宋体"/>
                <w:b/>
                <w:bCs/>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snapToGrid w:val="0"/>
                <w:color w:val="000000"/>
                <w:kern w:val="0"/>
                <w:sz w:val="24"/>
                <w:szCs w:val="24"/>
                <w:highlight w:val="none"/>
              </w:rPr>
              <w:t>经济赔偿合理。</w:t>
            </w:r>
          </w:p>
          <w:p w14:paraId="0A79770D">
            <w:pPr>
              <w:pStyle w:val="117"/>
              <w:wordWrap w:val="0"/>
              <w:adjustRightInd w:val="0"/>
              <w:snapToGrid w:val="0"/>
              <w:spacing w:line="400" w:lineRule="exact"/>
              <w:rPr>
                <w:rFonts w:hint="eastAsia" w:ascii="宋体" w:hAnsi="宋体" w:eastAsia="宋体" w:cs="宋体"/>
                <w:b/>
                <w:bCs/>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snapToGrid w:val="0"/>
                <w:color w:val="000000"/>
                <w:kern w:val="0"/>
                <w:sz w:val="24"/>
                <w:szCs w:val="24"/>
                <w:highlight w:val="none"/>
              </w:rPr>
              <w:t>经济赔偿较合理。</w:t>
            </w:r>
          </w:p>
          <w:p w14:paraId="4909BF88">
            <w:pPr>
              <w:pStyle w:val="117"/>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【中】关键线路基本准确，计划编制基本合理。关键节点的控制措施基本可行。人、材、机需求和进场计划与进度计划相呼应，基本满足施工需要，调配投入计划基本合理。进度违约责任承诺具体。</w:t>
            </w:r>
          </w:p>
          <w:p w14:paraId="582C2F8C">
            <w:pPr>
              <w:pStyle w:val="117"/>
              <w:wordWrap w:val="0"/>
              <w:adjustRightInd w:val="0"/>
              <w:snapToGrid w:val="0"/>
              <w:spacing w:line="400" w:lineRule="exact"/>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【差】关键线路不准确，计划编制不合理。关键节点的控制不可行。人、材、机需求和进场计划与进度计划不相呼应，不能满足施工需要。没有违约责任承诺。</w:t>
            </w:r>
          </w:p>
        </w:tc>
      </w:tr>
      <w:tr w14:paraId="41603872">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564B32B0">
            <w:pPr>
              <w:pStyle w:val="68"/>
              <w:wordWrap w:val="0"/>
              <w:adjustRightInd w:val="0"/>
              <w:snapToGrid w:val="0"/>
              <w:spacing w:line="400" w:lineRule="exact"/>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质量</w:t>
            </w:r>
          </w:p>
          <w:p w14:paraId="59A5EF2D">
            <w:pPr>
              <w:pStyle w:val="68"/>
              <w:wordWrap w:val="0"/>
              <w:adjustRightInd w:val="0"/>
              <w:snapToGrid w:val="0"/>
              <w:spacing w:line="400" w:lineRule="exact"/>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保证措施</w:t>
            </w:r>
          </w:p>
          <w:p w14:paraId="35339132">
            <w:pPr>
              <w:pStyle w:val="68"/>
              <w:wordWrap w:val="0"/>
              <w:adjustRightInd w:val="0"/>
              <w:snapToGrid w:val="0"/>
              <w:spacing w:line="400" w:lineRule="exact"/>
              <w:jc w:val="center"/>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w:t>
            </w:r>
            <w:r>
              <w:rPr>
                <w:rFonts w:hint="eastAsia" w:ascii="宋体" w:hAnsi="宋体" w:eastAsia="宋体" w:cs="宋体"/>
                <w:snapToGrid w:val="0"/>
                <w:color w:val="000000"/>
                <w:kern w:val="0"/>
                <w:sz w:val="24"/>
                <w:szCs w:val="24"/>
                <w:highlight w:val="none"/>
                <w:u w:val="single"/>
              </w:rPr>
              <w:t>4</w:t>
            </w:r>
            <w:r>
              <w:rPr>
                <w:rFonts w:hint="eastAsia" w:ascii="宋体" w:hAnsi="宋体" w:eastAsia="宋体" w:cs="宋体"/>
                <w:snapToGrid w:val="0"/>
                <w:color w:val="000000"/>
                <w:kern w:val="0"/>
                <w:sz w:val="24"/>
                <w:szCs w:val="24"/>
                <w:highlight w:val="none"/>
              </w:rPr>
              <w:t>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0FFE49F2">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【优】得该项评分因素分值的90%～100%（含90%）。</w:t>
            </w:r>
          </w:p>
          <w:p w14:paraId="45D035B0">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【良】得该项评分因素分值的80%～90%（含80%）。</w:t>
            </w:r>
          </w:p>
          <w:p w14:paraId="21D686BA">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【中】得该项评分因素分值的70%～80%（含70%）。</w:t>
            </w:r>
          </w:p>
          <w:p w14:paraId="1F0A694C">
            <w:pPr>
              <w:pStyle w:val="117"/>
              <w:wordWrap w:val="0"/>
              <w:adjustRightInd w:val="0"/>
              <w:snapToGrid w:val="0"/>
              <w:spacing w:line="400" w:lineRule="exact"/>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2FE7D6BE">
            <w:pPr>
              <w:pStyle w:val="11"/>
              <w:wordWrap w:val="0"/>
              <w:adjustRightInd w:val="0"/>
              <w:snapToGrid w:val="0"/>
              <w:spacing w:after="0"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【优】应用新技术、新工艺、新材料、新设备，针对项目实际提出先进、可行、具体的保证措施。超过招标文件的质量要求。</w:t>
            </w:r>
          </w:p>
          <w:p w14:paraId="3D5FED1F">
            <w:pPr>
              <w:pStyle w:val="11"/>
              <w:wordWrap w:val="0"/>
              <w:adjustRightInd w:val="0"/>
              <w:snapToGrid w:val="0"/>
              <w:spacing w:after="0" w:line="400" w:lineRule="exact"/>
              <w:rPr>
                <w:rFonts w:hint="eastAsia" w:ascii="宋体" w:hAnsi="宋体" w:eastAsia="宋体" w:cs="宋体"/>
                <w:snapToGrid w:val="0"/>
                <w:color w:val="000000"/>
                <w:kern w:val="0"/>
                <w:sz w:val="24"/>
                <w:szCs w:val="24"/>
                <w:highlight w:val="none"/>
                <w:lang w:eastAsia="zh-CN"/>
              </w:rPr>
            </w:pPr>
            <w:r>
              <w:rPr>
                <w:rFonts w:hint="eastAsia" w:ascii="宋体" w:hAnsi="宋体" w:eastAsia="宋体" w:cs="宋体"/>
                <w:snapToGrid w:val="0"/>
                <w:color w:val="000000"/>
                <w:kern w:val="0"/>
                <w:sz w:val="24"/>
                <w:szCs w:val="24"/>
                <w:highlight w:val="none"/>
              </w:rPr>
              <w:t>【良】针对项目实际提出先进、可行、具体的保证措施。满足招标文件的质量要求</w:t>
            </w:r>
            <w:r>
              <w:rPr>
                <w:rFonts w:hint="eastAsia" w:ascii="宋体" w:hAnsi="宋体" w:eastAsia="宋体" w:cs="宋体"/>
                <w:snapToGrid w:val="0"/>
                <w:color w:val="000000"/>
                <w:kern w:val="0"/>
                <w:sz w:val="24"/>
                <w:szCs w:val="24"/>
                <w:highlight w:val="none"/>
                <w:lang w:eastAsia="zh-CN"/>
              </w:rPr>
              <w:t>。</w:t>
            </w:r>
          </w:p>
          <w:p w14:paraId="6D9C7BA8">
            <w:pPr>
              <w:pStyle w:val="11"/>
              <w:wordWrap w:val="0"/>
              <w:adjustRightInd w:val="0"/>
              <w:snapToGrid w:val="0"/>
              <w:spacing w:after="0" w:line="400" w:lineRule="exact"/>
              <w:rPr>
                <w:rFonts w:hint="eastAsia" w:ascii="宋体" w:hAnsi="宋体" w:eastAsia="宋体" w:cs="宋体"/>
                <w:strike/>
                <w:dstrike w:val="0"/>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【中】具体措施可行。满足招标文件的质量要求。</w:t>
            </w:r>
          </w:p>
          <w:p w14:paraId="6542FA42">
            <w:pPr>
              <w:pStyle w:val="117"/>
              <w:wordWrap w:val="0"/>
              <w:adjustRightInd w:val="0"/>
              <w:snapToGrid w:val="0"/>
              <w:spacing w:line="400" w:lineRule="exact"/>
              <w:rPr>
                <w:rFonts w:hint="eastAsia" w:ascii="宋体" w:hAnsi="宋体" w:eastAsia="宋体" w:cs="宋体"/>
                <w:color w:val="auto"/>
                <w:sz w:val="22"/>
                <w:szCs w:val="22"/>
                <w:lang w:eastAsia="zh-CN"/>
              </w:rPr>
            </w:pPr>
            <w:r>
              <w:rPr>
                <w:rFonts w:hint="eastAsia" w:ascii="宋体" w:hAnsi="宋体" w:eastAsia="宋体" w:cs="宋体"/>
                <w:snapToGrid w:val="0"/>
                <w:color w:val="000000"/>
                <w:kern w:val="0"/>
                <w:sz w:val="24"/>
                <w:szCs w:val="24"/>
                <w:highlight w:val="none"/>
              </w:rPr>
              <w:t>【差】措施不可行，没有质量违约责任承诺</w:t>
            </w:r>
            <w:r>
              <w:rPr>
                <w:rFonts w:hint="eastAsia" w:ascii="宋体" w:hAnsi="宋体" w:eastAsia="宋体" w:cs="宋体"/>
                <w:snapToGrid w:val="0"/>
                <w:color w:val="000000"/>
                <w:kern w:val="0"/>
                <w:sz w:val="24"/>
                <w:szCs w:val="24"/>
                <w:highlight w:val="none"/>
                <w:lang w:eastAsia="zh-CN"/>
              </w:rPr>
              <w:t>。</w:t>
            </w:r>
          </w:p>
        </w:tc>
      </w:tr>
      <w:tr w14:paraId="320C8B91">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49897AA6">
            <w:pPr>
              <w:pStyle w:val="68"/>
              <w:wordWrap w:val="0"/>
              <w:adjustRightInd w:val="0"/>
              <w:snapToGrid w:val="0"/>
              <w:spacing w:line="400" w:lineRule="exact"/>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施工</w:t>
            </w:r>
          </w:p>
          <w:p w14:paraId="59D8FE61">
            <w:pPr>
              <w:pStyle w:val="68"/>
              <w:wordWrap w:val="0"/>
              <w:adjustRightInd w:val="0"/>
              <w:snapToGrid w:val="0"/>
              <w:spacing w:line="400" w:lineRule="exact"/>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技术措施</w:t>
            </w:r>
          </w:p>
          <w:p w14:paraId="091C0A58">
            <w:pPr>
              <w:pStyle w:val="68"/>
              <w:wordWrap w:val="0"/>
              <w:adjustRightInd w:val="0"/>
              <w:snapToGrid w:val="0"/>
              <w:spacing w:line="400" w:lineRule="exact"/>
              <w:jc w:val="center"/>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w:t>
            </w:r>
            <w:r>
              <w:rPr>
                <w:rFonts w:hint="eastAsia" w:ascii="宋体" w:hAnsi="宋体" w:eastAsia="宋体" w:cs="宋体"/>
                <w:snapToGrid w:val="0"/>
                <w:color w:val="000000"/>
                <w:kern w:val="0"/>
                <w:sz w:val="24"/>
                <w:szCs w:val="24"/>
                <w:highlight w:val="none"/>
                <w:u w:val="single"/>
              </w:rPr>
              <w:t>2</w:t>
            </w:r>
            <w:r>
              <w:rPr>
                <w:rFonts w:hint="eastAsia" w:ascii="宋体" w:hAnsi="宋体" w:eastAsia="宋体" w:cs="宋体"/>
                <w:snapToGrid w:val="0"/>
                <w:color w:val="000000"/>
                <w:kern w:val="0"/>
                <w:sz w:val="24"/>
                <w:szCs w:val="24"/>
                <w:highlight w:val="none"/>
              </w:rPr>
              <w:t>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1951C2D3">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【优】得该项评分因素分值的90%～100%（含90%）。</w:t>
            </w:r>
          </w:p>
          <w:p w14:paraId="6453DF4F">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【良】得该项评分因素分值的80%～90%（含80%）。</w:t>
            </w:r>
          </w:p>
          <w:p w14:paraId="37A7D285">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【中】得该项评分因素分值的70%～80%（含70%）。</w:t>
            </w:r>
          </w:p>
          <w:p w14:paraId="0CBF9611">
            <w:pPr>
              <w:pStyle w:val="117"/>
              <w:wordWrap w:val="0"/>
              <w:adjustRightInd w:val="0"/>
              <w:snapToGrid w:val="0"/>
              <w:spacing w:line="400" w:lineRule="exact"/>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317DBA6F">
            <w:pPr>
              <w:pStyle w:val="117"/>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snapToGrid w:val="0"/>
                <w:color w:val="000000"/>
                <w:kern w:val="0"/>
                <w:sz w:val="24"/>
                <w:szCs w:val="24"/>
                <w:highlight w:val="none"/>
              </w:rPr>
              <w:t>经济赔偿合理。</w:t>
            </w:r>
          </w:p>
          <w:p w14:paraId="742F3DAF">
            <w:pPr>
              <w:pStyle w:val="117"/>
              <w:wordWrap w:val="0"/>
              <w:adjustRightInd w:val="0"/>
              <w:snapToGrid w:val="0"/>
              <w:spacing w:line="400" w:lineRule="exact"/>
              <w:rPr>
                <w:rFonts w:hint="eastAsia" w:ascii="宋体" w:hAnsi="宋体" w:eastAsia="宋体" w:cs="宋体"/>
                <w:b/>
                <w:bCs/>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snapToGrid w:val="0"/>
                <w:color w:val="000000"/>
                <w:kern w:val="0"/>
                <w:sz w:val="24"/>
                <w:szCs w:val="24"/>
                <w:highlight w:val="none"/>
              </w:rPr>
              <w:t>经济赔偿较合理。</w:t>
            </w:r>
          </w:p>
          <w:p w14:paraId="48006863">
            <w:pPr>
              <w:pStyle w:val="117"/>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4FD2A886">
            <w:pPr>
              <w:pStyle w:val="117"/>
              <w:wordWrap w:val="0"/>
              <w:adjustRightInd w:val="0"/>
              <w:snapToGrid w:val="0"/>
              <w:spacing w:line="400" w:lineRule="exact"/>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【差】对项目关键技术有表述，对重点、难点有建议，解决方案不可行。采用的新技术针对性不强或验证材料不可靠，对节约投资、工期没有具体收益。无违约责任承诺。</w:t>
            </w:r>
          </w:p>
        </w:tc>
      </w:tr>
      <w:tr w14:paraId="7F59B1DE">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23BA7868">
            <w:pPr>
              <w:pStyle w:val="68"/>
              <w:wordWrap w:val="0"/>
              <w:adjustRightInd w:val="0"/>
              <w:snapToGrid w:val="0"/>
              <w:spacing w:line="400" w:lineRule="exact"/>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绿色施工、</w:t>
            </w:r>
          </w:p>
          <w:p w14:paraId="3902A653">
            <w:pPr>
              <w:pStyle w:val="68"/>
              <w:wordWrap w:val="0"/>
              <w:adjustRightInd w:val="0"/>
              <w:snapToGrid w:val="0"/>
              <w:spacing w:line="400" w:lineRule="exact"/>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安全防护、</w:t>
            </w:r>
          </w:p>
          <w:p w14:paraId="264F03E4">
            <w:pPr>
              <w:pStyle w:val="68"/>
              <w:wordWrap w:val="0"/>
              <w:adjustRightInd w:val="0"/>
              <w:snapToGrid w:val="0"/>
              <w:spacing w:line="400" w:lineRule="exact"/>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文明施工</w:t>
            </w:r>
          </w:p>
          <w:p w14:paraId="5009014C">
            <w:pPr>
              <w:pStyle w:val="68"/>
              <w:wordWrap w:val="0"/>
              <w:adjustRightInd w:val="0"/>
              <w:snapToGrid w:val="0"/>
              <w:spacing w:line="400" w:lineRule="exact"/>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措施计划</w:t>
            </w:r>
          </w:p>
          <w:p w14:paraId="1BFA010C">
            <w:pPr>
              <w:pStyle w:val="68"/>
              <w:wordWrap w:val="0"/>
              <w:adjustRightInd w:val="0"/>
              <w:snapToGrid w:val="0"/>
              <w:spacing w:line="400" w:lineRule="exact"/>
              <w:jc w:val="center"/>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w:t>
            </w:r>
            <w:r>
              <w:rPr>
                <w:rFonts w:hint="eastAsia" w:ascii="宋体" w:hAnsi="宋体" w:eastAsia="宋体" w:cs="宋体"/>
                <w:snapToGrid w:val="0"/>
                <w:color w:val="000000"/>
                <w:kern w:val="0"/>
                <w:sz w:val="24"/>
                <w:szCs w:val="24"/>
                <w:highlight w:val="none"/>
                <w:u w:val="single"/>
              </w:rPr>
              <w:t>3</w:t>
            </w:r>
            <w:r>
              <w:rPr>
                <w:rFonts w:hint="eastAsia" w:ascii="宋体" w:hAnsi="宋体" w:eastAsia="宋体" w:cs="宋体"/>
                <w:snapToGrid w:val="0"/>
                <w:color w:val="000000"/>
                <w:kern w:val="0"/>
                <w:sz w:val="24"/>
                <w:szCs w:val="24"/>
                <w:highlight w:val="none"/>
              </w:rPr>
              <w:t>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21849B83">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【优】得该项评分因素分值的90%～100%（含90%）。</w:t>
            </w:r>
          </w:p>
          <w:p w14:paraId="7637FB40">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【良】得该项评分因素分值的80%～90%（含80%）。</w:t>
            </w:r>
          </w:p>
          <w:p w14:paraId="7EE4C242">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【中】得该项评分因素分值的70%～80%（含70%）。</w:t>
            </w:r>
          </w:p>
          <w:p w14:paraId="7ED3BC96">
            <w:pPr>
              <w:pStyle w:val="117"/>
              <w:wordWrap w:val="0"/>
              <w:adjustRightInd w:val="0"/>
              <w:snapToGrid w:val="0"/>
              <w:spacing w:line="400" w:lineRule="exact"/>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13AEB619">
            <w:pPr>
              <w:pStyle w:val="117"/>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【优】针对项目实际情况，有先进、具体、完整、可行的措施，采用规范准确、清晰。</w:t>
            </w:r>
          </w:p>
          <w:p w14:paraId="46E808A0">
            <w:pPr>
              <w:pStyle w:val="117"/>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【良】针对项目实际情况，有合理的措施且具体、完整，采用规范准确。</w:t>
            </w:r>
          </w:p>
          <w:p w14:paraId="0992BEEE">
            <w:pPr>
              <w:pStyle w:val="117"/>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【中】有基本合理的措施，采用规范准确。</w:t>
            </w:r>
          </w:p>
          <w:p w14:paraId="320EEAB8">
            <w:pPr>
              <w:pStyle w:val="117"/>
              <w:wordWrap w:val="0"/>
              <w:adjustRightInd w:val="0"/>
              <w:snapToGrid w:val="0"/>
              <w:spacing w:line="400" w:lineRule="exact"/>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【差】措施不力，采用规范不正确。</w:t>
            </w:r>
          </w:p>
        </w:tc>
      </w:tr>
      <w:tr w14:paraId="18FD32B8">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5E8CA90C">
            <w:pPr>
              <w:pStyle w:val="68"/>
              <w:wordWrap w:val="0"/>
              <w:adjustRightInd w:val="0"/>
              <w:snapToGrid w:val="0"/>
              <w:spacing w:line="400" w:lineRule="exact"/>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施工平面</w:t>
            </w:r>
          </w:p>
          <w:p w14:paraId="6884E752">
            <w:pPr>
              <w:pStyle w:val="68"/>
              <w:wordWrap w:val="0"/>
              <w:adjustRightInd w:val="0"/>
              <w:snapToGrid w:val="0"/>
              <w:spacing w:line="400" w:lineRule="exact"/>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布置和临时设施布置</w:t>
            </w:r>
          </w:p>
          <w:p w14:paraId="4EC8028B">
            <w:pPr>
              <w:pStyle w:val="68"/>
              <w:wordWrap w:val="0"/>
              <w:adjustRightInd w:val="0"/>
              <w:snapToGrid w:val="0"/>
              <w:spacing w:line="400" w:lineRule="exact"/>
              <w:jc w:val="center"/>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w:t>
            </w:r>
            <w:r>
              <w:rPr>
                <w:rFonts w:hint="eastAsia" w:ascii="宋体" w:hAnsi="宋体" w:eastAsia="宋体" w:cs="宋体"/>
                <w:snapToGrid w:val="0"/>
                <w:color w:val="000000"/>
                <w:kern w:val="0"/>
                <w:sz w:val="24"/>
                <w:szCs w:val="24"/>
                <w:highlight w:val="none"/>
                <w:u w:val="single"/>
              </w:rPr>
              <w:t>2</w:t>
            </w:r>
            <w:r>
              <w:rPr>
                <w:rFonts w:hint="eastAsia" w:ascii="宋体" w:hAnsi="宋体" w:eastAsia="宋体" w:cs="宋体"/>
                <w:snapToGrid w:val="0"/>
                <w:color w:val="000000"/>
                <w:kern w:val="0"/>
                <w:sz w:val="24"/>
                <w:szCs w:val="24"/>
                <w:highlight w:val="none"/>
              </w:rPr>
              <w:t>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21B5DBE4">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【优】得该项评分因素分值的90%～100%（含90%）。</w:t>
            </w:r>
          </w:p>
          <w:p w14:paraId="6AA0E674">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【良】得该项评分因素分值的80%～90%（含80%）。</w:t>
            </w:r>
          </w:p>
          <w:p w14:paraId="162ED332">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【中】得该项评分因素分值的70%～80%（含70%）。</w:t>
            </w:r>
          </w:p>
          <w:p w14:paraId="0FDA8E7A">
            <w:pPr>
              <w:pStyle w:val="117"/>
              <w:wordWrap w:val="0"/>
              <w:adjustRightInd w:val="0"/>
              <w:snapToGrid w:val="0"/>
              <w:spacing w:line="400" w:lineRule="exact"/>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7F512E99">
            <w:pPr>
              <w:pStyle w:val="117"/>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【优】总体布置有针对性、合理，较好满足施工需要，符合绿色施工、安全防护、文明施工要求。</w:t>
            </w:r>
          </w:p>
          <w:p w14:paraId="6CAC6F39">
            <w:pPr>
              <w:pStyle w:val="117"/>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【良】总体布置合理，能满足施工需要，基本符合绿色施工、安全防护、文明施工要求。</w:t>
            </w:r>
          </w:p>
          <w:p w14:paraId="58A8E6CF">
            <w:pPr>
              <w:pStyle w:val="117"/>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【中】总体布置基本合理，基本满足施工需要。</w:t>
            </w:r>
          </w:p>
          <w:p w14:paraId="664EE2EB">
            <w:pPr>
              <w:pStyle w:val="117"/>
              <w:wordWrap w:val="0"/>
              <w:adjustRightInd w:val="0"/>
              <w:snapToGrid w:val="0"/>
              <w:spacing w:line="400" w:lineRule="exact"/>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【差】总体布置不合理，不符合绿色施工、安全防护、文明施工要求。</w:t>
            </w:r>
          </w:p>
        </w:tc>
      </w:tr>
      <w:tr w14:paraId="344056C5">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65301B7A">
            <w:pPr>
              <w:pStyle w:val="68"/>
              <w:wordWrap w:val="0"/>
              <w:adjustRightInd w:val="0"/>
              <w:snapToGrid w:val="0"/>
              <w:spacing w:line="400" w:lineRule="exact"/>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项目</w:t>
            </w:r>
          </w:p>
          <w:p w14:paraId="20EF3B50">
            <w:pPr>
              <w:pStyle w:val="68"/>
              <w:wordWrap w:val="0"/>
              <w:adjustRightInd w:val="0"/>
              <w:snapToGrid w:val="0"/>
              <w:spacing w:line="400" w:lineRule="exact"/>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管理机构</w:t>
            </w:r>
          </w:p>
          <w:p w14:paraId="2BC9E471">
            <w:pPr>
              <w:pStyle w:val="68"/>
              <w:wordWrap w:val="0"/>
              <w:adjustRightInd w:val="0"/>
              <w:snapToGrid w:val="0"/>
              <w:spacing w:line="400" w:lineRule="exact"/>
              <w:jc w:val="center"/>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w:t>
            </w:r>
            <w:r>
              <w:rPr>
                <w:rFonts w:hint="eastAsia" w:ascii="宋体" w:hAnsi="宋体" w:eastAsia="宋体" w:cs="宋体"/>
                <w:snapToGrid w:val="0"/>
                <w:color w:val="000000"/>
                <w:kern w:val="0"/>
                <w:sz w:val="24"/>
                <w:szCs w:val="24"/>
                <w:highlight w:val="none"/>
                <w:u w:val="single"/>
              </w:rPr>
              <w:t>3</w:t>
            </w:r>
            <w:r>
              <w:rPr>
                <w:rFonts w:hint="eastAsia" w:ascii="宋体" w:hAnsi="宋体" w:eastAsia="宋体" w:cs="宋体"/>
                <w:snapToGrid w:val="0"/>
                <w:color w:val="000000"/>
                <w:kern w:val="0"/>
                <w:sz w:val="24"/>
                <w:szCs w:val="24"/>
                <w:highlight w:val="none"/>
              </w:rPr>
              <w:t>分）</w:t>
            </w:r>
          </w:p>
        </w:tc>
        <w:tc>
          <w:tcPr>
            <w:tcW w:w="3927" w:type="dxa"/>
            <w:tcBorders>
              <w:top w:val="single" w:color="auto" w:sz="4" w:space="0"/>
              <w:left w:val="single" w:color="auto" w:sz="4" w:space="0"/>
              <w:bottom w:val="single" w:color="auto" w:sz="4" w:space="0"/>
              <w:right w:val="single" w:color="auto" w:sz="4" w:space="0"/>
            </w:tcBorders>
            <w:noWrap w:val="0"/>
            <w:vAlign w:val="center"/>
          </w:tcPr>
          <w:p w14:paraId="242A467B">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【优】得该项评分因素分值的90%～100%（含90%）。</w:t>
            </w:r>
          </w:p>
          <w:p w14:paraId="086484DA">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【良】得该项评分因素分值的80%～90%（含80%）。</w:t>
            </w:r>
          </w:p>
          <w:p w14:paraId="1FAC5000">
            <w:pPr>
              <w:pStyle w:val="135"/>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【中】得该项评分因素分值的70%～80%（含70%）。</w:t>
            </w:r>
          </w:p>
          <w:p w14:paraId="5FAF9ECF">
            <w:pPr>
              <w:pStyle w:val="117"/>
              <w:wordWrap w:val="0"/>
              <w:adjustRightInd w:val="0"/>
              <w:snapToGrid w:val="0"/>
              <w:spacing w:line="400" w:lineRule="exact"/>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【差】得该项评分因素分值的60～70%（含60%）。</w:t>
            </w:r>
          </w:p>
        </w:tc>
        <w:tc>
          <w:tcPr>
            <w:tcW w:w="5433" w:type="dxa"/>
            <w:gridSpan w:val="2"/>
            <w:tcBorders>
              <w:top w:val="single" w:color="auto" w:sz="4" w:space="0"/>
              <w:left w:val="single" w:color="auto" w:sz="4" w:space="0"/>
              <w:bottom w:val="single" w:color="auto" w:sz="4" w:space="0"/>
              <w:right w:val="single" w:color="auto" w:sz="4" w:space="0"/>
            </w:tcBorders>
            <w:noWrap w:val="0"/>
            <w:vAlign w:val="center"/>
          </w:tcPr>
          <w:p w14:paraId="66903500">
            <w:pPr>
              <w:pStyle w:val="117"/>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【优】组织机构形式合理，有完善的指挥系统，生产及质量、绿色施工、安全、文明施工、创优达标监控系统、联络协调系统，项目管理人员内高级职称人员20%（含20%）以上、中级职称人员</w:t>
            </w:r>
            <w:r>
              <w:rPr>
                <w:rFonts w:hint="eastAsia" w:ascii="宋体" w:hAnsi="宋体" w:eastAsia="宋体" w:cs="宋体"/>
                <w:b/>
                <w:bCs/>
                <w:snapToGrid w:val="0"/>
                <w:color w:val="000000"/>
                <w:kern w:val="0"/>
                <w:sz w:val="24"/>
                <w:szCs w:val="24"/>
                <w:highlight w:val="none"/>
              </w:rPr>
              <w:t>及以上职称</w:t>
            </w:r>
            <w:r>
              <w:rPr>
                <w:rFonts w:hint="eastAsia" w:ascii="宋体" w:hAnsi="宋体" w:eastAsia="宋体" w:cs="宋体"/>
                <w:snapToGrid w:val="0"/>
                <w:color w:val="000000"/>
                <w:kern w:val="0"/>
                <w:sz w:val="24"/>
                <w:szCs w:val="24"/>
                <w:highlight w:val="none"/>
              </w:rPr>
              <w:t>60%（含60%）以上。</w:t>
            </w:r>
          </w:p>
          <w:p w14:paraId="37FCE71D">
            <w:pPr>
              <w:pStyle w:val="117"/>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【良】组织机构形式合理，指挥系统，生产及质量、绿色施工、安全、文明施工、创优达标监控系统、联络协调系统齐全，项目管理人员内高级职称人员15%～20%（含15%）、中级职称</w:t>
            </w:r>
            <w:r>
              <w:rPr>
                <w:rFonts w:hint="eastAsia" w:ascii="宋体" w:hAnsi="宋体" w:eastAsia="宋体" w:cs="宋体"/>
                <w:b/>
                <w:bCs/>
                <w:snapToGrid w:val="0"/>
                <w:color w:val="000000"/>
                <w:kern w:val="0"/>
                <w:sz w:val="24"/>
                <w:szCs w:val="24"/>
                <w:highlight w:val="none"/>
              </w:rPr>
              <w:t>及以上职称</w:t>
            </w:r>
            <w:r>
              <w:rPr>
                <w:rFonts w:hint="eastAsia" w:ascii="宋体" w:hAnsi="宋体" w:eastAsia="宋体" w:cs="宋体"/>
                <w:snapToGrid w:val="0"/>
                <w:color w:val="000000"/>
                <w:kern w:val="0"/>
                <w:sz w:val="24"/>
                <w:szCs w:val="24"/>
                <w:highlight w:val="none"/>
              </w:rPr>
              <w:t>人员50%～60%（含50%）。</w:t>
            </w:r>
          </w:p>
          <w:p w14:paraId="31474B60">
            <w:pPr>
              <w:pStyle w:val="117"/>
              <w:wordWrap w:val="0"/>
              <w:adjustRightInd w:val="0"/>
              <w:snapToGrid w:val="0"/>
              <w:spacing w:line="400" w:lineRule="exac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rPr>
              <w:t>【中】组织机构形式基本合理，有指挥系统，生产及质量、绿色施工、安全、文明施工、创优达标监控系统、联络协调系统，项目管理人员内高级职称人员10%～15%（含10%）、中级职称人员</w:t>
            </w:r>
            <w:r>
              <w:rPr>
                <w:rFonts w:hint="eastAsia" w:ascii="宋体" w:hAnsi="宋体" w:eastAsia="宋体" w:cs="宋体"/>
                <w:b/>
                <w:bCs/>
                <w:snapToGrid w:val="0"/>
                <w:color w:val="000000"/>
                <w:kern w:val="0"/>
                <w:sz w:val="24"/>
                <w:szCs w:val="24"/>
                <w:highlight w:val="none"/>
              </w:rPr>
              <w:t>及以上职称</w:t>
            </w:r>
            <w:r>
              <w:rPr>
                <w:rFonts w:hint="eastAsia" w:ascii="宋体" w:hAnsi="宋体" w:eastAsia="宋体" w:cs="宋体"/>
                <w:snapToGrid w:val="0"/>
                <w:color w:val="000000"/>
                <w:kern w:val="0"/>
                <w:sz w:val="24"/>
                <w:szCs w:val="24"/>
                <w:highlight w:val="none"/>
              </w:rPr>
              <w:t>40%～50%（含40%）。</w:t>
            </w:r>
          </w:p>
          <w:p w14:paraId="171C47BC">
            <w:pPr>
              <w:pStyle w:val="117"/>
              <w:wordWrap w:val="0"/>
              <w:adjustRightInd w:val="0"/>
              <w:snapToGrid w:val="0"/>
              <w:spacing w:line="400" w:lineRule="exact"/>
              <w:rPr>
                <w:rFonts w:hint="eastAsia" w:ascii="宋体" w:hAnsi="宋体" w:eastAsia="宋体" w:cs="宋体"/>
                <w:color w:val="auto"/>
                <w:sz w:val="22"/>
                <w:szCs w:val="22"/>
              </w:rPr>
            </w:pPr>
            <w:r>
              <w:rPr>
                <w:rFonts w:hint="eastAsia" w:ascii="宋体" w:hAnsi="宋体" w:eastAsia="宋体" w:cs="宋体"/>
                <w:snapToGrid w:val="0"/>
                <w:color w:val="000000"/>
                <w:kern w:val="0"/>
                <w:sz w:val="24"/>
                <w:szCs w:val="24"/>
                <w:highlight w:val="none"/>
              </w:rPr>
              <w:t>【差】组织机构形式合理，指挥系统，生产及质量、绿色施工、安全、文明施工、创优达标监控系统、联络协调系统不齐全，项目管理人员内高级职称人员10%以下、中级职称人员</w:t>
            </w:r>
            <w:r>
              <w:rPr>
                <w:rFonts w:hint="eastAsia" w:ascii="宋体" w:hAnsi="宋体" w:eastAsia="宋体" w:cs="宋体"/>
                <w:b/>
                <w:bCs/>
                <w:snapToGrid w:val="0"/>
                <w:color w:val="000000"/>
                <w:kern w:val="0"/>
                <w:sz w:val="24"/>
                <w:szCs w:val="24"/>
                <w:highlight w:val="none"/>
              </w:rPr>
              <w:t>及以上职称</w:t>
            </w:r>
            <w:r>
              <w:rPr>
                <w:rFonts w:hint="eastAsia" w:ascii="宋体" w:hAnsi="宋体" w:eastAsia="宋体" w:cs="宋体"/>
                <w:snapToGrid w:val="0"/>
                <w:color w:val="000000"/>
                <w:kern w:val="0"/>
                <w:sz w:val="24"/>
                <w:szCs w:val="24"/>
                <w:highlight w:val="none"/>
              </w:rPr>
              <w:t>40%以下。</w:t>
            </w:r>
          </w:p>
        </w:tc>
      </w:tr>
      <w:tr w14:paraId="6DA566AA">
        <w:tblPrEx>
          <w:tblCellMar>
            <w:top w:w="0" w:type="dxa"/>
            <w:left w:w="108" w:type="dxa"/>
            <w:bottom w:w="0" w:type="dxa"/>
            <w:right w:w="108" w:type="dxa"/>
          </w:tblCellMar>
        </w:tblPrEx>
        <w:trPr>
          <w:trHeight w:val="23" w:hRule="atLeast"/>
          <w:jc w:val="center"/>
        </w:trPr>
        <w:tc>
          <w:tcPr>
            <w:tcW w:w="1085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705CF4A">
            <w:pPr>
              <w:pStyle w:val="117"/>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投标报价部分，满分：</w:t>
            </w:r>
            <w:r>
              <w:rPr>
                <w:rFonts w:hint="eastAsia" w:ascii="宋体" w:hAnsi="宋体" w:eastAsia="宋体" w:cs="宋体"/>
                <w:b/>
                <w:bCs/>
                <w:snapToGrid w:val="0"/>
                <w:color w:val="auto"/>
                <w:kern w:val="0"/>
                <w:sz w:val="24"/>
                <w:szCs w:val="24"/>
                <w:highlight w:val="none"/>
                <w:lang w:val="en-US" w:eastAsia="zh-CN"/>
              </w:rPr>
              <w:t>100</w:t>
            </w:r>
            <w:r>
              <w:rPr>
                <w:rFonts w:hint="eastAsia" w:ascii="宋体" w:hAnsi="宋体" w:eastAsia="宋体" w:cs="宋体"/>
                <w:b/>
                <w:bCs/>
                <w:snapToGrid w:val="0"/>
                <w:color w:val="auto"/>
                <w:kern w:val="0"/>
                <w:sz w:val="24"/>
                <w:szCs w:val="24"/>
                <w:highlight w:val="none"/>
              </w:rPr>
              <w:t>分。</w:t>
            </w:r>
          </w:p>
        </w:tc>
      </w:tr>
      <w:tr w14:paraId="2803E02E">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21F0920E">
            <w:pPr>
              <w:pStyle w:val="11"/>
              <w:wordWrap w:val="0"/>
              <w:adjustRightInd w:val="0"/>
              <w:snapToGrid w:val="0"/>
              <w:spacing w:after="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评分事项</w:t>
            </w:r>
          </w:p>
        </w:tc>
        <w:tc>
          <w:tcPr>
            <w:tcW w:w="9360" w:type="dxa"/>
            <w:gridSpan w:val="3"/>
            <w:tcBorders>
              <w:top w:val="single" w:color="auto" w:sz="4" w:space="0"/>
              <w:left w:val="single" w:color="auto" w:sz="4" w:space="0"/>
              <w:bottom w:val="single" w:color="auto" w:sz="4" w:space="0"/>
              <w:right w:val="single" w:color="auto" w:sz="4" w:space="0"/>
            </w:tcBorders>
            <w:noWrap w:val="0"/>
            <w:vAlign w:val="center"/>
          </w:tcPr>
          <w:p w14:paraId="3D48CD15">
            <w:pPr>
              <w:pStyle w:val="11"/>
              <w:wordWrap w:val="0"/>
              <w:adjustRightInd w:val="0"/>
              <w:snapToGrid w:val="0"/>
              <w:spacing w:after="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评分方法</w:t>
            </w:r>
          </w:p>
        </w:tc>
      </w:tr>
      <w:tr w14:paraId="2F4D8DE3">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1C934317">
            <w:pPr>
              <w:pStyle w:val="68"/>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评标基准价D</w:t>
            </w:r>
          </w:p>
        </w:tc>
        <w:tc>
          <w:tcPr>
            <w:tcW w:w="9360" w:type="dxa"/>
            <w:gridSpan w:val="3"/>
            <w:tcBorders>
              <w:top w:val="single" w:color="auto" w:sz="4" w:space="0"/>
              <w:left w:val="single" w:color="auto" w:sz="4" w:space="0"/>
              <w:bottom w:val="single" w:color="auto" w:sz="4" w:space="0"/>
              <w:right w:val="single" w:color="auto" w:sz="4" w:space="0"/>
            </w:tcBorders>
            <w:noWrap w:val="0"/>
            <w:vAlign w:val="center"/>
          </w:tcPr>
          <w:p w14:paraId="701E6C20">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jc w:val="left"/>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（1）确定</w:t>
            </w:r>
            <w:r>
              <w:rPr>
                <w:rFonts w:hint="eastAsia" w:ascii="宋体" w:hAnsi="宋体" w:eastAsia="宋体" w:cs="宋体"/>
                <w:snapToGrid w:val="0"/>
                <w:color w:val="auto"/>
                <w:kern w:val="0"/>
                <w:sz w:val="24"/>
                <w:szCs w:val="24"/>
                <w:lang w:eastAsia="zh-CN"/>
              </w:rPr>
              <w:t>最高投标限价</w:t>
            </w:r>
            <w:r>
              <w:rPr>
                <w:rFonts w:hint="eastAsia" w:ascii="宋体" w:hAnsi="宋体" w:eastAsia="宋体" w:cs="宋体"/>
                <w:snapToGrid w:val="0"/>
                <w:color w:val="auto"/>
                <w:kern w:val="0"/>
                <w:sz w:val="24"/>
                <w:szCs w:val="24"/>
              </w:rPr>
              <w:t>下浮系数n：用1～21号球分别代表一个下浮系数，由评委代表从这21个号码中随机抽取</w:t>
            </w:r>
            <w:r>
              <w:rPr>
                <w:rFonts w:hint="eastAsia" w:ascii="宋体" w:hAnsi="宋体" w:eastAsia="宋体" w:cs="宋体"/>
                <w:snapToGrid w:val="0"/>
                <w:color w:val="auto"/>
                <w:kern w:val="0"/>
                <w:sz w:val="24"/>
                <w:szCs w:val="24"/>
                <w:u w:val="single"/>
              </w:rPr>
              <w:t xml:space="preserve"> 3 </w:t>
            </w:r>
            <w:r>
              <w:rPr>
                <w:rFonts w:hint="eastAsia" w:ascii="宋体" w:hAnsi="宋体" w:eastAsia="宋体" w:cs="宋体"/>
                <w:snapToGrid w:val="0"/>
                <w:color w:val="auto"/>
                <w:kern w:val="0"/>
                <w:sz w:val="24"/>
                <w:szCs w:val="24"/>
              </w:rPr>
              <w:t>次，每次抽取1个号码，抽出的号球不参与下次抽取。所抽取的3个号码对应下浮系数的算术平均值作为</w:t>
            </w:r>
            <w:r>
              <w:rPr>
                <w:rFonts w:hint="eastAsia" w:ascii="宋体" w:hAnsi="宋体" w:eastAsia="宋体" w:cs="宋体"/>
                <w:snapToGrid w:val="0"/>
                <w:color w:val="auto"/>
                <w:kern w:val="0"/>
                <w:sz w:val="24"/>
                <w:szCs w:val="24"/>
                <w:lang w:eastAsia="zh-CN"/>
              </w:rPr>
              <w:t>最高投标限价</w:t>
            </w:r>
            <w:r>
              <w:rPr>
                <w:rFonts w:hint="eastAsia" w:ascii="宋体" w:hAnsi="宋体" w:eastAsia="宋体" w:cs="宋体"/>
                <w:snapToGrid w:val="0"/>
                <w:color w:val="auto"/>
                <w:kern w:val="0"/>
                <w:sz w:val="24"/>
                <w:szCs w:val="24"/>
              </w:rPr>
              <w:t>下浮系数n。具体号码对应的下浮系数可参考下表。</w:t>
            </w:r>
          </w:p>
          <w:tbl>
            <w:tblPr>
              <w:tblStyle w:val="32"/>
              <w:tblW w:w="0" w:type="auto"/>
              <w:jc w:val="center"/>
              <w:tblLayout w:type="fixed"/>
              <w:tblCellMar>
                <w:top w:w="0" w:type="dxa"/>
                <w:left w:w="108" w:type="dxa"/>
                <w:bottom w:w="0" w:type="dxa"/>
                <w:right w:w="108" w:type="dxa"/>
              </w:tblCellMar>
            </w:tblPr>
            <w:tblGrid>
              <w:gridCol w:w="1949"/>
              <w:gridCol w:w="794"/>
              <w:gridCol w:w="830"/>
              <w:gridCol w:w="864"/>
              <w:gridCol w:w="848"/>
              <w:gridCol w:w="882"/>
              <w:gridCol w:w="829"/>
              <w:gridCol w:w="819"/>
            </w:tblGrid>
            <w:tr w14:paraId="0DF1D792">
              <w:tblPrEx>
                <w:tblCellMar>
                  <w:top w:w="0" w:type="dxa"/>
                  <w:left w:w="108" w:type="dxa"/>
                  <w:bottom w:w="0" w:type="dxa"/>
                  <w:right w:w="108" w:type="dxa"/>
                </w:tblCellMar>
              </w:tblPrEx>
              <w:trPr>
                <w:trHeight w:val="248"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0DF82A2B">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b/>
                      <w:snapToGrid w:val="0"/>
                      <w:color w:val="auto"/>
                      <w:kern w:val="0"/>
                      <w:sz w:val="24"/>
                      <w:szCs w:val="24"/>
                    </w:rPr>
                  </w:pPr>
                  <w:r>
                    <w:rPr>
                      <w:rFonts w:hint="eastAsia" w:ascii="宋体" w:hAnsi="宋体" w:eastAsia="宋体" w:cs="宋体"/>
                      <w:bCs/>
                      <w:snapToGrid w:val="0"/>
                      <w:color w:val="auto"/>
                      <w:kern w:val="0"/>
                      <w:sz w:val="24"/>
                      <w:szCs w:val="24"/>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2503CA61">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w:t>
                  </w:r>
                </w:p>
              </w:tc>
              <w:tc>
                <w:tcPr>
                  <w:tcW w:w="830" w:type="dxa"/>
                  <w:tcBorders>
                    <w:top w:val="single" w:color="000000" w:sz="4" w:space="0"/>
                    <w:left w:val="single" w:color="000000" w:sz="4" w:space="0"/>
                    <w:bottom w:val="single" w:color="000000" w:sz="4" w:space="0"/>
                    <w:right w:val="single" w:color="000000" w:sz="4" w:space="0"/>
                  </w:tcBorders>
                  <w:vAlign w:val="center"/>
                </w:tcPr>
                <w:p w14:paraId="2A6A6174">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w:t>
                  </w:r>
                </w:p>
              </w:tc>
              <w:tc>
                <w:tcPr>
                  <w:tcW w:w="864" w:type="dxa"/>
                  <w:tcBorders>
                    <w:top w:val="single" w:color="000000" w:sz="4" w:space="0"/>
                    <w:left w:val="single" w:color="000000" w:sz="4" w:space="0"/>
                    <w:bottom w:val="single" w:color="000000" w:sz="4" w:space="0"/>
                    <w:right w:val="single" w:color="000000" w:sz="4" w:space="0"/>
                  </w:tcBorders>
                  <w:vAlign w:val="center"/>
                </w:tcPr>
                <w:p w14:paraId="371F8EDE">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3</w:t>
                  </w:r>
                </w:p>
              </w:tc>
              <w:tc>
                <w:tcPr>
                  <w:tcW w:w="848" w:type="dxa"/>
                  <w:tcBorders>
                    <w:top w:val="single" w:color="000000" w:sz="4" w:space="0"/>
                    <w:left w:val="single" w:color="000000" w:sz="4" w:space="0"/>
                    <w:bottom w:val="single" w:color="000000" w:sz="4" w:space="0"/>
                    <w:right w:val="single" w:color="000000" w:sz="4" w:space="0"/>
                  </w:tcBorders>
                  <w:vAlign w:val="center"/>
                </w:tcPr>
                <w:p w14:paraId="75C4F6AF">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4</w:t>
                  </w:r>
                </w:p>
              </w:tc>
              <w:tc>
                <w:tcPr>
                  <w:tcW w:w="882" w:type="dxa"/>
                  <w:tcBorders>
                    <w:top w:val="single" w:color="000000" w:sz="4" w:space="0"/>
                    <w:left w:val="single" w:color="000000" w:sz="4" w:space="0"/>
                    <w:bottom w:val="single" w:color="000000" w:sz="4" w:space="0"/>
                    <w:right w:val="single" w:color="000000" w:sz="4" w:space="0"/>
                  </w:tcBorders>
                  <w:vAlign w:val="center"/>
                </w:tcPr>
                <w:p w14:paraId="23F174A9">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5</w:t>
                  </w:r>
                </w:p>
              </w:tc>
              <w:tc>
                <w:tcPr>
                  <w:tcW w:w="829" w:type="dxa"/>
                  <w:tcBorders>
                    <w:top w:val="single" w:color="000000" w:sz="4" w:space="0"/>
                    <w:left w:val="single" w:color="000000" w:sz="4" w:space="0"/>
                    <w:bottom w:val="single" w:color="000000" w:sz="4" w:space="0"/>
                    <w:right w:val="single" w:color="000000" w:sz="4" w:space="0"/>
                  </w:tcBorders>
                  <w:vAlign w:val="center"/>
                </w:tcPr>
                <w:p w14:paraId="79333F71">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6</w:t>
                  </w:r>
                </w:p>
              </w:tc>
              <w:tc>
                <w:tcPr>
                  <w:tcW w:w="819" w:type="dxa"/>
                  <w:tcBorders>
                    <w:top w:val="single" w:color="000000" w:sz="4" w:space="0"/>
                    <w:left w:val="single" w:color="000000" w:sz="4" w:space="0"/>
                    <w:bottom w:val="single" w:color="000000" w:sz="4" w:space="0"/>
                    <w:right w:val="single" w:color="000000" w:sz="4" w:space="0"/>
                  </w:tcBorders>
                  <w:vAlign w:val="center"/>
                </w:tcPr>
                <w:p w14:paraId="70068A15">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7</w:t>
                  </w:r>
                </w:p>
              </w:tc>
            </w:tr>
            <w:tr w14:paraId="791D8E76">
              <w:tblPrEx>
                <w:tblCellMar>
                  <w:top w:w="0" w:type="dxa"/>
                  <w:left w:w="108" w:type="dxa"/>
                  <w:bottom w:w="0" w:type="dxa"/>
                  <w:right w:w="108" w:type="dxa"/>
                </w:tblCellMar>
              </w:tblPrEx>
              <w:trPr>
                <w:trHeight w:val="575"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0D2BA57E">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732221F4">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1.0</w:t>
                  </w:r>
                </w:p>
              </w:tc>
              <w:tc>
                <w:tcPr>
                  <w:tcW w:w="830" w:type="dxa"/>
                  <w:tcBorders>
                    <w:top w:val="single" w:color="000000" w:sz="4" w:space="0"/>
                    <w:left w:val="single" w:color="000000" w:sz="4" w:space="0"/>
                    <w:bottom w:val="single" w:color="000000" w:sz="4" w:space="0"/>
                    <w:right w:val="single" w:color="000000" w:sz="4" w:space="0"/>
                  </w:tcBorders>
                  <w:vAlign w:val="center"/>
                </w:tcPr>
                <w:p w14:paraId="4DA2A8D1">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1.1</w:t>
                  </w:r>
                </w:p>
              </w:tc>
              <w:tc>
                <w:tcPr>
                  <w:tcW w:w="864" w:type="dxa"/>
                  <w:tcBorders>
                    <w:top w:val="single" w:color="000000" w:sz="4" w:space="0"/>
                    <w:left w:val="single" w:color="000000" w:sz="4" w:space="0"/>
                    <w:bottom w:val="single" w:color="000000" w:sz="4" w:space="0"/>
                    <w:right w:val="single" w:color="000000" w:sz="4" w:space="0"/>
                  </w:tcBorders>
                  <w:vAlign w:val="center"/>
                </w:tcPr>
                <w:p w14:paraId="72AB3878">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1.2</w:t>
                  </w:r>
                </w:p>
              </w:tc>
              <w:tc>
                <w:tcPr>
                  <w:tcW w:w="848" w:type="dxa"/>
                  <w:tcBorders>
                    <w:top w:val="single" w:color="000000" w:sz="4" w:space="0"/>
                    <w:left w:val="single" w:color="000000" w:sz="4" w:space="0"/>
                    <w:bottom w:val="single" w:color="000000" w:sz="4" w:space="0"/>
                    <w:right w:val="single" w:color="000000" w:sz="4" w:space="0"/>
                  </w:tcBorders>
                  <w:vAlign w:val="center"/>
                </w:tcPr>
                <w:p w14:paraId="55C80E80">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1.3</w:t>
                  </w:r>
                </w:p>
              </w:tc>
              <w:tc>
                <w:tcPr>
                  <w:tcW w:w="882" w:type="dxa"/>
                  <w:tcBorders>
                    <w:top w:val="single" w:color="000000" w:sz="4" w:space="0"/>
                    <w:left w:val="single" w:color="000000" w:sz="4" w:space="0"/>
                    <w:bottom w:val="single" w:color="000000" w:sz="4" w:space="0"/>
                    <w:right w:val="single" w:color="000000" w:sz="4" w:space="0"/>
                  </w:tcBorders>
                  <w:vAlign w:val="center"/>
                </w:tcPr>
                <w:p w14:paraId="63F20F98">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1.4</w:t>
                  </w:r>
                </w:p>
              </w:tc>
              <w:tc>
                <w:tcPr>
                  <w:tcW w:w="829" w:type="dxa"/>
                  <w:tcBorders>
                    <w:top w:val="single" w:color="000000" w:sz="4" w:space="0"/>
                    <w:left w:val="single" w:color="000000" w:sz="4" w:space="0"/>
                    <w:bottom w:val="single" w:color="000000" w:sz="4" w:space="0"/>
                    <w:right w:val="single" w:color="000000" w:sz="4" w:space="0"/>
                  </w:tcBorders>
                  <w:vAlign w:val="center"/>
                </w:tcPr>
                <w:p w14:paraId="5C6515EB">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1.5</w:t>
                  </w:r>
                </w:p>
              </w:tc>
              <w:tc>
                <w:tcPr>
                  <w:tcW w:w="819" w:type="dxa"/>
                  <w:tcBorders>
                    <w:top w:val="single" w:color="000000" w:sz="4" w:space="0"/>
                    <w:left w:val="single" w:color="000000" w:sz="4" w:space="0"/>
                    <w:bottom w:val="single" w:color="000000" w:sz="4" w:space="0"/>
                    <w:right w:val="single" w:color="000000" w:sz="4" w:space="0"/>
                  </w:tcBorders>
                  <w:vAlign w:val="center"/>
                </w:tcPr>
                <w:p w14:paraId="3056149E">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1.6</w:t>
                  </w:r>
                </w:p>
              </w:tc>
            </w:tr>
            <w:tr w14:paraId="3EAD1EE0">
              <w:tblPrEx>
                <w:tblCellMar>
                  <w:top w:w="0" w:type="dxa"/>
                  <w:left w:w="108" w:type="dxa"/>
                  <w:bottom w:w="0" w:type="dxa"/>
                  <w:right w:w="108" w:type="dxa"/>
                </w:tblCellMar>
              </w:tblPrEx>
              <w:trPr>
                <w:trHeight w:val="515"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5536D489">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b/>
                      <w:snapToGrid w:val="0"/>
                      <w:color w:val="auto"/>
                      <w:kern w:val="0"/>
                      <w:sz w:val="24"/>
                      <w:szCs w:val="24"/>
                    </w:rPr>
                  </w:pPr>
                  <w:r>
                    <w:rPr>
                      <w:rFonts w:hint="eastAsia" w:ascii="宋体" w:hAnsi="宋体" w:eastAsia="宋体" w:cs="宋体"/>
                      <w:bCs/>
                      <w:snapToGrid w:val="0"/>
                      <w:color w:val="auto"/>
                      <w:kern w:val="0"/>
                      <w:sz w:val="24"/>
                      <w:szCs w:val="24"/>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3722F012">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8</w:t>
                  </w:r>
                </w:p>
              </w:tc>
              <w:tc>
                <w:tcPr>
                  <w:tcW w:w="830" w:type="dxa"/>
                  <w:tcBorders>
                    <w:top w:val="single" w:color="000000" w:sz="4" w:space="0"/>
                    <w:left w:val="single" w:color="000000" w:sz="4" w:space="0"/>
                    <w:bottom w:val="single" w:color="000000" w:sz="4" w:space="0"/>
                    <w:right w:val="single" w:color="000000" w:sz="4" w:space="0"/>
                  </w:tcBorders>
                  <w:vAlign w:val="center"/>
                </w:tcPr>
                <w:p w14:paraId="471A335A">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9</w:t>
                  </w:r>
                </w:p>
              </w:tc>
              <w:tc>
                <w:tcPr>
                  <w:tcW w:w="864" w:type="dxa"/>
                  <w:tcBorders>
                    <w:top w:val="single" w:color="000000" w:sz="4" w:space="0"/>
                    <w:left w:val="single" w:color="000000" w:sz="4" w:space="0"/>
                    <w:bottom w:val="single" w:color="000000" w:sz="4" w:space="0"/>
                    <w:right w:val="single" w:color="000000" w:sz="4" w:space="0"/>
                  </w:tcBorders>
                  <w:vAlign w:val="center"/>
                </w:tcPr>
                <w:p w14:paraId="1D7EEDC2">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10</w:t>
                  </w:r>
                </w:p>
              </w:tc>
              <w:tc>
                <w:tcPr>
                  <w:tcW w:w="848" w:type="dxa"/>
                  <w:tcBorders>
                    <w:top w:val="single" w:color="000000" w:sz="4" w:space="0"/>
                    <w:left w:val="single" w:color="000000" w:sz="4" w:space="0"/>
                    <w:bottom w:val="single" w:color="000000" w:sz="4" w:space="0"/>
                    <w:right w:val="single" w:color="000000" w:sz="4" w:space="0"/>
                  </w:tcBorders>
                  <w:vAlign w:val="center"/>
                </w:tcPr>
                <w:p w14:paraId="530D318F">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11</w:t>
                  </w:r>
                </w:p>
              </w:tc>
              <w:tc>
                <w:tcPr>
                  <w:tcW w:w="882" w:type="dxa"/>
                  <w:tcBorders>
                    <w:top w:val="single" w:color="000000" w:sz="4" w:space="0"/>
                    <w:left w:val="single" w:color="000000" w:sz="4" w:space="0"/>
                    <w:bottom w:val="single" w:color="000000" w:sz="4" w:space="0"/>
                    <w:right w:val="single" w:color="000000" w:sz="4" w:space="0"/>
                  </w:tcBorders>
                  <w:vAlign w:val="center"/>
                </w:tcPr>
                <w:p w14:paraId="00C97CF2">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12</w:t>
                  </w:r>
                </w:p>
              </w:tc>
              <w:tc>
                <w:tcPr>
                  <w:tcW w:w="829" w:type="dxa"/>
                  <w:tcBorders>
                    <w:top w:val="single" w:color="000000" w:sz="4" w:space="0"/>
                    <w:left w:val="single" w:color="000000" w:sz="4" w:space="0"/>
                    <w:bottom w:val="single" w:color="000000" w:sz="4" w:space="0"/>
                    <w:right w:val="single" w:color="000000" w:sz="4" w:space="0"/>
                  </w:tcBorders>
                  <w:vAlign w:val="center"/>
                </w:tcPr>
                <w:p w14:paraId="33BEEA0B">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13</w:t>
                  </w:r>
                </w:p>
              </w:tc>
              <w:tc>
                <w:tcPr>
                  <w:tcW w:w="819" w:type="dxa"/>
                  <w:tcBorders>
                    <w:top w:val="single" w:color="000000" w:sz="4" w:space="0"/>
                    <w:left w:val="single" w:color="000000" w:sz="4" w:space="0"/>
                    <w:bottom w:val="single" w:color="000000" w:sz="4" w:space="0"/>
                    <w:right w:val="single" w:color="000000" w:sz="4" w:space="0"/>
                  </w:tcBorders>
                  <w:vAlign w:val="center"/>
                </w:tcPr>
                <w:p w14:paraId="00626974">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14</w:t>
                  </w:r>
                </w:p>
              </w:tc>
            </w:tr>
            <w:tr w14:paraId="4547A747">
              <w:tblPrEx>
                <w:tblCellMar>
                  <w:top w:w="0" w:type="dxa"/>
                  <w:left w:w="108" w:type="dxa"/>
                  <w:bottom w:w="0" w:type="dxa"/>
                  <w:right w:w="108" w:type="dxa"/>
                </w:tblCellMar>
              </w:tblPrEx>
              <w:trPr>
                <w:trHeight w:val="515"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71EE082A">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04D166A6">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1.7</w:t>
                  </w:r>
                </w:p>
              </w:tc>
              <w:tc>
                <w:tcPr>
                  <w:tcW w:w="830" w:type="dxa"/>
                  <w:tcBorders>
                    <w:top w:val="single" w:color="000000" w:sz="4" w:space="0"/>
                    <w:left w:val="single" w:color="000000" w:sz="4" w:space="0"/>
                    <w:bottom w:val="single" w:color="000000" w:sz="4" w:space="0"/>
                    <w:right w:val="single" w:color="000000" w:sz="4" w:space="0"/>
                  </w:tcBorders>
                  <w:vAlign w:val="center"/>
                </w:tcPr>
                <w:p w14:paraId="4BFD1C54">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1.8</w:t>
                  </w:r>
                </w:p>
              </w:tc>
              <w:tc>
                <w:tcPr>
                  <w:tcW w:w="864" w:type="dxa"/>
                  <w:tcBorders>
                    <w:top w:val="single" w:color="000000" w:sz="4" w:space="0"/>
                    <w:left w:val="single" w:color="000000" w:sz="4" w:space="0"/>
                    <w:bottom w:val="single" w:color="000000" w:sz="4" w:space="0"/>
                    <w:right w:val="single" w:color="000000" w:sz="4" w:space="0"/>
                  </w:tcBorders>
                  <w:vAlign w:val="center"/>
                </w:tcPr>
                <w:p w14:paraId="5B40A026">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1.9</w:t>
                  </w:r>
                </w:p>
              </w:tc>
              <w:tc>
                <w:tcPr>
                  <w:tcW w:w="848" w:type="dxa"/>
                  <w:tcBorders>
                    <w:top w:val="single" w:color="000000" w:sz="4" w:space="0"/>
                    <w:left w:val="single" w:color="000000" w:sz="4" w:space="0"/>
                    <w:bottom w:val="single" w:color="000000" w:sz="4" w:space="0"/>
                    <w:right w:val="single" w:color="000000" w:sz="4" w:space="0"/>
                  </w:tcBorders>
                  <w:vAlign w:val="center"/>
                </w:tcPr>
                <w:p w14:paraId="147FC3D2">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2.0</w:t>
                  </w:r>
                </w:p>
              </w:tc>
              <w:tc>
                <w:tcPr>
                  <w:tcW w:w="882" w:type="dxa"/>
                  <w:tcBorders>
                    <w:top w:val="single" w:color="000000" w:sz="4" w:space="0"/>
                    <w:left w:val="single" w:color="000000" w:sz="4" w:space="0"/>
                    <w:bottom w:val="single" w:color="000000" w:sz="4" w:space="0"/>
                    <w:right w:val="single" w:color="000000" w:sz="4" w:space="0"/>
                  </w:tcBorders>
                  <w:vAlign w:val="center"/>
                </w:tcPr>
                <w:p w14:paraId="6B36024B">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2.1</w:t>
                  </w:r>
                </w:p>
              </w:tc>
              <w:tc>
                <w:tcPr>
                  <w:tcW w:w="829" w:type="dxa"/>
                  <w:tcBorders>
                    <w:top w:val="single" w:color="000000" w:sz="4" w:space="0"/>
                    <w:left w:val="single" w:color="000000" w:sz="4" w:space="0"/>
                    <w:bottom w:val="single" w:color="000000" w:sz="4" w:space="0"/>
                    <w:right w:val="single" w:color="000000" w:sz="4" w:space="0"/>
                  </w:tcBorders>
                  <w:vAlign w:val="center"/>
                </w:tcPr>
                <w:p w14:paraId="07BAE1CD">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2.2</w:t>
                  </w:r>
                </w:p>
              </w:tc>
              <w:tc>
                <w:tcPr>
                  <w:tcW w:w="819" w:type="dxa"/>
                  <w:tcBorders>
                    <w:top w:val="single" w:color="000000" w:sz="4" w:space="0"/>
                    <w:left w:val="single" w:color="000000" w:sz="4" w:space="0"/>
                    <w:bottom w:val="single" w:color="000000" w:sz="4" w:space="0"/>
                    <w:right w:val="single" w:color="000000" w:sz="4" w:space="0"/>
                  </w:tcBorders>
                  <w:vAlign w:val="center"/>
                </w:tcPr>
                <w:p w14:paraId="73D30A8D">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2.3</w:t>
                  </w:r>
                </w:p>
              </w:tc>
            </w:tr>
            <w:tr w14:paraId="71D73A2E">
              <w:tblPrEx>
                <w:tblCellMar>
                  <w:top w:w="0" w:type="dxa"/>
                  <w:left w:w="108" w:type="dxa"/>
                  <w:bottom w:w="0" w:type="dxa"/>
                  <w:right w:w="108" w:type="dxa"/>
                </w:tblCellMar>
              </w:tblPrEx>
              <w:trPr>
                <w:trHeight w:val="470"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335209A5">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b/>
                      <w:snapToGrid w:val="0"/>
                      <w:color w:val="auto"/>
                      <w:kern w:val="0"/>
                      <w:sz w:val="24"/>
                      <w:szCs w:val="24"/>
                    </w:rPr>
                  </w:pPr>
                  <w:r>
                    <w:rPr>
                      <w:rFonts w:hint="eastAsia" w:ascii="宋体" w:hAnsi="宋体" w:eastAsia="宋体" w:cs="宋体"/>
                      <w:bCs/>
                      <w:snapToGrid w:val="0"/>
                      <w:color w:val="auto"/>
                      <w:kern w:val="0"/>
                      <w:sz w:val="24"/>
                      <w:szCs w:val="24"/>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635216F6">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15</w:t>
                  </w:r>
                </w:p>
              </w:tc>
              <w:tc>
                <w:tcPr>
                  <w:tcW w:w="830" w:type="dxa"/>
                  <w:tcBorders>
                    <w:top w:val="single" w:color="000000" w:sz="4" w:space="0"/>
                    <w:left w:val="single" w:color="000000" w:sz="4" w:space="0"/>
                    <w:bottom w:val="single" w:color="000000" w:sz="4" w:space="0"/>
                    <w:right w:val="single" w:color="000000" w:sz="4" w:space="0"/>
                  </w:tcBorders>
                  <w:vAlign w:val="center"/>
                </w:tcPr>
                <w:p w14:paraId="142E09A2">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16</w:t>
                  </w:r>
                </w:p>
              </w:tc>
              <w:tc>
                <w:tcPr>
                  <w:tcW w:w="864" w:type="dxa"/>
                  <w:tcBorders>
                    <w:top w:val="single" w:color="000000" w:sz="4" w:space="0"/>
                    <w:left w:val="single" w:color="000000" w:sz="4" w:space="0"/>
                    <w:bottom w:val="single" w:color="000000" w:sz="4" w:space="0"/>
                    <w:right w:val="single" w:color="000000" w:sz="4" w:space="0"/>
                  </w:tcBorders>
                  <w:vAlign w:val="center"/>
                </w:tcPr>
                <w:p w14:paraId="0E1E685E">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17</w:t>
                  </w:r>
                </w:p>
              </w:tc>
              <w:tc>
                <w:tcPr>
                  <w:tcW w:w="848" w:type="dxa"/>
                  <w:tcBorders>
                    <w:top w:val="single" w:color="000000" w:sz="4" w:space="0"/>
                    <w:left w:val="single" w:color="000000" w:sz="4" w:space="0"/>
                    <w:bottom w:val="single" w:color="000000" w:sz="4" w:space="0"/>
                    <w:right w:val="single" w:color="000000" w:sz="4" w:space="0"/>
                  </w:tcBorders>
                  <w:vAlign w:val="center"/>
                </w:tcPr>
                <w:p w14:paraId="0C86F937">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18</w:t>
                  </w:r>
                </w:p>
              </w:tc>
              <w:tc>
                <w:tcPr>
                  <w:tcW w:w="882" w:type="dxa"/>
                  <w:tcBorders>
                    <w:top w:val="single" w:color="000000" w:sz="4" w:space="0"/>
                    <w:left w:val="single" w:color="000000" w:sz="4" w:space="0"/>
                    <w:bottom w:val="single" w:color="000000" w:sz="4" w:space="0"/>
                    <w:right w:val="single" w:color="000000" w:sz="4" w:space="0"/>
                  </w:tcBorders>
                  <w:vAlign w:val="center"/>
                </w:tcPr>
                <w:p w14:paraId="50AD250B">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19</w:t>
                  </w:r>
                </w:p>
              </w:tc>
              <w:tc>
                <w:tcPr>
                  <w:tcW w:w="829" w:type="dxa"/>
                  <w:tcBorders>
                    <w:top w:val="single" w:color="000000" w:sz="4" w:space="0"/>
                    <w:left w:val="single" w:color="000000" w:sz="4" w:space="0"/>
                    <w:bottom w:val="single" w:color="000000" w:sz="4" w:space="0"/>
                    <w:right w:val="single" w:color="000000" w:sz="4" w:space="0"/>
                  </w:tcBorders>
                  <w:vAlign w:val="center"/>
                </w:tcPr>
                <w:p w14:paraId="49886A84">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20</w:t>
                  </w:r>
                </w:p>
              </w:tc>
              <w:tc>
                <w:tcPr>
                  <w:tcW w:w="819" w:type="dxa"/>
                  <w:tcBorders>
                    <w:top w:val="single" w:color="000000" w:sz="4" w:space="0"/>
                    <w:left w:val="single" w:color="000000" w:sz="4" w:space="0"/>
                    <w:bottom w:val="single" w:color="000000" w:sz="4" w:space="0"/>
                    <w:right w:val="single" w:color="000000" w:sz="4" w:space="0"/>
                  </w:tcBorders>
                  <w:vAlign w:val="center"/>
                </w:tcPr>
                <w:p w14:paraId="5E09FA4C">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21</w:t>
                  </w:r>
                </w:p>
              </w:tc>
            </w:tr>
            <w:tr w14:paraId="792B9D54">
              <w:tblPrEx>
                <w:tblCellMar>
                  <w:top w:w="0" w:type="dxa"/>
                  <w:left w:w="108" w:type="dxa"/>
                  <w:bottom w:w="0" w:type="dxa"/>
                  <w:right w:w="108" w:type="dxa"/>
                </w:tblCellMar>
              </w:tblPrEx>
              <w:trPr>
                <w:trHeight w:val="600" w:hRule="atLeast"/>
                <w:jc w:val="center"/>
              </w:trPr>
              <w:tc>
                <w:tcPr>
                  <w:tcW w:w="1949" w:type="dxa"/>
                  <w:tcBorders>
                    <w:top w:val="single" w:color="000000" w:sz="4" w:space="0"/>
                    <w:left w:val="single" w:color="000000" w:sz="4" w:space="0"/>
                    <w:bottom w:val="single" w:color="000000" w:sz="4" w:space="0"/>
                    <w:right w:val="single" w:color="000000" w:sz="4" w:space="0"/>
                  </w:tcBorders>
                  <w:vAlign w:val="center"/>
                </w:tcPr>
                <w:p w14:paraId="78997BCC">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75A918BF">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2.4</w:t>
                  </w:r>
                </w:p>
              </w:tc>
              <w:tc>
                <w:tcPr>
                  <w:tcW w:w="830" w:type="dxa"/>
                  <w:tcBorders>
                    <w:top w:val="single" w:color="000000" w:sz="4" w:space="0"/>
                    <w:left w:val="single" w:color="000000" w:sz="4" w:space="0"/>
                    <w:bottom w:val="single" w:color="000000" w:sz="4" w:space="0"/>
                    <w:right w:val="single" w:color="000000" w:sz="4" w:space="0"/>
                  </w:tcBorders>
                  <w:vAlign w:val="center"/>
                </w:tcPr>
                <w:p w14:paraId="4A1DAABD">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2.5</w:t>
                  </w:r>
                </w:p>
              </w:tc>
              <w:tc>
                <w:tcPr>
                  <w:tcW w:w="864" w:type="dxa"/>
                  <w:tcBorders>
                    <w:top w:val="single" w:color="000000" w:sz="4" w:space="0"/>
                    <w:left w:val="single" w:color="000000" w:sz="4" w:space="0"/>
                    <w:bottom w:val="single" w:color="000000" w:sz="4" w:space="0"/>
                    <w:right w:val="single" w:color="000000" w:sz="4" w:space="0"/>
                  </w:tcBorders>
                  <w:vAlign w:val="center"/>
                </w:tcPr>
                <w:p w14:paraId="65AE68DD">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2.6</w:t>
                  </w:r>
                </w:p>
              </w:tc>
              <w:tc>
                <w:tcPr>
                  <w:tcW w:w="848" w:type="dxa"/>
                  <w:tcBorders>
                    <w:top w:val="single" w:color="000000" w:sz="4" w:space="0"/>
                    <w:left w:val="single" w:color="000000" w:sz="4" w:space="0"/>
                    <w:bottom w:val="single" w:color="000000" w:sz="4" w:space="0"/>
                    <w:right w:val="single" w:color="000000" w:sz="4" w:space="0"/>
                  </w:tcBorders>
                  <w:vAlign w:val="center"/>
                </w:tcPr>
                <w:p w14:paraId="0FF11C22">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2.7</w:t>
                  </w:r>
                </w:p>
              </w:tc>
              <w:tc>
                <w:tcPr>
                  <w:tcW w:w="882" w:type="dxa"/>
                  <w:tcBorders>
                    <w:top w:val="single" w:color="000000" w:sz="4" w:space="0"/>
                    <w:left w:val="single" w:color="000000" w:sz="4" w:space="0"/>
                    <w:bottom w:val="single" w:color="000000" w:sz="4" w:space="0"/>
                    <w:right w:val="single" w:color="000000" w:sz="4" w:space="0"/>
                  </w:tcBorders>
                  <w:vAlign w:val="center"/>
                </w:tcPr>
                <w:p w14:paraId="5B044708">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2.8</w:t>
                  </w:r>
                </w:p>
              </w:tc>
              <w:tc>
                <w:tcPr>
                  <w:tcW w:w="829" w:type="dxa"/>
                  <w:tcBorders>
                    <w:top w:val="single" w:color="000000" w:sz="4" w:space="0"/>
                    <w:left w:val="single" w:color="000000" w:sz="4" w:space="0"/>
                    <w:bottom w:val="single" w:color="000000" w:sz="4" w:space="0"/>
                    <w:right w:val="single" w:color="000000" w:sz="4" w:space="0"/>
                  </w:tcBorders>
                  <w:vAlign w:val="center"/>
                </w:tcPr>
                <w:p w14:paraId="543F4C0A">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2.9</w:t>
                  </w:r>
                </w:p>
              </w:tc>
              <w:tc>
                <w:tcPr>
                  <w:tcW w:w="819" w:type="dxa"/>
                  <w:tcBorders>
                    <w:top w:val="single" w:color="000000" w:sz="4" w:space="0"/>
                    <w:left w:val="single" w:color="000000" w:sz="4" w:space="0"/>
                    <w:bottom w:val="single" w:color="000000" w:sz="4" w:space="0"/>
                    <w:right w:val="single" w:color="000000" w:sz="4" w:space="0"/>
                  </w:tcBorders>
                  <w:vAlign w:val="center"/>
                </w:tcPr>
                <w:p w14:paraId="50D535DE">
                  <w:pPr>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rPr>
                  </w:pPr>
                  <w:r>
                    <w:rPr>
                      <w:rFonts w:hint="eastAsia" w:ascii="宋体" w:hAnsi="宋体" w:eastAsia="宋体" w:cs="宋体"/>
                      <w:snapToGrid w:val="0"/>
                      <w:color w:val="auto"/>
                      <w:kern w:val="0"/>
                      <w:sz w:val="24"/>
                      <w:szCs w:val="24"/>
                    </w:rPr>
                    <w:t>3.0</w:t>
                  </w:r>
                </w:p>
              </w:tc>
            </w:tr>
          </w:tbl>
          <w:p w14:paraId="6F6597A9">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rPr>
              <w:t>（2）评标基准价D＝</w:t>
            </w:r>
            <w:r>
              <w:rPr>
                <w:rFonts w:hint="eastAsia" w:ascii="宋体" w:hAnsi="宋体" w:eastAsia="宋体" w:cs="宋体"/>
                <w:snapToGrid w:val="0"/>
                <w:color w:val="auto"/>
                <w:kern w:val="0"/>
                <w:sz w:val="24"/>
                <w:szCs w:val="24"/>
                <w:lang w:eastAsia="zh-CN"/>
              </w:rPr>
              <w:t>最高投标限价</w:t>
            </w:r>
            <w:r>
              <w:rPr>
                <w:rFonts w:hint="eastAsia" w:ascii="宋体" w:hAnsi="宋体" w:eastAsia="宋体" w:cs="宋体"/>
                <w:snapToGrid w:val="0"/>
                <w:color w:val="auto"/>
                <w:kern w:val="0"/>
                <w:sz w:val="24"/>
                <w:szCs w:val="24"/>
              </w:rPr>
              <w:t>×（1－n）</w:t>
            </w:r>
          </w:p>
        </w:tc>
      </w:tr>
      <w:tr w14:paraId="3318ED63">
        <w:tblPrEx>
          <w:tblCellMar>
            <w:top w:w="0" w:type="dxa"/>
            <w:left w:w="108" w:type="dxa"/>
            <w:bottom w:w="0" w:type="dxa"/>
            <w:right w:w="108" w:type="dxa"/>
          </w:tblCellMar>
        </w:tblPrEx>
        <w:trPr>
          <w:trHeight w:val="23" w:hRule="atLeast"/>
          <w:jc w:val="center"/>
        </w:trPr>
        <w:tc>
          <w:tcPr>
            <w:tcW w:w="1493" w:type="dxa"/>
            <w:tcBorders>
              <w:top w:val="single" w:color="auto" w:sz="4" w:space="0"/>
              <w:left w:val="single" w:color="auto" w:sz="4" w:space="0"/>
              <w:bottom w:val="single" w:color="auto" w:sz="4" w:space="0"/>
              <w:right w:val="single" w:color="auto" w:sz="4" w:space="0"/>
            </w:tcBorders>
            <w:noWrap w:val="0"/>
            <w:vAlign w:val="center"/>
          </w:tcPr>
          <w:p w14:paraId="4238D6E6">
            <w:pPr>
              <w:pStyle w:val="68"/>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投标报价</w:t>
            </w:r>
          </w:p>
          <w:p w14:paraId="121EC598">
            <w:pPr>
              <w:pStyle w:val="68"/>
              <w:keepNext w:val="0"/>
              <w:keepLines w:val="0"/>
              <w:pageBreakBefore w:val="0"/>
              <w:widowControl w:val="0"/>
              <w:kinsoku/>
              <w:wordWrap w:val="0"/>
              <w:overflowPunct/>
              <w:topLinePunct w:val="0"/>
              <w:autoSpaceDE/>
              <w:autoSpaceDN/>
              <w:bidi w:val="0"/>
              <w:adjustRightInd w:val="0"/>
              <w:snapToGrid w:val="0"/>
              <w:spacing w:line="336" w:lineRule="auto"/>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得分N</w:t>
            </w:r>
          </w:p>
        </w:tc>
        <w:tc>
          <w:tcPr>
            <w:tcW w:w="9360" w:type="dxa"/>
            <w:gridSpan w:val="3"/>
            <w:tcBorders>
              <w:top w:val="single" w:color="auto" w:sz="4" w:space="0"/>
              <w:left w:val="single" w:color="auto" w:sz="4" w:space="0"/>
              <w:bottom w:val="single" w:color="auto" w:sz="4" w:space="0"/>
              <w:right w:val="single" w:color="auto" w:sz="4" w:space="0"/>
            </w:tcBorders>
            <w:noWrap w:val="0"/>
            <w:vAlign w:val="center"/>
          </w:tcPr>
          <w:p w14:paraId="7CFF6B52">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w:t>
            </w:r>
            <w:r>
              <w:rPr>
                <w:rFonts w:hint="eastAsia" w:ascii="宋体" w:hAnsi="宋体" w:eastAsia="宋体" w:cs="宋体"/>
                <w:snapToGrid w:val="0"/>
                <w:color w:val="auto"/>
                <w:kern w:val="0"/>
                <w:sz w:val="24"/>
                <w:szCs w:val="24"/>
                <w:highlight w:val="none"/>
                <w:lang w:val="en-US" w:eastAsia="zh-CN"/>
              </w:rPr>
              <w:t>100</w:t>
            </w:r>
            <w:r>
              <w:rPr>
                <w:rFonts w:hint="eastAsia" w:ascii="宋体" w:hAnsi="宋体" w:eastAsia="宋体" w:cs="宋体"/>
                <w:snapToGrid w:val="0"/>
                <w:color w:val="auto"/>
                <w:kern w:val="0"/>
                <w:sz w:val="24"/>
                <w:szCs w:val="24"/>
                <w:highlight w:val="none"/>
              </w:rPr>
              <w:t>分，每高于评标基准价一个百分点扣</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分, 每低于评标基准价一个百分点扣</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分，扣完为止。公式如下：</w:t>
            </w:r>
          </w:p>
          <w:p w14:paraId="41EA87FA">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0－（| Di－D | ÷D）×100×E</w:t>
            </w:r>
          </w:p>
          <w:p w14:paraId="21FF5C85">
            <w:pPr>
              <w:keepNext w:val="0"/>
              <w:keepLines w:val="0"/>
              <w:pageBreakBefore w:val="0"/>
              <w:widowControl w:val="0"/>
              <w:kinsoku/>
              <w:wordWrap w:val="0"/>
              <w:overflowPunct/>
              <w:topLinePunct w:val="0"/>
              <w:autoSpaceDE/>
              <w:autoSpaceDN/>
              <w:bidi w:val="0"/>
              <w:adjustRightInd w:val="0"/>
              <w:snapToGrid w:val="0"/>
              <w:spacing w:line="336" w:lineRule="auto"/>
              <w:ind w:firstLine="480" w:firstLineChars="200"/>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；当Di＜D时，E＝</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p>
        </w:tc>
      </w:tr>
    </w:tbl>
    <w:p w14:paraId="51801D79">
      <w:pPr>
        <w:keepNext w:val="0"/>
        <w:keepLines w:val="0"/>
        <w:pageBreakBefore w:val="0"/>
        <w:widowControl w:val="0"/>
        <w:kinsoku/>
        <w:wordWrap w:val="0"/>
        <w:overflowPunct/>
        <w:topLinePunct w:val="0"/>
        <w:autoSpaceDE/>
        <w:autoSpaceDN/>
        <w:bidi w:val="0"/>
        <w:adjustRightInd w:val="0"/>
        <w:snapToGrid w:val="0"/>
        <w:spacing w:line="336" w:lineRule="auto"/>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 xml:space="preserve">15.5.2 </w:t>
      </w:r>
      <w:r>
        <w:rPr>
          <w:rFonts w:hint="eastAsia" w:ascii="宋体" w:hAnsi="宋体" w:eastAsia="宋体" w:cs="宋体"/>
          <w:snapToGrid w:val="0"/>
          <w:color w:val="auto"/>
          <w:kern w:val="0"/>
          <w:highlight w:val="none"/>
        </w:rPr>
        <w:t>否决投标说明</w:t>
      </w:r>
    </w:p>
    <w:p w14:paraId="5F21881B">
      <w:pPr>
        <w:keepNext w:val="0"/>
        <w:keepLines w:val="0"/>
        <w:pageBreakBefore w:val="0"/>
        <w:kinsoku/>
        <w:wordWrap w:val="0"/>
        <w:overflowPunct/>
        <w:topLinePunct w:val="0"/>
        <w:autoSpaceDE/>
        <w:autoSpaceDN/>
        <w:bidi w:val="0"/>
        <w:adjustRightInd w:val="0"/>
        <w:snapToGrid w:val="0"/>
        <w:spacing w:line="336"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详细评审阶段否决投标的全部条件，在本章第四节“否决投标条件”第</w:t>
      </w:r>
      <w:r>
        <w:rPr>
          <w:rFonts w:hint="eastAsia" w:ascii="宋体" w:hAnsi="宋体" w:eastAsia="宋体" w:cs="宋体"/>
          <w:b/>
          <w:bCs/>
          <w:snapToGrid w:val="0"/>
          <w:color w:val="auto"/>
          <w:kern w:val="0"/>
          <w:highlight w:val="none"/>
        </w:rPr>
        <w:t>4</w:t>
      </w:r>
      <w:r>
        <w:rPr>
          <w:rFonts w:hint="eastAsia" w:ascii="宋体" w:hAnsi="宋体" w:eastAsia="宋体" w:cs="宋体"/>
          <w:snapToGrid w:val="0"/>
          <w:color w:val="auto"/>
          <w:kern w:val="0"/>
          <w:highlight w:val="none"/>
        </w:rPr>
        <w:t>条中集中列示。投标人有其中所列任何一种情形的，由评标委员会否决其投标。</w:t>
      </w:r>
      <w:r>
        <w:rPr>
          <w:rFonts w:hint="eastAsia" w:ascii="宋体" w:hAnsi="宋体" w:eastAsia="宋体" w:cs="宋体"/>
          <w:snapToGrid w:val="0"/>
          <w:color w:val="auto"/>
          <w:kern w:val="0"/>
          <w:highlight w:val="none"/>
          <w:lang w:val="en-US" w:eastAsia="zh-CN"/>
        </w:rPr>
        <w:t>评标委员会经评审，认为所有投标都不符合招标文件要求的，可否决所有投标，项目的所有投标被否决的，招标人应依法重新组织招标。</w:t>
      </w:r>
    </w:p>
    <w:p w14:paraId="20D7B7CF">
      <w:pPr>
        <w:keepNext w:val="0"/>
        <w:keepLines w:val="0"/>
        <w:pageBreakBefore w:val="0"/>
        <w:kinsoku/>
        <w:wordWrap w:val="0"/>
        <w:overflowPunct/>
        <w:topLinePunct w:val="0"/>
        <w:autoSpaceDE/>
        <w:autoSpaceDN/>
        <w:bidi w:val="0"/>
        <w:adjustRightInd w:val="0"/>
        <w:snapToGrid w:val="0"/>
        <w:spacing w:line="336" w:lineRule="auto"/>
        <w:ind w:firstLine="482" w:firstLineChars="200"/>
        <w:textAlignment w:val="auto"/>
        <w:rPr>
          <w:rFonts w:hint="eastAsia" w:ascii="宋体" w:hAnsi="宋体" w:eastAsia="宋体" w:cs="宋体"/>
          <w:b/>
          <w:snapToGrid w:val="0"/>
          <w:color w:val="auto"/>
          <w:kern w:val="0"/>
          <w:highlight w:val="none"/>
        </w:rPr>
      </w:pPr>
      <w:r>
        <w:rPr>
          <w:rFonts w:hint="eastAsia" w:ascii="宋体" w:hAnsi="宋体" w:eastAsia="宋体" w:cs="宋体"/>
          <w:b/>
          <w:bCs/>
          <w:snapToGrid w:val="0"/>
          <w:color w:val="auto"/>
          <w:kern w:val="0"/>
          <w:highlight w:val="none"/>
        </w:rPr>
        <w:t>注：投标人在详细评审阶段根据评分方法提供的佐证材料，其合法性、有效性和准确性不符合要求的，有关量化因素（或评分因素）的折算、调整（或评分）按相应量化标准（或评分标准）处理，但不否决投标。</w:t>
      </w:r>
    </w:p>
    <w:p w14:paraId="0FA5A99F">
      <w:pPr>
        <w:keepNext w:val="0"/>
        <w:keepLines w:val="0"/>
        <w:pageBreakBefore w:val="0"/>
        <w:widowControl w:val="0"/>
        <w:kinsoku/>
        <w:wordWrap/>
        <w:overflowPunct/>
        <w:topLinePunct w:val="0"/>
        <w:autoSpaceDE/>
        <w:autoSpaceDN/>
        <w:bidi w:val="0"/>
        <w:adjustRightInd/>
        <w:snapToGrid/>
        <w:spacing w:line="336" w:lineRule="auto"/>
        <w:ind w:firstLine="482" w:firstLineChars="200"/>
        <w:textAlignment w:val="auto"/>
        <w:outlineLvl w:val="1"/>
        <w:rPr>
          <w:rStyle w:val="156"/>
          <w:rFonts w:hint="eastAsia" w:ascii="宋体" w:hAnsi="宋体" w:eastAsia="宋体" w:cs="宋体"/>
          <w:color w:val="auto"/>
          <w:lang w:val="en-US" w:eastAsia="zh-CN"/>
        </w:rPr>
      </w:pPr>
      <w:bookmarkStart w:id="137" w:name="_Toc2839"/>
      <w:r>
        <w:rPr>
          <w:rStyle w:val="156"/>
          <w:rFonts w:hint="eastAsia" w:ascii="宋体" w:hAnsi="宋体" w:eastAsia="宋体" w:cs="宋体"/>
          <w:color w:val="auto"/>
          <w:lang w:val="en-US" w:eastAsia="zh-CN"/>
        </w:rPr>
        <w:t>16．中标候选人公示</w:t>
      </w:r>
      <w:bookmarkEnd w:id="137"/>
    </w:p>
    <w:p w14:paraId="6C424E97">
      <w:pPr>
        <w:keepNext w:val="0"/>
        <w:keepLines w:val="0"/>
        <w:pageBreakBefore w:val="0"/>
        <w:kinsoku/>
        <w:wordWrap w:val="0"/>
        <w:overflowPunct/>
        <w:topLinePunct w:val="0"/>
        <w:autoSpaceDE/>
        <w:autoSpaceDN/>
        <w:bidi w:val="0"/>
        <w:adjustRightInd w:val="0"/>
        <w:snapToGrid w:val="0"/>
        <w:spacing w:line="336" w:lineRule="auto"/>
        <w:ind w:firstLine="482"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highlight w:val="none"/>
        </w:rPr>
        <w:t>16.1</w:t>
      </w:r>
      <w:r>
        <w:rPr>
          <w:rFonts w:hint="eastAsia" w:ascii="宋体" w:hAnsi="宋体" w:eastAsia="宋体" w:cs="宋体"/>
          <w:snapToGrid w:val="0"/>
          <w:color w:val="auto"/>
          <w:kern w:val="0"/>
          <w:highlight w:val="none"/>
        </w:rPr>
        <w:t xml:space="preserve"> 招标人自收到评标委员会提交的书面评标报告和中标候选人名单之日起3日内，将评标结果（即中标候选人名单）、中标候选人投标文件（指商务标书分册）、评标过程（评标专家姓名用代码标记）一并在广东省招标投标监管网（</w:t>
      </w:r>
      <w:r>
        <w:rPr>
          <w:rFonts w:hint="eastAsia" w:ascii="宋体" w:hAnsi="宋体" w:eastAsia="宋体" w:cs="宋体"/>
          <w:snapToGrid w:val="0"/>
          <w:color w:val="auto"/>
          <w:kern w:val="0"/>
          <w:highlight w:val="none"/>
          <w:lang w:eastAsia="zh-CN"/>
        </w:rPr>
        <w:t>https://www.gdzwfw.gov.cn/ztbjg-portal/#/index</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rPr>
        <w:t>全国公共资源交易平台（广东省·韶关市）（https://ygp.gdzwfw.gov.cn/ggzy-portal/#/440200/index）进行公示，公示期不得少于3天。</w:t>
      </w:r>
    </w:p>
    <w:p w14:paraId="5CC34B69">
      <w:pPr>
        <w:keepNext w:val="0"/>
        <w:keepLines w:val="0"/>
        <w:pageBreakBefore w:val="0"/>
        <w:widowControl/>
        <w:suppressLineNumbers w:val="0"/>
        <w:kinsoku/>
        <w:wordWrap/>
        <w:overflowPunct/>
        <w:topLinePunct w:val="0"/>
        <w:autoSpaceDE/>
        <w:autoSpaceDN/>
        <w:bidi w:val="0"/>
        <w:adjustRightInd/>
        <w:snapToGrid/>
        <w:spacing w:line="336" w:lineRule="auto"/>
        <w:ind w:firstLine="482" w:firstLineChars="200"/>
        <w:jc w:val="left"/>
        <w:textAlignment w:val="auto"/>
        <w:rPr>
          <w:rFonts w:hint="eastAsia" w:ascii="宋体" w:hAnsi="宋体" w:eastAsia="宋体" w:cs="宋体"/>
          <w:color w:val="auto"/>
        </w:rPr>
      </w:pPr>
      <w:r>
        <w:rPr>
          <w:rFonts w:hint="eastAsia" w:ascii="宋体" w:hAnsi="宋体" w:eastAsia="宋体" w:cs="宋体"/>
          <w:b/>
          <w:bCs/>
          <w:snapToGrid w:val="0"/>
          <w:color w:val="auto"/>
          <w:kern w:val="0"/>
          <w:highlight w:val="none"/>
        </w:rPr>
        <w:t>16.3</w:t>
      </w:r>
      <w:r>
        <w:rPr>
          <w:rFonts w:hint="eastAsia" w:ascii="宋体" w:hAnsi="宋体" w:eastAsia="宋体" w:cs="宋体"/>
          <w:snapToGrid w:val="0"/>
          <w:color w:val="auto"/>
          <w:kern w:val="0"/>
          <w:highlight w:val="none"/>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号）执行。</w:t>
      </w:r>
      <w:r>
        <w:rPr>
          <w:rFonts w:hint="eastAsia" w:ascii="宋体" w:hAnsi="宋体" w:eastAsia="宋体" w:cs="宋体"/>
          <w:color w:val="auto"/>
          <w:kern w:val="0"/>
          <w:sz w:val="24"/>
          <w:szCs w:val="24"/>
          <w:lang w:val="en-US" w:eastAsia="zh-CN" w:bidi="ar"/>
        </w:rPr>
        <w:t>如通过交易服务平台提出异议，投标人必须上传提交异议书扫描件（作为附件），异议书格式内容按照</w:t>
      </w:r>
      <w:r>
        <w:rPr>
          <w:rFonts w:hint="eastAsia" w:ascii="宋体" w:hAnsi="宋体" w:eastAsia="宋体" w:cs="宋体"/>
          <w:snapToGrid w:val="0"/>
          <w:color w:val="auto"/>
          <w:kern w:val="0"/>
          <w:highlight w:val="none"/>
        </w:rPr>
        <w:t>《韶关市工程建设项目招标投标活动异议和投诉处理办法》（韶发改〔2021〕44号）</w:t>
      </w:r>
      <w:r>
        <w:rPr>
          <w:rFonts w:hint="eastAsia" w:ascii="宋体" w:hAnsi="宋体" w:eastAsia="宋体" w:cs="宋体"/>
          <w:color w:val="auto"/>
          <w:kern w:val="0"/>
          <w:sz w:val="24"/>
          <w:szCs w:val="24"/>
          <w:lang w:val="en-US" w:eastAsia="zh-CN" w:bidi="ar"/>
        </w:rPr>
        <w:t>，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3613602E">
      <w:pPr>
        <w:keepNext w:val="0"/>
        <w:keepLines w:val="0"/>
        <w:pageBreakBefore w:val="0"/>
        <w:kinsoku/>
        <w:wordWrap w:val="0"/>
        <w:overflowPunct/>
        <w:topLinePunct w:val="0"/>
        <w:autoSpaceDE/>
        <w:autoSpaceDN/>
        <w:bidi w:val="0"/>
        <w:adjustRightInd w:val="0"/>
        <w:snapToGrid w:val="0"/>
        <w:spacing w:line="336" w:lineRule="auto"/>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16.4</w:t>
      </w:r>
      <w:r>
        <w:rPr>
          <w:rFonts w:hint="eastAsia" w:ascii="宋体" w:hAnsi="宋体" w:eastAsia="宋体" w:cs="宋体"/>
          <w:snapToGrid w:val="0"/>
          <w:color w:val="auto"/>
          <w:kern w:val="0"/>
          <w:highlight w:val="none"/>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619B9F5F">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0696D3F1">
      <w:pPr>
        <w:wordWrap w:val="0"/>
        <w:adjustRightInd w:val="0"/>
        <w:snapToGrid w:val="0"/>
        <w:spacing w:line="360" w:lineRule="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第四节 否决投标条件</w:t>
      </w:r>
    </w:p>
    <w:p w14:paraId="3944C43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highlight w:val="none"/>
        </w:rPr>
        <w:t>投标人未有列入本节情形的，评标时一律不得否决其投标。</w:t>
      </w:r>
      <w:r>
        <w:rPr>
          <w:rFonts w:hint="eastAsia" w:ascii="宋体" w:hAnsi="宋体" w:eastAsia="宋体" w:cs="宋体"/>
          <w:snapToGrid w:val="0"/>
          <w:color w:val="auto"/>
          <w:kern w:val="0"/>
          <w:highlight w:val="none"/>
        </w:rPr>
        <w:t>本节所称“规定”均指招标文件的规定。</w:t>
      </w:r>
    </w:p>
    <w:p w14:paraId="75F752C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Style w:val="156"/>
          <w:rFonts w:hint="eastAsia" w:ascii="宋体" w:hAnsi="宋体" w:eastAsia="宋体" w:cs="宋体"/>
          <w:color w:val="auto"/>
          <w:lang w:val="en-US" w:eastAsia="zh-CN"/>
        </w:rPr>
      </w:pPr>
      <w:bookmarkStart w:id="138" w:name="_Toc18351"/>
      <w:bookmarkStart w:id="139" w:name="_Toc25780"/>
      <w:bookmarkStart w:id="140" w:name="_Toc867"/>
      <w:bookmarkStart w:id="141" w:name="_Toc18979"/>
      <w:bookmarkStart w:id="142" w:name="_Toc28628"/>
      <w:r>
        <w:rPr>
          <w:rStyle w:val="156"/>
          <w:rFonts w:hint="eastAsia" w:ascii="宋体" w:hAnsi="宋体" w:eastAsia="宋体" w:cs="宋体"/>
          <w:color w:val="auto"/>
          <w:lang w:val="en-US" w:eastAsia="zh-CN"/>
        </w:rPr>
        <w:t>1．资格评审环节</w:t>
      </w:r>
      <w:bookmarkEnd w:id="138"/>
      <w:bookmarkEnd w:id="139"/>
      <w:bookmarkEnd w:id="140"/>
      <w:bookmarkEnd w:id="141"/>
      <w:bookmarkEnd w:id="142"/>
    </w:p>
    <w:p w14:paraId="6AA929FD">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投标人有下列情形之一的，评标委员会应否决其投标。被否决的投标人，不进入形式评审环节。</w:t>
      </w:r>
    </w:p>
    <w:p w14:paraId="1D96B39B">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b/>
          <w:bCs/>
          <w:snapToGrid w:val="0"/>
          <w:color w:val="auto"/>
          <w:kern w:val="0"/>
          <w:highlight w:val="none"/>
        </w:rPr>
      </w:pPr>
      <w:r>
        <w:rPr>
          <w:rFonts w:hint="eastAsia" w:ascii="宋体" w:hAnsi="宋体" w:eastAsia="宋体" w:cs="宋体"/>
          <w:snapToGrid w:val="0"/>
          <w:color w:val="auto"/>
          <w:kern w:val="0"/>
          <w:highlight w:val="none"/>
        </w:rPr>
        <w:t>（1）有本章第三节第</w:t>
      </w:r>
      <w:r>
        <w:rPr>
          <w:rFonts w:hint="eastAsia" w:ascii="宋体" w:hAnsi="宋体" w:eastAsia="宋体" w:cs="宋体"/>
          <w:b/>
          <w:bCs/>
          <w:snapToGrid w:val="0"/>
          <w:color w:val="auto"/>
          <w:kern w:val="0"/>
          <w:highlight w:val="none"/>
        </w:rPr>
        <w:t>2.4</w:t>
      </w:r>
      <w:r>
        <w:rPr>
          <w:rFonts w:hint="eastAsia" w:ascii="宋体" w:hAnsi="宋体" w:eastAsia="宋体" w:cs="宋体"/>
          <w:snapToGrid w:val="0"/>
          <w:color w:val="auto"/>
          <w:kern w:val="0"/>
          <w:highlight w:val="none"/>
        </w:rPr>
        <w:t>条“禁止投标条款”规定的任何一种情形；</w:t>
      </w:r>
    </w:p>
    <w:p w14:paraId="5C423DBA">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（2）投标人资质不符合</w:t>
      </w:r>
      <w:r>
        <w:rPr>
          <w:rFonts w:hint="eastAsia" w:ascii="宋体" w:hAnsi="宋体" w:eastAsia="宋体" w:cs="宋体"/>
          <w:snapToGrid w:val="0"/>
          <w:color w:val="auto"/>
          <w:kern w:val="0"/>
          <w:szCs w:val="18"/>
          <w:highlight w:val="none"/>
        </w:rPr>
        <w:t>规定的；</w:t>
      </w:r>
    </w:p>
    <w:p w14:paraId="4475671D">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0C80F85A">
      <w:pPr>
        <w:keepNext w:val="0"/>
        <w:keepLines w:val="0"/>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22C605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lang w:val="en-US" w:eastAsia="zh-CN"/>
        </w:rPr>
      </w:pPr>
      <w:r>
        <w:rPr>
          <w:rFonts w:hint="eastAsia" w:ascii="宋体" w:hAnsi="宋体" w:eastAsia="宋体" w:cs="宋体"/>
          <w:snapToGrid w:val="0"/>
          <w:color w:val="auto"/>
          <w:kern w:val="0"/>
          <w:highlight w:val="none"/>
        </w:rPr>
        <w:t xml:space="preserve">根据有关文件精神，投标人的企业相关证书到期的，均按该证书的发证机构相关行业主管部门最新文件执行（如自动顺延或推迟办理延期业务的通知），投标人必须将相关文件附在该证书后面中，证明在开标日继续有效。    </w:t>
      </w:r>
      <w:r>
        <w:rPr>
          <w:rFonts w:hint="eastAsia" w:ascii="宋体" w:hAnsi="宋体" w:eastAsia="宋体" w:cs="宋体"/>
          <w:snapToGrid w:val="0"/>
          <w:color w:val="auto"/>
          <w:kern w:val="0"/>
          <w:highlight w:val="none"/>
          <w:lang w:val="en-US" w:eastAsia="zh-CN"/>
        </w:rPr>
        <w:t xml:space="preserve">  </w:t>
      </w:r>
    </w:p>
    <w:p w14:paraId="689D626E">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（4）拟派项目经理、项目技术负责人、专职安全员的条件不符合规定的；拟派专职安全员数量不符合规定的；</w:t>
      </w:r>
    </w:p>
    <w:p w14:paraId="275EBA9B">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（5）《项目经理简历表》中拟派项目经理与《开标一览表》不一致的；</w:t>
      </w:r>
      <w:r>
        <w:rPr>
          <w:rFonts w:hint="eastAsia" w:ascii="宋体" w:hAnsi="宋体" w:eastAsia="宋体" w:cs="宋体"/>
          <w:snapToGrid w:val="0"/>
          <w:color w:val="auto"/>
          <w:kern w:val="0"/>
          <w:highlight w:val="none"/>
          <w:lang w:val="en-US" w:eastAsia="zh-CN"/>
        </w:rPr>
        <w:t>建造师的注册证书不是住建部门颁发的</w:t>
      </w:r>
      <w:r>
        <w:rPr>
          <w:rFonts w:hint="eastAsia" w:ascii="宋体" w:hAnsi="宋体" w:eastAsia="宋体" w:cs="宋体"/>
          <w:snapToGrid w:val="0"/>
          <w:color w:val="auto"/>
          <w:kern w:val="0"/>
          <w:highlight w:val="none"/>
        </w:rPr>
        <w:t>；建造师的注册单位与投标人不一致的；项目管理班子组成人员的各类证书、证件、证明不在有效期内的（建造师注册证书不在使用有效期内的）；擅自修改、遗漏《项目经理任职声明》实质性内容的；</w:t>
      </w:r>
    </w:p>
    <w:p w14:paraId="6EC677A1">
      <w:pPr>
        <w:keepNext w:val="0"/>
        <w:keepLines w:val="0"/>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注：投标人已经工商变更，但其员工执业资格注册证书的注册单位名称未完成变更的，不得否决其投标。</w:t>
      </w:r>
    </w:p>
    <w:p w14:paraId="00769B10">
      <w:pPr>
        <w:keepNext w:val="0"/>
        <w:keepLines w:val="0"/>
        <w:pageBreakBefore w:val="0"/>
        <w:widowControl w:val="0"/>
        <w:kinsoku/>
        <w:wordWrap w:val="0"/>
        <w:overflowPunct/>
        <w:topLinePunct w:val="0"/>
        <w:autoSpaceDE/>
        <w:autoSpaceDN/>
        <w:bidi w:val="0"/>
        <w:adjustRightInd w:val="0"/>
        <w:snapToGrid w:val="0"/>
        <w:spacing w:line="336" w:lineRule="auto"/>
        <w:ind w:firstLine="482" w:firstLineChars="200"/>
        <w:textAlignment w:val="auto"/>
        <w:rPr>
          <w:rFonts w:hint="eastAsia" w:ascii="宋体" w:hAnsi="宋体" w:eastAsia="宋体" w:cs="宋体"/>
          <w:color w:val="auto"/>
          <w:highlight w:val="none"/>
        </w:rPr>
      </w:pPr>
      <w:r>
        <w:rPr>
          <w:rFonts w:hint="eastAsia" w:ascii="宋体" w:hAnsi="宋体" w:eastAsia="宋体" w:cs="宋体"/>
          <w:b/>
          <w:bCs/>
          <w:snapToGrid w:val="0"/>
          <w:color w:val="auto"/>
          <w:kern w:val="0"/>
          <w:sz w:val="24"/>
          <w:szCs w:val="24"/>
          <w:highlight w:val="none"/>
        </w:rPr>
        <w:t>鉴于目前继续教育开展的实际情况，建筑和市政工程施工现场专业人员（</w:t>
      </w:r>
      <w:r>
        <w:rPr>
          <w:rFonts w:hint="eastAsia" w:ascii="宋体" w:hAnsi="宋体" w:eastAsia="宋体" w:cs="宋体"/>
          <w:b/>
          <w:bCs/>
          <w:snapToGrid w:val="0"/>
          <w:color w:val="auto"/>
          <w:kern w:val="0"/>
          <w:sz w:val="24"/>
          <w:szCs w:val="24"/>
          <w:highlight w:val="none"/>
          <w:lang w:val="en-US" w:eastAsia="zh-CN"/>
        </w:rPr>
        <w:t>例如</w:t>
      </w:r>
      <w:r>
        <w:rPr>
          <w:rFonts w:hint="eastAsia" w:ascii="宋体" w:hAnsi="宋体" w:eastAsia="宋体" w:cs="宋体"/>
          <w:b/>
          <w:bCs/>
          <w:snapToGrid w:val="0"/>
          <w:color w:val="auto"/>
          <w:kern w:val="0"/>
          <w:sz w:val="24"/>
          <w:szCs w:val="24"/>
          <w:highlight w:val="none"/>
        </w:rPr>
        <w:t>：施工员、质量员、材料员、资料员）的岗位证书或培训证书不审查其证书的有效期。</w:t>
      </w:r>
    </w:p>
    <w:p w14:paraId="500CA949">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szCs w:val="18"/>
          <w:highlight w:val="none"/>
        </w:rPr>
      </w:pPr>
      <w:r>
        <w:rPr>
          <w:rFonts w:hint="eastAsia" w:ascii="宋体" w:hAnsi="宋体" w:eastAsia="宋体" w:cs="宋体"/>
          <w:snapToGrid w:val="0"/>
          <w:color w:val="auto"/>
          <w:kern w:val="0"/>
          <w:highlight w:val="none"/>
        </w:rPr>
        <w:t>（6）招标文件规定不接受联合体投标，但以联合体投标的；</w:t>
      </w:r>
    </w:p>
    <w:p w14:paraId="1F0DC44E">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7</w:t>
      </w:r>
      <w:r>
        <w:rPr>
          <w:rFonts w:hint="eastAsia" w:ascii="宋体" w:hAnsi="宋体" w:eastAsia="宋体" w:cs="宋体"/>
          <w:snapToGrid w:val="0"/>
          <w:color w:val="auto"/>
          <w:kern w:val="0"/>
          <w:highlight w:val="none"/>
        </w:rPr>
        <w:t>）投标人为外省建筑企业，但未提供“进粤企业和人员诚信信息登记平台”企业和拟派人员信息情况打印页或网页截图的。</w:t>
      </w:r>
    </w:p>
    <w:p w14:paraId="4221425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Style w:val="156"/>
          <w:rFonts w:hint="eastAsia" w:ascii="宋体" w:hAnsi="宋体" w:eastAsia="宋体" w:cs="宋体"/>
          <w:color w:val="auto"/>
          <w:lang w:val="en-US" w:eastAsia="zh-CN"/>
        </w:rPr>
      </w:pPr>
      <w:bookmarkStart w:id="143" w:name="_Toc19719"/>
      <w:bookmarkStart w:id="144" w:name="_Toc3746"/>
      <w:bookmarkStart w:id="145" w:name="_Toc12980"/>
      <w:bookmarkStart w:id="146" w:name="_Toc21442"/>
      <w:bookmarkStart w:id="147" w:name="_Toc30923"/>
      <w:r>
        <w:rPr>
          <w:rStyle w:val="156"/>
          <w:rFonts w:hint="eastAsia" w:ascii="宋体" w:hAnsi="宋体" w:eastAsia="宋体" w:cs="宋体"/>
          <w:color w:val="auto"/>
          <w:lang w:val="en-US" w:eastAsia="zh-CN"/>
        </w:rPr>
        <w:t>2．形式评审环节</w:t>
      </w:r>
      <w:bookmarkEnd w:id="143"/>
      <w:bookmarkEnd w:id="144"/>
      <w:bookmarkEnd w:id="145"/>
      <w:bookmarkEnd w:id="146"/>
      <w:bookmarkEnd w:id="147"/>
    </w:p>
    <w:p w14:paraId="7BA92EF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投标人有下列情形之一的，评标委员会应否决其投标。被否决的投标人，不进入响应性评审环节。</w:t>
      </w:r>
    </w:p>
    <w:p w14:paraId="1CA79946">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w:t>
      </w:r>
      <w:r>
        <w:rPr>
          <w:rStyle w:val="151"/>
          <w:rFonts w:hint="eastAsia" w:ascii="宋体" w:hAnsi="宋体" w:eastAsia="宋体" w:cs="宋体"/>
          <w:color w:val="auto"/>
          <w:kern w:val="0"/>
          <w:highlight w:val="none"/>
        </w:rPr>
        <w:t>投标文件的分册组成是否符合招标文件规定。</w:t>
      </w:r>
    </w:p>
    <w:p w14:paraId="01812C57">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2</w:t>
      </w:r>
      <w:r>
        <w:rPr>
          <w:rFonts w:hint="eastAsia" w:ascii="宋体" w:hAnsi="宋体" w:eastAsia="宋体" w:cs="宋体"/>
          <w:snapToGrid w:val="0"/>
          <w:color w:val="auto"/>
          <w:kern w:val="0"/>
          <w:highlight w:val="none"/>
        </w:rPr>
        <w:t>）本章第三节第</w:t>
      </w:r>
      <w:r>
        <w:rPr>
          <w:rFonts w:hint="eastAsia" w:ascii="宋体" w:hAnsi="宋体" w:eastAsia="宋体" w:cs="宋体"/>
          <w:b/>
          <w:bCs/>
          <w:snapToGrid w:val="0"/>
          <w:color w:val="auto"/>
          <w:kern w:val="0"/>
          <w:szCs w:val="18"/>
          <w:highlight w:val="none"/>
        </w:rPr>
        <w:t>10.2.2</w:t>
      </w:r>
      <w:r>
        <w:rPr>
          <w:rFonts w:hint="eastAsia" w:ascii="宋体" w:hAnsi="宋体" w:eastAsia="宋体" w:cs="宋体"/>
          <w:snapToGrid w:val="0"/>
          <w:color w:val="auto"/>
          <w:kern w:val="0"/>
          <w:szCs w:val="18"/>
          <w:highlight w:val="none"/>
        </w:rPr>
        <w:t>目、</w:t>
      </w:r>
      <w:r>
        <w:rPr>
          <w:rFonts w:hint="eastAsia" w:ascii="宋体" w:hAnsi="宋体" w:eastAsia="宋体" w:cs="宋体"/>
          <w:snapToGrid w:val="0"/>
          <w:color w:val="auto"/>
          <w:kern w:val="0"/>
          <w:highlight w:val="none"/>
        </w:rPr>
        <w:t>第</w:t>
      </w:r>
      <w:r>
        <w:rPr>
          <w:rFonts w:hint="eastAsia" w:ascii="宋体" w:hAnsi="宋体" w:eastAsia="宋体" w:cs="宋体"/>
          <w:b/>
          <w:bCs/>
          <w:snapToGrid w:val="0"/>
          <w:color w:val="auto"/>
          <w:kern w:val="0"/>
          <w:szCs w:val="18"/>
          <w:highlight w:val="none"/>
        </w:rPr>
        <w:t>10.3.2</w:t>
      </w:r>
      <w:r>
        <w:rPr>
          <w:rFonts w:hint="eastAsia" w:ascii="宋体" w:hAnsi="宋体" w:eastAsia="宋体" w:cs="宋体"/>
          <w:snapToGrid w:val="0"/>
          <w:color w:val="auto"/>
          <w:kern w:val="0"/>
          <w:szCs w:val="18"/>
          <w:highlight w:val="none"/>
        </w:rPr>
        <w:t>目、第</w:t>
      </w:r>
      <w:r>
        <w:rPr>
          <w:rFonts w:hint="eastAsia" w:ascii="宋体" w:hAnsi="宋体" w:eastAsia="宋体" w:cs="宋体"/>
          <w:b/>
          <w:bCs/>
          <w:snapToGrid w:val="0"/>
          <w:color w:val="auto"/>
          <w:kern w:val="0"/>
          <w:highlight w:val="none"/>
        </w:rPr>
        <w:t>10.4.3</w:t>
      </w:r>
      <w:r>
        <w:rPr>
          <w:rFonts w:hint="eastAsia" w:ascii="宋体" w:hAnsi="宋体" w:eastAsia="宋体" w:cs="宋体"/>
          <w:snapToGrid w:val="0"/>
          <w:color w:val="auto"/>
          <w:kern w:val="0"/>
          <w:highlight w:val="none"/>
        </w:rPr>
        <w:t>目中规定的“</w:t>
      </w:r>
      <w:r>
        <w:rPr>
          <w:rFonts w:hint="eastAsia" w:ascii="宋体" w:hAnsi="宋体" w:eastAsia="宋体" w:cs="宋体"/>
          <w:snapToGrid w:val="0"/>
          <w:color w:val="auto"/>
          <w:kern w:val="0"/>
          <w:szCs w:val="18"/>
          <w:highlight w:val="none"/>
        </w:rPr>
        <w:t>所有投标人均应提供</w:t>
      </w:r>
      <w:r>
        <w:rPr>
          <w:rFonts w:hint="eastAsia" w:ascii="宋体" w:hAnsi="宋体" w:eastAsia="宋体" w:cs="宋体"/>
          <w:snapToGrid w:val="0"/>
          <w:color w:val="auto"/>
          <w:kern w:val="0"/>
          <w:highlight w:val="none"/>
        </w:rPr>
        <w:t>”的组成内容（包括该组成内容的所附资料）中，任何一项有缺漏的；</w:t>
      </w:r>
    </w:p>
    <w:p w14:paraId="433748C5">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3</w:t>
      </w:r>
      <w:r>
        <w:rPr>
          <w:rFonts w:hint="eastAsia" w:ascii="宋体" w:hAnsi="宋体" w:eastAsia="宋体" w:cs="宋体"/>
          <w:snapToGrid w:val="0"/>
          <w:color w:val="auto"/>
          <w:kern w:val="0"/>
          <w:highlight w:val="none"/>
        </w:rPr>
        <w:t>）关键字迹模糊、无法辨认，</w:t>
      </w:r>
      <w:r>
        <w:rPr>
          <w:rFonts w:hint="eastAsia" w:ascii="宋体" w:hAnsi="宋体" w:eastAsia="宋体" w:cs="宋体"/>
          <w:b/>
          <w:bCs/>
          <w:snapToGrid w:val="0"/>
          <w:color w:val="auto"/>
          <w:kern w:val="0"/>
          <w:highlight w:val="none"/>
        </w:rPr>
        <w:t>且该种过错将导致评标委员会无法判断投标文件是否响应招标文件实质性要求的</w:t>
      </w:r>
      <w:r>
        <w:rPr>
          <w:rFonts w:hint="eastAsia" w:ascii="宋体" w:hAnsi="宋体" w:eastAsia="宋体" w:cs="宋体"/>
          <w:snapToGrid w:val="0"/>
          <w:color w:val="auto"/>
          <w:kern w:val="0"/>
          <w:highlight w:val="none"/>
        </w:rPr>
        <w:t>；有涂改、行间插字或删除，但未加盖单位章或由投标人的法定代表人或其委托代理人签字确认的；</w:t>
      </w:r>
    </w:p>
    <w:p w14:paraId="0B80B721">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4</w:t>
      </w:r>
      <w:r>
        <w:rPr>
          <w:rFonts w:hint="eastAsia" w:ascii="宋体" w:hAnsi="宋体" w:eastAsia="宋体" w:cs="宋体"/>
          <w:snapToGrid w:val="0"/>
          <w:color w:val="auto"/>
          <w:kern w:val="0"/>
          <w:highlight w:val="none"/>
        </w:rPr>
        <w:t>）投标文件未按规定签字、盖章的；</w:t>
      </w:r>
    </w:p>
    <w:p w14:paraId="3C3BB8B1">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p>
    <w:p w14:paraId="48139FF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Style w:val="156"/>
          <w:rFonts w:hint="eastAsia" w:ascii="宋体" w:hAnsi="宋体" w:eastAsia="宋体" w:cs="宋体"/>
          <w:color w:val="auto"/>
          <w:lang w:val="en-US" w:eastAsia="zh-CN"/>
        </w:rPr>
      </w:pPr>
      <w:bookmarkStart w:id="148" w:name="_Toc13299"/>
      <w:bookmarkStart w:id="149" w:name="_Toc23068"/>
      <w:bookmarkStart w:id="150" w:name="_Toc8201"/>
      <w:bookmarkStart w:id="151" w:name="_Toc31483"/>
      <w:bookmarkStart w:id="152" w:name="_Toc27344"/>
      <w:r>
        <w:rPr>
          <w:rStyle w:val="156"/>
          <w:rFonts w:hint="eastAsia" w:ascii="宋体" w:hAnsi="宋体" w:eastAsia="宋体" w:cs="宋体"/>
          <w:color w:val="auto"/>
          <w:lang w:val="en-US" w:eastAsia="zh-CN"/>
        </w:rPr>
        <w:t>3．响应性评审环节</w:t>
      </w:r>
      <w:bookmarkEnd w:id="148"/>
      <w:bookmarkEnd w:id="149"/>
      <w:bookmarkEnd w:id="150"/>
      <w:bookmarkEnd w:id="151"/>
      <w:bookmarkEnd w:id="152"/>
    </w:p>
    <w:p w14:paraId="1EEBA7D7">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投标人有下列情形之一的，评标委员会应否决其投标。被否决的投标人，不进入详细评审阶段。</w:t>
      </w:r>
    </w:p>
    <w:p w14:paraId="5E3F8E3D">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）承诺的投标有效期短于规定的；质量标准低于规定的；工期超出规定的；擅自修改、遗漏《投标函》《各项承诺一览表》实质性内容的；</w:t>
      </w:r>
    </w:p>
    <w:p w14:paraId="38FC6911">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2</w:t>
      </w:r>
      <w:r>
        <w:rPr>
          <w:rFonts w:hint="eastAsia" w:ascii="宋体" w:hAnsi="宋体" w:eastAsia="宋体" w:cs="宋体"/>
          <w:snapToGrid w:val="0"/>
          <w:color w:val="auto"/>
          <w:kern w:val="0"/>
          <w:highlight w:val="none"/>
        </w:rPr>
        <w:t>）编制《投标总价》的</w:t>
      </w:r>
      <w:r>
        <w:rPr>
          <w:rFonts w:hint="eastAsia" w:ascii="宋体" w:hAnsi="宋体" w:eastAsia="宋体" w:cs="宋体"/>
          <w:snapToGrid w:val="0"/>
          <w:color w:val="auto"/>
          <w:kern w:val="0"/>
          <w:szCs w:val="18"/>
          <w:highlight w:val="none"/>
        </w:rPr>
        <w:t>造价工程师，其注册证书不是住建部门颁发的；其注册单位与投标人（或造价咨询人）不一致的；其注册证书</w:t>
      </w:r>
      <w:r>
        <w:rPr>
          <w:rFonts w:hint="eastAsia" w:ascii="宋体" w:hAnsi="宋体" w:eastAsia="宋体" w:cs="宋体"/>
          <w:snapToGrid w:val="0"/>
          <w:color w:val="auto"/>
          <w:kern w:val="0"/>
          <w:highlight w:val="none"/>
        </w:rPr>
        <w:t>不在有效期内的。</w:t>
      </w:r>
    </w:p>
    <w:p w14:paraId="789271B2">
      <w:pPr>
        <w:keepNext w:val="0"/>
        <w:keepLines w:val="0"/>
        <w:pageBreakBefore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注：投标人（或造价咨询人）已经工商变更，但其员工的执业资格注册证书的注册单位名称未完成变更的，不得否决其投标。</w:t>
      </w:r>
    </w:p>
    <w:p w14:paraId="4DDF576F">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3</w:t>
      </w:r>
      <w:r>
        <w:rPr>
          <w:rFonts w:hint="eastAsia" w:ascii="宋体" w:hAnsi="宋体" w:eastAsia="宋体" w:cs="宋体"/>
          <w:snapToGrid w:val="0"/>
          <w:color w:val="auto"/>
          <w:kern w:val="0"/>
          <w:highlight w:val="none"/>
        </w:rPr>
        <w:t>）投标人委托造价咨询单位编制《投标总价》，但未在《投标总价》封面加盖造价咨询人公章的；未提供造价咨询人的营业执照</w:t>
      </w:r>
      <w:r>
        <w:rPr>
          <w:rFonts w:hint="eastAsia" w:ascii="宋体" w:hAnsi="宋体" w:eastAsia="宋体" w:cs="宋体"/>
          <w:snapToGrid w:val="0"/>
          <w:color w:val="auto"/>
          <w:kern w:val="0"/>
          <w:highlight w:val="none"/>
          <w:lang w:eastAsia="zh-CN"/>
        </w:rPr>
        <w:t>扫描件</w:t>
      </w:r>
      <w:r>
        <w:rPr>
          <w:rFonts w:hint="eastAsia" w:ascii="宋体" w:hAnsi="宋体" w:eastAsia="宋体" w:cs="宋体"/>
          <w:snapToGrid w:val="0"/>
          <w:color w:val="auto"/>
          <w:kern w:val="0"/>
          <w:highlight w:val="none"/>
        </w:rPr>
        <w:t>的；</w:t>
      </w:r>
    </w:p>
    <w:p w14:paraId="10FDD5D9">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4</w:t>
      </w:r>
      <w:r>
        <w:rPr>
          <w:rFonts w:hint="eastAsia" w:ascii="宋体" w:hAnsi="宋体" w:eastAsia="宋体" w:cs="宋体"/>
          <w:snapToGrid w:val="0"/>
          <w:color w:val="auto"/>
          <w:kern w:val="0"/>
          <w:highlight w:val="none"/>
        </w:rPr>
        <w:t>）出现两个或两个以上投标总价的（同一个投标总价大、小写不一致的除外）；投标总价超出</w:t>
      </w:r>
      <w:r>
        <w:rPr>
          <w:rFonts w:hint="eastAsia" w:ascii="宋体" w:hAnsi="宋体" w:eastAsia="宋体" w:cs="宋体"/>
          <w:snapToGrid w:val="0"/>
          <w:color w:val="auto"/>
          <w:kern w:val="0"/>
          <w:highlight w:val="none"/>
          <w:lang w:eastAsia="zh-CN"/>
        </w:rPr>
        <w:t>最高投标限价</w:t>
      </w:r>
      <w:r>
        <w:rPr>
          <w:rFonts w:hint="eastAsia" w:ascii="宋体" w:hAnsi="宋体" w:eastAsia="宋体" w:cs="宋体"/>
          <w:snapToGrid w:val="0"/>
          <w:color w:val="auto"/>
          <w:kern w:val="0"/>
          <w:highlight w:val="none"/>
        </w:rPr>
        <w:t>的；</w:t>
      </w:r>
      <w:r>
        <w:rPr>
          <w:rFonts w:hint="eastAsia" w:ascii="宋体" w:hAnsi="宋体" w:eastAsia="宋体" w:cs="宋体"/>
          <w:snapToGrid w:val="0"/>
          <w:color w:val="auto"/>
          <w:kern w:val="0"/>
          <w:highlight w:val="none"/>
          <w:lang w:eastAsia="zh-CN"/>
        </w:rPr>
        <w:t>安全生产措施费</w:t>
      </w:r>
      <w:r>
        <w:rPr>
          <w:rFonts w:hint="eastAsia" w:ascii="宋体" w:hAnsi="宋体" w:eastAsia="宋体" w:cs="宋体"/>
          <w:snapToGrid w:val="0"/>
          <w:color w:val="auto"/>
          <w:kern w:val="0"/>
          <w:highlight w:val="none"/>
        </w:rPr>
        <w:t>少于规定的；暂列金额、暂估价未按照招标工程量清单统一报价的；投标总价下浮率超过15%，又未提供相应书面说明和佐证材料或提供的书面说明和佐证材料不能令人信服，被评标委员会认定以低于成本报价竞标的；擅自修改、增减招标工程量清单项目（包括措施项目）的；</w:t>
      </w:r>
    </w:p>
    <w:p w14:paraId="08E170B2">
      <w:pPr>
        <w:keepNext w:val="0"/>
        <w:keepLines w:val="0"/>
        <w:pageBreakBefore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5</w:t>
      </w:r>
      <w:r>
        <w:rPr>
          <w:rFonts w:hint="eastAsia" w:ascii="宋体" w:hAnsi="宋体" w:eastAsia="宋体" w:cs="宋体"/>
          <w:snapToGrid w:val="0"/>
          <w:color w:val="auto"/>
          <w:kern w:val="0"/>
          <w:highlight w:val="none"/>
        </w:rPr>
        <w:t>）在施工组织设计评审中，评标委员会认定质量、进度保障措施与国家和省市现行有关规范、规定、标准有重大偏差，</w:t>
      </w:r>
      <w:r>
        <w:rPr>
          <w:rFonts w:hint="eastAsia" w:ascii="宋体" w:hAnsi="宋体" w:eastAsia="宋体" w:cs="宋体"/>
          <w:b/>
          <w:bCs/>
          <w:snapToGrid w:val="0"/>
          <w:color w:val="auto"/>
          <w:kern w:val="0"/>
          <w:highlight w:val="none"/>
        </w:rPr>
        <w:t>且该种过错将导致工程质量、进度管理目标无法实现的</w:t>
      </w:r>
      <w:r>
        <w:rPr>
          <w:rFonts w:hint="eastAsia" w:ascii="宋体" w:hAnsi="宋体" w:eastAsia="宋体" w:cs="宋体"/>
          <w:snapToGrid w:val="0"/>
          <w:color w:val="auto"/>
          <w:kern w:val="0"/>
          <w:highlight w:val="none"/>
        </w:rPr>
        <w:t>。</w:t>
      </w:r>
    </w:p>
    <w:p w14:paraId="5AC70D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p>
    <w:p w14:paraId="478E18C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Style w:val="156"/>
          <w:rFonts w:hint="eastAsia" w:ascii="宋体" w:hAnsi="宋体" w:eastAsia="宋体" w:cs="宋体"/>
          <w:color w:val="auto"/>
          <w:lang w:val="en-US" w:eastAsia="zh-CN"/>
        </w:rPr>
      </w:pPr>
      <w:bookmarkStart w:id="153" w:name="_Toc24919"/>
      <w:r>
        <w:rPr>
          <w:rStyle w:val="156"/>
          <w:rFonts w:hint="eastAsia" w:ascii="宋体" w:hAnsi="宋体" w:eastAsia="宋体" w:cs="宋体"/>
          <w:color w:val="auto"/>
          <w:lang w:val="en-US" w:eastAsia="zh-CN"/>
        </w:rPr>
        <w:t>4．其他</w:t>
      </w:r>
      <w:bookmarkEnd w:id="153"/>
    </w:p>
    <w:p w14:paraId="5C2FF6B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Cs w:val="22"/>
          <w:highlight w:val="none"/>
        </w:rPr>
      </w:pPr>
      <w:r>
        <w:rPr>
          <w:rFonts w:hint="eastAsia" w:ascii="宋体" w:hAnsi="宋体" w:eastAsia="宋体" w:cs="宋体"/>
          <w:snapToGrid w:val="0"/>
          <w:color w:val="auto"/>
          <w:kern w:val="0"/>
          <w:highlight w:val="none"/>
        </w:rPr>
        <w:t>在任何评标环节（或阶段），投标人有下列情形之一的，评标委员会应否决其投标。</w:t>
      </w:r>
      <w:r>
        <w:rPr>
          <w:rFonts w:hint="eastAsia" w:ascii="宋体" w:hAnsi="宋体" w:eastAsia="宋体" w:cs="宋体"/>
          <w:snapToGrid w:val="0"/>
          <w:color w:val="auto"/>
          <w:kern w:val="0"/>
          <w:szCs w:val="22"/>
          <w:highlight w:val="none"/>
        </w:rPr>
        <w:t>被否决的投标人，不进入下一环节（或阶段）。</w:t>
      </w:r>
    </w:p>
    <w:p w14:paraId="71BB4B1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（1）不按评标委员会要求澄清、说明或补正的；</w:t>
      </w:r>
    </w:p>
    <w:p w14:paraId="1DCBB72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（2）有下列情形之一，被评标委员会认定属于串通投标的：</w:t>
      </w:r>
    </w:p>
    <w:p w14:paraId="4BA0D4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①不同投标人的投标文件两处以上（含两处）错、漏一致；</w:t>
      </w:r>
    </w:p>
    <w:p w14:paraId="643B229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②不同投标人的投标总价相近且各分项报价、综合单价分析表内容混乱不能相互对应、乱调乱压或乱抬的，而在询标时没有合理的解释或者不能提供计算依据和报价依据；</w:t>
      </w:r>
    </w:p>
    <w:p w14:paraId="27FF91F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③不同投标人的投标各项报价存在异常一致或者呈规律性变化；</w:t>
      </w:r>
    </w:p>
    <w:p w14:paraId="18C13B0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④不同投标人的投标文件由同一单位或者同一个人编制；</w:t>
      </w:r>
    </w:p>
    <w:p w14:paraId="7E64FC6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⑤不同投标人的投标文件中投标资料（包括电子资料）相互混装或项目班子成员出现同一人；</w:t>
      </w:r>
    </w:p>
    <w:p w14:paraId="06781C1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⑥不同投标人的投标文件由同一电脑编制或同一台附属设备打印，或投标报价用同一个预算编制软件密码锁制作或出自同一电子文档；</w:t>
      </w:r>
    </w:p>
    <w:p w14:paraId="661EC41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⑦不同投标人的投标保证由同一企业或同一账户资金缴纳；</w:t>
      </w:r>
    </w:p>
    <w:p w14:paraId="1D31BC8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highlight w:val="none"/>
        </w:rPr>
        <w:sectPr>
          <w:endnotePr>
            <w:numFmt w:val="decimal"/>
          </w:endnotePr>
          <w:pgSz w:w="11906" w:h="16838"/>
          <w:pgMar w:top="1134" w:right="1134" w:bottom="1134" w:left="1134" w:header="850" w:footer="567" w:gutter="0"/>
          <w:pgBorders>
            <w:top w:val="none" w:sz="0" w:space="0"/>
            <w:left w:val="none" w:sz="0" w:space="0"/>
            <w:bottom w:val="none" w:sz="0" w:space="0"/>
            <w:right w:val="none" w:sz="0" w:space="0"/>
          </w:pgBorders>
          <w:cols w:space="720" w:num="1"/>
          <w:docGrid w:linePitch="327" w:charSpace="0"/>
        </w:sectPr>
      </w:pPr>
      <w:r>
        <w:rPr>
          <w:rFonts w:hint="eastAsia" w:ascii="宋体" w:hAnsi="宋体" w:eastAsia="宋体" w:cs="宋体"/>
          <w:snapToGrid w:val="0"/>
          <w:color w:val="auto"/>
          <w:kern w:val="0"/>
          <w:highlight w:val="none"/>
        </w:rPr>
        <w:t>⑧不同投标人委托同一个人或注册在同一家企业的注册人员或同一家企业为其投标提供投标咨询、商务报价、技术咨询（招标项目本身要求采用专有技术的除外）等服务。</w:t>
      </w:r>
      <w:bookmarkEnd w:id="89"/>
    </w:p>
    <w:p w14:paraId="074F1233">
      <w:pPr>
        <w:pStyle w:val="3"/>
        <w:wordWrap w:val="0"/>
        <w:autoSpaceDE/>
        <w:autoSpaceDN/>
        <w:snapToGrid w:val="0"/>
        <w:spacing w:line="440" w:lineRule="exact"/>
        <w:jc w:val="center"/>
        <w:rPr>
          <w:rFonts w:hint="eastAsia" w:ascii="宋体" w:hAnsi="宋体" w:eastAsia="宋体" w:cs="宋体"/>
          <w:b/>
          <w:snapToGrid w:val="0"/>
          <w:color w:val="auto"/>
          <w:kern w:val="0"/>
          <w:highlight w:val="none"/>
        </w:rPr>
      </w:pPr>
      <w:bookmarkStart w:id="154" w:name="_Hlt69669771"/>
      <w:bookmarkEnd w:id="154"/>
      <w:bookmarkStart w:id="155" w:name="_Hlt70150994"/>
      <w:bookmarkEnd w:id="155"/>
      <w:bookmarkStart w:id="156" w:name="_Hlt112206772"/>
      <w:bookmarkEnd w:id="156"/>
      <w:bookmarkStart w:id="157" w:name="_Hlt87952408"/>
      <w:bookmarkEnd w:id="157"/>
      <w:bookmarkStart w:id="158" w:name="_Hlt69698722"/>
      <w:bookmarkStart w:id="159" w:name="_Toc24543"/>
      <w:bookmarkStart w:id="160" w:name="_Toc20451"/>
      <w:bookmarkStart w:id="161" w:name="_Hlt69698769"/>
      <w:bookmarkStart w:id="162" w:name="_Hlt69698741"/>
      <w:r>
        <w:rPr>
          <w:rFonts w:hint="eastAsia" w:ascii="宋体" w:hAnsi="宋体" w:eastAsia="宋体" w:cs="宋体"/>
          <w:b/>
          <w:snapToGrid w:val="0"/>
          <w:color w:val="auto"/>
          <w:sz w:val="24"/>
          <w:highlight w:val="none"/>
          <w:lang w:val="en-US" w:eastAsia="zh-CN"/>
        </w:rPr>
        <w:t>第</w:t>
      </w:r>
      <w:bookmarkStart w:id="163" w:name="_Hlt69669171"/>
      <w:bookmarkEnd w:id="163"/>
      <w:r>
        <w:rPr>
          <w:rFonts w:hint="eastAsia" w:ascii="宋体" w:hAnsi="宋体" w:eastAsia="宋体" w:cs="宋体"/>
          <w:b/>
          <w:snapToGrid w:val="0"/>
          <w:color w:val="auto"/>
          <w:sz w:val="24"/>
          <w:highlight w:val="none"/>
          <w:lang w:val="en-US" w:eastAsia="zh-CN"/>
        </w:rPr>
        <w:t>二章</w:t>
      </w:r>
      <w:bookmarkStart w:id="164" w:name="_Hlt87793839"/>
      <w:bookmarkEnd w:id="164"/>
      <w:r>
        <w:rPr>
          <w:rFonts w:hint="eastAsia" w:ascii="宋体" w:hAnsi="宋体" w:eastAsia="宋体" w:cs="宋体"/>
          <w:b/>
          <w:snapToGrid w:val="0"/>
          <w:color w:val="auto"/>
          <w:sz w:val="24"/>
          <w:highlight w:val="none"/>
          <w:lang w:val="en-US" w:eastAsia="zh-CN"/>
        </w:rPr>
        <w:t xml:space="preserve"> 中标人须知</w:t>
      </w:r>
      <w:bookmarkEnd w:id="158"/>
      <w:bookmarkEnd w:id="159"/>
      <w:bookmarkEnd w:id="160"/>
      <w:bookmarkEnd w:id="161"/>
      <w:bookmarkEnd w:id="162"/>
    </w:p>
    <w:p w14:paraId="72010CA4">
      <w:pPr>
        <w:pStyle w:val="5"/>
        <w:bidi w:val="0"/>
        <w:spacing w:line="360" w:lineRule="auto"/>
        <w:rPr>
          <w:rFonts w:hint="eastAsia" w:ascii="宋体" w:hAnsi="宋体" w:eastAsia="宋体" w:cs="宋体"/>
          <w:color w:val="auto"/>
        </w:rPr>
      </w:pPr>
      <w:bookmarkStart w:id="165" w:name="_Toc2206"/>
      <w:bookmarkStart w:id="166" w:name="_Toc19632"/>
      <w:bookmarkStart w:id="167" w:name="_Toc28684"/>
      <w:bookmarkStart w:id="168" w:name="_Hlt69698765"/>
      <w:bookmarkStart w:id="169" w:name="_Hlt69698713"/>
      <w:bookmarkStart w:id="170" w:name="_Toc28918"/>
      <w:bookmarkStart w:id="171" w:name="_Hlt69698776"/>
      <w:r>
        <w:rPr>
          <w:rFonts w:hint="eastAsia" w:ascii="宋体" w:hAnsi="宋体" w:eastAsia="宋体" w:cs="宋体"/>
          <w:color w:val="auto"/>
        </w:rPr>
        <w:t>1．中标通知书</w:t>
      </w:r>
      <w:bookmarkEnd w:id="165"/>
    </w:p>
    <w:p w14:paraId="16784DF1">
      <w:pPr>
        <w:wordWrap w:val="0"/>
        <w:adjustRightInd w:val="0"/>
        <w:snapToGrid w:val="0"/>
        <w:spacing w:line="360" w:lineRule="auto"/>
        <w:ind w:firstLine="562"/>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0D245D85">
      <w:pPr>
        <w:wordWrap w:val="0"/>
        <w:adjustRightInd w:val="0"/>
        <w:snapToGrid w:val="0"/>
        <w:spacing w:line="360" w:lineRule="auto"/>
        <w:ind w:firstLine="562"/>
        <w:rPr>
          <w:rFonts w:hint="eastAsia" w:ascii="宋体" w:hAnsi="宋体" w:eastAsia="宋体" w:cs="宋体"/>
          <w:snapToGrid w:val="0"/>
          <w:color w:val="auto"/>
          <w:kern w:val="0"/>
          <w:highlight w:val="none"/>
        </w:rPr>
      </w:pPr>
    </w:p>
    <w:p w14:paraId="79A077BF">
      <w:pPr>
        <w:pStyle w:val="5"/>
        <w:bidi w:val="0"/>
        <w:spacing w:line="360" w:lineRule="auto"/>
        <w:rPr>
          <w:rFonts w:hint="eastAsia" w:ascii="宋体" w:hAnsi="宋体" w:eastAsia="宋体" w:cs="宋体"/>
          <w:color w:val="auto"/>
        </w:rPr>
      </w:pPr>
      <w:bookmarkStart w:id="172" w:name="_Toc14349"/>
      <w:r>
        <w:rPr>
          <w:rFonts w:hint="eastAsia" w:ascii="宋体" w:hAnsi="宋体" w:eastAsia="宋体" w:cs="宋体"/>
          <w:color w:val="auto"/>
        </w:rPr>
        <w:t>2．中标结果公示</w:t>
      </w:r>
      <w:bookmarkEnd w:id="172"/>
    </w:p>
    <w:p w14:paraId="041EC288">
      <w:pPr>
        <w:wordWrap w:val="0"/>
        <w:adjustRightInd w:val="0"/>
        <w:snapToGrid w:val="0"/>
        <w:spacing w:line="360" w:lineRule="auto"/>
        <w:ind w:firstLine="562"/>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中标通知书发出后15日内，招标人应将中标结果在广东省招标投标监管网（</w:t>
      </w:r>
      <w:r>
        <w:rPr>
          <w:rFonts w:hint="eastAsia" w:ascii="宋体" w:hAnsi="宋体" w:eastAsia="宋体" w:cs="宋体"/>
          <w:snapToGrid w:val="0"/>
          <w:color w:val="auto"/>
          <w:kern w:val="0"/>
          <w:highlight w:val="none"/>
          <w:lang w:eastAsia="zh-CN"/>
        </w:rPr>
        <w:t>https://www.gdzwfw.gov.cn/ztbjg-portal/#/index</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eastAsia="zh-CN"/>
        </w:rPr>
        <w:t>全国公共资源交易平台（广东省·韶关市）（https://ygp.gdzwfw.gov.cn/ggzy-portal/#/440200/index）</w:t>
      </w:r>
      <w:r>
        <w:rPr>
          <w:rFonts w:hint="eastAsia" w:ascii="宋体" w:hAnsi="宋体" w:eastAsia="宋体" w:cs="宋体"/>
          <w:snapToGrid w:val="0"/>
          <w:color w:val="auto"/>
          <w:kern w:val="0"/>
          <w:highlight w:val="none"/>
        </w:rPr>
        <w:t>进行公示。</w:t>
      </w:r>
    </w:p>
    <w:p w14:paraId="1127DF11">
      <w:pPr>
        <w:wordWrap w:val="0"/>
        <w:adjustRightInd w:val="0"/>
        <w:snapToGrid w:val="0"/>
        <w:spacing w:line="360" w:lineRule="auto"/>
        <w:ind w:firstLine="562"/>
        <w:rPr>
          <w:rFonts w:hint="eastAsia" w:ascii="宋体" w:hAnsi="宋体" w:eastAsia="宋体" w:cs="宋体"/>
          <w:snapToGrid w:val="0"/>
          <w:color w:val="auto"/>
          <w:kern w:val="0"/>
          <w:highlight w:val="none"/>
        </w:rPr>
      </w:pPr>
    </w:p>
    <w:p w14:paraId="57599105">
      <w:pPr>
        <w:pStyle w:val="5"/>
        <w:pageBreakBefore w:val="0"/>
        <w:kinsoku/>
        <w:overflowPunct/>
        <w:topLinePunct w:val="0"/>
        <w:autoSpaceDE/>
        <w:autoSpaceDN/>
        <w:bidi w:val="0"/>
        <w:spacing w:beforeLines="0" w:afterLines="0" w:line="360" w:lineRule="auto"/>
        <w:ind w:firstLine="482" w:firstLineChars="200"/>
        <w:textAlignment w:val="auto"/>
        <w:rPr>
          <w:rFonts w:hint="eastAsia" w:ascii="宋体" w:hAnsi="宋体" w:eastAsia="宋体" w:cs="宋体"/>
          <w:color w:val="auto"/>
        </w:rPr>
      </w:pPr>
      <w:bookmarkStart w:id="173" w:name="_Toc10406"/>
      <w:r>
        <w:rPr>
          <w:rFonts w:hint="eastAsia" w:ascii="宋体" w:hAnsi="宋体" w:eastAsia="宋体" w:cs="宋体"/>
          <w:color w:val="auto"/>
        </w:rPr>
        <w:t>3．履约保证</w:t>
      </w:r>
      <w:bookmarkEnd w:id="173"/>
    </w:p>
    <w:p w14:paraId="146217A2">
      <w:pPr>
        <w:pageBreakBefore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3.1</w:t>
      </w:r>
      <w:r>
        <w:rPr>
          <w:rFonts w:hint="eastAsia" w:ascii="宋体" w:hAnsi="宋体" w:eastAsia="宋体" w:cs="宋体"/>
          <w:snapToGrid w:val="0"/>
          <w:color w:val="auto"/>
          <w:kern w:val="0"/>
          <w:highlight w:val="none"/>
        </w:rPr>
        <w:t xml:space="preserve"> 中标人须在领取中标通知书之日起</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 xml:space="preserve">10 </w:t>
      </w:r>
      <w:r>
        <w:rPr>
          <w:rFonts w:hint="eastAsia" w:ascii="宋体" w:hAnsi="宋体" w:eastAsia="宋体" w:cs="宋体"/>
          <w:snapToGrid w:val="0"/>
          <w:color w:val="auto"/>
          <w:kern w:val="0"/>
          <w:highlight w:val="none"/>
        </w:rPr>
        <w:t>个工作日内、签订合同前向招标人提交金额为中标价</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5</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 xml:space="preserve">%的履约保证。 </w:t>
      </w:r>
    </w:p>
    <w:p w14:paraId="5346E332">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在建设工程交易系统中自主选择一种进行缴交。</w:t>
      </w:r>
    </w:p>
    <w:p w14:paraId="5E10CB1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2"/>
          <w:highlight w:val="none"/>
        </w:rPr>
      </w:pPr>
      <w:r>
        <w:rPr>
          <w:rFonts w:hint="eastAsia" w:ascii="宋体" w:hAnsi="宋体" w:eastAsia="宋体" w:cs="宋体"/>
          <w:b/>
          <w:bCs/>
          <w:color w:val="auto"/>
          <w:sz w:val="24"/>
          <w:szCs w:val="22"/>
          <w:highlight w:val="none"/>
        </w:rPr>
        <w:t>3.</w:t>
      </w:r>
      <w:r>
        <w:rPr>
          <w:rFonts w:hint="eastAsia" w:ascii="宋体" w:hAnsi="宋体" w:eastAsia="宋体" w:cs="宋体"/>
          <w:b/>
          <w:bCs/>
          <w:color w:val="auto"/>
          <w:sz w:val="24"/>
          <w:szCs w:val="22"/>
          <w:highlight w:val="none"/>
          <w:lang w:val="en-US" w:eastAsia="zh-CN"/>
        </w:rPr>
        <w:t>2</w:t>
      </w:r>
      <w:r>
        <w:rPr>
          <w:rFonts w:hint="eastAsia" w:ascii="宋体" w:hAnsi="宋体" w:eastAsia="宋体" w:cs="宋体"/>
          <w:color w:val="auto"/>
          <w:sz w:val="24"/>
          <w:szCs w:val="22"/>
          <w:highlight w:val="none"/>
        </w:rPr>
        <w:t>中标通知书发出时，招标人应登录韶关市公共资源一体化平台发起收缴履约担保并填写担保金金额、缴交时限和项目工期。收缴信息推送至中标人账号中，向中标人收缴履约担保。</w:t>
      </w:r>
    </w:p>
    <w:p w14:paraId="52D9B16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2"/>
          <w:highlight w:val="none"/>
        </w:rPr>
      </w:pPr>
      <w:r>
        <w:rPr>
          <w:rFonts w:hint="eastAsia" w:ascii="宋体" w:hAnsi="宋体" w:eastAsia="宋体" w:cs="宋体"/>
          <w:b/>
          <w:bCs/>
          <w:color w:val="auto"/>
          <w:sz w:val="24"/>
          <w:szCs w:val="22"/>
          <w:highlight w:val="none"/>
        </w:rPr>
        <w:t>3.</w:t>
      </w:r>
      <w:r>
        <w:rPr>
          <w:rFonts w:hint="eastAsia" w:ascii="宋体" w:hAnsi="宋体" w:eastAsia="宋体" w:cs="宋体"/>
          <w:b/>
          <w:bCs/>
          <w:color w:val="auto"/>
          <w:sz w:val="24"/>
          <w:szCs w:val="22"/>
          <w:highlight w:val="none"/>
          <w:lang w:val="en-US" w:eastAsia="zh-CN"/>
        </w:rPr>
        <w:t>3</w:t>
      </w:r>
      <w:r>
        <w:rPr>
          <w:rFonts w:hint="eastAsia" w:ascii="宋体" w:hAnsi="宋体" w:eastAsia="宋体" w:cs="宋体"/>
          <w:color w:val="auto"/>
          <w:sz w:val="24"/>
          <w:szCs w:val="22"/>
          <w:highlight w:val="none"/>
        </w:rPr>
        <w:t>项目通过竣工验收后招标人应登录韶关市公共资源一体化平台进行履约担保退回操作。</w:t>
      </w:r>
    </w:p>
    <w:p w14:paraId="472B688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2"/>
          <w:highlight w:val="none"/>
        </w:rPr>
      </w:pPr>
      <w:r>
        <w:rPr>
          <w:rFonts w:hint="eastAsia" w:ascii="宋体" w:hAnsi="宋体" w:eastAsia="宋体" w:cs="宋体"/>
          <w:b/>
          <w:bCs/>
          <w:color w:val="auto"/>
          <w:sz w:val="24"/>
          <w:szCs w:val="22"/>
          <w:highlight w:val="none"/>
        </w:rPr>
        <w:t>3.</w:t>
      </w:r>
      <w:r>
        <w:rPr>
          <w:rFonts w:hint="eastAsia" w:ascii="宋体" w:hAnsi="宋体" w:eastAsia="宋体" w:cs="宋体"/>
          <w:b/>
          <w:bCs/>
          <w:color w:val="auto"/>
          <w:sz w:val="24"/>
          <w:szCs w:val="22"/>
          <w:highlight w:val="none"/>
          <w:lang w:val="en-US" w:eastAsia="zh-CN"/>
        </w:rPr>
        <w:t>4</w:t>
      </w:r>
      <w:r>
        <w:rPr>
          <w:rFonts w:hint="eastAsia" w:ascii="宋体" w:hAnsi="宋体" w:eastAsia="宋体" w:cs="宋体"/>
          <w:color w:val="auto"/>
          <w:sz w:val="24"/>
          <w:szCs w:val="24"/>
        </w:rPr>
        <w:t>项目通过竣工验收之日后</w:t>
      </w:r>
      <w:r>
        <w:rPr>
          <w:rFonts w:hint="eastAsia" w:ascii="宋体" w:hAnsi="宋体" w:eastAsia="宋体" w:cs="宋体"/>
          <w:color w:val="auto"/>
          <w:sz w:val="24"/>
          <w:szCs w:val="22"/>
          <w:highlight w:val="none"/>
        </w:rPr>
        <w:t>28天内，招标人将履约担保退还给承包人。</w:t>
      </w:r>
    </w:p>
    <w:p w14:paraId="058081E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2"/>
          <w:highlight w:val="none"/>
        </w:rPr>
      </w:pPr>
      <w:r>
        <w:rPr>
          <w:rFonts w:hint="eastAsia" w:ascii="宋体" w:hAnsi="宋体" w:eastAsia="宋体" w:cs="宋体"/>
          <w:b/>
          <w:bCs/>
          <w:color w:val="auto"/>
          <w:sz w:val="24"/>
          <w:szCs w:val="22"/>
          <w:highlight w:val="none"/>
        </w:rPr>
        <w:t>3.</w:t>
      </w:r>
      <w:r>
        <w:rPr>
          <w:rFonts w:hint="eastAsia" w:ascii="宋体" w:hAnsi="宋体" w:eastAsia="宋体" w:cs="宋体"/>
          <w:b/>
          <w:bCs/>
          <w:color w:val="auto"/>
          <w:sz w:val="24"/>
          <w:szCs w:val="22"/>
          <w:highlight w:val="none"/>
          <w:lang w:val="en-US" w:eastAsia="zh-CN"/>
        </w:rPr>
        <w:t>5</w:t>
      </w:r>
      <w:r>
        <w:rPr>
          <w:rFonts w:hint="eastAsia" w:ascii="宋体" w:hAnsi="宋体" w:eastAsia="宋体" w:cs="宋体"/>
          <w:color w:val="auto"/>
          <w:sz w:val="24"/>
          <w:szCs w:val="22"/>
          <w:highlight w:val="none"/>
        </w:rPr>
        <w:t>项目延期竣工的，中标人应登录韶关市公共资源一体化平台办理延长履约担保期限。</w:t>
      </w:r>
    </w:p>
    <w:p w14:paraId="1EF4D2B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2"/>
          <w:highlight w:val="none"/>
        </w:rPr>
      </w:pPr>
      <w:r>
        <w:rPr>
          <w:rFonts w:hint="eastAsia" w:ascii="宋体" w:hAnsi="宋体" w:eastAsia="宋体" w:cs="宋体"/>
          <w:b/>
          <w:bCs/>
          <w:color w:val="auto"/>
          <w:sz w:val="24"/>
          <w:szCs w:val="22"/>
          <w:highlight w:val="none"/>
        </w:rPr>
        <w:t>3.</w:t>
      </w:r>
      <w:r>
        <w:rPr>
          <w:rFonts w:hint="eastAsia" w:ascii="宋体" w:hAnsi="宋体" w:eastAsia="宋体" w:cs="宋体"/>
          <w:b/>
          <w:bCs/>
          <w:color w:val="auto"/>
          <w:sz w:val="24"/>
          <w:szCs w:val="22"/>
          <w:highlight w:val="none"/>
          <w:lang w:val="en-US" w:eastAsia="zh-CN"/>
        </w:rPr>
        <w:t>6</w:t>
      </w:r>
      <w:r>
        <w:rPr>
          <w:rFonts w:hint="eastAsia" w:ascii="宋体" w:hAnsi="宋体" w:eastAsia="宋体" w:cs="宋体"/>
          <w:color w:val="auto"/>
          <w:sz w:val="24"/>
          <w:szCs w:val="22"/>
          <w:highlight w:val="none"/>
        </w:rPr>
        <w:t>中标人在领取中标通知书之后按有关规定及时提交履约保证。</w:t>
      </w:r>
    </w:p>
    <w:p w14:paraId="5907BD0A">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color w:val="auto"/>
          <w:sz w:val="24"/>
          <w:szCs w:val="22"/>
          <w:highlight w:val="none"/>
        </w:rPr>
        <w:t>3.</w:t>
      </w:r>
      <w:r>
        <w:rPr>
          <w:rFonts w:hint="eastAsia" w:ascii="宋体" w:hAnsi="宋体" w:eastAsia="宋体" w:cs="宋体"/>
          <w:b/>
          <w:bCs/>
          <w:color w:val="auto"/>
          <w:sz w:val="24"/>
          <w:szCs w:val="22"/>
          <w:highlight w:val="none"/>
          <w:lang w:val="en-US" w:eastAsia="zh-CN"/>
        </w:rPr>
        <w:t>7</w:t>
      </w:r>
      <w:r>
        <w:rPr>
          <w:rFonts w:hint="eastAsia" w:ascii="宋体" w:hAnsi="宋体" w:eastAsia="宋体" w:cs="宋体"/>
          <w:color w:val="auto"/>
          <w:sz w:val="24"/>
          <w:szCs w:val="22"/>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6AE92E6D">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p>
    <w:p w14:paraId="4E778795">
      <w:pPr>
        <w:pStyle w:val="5"/>
        <w:bidi w:val="0"/>
        <w:spacing w:line="360" w:lineRule="auto"/>
        <w:rPr>
          <w:rFonts w:hint="eastAsia" w:ascii="宋体" w:hAnsi="宋体" w:eastAsia="宋体" w:cs="宋体"/>
          <w:color w:val="auto"/>
        </w:rPr>
      </w:pPr>
      <w:bookmarkStart w:id="174" w:name="_Toc9821"/>
      <w:r>
        <w:rPr>
          <w:rFonts w:hint="eastAsia" w:ascii="宋体" w:hAnsi="宋体" w:eastAsia="宋体" w:cs="宋体"/>
          <w:color w:val="auto"/>
        </w:rPr>
        <w:t>4．合同订立</w:t>
      </w:r>
      <w:bookmarkEnd w:id="174"/>
    </w:p>
    <w:p w14:paraId="7585DDEA">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4.1</w:t>
      </w:r>
      <w:r>
        <w:rPr>
          <w:rFonts w:hint="eastAsia" w:ascii="宋体" w:hAnsi="宋体" w:eastAsia="宋体" w:cs="宋体"/>
          <w:snapToGrid w:val="0"/>
          <w:color w:val="auto"/>
          <w:kern w:val="0"/>
          <w:highlight w:val="none"/>
        </w:rPr>
        <w:t xml:space="preserve"> 招标人应当自中标通知书发出之日起</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u w:val="single"/>
          <w:lang w:val="en-US" w:eastAsia="zh-CN"/>
        </w:rPr>
        <w:t>30</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日内，按照招标文件、中标人的投标文件与中标人订立书面合同。</w:t>
      </w:r>
    </w:p>
    <w:p w14:paraId="500B5C5E">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w:t>
      </w:r>
      <w:r>
        <w:rPr>
          <w:rFonts w:hint="eastAsia" w:ascii="宋体" w:hAnsi="宋体" w:eastAsia="宋体" w:cs="宋体"/>
          <w:snapToGrid w:val="0"/>
          <w:color w:val="auto"/>
          <w:kern w:val="0"/>
          <w:highlight w:val="none"/>
        </w:rPr>
        <w:t xml:space="preserve"> 不正常报价的梳理和确认</w:t>
      </w:r>
    </w:p>
    <w:p w14:paraId="3C6E33DB">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4.2.1</w:t>
      </w:r>
      <w:r>
        <w:rPr>
          <w:rFonts w:hint="eastAsia" w:ascii="宋体" w:hAnsi="宋体" w:eastAsia="宋体" w:cs="宋体"/>
          <w:snapToGrid w:val="0"/>
          <w:color w:val="auto"/>
          <w:kern w:val="0"/>
          <w:highlight w:val="none"/>
        </w:rPr>
        <w:t xml:space="preserve"> </w:t>
      </w:r>
      <w:r>
        <w:rPr>
          <w:rFonts w:hint="eastAsia" w:ascii="宋体" w:hAnsi="宋体" w:eastAsia="宋体" w:cs="宋体"/>
          <w:b/>
          <w:bCs/>
          <w:snapToGrid w:val="0"/>
          <w:color w:val="auto"/>
          <w:kern w:val="0"/>
          <w:highlight w:val="none"/>
        </w:rPr>
        <w:t>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snapToGrid w:val="0"/>
          <w:color w:val="auto"/>
          <w:kern w:val="0"/>
          <w:highlight w:val="none"/>
        </w:rPr>
        <w:t>招标人不具备以上能力的，可授权编制本项目</w:t>
      </w:r>
      <w:r>
        <w:rPr>
          <w:rFonts w:hint="eastAsia" w:ascii="宋体" w:hAnsi="宋体" w:eastAsia="宋体" w:cs="宋体"/>
          <w:snapToGrid w:val="0"/>
          <w:color w:val="auto"/>
          <w:kern w:val="0"/>
          <w:highlight w:val="none"/>
          <w:lang w:eastAsia="zh-CN"/>
        </w:rPr>
        <w:t>最高投标限价</w:t>
      </w:r>
      <w:r>
        <w:rPr>
          <w:rFonts w:hint="eastAsia" w:ascii="宋体" w:hAnsi="宋体" w:eastAsia="宋体" w:cs="宋体"/>
          <w:snapToGrid w:val="0"/>
          <w:color w:val="auto"/>
          <w:kern w:val="0"/>
          <w:highlight w:val="none"/>
        </w:rPr>
        <w:t>的造价咨询单位实施。</w:t>
      </w:r>
    </w:p>
    <w:p w14:paraId="6558B3A6">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4.2.2</w:t>
      </w:r>
      <w:r>
        <w:rPr>
          <w:rFonts w:hint="eastAsia" w:ascii="宋体" w:hAnsi="宋体" w:eastAsia="宋体" w:cs="宋体"/>
          <w:snapToGrid w:val="0"/>
          <w:color w:val="auto"/>
          <w:kern w:val="0"/>
          <w:highlight w:val="none"/>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702E453C">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4.2.3</w:t>
      </w:r>
      <w:r>
        <w:rPr>
          <w:rFonts w:hint="eastAsia" w:ascii="宋体" w:hAnsi="宋体" w:eastAsia="宋体" w:cs="宋体"/>
          <w:snapToGrid w:val="0"/>
          <w:color w:val="auto"/>
          <w:kern w:val="0"/>
          <w:highlight w:val="none"/>
        </w:rPr>
        <w:t xml:space="preserve"> 错漏项的认定。中标人已标价工程量清单中，任一清单项目未填报价格或价格为零的，视为错漏项。</w:t>
      </w:r>
    </w:p>
    <w:p w14:paraId="7D05A169">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4.2.4</w:t>
      </w:r>
      <w:r>
        <w:rPr>
          <w:rFonts w:hint="eastAsia" w:ascii="宋体" w:hAnsi="宋体" w:eastAsia="宋体" w:cs="宋体"/>
          <w:snapToGrid w:val="0"/>
          <w:color w:val="auto"/>
          <w:kern w:val="0"/>
          <w:highlight w:val="none"/>
        </w:rPr>
        <w:t xml:space="preserve"> 不平衡报价的认定。经修正算术性错误后的中标人已标价工程量清单中，</w:t>
      </w:r>
      <w:r>
        <w:rPr>
          <w:rFonts w:hint="eastAsia" w:ascii="宋体" w:hAnsi="宋体" w:eastAsia="宋体" w:cs="宋体"/>
          <w:b/>
          <w:bCs/>
          <w:snapToGrid w:val="0"/>
          <w:color w:val="auto"/>
          <w:kern w:val="0"/>
          <w:highlight w:val="none"/>
          <w:u w:val="single"/>
        </w:rPr>
        <w:t>分部分项工程量清单项目的投标综合单价与</w:t>
      </w:r>
      <w:r>
        <w:rPr>
          <w:rFonts w:hint="eastAsia" w:ascii="宋体" w:hAnsi="宋体" w:eastAsia="宋体" w:cs="宋体"/>
          <w:b/>
          <w:bCs/>
          <w:snapToGrid w:val="0"/>
          <w:color w:val="auto"/>
          <w:kern w:val="0"/>
          <w:highlight w:val="none"/>
          <w:u w:val="single"/>
          <w:lang w:eastAsia="zh-CN"/>
        </w:rPr>
        <w:t>最高投标限价</w:t>
      </w:r>
      <w:r>
        <w:rPr>
          <w:rFonts w:hint="eastAsia" w:ascii="宋体" w:hAnsi="宋体" w:eastAsia="宋体" w:cs="宋体"/>
          <w:b/>
          <w:bCs/>
          <w:snapToGrid w:val="0"/>
          <w:color w:val="auto"/>
          <w:kern w:val="0"/>
          <w:highlight w:val="none"/>
          <w:u w:val="single"/>
        </w:rPr>
        <w:t>分部分项工程量清单项目的综合单价偏差≥20%</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的清单项目，视为不平衡报价项目。</w:t>
      </w:r>
    </w:p>
    <w:p w14:paraId="7E277DD2">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4.2.5</w:t>
      </w:r>
      <w:r>
        <w:rPr>
          <w:rFonts w:hint="eastAsia" w:ascii="宋体" w:hAnsi="宋体" w:eastAsia="宋体" w:cs="宋体"/>
          <w:snapToGrid w:val="0"/>
          <w:color w:val="auto"/>
          <w:kern w:val="0"/>
          <w:highlight w:val="none"/>
        </w:rPr>
        <w:t xml:space="preserve"> 招标人或其授权的造价咨询单位应就发现的以上所有不正常报价分类整理、汇总，形成《不正常报价清单》，并交中标人复核和确认。经招标人和中标人共同签字、盖章确认的《不正常报价清单》，构成施工合同的组成部分。</w:t>
      </w:r>
    </w:p>
    <w:p w14:paraId="78F778E1">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4.2.6</w:t>
      </w:r>
      <w:r>
        <w:rPr>
          <w:rFonts w:hint="eastAsia" w:ascii="宋体" w:hAnsi="宋体" w:eastAsia="宋体" w:cs="宋体"/>
          <w:snapToGrid w:val="0"/>
          <w:color w:val="auto"/>
          <w:kern w:val="0"/>
          <w:highlight w:val="none"/>
        </w:rPr>
        <w:t xml:space="preserve"> </w:t>
      </w:r>
      <w:r>
        <w:rPr>
          <w:rFonts w:hint="eastAsia" w:ascii="宋体" w:hAnsi="宋体" w:eastAsia="宋体" w:cs="宋体"/>
          <w:b/>
          <w:bCs/>
          <w:snapToGrid w:val="0"/>
          <w:color w:val="auto"/>
          <w:kern w:val="0"/>
          <w:highlight w:val="none"/>
        </w:rPr>
        <w:t>合同履行过程中，被认定为错漏项的清单项目，结算时按照第三章“拟签订合同的主要条款”第2.6条规定处理。</w:t>
      </w:r>
    </w:p>
    <w:p w14:paraId="558AD17B">
      <w:pPr>
        <w:wordWrap w:val="0"/>
        <w:adjustRightInd w:val="0"/>
        <w:snapToGrid w:val="0"/>
        <w:spacing w:line="360" w:lineRule="auto"/>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第2.3条的有关规定调整合同价款。</w:t>
      </w:r>
    </w:p>
    <w:p w14:paraId="0C9C79C6">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 xml:space="preserve">4.3 </w:t>
      </w:r>
      <w:r>
        <w:rPr>
          <w:rFonts w:hint="eastAsia" w:ascii="宋体" w:hAnsi="宋体" w:eastAsia="宋体" w:cs="宋体"/>
          <w:snapToGrid w:val="0"/>
          <w:color w:val="auto"/>
          <w:kern w:val="0"/>
          <w:highlight w:val="none"/>
        </w:rPr>
        <w:t>本招标项目合同计价方式为：</w:t>
      </w:r>
      <w:r>
        <w:rPr>
          <w:rFonts w:hint="eastAsia" w:ascii="宋体" w:hAnsi="宋体" w:eastAsia="宋体" w:cs="宋体"/>
          <w:snapToGrid w:val="0"/>
          <w:color w:val="auto"/>
          <w:kern w:val="0"/>
          <w:highlight w:val="none"/>
          <w:u w:val="single"/>
        </w:rPr>
        <w:t xml:space="preserve"> 单价 </w:t>
      </w:r>
      <w:r>
        <w:rPr>
          <w:rFonts w:hint="eastAsia" w:ascii="宋体" w:hAnsi="宋体" w:eastAsia="宋体" w:cs="宋体"/>
          <w:snapToGrid w:val="0"/>
          <w:color w:val="auto"/>
          <w:kern w:val="0"/>
          <w:highlight w:val="none"/>
        </w:rPr>
        <w:t>合同。</w:t>
      </w:r>
    </w:p>
    <w:p w14:paraId="519978E4">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4.4</w:t>
      </w:r>
      <w:r>
        <w:rPr>
          <w:rFonts w:hint="eastAsia" w:ascii="宋体" w:hAnsi="宋体" w:eastAsia="宋体" w:cs="宋体"/>
          <w:snapToGrid w:val="0"/>
          <w:color w:val="auto"/>
          <w:kern w:val="0"/>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2A640E25">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4.5</w:t>
      </w:r>
      <w:r>
        <w:rPr>
          <w:rFonts w:hint="eastAsia" w:ascii="宋体" w:hAnsi="宋体" w:eastAsia="宋体" w:cs="宋体"/>
          <w:snapToGrid w:val="0"/>
          <w:color w:val="auto"/>
          <w:kern w:val="0"/>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66A55A2C">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4.6</w:t>
      </w:r>
      <w:r>
        <w:rPr>
          <w:rFonts w:hint="eastAsia" w:ascii="宋体" w:hAnsi="宋体" w:eastAsia="宋体" w:cs="宋体"/>
          <w:snapToGrid w:val="0"/>
          <w:color w:val="auto"/>
          <w:kern w:val="0"/>
          <w:highlight w:val="none"/>
        </w:rPr>
        <w:t xml:space="preserve"> 在书面合同订立之日起2个工作日内，由中标人或招标</w:t>
      </w:r>
      <w:r>
        <w:rPr>
          <w:rFonts w:hint="eastAsia" w:ascii="宋体" w:hAnsi="宋体" w:eastAsia="宋体" w:cs="宋体"/>
          <w:snapToGrid w:val="0"/>
          <w:color w:val="auto"/>
          <w:kern w:val="0"/>
          <w:highlight w:val="none"/>
          <w:lang w:val="en-US" w:eastAsia="zh-CN"/>
        </w:rPr>
        <w:t>人</w:t>
      </w:r>
      <w:r>
        <w:rPr>
          <w:rFonts w:hint="eastAsia" w:ascii="宋体" w:hAnsi="宋体" w:eastAsia="宋体" w:cs="宋体"/>
          <w:snapToGrid w:val="0"/>
          <w:color w:val="auto"/>
          <w:kern w:val="0"/>
          <w:highlight w:val="none"/>
        </w:rPr>
        <w:t>将合同上传至建设工程交易系统，并发起退还投标保证的申请。韶关市公共资源交易中心在收到申请之日起3个工作日内，将投标保证金退还给中标人和其他中标候选人。</w:t>
      </w:r>
    </w:p>
    <w:p w14:paraId="43C8D710">
      <w:pPr>
        <w:wordWrap w:val="0"/>
        <w:adjustRightInd w:val="0"/>
        <w:snapToGrid w:val="0"/>
        <w:spacing w:line="360" w:lineRule="auto"/>
        <w:ind w:firstLine="482" w:firstLineChars="200"/>
        <w:rPr>
          <w:rFonts w:hint="eastAsia" w:ascii="宋体" w:hAnsi="宋体" w:eastAsia="宋体" w:cs="宋体"/>
          <w:b/>
          <w:bCs/>
          <w:snapToGrid w:val="0"/>
          <w:color w:val="auto"/>
          <w:kern w:val="0"/>
          <w:highlight w:val="none"/>
        </w:rPr>
      </w:pPr>
    </w:p>
    <w:p w14:paraId="4375DFA1">
      <w:pPr>
        <w:pStyle w:val="5"/>
        <w:bidi w:val="0"/>
        <w:spacing w:line="360" w:lineRule="auto"/>
        <w:ind w:firstLine="964"/>
        <w:rPr>
          <w:rFonts w:hint="eastAsia" w:ascii="宋体" w:hAnsi="宋体" w:eastAsia="宋体" w:cs="宋体"/>
          <w:color w:val="auto"/>
        </w:rPr>
      </w:pPr>
      <w:bookmarkStart w:id="175" w:name="_Toc6695"/>
      <w:r>
        <w:rPr>
          <w:rFonts w:hint="eastAsia" w:ascii="宋体" w:hAnsi="宋体" w:eastAsia="宋体" w:cs="宋体"/>
          <w:color w:val="auto"/>
        </w:rPr>
        <w:t>5．放弃中标的处理</w:t>
      </w:r>
      <w:bookmarkEnd w:id="175"/>
    </w:p>
    <w:p w14:paraId="729A45A3">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5.1</w:t>
      </w:r>
      <w:r>
        <w:rPr>
          <w:rFonts w:hint="eastAsia" w:ascii="宋体" w:hAnsi="宋体" w:eastAsia="宋体" w:cs="宋体"/>
          <w:snapToGrid w:val="0"/>
          <w:color w:val="auto"/>
          <w:kern w:val="0"/>
          <w:highlight w:val="none"/>
        </w:rPr>
        <w:t xml:space="preserve"> 中标人</w:t>
      </w:r>
      <w:r>
        <w:rPr>
          <w:rFonts w:hint="eastAsia" w:ascii="宋体" w:hAnsi="宋体" w:eastAsia="宋体" w:cs="宋体"/>
          <w:snapToGrid w:val="0"/>
          <w:color w:val="auto"/>
          <w:highlight w:val="none"/>
        </w:rPr>
        <w:t>无正当理由放弃中标的，</w:t>
      </w:r>
      <w:r>
        <w:rPr>
          <w:rFonts w:hint="eastAsia" w:ascii="宋体" w:hAnsi="宋体" w:eastAsia="宋体" w:cs="宋体"/>
          <w:snapToGrid w:val="0"/>
          <w:color w:val="auto"/>
          <w:kern w:val="0"/>
          <w:highlight w:val="none"/>
        </w:rPr>
        <w:t>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宋体" w:hAnsi="宋体" w:eastAsia="宋体" w:cs="宋体"/>
          <w:bCs/>
          <w:snapToGrid w:val="0"/>
          <w:color w:val="auto"/>
          <w:kern w:val="0"/>
          <w:highlight w:val="none"/>
        </w:rPr>
        <w:t>因此种情况造成招标人重新招标的</w:t>
      </w:r>
      <w:r>
        <w:rPr>
          <w:rFonts w:hint="eastAsia" w:ascii="宋体" w:hAnsi="宋体" w:eastAsia="宋体" w:cs="宋体"/>
          <w:snapToGrid w:val="0"/>
          <w:color w:val="auto"/>
          <w:kern w:val="0"/>
          <w:highlight w:val="none"/>
        </w:rPr>
        <w:t>，招标人可不接受该弃标人再次投标。同时，招标人应将该弃标人的失信行为向行政监督部门报告。</w:t>
      </w:r>
    </w:p>
    <w:p w14:paraId="17489473">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5.2</w:t>
      </w:r>
      <w:r>
        <w:rPr>
          <w:rFonts w:hint="eastAsia" w:ascii="宋体" w:hAnsi="宋体" w:eastAsia="宋体" w:cs="宋体"/>
          <w:snapToGrid w:val="0"/>
          <w:color w:val="auto"/>
          <w:kern w:val="0"/>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20E97176">
      <w:pPr>
        <w:pStyle w:val="148"/>
        <w:keepNext w:val="0"/>
        <w:keepLines w:val="0"/>
        <w:pageBreakBefore w:val="0"/>
        <w:widowControl/>
        <w:kinsoku/>
        <w:wordWrap/>
        <w:overflowPunct/>
        <w:topLinePunct w:val="0"/>
        <w:autoSpaceDE/>
        <w:autoSpaceDN/>
        <w:bidi w:val="0"/>
        <w:adjustRightInd/>
        <w:spacing w:line="360" w:lineRule="auto"/>
        <w:ind w:firstLine="470" w:firstLineChars="0"/>
        <w:textAlignment w:val="auto"/>
        <w:rPr>
          <w:rFonts w:hint="eastAsia" w:ascii="宋体" w:hAnsi="宋体" w:eastAsia="宋体" w:cs="宋体"/>
          <w:b/>
          <w:bCs/>
          <w:color w:val="auto"/>
          <w:kern w:val="2"/>
          <w:sz w:val="24"/>
          <w:szCs w:val="24"/>
          <w:highlight w:val="none"/>
          <w:shd w:val="clear" w:color="auto" w:fill="FFFFFF"/>
          <w:lang w:val="en-US" w:eastAsia="zh-CN" w:bidi="ar-SA"/>
        </w:rPr>
      </w:pPr>
    </w:p>
    <w:p w14:paraId="3D634CEF">
      <w:pPr>
        <w:pStyle w:val="148"/>
        <w:keepNext w:val="0"/>
        <w:keepLines w:val="0"/>
        <w:pageBreakBefore w:val="0"/>
        <w:widowControl/>
        <w:kinsoku/>
        <w:wordWrap/>
        <w:overflowPunct/>
        <w:topLinePunct w:val="0"/>
        <w:autoSpaceDE/>
        <w:autoSpaceDN/>
        <w:bidi w:val="0"/>
        <w:adjustRightInd/>
        <w:spacing w:line="360" w:lineRule="auto"/>
        <w:ind w:firstLine="470" w:firstLineChars="0"/>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6.</w:t>
      </w:r>
      <w:r>
        <w:rPr>
          <w:rFonts w:hint="eastAsia" w:ascii="宋体" w:hAnsi="宋体" w:eastAsia="宋体" w:cs="宋体"/>
          <w:b w:val="0"/>
          <w:bCs w:val="0"/>
          <w:color w:val="auto"/>
          <w:kern w:val="2"/>
          <w:sz w:val="24"/>
          <w:szCs w:val="24"/>
          <w:highlight w:val="none"/>
          <w:shd w:val="clear" w:color="auto" w:fill="FFFFFF"/>
          <w:lang w:val="en-US" w:eastAsia="zh-CN" w:bidi="ar-SA"/>
        </w:rPr>
        <w:t>招标代理服务费的支付：本项目的招标代理服务费</w:t>
      </w:r>
      <w:r>
        <w:rPr>
          <w:rFonts w:hint="eastAsia" w:ascii="宋体" w:hAnsi="宋体" w:cs="宋体"/>
          <w:b w:val="0"/>
          <w:bCs w:val="0"/>
          <w:color w:val="auto"/>
          <w:kern w:val="2"/>
          <w:sz w:val="24"/>
          <w:szCs w:val="24"/>
          <w:highlight w:val="none"/>
          <w:shd w:val="clear" w:color="auto" w:fill="FFFFFF"/>
          <w:lang w:val="en-US" w:eastAsia="zh-CN" w:bidi="ar-SA"/>
        </w:rPr>
        <w:t>和评审专家</w:t>
      </w:r>
      <w:r>
        <w:rPr>
          <w:rFonts w:hint="eastAsia" w:ascii="宋体" w:hAnsi="宋体" w:eastAsia="宋体" w:cs="宋体"/>
          <w:b w:val="0"/>
          <w:bCs w:val="0"/>
          <w:color w:val="auto"/>
          <w:kern w:val="2"/>
          <w:sz w:val="24"/>
          <w:szCs w:val="24"/>
          <w:highlight w:val="none"/>
          <w:shd w:val="clear" w:color="auto" w:fill="FFFFFF"/>
          <w:lang w:val="en-US" w:eastAsia="zh-CN" w:bidi="ar-SA"/>
        </w:rPr>
        <w:t>全部由中标人支付，该费用不再另行报价，由投标人在投标报价时综合考虑在内。招标代理服务费参照按《招标代理服务收费管理暂行办法》（计价格[2002]1980号文）计取。</w:t>
      </w:r>
    </w:p>
    <w:p w14:paraId="5A30A767">
      <w:pPr>
        <w:pStyle w:val="148"/>
        <w:keepNext w:val="0"/>
        <w:keepLines w:val="0"/>
        <w:pageBreakBefore w:val="0"/>
        <w:widowControl/>
        <w:kinsoku/>
        <w:wordWrap/>
        <w:overflowPunct/>
        <w:topLinePunct w:val="0"/>
        <w:autoSpaceDE/>
        <w:autoSpaceDN/>
        <w:bidi w:val="0"/>
        <w:adjustRightInd/>
        <w:spacing w:line="360" w:lineRule="auto"/>
        <w:ind w:firstLine="470" w:firstLineChars="0"/>
        <w:textAlignment w:val="auto"/>
        <w:rPr>
          <w:rFonts w:hint="eastAsia" w:ascii="宋体" w:hAnsi="宋体" w:eastAsia="宋体" w:cs="宋体"/>
          <w:color w:val="auto"/>
          <w:kern w:val="2"/>
          <w:sz w:val="24"/>
          <w:szCs w:val="24"/>
          <w:highlight w:val="none"/>
          <w:shd w:val="clear" w:color="auto" w:fill="FFFFFF"/>
          <w:lang w:val="en-US" w:eastAsia="zh-CN" w:bidi="ar-SA"/>
        </w:rPr>
      </w:pPr>
    </w:p>
    <w:p w14:paraId="0E39B07B">
      <w:pPr>
        <w:rPr>
          <w:rFonts w:hint="eastAsia" w:ascii="宋体" w:hAnsi="宋体" w:eastAsia="宋体" w:cs="宋体"/>
          <w:b/>
          <w:snapToGrid w:val="0"/>
          <w:color w:val="auto"/>
          <w:sz w:val="24"/>
          <w:highlight w:val="none"/>
          <w:lang w:val="en-US" w:eastAsia="zh-CN"/>
        </w:rPr>
      </w:pPr>
      <w:bookmarkStart w:id="176" w:name="_Toc24436"/>
      <w:r>
        <w:rPr>
          <w:rFonts w:hint="eastAsia" w:ascii="宋体" w:hAnsi="宋体" w:eastAsia="宋体" w:cs="宋体"/>
          <w:b/>
          <w:snapToGrid w:val="0"/>
          <w:color w:val="auto"/>
          <w:sz w:val="24"/>
          <w:highlight w:val="none"/>
          <w:lang w:val="en-US" w:eastAsia="zh-CN"/>
        </w:rPr>
        <w:br w:type="page"/>
      </w:r>
    </w:p>
    <w:p w14:paraId="040426AF">
      <w:pPr>
        <w:pStyle w:val="3"/>
        <w:wordWrap w:val="0"/>
        <w:autoSpaceDE/>
        <w:autoSpaceDN/>
        <w:snapToGrid w:val="0"/>
        <w:spacing w:line="440" w:lineRule="exact"/>
        <w:jc w:val="center"/>
        <w:rPr>
          <w:rFonts w:hint="eastAsia" w:ascii="宋体" w:hAnsi="宋体" w:eastAsia="宋体" w:cs="宋体"/>
          <w:b/>
          <w:snapToGrid w:val="0"/>
          <w:color w:val="auto"/>
          <w:sz w:val="24"/>
          <w:highlight w:val="none"/>
          <w:lang w:val="en-US" w:eastAsia="zh-CN"/>
        </w:rPr>
      </w:pPr>
      <w:r>
        <w:rPr>
          <w:rFonts w:hint="eastAsia" w:ascii="宋体" w:hAnsi="宋体" w:eastAsia="宋体" w:cs="宋体"/>
          <w:b/>
          <w:snapToGrid w:val="0"/>
          <w:color w:val="auto"/>
          <w:sz w:val="24"/>
          <w:highlight w:val="none"/>
          <w:lang w:val="en-US" w:eastAsia="zh-CN"/>
        </w:rPr>
        <w:t>第三章</w:t>
      </w:r>
      <w:bookmarkStart w:id="177" w:name="_Hlt87793831"/>
      <w:bookmarkEnd w:id="177"/>
      <w:r>
        <w:rPr>
          <w:rFonts w:hint="eastAsia" w:ascii="宋体" w:hAnsi="宋体" w:eastAsia="宋体" w:cs="宋体"/>
          <w:b/>
          <w:snapToGrid w:val="0"/>
          <w:color w:val="auto"/>
          <w:sz w:val="24"/>
          <w:highlight w:val="none"/>
          <w:lang w:val="en-US" w:eastAsia="zh-CN"/>
        </w:rPr>
        <w:t xml:space="preserve"> 拟签订合同的主要条款</w:t>
      </w:r>
      <w:bookmarkEnd w:id="166"/>
      <w:bookmarkEnd w:id="167"/>
      <w:bookmarkEnd w:id="176"/>
    </w:p>
    <w:bookmarkEnd w:id="168"/>
    <w:bookmarkEnd w:id="169"/>
    <w:p w14:paraId="311BC8F6">
      <w:pPr>
        <w:pStyle w:val="4"/>
        <w:wordWrap w:val="0"/>
        <w:autoSpaceDE/>
        <w:autoSpaceDN/>
        <w:snapToGrid w:val="0"/>
        <w:spacing w:line="440" w:lineRule="exact"/>
        <w:ind w:firstLine="480"/>
        <w:jc w:val="both"/>
        <w:rPr>
          <w:rFonts w:hint="eastAsia" w:ascii="宋体" w:hAnsi="宋体" w:eastAsia="宋体" w:cs="宋体"/>
          <w:b/>
          <w:snapToGrid w:val="0"/>
          <w:color w:val="auto"/>
          <w:highlight w:val="none"/>
        </w:rPr>
      </w:pPr>
      <w:bookmarkStart w:id="178" w:name="_Toc322793288"/>
      <w:bookmarkStart w:id="179" w:name="_Toc2688"/>
      <w:bookmarkStart w:id="180" w:name="_Toc326916629"/>
    </w:p>
    <w:p w14:paraId="7B3F3A34">
      <w:pPr>
        <w:pStyle w:val="5"/>
        <w:bidi w:val="0"/>
        <w:ind w:firstLine="964"/>
        <w:rPr>
          <w:rFonts w:hint="eastAsia" w:ascii="宋体" w:hAnsi="宋体" w:eastAsia="宋体" w:cs="宋体"/>
          <w:color w:val="auto"/>
        </w:rPr>
      </w:pPr>
      <w:bookmarkStart w:id="181" w:name="_Toc12150"/>
      <w:bookmarkStart w:id="182" w:name="_Toc17021"/>
      <w:bookmarkStart w:id="183" w:name="_Toc28441"/>
      <w:r>
        <w:rPr>
          <w:rFonts w:hint="eastAsia" w:ascii="宋体" w:hAnsi="宋体" w:eastAsia="宋体" w:cs="宋体"/>
          <w:color w:val="auto"/>
        </w:rPr>
        <w:t>1．工程承包方式</w:t>
      </w:r>
      <w:bookmarkEnd w:id="178"/>
      <w:bookmarkEnd w:id="179"/>
      <w:bookmarkEnd w:id="180"/>
      <w:bookmarkEnd w:id="181"/>
      <w:bookmarkEnd w:id="182"/>
      <w:bookmarkEnd w:id="183"/>
    </w:p>
    <w:p w14:paraId="207CD343">
      <w:pPr>
        <w:wordWrap w:val="0"/>
        <w:adjustRightInd w:val="0"/>
        <w:snapToGrid w:val="0"/>
        <w:spacing w:line="440" w:lineRule="exact"/>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1.1</w:t>
      </w:r>
      <w:r>
        <w:rPr>
          <w:rFonts w:hint="eastAsia" w:ascii="宋体" w:hAnsi="宋体" w:eastAsia="宋体" w:cs="宋体"/>
          <w:snapToGrid w:val="0"/>
          <w:color w:val="auto"/>
          <w:kern w:val="0"/>
          <w:highlight w:val="none"/>
        </w:rPr>
        <w:t xml:space="preserve"> 承包人以中标价按包工</w:t>
      </w:r>
      <w:bookmarkStart w:id="184" w:name="_Hlt87948212"/>
      <w:bookmarkEnd w:id="184"/>
      <w:r>
        <w:rPr>
          <w:rFonts w:hint="eastAsia" w:ascii="宋体" w:hAnsi="宋体" w:eastAsia="宋体" w:cs="宋体"/>
          <w:snapToGrid w:val="0"/>
          <w:color w:val="auto"/>
          <w:kern w:val="0"/>
          <w:highlight w:val="none"/>
        </w:rPr>
        <w:t>包料、包质量、包安全包文明施工、包工期方式总承包施工，不允许转包和违法分包，如果确需分包须与发包人协商，在得到发包人和监理单位同意后报建设行政主管部门备案。</w:t>
      </w:r>
    </w:p>
    <w:p w14:paraId="07862F77">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1.1.1</w:t>
      </w:r>
      <w:r>
        <w:rPr>
          <w:rFonts w:hint="eastAsia" w:ascii="宋体" w:hAnsi="宋体" w:eastAsia="宋体" w:cs="宋体"/>
          <w:snapToGrid w:val="0"/>
          <w:color w:val="auto"/>
          <w:kern w:val="0"/>
          <w:highlight w:val="none"/>
        </w:rPr>
        <w:t xml:space="preserve"> 包工包料：材料符合招标文件要求并报验使用；办理用工保险。</w:t>
      </w:r>
    </w:p>
    <w:p w14:paraId="3BACB0B2">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1.1.2</w:t>
      </w:r>
      <w:r>
        <w:rPr>
          <w:rFonts w:hint="eastAsia" w:ascii="宋体" w:hAnsi="宋体" w:eastAsia="宋体" w:cs="宋体"/>
          <w:snapToGrid w:val="0"/>
          <w:color w:val="auto"/>
          <w:kern w:val="0"/>
          <w:highlight w:val="none"/>
        </w:rPr>
        <w:t xml:space="preserve"> 包质量：符合招标文件要求。</w:t>
      </w:r>
    </w:p>
    <w:p w14:paraId="6D745C9D">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1.1.3</w:t>
      </w:r>
      <w:r>
        <w:rPr>
          <w:rFonts w:hint="eastAsia" w:ascii="宋体" w:hAnsi="宋体" w:eastAsia="宋体" w:cs="宋体"/>
          <w:snapToGrid w:val="0"/>
          <w:color w:val="auto"/>
          <w:kern w:val="0"/>
          <w:highlight w:val="none"/>
        </w:rPr>
        <w:t xml:space="preserve"> 包安全包文明施工：符合招标文件要求。</w:t>
      </w:r>
    </w:p>
    <w:p w14:paraId="5D39D0D9">
      <w:pPr>
        <w:wordWrap w:val="0"/>
        <w:adjustRightInd w:val="0"/>
        <w:snapToGrid w:val="0"/>
        <w:spacing w:line="440" w:lineRule="exact"/>
        <w:ind w:firstLine="56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 xml:space="preserve">1.1.4 </w:t>
      </w:r>
      <w:r>
        <w:rPr>
          <w:rFonts w:hint="eastAsia" w:ascii="宋体" w:hAnsi="宋体" w:eastAsia="宋体" w:cs="宋体"/>
          <w:snapToGrid w:val="0"/>
          <w:color w:val="auto"/>
          <w:kern w:val="0"/>
          <w:highlight w:val="none"/>
        </w:rPr>
        <w:t>包工期：本招标项目施工必须在招标工期内完成。</w:t>
      </w:r>
    </w:p>
    <w:p w14:paraId="21564866">
      <w:pPr>
        <w:wordWrap w:val="0"/>
        <w:adjustRightInd w:val="0"/>
        <w:snapToGrid w:val="0"/>
        <w:spacing w:line="440" w:lineRule="exact"/>
        <w:ind w:firstLine="560"/>
        <w:rPr>
          <w:rFonts w:hint="eastAsia" w:ascii="宋体" w:hAnsi="宋体" w:eastAsia="宋体" w:cs="宋体"/>
          <w:snapToGrid w:val="0"/>
          <w:color w:val="auto"/>
          <w:kern w:val="0"/>
          <w:highlight w:val="none"/>
        </w:rPr>
      </w:pPr>
    </w:p>
    <w:p w14:paraId="6DB5E88B">
      <w:pPr>
        <w:pStyle w:val="5"/>
        <w:bidi w:val="0"/>
        <w:ind w:firstLine="964"/>
        <w:rPr>
          <w:rFonts w:hint="eastAsia" w:ascii="宋体" w:hAnsi="宋体" w:eastAsia="宋体" w:cs="宋体"/>
          <w:color w:val="auto"/>
        </w:rPr>
      </w:pPr>
      <w:bookmarkStart w:id="185" w:name="_2、工程结算原则"/>
      <w:bookmarkEnd w:id="185"/>
      <w:bookmarkStart w:id="186" w:name="_Toc322793289"/>
      <w:bookmarkStart w:id="187" w:name="_Toc326916630"/>
      <w:bookmarkStart w:id="188" w:name="_Toc27001"/>
      <w:bookmarkStart w:id="189" w:name="_Toc9168"/>
      <w:bookmarkStart w:id="190" w:name="_Toc3107"/>
      <w:bookmarkStart w:id="191" w:name="_Toc21894"/>
      <w:bookmarkStart w:id="192" w:name="_Hlt87948447"/>
      <w:bookmarkStart w:id="193" w:name="_Hlt87948449"/>
      <w:r>
        <w:rPr>
          <w:rFonts w:hint="eastAsia" w:ascii="宋体" w:hAnsi="宋体" w:eastAsia="宋体" w:cs="宋体"/>
          <w:color w:val="auto"/>
        </w:rPr>
        <w:t>2．工程结算原则</w:t>
      </w:r>
      <w:bookmarkEnd w:id="186"/>
      <w:bookmarkEnd w:id="187"/>
      <w:bookmarkEnd w:id="188"/>
      <w:bookmarkEnd w:id="189"/>
      <w:bookmarkEnd w:id="190"/>
      <w:bookmarkEnd w:id="191"/>
    </w:p>
    <w:p w14:paraId="3B1C80AA">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bookmarkStart w:id="194" w:name="_Hlt88974053"/>
      <w:bookmarkEnd w:id="194"/>
      <w:r>
        <w:rPr>
          <w:rFonts w:hint="eastAsia" w:ascii="宋体" w:hAnsi="宋体" w:eastAsia="宋体" w:cs="宋体"/>
          <w:b/>
          <w:bCs/>
          <w:snapToGrid w:val="0"/>
          <w:color w:val="auto"/>
          <w:kern w:val="0"/>
          <w:szCs w:val="24"/>
          <w:highlight w:val="none"/>
        </w:rPr>
        <w:t>2.1</w:t>
      </w: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highlight w:val="none"/>
        </w:rPr>
        <w:t>承包</w:t>
      </w:r>
      <w:r>
        <w:rPr>
          <w:rFonts w:hint="eastAsia" w:ascii="宋体" w:hAnsi="宋体" w:eastAsia="宋体" w:cs="宋体"/>
          <w:snapToGrid w:val="0"/>
          <w:color w:val="auto"/>
          <w:kern w:val="0"/>
          <w:szCs w:val="24"/>
          <w:highlight w:val="none"/>
        </w:rPr>
        <w:t>人的投标总价为中标价，即为签约合同价。</w:t>
      </w:r>
    </w:p>
    <w:p w14:paraId="0B6A5EF6">
      <w:pPr>
        <w:wordWrap w:val="0"/>
        <w:adjustRightInd w:val="0"/>
        <w:snapToGrid w:val="0"/>
        <w:spacing w:line="440" w:lineRule="exact"/>
        <w:ind w:firstLine="480"/>
        <w:rPr>
          <w:rFonts w:hint="eastAsia" w:ascii="宋体" w:hAnsi="宋体" w:eastAsia="宋体" w:cs="宋体"/>
          <w:color w:val="auto"/>
          <w:highlight w:val="none"/>
        </w:rPr>
      </w:pPr>
      <w:r>
        <w:rPr>
          <w:rFonts w:hint="eastAsia" w:ascii="宋体" w:hAnsi="宋体" w:eastAsia="宋体" w:cs="宋体"/>
          <w:b/>
          <w:bCs/>
          <w:snapToGrid w:val="0"/>
          <w:color w:val="auto"/>
          <w:kern w:val="0"/>
          <w:szCs w:val="24"/>
          <w:highlight w:val="none"/>
        </w:rPr>
        <w:t>2.2</w:t>
      </w:r>
      <w:r>
        <w:rPr>
          <w:rFonts w:hint="eastAsia" w:ascii="宋体" w:hAnsi="宋体" w:eastAsia="宋体" w:cs="宋体"/>
          <w:snapToGrid w:val="0"/>
          <w:color w:val="auto"/>
          <w:kern w:val="0"/>
          <w:szCs w:val="24"/>
          <w:highlight w:val="none"/>
        </w:rPr>
        <w:t xml:space="preserve"> 招标工程量清单标明的工程量是投标人投标报价的共同基础，竣工结算的工程量按</w:t>
      </w:r>
      <w:r>
        <w:rPr>
          <w:rFonts w:hint="eastAsia" w:ascii="宋体" w:hAnsi="宋体" w:eastAsia="宋体" w:cs="宋体"/>
          <w:snapToGrid w:val="0"/>
          <w:color w:val="auto"/>
          <w:kern w:val="0"/>
          <w:sz w:val="24"/>
          <w:szCs w:val="24"/>
          <w:highlight w:val="none"/>
          <w:lang w:val="en-US" w:eastAsia="zh-CN"/>
        </w:rPr>
        <w:t>《建设工程工程量清单计价标准》(GB/T50500-2024)</w:t>
      </w:r>
      <w:r>
        <w:rPr>
          <w:rFonts w:hint="eastAsia" w:ascii="宋体" w:hAnsi="宋体" w:eastAsia="宋体" w:cs="宋体"/>
          <w:snapToGrid w:val="0"/>
          <w:color w:val="auto"/>
          <w:kern w:val="0"/>
          <w:szCs w:val="24"/>
          <w:highlight w:val="none"/>
        </w:rPr>
        <w:t>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113F0888">
      <w:pPr>
        <w:spacing w:line="240" w:lineRule="auto"/>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w:t>
      </w:r>
      <w:r>
        <w:rPr>
          <w:rFonts w:hint="eastAsia" w:ascii="宋体" w:hAnsi="宋体" w:eastAsia="宋体" w:cs="宋体"/>
          <w:snapToGrid w:val="0"/>
          <w:color w:val="auto"/>
          <w:kern w:val="0"/>
          <w:szCs w:val="24"/>
          <w:highlight w:val="none"/>
        </w:rPr>
        <w:t xml:space="preserve"> 施工合同履行期间，若出现下列情形的，发、承包双方应当按照以下规定调整合同价款：</w:t>
      </w:r>
    </w:p>
    <w:p w14:paraId="3C4CC2D4">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2.3.1</w:t>
      </w:r>
      <w:r>
        <w:rPr>
          <w:rFonts w:hint="eastAsia" w:ascii="宋体" w:hAnsi="宋体" w:eastAsia="宋体" w:cs="宋体"/>
          <w:snapToGrid w:val="0"/>
          <w:color w:val="auto"/>
          <w:kern w:val="0"/>
          <w:szCs w:val="24"/>
          <w:highlight w:val="none"/>
        </w:rPr>
        <w:t xml:space="preserve"> 法律法规变化</w:t>
      </w:r>
    </w:p>
    <w:p w14:paraId="431CEA75">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2.3.1.1</w:t>
      </w:r>
      <w:r>
        <w:rPr>
          <w:rFonts w:hint="eastAsia" w:ascii="宋体" w:hAnsi="宋体" w:eastAsia="宋体" w:cs="宋体"/>
          <w:snapToGrid w:val="0"/>
          <w:color w:val="auto"/>
          <w:kern w:val="0"/>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38C06DB2">
      <w:pPr>
        <w:wordWrap w:val="0"/>
        <w:adjustRightInd w:val="0"/>
        <w:snapToGrid w:val="0"/>
        <w:spacing w:line="440" w:lineRule="exact"/>
        <w:ind w:firstLine="480"/>
        <w:rPr>
          <w:rFonts w:hint="eastAsia"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rPr>
        <w:t>注：本招标文件所称“基准日”，均指投标文件递交截止时间（见第一章第二节“重要事项时间地点一览表”）前28天。</w:t>
      </w:r>
    </w:p>
    <w:p w14:paraId="16991919">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2.3.1.2</w:t>
      </w:r>
      <w:r>
        <w:rPr>
          <w:rFonts w:hint="eastAsia" w:ascii="宋体" w:hAnsi="宋体" w:eastAsia="宋体" w:cs="宋体"/>
          <w:snapToGrid w:val="0"/>
          <w:color w:val="auto"/>
          <w:kern w:val="0"/>
          <w:szCs w:val="24"/>
          <w:highlight w:val="none"/>
        </w:rPr>
        <w:t xml:space="preserve"> 因承包人原因导致工程延误，本章第</w:t>
      </w:r>
      <w:r>
        <w:rPr>
          <w:rFonts w:hint="eastAsia" w:ascii="宋体" w:hAnsi="宋体" w:eastAsia="宋体" w:cs="宋体"/>
          <w:b/>
          <w:bCs/>
          <w:snapToGrid w:val="0"/>
          <w:color w:val="auto"/>
          <w:kern w:val="0"/>
          <w:szCs w:val="24"/>
          <w:highlight w:val="none"/>
        </w:rPr>
        <w:t>2.3.1.1</w:t>
      </w:r>
      <w:r>
        <w:rPr>
          <w:rFonts w:hint="eastAsia" w:ascii="宋体" w:hAnsi="宋体" w:eastAsia="宋体" w:cs="宋体"/>
          <w:snapToGrid w:val="0"/>
          <w:color w:val="auto"/>
          <w:kern w:val="0"/>
          <w:szCs w:val="24"/>
          <w:highlight w:val="none"/>
        </w:rPr>
        <w:t>子目中的法定机构根据国家法律法规变化发布新规的时间在合同工程原定竣工时间之后的，合同价款调增的不予调整，合同价款调减的予以调整。</w:t>
      </w:r>
    </w:p>
    <w:p w14:paraId="22AD9081">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2.3.2</w:t>
      </w:r>
      <w:r>
        <w:rPr>
          <w:rFonts w:hint="eastAsia" w:ascii="宋体" w:hAnsi="宋体" w:eastAsia="宋体" w:cs="宋体"/>
          <w:snapToGrid w:val="0"/>
          <w:color w:val="auto"/>
          <w:kern w:val="0"/>
          <w:szCs w:val="24"/>
          <w:highlight w:val="none"/>
        </w:rPr>
        <w:t xml:space="preserve"> 工程量偏差或变化</w:t>
      </w:r>
    </w:p>
    <w:p w14:paraId="12EDF1AC">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2.3.2.1</w:t>
      </w:r>
      <w:r>
        <w:rPr>
          <w:rFonts w:hint="eastAsia" w:ascii="宋体" w:hAnsi="宋体" w:eastAsia="宋体" w:cs="宋体"/>
          <w:snapToGrid w:val="0"/>
          <w:color w:val="auto"/>
          <w:kern w:val="0"/>
          <w:szCs w:val="24"/>
          <w:highlight w:val="none"/>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bookmarkEnd w:id="192"/>
    <w:bookmarkEnd w:id="193"/>
    <w:p w14:paraId="39ED405F">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bookmarkStart w:id="195" w:name="_Toc322793290"/>
      <w:bookmarkStart w:id="196" w:name="_Toc326916631"/>
      <w:bookmarkStart w:id="197" w:name="_Toc14272"/>
      <w:bookmarkStart w:id="198" w:name="_Hlt87951777"/>
      <w:r>
        <w:rPr>
          <w:rFonts w:hint="eastAsia" w:ascii="宋体" w:hAnsi="宋体" w:eastAsia="宋体" w:cs="宋体"/>
          <w:snapToGrid w:val="0"/>
          <w:color w:val="auto"/>
          <w:kern w:val="0"/>
          <w:szCs w:val="24"/>
          <w:highlight w:val="none"/>
        </w:rPr>
        <w:t>对于合理报价的清单项目，当工程量增加超过15%时，增加部分的工程量的综合单价以</w:t>
      </w:r>
      <w:r>
        <w:rPr>
          <w:rFonts w:hint="eastAsia" w:ascii="宋体" w:hAnsi="宋体" w:eastAsia="宋体" w:cs="宋体"/>
          <w:b/>
          <w:bCs/>
          <w:snapToGrid w:val="0"/>
          <w:color w:val="auto"/>
          <w:kern w:val="0"/>
          <w:sz w:val="24"/>
          <w:szCs w:val="24"/>
          <w:highlight w:val="none"/>
          <w:u w:val="single"/>
        </w:rPr>
        <w:t>该分部分项工程量清单项目原综合单价</w:t>
      </w:r>
      <w:r>
        <w:rPr>
          <w:rFonts w:hint="eastAsia" w:ascii="宋体" w:hAnsi="宋体" w:eastAsia="宋体" w:cs="宋体"/>
          <w:snapToGrid w:val="0"/>
          <w:color w:val="auto"/>
          <w:kern w:val="0"/>
          <w:szCs w:val="24"/>
          <w:highlight w:val="none"/>
        </w:rPr>
        <w:t>为基价调低</w:t>
      </w:r>
      <w:r>
        <w:rPr>
          <w:rFonts w:hint="eastAsia" w:ascii="宋体" w:hAnsi="宋体" w:eastAsia="宋体" w:cs="宋体"/>
          <w:b/>
          <w:bCs/>
          <w:snapToGrid w:val="0"/>
          <w:color w:val="auto"/>
          <w:kern w:val="0"/>
          <w:sz w:val="24"/>
          <w:szCs w:val="24"/>
          <w:highlight w:val="none"/>
          <w:u w:val="single"/>
        </w:rPr>
        <w:t>该分部分项工程量清单项目原综合单价的3</w:t>
      </w:r>
      <w:r>
        <w:rPr>
          <w:rFonts w:hint="eastAsia" w:ascii="宋体" w:hAnsi="宋体" w:eastAsia="宋体" w:cs="宋体"/>
          <w:snapToGrid w:val="0"/>
          <w:color w:val="auto"/>
          <w:kern w:val="0"/>
          <w:szCs w:val="24"/>
          <w:highlight w:val="none"/>
        </w:rPr>
        <w:t>%；当工程量</w:t>
      </w:r>
      <w:r>
        <w:rPr>
          <w:rFonts w:hint="eastAsia" w:ascii="宋体" w:hAnsi="宋体" w:eastAsia="宋体" w:cs="宋体"/>
          <w:snapToGrid w:val="0"/>
          <w:color w:val="auto"/>
          <w:kern w:val="0"/>
          <w:szCs w:val="24"/>
          <w:highlight w:val="none"/>
          <w:lang w:val="en-US" w:eastAsia="zh-CN"/>
        </w:rPr>
        <w:t>减少</w:t>
      </w:r>
      <w:r>
        <w:rPr>
          <w:rFonts w:hint="eastAsia" w:ascii="宋体" w:hAnsi="宋体" w:eastAsia="宋体" w:cs="宋体"/>
          <w:snapToGrid w:val="0"/>
          <w:color w:val="auto"/>
          <w:kern w:val="0"/>
          <w:szCs w:val="24"/>
          <w:highlight w:val="none"/>
        </w:rPr>
        <w:t>超过15%时，</w:t>
      </w:r>
      <w:r>
        <w:rPr>
          <w:rFonts w:hint="eastAsia" w:ascii="宋体" w:hAnsi="宋体" w:eastAsia="宋体" w:cs="宋体"/>
          <w:snapToGrid w:val="0"/>
          <w:color w:val="auto"/>
          <w:kern w:val="0"/>
          <w:szCs w:val="24"/>
          <w:highlight w:val="none"/>
          <w:lang w:val="en-US" w:eastAsia="zh-CN"/>
        </w:rPr>
        <w:t>减少后剩余</w:t>
      </w:r>
      <w:r>
        <w:rPr>
          <w:rFonts w:hint="eastAsia" w:ascii="宋体" w:hAnsi="宋体" w:eastAsia="宋体" w:cs="宋体"/>
          <w:snapToGrid w:val="0"/>
          <w:color w:val="auto"/>
          <w:kern w:val="0"/>
          <w:szCs w:val="24"/>
          <w:highlight w:val="none"/>
        </w:rPr>
        <w:t>部分的工程量的综合单价以</w:t>
      </w:r>
      <w:r>
        <w:rPr>
          <w:rFonts w:hint="eastAsia" w:ascii="宋体" w:hAnsi="宋体" w:eastAsia="宋体" w:cs="宋体"/>
          <w:b/>
          <w:bCs/>
          <w:snapToGrid w:val="0"/>
          <w:color w:val="auto"/>
          <w:kern w:val="0"/>
          <w:sz w:val="24"/>
          <w:szCs w:val="24"/>
          <w:highlight w:val="none"/>
          <w:u w:val="single"/>
        </w:rPr>
        <w:t>该分部分项工程量清单项目原综合单价</w:t>
      </w:r>
      <w:r>
        <w:rPr>
          <w:rFonts w:hint="eastAsia" w:ascii="宋体" w:hAnsi="宋体" w:eastAsia="宋体" w:cs="宋体"/>
          <w:snapToGrid w:val="0"/>
          <w:color w:val="auto"/>
          <w:kern w:val="0"/>
          <w:sz w:val="24"/>
          <w:szCs w:val="24"/>
          <w:highlight w:val="none"/>
        </w:rPr>
        <w:t>为基价调高</w:t>
      </w:r>
      <w:r>
        <w:rPr>
          <w:rFonts w:hint="eastAsia" w:ascii="宋体" w:hAnsi="宋体" w:eastAsia="宋体" w:cs="宋体"/>
          <w:b/>
          <w:bCs/>
          <w:snapToGrid w:val="0"/>
          <w:color w:val="auto"/>
          <w:kern w:val="0"/>
          <w:sz w:val="24"/>
          <w:szCs w:val="24"/>
          <w:highlight w:val="none"/>
          <w:u w:val="single"/>
        </w:rPr>
        <w:t>该分部分项工程量清单项目原综合单价的3</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Cs w:val="24"/>
          <w:highlight w:val="none"/>
        </w:rPr>
        <w:t>。</w:t>
      </w:r>
    </w:p>
    <w:p w14:paraId="6DE2D3FC">
      <w:pPr>
        <w:wordWrap w:val="0"/>
        <w:adjustRightInd w:val="0"/>
        <w:snapToGrid w:val="0"/>
        <w:spacing w:line="440" w:lineRule="exact"/>
        <w:ind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Cs w:val="24"/>
          <w:highlight w:val="none"/>
        </w:rPr>
        <w:t>对于按照第二章“中标人须知”第4.2条被认定为不平衡报价的清单项目，其综合单价按照以下方法调整：</w:t>
      </w:r>
      <w:r>
        <w:rPr>
          <w:rFonts w:hint="eastAsia" w:ascii="宋体" w:hAnsi="宋体" w:eastAsia="宋体" w:cs="宋体"/>
          <w:snapToGrid w:val="0"/>
          <w:color w:val="auto"/>
          <w:kern w:val="0"/>
          <w:sz w:val="24"/>
          <w:szCs w:val="24"/>
          <w:highlight w:val="none"/>
          <w:u w:val="single"/>
        </w:rPr>
        <w:t>以</w:t>
      </w:r>
      <w:r>
        <w:rPr>
          <w:rFonts w:hint="eastAsia" w:ascii="宋体" w:hAnsi="宋体" w:eastAsia="宋体" w:cs="宋体"/>
          <w:snapToGrid w:val="0"/>
          <w:color w:val="auto"/>
          <w:kern w:val="0"/>
          <w:sz w:val="24"/>
          <w:szCs w:val="24"/>
          <w:highlight w:val="none"/>
          <w:u w:val="single"/>
          <w:lang w:eastAsia="zh-CN"/>
        </w:rPr>
        <w:t>最高投标限价</w:t>
      </w:r>
      <w:r>
        <w:rPr>
          <w:rFonts w:hint="eastAsia" w:ascii="宋体" w:hAnsi="宋体" w:eastAsia="宋体" w:cs="宋体"/>
          <w:snapToGrid w:val="0"/>
          <w:color w:val="auto"/>
          <w:kern w:val="0"/>
          <w:sz w:val="24"/>
          <w:szCs w:val="24"/>
          <w:highlight w:val="none"/>
          <w:u w:val="single"/>
        </w:rPr>
        <w:t>中的《分部分项工程和单价措施项目清单与计价表》子目相对应综合单价×（1-中标下浮率）</w:t>
      </w:r>
      <w:r>
        <w:rPr>
          <w:rFonts w:hint="eastAsia" w:ascii="宋体" w:hAnsi="宋体" w:eastAsia="宋体" w:cs="宋体"/>
          <w:snapToGrid w:val="0"/>
          <w:color w:val="auto"/>
          <w:kern w:val="0"/>
          <w:sz w:val="24"/>
          <w:szCs w:val="24"/>
          <w:highlight w:val="none"/>
        </w:rPr>
        <w:t>。</w:t>
      </w:r>
    </w:p>
    <w:p w14:paraId="6324771E">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2.3.2.2</w:t>
      </w:r>
      <w:r>
        <w:rPr>
          <w:rFonts w:hint="eastAsia" w:ascii="宋体" w:hAnsi="宋体" w:eastAsia="宋体" w:cs="宋体"/>
          <w:snapToGrid w:val="0"/>
          <w:color w:val="auto"/>
          <w:kern w:val="0"/>
          <w:szCs w:val="24"/>
          <w:highlight w:val="none"/>
        </w:rPr>
        <w:t xml:space="preserve"> 如果工程量出现本章第</w:t>
      </w:r>
      <w:r>
        <w:rPr>
          <w:rFonts w:hint="eastAsia" w:ascii="宋体" w:hAnsi="宋体" w:eastAsia="宋体" w:cs="宋体"/>
          <w:b/>
          <w:bCs/>
          <w:snapToGrid w:val="0"/>
          <w:color w:val="auto"/>
          <w:kern w:val="0"/>
          <w:szCs w:val="24"/>
          <w:highlight w:val="none"/>
        </w:rPr>
        <w:t>2.3.2.1</w:t>
      </w:r>
      <w:r>
        <w:rPr>
          <w:rFonts w:hint="eastAsia" w:ascii="宋体" w:hAnsi="宋体" w:eastAsia="宋体" w:cs="宋体"/>
          <w:snapToGrid w:val="0"/>
          <w:color w:val="auto"/>
          <w:kern w:val="0"/>
          <w:szCs w:val="24"/>
          <w:highlight w:val="none"/>
        </w:rPr>
        <w:t>子目的变化，且该变化引起相关措施项目相应发生变化时，按系数或单一总价方式计价的，工程量增加的措施项目费调增，工程量减少的措施项目费调减。</w:t>
      </w:r>
    </w:p>
    <w:p w14:paraId="6E9A72CD">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2.3.3</w:t>
      </w:r>
      <w:r>
        <w:rPr>
          <w:rFonts w:hint="eastAsia" w:ascii="宋体" w:hAnsi="宋体" w:eastAsia="宋体" w:cs="宋体"/>
          <w:snapToGrid w:val="0"/>
          <w:color w:val="auto"/>
          <w:kern w:val="0"/>
          <w:szCs w:val="24"/>
          <w:highlight w:val="none"/>
        </w:rPr>
        <w:t xml:space="preserve"> 工程变更</w:t>
      </w:r>
    </w:p>
    <w:p w14:paraId="3A2BE1E5">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2.3.3.1</w:t>
      </w:r>
      <w:r>
        <w:rPr>
          <w:rFonts w:hint="eastAsia" w:ascii="宋体" w:hAnsi="宋体" w:eastAsia="宋体" w:cs="宋体"/>
          <w:snapToGrid w:val="0"/>
          <w:color w:val="auto"/>
          <w:kern w:val="0"/>
          <w:szCs w:val="24"/>
          <w:highlight w:val="none"/>
        </w:rPr>
        <w:t xml:space="preserve"> 合同履行期间，因工程变更引起已标价工程量清单项目发生变化时，按照以下规定调整：</w:t>
      </w:r>
    </w:p>
    <w:p w14:paraId="5A919CA4">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（1）已标价工程量清单中有适用于变更工程项目的，采用该项目的单价。</w:t>
      </w:r>
      <w:r>
        <w:rPr>
          <w:rFonts w:hint="eastAsia" w:ascii="宋体" w:hAnsi="宋体" w:eastAsia="宋体" w:cs="宋体"/>
          <w:b/>
          <w:bCs/>
          <w:snapToGrid w:val="0"/>
          <w:color w:val="auto"/>
          <w:kern w:val="0"/>
          <w:szCs w:val="24"/>
          <w:highlight w:val="none"/>
        </w:rPr>
        <w:t>但如果被采用的项目属于按照第二章“中标人须知”第4.2条被认定为不平衡报价的清单项目，变更工程项目的单价按照以下方法调整：</w:t>
      </w:r>
      <w:r>
        <w:rPr>
          <w:rFonts w:hint="eastAsia" w:ascii="宋体" w:hAnsi="宋体" w:eastAsia="宋体" w:cs="宋体"/>
          <w:snapToGrid w:val="0"/>
          <w:color w:val="auto"/>
          <w:kern w:val="0"/>
          <w:sz w:val="24"/>
          <w:szCs w:val="24"/>
          <w:highlight w:val="none"/>
          <w:u w:val="single"/>
        </w:rPr>
        <w:t>以</w:t>
      </w:r>
      <w:r>
        <w:rPr>
          <w:rFonts w:hint="eastAsia" w:ascii="宋体" w:hAnsi="宋体" w:eastAsia="宋体" w:cs="宋体"/>
          <w:snapToGrid w:val="0"/>
          <w:color w:val="auto"/>
          <w:kern w:val="0"/>
          <w:sz w:val="24"/>
          <w:szCs w:val="20"/>
          <w:highlight w:val="none"/>
          <w:u w:val="single"/>
          <w:lang w:eastAsia="zh-CN"/>
        </w:rPr>
        <w:t>最高投标限价</w:t>
      </w:r>
      <w:r>
        <w:rPr>
          <w:rFonts w:hint="eastAsia" w:ascii="宋体" w:hAnsi="宋体" w:eastAsia="宋体" w:cs="宋体"/>
          <w:snapToGrid w:val="0"/>
          <w:color w:val="auto"/>
          <w:kern w:val="0"/>
          <w:sz w:val="24"/>
          <w:szCs w:val="20"/>
          <w:highlight w:val="none"/>
          <w:u w:val="single"/>
        </w:rPr>
        <w:t>中的《分部分项工程和单价措施项目清单与计价表》子目相对应综合单价</w:t>
      </w:r>
      <w:r>
        <w:rPr>
          <w:rFonts w:hint="eastAsia" w:ascii="宋体" w:hAnsi="宋体" w:eastAsia="宋体" w:cs="宋体"/>
          <w:snapToGrid w:val="0"/>
          <w:color w:val="auto"/>
          <w:kern w:val="0"/>
          <w:sz w:val="24"/>
          <w:szCs w:val="24"/>
          <w:highlight w:val="none"/>
          <w:u w:val="single"/>
        </w:rPr>
        <w:t>×（1-中标下浮率）</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w:t>
      </w:r>
    </w:p>
    <w:p w14:paraId="173EFF19">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（2）已标价工程量清单中没有适用但有类似于变更工程项目的，可在合理范围内参照类似项目的单价。</w:t>
      </w:r>
      <w:r>
        <w:rPr>
          <w:rFonts w:hint="eastAsia" w:ascii="宋体" w:hAnsi="宋体" w:eastAsia="宋体" w:cs="宋体"/>
          <w:b/>
          <w:bCs/>
          <w:snapToGrid w:val="0"/>
          <w:color w:val="auto"/>
          <w:kern w:val="0"/>
          <w:szCs w:val="24"/>
          <w:highlight w:val="none"/>
        </w:rPr>
        <w:t>但如果被参考的类似项目属于按照第二章“中标人须知”第4.2条被认定为不平衡报价的清单项目，变更工程项目的单价按照以下方法调整：</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 w:val="24"/>
          <w:szCs w:val="24"/>
          <w:highlight w:val="none"/>
          <w:u w:val="single"/>
        </w:rPr>
        <w:t>以</w:t>
      </w:r>
      <w:r>
        <w:rPr>
          <w:rFonts w:hint="eastAsia" w:ascii="宋体" w:hAnsi="宋体" w:eastAsia="宋体" w:cs="宋体"/>
          <w:snapToGrid w:val="0"/>
          <w:color w:val="auto"/>
          <w:kern w:val="0"/>
          <w:sz w:val="24"/>
          <w:szCs w:val="20"/>
          <w:highlight w:val="none"/>
          <w:u w:val="single"/>
          <w:lang w:eastAsia="zh-CN"/>
        </w:rPr>
        <w:t>最高投标限价</w:t>
      </w:r>
      <w:r>
        <w:rPr>
          <w:rFonts w:hint="eastAsia" w:ascii="宋体" w:hAnsi="宋体" w:eastAsia="宋体" w:cs="宋体"/>
          <w:snapToGrid w:val="0"/>
          <w:color w:val="auto"/>
          <w:kern w:val="0"/>
          <w:sz w:val="24"/>
          <w:szCs w:val="20"/>
          <w:highlight w:val="none"/>
          <w:u w:val="single"/>
        </w:rPr>
        <w:t>中的《分部分项工程和单价措施项目清单与计价表》子目相对应综合单价</w:t>
      </w:r>
      <w:r>
        <w:rPr>
          <w:rFonts w:hint="eastAsia" w:ascii="宋体" w:hAnsi="宋体" w:eastAsia="宋体" w:cs="宋体"/>
          <w:snapToGrid w:val="0"/>
          <w:color w:val="auto"/>
          <w:kern w:val="0"/>
          <w:sz w:val="24"/>
          <w:szCs w:val="24"/>
          <w:highlight w:val="none"/>
          <w:u w:val="single"/>
        </w:rPr>
        <w:t>×（1-中标下浮率）</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w:t>
      </w:r>
    </w:p>
    <w:p w14:paraId="2FFED022">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4AB93DD4">
      <w:pPr>
        <w:wordWrap w:val="0"/>
        <w:adjustRightInd w:val="0"/>
        <w:snapToGrid w:val="0"/>
        <w:spacing w:line="440" w:lineRule="exact"/>
        <w:jc w:val="center"/>
        <w:rPr>
          <w:rFonts w:hint="eastAsia" w:ascii="宋体" w:hAnsi="宋体" w:eastAsia="宋体" w:cs="宋体"/>
          <w:snapToGrid w:val="0"/>
          <w:color w:val="auto"/>
          <w:kern w:val="0"/>
          <w:szCs w:val="24"/>
          <w:highlight w:val="none"/>
          <w:u w:val="wave"/>
        </w:rPr>
      </w:pPr>
      <w:r>
        <w:rPr>
          <w:rFonts w:hint="eastAsia" w:ascii="宋体" w:hAnsi="宋体" w:eastAsia="宋体" w:cs="宋体"/>
          <w:snapToGrid w:val="0"/>
          <w:color w:val="auto"/>
          <w:kern w:val="0"/>
          <w:szCs w:val="24"/>
          <w:highlight w:val="none"/>
        </w:rPr>
        <w:t>中标下浮率＝（1－中标价÷</w:t>
      </w:r>
      <w:r>
        <w:rPr>
          <w:rFonts w:hint="eastAsia" w:ascii="宋体" w:hAnsi="宋体" w:eastAsia="宋体" w:cs="宋体"/>
          <w:snapToGrid w:val="0"/>
          <w:color w:val="auto"/>
          <w:kern w:val="0"/>
          <w:szCs w:val="24"/>
          <w:highlight w:val="none"/>
          <w:lang w:eastAsia="zh-CN"/>
        </w:rPr>
        <w:t>最高投标限价</w:t>
      </w:r>
      <w:r>
        <w:rPr>
          <w:rFonts w:hint="eastAsia" w:ascii="宋体" w:hAnsi="宋体" w:eastAsia="宋体" w:cs="宋体"/>
          <w:snapToGrid w:val="0"/>
          <w:color w:val="auto"/>
          <w:kern w:val="0"/>
          <w:szCs w:val="24"/>
          <w:highlight w:val="none"/>
        </w:rPr>
        <w:t>）×100%</w:t>
      </w:r>
    </w:p>
    <w:p w14:paraId="52F2A33B">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4）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485B758">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2.3.3.2</w:t>
      </w:r>
      <w:r>
        <w:rPr>
          <w:rFonts w:hint="eastAsia" w:ascii="宋体" w:hAnsi="宋体" w:eastAsia="宋体" w:cs="宋体"/>
          <w:snapToGrid w:val="0"/>
          <w:color w:val="auto"/>
          <w:kern w:val="0"/>
          <w:szCs w:val="24"/>
          <w:highlight w:val="none"/>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7ACDFC8B">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w:t>
      </w:r>
      <w:r>
        <w:rPr>
          <w:rFonts w:hint="eastAsia" w:ascii="宋体" w:hAnsi="宋体" w:eastAsia="宋体" w:cs="宋体"/>
          <w:snapToGrid w:val="0"/>
          <w:color w:val="auto"/>
          <w:kern w:val="0"/>
          <w:szCs w:val="24"/>
          <w:highlight w:val="none"/>
          <w:lang w:eastAsia="zh-CN"/>
        </w:rPr>
        <w:t>安全生产措施费</w:t>
      </w:r>
      <w:r>
        <w:rPr>
          <w:rFonts w:hint="eastAsia" w:ascii="宋体" w:hAnsi="宋体" w:eastAsia="宋体" w:cs="宋体"/>
          <w:snapToGrid w:val="0"/>
          <w:color w:val="auto"/>
          <w:kern w:val="0"/>
          <w:szCs w:val="24"/>
          <w:highlight w:val="none"/>
        </w:rPr>
        <w:t>应按照实际发生变化的措施项目计算。</w:t>
      </w:r>
    </w:p>
    <w:p w14:paraId="45005664">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（2）采用单价计算的措施项目费，应按照实际发生变化的措施项目，按本章第</w:t>
      </w:r>
      <w:r>
        <w:rPr>
          <w:rFonts w:hint="eastAsia" w:ascii="宋体" w:hAnsi="宋体" w:eastAsia="宋体" w:cs="宋体"/>
          <w:b/>
          <w:bCs/>
          <w:snapToGrid w:val="0"/>
          <w:color w:val="auto"/>
          <w:kern w:val="0"/>
          <w:szCs w:val="24"/>
          <w:highlight w:val="none"/>
        </w:rPr>
        <w:t>2.3.3.1</w:t>
      </w:r>
      <w:r>
        <w:rPr>
          <w:rFonts w:hint="eastAsia" w:ascii="宋体" w:hAnsi="宋体" w:eastAsia="宋体" w:cs="宋体"/>
          <w:snapToGrid w:val="0"/>
          <w:color w:val="auto"/>
          <w:kern w:val="0"/>
          <w:szCs w:val="24"/>
          <w:highlight w:val="none"/>
        </w:rPr>
        <w:t>子目的规定确定单价。</w:t>
      </w:r>
    </w:p>
    <w:p w14:paraId="71DB5569">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（3）按总价或系数计算的措施项目费，应按照实际发生变化的措施项目费调整并考虑中标下浮率因素，即调整金额</w:t>
      </w:r>
      <w:r>
        <w:rPr>
          <w:rFonts w:hint="eastAsia" w:ascii="宋体" w:hAnsi="宋体" w:eastAsia="宋体" w:cs="宋体"/>
          <w:bCs/>
          <w:snapToGrid w:val="0"/>
          <w:color w:val="auto"/>
          <w:kern w:val="0"/>
          <w:szCs w:val="28"/>
          <w:highlight w:val="none"/>
        </w:rPr>
        <w:t>＝按照实际变化调整</w:t>
      </w:r>
      <w:r>
        <w:rPr>
          <w:rFonts w:hint="eastAsia" w:ascii="宋体" w:hAnsi="宋体" w:eastAsia="宋体" w:cs="宋体"/>
          <w:snapToGrid w:val="0"/>
          <w:color w:val="auto"/>
          <w:kern w:val="0"/>
          <w:szCs w:val="24"/>
          <w:highlight w:val="none"/>
        </w:rPr>
        <w:t>后的金额</w:t>
      </w:r>
      <w:r>
        <w:rPr>
          <w:rFonts w:hint="eastAsia" w:ascii="宋体" w:hAnsi="宋体" w:eastAsia="宋体" w:cs="宋体"/>
          <w:bCs/>
          <w:snapToGrid w:val="0"/>
          <w:color w:val="auto"/>
          <w:kern w:val="0"/>
          <w:szCs w:val="28"/>
          <w:highlight w:val="none"/>
        </w:rPr>
        <w:t>×（1-</w:t>
      </w:r>
      <w:r>
        <w:rPr>
          <w:rFonts w:hint="eastAsia" w:ascii="宋体" w:hAnsi="宋体" w:eastAsia="宋体" w:cs="宋体"/>
          <w:snapToGrid w:val="0"/>
          <w:color w:val="auto"/>
          <w:kern w:val="0"/>
          <w:szCs w:val="24"/>
          <w:highlight w:val="none"/>
        </w:rPr>
        <w:t>中标下浮率）。</w:t>
      </w:r>
    </w:p>
    <w:p w14:paraId="1603DD59">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如果承包人未事先将拟实施的方案提交发包人确认，视为工程变更不引起措施项目费的调整或承包人放弃调整措施项目费的权利。</w:t>
      </w:r>
    </w:p>
    <w:p w14:paraId="7DBC08AD">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2.3.3.3</w:t>
      </w:r>
      <w:r>
        <w:rPr>
          <w:rFonts w:hint="eastAsia" w:ascii="宋体" w:hAnsi="宋体" w:eastAsia="宋体" w:cs="宋体"/>
          <w:snapToGrid w:val="0"/>
          <w:color w:val="auto"/>
          <w:kern w:val="0"/>
          <w:szCs w:val="24"/>
          <w:highlight w:val="none"/>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26E95ED0">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2.3.4</w:t>
      </w:r>
      <w:r>
        <w:rPr>
          <w:rFonts w:hint="eastAsia" w:ascii="宋体" w:hAnsi="宋体" w:eastAsia="宋体" w:cs="宋体"/>
          <w:snapToGrid w:val="0"/>
          <w:color w:val="auto"/>
          <w:kern w:val="0"/>
          <w:szCs w:val="24"/>
          <w:highlight w:val="none"/>
        </w:rPr>
        <w:t xml:space="preserve"> 项目特征不符</w:t>
      </w:r>
    </w:p>
    <w:p w14:paraId="1F5FF32B">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宋体" w:hAnsi="宋体" w:eastAsia="宋体" w:cs="宋体"/>
          <w:b/>
          <w:bCs/>
          <w:snapToGrid w:val="0"/>
          <w:color w:val="auto"/>
          <w:kern w:val="0"/>
          <w:szCs w:val="24"/>
          <w:highlight w:val="none"/>
        </w:rPr>
        <w:t>2.3.3</w:t>
      </w:r>
      <w:r>
        <w:rPr>
          <w:rFonts w:hint="eastAsia" w:ascii="宋体" w:hAnsi="宋体" w:eastAsia="宋体" w:cs="宋体"/>
          <w:snapToGrid w:val="0"/>
          <w:color w:val="auto"/>
          <w:kern w:val="0"/>
          <w:szCs w:val="24"/>
          <w:highlight w:val="none"/>
        </w:rPr>
        <w:t>目相关条款的规定重新确定相应工程量清单项目的综合单价，并调整合同价款。</w:t>
      </w:r>
    </w:p>
    <w:p w14:paraId="3A4BA281">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2.3.5</w:t>
      </w:r>
      <w:r>
        <w:rPr>
          <w:rFonts w:hint="eastAsia" w:ascii="宋体" w:hAnsi="宋体" w:eastAsia="宋体" w:cs="宋体"/>
          <w:snapToGrid w:val="0"/>
          <w:color w:val="auto"/>
          <w:kern w:val="0"/>
          <w:szCs w:val="24"/>
          <w:highlight w:val="none"/>
        </w:rPr>
        <w:t xml:space="preserve"> 招标工程量清单缺项</w:t>
      </w:r>
    </w:p>
    <w:p w14:paraId="37735E4B">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2.3.5.1</w:t>
      </w:r>
      <w:r>
        <w:rPr>
          <w:rFonts w:hint="eastAsia" w:ascii="宋体" w:hAnsi="宋体" w:eastAsia="宋体" w:cs="宋体"/>
          <w:snapToGrid w:val="0"/>
          <w:color w:val="auto"/>
          <w:kern w:val="0"/>
          <w:szCs w:val="24"/>
          <w:highlight w:val="none"/>
        </w:rPr>
        <w:t xml:space="preserve"> 合同履行期间，由于招标工程量清单中缺项，新增分部分项工程清单项目，应按照本章第</w:t>
      </w:r>
      <w:r>
        <w:rPr>
          <w:rFonts w:hint="eastAsia" w:ascii="宋体" w:hAnsi="宋体" w:eastAsia="宋体" w:cs="宋体"/>
          <w:b/>
          <w:bCs/>
          <w:snapToGrid w:val="0"/>
          <w:color w:val="auto"/>
          <w:kern w:val="0"/>
          <w:szCs w:val="24"/>
          <w:highlight w:val="none"/>
        </w:rPr>
        <w:t>2.3.3.1</w:t>
      </w:r>
      <w:r>
        <w:rPr>
          <w:rFonts w:hint="eastAsia" w:ascii="宋体" w:hAnsi="宋体" w:eastAsia="宋体" w:cs="宋体"/>
          <w:snapToGrid w:val="0"/>
          <w:color w:val="auto"/>
          <w:kern w:val="0"/>
          <w:szCs w:val="24"/>
          <w:highlight w:val="none"/>
        </w:rPr>
        <w:t>子目的规定确定单价，并调整合同价款。</w:t>
      </w:r>
    </w:p>
    <w:p w14:paraId="6FE66576">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2.3.5.2</w:t>
      </w:r>
      <w:r>
        <w:rPr>
          <w:rFonts w:hint="eastAsia" w:ascii="宋体" w:hAnsi="宋体" w:eastAsia="宋体" w:cs="宋体"/>
          <w:snapToGrid w:val="0"/>
          <w:color w:val="auto"/>
          <w:kern w:val="0"/>
          <w:szCs w:val="24"/>
          <w:highlight w:val="none"/>
        </w:rPr>
        <w:t xml:space="preserve"> 新增分部分项工程清单项目后，引起措施项目发生变化的，应按照本章第</w:t>
      </w:r>
      <w:r>
        <w:rPr>
          <w:rFonts w:hint="eastAsia" w:ascii="宋体" w:hAnsi="宋体" w:eastAsia="宋体" w:cs="宋体"/>
          <w:b/>
          <w:bCs/>
          <w:snapToGrid w:val="0"/>
          <w:color w:val="auto"/>
          <w:kern w:val="0"/>
          <w:szCs w:val="24"/>
          <w:highlight w:val="none"/>
        </w:rPr>
        <w:t>2.3.3.2</w:t>
      </w:r>
      <w:r>
        <w:rPr>
          <w:rFonts w:hint="eastAsia" w:ascii="宋体" w:hAnsi="宋体" w:eastAsia="宋体" w:cs="宋体"/>
          <w:snapToGrid w:val="0"/>
          <w:color w:val="auto"/>
          <w:kern w:val="0"/>
          <w:szCs w:val="24"/>
          <w:highlight w:val="none"/>
        </w:rPr>
        <w:t>子目的规定，在承包人提交的实施方案被发包人批准后调整合同价款。</w:t>
      </w:r>
    </w:p>
    <w:p w14:paraId="1839F275">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2.3.5.3</w:t>
      </w:r>
      <w:r>
        <w:rPr>
          <w:rFonts w:hint="eastAsia" w:ascii="宋体" w:hAnsi="宋体" w:eastAsia="宋体" w:cs="宋体"/>
          <w:snapToGrid w:val="0"/>
          <w:color w:val="auto"/>
          <w:kern w:val="0"/>
          <w:szCs w:val="24"/>
          <w:highlight w:val="none"/>
        </w:rPr>
        <w:t xml:space="preserve"> 由于招标工程量清单中措施项目缺项，承包人应将新增措施项目实施方案提交发包人批准后，按照本章第</w:t>
      </w:r>
      <w:r>
        <w:rPr>
          <w:rFonts w:hint="eastAsia" w:ascii="宋体" w:hAnsi="宋体" w:eastAsia="宋体" w:cs="宋体"/>
          <w:b/>
          <w:bCs/>
          <w:snapToGrid w:val="0"/>
          <w:color w:val="auto"/>
          <w:kern w:val="0"/>
          <w:szCs w:val="24"/>
          <w:highlight w:val="none"/>
        </w:rPr>
        <w:t>2.3.3.1</w:t>
      </w:r>
      <w:r>
        <w:rPr>
          <w:rFonts w:hint="eastAsia" w:ascii="宋体" w:hAnsi="宋体" w:eastAsia="宋体" w:cs="宋体"/>
          <w:snapToGrid w:val="0"/>
          <w:color w:val="auto"/>
          <w:kern w:val="0"/>
          <w:szCs w:val="24"/>
          <w:highlight w:val="none"/>
        </w:rPr>
        <w:t>子目、第</w:t>
      </w:r>
      <w:r>
        <w:rPr>
          <w:rFonts w:hint="eastAsia" w:ascii="宋体" w:hAnsi="宋体" w:eastAsia="宋体" w:cs="宋体"/>
          <w:b/>
          <w:bCs/>
          <w:snapToGrid w:val="0"/>
          <w:color w:val="auto"/>
          <w:kern w:val="0"/>
          <w:szCs w:val="24"/>
          <w:highlight w:val="none"/>
        </w:rPr>
        <w:t>2.3.3.2</w:t>
      </w:r>
      <w:r>
        <w:rPr>
          <w:rFonts w:hint="eastAsia" w:ascii="宋体" w:hAnsi="宋体" w:eastAsia="宋体" w:cs="宋体"/>
          <w:snapToGrid w:val="0"/>
          <w:color w:val="auto"/>
          <w:kern w:val="0"/>
          <w:szCs w:val="24"/>
          <w:highlight w:val="none"/>
        </w:rPr>
        <w:t>子目的规定调整合同价款。</w:t>
      </w:r>
    </w:p>
    <w:p w14:paraId="628ACDEB">
      <w:pPr>
        <w:wordWrap w:val="0"/>
        <w:adjustRightInd w:val="0"/>
        <w:snapToGrid w:val="0"/>
        <w:spacing w:line="440" w:lineRule="exact"/>
        <w:ind w:firstLine="482" w:firstLineChars="200"/>
        <w:rPr>
          <w:rFonts w:hint="eastAsia" w:ascii="宋体" w:hAnsi="宋体" w:eastAsia="宋体" w:cs="宋体"/>
          <w:bCs/>
          <w:snapToGrid w:val="0"/>
          <w:color w:val="auto"/>
          <w:kern w:val="0"/>
          <w:szCs w:val="28"/>
          <w:highlight w:val="none"/>
        </w:rPr>
      </w:pPr>
      <w:r>
        <w:rPr>
          <w:rFonts w:hint="eastAsia" w:ascii="宋体" w:hAnsi="宋体" w:eastAsia="宋体" w:cs="宋体"/>
          <w:b/>
          <w:snapToGrid w:val="0"/>
          <w:color w:val="auto"/>
          <w:kern w:val="0"/>
          <w:szCs w:val="28"/>
          <w:highlight w:val="none"/>
        </w:rPr>
        <w:t>2.3.6</w:t>
      </w:r>
      <w:r>
        <w:rPr>
          <w:rFonts w:hint="eastAsia" w:ascii="宋体" w:hAnsi="宋体" w:eastAsia="宋体" w:cs="宋体"/>
          <w:bCs/>
          <w:snapToGrid w:val="0"/>
          <w:color w:val="auto"/>
          <w:kern w:val="0"/>
          <w:szCs w:val="28"/>
          <w:highlight w:val="none"/>
        </w:rPr>
        <w:t xml:space="preserve"> 物价变化</w:t>
      </w:r>
    </w:p>
    <w:p w14:paraId="08F2B5DA">
      <w:pPr>
        <w:wordWrap w:val="0"/>
        <w:adjustRightInd w:val="0"/>
        <w:snapToGrid w:val="0"/>
        <w:spacing w:line="440" w:lineRule="exact"/>
        <w:ind w:firstLine="482" w:firstLineChars="200"/>
        <w:rPr>
          <w:rFonts w:hint="eastAsia" w:ascii="宋体" w:hAnsi="宋体" w:eastAsia="宋体" w:cs="宋体"/>
          <w:bCs/>
          <w:snapToGrid w:val="0"/>
          <w:color w:val="auto"/>
          <w:kern w:val="0"/>
          <w:szCs w:val="28"/>
          <w:highlight w:val="none"/>
        </w:rPr>
      </w:pPr>
      <w:r>
        <w:rPr>
          <w:rFonts w:hint="eastAsia" w:ascii="宋体" w:hAnsi="宋体" w:eastAsia="宋体" w:cs="宋体"/>
          <w:b/>
          <w:snapToGrid w:val="0"/>
          <w:color w:val="auto"/>
          <w:kern w:val="0"/>
          <w:szCs w:val="28"/>
          <w:highlight w:val="none"/>
        </w:rPr>
        <w:t>2.3.6.1</w:t>
      </w:r>
      <w:r>
        <w:rPr>
          <w:rFonts w:hint="eastAsia" w:ascii="宋体" w:hAnsi="宋体" w:eastAsia="宋体" w:cs="宋体"/>
          <w:bCs/>
          <w:snapToGrid w:val="0"/>
          <w:color w:val="auto"/>
          <w:kern w:val="0"/>
          <w:szCs w:val="28"/>
          <w:highlight w:val="none"/>
        </w:rPr>
        <w:t xml:space="preserve"> 合同履行期间，项目所在地工程造价管理机构发布的动态人工调整系数发生变化时，如果承包人投标报价中人工费（</w:t>
      </w:r>
      <w:r>
        <w:rPr>
          <w:rFonts w:hint="eastAsia" w:ascii="宋体" w:hAnsi="宋体" w:eastAsia="宋体" w:cs="宋体"/>
          <w:snapToGrid w:val="0"/>
          <w:color w:val="auto"/>
          <w:kern w:val="0"/>
          <w:szCs w:val="24"/>
          <w:highlight w:val="none"/>
        </w:rPr>
        <w:t>以下简称“中标人工费”</w:t>
      </w:r>
      <w:r>
        <w:rPr>
          <w:rFonts w:hint="eastAsia" w:ascii="宋体" w:hAnsi="宋体" w:eastAsia="宋体" w:cs="宋体"/>
          <w:bCs/>
          <w:snapToGrid w:val="0"/>
          <w:color w:val="auto"/>
          <w:kern w:val="0"/>
          <w:szCs w:val="28"/>
          <w:highlight w:val="none"/>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5E36086D">
      <w:pPr>
        <w:wordWrap w:val="0"/>
        <w:adjustRightInd w:val="0"/>
        <w:snapToGrid w:val="0"/>
        <w:spacing w:line="440" w:lineRule="exact"/>
        <w:ind w:firstLine="480" w:firstLineChars="200"/>
        <w:rPr>
          <w:rFonts w:hint="eastAsia" w:ascii="宋体" w:hAnsi="宋体" w:eastAsia="宋体" w:cs="宋体"/>
          <w:bCs/>
          <w:snapToGrid w:val="0"/>
          <w:color w:val="auto"/>
          <w:kern w:val="0"/>
          <w:szCs w:val="28"/>
          <w:highlight w:val="none"/>
        </w:rPr>
      </w:pPr>
      <w:r>
        <w:rPr>
          <w:rFonts w:hint="eastAsia" w:ascii="宋体" w:hAnsi="宋体" w:eastAsia="宋体" w:cs="宋体"/>
          <w:bCs/>
          <w:snapToGrid w:val="0"/>
          <w:color w:val="auto"/>
          <w:kern w:val="0"/>
          <w:szCs w:val="28"/>
          <w:highlight w:val="none"/>
        </w:rPr>
        <w:t>结算人工费＝中标人工费×F</w:t>
      </w:r>
      <w:r>
        <w:rPr>
          <w:rFonts w:hint="eastAsia" w:ascii="宋体" w:hAnsi="宋体" w:eastAsia="宋体" w:cs="宋体"/>
          <w:bCs/>
          <w:snapToGrid w:val="0"/>
          <w:color w:val="auto"/>
          <w:kern w:val="0"/>
          <w:szCs w:val="28"/>
          <w:highlight w:val="none"/>
          <w:vertAlign w:val="subscript"/>
        </w:rPr>
        <w:t>1</w:t>
      </w:r>
    </w:p>
    <w:p w14:paraId="597C08FA">
      <w:pPr>
        <w:wordWrap w:val="0"/>
        <w:adjustRightInd w:val="0"/>
        <w:snapToGrid w:val="0"/>
        <w:spacing w:line="440" w:lineRule="exact"/>
        <w:ind w:firstLine="480" w:firstLineChars="200"/>
        <w:rPr>
          <w:rFonts w:hint="eastAsia" w:ascii="宋体" w:hAnsi="宋体" w:eastAsia="宋体" w:cs="宋体"/>
          <w:snapToGrid w:val="0"/>
          <w:color w:val="auto"/>
          <w:kern w:val="0"/>
          <w:szCs w:val="24"/>
          <w:highlight w:val="none"/>
        </w:rPr>
      </w:pPr>
      <w:r>
        <w:rPr>
          <w:rFonts w:hint="eastAsia" w:ascii="宋体" w:hAnsi="宋体" w:eastAsia="宋体" w:cs="宋体"/>
          <w:bCs/>
          <w:snapToGrid w:val="0"/>
          <w:color w:val="auto"/>
          <w:kern w:val="0"/>
          <w:szCs w:val="28"/>
          <w:highlight w:val="none"/>
        </w:rPr>
        <w:t>式中，F</w:t>
      </w:r>
      <w:r>
        <w:rPr>
          <w:rFonts w:hint="eastAsia" w:ascii="宋体" w:hAnsi="宋体" w:eastAsia="宋体" w:cs="宋体"/>
          <w:bCs/>
          <w:snapToGrid w:val="0"/>
          <w:color w:val="auto"/>
          <w:kern w:val="0"/>
          <w:szCs w:val="28"/>
          <w:highlight w:val="none"/>
          <w:vertAlign w:val="subscript"/>
        </w:rPr>
        <w:t>1</w:t>
      </w:r>
      <w:r>
        <w:rPr>
          <w:rFonts w:hint="eastAsia" w:ascii="宋体" w:hAnsi="宋体" w:eastAsia="宋体" w:cs="宋体"/>
          <w:bCs/>
          <w:snapToGrid w:val="0"/>
          <w:color w:val="auto"/>
          <w:kern w:val="0"/>
          <w:szCs w:val="28"/>
          <w:highlight w:val="none"/>
        </w:rPr>
        <w:t>为施工当月项目所在地工程造价管理机构发布的动态人工调整系数。</w:t>
      </w:r>
    </w:p>
    <w:p w14:paraId="50097BA6">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2.3.6.2</w:t>
      </w:r>
      <w:r>
        <w:rPr>
          <w:rFonts w:hint="eastAsia" w:ascii="宋体" w:hAnsi="宋体" w:eastAsia="宋体" w:cs="宋体"/>
          <w:snapToGrid w:val="0"/>
          <w:color w:val="auto"/>
          <w:kern w:val="0"/>
          <w:szCs w:val="24"/>
          <w:highlight w:val="none"/>
        </w:rPr>
        <w:t xml:space="preserve"> 本招标项目约定，材料、工程设备单价涨跌风险幅度值A为</w:t>
      </w:r>
      <w:r>
        <w:rPr>
          <w:rFonts w:hint="eastAsia" w:ascii="宋体" w:hAnsi="宋体" w:eastAsia="宋体" w:cs="宋体"/>
          <w:snapToGrid w:val="0"/>
          <w:color w:val="auto"/>
          <w:kern w:val="0"/>
          <w:szCs w:val="24"/>
          <w:highlight w:val="none"/>
          <w:u w:val="single"/>
        </w:rPr>
        <w:t xml:space="preserve"> 5% </w:t>
      </w:r>
      <w:r>
        <w:rPr>
          <w:rFonts w:hint="eastAsia" w:ascii="宋体" w:hAnsi="宋体" w:eastAsia="宋体" w:cs="宋体"/>
          <w:snapToGrid w:val="0"/>
          <w:color w:val="auto"/>
          <w:kern w:val="0"/>
          <w:szCs w:val="24"/>
          <w:highlight w:val="none"/>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3598D257">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a</w:t>
      </w:r>
      <w:r>
        <w:rPr>
          <w:rFonts w:hint="eastAsia" w:ascii="宋体" w:hAnsi="宋体" w:eastAsia="宋体" w:cs="宋体"/>
          <w:snapToGrid w:val="0"/>
          <w:color w:val="auto"/>
          <w:kern w:val="0"/>
          <w:szCs w:val="24"/>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4BCFCB77">
      <w:pPr>
        <w:spacing w:line="418" w:lineRule="exact"/>
        <w:ind w:left="120"/>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62336" behindDoc="1" locked="0" layoutInCell="1" allowOverlap="1">
                <wp:simplePos x="0" y="0"/>
                <wp:positionH relativeFrom="page">
                  <wp:posOffset>3107055</wp:posOffset>
                </wp:positionH>
                <wp:positionV relativeFrom="paragraph">
                  <wp:posOffset>259715</wp:posOffset>
                </wp:positionV>
                <wp:extent cx="403860" cy="1270"/>
                <wp:effectExtent l="0" t="0" r="0" b="0"/>
                <wp:wrapNone/>
                <wp:docPr id="38" name="组合 38"/>
                <wp:cNvGraphicFramePr/>
                <a:graphic xmlns:a="http://schemas.openxmlformats.org/drawingml/2006/main">
                  <a:graphicData uri="http://schemas.microsoft.com/office/word/2010/wordprocessingGroup">
                    <wpg:wgp>
                      <wpg:cNvGrpSpPr/>
                      <wpg:grpSpPr>
                        <a:xfrm>
                          <a:off x="0" y="0"/>
                          <a:ext cx="403860" cy="1270"/>
                          <a:chOff x="4894" y="410"/>
                          <a:chExt cx="636" cy="2"/>
                        </a:xfrm>
                        <a:effectLst/>
                      </wpg:grpSpPr>
                      <wps:wsp>
                        <wps:cNvPr id="1" name="任意多边形 24"/>
                        <wps:cNvSpPr/>
                        <wps:spPr>
                          <a:xfrm>
                            <a:off x="4894" y="410"/>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4.65pt;margin-top:20.45pt;height:0.1pt;width:31.8pt;mso-position-horizontal-relative:page;z-index:-251654144;mso-width-relative:page;mso-height-relative:page;" coordorigin="4894,410" coordsize="636,2" o:gfxdata="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RPWWQ2QAAAAkBAAAPAAAAAAAAAAEAIAAAACIAAABkcnMvZG93bnJldi54bWxQSwECFAAUAAAA&#10;CACHTuJAwslyTpgCAADWBQAADgAAAAAAAAABACAAAAAoAQAAZHJzL2Uyb0RvYy54bWxQSwUGAAAA&#10;AAYABgBZAQAAMgYAAAAA&#10;">
                <o:lock v:ext="edit" aspectratio="f"/>
                <v:shape id="任意多边形 24" o:spid="_x0000_s1026" o:spt="100" style="position:absolute;left:4894;top:410;height:2;width:636;" filled="f" stroked="t" coordsize="636,1" o:gfxdata="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YQVg+5AAAA2g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a</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涨</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 w:val="28"/>
          <w:szCs w:val="28"/>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 w:val="28"/>
          <w:szCs w:val="28"/>
          <w:highlight w:val="none"/>
        </w:rPr>
        <w:t>F</w:t>
      </w:r>
      <w:r>
        <w:rPr>
          <w:rFonts w:hint="eastAsia" w:ascii="宋体" w:hAnsi="宋体" w:eastAsia="宋体" w:cs="宋体"/>
          <w:color w:val="auto"/>
          <w:spacing w:val="15"/>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0"/>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26"/>
          <w:position w:val="15"/>
          <w:szCs w:val="24"/>
          <w:highlight w:val="none"/>
        </w:rPr>
        <w:t>F</w:t>
      </w:r>
      <w:r>
        <w:rPr>
          <w:rFonts w:hint="eastAsia" w:ascii="宋体" w:hAnsi="宋体" w:eastAsia="宋体" w:cs="宋体"/>
          <w:color w:val="auto"/>
          <w:position w:val="9"/>
          <w:sz w:val="14"/>
          <w:szCs w:val="14"/>
          <w:highlight w:val="none"/>
        </w:rPr>
        <w:t>0</w:t>
      </w:r>
      <w:r>
        <w:rPr>
          <w:rFonts w:hint="eastAsia" w:ascii="宋体" w:hAnsi="宋体" w:eastAsia="宋体" w:cs="宋体"/>
          <w:color w:val="auto"/>
          <w:spacing w:val="2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A</w:t>
      </w:r>
      <w:r>
        <w:rPr>
          <w:rFonts w:hint="eastAsia" w:ascii="宋体" w:hAnsi="宋体" w:eastAsia="宋体" w:cs="宋体"/>
          <w:color w:val="auto"/>
          <w:szCs w:val="24"/>
          <w:highlight w:val="none"/>
        </w:rPr>
        <w:t>）</w:t>
      </w:r>
    </w:p>
    <w:p w14:paraId="76B2F387">
      <w:pPr>
        <w:pStyle w:val="11"/>
        <w:tabs>
          <w:tab w:val="left" w:pos="2817"/>
        </w:tabs>
        <w:spacing w:after="0" w:line="200" w:lineRule="exact"/>
        <w:ind w:left="2426"/>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mc:AlternateContent>
          <mc:Choice Requires="wps">
            <w:drawing>
              <wp:anchor distT="0" distB="0" distL="114300" distR="114300" simplePos="0" relativeHeight="251663360" behindDoc="1" locked="0" layoutInCell="1" allowOverlap="1">
                <wp:simplePos x="0" y="0"/>
                <wp:positionH relativeFrom="page">
                  <wp:posOffset>3246755</wp:posOffset>
                </wp:positionH>
                <wp:positionV relativeFrom="paragraph">
                  <wp:posOffset>29845</wp:posOffset>
                </wp:positionV>
                <wp:extent cx="220980" cy="246380"/>
                <wp:effectExtent l="0" t="0" r="0" b="0"/>
                <wp:wrapNone/>
                <wp:docPr id="3" name="文本框 3"/>
                <wp:cNvGraphicFramePr/>
                <a:graphic xmlns:a="http://schemas.openxmlformats.org/drawingml/2006/main">
                  <a:graphicData uri="http://schemas.microsoft.com/office/word/2010/wordprocessingShape">
                    <wps:wsp>
                      <wps:cNvSpPr txBox="1"/>
                      <wps:spPr>
                        <a:xfrm>
                          <a:off x="0" y="0"/>
                          <a:ext cx="220980" cy="246380"/>
                        </a:xfrm>
                        <a:prstGeom prst="rect">
                          <a:avLst/>
                        </a:prstGeom>
                        <a:noFill/>
                        <a:ln>
                          <a:noFill/>
                        </a:ln>
                        <a:effectLst/>
                      </wps:spPr>
                      <wps:txbx>
                        <w:txbxContent>
                          <w:p w14:paraId="77B7CB44">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_x0000_s1026" o:spid="_x0000_s1026" o:spt="202" type="#_x0000_t202" style="position:absolute;left:0pt;margin-left:255.65pt;margin-top:2.35pt;height:19.4pt;width:17.4pt;mso-position-horizontal-relative:page;z-index:-251653120;mso-width-relative:page;mso-height-relative:page;" filled="f" stroked="f" coordsize="21600,21600" o:gfxdata="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Wx4gnXAAAACAEAAA8AAAAAAAAAAQAgAAAAIgAAAGRycy9kb3du&#10;cmV2LnhtbFBLAQIUABQAAAAIAIdO4kA6NrkbxwEAAI0DAAAOAAAAAAAAAAEAIAAAACYBAABkcnMv&#10;ZTJvRG9jLnhtbFBLBQYAAAAABgAGAFkBAABfBQAAAAA=&#10;">
                <v:fill on="f" focussize="0,0"/>
                <v:stroke on="f"/>
                <v:imagedata o:title=""/>
                <o:lock v:ext="edit" aspectratio="f"/>
                <v:textbox inset="0mm,0mm,0mm,0mm">
                  <w:txbxContent>
                    <w:p w14:paraId="77B7CB44">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int="eastAsia" w:ascii="宋体" w:hAnsi="宋体" w:eastAsia="宋体" w:cs="宋体"/>
          <w:color w:val="auto"/>
          <w:sz w:val="15"/>
          <w:szCs w:val="15"/>
          <w:highlight w:val="none"/>
        </w:rPr>
        <w:t>1</w:t>
      </w:r>
      <w:r>
        <w:rPr>
          <w:rFonts w:hint="eastAsia" w:ascii="宋体" w:hAnsi="宋体" w:eastAsia="宋体" w:cs="宋体"/>
          <w:color w:val="auto"/>
          <w:sz w:val="15"/>
          <w:szCs w:val="15"/>
          <w:highlight w:val="none"/>
        </w:rPr>
        <w:tab/>
      </w:r>
      <w:r>
        <w:rPr>
          <w:rFonts w:hint="eastAsia" w:ascii="宋体" w:hAnsi="宋体" w:eastAsia="宋体" w:cs="宋体"/>
          <w:color w:val="auto"/>
          <w:sz w:val="15"/>
          <w:szCs w:val="15"/>
          <w:highlight w:val="none"/>
        </w:rPr>
        <w:t>0</w:t>
      </w:r>
    </w:p>
    <w:p w14:paraId="54466567">
      <w:pPr>
        <w:pStyle w:val="11"/>
        <w:spacing w:after="0" w:line="240" w:lineRule="exact"/>
        <w:ind w:left="3454" w:right="4848"/>
        <w:jc w:val="center"/>
        <w:rPr>
          <w:rFonts w:hint="eastAsia" w:ascii="宋体" w:hAnsi="宋体" w:eastAsia="宋体" w:cs="宋体"/>
          <w:color w:val="auto"/>
          <w:sz w:val="15"/>
          <w:szCs w:val="15"/>
          <w:highlight w:val="none"/>
        </w:rPr>
      </w:pPr>
    </w:p>
    <w:p w14:paraId="4B345399">
      <w:pPr>
        <w:spacing w:before="4" w:line="170" w:lineRule="exact"/>
        <w:rPr>
          <w:rFonts w:hint="eastAsia" w:ascii="宋体" w:hAnsi="宋体" w:eastAsia="宋体" w:cs="宋体"/>
          <w:color w:val="auto"/>
          <w:sz w:val="17"/>
          <w:szCs w:val="17"/>
          <w:highlight w:val="none"/>
        </w:rPr>
      </w:pPr>
    </w:p>
    <w:p w14:paraId="52F454C7">
      <w:pPr>
        <w:spacing w:line="404" w:lineRule="exact"/>
        <w:ind w:left="328"/>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64384" behindDoc="1" locked="0" layoutInCell="1" allowOverlap="1">
                <wp:simplePos x="0" y="0"/>
                <wp:positionH relativeFrom="page">
                  <wp:posOffset>3134360</wp:posOffset>
                </wp:positionH>
                <wp:positionV relativeFrom="paragraph">
                  <wp:posOffset>250825</wp:posOffset>
                </wp:positionV>
                <wp:extent cx="388620" cy="1270"/>
                <wp:effectExtent l="0" t="0" r="0" b="0"/>
                <wp:wrapNone/>
                <wp:docPr id="39" name="组合 39"/>
                <wp:cNvGraphicFramePr/>
                <a:graphic xmlns:a="http://schemas.openxmlformats.org/drawingml/2006/main">
                  <a:graphicData uri="http://schemas.microsoft.com/office/word/2010/wordprocessingGroup">
                    <wpg:wgp>
                      <wpg:cNvGrpSpPr/>
                      <wpg:grpSpPr>
                        <a:xfrm>
                          <a:off x="0" y="0"/>
                          <a:ext cx="388620" cy="1270"/>
                          <a:chOff x="4937" y="395"/>
                          <a:chExt cx="612" cy="2"/>
                        </a:xfrm>
                        <a:effectLst/>
                      </wpg:grpSpPr>
                      <wps:wsp>
                        <wps:cNvPr id="4" name="任意多边形 27"/>
                        <wps:cNvSpPr/>
                        <wps:spPr>
                          <a:xfrm>
                            <a:off x="4937" y="395"/>
                            <a:ext cx="612" cy="2"/>
                          </a:xfrm>
                          <a:custGeom>
                            <a:avLst/>
                            <a:gdLst/>
                            <a:ahLst/>
                            <a:cxnLst/>
                            <a:pathLst>
                              <a:path w="612">
                                <a:moveTo>
                                  <a:pt x="0" y="0"/>
                                </a:moveTo>
                                <a:lnTo>
                                  <a:pt x="612"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6.8pt;margin-top:19.75pt;height:0.1pt;width:30.6pt;mso-position-horizontal-relative:page;z-index:-251652096;mso-width-relative:page;mso-height-relative:page;" coordorigin="4937,395" coordsize="612,2" o:gfxdata="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VJix7dkAAAAJAQAADwAAAAAAAAABACAAAAAiAAAAZHJzL2Rvd25yZXYueG1sUEsBAhQA&#10;FAAAAAgAh07iQFzZX+OcAgAA1gUAAA4AAAAAAAAAAQAgAAAAKAEAAGRycy9lMm9Eb2MueG1sUEsF&#10;BgAAAAAGAAYAWQEAADYGAAAAAA==&#10;">
                <o:lock v:ext="edit" aspectratio="f"/>
                <v:shape id="任意多边形 27" o:spid="_x0000_s1026" o:spt="100" style="position:absolute;left:4937;top:395;height:2;width:612;" filled="f" stroked="t" coordsize="612,1" o:gfxdata="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rO5kL4A&#10;AADaAAAADwAAAAAAAAABACAAAAAiAAAAZHJzL2Rvd25yZXYueG1sUEsBAhQAFAAAAAgAh07iQDMv&#10;BZ47AAAAOQAAABAAAAAAAAAAAQAgAAAADQEAAGRycy9zaGFwZXhtbC54bWxQSwUGAAAAAAYABgBb&#10;AQAAtwMAAAAA&#10;" path="m0,0l612,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跌</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3"/>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 w:val="30"/>
          <w:szCs w:val="30"/>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 w:val="32"/>
          <w:szCs w:val="32"/>
          <w:highlight w:val="none"/>
        </w:rPr>
        <w:t>F</w:t>
      </w:r>
      <w:r>
        <w:rPr>
          <w:rFonts w:hint="eastAsia" w:ascii="宋体" w:hAnsi="宋体" w:eastAsia="宋体" w:cs="宋体"/>
          <w:color w:val="auto"/>
          <w:spacing w:val="-6"/>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1"/>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39"/>
          <w:position w:val="15"/>
          <w:szCs w:val="24"/>
          <w:highlight w:val="none"/>
        </w:rPr>
        <w:t>F</w:t>
      </w:r>
      <w:r>
        <w:rPr>
          <w:rFonts w:hint="eastAsia" w:ascii="宋体" w:hAnsi="宋体" w:eastAsia="宋体" w:cs="宋体"/>
          <w:color w:val="auto"/>
          <w:position w:val="9"/>
          <w:sz w:val="14"/>
          <w:szCs w:val="14"/>
          <w:highlight w:val="none"/>
        </w:rPr>
        <w:t>1</w:t>
      </w:r>
      <w:r>
        <w:rPr>
          <w:rFonts w:hint="eastAsia" w:ascii="宋体" w:hAnsi="宋体" w:eastAsia="宋体" w:cs="宋体"/>
          <w:color w:val="auto"/>
          <w:spacing w:val="1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A</w:t>
      </w:r>
      <w:r>
        <w:rPr>
          <w:rFonts w:hint="eastAsia" w:ascii="宋体" w:hAnsi="宋体" w:eastAsia="宋体" w:cs="宋体"/>
          <w:color w:val="auto"/>
          <w:szCs w:val="24"/>
          <w:highlight w:val="none"/>
        </w:rPr>
        <w:t>）</w:t>
      </w:r>
    </w:p>
    <w:p w14:paraId="14CA9F9E">
      <w:pPr>
        <w:pStyle w:val="11"/>
        <w:tabs>
          <w:tab w:val="left" w:pos="2870"/>
        </w:tabs>
        <w:spacing w:line="142" w:lineRule="exact"/>
        <w:ind w:left="2490"/>
        <w:jc w:val="left"/>
        <w:rPr>
          <w:rFonts w:hint="eastAsia" w:ascii="宋体" w:hAnsi="宋体" w:eastAsia="宋体" w:cs="宋体"/>
          <w:color w:val="auto"/>
          <w:sz w:val="14"/>
          <w:szCs w:val="14"/>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65408" behindDoc="1" locked="0" layoutInCell="1" allowOverlap="1">
                <wp:simplePos x="0" y="0"/>
                <wp:positionH relativeFrom="page">
                  <wp:posOffset>3274060</wp:posOffset>
                </wp:positionH>
                <wp:positionV relativeFrom="paragraph">
                  <wp:posOffset>29845</wp:posOffset>
                </wp:positionV>
                <wp:extent cx="231140" cy="198755"/>
                <wp:effectExtent l="0" t="0" r="0" b="0"/>
                <wp:wrapNone/>
                <wp:docPr id="6" name="文本框 6"/>
                <wp:cNvGraphicFramePr/>
                <a:graphic xmlns:a="http://schemas.openxmlformats.org/drawingml/2006/main">
                  <a:graphicData uri="http://schemas.microsoft.com/office/word/2010/wordprocessingShape">
                    <wps:wsp>
                      <wps:cNvSpPr txBox="1"/>
                      <wps:spPr>
                        <a:xfrm>
                          <a:off x="0" y="0"/>
                          <a:ext cx="231140" cy="198755"/>
                        </a:xfrm>
                        <a:prstGeom prst="rect">
                          <a:avLst/>
                        </a:prstGeom>
                        <a:noFill/>
                        <a:ln>
                          <a:noFill/>
                        </a:ln>
                        <a:effectLst/>
                      </wps:spPr>
                      <wps:txbx>
                        <w:txbxContent>
                          <w:p w14:paraId="285C5D92">
                            <w:r>
                              <w:rPr>
                                <w:rFonts w:ascii="Times New Roman" w:eastAsia="Times New Roman"/>
                                <w:spacing w:val="-39"/>
                                <w:position w:val="15"/>
                                <w:szCs w:val="24"/>
                              </w:rPr>
                              <w:t>F</w:t>
                            </w:r>
                            <w:r>
                              <w:rPr>
                                <w:rFonts w:ascii="Times New Roman" w:eastAsia="Times New Roman"/>
                                <w:position w:val="9"/>
                                <w:sz w:val="14"/>
                                <w:szCs w:val="14"/>
                              </w:rPr>
                              <w:t>1</w:t>
                            </w:r>
                          </w:p>
                        </w:txbxContent>
                      </wps:txbx>
                      <wps:bodyPr wrap="square" lIns="0" tIns="0" rIns="0" bIns="0" upright="1"/>
                    </wps:wsp>
                  </a:graphicData>
                </a:graphic>
              </wp:anchor>
            </w:drawing>
          </mc:Choice>
          <mc:Fallback>
            <w:pict>
              <v:shape id="_x0000_s1026" o:spid="_x0000_s1026" o:spt="202" type="#_x0000_t202" style="position:absolute;left:0pt;margin-left:257.8pt;margin-top:2.35pt;height:15.65pt;width:18.2pt;mso-position-horizontal-relative:page;z-index:-251651072;mso-width-relative:page;mso-height-relative:page;" filled="f" stroked="f" coordsize="21600,21600" o:gfxdata="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nltRW1wAAAAgBAAAPAAAAAAAAAAEAIAAAACIAAABkcnMvZG93&#10;bnJldi54bWxQSwECFAAUAAAACACHTuJAbIqNz8gBAACNAwAADgAAAAAAAAABACAAAAAmAQAAZHJz&#10;L2Uyb0RvYy54bWxQSwUGAAAAAAYABgBZAQAAYAUAAAAA&#10;">
                <v:fill on="f" focussize="0,0"/>
                <v:stroke on="f"/>
                <v:imagedata o:title=""/>
                <o:lock v:ext="edit" aspectratio="f"/>
                <v:textbox inset="0mm,0mm,0mm,0mm">
                  <w:txbxContent>
                    <w:p w14:paraId="285C5D92">
                      <w:r>
                        <w:rPr>
                          <w:rFonts w:ascii="Times New Roman" w:eastAsia="Times New Roman"/>
                          <w:spacing w:val="-39"/>
                          <w:position w:val="15"/>
                          <w:szCs w:val="24"/>
                        </w:rPr>
                        <w:t>F</w:t>
                      </w:r>
                      <w:r>
                        <w:rPr>
                          <w:rFonts w:ascii="Times New Roman" w:eastAsia="Times New Roman"/>
                          <w:position w:val="9"/>
                          <w:sz w:val="14"/>
                          <w:szCs w:val="14"/>
                        </w:rPr>
                        <w:t>1</w:t>
                      </w:r>
                    </w:p>
                  </w:txbxContent>
                </v:textbox>
              </v:shape>
            </w:pict>
          </mc:Fallback>
        </mc:AlternateContent>
      </w:r>
      <w:r>
        <w:rPr>
          <w:rFonts w:hint="eastAsia" w:ascii="宋体" w:hAnsi="宋体" w:eastAsia="宋体" w:cs="宋体"/>
          <w:color w:val="auto"/>
          <w:sz w:val="14"/>
          <w:szCs w:val="14"/>
          <w:highlight w:val="none"/>
        </w:rPr>
        <w:t>1</w:t>
      </w:r>
      <w:r>
        <w:rPr>
          <w:rFonts w:hint="eastAsia" w:ascii="宋体" w:hAnsi="宋体" w:eastAsia="宋体" w:cs="宋体"/>
          <w:color w:val="auto"/>
          <w:sz w:val="14"/>
          <w:szCs w:val="14"/>
          <w:highlight w:val="none"/>
        </w:rPr>
        <w:tab/>
      </w:r>
      <w:r>
        <w:rPr>
          <w:rFonts w:hint="eastAsia" w:ascii="宋体" w:hAnsi="宋体" w:eastAsia="宋体" w:cs="宋体"/>
          <w:color w:val="auto"/>
          <w:sz w:val="14"/>
          <w:szCs w:val="14"/>
          <w:highlight w:val="none"/>
        </w:rPr>
        <w:t xml:space="preserve"> 1</w:t>
      </w:r>
    </w:p>
    <w:p w14:paraId="379C0B38">
      <w:pPr>
        <w:pStyle w:val="11"/>
        <w:spacing w:before="26"/>
        <w:ind w:left="3496" w:right="4830"/>
        <w:jc w:val="center"/>
        <w:rPr>
          <w:rFonts w:hint="eastAsia" w:ascii="宋体" w:hAnsi="宋体" w:eastAsia="宋体" w:cs="宋体"/>
          <w:color w:val="auto"/>
          <w:highlight w:val="none"/>
        </w:rPr>
      </w:pPr>
    </w:p>
    <w:p w14:paraId="6FCAB2E1">
      <w:pPr>
        <w:spacing w:before="6" w:line="170" w:lineRule="exact"/>
        <w:rPr>
          <w:rFonts w:hint="eastAsia" w:ascii="宋体" w:hAnsi="宋体" w:eastAsia="宋体" w:cs="宋体"/>
          <w:color w:val="auto"/>
          <w:sz w:val="17"/>
          <w:szCs w:val="17"/>
          <w:highlight w:val="none"/>
        </w:rPr>
      </w:pPr>
    </w:p>
    <w:p w14:paraId="27A4034D">
      <w:pPr>
        <w:spacing w:line="404" w:lineRule="exact"/>
        <w:ind w:left="120"/>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66432" behindDoc="1" locked="0" layoutInCell="1" allowOverlap="1">
                <wp:simplePos x="0" y="0"/>
                <wp:positionH relativeFrom="page">
                  <wp:posOffset>3099435</wp:posOffset>
                </wp:positionH>
                <wp:positionV relativeFrom="paragraph">
                  <wp:posOffset>250825</wp:posOffset>
                </wp:positionV>
                <wp:extent cx="388620" cy="1270"/>
                <wp:effectExtent l="0" t="0" r="0" b="0"/>
                <wp:wrapNone/>
                <wp:docPr id="36" name="组合 36"/>
                <wp:cNvGraphicFramePr/>
                <a:graphic xmlns:a="http://schemas.openxmlformats.org/drawingml/2006/main">
                  <a:graphicData uri="http://schemas.microsoft.com/office/word/2010/wordprocessingGroup">
                    <wpg:wgp>
                      <wpg:cNvGrpSpPr/>
                      <wpg:grpSpPr>
                        <a:xfrm>
                          <a:off x="0" y="0"/>
                          <a:ext cx="388620" cy="1270"/>
                          <a:chOff x="4882" y="395"/>
                          <a:chExt cx="612" cy="2"/>
                        </a:xfrm>
                        <a:effectLst/>
                      </wpg:grpSpPr>
                      <wps:wsp>
                        <wps:cNvPr id="7" name="任意多边形 30"/>
                        <wps:cNvSpPr/>
                        <wps:spPr>
                          <a:xfrm>
                            <a:off x="4882" y="395"/>
                            <a:ext cx="612" cy="2"/>
                          </a:xfrm>
                          <a:custGeom>
                            <a:avLst/>
                            <a:gdLst/>
                            <a:ahLst/>
                            <a:cxnLst/>
                            <a:pathLst>
                              <a:path w="612">
                                <a:moveTo>
                                  <a:pt x="0" y="0"/>
                                </a:moveTo>
                                <a:lnTo>
                                  <a:pt x="612"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4.05pt;margin-top:19.75pt;height:0.1pt;width:30.6pt;mso-position-horizontal-relative:page;z-index:-251650048;mso-width-relative:page;mso-height-relative:page;" coordorigin="4882,395" coordsize="612,2" o:gfxdata="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DdGUX/aAAAACQEAAA8AAAAAAAAAAQAgAAAAIgAAAGRycy9kb3ducmV2LnhtbFBL&#10;AQIUABQAAAAIAIdO4kD5RoxBnwIAANYFAAAOAAAAAAAAAAEAIAAAACkBAABkcnMvZTJvRG9jLnht&#10;bFBLBQYAAAAABgAGAFkBAAA6BgAAAAA=&#10;">
                <o:lock v:ext="edit" aspectratio="f"/>
                <v:shape id="任意多边形 30" o:spid="_x0000_s1026" o:spt="100" style="position:absolute;left:4882;top:395;height:2;width:612;" filled="f" stroked="t" coordsize="612,1" o:gfxdata="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mEn574A&#10;AADaAAAADwAAAAAAAAABACAAAAAiAAAAZHJzL2Rvd25yZXYueG1sUEsBAhQAFAAAAAgAh07iQDMv&#10;BZ47AAAAOQAAABAAAAAAAAAAAQAgAAAADQEAAGRycy9zaGFwZXhtbC54bWxQSwUGAAAAAAYABgBb&#10;AQAAtwMAAAAA&#10;" path="m0,0l612,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b</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涨</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5"/>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 w:val="32"/>
          <w:szCs w:val="32"/>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 w:val="32"/>
          <w:szCs w:val="32"/>
          <w:highlight w:val="none"/>
        </w:rPr>
        <w:t>F</w:t>
      </w:r>
      <w:r>
        <w:rPr>
          <w:rFonts w:hint="eastAsia" w:ascii="宋体" w:hAnsi="宋体" w:eastAsia="宋体" w:cs="宋体"/>
          <w:color w:val="auto"/>
          <w:spacing w:val="-7"/>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39"/>
          <w:position w:val="15"/>
          <w:szCs w:val="24"/>
          <w:highlight w:val="none"/>
        </w:rPr>
        <w:t>F</w:t>
      </w:r>
      <w:r>
        <w:rPr>
          <w:rFonts w:hint="eastAsia" w:ascii="宋体" w:hAnsi="宋体" w:eastAsia="宋体" w:cs="宋体"/>
          <w:color w:val="auto"/>
          <w:position w:val="9"/>
          <w:sz w:val="14"/>
          <w:szCs w:val="14"/>
          <w:highlight w:val="none"/>
        </w:rPr>
        <w:t>1</w:t>
      </w:r>
      <w:r>
        <w:rPr>
          <w:rFonts w:hint="eastAsia" w:ascii="宋体" w:hAnsi="宋体" w:eastAsia="宋体" w:cs="宋体"/>
          <w:color w:val="auto"/>
          <w:spacing w:val="1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A</w:t>
      </w:r>
      <w:r>
        <w:rPr>
          <w:rFonts w:hint="eastAsia" w:ascii="宋体" w:hAnsi="宋体" w:eastAsia="宋体" w:cs="宋体"/>
          <w:color w:val="auto"/>
          <w:szCs w:val="24"/>
          <w:highlight w:val="none"/>
        </w:rPr>
        <w:t>）</w:t>
      </w:r>
    </w:p>
    <w:p w14:paraId="3EC0EC69">
      <w:pPr>
        <w:pStyle w:val="11"/>
        <w:tabs>
          <w:tab w:val="left" w:pos="2815"/>
        </w:tabs>
        <w:spacing w:line="142" w:lineRule="exact"/>
        <w:ind w:firstLine="2520" w:firstLineChars="1800"/>
        <w:jc w:val="left"/>
        <w:rPr>
          <w:rFonts w:hint="eastAsia" w:ascii="宋体" w:hAnsi="宋体" w:eastAsia="宋体" w:cs="宋体"/>
          <w:color w:val="auto"/>
          <w:sz w:val="14"/>
          <w:szCs w:val="14"/>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67456" behindDoc="1" locked="0" layoutInCell="1" allowOverlap="1">
                <wp:simplePos x="0" y="0"/>
                <wp:positionH relativeFrom="page">
                  <wp:posOffset>3239135</wp:posOffset>
                </wp:positionH>
                <wp:positionV relativeFrom="paragraph">
                  <wp:posOffset>29845</wp:posOffset>
                </wp:positionV>
                <wp:extent cx="288290" cy="25527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88290" cy="255270"/>
                        </a:xfrm>
                        <a:prstGeom prst="rect">
                          <a:avLst/>
                        </a:prstGeom>
                        <a:noFill/>
                        <a:ln>
                          <a:noFill/>
                        </a:ln>
                        <a:effectLst/>
                      </wps:spPr>
                      <wps:txbx>
                        <w:txbxContent>
                          <w:p w14:paraId="24F8BD4A">
                            <w:r>
                              <w:rPr>
                                <w:rFonts w:ascii="Times New Roman" w:eastAsia="Times New Roman"/>
                                <w:spacing w:val="-39"/>
                                <w:position w:val="15"/>
                                <w:szCs w:val="24"/>
                              </w:rPr>
                              <w:t>F</w:t>
                            </w:r>
                            <w:r>
                              <w:rPr>
                                <w:rFonts w:ascii="Times New Roman" w:eastAsia="Times New Roman"/>
                                <w:position w:val="9"/>
                                <w:sz w:val="14"/>
                                <w:szCs w:val="14"/>
                              </w:rPr>
                              <w:t>1</w:t>
                            </w:r>
                          </w:p>
                          <w:p w14:paraId="0CFF0AC4"/>
                        </w:txbxContent>
                      </wps:txbx>
                      <wps:bodyPr wrap="square" lIns="0" tIns="0" rIns="0" bIns="0" upright="1"/>
                    </wps:wsp>
                  </a:graphicData>
                </a:graphic>
              </wp:anchor>
            </w:drawing>
          </mc:Choice>
          <mc:Fallback>
            <w:pict>
              <v:shape id="_x0000_s1026" o:spid="_x0000_s1026" o:spt="202" type="#_x0000_t202" style="position:absolute;left:0pt;margin-left:255.05pt;margin-top:2.35pt;height:20.1pt;width:22.7pt;mso-position-horizontal-relative:page;z-index:-251649024;mso-width-relative:page;mso-height-relative:page;" filled="f" stroked="f" coordsize="21600,21600" o:gfxdata="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HNn+KzWAAAACAEAAA8AAAAAAAAAAQAgAAAAIgAAAGRycy9kb3du&#10;cmV2LnhtbFBLAQIUABQAAAAIAIdO4kDM4BxdyAEAAI0DAAAOAAAAAAAAAAEAIAAAACUBAABkcnMv&#10;ZTJvRG9jLnhtbFBLBQYAAAAABgAGAFkBAABfBQAAAAA=&#10;">
                <v:fill on="f" focussize="0,0"/>
                <v:stroke on="f"/>
                <v:imagedata o:title=""/>
                <o:lock v:ext="edit" aspectratio="f"/>
                <v:textbox inset="0mm,0mm,0mm,0mm">
                  <w:txbxContent>
                    <w:p w14:paraId="24F8BD4A">
                      <w:r>
                        <w:rPr>
                          <w:rFonts w:ascii="Times New Roman" w:eastAsia="Times New Roman"/>
                          <w:spacing w:val="-39"/>
                          <w:position w:val="15"/>
                          <w:szCs w:val="24"/>
                        </w:rPr>
                        <w:t>F</w:t>
                      </w:r>
                      <w:r>
                        <w:rPr>
                          <w:rFonts w:ascii="Times New Roman" w:eastAsia="Times New Roman"/>
                          <w:position w:val="9"/>
                          <w:sz w:val="14"/>
                          <w:szCs w:val="14"/>
                        </w:rPr>
                        <w:t>1</w:t>
                      </w:r>
                    </w:p>
                    <w:p w14:paraId="0CFF0AC4"/>
                  </w:txbxContent>
                </v:textbox>
              </v:shape>
            </w:pict>
          </mc:Fallback>
        </mc:AlternateContent>
      </w:r>
      <w:r>
        <w:rPr>
          <w:rFonts w:hint="eastAsia" w:ascii="宋体" w:hAnsi="宋体" w:eastAsia="宋体" w:cs="宋体"/>
          <w:color w:val="auto"/>
          <w:sz w:val="14"/>
          <w:szCs w:val="14"/>
          <w:highlight w:val="none"/>
        </w:rPr>
        <w:t>1</w:t>
      </w:r>
      <w:r>
        <w:rPr>
          <w:rFonts w:hint="eastAsia" w:ascii="宋体" w:hAnsi="宋体" w:eastAsia="宋体" w:cs="宋体"/>
          <w:color w:val="auto"/>
          <w:sz w:val="14"/>
          <w:szCs w:val="14"/>
          <w:highlight w:val="none"/>
        </w:rPr>
        <w:tab/>
      </w:r>
      <w:r>
        <w:rPr>
          <w:rFonts w:hint="eastAsia" w:ascii="宋体" w:hAnsi="宋体" w:eastAsia="宋体" w:cs="宋体"/>
          <w:color w:val="auto"/>
          <w:sz w:val="14"/>
          <w:szCs w:val="14"/>
          <w:highlight w:val="none"/>
        </w:rPr>
        <w:t xml:space="preserve">  1</w:t>
      </w:r>
    </w:p>
    <w:p w14:paraId="262F68FE">
      <w:pPr>
        <w:pStyle w:val="11"/>
        <w:spacing w:before="26"/>
        <w:ind w:left="3441" w:right="4885"/>
        <w:jc w:val="center"/>
        <w:rPr>
          <w:rFonts w:hint="eastAsia" w:ascii="宋体" w:hAnsi="宋体" w:eastAsia="宋体" w:cs="宋体"/>
          <w:color w:val="auto"/>
          <w:highlight w:val="none"/>
        </w:rPr>
      </w:pPr>
    </w:p>
    <w:p w14:paraId="34E0FB22">
      <w:pPr>
        <w:spacing w:before="3" w:line="170" w:lineRule="exact"/>
        <w:rPr>
          <w:rFonts w:hint="eastAsia" w:ascii="宋体" w:hAnsi="宋体" w:eastAsia="宋体" w:cs="宋体"/>
          <w:color w:val="auto"/>
          <w:sz w:val="17"/>
          <w:szCs w:val="17"/>
          <w:highlight w:val="none"/>
        </w:rPr>
      </w:pPr>
    </w:p>
    <w:p w14:paraId="3EC31376">
      <w:pPr>
        <w:spacing w:line="404" w:lineRule="exact"/>
        <w:ind w:left="328"/>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68480" behindDoc="1" locked="0" layoutInCell="1" allowOverlap="1">
                <wp:simplePos x="0" y="0"/>
                <wp:positionH relativeFrom="page">
                  <wp:posOffset>3150235</wp:posOffset>
                </wp:positionH>
                <wp:positionV relativeFrom="paragraph">
                  <wp:posOffset>250825</wp:posOffset>
                </wp:positionV>
                <wp:extent cx="403860" cy="1270"/>
                <wp:effectExtent l="0" t="0" r="0" b="0"/>
                <wp:wrapNone/>
                <wp:docPr id="43" name="组合 43"/>
                <wp:cNvGraphicFramePr/>
                <a:graphic xmlns:a="http://schemas.openxmlformats.org/drawingml/2006/main">
                  <a:graphicData uri="http://schemas.microsoft.com/office/word/2010/wordprocessingGroup">
                    <wpg:wgp>
                      <wpg:cNvGrpSpPr/>
                      <wpg:grpSpPr>
                        <a:xfrm>
                          <a:off x="0" y="0"/>
                          <a:ext cx="403860" cy="1270"/>
                          <a:chOff x="4961" y="396"/>
                          <a:chExt cx="636" cy="2"/>
                        </a:xfrm>
                        <a:effectLst/>
                      </wpg:grpSpPr>
                      <wps:wsp>
                        <wps:cNvPr id="10" name="任意多边形 33"/>
                        <wps:cNvSpPr/>
                        <wps:spPr>
                          <a:xfrm>
                            <a:off x="4961"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8.05pt;margin-top:19.75pt;height:0.1pt;width:31.8pt;mso-position-horizontal-relative:page;z-index:-251648000;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EjDrmHaAAAACQEAAA8AAAAAAAAAAQAgAAAAIgAAAGRycy9kb3ducmV2LnhtbFBLAQIU&#10;ABQAAAAIAIdO4kCT8dwNnAIAANcFAAAOAAAAAAAAAAEAIAAAACkBAABkcnMvZTJvRG9jLnhtbFBL&#10;BQYAAAAABgAGAFkBAAA3BgAAAAA=&#10;">
                <o:lock v:ext="edit" aspectratio="f"/>
                <v:shape id="任意多边形 33" o:spid="_x0000_s1026" o:spt="100" style="position:absolute;left:4961;top:396;height:2;width:636;" filled="f" stroked="t" coordsize="636,1" o:gfxdata="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siBvb4A&#10;AADbAAAADwAAAAAAAAABACAAAAAiAAAAZHJzL2Rvd25yZXYueG1sUEsBAhQAFAAAAAgAh07iQDMv&#10;BZ47AAAAOQAAABAAAAAAAAAAAQAgAAAADQEAAGRycy9zaGFwZXhtbC54bWxQSwUGAAAAAAYABgBb&#10;AQAAtwMAAAAA&#10;" path="m0,0l636,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跌</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2"/>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Cs w:val="24"/>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Cs w:val="24"/>
          <w:highlight w:val="none"/>
        </w:rPr>
        <w:t>F</w:t>
      </w:r>
      <w:r>
        <w:rPr>
          <w:rFonts w:hint="eastAsia" w:ascii="宋体" w:hAnsi="宋体" w:eastAsia="宋体" w:cs="宋体"/>
          <w:color w:val="auto"/>
          <w:spacing w:val="16"/>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0"/>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26"/>
          <w:position w:val="15"/>
          <w:szCs w:val="24"/>
          <w:highlight w:val="none"/>
        </w:rPr>
        <w:t>F</w:t>
      </w:r>
      <w:r>
        <w:rPr>
          <w:rFonts w:hint="eastAsia" w:ascii="宋体" w:hAnsi="宋体" w:eastAsia="宋体" w:cs="宋体"/>
          <w:color w:val="auto"/>
          <w:position w:val="9"/>
          <w:sz w:val="14"/>
          <w:szCs w:val="14"/>
          <w:highlight w:val="none"/>
        </w:rPr>
        <w:t>0</w:t>
      </w:r>
      <w:r>
        <w:rPr>
          <w:rFonts w:hint="eastAsia" w:ascii="宋体" w:hAnsi="宋体" w:eastAsia="宋体" w:cs="宋体"/>
          <w:color w:val="auto"/>
          <w:spacing w:val="2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A</w:t>
      </w:r>
      <w:r>
        <w:rPr>
          <w:rFonts w:hint="eastAsia" w:ascii="宋体" w:hAnsi="宋体" w:eastAsia="宋体" w:cs="宋体"/>
          <w:color w:val="auto"/>
          <w:szCs w:val="24"/>
          <w:highlight w:val="none"/>
        </w:rPr>
        <w:t>）</w:t>
      </w:r>
    </w:p>
    <w:p w14:paraId="2BF32FD6">
      <w:pPr>
        <w:pStyle w:val="11"/>
        <w:tabs>
          <w:tab w:val="left" w:pos="2884"/>
        </w:tabs>
        <w:spacing w:line="142" w:lineRule="exact"/>
        <w:ind w:firstLine="2520" w:firstLineChars="1800"/>
        <w:jc w:val="left"/>
        <w:rPr>
          <w:rFonts w:hint="eastAsia" w:ascii="宋体" w:hAnsi="宋体" w:eastAsia="宋体" w:cs="宋体"/>
          <w:color w:val="auto"/>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69504" behindDoc="1" locked="0" layoutInCell="1" allowOverlap="1">
                <wp:simplePos x="0" y="0"/>
                <wp:positionH relativeFrom="page">
                  <wp:posOffset>3289300</wp:posOffset>
                </wp:positionH>
                <wp:positionV relativeFrom="paragraph">
                  <wp:posOffset>29845</wp:posOffset>
                </wp:positionV>
                <wp:extent cx="220980" cy="29337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20980" cy="293370"/>
                        </a:xfrm>
                        <a:prstGeom prst="rect">
                          <a:avLst/>
                        </a:prstGeom>
                        <a:noFill/>
                        <a:ln>
                          <a:noFill/>
                        </a:ln>
                        <a:effectLst/>
                      </wps:spPr>
                      <wps:txbx>
                        <w:txbxContent>
                          <w:p w14:paraId="362051E1">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_x0000_s1026" o:spid="_x0000_s1026" o:spt="202" type="#_x0000_t202" style="position:absolute;left:0pt;margin-left:259pt;margin-top:2.35pt;height:23.1pt;width:17.4pt;mso-position-horizontal-relative:page;z-index:-251646976;mso-width-relative:page;mso-height-relative:page;" filled="f" stroked="f" coordsize="21600,21600" o:gfxdata="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NpqnnYAAAACAEAAA8AAAAAAAAAAQAgAAAAIgAAAGRycy9k&#10;b3ducmV2LnhtbFBLAQIUABQAAAAIAIdO4kB+QGSAyQEAAI8DAAAOAAAAAAAAAAEAIAAAACcBAABk&#10;cnMvZTJvRG9jLnhtbFBLBQYAAAAABgAGAFkBAABiBQAAAAA=&#10;">
                <v:fill on="f" focussize="0,0"/>
                <v:stroke on="f"/>
                <v:imagedata o:title=""/>
                <o:lock v:ext="edit" aspectratio="f"/>
                <v:textbox inset="0mm,0mm,0mm,0mm">
                  <w:txbxContent>
                    <w:p w14:paraId="362051E1">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int="eastAsia" w:ascii="宋体" w:hAnsi="宋体" w:eastAsia="宋体" w:cs="宋体"/>
          <w:color w:val="auto"/>
          <w:sz w:val="14"/>
          <w:szCs w:val="14"/>
          <w:highlight w:val="none"/>
        </w:rPr>
        <w:t>1    0</w:t>
      </w:r>
    </w:p>
    <w:p w14:paraId="3D3FFEFC">
      <w:pPr>
        <w:spacing w:before="4" w:line="110" w:lineRule="exact"/>
        <w:rPr>
          <w:rFonts w:hint="eastAsia" w:ascii="宋体" w:hAnsi="宋体" w:eastAsia="宋体" w:cs="宋体"/>
          <w:color w:val="auto"/>
          <w:sz w:val="11"/>
          <w:szCs w:val="11"/>
          <w:highlight w:val="none"/>
        </w:rPr>
      </w:pPr>
    </w:p>
    <w:p w14:paraId="43E961A6">
      <w:pPr>
        <w:spacing w:line="200" w:lineRule="exact"/>
        <w:rPr>
          <w:rFonts w:hint="eastAsia" w:ascii="宋体" w:hAnsi="宋体" w:eastAsia="宋体" w:cs="宋体"/>
          <w:color w:val="auto"/>
          <w:sz w:val="20"/>
          <w:highlight w:val="none"/>
        </w:rPr>
      </w:pPr>
    </w:p>
    <w:p w14:paraId="37D54CFC">
      <w:pPr>
        <w:spacing w:line="200" w:lineRule="exact"/>
        <w:rPr>
          <w:rFonts w:hint="eastAsia" w:ascii="宋体" w:hAnsi="宋体" w:eastAsia="宋体" w:cs="宋体"/>
          <w:color w:val="auto"/>
          <w:sz w:val="20"/>
          <w:highlight w:val="none"/>
        </w:rPr>
      </w:pPr>
    </w:p>
    <w:p w14:paraId="1402F437">
      <w:pPr>
        <w:spacing w:line="404" w:lineRule="exact"/>
        <w:ind w:left="120"/>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70528" behindDoc="1" locked="0" layoutInCell="1" allowOverlap="1">
                <wp:simplePos x="0" y="0"/>
                <wp:positionH relativeFrom="page">
                  <wp:posOffset>3107055</wp:posOffset>
                </wp:positionH>
                <wp:positionV relativeFrom="paragraph">
                  <wp:posOffset>250825</wp:posOffset>
                </wp:positionV>
                <wp:extent cx="403860" cy="1270"/>
                <wp:effectExtent l="0" t="0" r="0" b="0"/>
                <wp:wrapNone/>
                <wp:docPr id="44" name="组合 44"/>
                <wp:cNvGraphicFramePr/>
                <a:graphic xmlns:a="http://schemas.openxmlformats.org/drawingml/2006/main">
                  <a:graphicData uri="http://schemas.microsoft.com/office/word/2010/wordprocessingGroup">
                    <wpg:wgp>
                      <wpg:cNvGrpSpPr/>
                      <wpg:grpSpPr>
                        <a:xfrm>
                          <a:off x="0" y="0"/>
                          <a:ext cx="403860" cy="1270"/>
                          <a:chOff x="4894" y="396"/>
                          <a:chExt cx="636" cy="2"/>
                        </a:xfrm>
                        <a:effectLst/>
                      </wpg:grpSpPr>
                      <wps:wsp>
                        <wps:cNvPr id="13" name="任意多边形 36"/>
                        <wps:cNvSpPr/>
                        <wps:spPr>
                          <a:xfrm>
                            <a:off x="4894"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4.65pt;margin-top:19.75pt;height:0.1pt;width:31.8pt;mso-position-horizontal-relative:page;z-index:-251645952;mso-width-relative:page;mso-height-relative:page;" coordorigin="4894,396" coordsize="636,2" o:gfxdata="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FzIe/vaAAAACQEAAA8AAAAAAAAAAQAgAAAAIgAAAGRycy9kb3ducmV2LnhtbFBLAQIU&#10;ABQAAAAIAIdO4kBH4jrmnAIAANcFAAAOAAAAAAAAAAEAIAAAACkBAABkcnMvZTJvRG9jLnhtbFBL&#10;BQYAAAAABgAGAFkBAAA3BgAAAAA=&#10;">
                <o:lock v:ext="edit" aspectratio="f"/>
                <v:shape id="任意多边形 36" o:spid="_x0000_s1026" o:spt="100" style="position:absolute;left:4894;top:396;height:2;width:636;" filled="f" stroked="t" coordsize="636,1" o:gfxdata="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Gh/KugAAANsA&#10;AAAPAAAAAAAAAAEAIAAAACIAAABkcnMvZG93bnJldi54bWxQSwECFAAUAAAACACHTuJAMy8FnjsA&#10;AAA5AAAAEAAAAAAAAAABACAAAAAJAQAAZHJzL3NoYXBleG1sLnhtbFBLBQYAAAAABgAGAFsBAACz&#10;AwAAAAA=&#10;" path="m0,0l636,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c</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1"/>
          <w:sz w:val="21"/>
          <w:szCs w:val="21"/>
          <w:highlight w:val="none"/>
        </w:rPr>
        <w:t>涨</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Cs w:val="24"/>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Cs w:val="24"/>
          <w:highlight w:val="none"/>
        </w:rPr>
        <w:t>F</w:t>
      </w:r>
      <w:r>
        <w:rPr>
          <w:rFonts w:hint="eastAsia" w:ascii="宋体" w:hAnsi="宋体" w:eastAsia="宋体" w:cs="宋体"/>
          <w:color w:val="auto"/>
          <w:spacing w:val="15"/>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0"/>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26"/>
          <w:position w:val="15"/>
          <w:szCs w:val="24"/>
          <w:highlight w:val="none"/>
        </w:rPr>
        <w:t>F</w:t>
      </w:r>
      <w:r>
        <w:rPr>
          <w:rFonts w:hint="eastAsia" w:ascii="宋体" w:hAnsi="宋体" w:eastAsia="宋体" w:cs="宋体"/>
          <w:color w:val="auto"/>
          <w:position w:val="9"/>
          <w:sz w:val="14"/>
          <w:szCs w:val="14"/>
          <w:highlight w:val="none"/>
        </w:rPr>
        <w:t>0</w:t>
      </w:r>
      <w:r>
        <w:rPr>
          <w:rFonts w:hint="eastAsia" w:ascii="宋体" w:hAnsi="宋体" w:eastAsia="宋体" w:cs="宋体"/>
          <w:color w:val="auto"/>
          <w:spacing w:val="2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A</w:t>
      </w:r>
      <w:r>
        <w:rPr>
          <w:rFonts w:hint="eastAsia" w:ascii="宋体" w:hAnsi="宋体" w:eastAsia="宋体" w:cs="宋体"/>
          <w:color w:val="auto"/>
          <w:szCs w:val="24"/>
          <w:highlight w:val="none"/>
        </w:rPr>
        <w:t>）</w:t>
      </w:r>
    </w:p>
    <w:p w14:paraId="70BA9A76">
      <w:pPr>
        <w:pStyle w:val="11"/>
        <w:tabs>
          <w:tab w:val="left" w:pos="2817"/>
        </w:tabs>
        <w:spacing w:line="142" w:lineRule="exact"/>
        <w:ind w:left="2424"/>
        <w:jc w:val="left"/>
        <w:rPr>
          <w:rFonts w:hint="eastAsia" w:ascii="宋体" w:hAnsi="宋体" w:eastAsia="宋体" w:cs="宋体"/>
          <w:color w:val="auto"/>
          <w:sz w:val="14"/>
          <w:szCs w:val="14"/>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71552" behindDoc="1" locked="0" layoutInCell="1" allowOverlap="1">
                <wp:simplePos x="0" y="0"/>
                <wp:positionH relativeFrom="page">
                  <wp:posOffset>3246755</wp:posOffset>
                </wp:positionH>
                <wp:positionV relativeFrom="paragraph">
                  <wp:posOffset>29845</wp:posOffset>
                </wp:positionV>
                <wp:extent cx="163195" cy="20828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63195" cy="208280"/>
                        </a:xfrm>
                        <a:prstGeom prst="rect">
                          <a:avLst/>
                        </a:prstGeom>
                        <a:noFill/>
                        <a:ln>
                          <a:noFill/>
                        </a:ln>
                        <a:effectLst/>
                      </wps:spPr>
                      <wps:txbx>
                        <w:txbxContent>
                          <w:p w14:paraId="63B3E82E">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_x0000_s1026" o:spid="_x0000_s1026" o:spt="202" type="#_x0000_t202" style="position:absolute;left:0pt;margin-left:255.65pt;margin-top:2.35pt;height:16.4pt;width:12.85pt;mso-position-horizontal-relative:page;z-index:-251644928;mso-width-relative:page;mso-height-relative:page;" filled="f" stroked="f" coordsize="21600,21600" o:gfxdata="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Uzt7PYAAAACAEAAA8AAAAAAAAAAQAgAAAAIgAAAGRycy9k&#10;b3ducmV2LnhtbFBLAQIUABQAAAAIAIdO4kAHBXSzyQEAAI8DAAAOAAAAAAAAAAEAIAAAACcBAABk&#10;cnMvZTJvRG9jLnhtbFBLBQYAAAAABgAGAFkBAABiBQAAAAA=&#10;">
                <v:fill on="f" focussize="0,0"/>
                <v:stroke on="f"/>
                <v:imagedata o:title=""/>
                <o:lock v:ext="edit" aspectratio="f"/>
                <v:textbox inset="0mm,0mm,0mm,0mm">
                  <w:txbxContent>
                    <w:p w14:paraId="63B3E82E">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int="eastAsia" w:ascii="宋体" w:hAnsi="宋体" w:eastAsia="宋体" w:cs="宋体"/>
          <w:color w:val="auto"/>
          <w:sz w:val="14"/>
          <w:szCs w:val="14"/>
          <w:highlight w:val="none"/>
        </w:rPr>
        <w:t>1</w:t>
      </w:r>
      <w:r>
        <w:rPr>
          <w:rFonts w:hint="eastAsia" w:ascii="宋体" w:hAnsi="宋体" w:eastAsia="宋体" w:cs="宋体"/>
          <w:color w:val="auto"/>
          <w:sz w:val="14"/>
          <w:szCs w:val="14"/>
          <w:highlight w:val="none"/>
        </w:rPr>
        <w:tab/>
      </w:r>
      <w:r>
        <w:rPr>
          <w:rFonts w:hint="eastAsia" w:ascii="宋体" w:hAnsi="宋体" w:eastAsia="宋体" w:cs="宋体"/>
          <w:color w:val="auto"/>
          <w:sz w:val="14"/>
          <w:szCs w:val="14"/>
          <w:highlight w:val="none"/>
        </w:rPr>
        <w:t>0</w:t>
      </w:r>
    </w:p>
    <w:p w14:paraId="373761D9">
      <w:pPr>
        <w:pStyle w:val="11"/>
        <w:spacing w:before="26"/>
        <w:ind w:left="3454" w:right="4848"/>
        <w:jc w:val="center"/>
        <w:rPr>
          <w:rFonts w:hint="eastAsia" w:ascii="宋体" w:hAnsi="宋体" w:eastAsia="宋体" w:cs="宋体"/>
          <w:color w:val="auto"/>
          <w:sz w:val="14"/>
          <w:szCs w:val="14"/>
          <w:highlight w:val="none"/>
        </w:rPr>
      </w:pPr>
    </w:p>
    <w:p w14:paraId="617CC1C8">
      <w:pPr>
        <w:spacing w:before="4" w:line="170" w:lineRule="exact"/>
        <w:rPr>
          <w:rFonts w:hint="eastAsia" w:ascii="宋体" w:hAnsi="宋体" w:eastAsia="宋体" w:cs="宋体"/>
          <w:color w:val="auto"/>
          <w:sz w:val="17"/>
          <w:szCs w:val="17"/>
          <w:highlight w:val="none"/>
        </w:rPr>
      </w:pPr>
    </w:p>
    <w:p w14:paraId="77536381">
      <w:pPr>
        <w:spacing w:line="405" w:lineRule="exact"/>
        <w:ind w:left="328"/>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72576" behindDoc="1" locked="0" layoutInCell="1" allowOverlap="1">
                <wp:simplePos x="0" y="0"/>
                <wp:positionH relativeFrom="page">
                  <wp:posOffset>3150235</wp:posOffset>
                </wp:positionH>
                <wp:positionV relativeFrom="paragraph">
                  <wp:posOffset>250825</wp:posOffset>
                </wp:positionV>
                <wp:extent cx="403860" cy="1270"/>
                <wp:effectExtent l="0" t="0" r="0" b="0"/>
                <wp:wrapNone/>
                <wp:docPr id="40" name="组合 40"/>
                <wp:cNvGraphicFramePr/>
                <a:graphic xmlns:a="http://schemas.openxmlformats.org/drawingml/2006/main">
                  <a:graphicData uri="http://schemas.microsoft.com/office/word/2010/wordprocessingGroup">
                    <wpg:wgp>
                      <wpg:cNvGrpSpPr/>
                      <wpg:grpSpPr>
                        <a:xfrm>
                          <a:off x="0" y="0"/>
                          <a:ext cx="403860" cy="1270"/>
                          <a:chOff x="4961" y="396"/>
                          <a:chExt cx="636" cy="2"/>
                        </a:xfrm>
                        <a:effectLst/>
                      </wpg:grpSpPr>
                      <wps:wsp>
                        <wps:cNvPr id="16" name="任意多边形 39"/>
                        <wps:cNvSpPr/>
                        <wps:spPr>
                          <a:xfrm>
                            <a:off x="4961"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8.05pt;margin-top:19.75pt;height:0.1pt;width:31.8pt;mso-position-horizontal-relative:page;z-index:-251643904;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EjDrmHaAAAACQEAAA8AAAAAAAAAAQAgAAAAIgAAAGRycy9kb3ducmV2LnhtbFBLAQIU&#10;ABQAAAAIAIdO4kByO27HnAIAANcFAAAOAAAAAAAAAAEAIAAAACkBAABkcnMvZTJvRG9jLnhtbFBL&#10;BQYAAAAABgAGAFkBAAA3BgAAAAA=&#10;">
                <o:lock v:ext="edit" aspectratio="f"/>
                <v:shape id="任意多边形 39" o:spid="_x0000_s1026" o:spt="100" style="position:absolute;left:4961;top:396;height:2;width:636;" filled="f" stroked="t" coordsize="636,1" o:gfxdata="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5tvFK5AAAA2w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跌</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2"/>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Cs w:val="24"/>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Cs w:val="24"/>
          <w:highlight w:val="none"/>
        </w:rPr>
        <w:t>F</w:t>
      </w:r>
      <w:r>
        <w:rPr>
          <w:rFonts w:hint="eastAsia" w:ascii="宋体" w:hAnsi="宋体" w:eastAsia="宋体" w:cs="宋体"/>
          <w:color w:val="auto"/>
          <w:spacing w:val="16"/>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0"/>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26"/>
          <w:position w:val="15"/>
          <w:szCs w:val="24"/>
          <w:highlight w:val="none"/>
        </w:rPr>
        <w:t>F</w:t>
      </w:r>
      <w:r>
        <w:rPr>
          <w:rFonts w:hint="eastAsia" w:ascii="宋体" w:hAnsi="宋体" w:eastAsia="宋体" w:cs="宋体"/>
          <w:color w:val="auto"/>
          <w:position w:val="9"/>
          <w:sz w:val="14"/>
          <w:szCs w:val="14"/>
          <w:highlight w:val="none"/>
        </w:rPr>
        <w:t>0</w:t>
      </w:r>
      <w:r>
        <w:rPr>
          <w:rFonts w:hint="eastAsia" w:ascii="宋体" w:hAnsi="宋体" w:eastAsia="宋体" w:cs="宋体"/>
          <w:color w:val="auto"/>
          <w:spacing w:val="2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A</w:t>
      </w:r>
      <w:r>
        <w:rPr>
          <w:rFonts w:hint="eastAsia" w:ascii="宋体" w:hAnsi="宋体" w:eastAsia="宋体" w:cs="宋体"/>
          <w:color w:val="auto"/>
          <w:szCs w:val="24"/>
          <w:highlight w:val="none"/>
        </w:rPr>
        <w:t>）</w:t>
      </w:r>
    </w:p>
    <w:p w14:paraId="2ACABD42">
      <w:pPr>
        <w:pStyle w:val="11"/>
        <w:tabs>
          <w:tab w:val="left" w:pos="2884"/>
        </w:tabs>
        <w:spacing w:line="142" w:lineRule="exact"/>
        <w:ind w:firstLine="2520" w:firstLineChars="1800"/>
        <w:jc w:val="left"/>
        <w:rPr>
          <w:rFonts w:hint="eastAsia" w:ascii="宋体" w:hAnsi="宋体" w:eastAsia="宋体" w:cs="宋体"/>
          <w:color w:val="auto"/>
          <w:sz w:val="14"/>
          <w:szCs w:val="14"/>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73600" behindDoc="1" locked="0" layoutInCell="1" allowOverlap="1">
                <wp:simplePos x="0" y="0"/>
                <wp:positionH relativeFrom="page">
                  <wp:posOffset>3289300</wp:posOffset>
                </wp:positionH>
                <wp:positionV relativeFrom="paragraph">
                  <wp:posOffset>29845</wp:posOffset>
                </wp:positionV>
                <wp:extent cx="296545" cy="24638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296545" cy="246380"/>
                        </a:xfrm>
                        <a:prstGeom prst="rect">
                          <a:avLst/>
                        </a:prstGeom>
                        <a:noFill/>
                        <a:ln>
                          <a:noFill/>
                        </a:ln>
                        <a:effectLst/>
                      </wps:spPr>
                      <wps:txbx>
                        <w:txbxContent>
                          <w:p w14:paraId="47875231">
                            <w:r>
                              <w:rPr>
                                <w:rFonts w:ascii="Times New Roman" w:eastAsia="Times New Roman"/>
                                <w:spacing w:val="-26"/>
                                <w:position w:val="15"/>
                                <w:szCs w:val="24"/>
                              </w:rPr>
                              <w:t>F</w:t>
                            </w:r>
                            <w:r>
                              <w:rPr>
                                <w:rFonts w:ascii="Times New Roman" w:eastAsia="Times New Roman"/>
                                <w:position w:val="9"/>
                                <w:sz w:val="14"/>
                                <w:szCs w:val="14"/>
                              </w:rPr>
                              <w:t>0</w:t>
                            </w:r>
                          </w:p>
                        </w:txbxContent>
                      </wps:txbx>
                      <wps:bodyPr wrap="square" lIns="0" tIns="0" rIns="0" bIns="0" upright="1"/>
                    </wps:wsp>
                  </a:graphicData>
                </a:graphic>
              </wp:anchor>
            </w:drawing>
          </mc:Choice>
          <mc:Fallback>
            <w:pict>
              <v:shape id="_x0000_s1026" o:spid="_x0000_s1026" o:spt="202" type="#_x0000_t202" style="position:absolute;left:0pt;margin-left:259pt;margin-top:2.35pt;height:19.4pt;width:23.35pt;mso-position-horizontal-relative:page;z-index:-251642880;mso-width-relative:page;mso-height-relative:page;" filled="f" stroked="f" coordsize="21600,21600" o:gfxdata="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N5C8xnXAAAACAEAAA8AAAAAAAAAAQAgAAAAIgAAAGRycy9k&#10;b3ducmV2LnhtbFBLAQIUABQAAAAIAIdO4kC7W5FxygEAAI8DAAAOAAAAAAAAAAEAIAAAACYBAABk&#10;cnMvZTJvRG9jLnhtbFBLBQYAAAAABgAGAFkBAABiBQAAAAA=&#10;">
                <v:fill on="f" focussize="0,0"/>
                <v:stroke on="f"/>
                <v:imagedata o:title=""/>
                <o:lock v:ext="edit" aspectratio="f"/>
                <v:textbox inset="0mm,0mm,0mm,0mm">
                  <w:txbxContent>
                    <w:p w14:paraId="47875231">
                      <w:r>
                        <w:rPr>
                          <w:rFonts w:ascii="Times New Roman" w:eastAsia="Times New Roman"/>
                          <w:spacing w:val="-26"/>
                          <w:position w:val="15"/>
                          <w:szCs w:val="24"/>
                        </w:rPr>
                        <w:t>F</w:t>
                      </w:r>
                      <w:r>
                        <w:rPr>
                          <w:rFonts w:ascii="Times New Roman" w:eastAsia="Times New Roman"/>
                          <w:position w:val="9"/>
                          <w:sz w:val="14"/>
                          <w:szCs w:val="14"/>
                        </w:rPr>
                        <w:t>0</w:t>
                      </w:r>
                    </w:p>
                  </w:txbxContent>
                </v:textbox>
              </v:shape>
            </w:pict>
          </mc:Fallback>
        </mc:AlternateContent>
      </w:r>
      <w:r>
        <w:rPr>
          <w:rFonts w:hint="eastAsia" w:ascii="宋体" w:hAnsi="宋体" w:eastAsia="宋体" w:cs="宋体"/>
          <w:color w:val="auto"/>
          <w:sz w:val="14"/>
          <w:szCs w:val="14"/>
          <w:highlight w:val="none"/>
        </w:rPr>
        <w:t>1    0</w:t>
      </w:r>
    </w:p>
    <w:p w14:paraId="1213BFF2">
      <w:pPr>
        <w:pStyle w:val="11"/>
        <w:spacing w:before="26"/>
        <w:ind w:left="3521" w:right="4781"/>
        <w:jc w:val="center"/>
        <w:rPr>
          <w:rFonts w:hint="eastAsia" w:ascii="宋体" w:hAnsi="宋体" w:eastAsia="宋体" w:cs="宋体"/>
          <w:color w:val="auto"/>
          <w:sz w:val="14"/>
          <w:szCs w:val="14"/>
          <w:highlight w:val="none"/>
        </w:rPr>
      </w:pPr>
    </w:p>
    <w:p w14:paraId="4038BD76">
      <w:pPr>
        <w:spacing w:before="3" w:line="120" w:lineRule="exact"/>
        <w:rPr>
          <w:rFonts w:hint="eastAsia" w:ascii="宋体" w:hAnsi="宋体" w:eastAsia="宋体" w:cs="宋体"/>
          <w:color w:val="auto"/>
          <w:sz w:val="12"/>
          <w:szCs w:val="12"/>
          <w:highlight w:val="none"/>
        </w:rPr>
      </w:pPr>
    </w:p>
    <w:p w14:paraId="37950967">
      <w:pPr>
        <w:wordWrap w:val="0"/>
        <w:adjustRightInd w:val="0"/>
        <w:snapToGrid w:val="0"/>
        <w:spacing w:line="440" w:lineRule="exact"/>
        <w:ind w:firstLine="480" w:firstLineChars="200"/>
        <w:rPr>
          <w:rFonts w:hint="eastAsia" w:ascii="宋体" w:hAnsi="宋体" w:eastAsia="宋体" w:cs="宋体"/>
          <w:bCs/>
          <w:snapToGrid w:val="0"/>
          <w:color w:val="auto"/>
          <w:kern w:val="0"/>
          <w:szCs w:val="28"/>
          <w:highlight w:val="none"/>
        </w:rPr>
      </w:pPr>
      <w:r>
        <w:rPr>
          <w:rFonts w:hint="eastAsia" w:ascii="宋体" w:hAnsi="宋体" w:eastAsia="宋体" w:cs="宋体"/>
          <w:snapToGrid w:val="0"/>
          <w:color w:val="auto"/>
          <w:kern w:val="0"/>
          <w:szCs w:val="24"/>
          <w:highlight w:val="none"/>
        </w:rPr>
        <w:t>以上公式中，</w:t>
      </w:r>
      <w:r>
        <w:rPr>
          <w:rFonts w:hint="eastAsia" w:ascii="宋体" w:hAnsi="宋体" w:eastAsia="宋体" w:cs="宋体"/>
          <w:bCs/>
          <w:snapToGrid w:val="0"/>
          <w:color w:val="auto"/>
          <w:kern w:val="0"/>
          <w:szCs w:val="28"/>
          <w:highlight w:val="none"/>
        </w:rPr>
        <w:t>F</w:t>
      </w:r>
      <w:r>
        <w:rPr>
          <w:rFonts w:hint="eastAsia" w:ascii="宋体" w:hAnsi="宋体" w:eastAsia="宋体" w:cs="宋体"/>
          <w:bCs/>
          <w:snapToGrid w:val="0"/>
          <w:color w:val="auto"/>
          <w:kern w:val="0"/>
          <w:szCs w:val="28"/>
          <w:highlight w:val="none"/>
          <w:vertAlign w:val="subscript"/>
        </w:rPr>
        <w:t>1</w:t>
      </w:r>
      <w:r>
        <w:rPr>
          <w:rFonts w:hint="eastAsia" w:ascii="宋体" w:hAnsi="宋体" w:eastAsia="宋体" w:cs="宋体"/>
          <w:bCs/>
          <w:snapToGrid w:val="0"/>
          <w:color w:val="auto"/>
          <w:kern w:val="0"/>
          <w:szCs w:val="28"/>
          <w:highlight w:val="none"/>
        </w:rPr>
        <w:t>为中标单价；F</w:t>
      </w:r>
      <w:r>
        <w:rPr>
          <w:rFonts w:hint="eastAsia" w:ascii="宋体" w:hAnsi="宋体" w:eastAsia="宋体" w:cs="宋体"/>
          <w:bCs/>
          <w:snapToGrid w:val="0"/>
          <w:color w:val="auto"/>
          <w:kern w:val="0"/>
          <w:szCs w:val="28"/>
          <w:highlight w:val="none"/>
          <w:vertAlign w:val="subscript"/>
        </w:rPr>
        <w:t>0</w:t>
      </w:r>
      <w:r>
        <w:rPr>
          <w:rFonts w:hint="eastAsia" w:ascii="宋体" w:hAnsi="宋体" w:eastAsia="宋体" w:cs="宋体"/>
          <w:bCs/>
          <w:snapToGrid w:val="0"/>
          <w:color w:val="auto"/>
          <w:kern w:val="0"/>
          <w:szCs w:val="28"/>
          <w:highlight w:val="none"/>
        </w:rPr>
        <w:t>为基准单价；F</w:t>
      </w:r>
      <w:r>
        <w:rPr>
          <w:rFonts w:hint="eastAsia" w:ascii="宋体" w:hAnsi="宋体" w:eastAsia="宋体" w:cs="宋体"/>
          <w:bCs/>
          <w:snapToGrid w:val="0"/>
          <w:color w:val="auto"/>
          <w:kern w:val="0"/>
          <w:szCs w:val="28"/>
          <w:highlight w:val="none"/>
          <w:vertAlign w:val="subscript"/>
        </w:rPr>
        <w:t>2</w:t>
      </w:r>
      <w:r>
        <w:rPr>
          <w:rFonts w:hint="eastAsia" w:ascii="宋体" w:hAnsi="宋体" w:eastAsia="宋体" w:cs="宋体"/>
          <w:bCs/>
          <w:snapToGrid w:val="0"/>
          <w:color w:val="auto"/>
          <w:kern w:val="0"/>
          <w:szCs w:val="28"/>
          <w:highlight w:val="none"/>
        </w:rPr>
        <w:t>为施工当月项目所在地工程造价管理机构发布的材料、工程设备单价；A为合同约定的材料、工程设备单价涨跌风险幅度值。</w:t>
      </w:r>
    </w:p>
    <w:p w14:paraId="73CB7F79">
      <w:pPr>
        <w:wordWrap w:val="0"/>
        <w:adjustRightInd w:val="0"/>
        <w:snapToGrid w:val="0"/>
        <w:spacing w:line="440" w:lineRule="exact"/>
        <w:ind w:firstLine="482" w:firstLineChars="200"/>
        <w:rPr>
          <w:rFonts w:hint="eastAsia" w:ascii="宋体" w:hAnsi="宋体" w:eastAsia="宋体" w:cs="宋体"/>
          <w:bCs/>
          <w:snapToGrid w:val="0"/>
          <w:color w:val="auto"/>
          <w:kern w:val="0"/>
          <w:szCs w:val="28"/>
          <w:highlight w:val="none"/>
        </w:rPr>
      </w:pPr>
      <w:r>
        <w:rPr>
          <w:rFonts w:hint="eastAsia" w:ascii="宋体" w:hAnsi="宋体" w:eastAsia="宋体" w:cs="宋体"/>
          <w:b/>
          <w:bCs/>
          <w:snapToGrid w:val="0"/>
          <w:color w:val="auto"/>
          <w:kern w:val="0"/>
          <w:szCs w:val="24"/>
          <w:highlight w:val="none"/>
        </w:rPr>
        <w:t>2.3.6.3</w:t>
      </w:r>
      <w:r>
        <w:rPr>
          <w:rFonts w:hint="eastAsia" w:ascii="宋体" w:hAnsi="宋体" w:eastAsia="宋体" w:cs="宋体"/>
          <w:snapToGrid w:val="0"/>
          <w:color w:val="auto"/>
          <w:kern w:val="0"/>
          <w:szCs w:val="24"/>
          <w:highlight w:val="none"/>
        </w:rPr>
        <w:t xml:space="preserve"> 合同履行期间，当《发包人提供材料和工程设备一览表》（详见招标工程量清单）中的材料、工程设备单价发生变化时，由发包人按照实际变化调整，并列入合同价款。</w:t>
      </w:r>
    </w:p>
    <w:p w14:paraId="1647916E">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2.3.6.4</w:t>
      </w:r>
      <w:r>
        <w:rPr>
          <w:rFonts w:hint="eastAsia" w:ascii="宋体" w:hAnsi="宋体" w:eastAsia="宋体" w:cs="宋体"/>
          <w:snapToGrid w:val="0"/>
          <w:color w:val="auto"/>
          <w:kern w:val="0"/>
          <w:szCs w:val="24"/>
          <w:highlight w:val="none"/>
        </w:rPr>
        <w:t xml:space="preserve"> 本招标项目约定，施工机具台班单价涨跌风险幅度值B为</w:t>
      </w:r>
      <w:r>
        <w:rPr>
          <w:rFonts w:hint="eastAsia" w:ascii="宋体" w:hAnsi="宋体" w:eastAsia="宋体" w:cs="宋体"/>
          <w:snapToGrid w:val="0"/>
          <w:color w:val="auto"/>
          <w:kern w:val="0"/>
          <w:szCs w:val="24"/>
          <w:highlight w:val="none"/>
          <w:u w:val="single"/>
        </w:rPr>
        <w:t xml:space="preserve"> 10% </w:t>
      </w:r>
      <w:r>
        <w:rPr>
          <w:rFonts w:hint="eastAsia" w:ascii="宋体" w:hAnsi="宋体" w:eastAsia="宋体" w:cs="宋体"/>
          <w:snapToGrid w:val="0"/>
          <w:color w:val="auto"/>
          <w:kern w:val="0"/>
          <w:szCs w:val="24"/>
          <w:highlight w:val="none"/>
        </w:rPr>
        <w:t>。合同履行期间，当施工机具台班单价涨跌幅度等于或低于B值时，该施工机具台班单价不予调整；超过B值时，其超过部分可以调整。相关费用按有关规定进行相应调整。</w:t>
      </w:r>
    </w:p>
    <w:p w14:paraId="1AD9618F">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a</w:t>
      </w:r>
      <w:r>
        <w:rPr>
          <w:rFonts w:hint="eastAsia" w:ascii="宋体" w:hAnsi="宋体" w:eastAsia="宋体" w:cs="宋体"/>
          <w:snapToGrid w:val="0"/>
          <w:color w:val="auto"/>
          <w:kern w:val="0"/>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0B210D0E">
      <w:pPr>
        <w:spacing w:line="418" w:lineRule="exact"/>
        <w:ind w:left="120" w:firstLine="241" w:firstLineChars="100"/>
        <w:jc w:val="left"/>
        <w:rPr>
          <w:rFonts w:hint="eastAsia" w:ascii="宋体" w:hAnsi="宋体" w:eastAsia="宋体" w:cs="宋体"/>
          <w:color w:val="auto"/>
          <w:szCs w:val="24"/>
          <w:highlight w:val="none"/>
        </w:rPr>
      </w:pPr>
      <w:r>
        <w:rPr>
          <w:rFonts w:hint="eastAsia" w:ascii="宋体" w:hAnsi="宋体" w:eastAsia="宋体" w:cs="宋体"/>
          <w:b/>
          <w:bCs/>
          <w:color w:val="auto"/>
          <w:highlight w:val="none"/>
        </w:rPr>
        <mc:AlternateContent>
          <mc:Choice Requires="wpg">
            <w:drawing>
              <wp:anchor distT="0" distB="0" distL="114300" distR="114300" simplePos="0" relativeHeight="251674624" behindDoc="0" locked="0" layoutInCell="1" allowOverlap="1">
                <wp:simplePos x="0" y="0"/>
                <wp:positionH relativeFrom="page">
                  <wp:posOffset>3107055</wp:posOffset>
                </wp:positionH>
                <wp:positionV relativeFrom="paragraph">
                  <wp:posOffset>259715</wp:posOffset>
                </wp:positionV>
                <wp:extent cx="403860" cy="1270"/>
                <wp:effectExtent l="0" t="0" r="0" b="0"/>
                <wp:wrapNone/>
                <wp:docPr id="41" name="组合 41"/>
                <wp:cNvGraphicFramePr/>
                <a:graphic xmlns:a="http://schemas.openxmlformats.org/drawingml/2006/main">
                  <a:graphicData uri="http://schemas.microsoft.com/office/word/2010/wordprocessingGroup">
                    <wpg:wgp>
                      <wpg:cNvGrpSpPr/>
                      <wpg:grpSpPr>
                        <a:xfrm>
                          <a:off x="0" y="0"/>
                          <a:ext cx="403860" cy="1270"/>
                          <a:chOff x="4894" y="410"/>
                          <a:chExt cx="636" cy="2"/>
                        </a:xfrm>
                        <a:effectLst/>
                      </wpg:grpSpPr>
                      <wps:wsp>
                        <wps:cNvPr id="21" name="任意多边形 42"/>
                        <wps:cNvSpPr/>
                        <wps:spPr>
                          <a:xfrm>
                            <a:off x="4894" y="410"/>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4.65pt;margin-top:20.45pt;height:0.1pt;width:31.8pt;mso-position-horizontal-relative:page;z-index:251674624;mso-width-relative:page;mso-height-relative:page;" coordorigin="4894,410" coordsize="636,2" o:gfxdata="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UT1lkNkAAAAJAQAADwAAAAAAAAABACAAAAAiAAAAZHJzL2Rvd25yZXYueG1sUEsBAhQA&#10;FAAAAAgAh07iQG7mfNWcAgAA1wUAAA4AAAAAAAAAAQAgAAAAKAEAAGRycy9lMm9Eb2MueG1sUEsF&#10;BgAAAAAGAAYAWQEAADYGAAAAAA==&#10;">
                <o:lock v:ext="edit" aspectratio="f"/>
                <v:shape id="任意多边形 42" o:spid="_x0000_s1026" o:spt="100" style="position:absolute;left:4894;top:410;height:2;width:636;" filled="f" stroked="t" coordsize="636,1" o:gfxdata="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jum7sAAADb&#10;AAAADwAAAAAAAAABACAAAAAiAAAAZHJzL2Rvd25yZXYueG1sUEsBAhQAFAAAAAgAh07iQDMvBZ47&#10;AAAAOQAAABAAAAAAAAAAAQAgAAAACgEAAGRycy9zaGFwZXhtbC54bWxQSwUGAAAAAAYABgBbAQAA&#10;tAMAAAAA&#10;" path="m0,0l636,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涨</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 w:val="28"/>
          <w:szCs w:val="28"/>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 w:val="28"/>
          <w:szCs w:val="28"/>
          <w:highlight w:val="none"/>
        </w:rPr>
        <w:t>F</w:t>
      </w:r>
      <w:r>
        <w:rPr>
          <w:rFonts w:hint="eastAsia" w:ascii="宋体" w:hAnsi="宋体" w:eastAsia="宋体" w:cs="宋体"/>
          <w:color w:val="auto"/>
          <w:spacing w:val="15"/>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0"/>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26"/>
          <w:position w:val="15"/>
          <w:szCs w:val="24"/>
          <w:highlight w:val="none"/>
        </w:rPr>
        <w:t>F</w:t>
      </w:r>
      <w:r>
        <w:rPr>
          <w:rFonts w:hint="eastAsia" w:ascii="宋体" w:hAnsi="宋体" w:eastAsia="宋体" w:cs="宋体"/>
          <w:color w:val="auto"/>
          <w:position w:val="9"/>
          <w:sz w:val="14"/>
          <w:szCs w:val="14"/>
          <w:highlight w:val="none"/>
        </w:rPr>
        <w:t>0</w:t>
      </w:r>
      <w:r>
        <w:rPr>
          <w:rFonts w:hint="eastAsia" w:ascii="宋体" w:hAnsi="宋体" w:eastAsia="宋体" w:cs="宋体"/>
          <w:color w:val="auto"/>
          <w:spacing w:val="2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B</w:t>
      </w:r>
      <w:r>
        <w:rPr>
          <w:rFonts w:hint="eastAsia" w:ascii="宋体" w:hAnsi="宋体" w:eastAsia="宋体" w:cs="宋体"/>
          <w:color w:val="auto"/>
          <w:szCs w:val="24"/>
          <w:highlight w:val="none"/>
        </w:rPr>
        <w:t>）</w:t>
      </w:r>
    </w:p>
    <w:p w14:paraId="456E3453">
      <w:pPr>
        <w:pStyle w:val="11"/>
        <w:tabs>
          <w:tab w:val="left" w:pos="2817"/>
        </w:tabs>
        <w:spacing w:after="0" w:line="200" w:lineRule="exact"/>
        <w:ind w:left="2426"/>
        <w:jc w:val="left"/>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mc:AlternateContent>
          <mc:Choice Requires="wps">
            <w:drawing>
              <wp:anchor distT="0" distB="0" distL="114300" distR="114300" simplePos="0" relativeHeight="251675648" behindDoc="0" locked="0" layoutInCell="1" allowOverlap="1">
                <wp:simplePos x="0" y="0"/>
                <wp:positionH relativeFrom="page">
                  <wp:posOffset>3246755</wp:posOffset>
                </wp:positionH>
                <wp:positionV relativeFrom="paragraph">
                  <wp:posOffset>29845</wp:posOffset>
                </wp:positionV>
                <wp:extent cx="220980" cy="24638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220980" cy="246380"/>
                        </a:xfrm>
                        <a:prstGeom prst="rect">
                          <a:avLst/>
                        </a:prstGeom>
                        <a:noFill/>
                        <a:ln>
                          <a:noFill/>
                        </a:ln>
                        <a:effectLst/>
                      </wps:spPr>
                      <wps:txbx>
                        <w:txbxContent>
                          <w:p w14:paraId="206D93FF">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_x0000_s1026" o:spid="_x0000_s1026" o:spt="202" type="#_x0000_t202" style="position:absolute;left:0pt;margin-left:255.65pt;margin-top:2.35pt;height:19.4pt;width:17.4pt;mso-position-horizontal-relative:page;z-index:251675648;mso-width-relative:page;mso-height-relative:page;" filled="f" stroked="f" coordsize="21600,21600" o:gfxdata="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VseIJ1wAAAAgBAAAPAAAAAAAAAAEAIAAAACIAAABkcnMvZG93&#10;bnJldi54bWxQSwECFAAUAAAACACHTuJAG6mmQcgBAACPAwAADgAAAAAAAAABACAAAAAmAQAAZHJz&#10;L2Uyb0RvYy54bWxQSwUGAAAAAAYABgBZAQAAYAUAAAAA&#10;">
                <v:fill on="f" focussize="0,0"/>
                <v:stroke on="f"/>
                <v:imagedata o:title=""/>
                <o:lock v:ext="edit" aspectratio="f"/>
                <v:textbox inset="0mm,0mm,0mm,0mm">
                  <w:txbxContent>
                    <w:p w14:paraId="206D93FF">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int="eastAsia" w:ascii="宋体" w:hAnsi="宋体" w:eastAsia="宋体" w:cs="宋体"/>
          <w:color w:val="auto"/>
          <w:sz w:val="15"/>
          <w:szCs w:val="15"/>
          <w:highlight w:val="none"/>
        </w:rPr>
        <w:t>1</w:t>
      </w:r>
      <w:r>
        <w:rPr>
          <w:rFonts w:hint="eastAsia" w:ascii="宋体" w:hAnsi="宋体" w:eastAsia="宋体" w:cs="宋体"/>
          <w:color w:val="auto"/>
          <w:sz w:val="15"/>
          <w:szCs w:val="15"/>
          <w:highlight w:val="none"/>
        </w:rPr>
        <w:tab/>
      </w:r>
      <w:r>
        <w:rPr>
          <w:rFonts w:hint="eastAsia" w:ascii="宋体" w:hAnsi="宋体" w:eastAsia="宋体" w:cs="宋体"/>
          <w:color w:val="auto"/>
          <w:sz w:val="15"/>
          <w:szCs w:val="15"/>
          <w:highlight w:val="none"/>
        </w:rPr>
        <w:t>0</w:t>
      </w:r>
    </w:p>
    <w:p w14:paraId="5F906F7C">
      <w:pPr>
        <w:pStyle w:val="11"/>
        <w:spacing w:after="0" w:line="240" w:lineRule="exact"/>
        <w:ind w:left="3454" w:right="4848"/>
        <w:jc w:val="center"/>
        <w:rPr>
          <w:rFonts w:hint="eastAsia" w:ascii="宋体" w:hAnsi="宋体" w:eastAsia="宋体" w:cs="宋体"/>
          <w:color w:val="auto"/>
          <w:sz w:val="15"/>
          <w:szCs w:val="15"/>
          <w:highlight w:val="none"/>
        </w:rPr>
      </w:pPr>
    </w:p>
    <w:p w14:paraId="538C9BB6">
      <w:pPr>
        <w:spacing w:before="4" w:line="170" w:lineRule="exact"/>
        <w:rPr>
          <w:rFonts w:hint="eastAsia" w:ascii="宋体" w:hAnsi="宋体" w:eastAsia="宋体" w:cs="宋体"/>
          <w:color w:val="auto"/>
          <w:sz w:val="17"/>
          <w:szCs w:val="17"/>
          <w:highlight w:val="none"/>
        </w:rPr>
      </w:pPr>
    </w:p>
    <w:p w14:paraId="2B55985B">
      <w:pPr>
        <w:spacing w:line="404" w:lineRule="exact"/>
        <w:ind w:left="328"/>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76672" behindDoc="0" locked="0" layoutInCell="1" allowOverlap="1">
                <wp:simplePos x="0" y="0"/>
                <wp:positionH relativeFrom="page">
                  <wp:posOffset>3048635</wp:posOffset>
                </wp:positionH>
                <wp:positionV relativeFrom="paragraph">
                  <wp:posOffset>222250</wp:posOffset>
                </wp:positionV>
                <wp:extent cx="388620" cy="1270"/>
                <wp:effectExtent l="0" t="0" r="0" b="0"/>
                <wp:wrapNone/>
                <wp:docPr id="42" name="组合 42"/>
                <wp:cNvGraphicFramePr/>
                <a:graphic xmlns:a="http://schemas.openxmlformats.org/drawingml/2006/main">
                  <a:graphicData uri="http://schemas.microsoft.com/office/word/2010/wordprocessingGroup">
                    <wpg:wgp>
                      <wpg:cNvGrpSpPr/>
                      <wpg:grpSpPr>
                        <a:xfrm>
                          <a:off x="0" y="0"/>
                          <a:ext cx="388620" cy="1270"/>
                          <a:chOff x="4937" y="395"/>
                          <a:chExt cx="612" cy="2"/>
                        </a:xfrm>
                        <a:effectLst/>
                      </wpg:grpSpPr>
                      <wps:wsp>
                        <wps:cNvPr id="24" name="任意多边形 45"/>
                        <wps:cNvSpPr/>
                        <wps:spPr>
                          <a:xfrm>
                            <a:off x="4937" y="395"/>
                            <a:ext cx="612" cy="2"/>
                          </a:xfrm>
                          <a:custGeom>
                            <a:avLst/>
                            <a:gdLst/>
                            <a:ahLst/>
                            <a:cxnLst/>
                            <a:pathLst>
                              <a:path w="612">
                                <a:moveTo>
                                  <a:pt x="0" y="0"/>
                                </a:moveTo>
                                <a:lnTo>
                                  <a:pt x="612"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0.05pt;margin-top:17.5pt;height:0.1pt;width:30.6pt;mso-position-horizontal-relative:page;z-index:251676672;mso-width-relative:page;mso-height-relative:page;" coordorigin="4937,395" coordsize="612,2" o:gfxdata="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DqOHGc2QAAAAkBAAAPAAAAAAAAAAEAIAAAACIAAABkcnMvZG93bnJldi54&#10;bWxQSwECFAAUAAAACACHTuJArX2vQKQCAADXBQAADgAAAAAAAAABACAAAAAoAQAAZHJzL2Uyb0Rv&#10;Yy54bWxQSwUGAAAAAAYABgBZAQAAPgYAAAAA&#10;">
                <o:lock v:ext="edit" aspectratio="f"/>
                <v:shape id="任意多边形 45" o:spid="_x0000_s1026" o:spt="100" style="position:absolute;left:4937;top:395;height:2;width:612;" filled="f" stroked="t" coordsize="612,1" o:gfxdata="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ZGTG+/&#10;AAAA2wAAAA8AAAAAAAAAAQAgAAAAIgAAAGRycy9kb3ducmV2LnhtbFBLAQIUABQAAAAIAIdO4kAz&#10;LwWeOwAAADkAAAAQAAAAAAAAAAEAIAAAAA4BAABkcnMvc2hhcGV4bWwueG1sUEsFBgAAAAAGAAYA&#10;WwEAALgDAAAAAA==&#10;" path="m0,0l612,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跌</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3"/>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 w:val="30"/>
          <w:szCs w:val="30"/>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 w:val="32"/>
          <w:szCs w:val="32"/>
          <w:highlight w:val="none"/>
        </w:rPr>
        <w:t>F</w:t>
      </w:r>
      <w:r>
        <w:rPr>
          <w:rFonts w:hint="eastAsia" w:ascii="宋体" w:hAnsi="宋体" w:eastAsia="宋体" w:cs="宋体"/>
          <w:color w:val="auto"/>
          <w:spacing w:val="-6"/>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1"/>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39"/>
          <w:position w:val="15"/>
          <w:szCs w:val="24"/>
          <w:highlight w:val="none"/>
        </w:rPr>
        <w:t>F</w:t>
      </w:r>
      <w:r>
        <w:rPr>
          <w:rFonts w:hint="eastAsia" w:ascii="宋体" w:hAnsi="宋体" w:eastAsia="宋体" w:cs="宋体"/>
          <w:color w:val="auto"/>
          <w:position w:val="9"/>
          <w:sz w:val="14"/>
          <w:szCs w:val="14"/>
          <w:highlight w:val="none"/>
        </w:rPr>
        <w:t>1</w:t>
      </w:r>
      <w:r>
        <w:rPr>
          <w:rFonts w:hint="eastAsia" w:ascii="宋体" w:hAnsi="宋体" w:eastAsia="宋体" w:cs="宋体"/>
          <w:color w:val="auto"/>
          <w:spacing w:val="1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B</w:t>
      </w:r>
      <w:r>
        <w:rPr>
          <w:rFonts w:hint="eastAsia" w:ascii="宋体" w:hAnsi="宋体" w:eastAsia="宋体" w:cs="宋体"/>
          <w:color w:val="auto"/>
          <w:szCs w:val="24"/>
          <w:highlight w:val="none"/>
        </w:rPr>
        <w:t>）</w:t>
      </w:r>
    </w:p>
    <w:p w14:paraId="59B7EC88">
      <w:pPr>
        <w:pStyle w:val="11"/>
        <w:tabs>
          <w:tab w:val="left" w:pos="2870"/>
        </w:tabs>
        <w:spacing w:line="142" w:lineRule="exact"/>
        <w:ind w:left="2490"/>
        <w:jc w:val="left"/>
        <w:rPr>
          <w:rFonts w:hint="eastAsia" w:ascii="宋体" w:hAnsi="宋体" w:eastAsia="宋体" w:cs="宋体"/>
          <w:color w:val="auto"/>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77696" behindDoc="0" locked="0" layoutInCell="1" allowOverlap="1">
                <wp:simplePos x="0" y="0"/>
                <wp:positionH relativeFrom="page">
                  <wp:posOffset>3274060</wp:posOffset>
                </wp:positionH>
                <wp:positionV relativeFrom="paragraph">
                  <wp:posOffset>29845</wp:posOffset>
                </wp:positionV>
                <wp:extent cx="231140" cy="19875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231140" cy="198755"/>
                        </a:xfrm>
                        <a:prstGeom prst="rect">
                          <a:avLst/>
                        </a:prstGeom>
                        <a:noFill/>
                        <a:ln>
                          <a:noFill/>
                        </a:ln>
                        <a:effectLst/>
                      </wps:spPr>
                      <wps:txbx>
                        <w:txbxContent>
                          <w:p w14:paraId="65AC1867">
                            <w:r>
                              <w:rPr>
                                <w:rFonts w:ascii="Times New Roman" w:eastAsia="Times New Roman"/>
                                <w:spacing w:val="-39"/>
                                <w:position w:val="15"/>
                                <w:szCs w:val="24"/>
                              </w:rPr>
                              <w:t>F</w:t>
                            </w:r>
                            <w:r>
                              <w:rPr>
                                <w:rFonts w:ascii="Times New Roman" w:eastAsia="Times New Roman"/>
                                <w:position w:val="9"/>
                                <w:sz w:val="14"/>
                                <w:szCs w:val="14"/>
                              </w:rPr>
                              <w:t>1</w:t>
                            </w:r>
                          </w:p>
                        </w:txbxContent>
                      </wps:txbx>
                      <wps:bodyPr wrap="square" lIns="0" tIns="0" rIns="0" bIns="0" upright="1"/>
                    </wps:wsp>
                  </a:graphicData>
                </a:graphic>
              </wp:anchor>
            </w:drawing>
          </mc:Choice>
          <mc:Fallback>
            <w:pict>
              <v:shape id="_x0000_s1026" o:spid="_x0000_s1026" o:spt="202" type="#_x0000_t202" style="position:absolute;left:0pt;margin-left:257.8pt;margin-top:2.35pt;height:15.65pt;width:18.2pt;mso-position-horizontal-relative:page;z-index:251677696;mso-width-relative:page;mso-height-relative:page;" filled="f" stroked="f" coordsize="21600,21600" o:gfxdata="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eW1FbXAAAACAEAAA8AAAAAAAAAAQAgAAAAIgAAAGRycy9k&#10;b3ducmV2LnhtbFBLAQIUABQAAAAIAIdO4kD4rfATygEAAI8DAAAOAAAAAAAAAAEAIAAAACYBAABk&#10;cnMvZTJvRG9jLnhtbFBLBQYAAAAABgAGAFkBAABiBQAAAAA=&#10;">
                <v:fill on="f" focussize="0,0"/>
                <v:stroke on="f"/>
                <v:imagedata o:title=""/>
                <o:lock v:ext="edit" aspectratio="f"/>
                <v:textbox inset="0mm,0mm,0mm,0mm">
                  <w:txbxContent>
                    <w:p w14:paraId="65AC1867">
                      <w:r>
                        <w:rPr>
                          <w:rFonts w:ascii="Times New Roman" w:eastAsia="Times New Roman"/>
                          <w:spacing w:val="-39"/>
                          <w:position w:val="15"/>
                          <w:szCs w:val="24"/>
                        </w:rPr>
                        <w:t>F</w:t>
                      </w:r>
                      <w:r>
                        <w:rPr>
                          <w:rFonts w:ascii="Times New Roman" w:eastAsia="Times New Roman"/>
                          <w:position w:val="9"/>
                          <w:sz w:val="14"/>
                          <w:szCs w:val="14"/>
                        </w:rPr>
                        <w:t>1</w:t>
                      </w:r>
                    </w:p>
                  </w:txbxContent>
                </v:textbox>
              </v:shape>
            </w:pict>
          </mc:Fallback>
        </mc:AlternateContent>
      </w:r>
      <w:r>
        <w:rPr>
          <w:rFonts w:hint="eastAsia" w:ascii="宋体" w:hAnsi="宋体" w:eastAsia="宋体" w:cs="宋体"/>
          <w:color w:val="auto"/>
          <w:sz w:val="14"/>
          <w:szCs w:val="14"/>
          <w:highlight w:val="none"/>
        </w:rPr>
        <w:t>1</w:t>
      </w:r>
      <w:r>
        <w:rPr>
          <w:rFonts w:hint="eastAsia" w:ascii="宋体" w:hAnsi="宋体" w:eastAsia="宋体" w:cs="宋体"/>
          <w:color w:val="auto"/>
          <w:sz w:val="14"/>
          <w:szCs w:val="14"/>
          <w:highlight w:val="none"/>
        </w:rPr>
        <w:tab/>
      </w:r>
      <w:r>
        <w:rPr>
          <w:rFonts w:hint="eastAsia" w:ascii="宋体" w:hAnsi="宋体" w:eastAsia="宋体" w:cs="宋体"/>
          <w:color w:val="auto"/>
          <w:sz w:val="14"/>
          <w:szCs w:val="14"/>
          <w:highlight w:val="none"/>
        </w:rPr>
        <w:t xml:space="preserve"> 1</w:t>
      </w:r>
    </w:p>
    <w:p w14:paraId="34675FDF">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b</w:t>
      </w:r>
      <w:r>
        <w:rPr>
          <w:rFonts w:hint="eastAsia" w:ascii="宋体" w:hAnsi="宋体" w:eastAsia="宋体" w:cs="宋体"/>
          <w:snapToGrid w:val="0"/>
          <w:color w:val="auto"/>
          <w:kern w:val="0"/>
          <w:szCs w:val="24"/>
          <w:highlight w:val="none"/>
        </w:rPr>
        <w:t>．如果中标单价高于基准单价，该施工机具台班的结算单价调整公式为：</w:t>
      </w:r>
    </w:p>
    <w:p w14:paraId="587FCCFA">
      <w:pPr>
        <w:spacing w:line="404" w:lineRule="exact"/>
        <w:ind w:left="120" w:firstLine="240" w:firstLineChars="100"/>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84864" behindDoc="0" locked="0" layoutInCell="1" allowOverlap="1">
                <wp:simplePos x="0" y="0"/>
                <wp:positionH relativeFrom="page">
                  <wp:posOffset>2962910</wp:posOffset>
                </wp:positionH>
                <wp:positionV relativeFrom="paragraph">
                  <wp:posOffset>234315</wp:posOffset>
                </wp:positionV>
                <wp:extent cx="388620" cy="1270"/>
                <wp:effectExtent l="0" t="0" r="0" b="0"/>
                <wp:wrapNone/>
                <wp:docPr id="5" name="组合 5"/>
                <wp:cNvGraphicFramePr/>
                <a:graphic xmlns:a="http://schemas.openxmlformats.org/drawingml/2006/main">
                  <a:graphicData uri="http://schemas.microsoft.com/office/word/2010/wordprocessingGroup">
                    <wpg:wgp>
                      <wpg:cNvGrpSpPr/>
                      <wpg:grpSpPr>
                        <a:xfrm>
                          <a:off x="0" y="0"/>
                          <a:ext cx="388620" cy="1270"/>
                          <a:chOff x="4937" y="395"/>
                          <a:chExt cx="612" cy="2"/>
                        </a:xfrm>
                        <a:effectLst/>
                      </wpg:grpSpPr>
                      <wps:wsp>
                        <wps:cNvPr id="8" name="任意多边形 45"/>
                        <wps:cNvSpPr/>
                        <wps:spPr>
                          <a:xfrm>
                            <a:off x="4937" y="395"/>
                            <a:ext cx="612" cy="2"/>
                          </a:xfrm>
                          <a:custGeom>
                            <a:avLst/>
                            <a:gdLst/>
                            <a:ahLst/>
                            <a:cxnLst/>
                            <a:pathLst>
                              <a:path w="612">
                                <a:moveTo>
                                  <a:pt x="0" y="0"/>
                                </a:moveTo>
                                <a:lnTo>
                                  <a:pt x="612"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33.3pt;margin-top:18.45pt;height:0.1pt;width:30.6pt;mso-position-horizontal-relative:page;z-index:251684864;mso-width-relative:page;mso-height-relative:page;" coordorigin="4937,395" coordsize="612,2" o:gfxdata="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v2y3ldoAAAAJAQAADwAAAAAAAAABACAAAAAiAAAAZHJzL2Rvd25yZXYueG1sUEsBAhQA&#10;FAAAAAgAh07iQOkxYjmbAgAA1AUAAA4AAAAAAAAAAQAgAAAAKQEAAGRycy9lMm9Eb2MueG1sUEsF&#10;BgAAAAAGAAYAWQEAADYGAAAAAA==&#10;">
                <o:lock v:ext="edit" aspectratio="f"/>
                <v:shape id="任意多边形 45" o:spid="_x0000_s1026" o:spt="100" style="position:absolute;left:4937;top:395;height:2;width:612;" filled="f" stroked="t" coordsize="612,1" o:gfxdata="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6zlbsAAADa&#10;AAAADwAAAAAAAAABACAAAAAiAAAAZHJzL2Rvd25yZXYueG1sUEsBAhQAFAAAAAgAh07iQDMvBZ47&#10;AAAAOQAAABAAAAAAAAAAAQAgAAAACgEAAGRycy9zaGFwZXhtbC54bWxQSwUGAAAAAAYABgBbAQAA&#10;tAMAAAAA&#10;" path="m0,0l612,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涨</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5"/>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 w:val="32"/>
          <w:szCs w:val="32"/>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 w:val="32"/>
          <w:szCs w:val="32"/>
          <w:highlight w:val="none"/>
        </w:rPr>
        <w:t>F</w:t>
      </w:r>
      <w:r>
        <w:rPr>
          <w:rFonts w:hint="eastAsia" w:ascii="宋体" w:hAnsi="宋体" w:eastAsia="宋体" w:cs="宋体"/>
          <w:color w:val="auto"/>
          <w:spacing w:val="-7"/>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39"/>
          <w:position w:val="15"/>
          <w:szCs w:val="24"/>
          <w:highlight w:val="none"/>
        </w:rPr>
        <w:t>F</w:t>
      </w:r>
      <w:r>
        <w:rPr>
          <w:rFonts w:hint="eastAsia" w:ascii="宋体" w:hAnsi="宋体" w:eastAsia="宋体" w:cs="宋体"/>
          <w:color w:val="auto"/>
          <w:position w:val="9"/>
          <w:sz w:val="14"/>
          <w:szCs w:val="14"/>
          <w:highlight w:val="none"/>
        </w:rPr>
        <w:t>1</w:t>
      </w:r>
      <w:r>
        <w:rPr>
          <w:rFonts w:hint="eastAsia" w:ascii="宋体" w:hAnsi="宋体" w:eastAsia="宋体" w:cs="宋体"/>
          <w:color w:val="auto"/>
          <w:spacing w:val="1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B</w:t>
      </w:r>
      <w:r>
        <w:rPr>
          <w:rFonts w:hint="eastAsia" w:ascii="宋体" w:hAnsi="宋体" w:eastAsia="宋体" w:cs="宋体"/>
          <w:color w:val="auto"/>
          <w:szCs w:val="24"/>
          <w:highlight w:val="none"/>
        </w:rPr>
        <w:t>）</w:t>
      </w:r>
    </w:p>
    <w:p w14:paraId="761074CB">
      <w:pPr>
        <w:pStyle w:val="11"/>
        <w:tabs>
          <w:tab w:val="left" w:pos="2815"/>
        </w:tabs>
        <w:spacing w:line="142" w:lineRule="exact"/>
        <w:ind w:firstLine="2520" w:firstLineChars="1800"/>
        <w:jc w:val="left"/>
        <w:rPr>
          <w:rFonts w:hint="eastAsia" w:ascii="宋体" w:hAnsi="宋体" w:eastAsia="宋体" w:cs="宋体"/>
          <w:color w:val="auto"/>
          <w:sz w:val="14"/>
          <w:szCs w:val="14"/>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78720" behindDoc="0" locked="0" layoutInCell="1" allowOverlap="1">
                <wp:simplePos x="0" y="0"/>
                <wp:positionH relativeFrom="page">
                  <wp:posOffset>3239135</wp:posOffset>
                </wp:positionH>
                <wp:positionV relativeFrom="paragraph">
                  <wp:posOffset>29845</wp:posOffset>
                </wp:positionV>
                <wp:extent cx="288290" cy="25527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288290" cy="255270"/>
                        </a:xfrm>
                        <a:prstGeom prst="rect">
                          <a:avLst/>
                        </a:prstGeom>
                        <a:noFill/>
                        <a:ln>
                          <a:noFill/>
                        </a:ln>
                        <a:effectLst/>
                      </wps:spPr>
                      <wps:txbx>
                        <w:txbxContent>
                          <w:p w14:paraId="65A89792">
                            <w:r>
                              <w:rPr>
                                <w:rFonts w:ascii="Times New Roman" w:eastAsia="Times New Roman"/>
                                <w:spacing w:val="-39"/>
                                <w:position w:val="15"/>
                                <w:szCs w:val="24"/>
                              </w:rPr>
                              <w:t>F</w:t>
                            </w:r>
                            <w:r>
                              <w:rPr>
                                <w:rFonts w:ascii="Times New Roman" w:eastAsia="Times New Roman"/>
                                <w:position w:val="9"/>
                                <w:sz w:val="14"/>
                                <w:szCs w:val="14"/>
                              </w:rPr>
                              <w:t>1</w:t>
                            </w:r>
                          </w:p>
                          <w:p w14:paraId="1977BB49"/>
                        </w:txbxContent>
                      </wps:txbx>
                      <wps:bodyPr wrap="square" lIns="0" tIns="0" rIns="0" bIns="0" upright="1"/>
                    </wps:wsp>
                  </a:graphicData>
                </a:graphic>
              </wp:anchor>
            </w:drawing>
          </mc:Choice>
          <mc:Fallback>
            <w:pict>
              <v:shape id="_x0000_s1026" o:spid="_x0000_s1026" o:spt="202" type="#_x0000_t202" style="position:absolute;left:0pt;margin-left:255.05pt;margin-top:2.35pt;height:20.1pt;width:22.7pt;mso-position-horizontal-relative:page;z-index:251678720;mso-width-relative:page;mso-height-relative:page;" filled="f" stroked="f" coordsize="21600,21600" o:gfxdata="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zZ/is1gAAAAgBAAAPAAAAAAAAAAEAIAAAACIAAABkcnMvZG93&#10;bnJldi54bWxQSwECFAAUAAAACACHTuJAB5KzS8kBAACPAwAADgAAAAAAAAABACAAAAAlAQAAZHJz&#10;L2Uyb0RvYy54bWxQSwUGAAAAAAYABgBZAQAAYAUAAAAA&#10;">
                <v:fill on="f" focussize="0,0"/>
                <v:stroke on="f"/>
                <v:imagedata o:title=""/>
                <o:lock v:ext="edit" aspectratio="f"/>
                <v:textbox inset="0mm,0mm,0mm,0mm">
                  <w:txbxContent>
                    <w:p w14:paraId="65A89792">
                      <w:r>
                        <w:rPr>
                          <w:rFonts w:ascii="Times New Roman" w:eastAsia="Times New Roman"/>
                          <w:spacing w:val="-39"/>
                          <w:position w:val="15"/>
                          <w:szCs w:val="24"/>
                        </w:rPr>
                        <w:t>F</w:t>
                      </w:r>
                      <w:r>
                        <w:rPr>
                          <w:rFonts w:ascii="Times New Roman" w:eastAsia="Times New Roman"/>
                          <w:position w:val="9"/>
                          <w:sz w:val="14"/>
                          <w:szCs w:val="14"/>
                        </w:rPr>
                        <w:t>1</w:t>
                      </w:r>
                    </w:p>
                    <w:p w14:paraId="1977BB49"/>
                  </w:txbxContent>
                </v:textbox>
              </v:shape>
            </w:pict>
          </mc:Fallback>
        </mc:AlternateContent>
      </w:r>
      <w:r>
        <w:rPr>
          <w:rFonts w:hint="eastAsia" w:ascii="宋体" w:hAnsi="宋体" w:eastAsia="宋体" w:cs="宋体"/>
          <w:color w:val="auto"/>
          <w:sz w:val="14"/>
          <w:szCs w:val="14"/>
          <w:highlight w:val="none"/>
        </w:rPr>
        <w:t>1</w:t>
      </w:r>
      <w:r>
        <w:rPr>
          <w:rFonts w:hint="eastAsia" w:ascii="宋体" w:hAnsi="宋体" w:eastAsia="宋体" w:cs="宋体"/>
          <w:color w:val="auto"/>
          <w:sz w:val="14"/>
          <w:szCs w:val="14"/>
          <w:highlight w:val="none"/>
        </w:rPr>
        <w:tab/>
      </w:r>
      <w:r>
        <w:rPr>
          <w:rFonts w:hint="eastAsia" w:ascii="宋体" w:hAnsi="宋体" w:eastAsia="宋体" w:cs="宋体"/>
          <w:color w:val="auto"/>
          <w:sz w:val="14"/>
          <w:szCs w:val="14"/>
          <w:highlight w:val="none"/>
        </w:rPr>
        <w:t xml:space="preserve">  1</w:t>
      </w:r>
    </w:p>
    <w:p w14:paraId="74E4985A">
      <w:pPr>
        <w:pStyle w:val="11"/>
        <w:spacing w:before="26"/>
        <w:ind w:left="3441" w:right="4885"/>
        <w:jc w:val="center"/>
        <w:rPr>
          <w:rFonts w:hint="eastAsia" w:ascii="宋体" w:hAnsi="宋体" w:eastAsia="宋体" w:cs="宋体"/>
          <w:color w:val="auto"/>
          <w:sz w:val="20"/>
          <w:highlight w:val="none"/>
        </w:rPr>
      </w:pPr>
    </w:p>
    <w:p w14:paraId="69C30807">
      <w:pPr>
        <w:spacing w:before="3" w:line="170" w:lineRule="exact"/>
        <w:rPr>
          <w:rFonts w:hint="eastAsia" w:ascii="宋体" w:hAnsi="宋体" w:eastAsia="宋体" w:cs="宋体"/>
          <w:color w:val="auto"/>
          <w:sz w:val="17"/>
          <w:szCs w:val="17"/>
          <w:highlight w:val="none"/>
        </w:rPr>
      </w:pPr>
    </w:p>
    <w:p w14:paraId="269888D8">
      <w:pPr>
        <w:spacing w:line="404" w:lineRule="exact"/>
        <w:ind w:left="328"/>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79744" behindDoc="0" locked="0" layoutInCell="1" allowOverlap="1">
                <wp:simplePos x="0" y="0"/>
                <wp:positionH relativeFrom="page">
                  <wp:posOffset>3150235</wp:posOffset>
                </wp:positionH>
                <wp:positionV relativeFrom="paragraph">
                  <wp:posOffset>250825</wp:posOffset>
                </wp:positionV>
                <wp:extent cx="403860" cy="1270"/>
                <wp:effectExtent l="0" t="0" r="0" b="0"/>
                <wp:wrapNone/>
                <wp:docPr id="45" name="组合 45"/>
                <wp:cNvGraphicFramePr/>
                <a:graphic xmlns:a="http://schemas.openxmlformats.org/drawingml/2006/main">
                  <a:graphicData uri="http://schemas.microsoft.com/office/word/2010/wordprocessingGroup">
                    <wpg:wgp>
                      <wpg:cNvGrpSpPr/>
                      <wpg:grpSpPr>
                        <a:xfrm>
                          <a:off x="0" y="0"/>
                          <a:ext cx="403860" cy="1270"/>
                          <a:chOff x="4961" y="396"/>
                          <a:chExt cx="636" cy="2"/>
                        </a:xfrm>
                        <a:effectLst/>
                      </wpg:grpSpPr>
                      <wps:wsp>
                        <wps:cNvPr id="28" name="任意多边形 49"/>
                        <wps:cNvSpPr/>
                        <wps:spPr>
                          <a:xfrm>
                            <a:off x="4961"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8.05pt;margin-top:19.75pt;height:0.1pt;width:31.8pt;mso-position-horizontal-relative:page;z-index:251679744;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SMOuYdoAAAAJAQAADwAAAAAAAAABACAAAAAiAAAAZHJzL2Rvd25yZXYueG1sUEsB&#10;AhQAFAAAAAgAh07iQPuOubeeAgAA1wUAAA4AAAAAAAAAAQAgAAAAKQEAAGRycy9lMm9Eb2MueG1s&#10;UEsFBgAAAAAGAAYAWQEAADkGAAAAAA==&#10;">
                <o:lock v:ext="edit" aspectratio="f"/>
                <v:shape id="任意多边形 49" o:spid="_x0000_s1026" o:spt="100" style="position:absolute;left:4961;top:396;height:2;width:636;" filled="f" stroked="t" coordsize="636,1" o:gfxdata="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7SRwa5AAAA2wAA&#10;AA8AAAAAAAAAAQAgAAAAIgAAAGRycy9kb3ducmV2LnhtbFBLAQIUABQAAAAIAIdO4kAzLwWeOwAA&#10;ADkAAAAQAAAAAAAAAAEAIAAAAAgBAABkcnMvc2hhcGV4bWwueG1sUEsFBgAAAAAGAAYAWwEAALID&#10;AAAAAA==&#10;" path="m0,0l636,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跌</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2"/>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Cs w:val="24"/>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Cs w:val="24"/>
          <w:highlight w:val="none"/>
        </w:rPr>
        <w:t>F</w:t>
      </w:r>
      <w:r>
        <w:rPr>
          <w:rFonts w:hint="eastAsia" w:ascii="宋体" w:hAnsi="宋体" w:eastAsia="宋体" w:cs="宋体"/>
          <w:color w:val="auto"/>
          <w:spacing w:val="16"/>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0"/>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26"/>
          <w:position w:val="15"/>
          <w:szCs w:val="24"/>
          <w:highlight w:val="none"/>
        </w:rPr>
        <w:t>F</w:t>
      </w:r>
      <w:r>
        <w:rPr>
          <w:rFonts w:hint="eastAsia" w:ascii="宋体" w:hAnsi="宋体" w:eastAsia="宋体" w:cs="宋体"/>
          <w:color w:val="auto"/>
          <w:position w:val="9"/>
          <w:sz w:val="14"/>
          <w:szCs w:val="14"/>
          <w:highlight w:val="none"/>
        </w:rPr>
        <w:t>0</w:t>
      </w:r>
      <w:r>
        <w:rPr>
          <w:rFonts w:hint="eastAsia" w:ascii="宋体" w:hAnsi="宋体" w:eastAsia="宋体" w:cs="宋体"/>
          <w:color w:val="auto"/>
          <w:spacing w:val="2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B</w:t>
      </w:r>
      <w:r>
        <w:rPr>
          <w:rFonts w:hint="eastAsia" w:ascii="宋体" w:hAnsi="宋体" w:eastAsia="宋体" w:cs="宋体"/>
          <w:color w:val="auto"/>
          <w:szCs w:val="24"/>
          <w:highlight w:val="none"/>
        </w:rPr>
        <w:t>）</w:t>
      </w:r>
    </w:p>
    <w:p w14:paraId="23C51162">
      <w:pPr>
        <w:pStyle w:val="11"/>
        <w:tabs>
          <w:tab w:val="left" w:pos="2884"/>
        </w:tabs>
        <w:spacing w:line="142" w:lineRule="exact"/>
        <w:ind w:firstLine="2520" w:firstLineChars="1800"/>
        <w:jc w:val="left"/>
        <w:rPr>
          <w:rFonts w:hint="eastAsia" w:ascii="宋体" w:hAnsi="宋体" w:eastAsia="宋体" w:cs="宋体"/>
          <w:color w:val="auto"/>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80768" behindDoc="0" locked="0" layoutInCell="1" allowOverlap="1">
                <wp:simplePos x="0" y="0"/>
                <wp:positionH relativeFrom="page">
                  <wp:posOffset>3289300</wp:posOffset>
                </wp:positionH>
                <wp:positionV relativeFrom="paragraph">
                  <wp:posOffset>29845</wp:posOffset>
                </wp:positionV>
                <wp:extent cx="220980" cy="29337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220980" cy="293370"/>
                        </a:xfrm>
                        <a:prstGeom prst="rect">
                          <a:avLst/>
                        </a:prstGeom>
                        <a:noFill/>
                        <a:ln>
                          <a:noFill/>
                        </a:ln>
                        <a:effectLst/>
                      </wps:spPr>
                      <wps:txbx>
                        <w:txbxContent>
                          <w:p w14:paraId="013FCA09">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_x0000_s1026" o:spid="_x0000_s1026" o:spt="202" type="#_x0000_t202" style="position:absolute;left:0pt;margin-left:259pt;margin-top:2.35pt;height:23.1pt;width:17.4pt;mso-position-horizontal-relative:page;z-index:251680768;mso-width-relative:page;mso-height-relative:page;" filled="f" stroked="f" coordsize="21600,21600" o:gfxdata="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NpqnnYAAAACAEAAA8AAAAAAAAAAQAgAAAAIgAAAGRycy9k&#10;b3ducmV2LnhtbFBLAQIUABQAAAAIAIdO4kAs4XBeyQEAAI8DAAAOAAAAAAAAAAEAIAAAACcBAABk&#10;cnMvZTJvRG9jLnhtbFBLBQYAAAAABgAGAFkBAABiBQAAAAA=&#10;">
                <v:fill on="f" focussize="0,0"/>
                <v:stroke on="f"/>
                <v:imagedata o:title=""/>
                <o:lock v:ext="edit" aspectratio="f"/>
                <v:textbox inset="0mm,0mm,0mm,0mm">
                  <w:txbxContent>
                    <w:p w14:paraId="013FCA09">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int="eastAsia" w:ascii="宋体" w:hAnsi="宋体" w:eastAsia="宋体" w:cs="宋体"/>
          <w:color w:val="auto"/>
          <w:sz w:val="14"/>
          <w:szCs w:val="14"/>
          <w:highlight w:val="none"/>
        </w:rPr>
        <w:t>1    0</w:t>
      </w:r>
    </w:p>
    <w:p w14:paraId="0C5B91B8">
      <w:pPr>
        <w:spacing w:line="200" w:lineRule="exact"/>
        <w:rPr>
          <w:rFonts w:hint="eastAsia" w:ascii="宋体" w:hAnsi="宋体" w:eastAsia="宋体" w:cs="宋体"/>
          <w:color w:val="auto"/>
          <w:sz w:val="20"/>
          <w:highlight w:val="none"/>
        </w:rPr>
      </w:pPr>
    </w:p>
    <w:p w14:paraId="5E5E77F3">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c</w:t>
      </w:r>
      <w:r>
        <w:rPr>
          <w:rFonts w:hint="eastAsia" w:ascii="宋体" w:hAnsi="宋体" w:eastAsia="宋体" w:cs="宋体"/>
          <w:snapToGrid w:val="0"/>
          <w:color w:val="auto"/>
          <w:kern w:val="0"/>
          <w:szCs w:val="24"/>
          <w:highlight w:val="none"/>
        </w:rPr>
        <w:t>．如果中标单价等于基准单价，该施工机具台班的结算单价调整公式为：</w:t>
      </w:r>
    </w:p>
    <w:p w14:paraId="4D24D13B">
      <w:pPr>
        <w:spacing w:line="404" w:lineRule="exact"/>
        <w:ind w:left="120" w:firstLine="240" w:firstLineChars="100"/>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85888" behindDoc="0" locked="0" layoutInCell="1" allowOverlap="1">
                <wp:simplePos x="0" y="0"/>
                <wp:positionH relativeFrom="page">
                  <wp:posOffset>2848610</wp:posOffset>
                </wp:positionH>
                <wp:positionV relativeFrom="paragraph">
                  <wp:posOffset>217805</wp:posOffset>
                </wp:positionV>
                <wp:extent cx="388620" cy="1270"/>
                <wp:effectExtent l="0" t="0" r="0" b="0"/>
                <wp:wrapNone/>
                <wp:docPr id="11" name="组合 11"/>
                <wp:cNvGraphicFramePr/>
                <a:graphic xmlns:a="http://schemas.openxmlformats.org/drawingml/2006/main">
                  <a:graphicData uri="http://schemas.microsoft.com/office/word/2010/wordprocessingGroup">
                    <wpg:wgp>
                      <wpg:cNvGrpSpPr/>
                      <wpg:grpSpPr>
                        <a:xfrm>
                          <a:off x="0" y="0"/>
                          <a:ext cx="388620" cy="1270"/>
                          <a:chOff x="4937" y="395"/>
                          <a:chExt cx="612" cy="2"/>
                        </a:xfrm>
                        <a:effectLst/>
                      </wpg:grpSpPr>
                      <wps:wsp>
                        <wps:cNvPr id="14" name="任意多边形 45"/>
                        <wps:cNvSpPr/>
                        <wps:spPr>
                          <a:xfrm>
                            <a:off x="4937" y="395"/>
                            <a:ext cx="612" cy="2"/>
                          </a:xfrm>
                          <a:custGeom>
                            <a:avLst/>
                            <a:gdLst/>
                            <a:ahLst/>
                            <a:cxnLst/>
                            <a:pathLst>
                              <a:path w="612">
                                <a:moveTo>
                                  <a:pt x="0" y="0"/>
                                </a:moveTo>
                                <a:lnTo>
                                  <a:pt x="612"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24.3pt;margin-top:17.15pt;height:0.1pt;width:30.6pt;mso-position-horizontal-relative:page;z-index:251685888;mso-width-relative:page;mso-height-relative:page;" coordorigin="4937,395" coordsize="612,2" o:gfxdata="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6NUo2tkAAAAJAQAADwAAAAAAAAABACAAAAAiAAAAZHJzL2Rvd25yZXYueG1sUEsB&#10;AhQAFAAAAAgAh07iQGiPK3mfAgAA1wUAAA4AAAAAAAAAAQAgAAAAKAEAAGRycy9lMm9Eb2MueG1s&#10;UEsFBgAAAAAGAAYAWQEAADkGAAAAAA==&#10;">
                <o:lock v:ext="edit" aspectratio="f"/>
                <v:shape id="任意多边形 45" o:spid="_x0000_s1026" o:spt="100" style="position:absolute;left:4937;top:395;height:2;width:612;" filled="f" stroked="t" coordsize="612,1" o:gfxdata="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KobSvQAA&#10;ANsAAAAPAAAAAAAAAAEAIAAAACIAAABkcnMvZG93bnJldi54bWxQSwECFAAUAAAACACHTuJAMy8F&#10;njsAAAA5AAAAEAAAAAAAAAABACAAAAAMAQAAZHJzL3NoYXBleG1sLnhtbFBLBQYAAAAABgAGAFsB&#10;AAC2AwAAAAA=&#10;" path="m0,0l612,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涨</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4"/>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Cs w:val="24"/>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Cs w:val="24"/>
          <w:highlight w:val="none"/>
        </w:rPr>
        <w:t>F</w:t>
      </w:r>
      <w:r>
        <w:rPr>
          <w:rFonts w:hint="eastAsia" w:ascii="宋体" w:hAnsi="宋体" w:eastAsia="宋体" w:cs="宋体"/>
          <w:color w:val="auto"/>
          <w:spacing w:val="15"/>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0"/>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26"/>
          <w:position w:val="15"/>
          <w:szCs w:val="24"/>
          <w:highlight w:val="none"/>
        </w:rPr>
        <w:t>F</w:t>
      </w:r>
      <w:r>
        <w:rPr>
          <w:rFonts w:hint="eastAsia" w:ascii="宋体" w:hAnsi="宋体" w:eastAsia="宋体" w:cs="宋体"/>
          <w:color w:val="auto"/>
          <w:position w:val="9"/>
          <w:sz w:val="14"/>
          <w:szCs w:val="14"/>
          <w:highlight w:val="none"/>
        </w:rPr>
        <w:t>0</w:t>
      </w:r>
      <w:r>
        <w:rPr>
          <w:rFonts w:hint="eastAsia" w:ascii="宋体" w:hAnsi="宋体" w:eastAsia="宋体" w:cs="宋体"/>
          <w:color w:val="auto"/>
          <w:spacing w:val="2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B</w:t>
      </w:r>
      <w:r>
        <w:rPr>
          <w:rFonts w:hint="eastAsia" w:ascii="宋体" w:hAnsi="宋体" w:eastAsia="宋体" w:cs="宋体"/>
          <w:color w:val="auto"/>
          <w:szCs w:val="24"/>
          <w:highlight w:val="none"/>
        </w:rPr>
        <w:t>）</w:t>
      </w:r>
    </w:p>
    <w:p w14:paraId="19DB5E1F">
      <w:pPr>
        <w:pStyle w:val="11"/>
        <w:tabs>
          <w:tab w:val="left" w:pos="2817"/>
        </w:tabs>
        <w:spacing w:line="142" w:lineRule="exact"/>
        <w:ind w:left="2424"/>
        <w:jc w:val="left"/>
        <w:rPr>
          <w:rFonts w:hint="eastAsia" w:ascii="宋体" w:hAnsi="宋体" w:eastAsia="宋体" w:cs="宋体"/>
          <w:color w:val="auto"/>
          <w:sz w:val="14"/>
          <w:szCs w:val="14"/>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81792" behindDoc="0" locked="0" layoutInCell="1" allowOverlap="1">
                <wp:simplePos x="0" y="0"/>
                <wp:positionH relativeFrom="page">
                  <wp:posOffset>3246755</wp:posOffset>
                </wp:positionH>
                <wp:positionV relativeFrom="paragraph">
                  <wp:posOffset>29845</wp:posOffset>
                </wp:positionV>
                <wp:extent cx="163195" cy="20828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63195" cy="208280"/>
                        </a:xfrm>
                        <a:prstGeom prst="rect">
                          <a:avLst/>
                        </a:prstGeom>
                        <a:noFill/>
                        <a:ln>
                          <a:noFill/>
                        </a:ln>
                        <a:effectLst/>
                      </wps:spPr>
                      <wps:txbx>
                        <w:txbxContent>
                          <w:p w14:paraId="47599A6A">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wps:txbx>
                      <wps:bodyPr wrap="square" lIns="0" tIns="0" rIns="0" bIns="0" upright="1"/>
                    </wps:wsp>
                  </a:graphicData>
                </a:graphic>
              </wp:anchor>
            </w:drawing>
          </mc:Choice>
          <mc:Fallback>
            <w:pict>
              <v:shape id="_x0000_s1026" o:spid="_x0000_s1026" o:spt="202" type="#_x0000_t202" style="position:absolute;left:0pt;margin-left:255.65pt;margin-top:2.35pt;height:16.4pt;width:12.85pt;mso-position-horizontal-relative:page;z-index:251681792;mso-width-relative:page;mso-height-relative:page;" filled="f" stroked="f" coordsize="21600,21600" o:gfxdata="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1M7ez2AAAAAgBAAAPAAAAAAAAAAEAIAAAACIAAABkcnMv&#10;ZG93bnJldi54bWxQSwECFAAUAAAACACHTuJAzkQvs8oBAACPAwAADgAAAAAAAAABACAAAAAnAQAA&#10;ZHJzL2Uyb0RvYy54bWxQSwUGAAAAAAYABgBZAQAAYwUAAAAA&#10;">
                <v:fill on="f" focussize="0,0"/>
                <v:stroke on="f"/>
                <v:imagedata o:title=""/>
                <o:lock v:ext="edit" aspectratio="f"/>
                <v:textbox inset="0mm,0mm,0mm,0mm">
                  <w:txbxContent>
                    <w:p w14:paraId="47599A6A">
                      <w:r>
                        <w:rPr>
                          <w:rFonts w:ascii="Times New Roman" w:eastAsia="Times New Roman"/>
                          <w:spacing w:val="-26"/>
                          <w:position w:val="15"/>
                          <w:szCs w:val="24"/>
                        </w:rPr>
                        <w:t>F</w:t>
                      </w:r>
                      <w:r>
                        <w:rPr>
                          <w:rFonts w:ascii="Times New Roman" w:eastAsia="Times New Roman"/>
                          <w:position w:val="9"/>
                          <w:sz w:val="14"/>
                          <w:szCs w:val="14"/>
                        </w:rPr>
                        <w:t>0</w:t>
                      </w:r>
                      <w:r>
                        <w:rPr>
                          <w:rFonts w:ascii="Times New Roman" w:eastAsia="Times New Roman"/>
                          <w:spacing w:val="20"/>
                          <w:position w:val="9"/>
                          <w:sz w:val="14"/>
                          <w:szCs w:val="14"/>
                        </w:rPr>
                        <w:t xml:space="preserve"> </w:t>
                      </w:r>
                    </w:p>
                  </w:txbxContent>
                </v:textbox>
              </v:shape>
            </w:pict>
          </mc:Fallback>
        </mc:AlternateContent>
      </w:r>
      <w:r>
        <w:rPr>
          <w:rFonts w:hint="eastAsia" w:ascii="宋体" w:hAnsi="宋体" w:eastAsia="宋体" w:cs="宋体"/>
          <w:color w:val="auto"/>
          <w:sz w:val="14"/>
          <w:szCs w:val="14"/>
          <w:highlight w:val="none"/>
        </w:rPr>
        <w:t>1</w:t>
      </w:r>
      <w:r>
        <w:rPr>
          <w:rFonts w:hint="eastAsia" w:ascii="宋体" w:hAnsi="宋体" w:eastAsia="宋体" w:cs="宋体"/>
          <w:color w:val="auto"/>
          <w:sz w:val="14"/>
          <w:szCs w:val="14"/>
          <w:highlight w:val="none"/>
        </w:rPr>
        <w:tab/>
      </w:r>
      <w:r>
        <w:rPr>
          <w:rFonts w:hint="eastAsia" w:ascii="宋体" w:hAnsi="宋体" w:eastAsia="宋体" w:cs="宋体"/>
          <w:color w:val="auto"/>
          <w:sz w:val="14"/>
          <w:szCs w:val="14"/>
          <w:highlight w:val="none"/>
        </w:rPr>
        <w:t>0</w:t>
      </w:r>
    </w:p>
    <w:p w14:paraId="4A73E462">
      <w:pPr>
        <w:pStyle w:val="11"/>
        <w:spacing w:before="26"/>
        <w:ind w:left="3454" w:right="4848"/>
        <w:jc w:val="center"/>
        <w:rPr>
          <w:rFonts w:hint="eastAsia" w:ascii="宋体" w:hAnsi="宋体" w:eastAsia="宋体" w:cs="宋体"/>
          <w:color w:val="auto"/>
          <w:sz w:val="14"/>
          <w:szCs w:val="14"/>
          <w:highlight w:val="none"/>
          <w:lang w:val="en-US" w:eastAsia="zh-CN"/>
        </w:rPr>
      </w:pPr>
      <w:r>
        <w:rPr>
          <w:rFonts w:hint="eastAsia" w:ascii="宋体" w:hAnsi="宋体" w:eastAsia="宋体" w:cs="宋体"/>
          <w:color w:val="auto"/>
          <w:sz w:val="14"/>
          <w:szCs w:val="14"/>
          <w:highlight w:val="none"/>
          <w:lang w:val="en-US" w:eastAsia="zh-CN"/>
        </w:rPr>
        <w:t>x</w:t>
      </w:r>
    </w:p>
    <w:p w14:paraId="3DE7F123">
      <w:pPr>
        <w:spacing w:before="4" w:line="170" w:lineRule="exact"/>
        <w:rPr>
          <w:rFonts w:hint="eastAsia" w:ascii="宋体" w:hAnsi="宋体" w:eastAsia="宋体" w:cs="宋体"/>
          <w:color w:val="auto"/>
          <w:sz w:val="17"/>
          <w:szCs w:val="17"/>
          <w:highlight w:val="none"/>
        </w:rPr>
      </w:pPr>
    </w:p>
    <w:p w14:paraId="7A2F0507">
      <w:pPr>
        <w:spacing w:line="405" w:lineRule="exact"/>
        <w:ind w:left="328"/>
        <w:jc w:val="left"/>
        <w:rPr>
          <w:rFonts w:hint="eastAsia" w:ascii="宋体" w:hAnsi="宋体" w:eastAsia="宋体" w:cs="宋体"/>
          <w:color w:val="auto"/>
          <w:szCs w:val="24"/>
          <w:highlight w:val="none"/>
        </w:rPr>
      </w:pPr>
      <w:r>
        <w:rPr>
          <w:rFonts w:hint="eastAsia" w:ascii="宋体" w:hAnsi="宋体" w:eastAsia="宋体" w:cs="宋体"/>
          <w:color w:val="auto"/>
          <w:highlight w:val="none"/>
        </w:rPr>
        <mc:AlternateContent>
          <mc:Choice Requires="wpg">
            <w:drawing>
              <wp:anchor distT="0" distB="0" distL="114300" distR="114300" simplePos="0" relativeHeight="251682816" behindDoc="0" locked="0" layoutInCell="1" allowOverlap="1">
                <wp:simplePos x="0" y="0"/>
                <wp:positionH relativeFrom="page">
                  <wp:posOffset>3150235</wp:posOffset>
                </wp:positionH>
                <wp:positionV relativeFrom="paragraph">
                  <wp:posOffset>250825</wp:posOffset>
                </wp:positionV>
                <wp:extent cx="403860" cy="1270"/>
                <wp:effectExtent l="0" t="0" r="0" b="0"/>
                <wp:wrapNone/>
                <wp:docPr id="46" name="组合 46"/>
                <wp:cNvGraphicFramePr/>
                <a:graphic xmlns:a="http://schemas.openxmlformats.org/drawingml/2006/main">
                  <a:graphicData uri="http://schemas.microsoft.com/office/word/2010/wordprocessingGroup">
                    <wpg:wgp>
                      <wpg:cNvGrpSpPr/>
                      <wpg:grpSpPr>
                        <a:xfrm>
                          <a:off x="0" y="0"/>
                          <a:ext cx="403860" cy="1270"/>
                          <a:chOff x="4961" y="396"/>
                          <a:chExt cx="636" cy="2"/>
                        </a:xfrm>
                        <a:effectLst/>
                      </wpg:grpSpPr>
                      <wps:wsp>
                        <wps:cNvPr id="32" name="任意多边形 53"/>
                        <wps:cNvSpPr/>
                        <wps:spPr>
                          <a:xfrm>
                            <a:off x="4961" y="396"/>
                            <a:ext cx="636" cy="2"/>
                          </a:xfrm>
                          <a:custGeom>
                            <a:avLst/>
                            <a:gdLst/>
                            <a:ahLst/>
                            <a:cxnLst/>
                            <a:pathLst>
                              <a:path w="636">
                                <a:moveTo>
                                  <a:pt x="0" y="0"/>
                                </a:moveTo>
                                <a:lnTo>
                                  <a:pt x="636" y="0"/>
                                </a:lnTo>
                              </a:path>
                            </a:pathLst>
                          </a:custGeom>
                          <a:noFill/>
                          <a:ln w="6350" cap="flat" cmpd="sng">
                            <a:solidFill>
                              <a:srgbClr val="000000"/>
                            </a:solidFill>
                            <a:prstDash val="solid"/>
                            <a:headEnd type="none" w="med" len="med"/>
                            <a:tailEnd type="none" w="med" len="med"/>
                          </a:ln>
                          <a:effectLst/>
                        </wps:spPr>
                        <wps:bodyPr wrap="square" upright="1"/>
                      </wps:wsp>
                    </wpg:wgp>
                  </a:graphicData>
                </a:graphic>
              </wp:anchor>
            </w:drawing>
          </mc:Choice>
          <mc:Fallback>
            <w:pict>
              <v:group id="_x0000_s1026" o:spid="_x0000_s1026" o:spt="203" style="position:absolute;left:0pt;margin-left:248.05pt;margin-top:19.75pt;height:0.1pt;width:31.8pt;mso-position-horizontal-relative:page;z-index:251682816;mso-width-relative:page;mso-height-relative:page;" coordorigin="4961,396" coordsize="636,2" o:gfxdata="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BIw65h2gAAAAkBAAAPAAAAAAAAAAEAIAAAACIAAABkcnMvZG93bnJldi54bWxQ&#10;SwECFAAUAAAACACHTuJA2taWg6ACAADXBQAADgAAAAAAAAABACAAAAApAQAAZHJzL2Uyb0RvYy54&#10;bWxQSwUGAAAAAAYABgBZAQAAOwYAAAAA&#10;">
                <o:lock v:ext="edit" aspectratio="f"/>
                <v:shape id="任意多边形 53" o:spid="_x0000_s1026" o:spt="100" style="position:absolute;left:4961;top:396;height:2;width:636;" filled="f" stroked="t" coordsize="636,1" o:gfxdata="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rj5jG8AAAA&#10;2wAAAA8AAAAAAAAAAQAgAAAAIgAAAGRycy9kb3ducmV2LnhtbFBLAQIUABQAAAAIAIdO4kAzLwWe&#10;OwAAADkAAAAQAAAAAAAAAAEAIAAAAAsBAABkcnMvc2hhcGV4bWwueG1sUEsFBgAAAAAGAAYAWwEA&#10;ALUDAAAAAA==&#10;" path="m0,0l636,0e">
                  <v:fill on="f" focussize="0,0"/>
                  <v:stroke weight="0.5pt" color="#000000" joinstyle="round"/>
                  <v:imagedata o:title=""/>
                  <o:lock v:ext="edit" aspectratio="f"/>
                </v:shape>
              </v:group>
            </w:pict>
          </mc:Fallback>
        </mc:AlternateContent>
      </w:r>
      <w:r>
        <w:rPr>
          <w:rFonts w:hint="eastAsia" w:ascii="宋体" w:hAnsi="宋体" w:eastAsia="宋体" w:cs="宋体"/>
          <w:color w:val="auto"/>
          <w:spacing w:val="-1"/>
          <w:sz w:val="21"/>
          <w:szCs w:val="21"/>
          <w:highlight w:val="none"/>
        </w:rPr>
        <w:t>跌</w:t>
      </w:r>
      <w:r>
        <w:rPr>
          <w:rFonts w:hint="eastAsia" w:ascii="宋体" w:hAnsi="宋体" w:eastAsia="宋体" w:cs="宋体"/>
          <w:color w:val="auto"/>
          <w:spacing w:val="2"/>
          <w:sz w:val="21"/>
          <w:szCs w:val="21"/>
          <w:highlight w:val="none"/>
        </w:rPr>
        <w:t>价</w:t>
      </w:r>
      <w:r>
        <w:rPr>
          <w:rFonts w:hint="eastAsia" w:ascii="宋体" w:hAnsi="宋体" w:eastAsia="宋体" w:cs="宋体"/>
          <w:color w:val="auto"/>
          <w:spacing w:val="-1"/>
          <w:sz w:val="21"/>
          <w:szCs w:val="21"/>
          <w:highlight w:val="none"/>
        </w:rPr>
        <w:t>时</w:t>
      </w:r>
      <w:r>
        <w:rPr>
          <w:rFonts w:hint="eastAsia" w:ascii="宋体" w:hAnsi="宋体" w:eastAsia="宋体" w:cs="宋体"/>
          <w:color w:val="auto"/>
          <w:sz w:val="21"/>
          <w:szCs w:val="21"/>
          <w:highlight w:val="none"/>
        </w:rPr>
        <w:t>，</w:t>
      </w:r>
      <w:r>
        <w:rPr>
          <w:rFonts w:hint="eastAsia" w:ascii="宋体" w:hAnsi="宋体" w:eastAsia="宋体" w:cs="宋体"/>
          <w:color w:val="auto"/>
          <w:spacing w:val="-82"/>
          <w:sz w:val="21"/>
          <w:szCs w:val="21"/>
          <w:highlight w:val="none"/>
        </w:rPr>
        <w:t xml:space="preserve"> </w:t>
      </w:r>
      <w:r>
        <w:rPr>
          <w:rFonts w:hint="eastAsia" w:ascii="宋体" w:hAnsi="宋体" w:eastAsia="宋体" w:cs="宋体"/>
          <w:color w:val="auto"/>
          <w:szCs w:val="24"/>
          <w:highlight w:val="none"/>
        </w:rPr>
        <w:t>结算单价</w:t>
      </w:r>
      <w:r>
        <w:rPr>
          <w:rFonts w:hint="eastAsia" w:ascii="宋体" w:hAnsi="宋体" w:eastAsia="宋体" w:cs="宋体"/>
          <w:color w:val="auto"/>
          <w:spacing w:val="9"/>
          <w:szCs w:val="24"/>
          <w:highlight w:val="none"/>
        </w:rPr>
        <w:t>＝</w:t>
      </w:r>
      <w:r>
        <w:rPr>
          <w:rFonts w:hint="eastAsia" w:ascii="宋体" w:hAnsi="宋体" w:eastAsia="宋体" w:cs="宋体"/>
          <w:color w:val="auto"/>
          <w:spacing w:val="7"/>
          <w:szCs w:val="24"/>
          <w:highlight w:val="none"/>
        </w:rPr>
        <w:t>F</w:t>
      </w:r>
      <w:r>
        <w:rPr>
          <w:rFonts w:hint="eastAsia" w:ascii="宋体" w:hAnsi="宋体" w:eastAsia="宋体" w:cs="宋体"/>
          <w:color w:val="auto"/>
          <w:spacing w:val="1"/>
          <w:szCs w:val="24"/>
          <w:highlight w:val="none"/>
        </w:rPr>
        <w:t>＋</w:t>
      </w:r>
      <w:r>
        <w:rPr>
          <w:rFonts w:hint="eastAsia" w:ascii="宋体" w:hAnsi="宋体" w:eastAsia="宋体" w:cs="宋体"/>
          <w:color w:val="auto"/>
          <w:szCs w:val="24"/>
          <w:highlight w:val="none"/>
        </w:rPr>
        <w:t>F</w:t>
      </w:r>
      <w:r>
        <w:rPr>
          <w:rFonts w:hint="eastAsia" w:ascii="宋体" w:hAnsi="宋体" w:eastAsia="宋体" w:cs="宋体"/>
          <w:color w:val="auto"/>
          <w:spacing w:val="16"/>
          <w:szCs w:val="24"/>
          <w:highlight w:val="none"/>
        </w:rPr>
        <w:t xml:space="preserve"> </w:t>
      </w:r>
      <w:r>
        <w:rPr>
          <w:rFonts w:hint="eastAsia" w:ascii="宋体" w:hAnsi="宋体" w:eastAsia="宋体" w:cs="宋体"/>
          <w:color w:val="auto"/>
          <w:spacing w:val="-102"/>
          <w:szCs w:val="24"/>
          <w:highlight w:val="none"/>
        </w:rPr>
        <w:t></w:t>
      </w:r>
      <w:r>
        <w:rPr>
          <w:rFonts w:hint="eastAsia" w:ascii="宋体" w:hAnsi="宋体" w:eastAsia="宋体" w:cs="宋体"/>
          <w:color w:val="auto"/>
          <w:szCs w:val="24"/>
          <w:highlight w:val="none"/>
        </w:rPr>
        <w:t xml:space="preserve">（  </w:t>
      </w:r>
      <w:r>
        <w:rPr>
          <w:rFonts w:hint="eastAsia" w:ascii="宋体" w:hAnsi="宋体" w:eastAsia="宋体" w:cs="宋体"/>
          <w:color w:val="auto"/>
          <w:spacing w:val="-100"/>
          <w:szCs w:val="24"/>
          <w:highlight w:val="none"/>
        </w:rPr>
        <w:t xml:space="preserve"> </w:t>
      </w:r>
      <w:r>
        <w:rPr>
          <w:rFonts w:hint="eastAsia" w:ascii="宋体" w:hAnsi="宋体" w:eastAsia="宋体" w:cs="宋体"/>
          <w:color w:val="auto"/>
          <w:spacing w:val="-23"/>
          <w:position w:val="15"/>
          <w:szCs w:val="24"/>
          <w:highlight w:val="none"/>
        </w:rPr>
        <w:t>F</w:t>
      </w:r>
      <w:r>
        <w:rPr>
          <w:rFonts w:hint="eastAsia" w:ascii="宋体" w:hAnsi="宋体" w:eastAsia="宋体" w:cs="宋体"/>
          <w:color w:val="auto"/>
          <w:spacing w:val="-15"/>
          <w:position w:val="9"/>
          <w:sz w:val="14"/>
          <w:szCs w:val="14"/>
          <w:highlight w:val="none"/>
        </w:rPr>
        <w:t>2</w:t>
      </w:r>
      <w:r>
        <w:rPr>
          <w:rFonts w:hint="eastAsia" w:ascii="宋体" w:hAnsi="宋体" w:eastAsia="宋体" w:cs="宋体"/>
          <w:color w:val="auto"/>
          <w:spacing w:val="1"/>
          <w:position w:val="15"/>
          <w:szCs w:val="24"/>
          <w:highlight w:val="none"/>
        </w:rPr>
        <w:t>－</w:t>
      </w:r>
      <w:r>
        <w:rPr>
          <w:rFonts w:hint="eastAsia" w:ascii="宋体" w:hAnsi="宋体" w:eastAsia="宋体" w:cs="宋体"/>
          <w:color w:val="auto"/>
          <w:spacing w:val="-26"/>
          <w:position w:val="15"/>
          <w:szCs w:val="24"/>
          <w:highlight w:val="none"/>
        </w:rPr>
        <w:t>F</w:t>
      </w:r>
      <w:r>
        <w:rPr>
          <w:rFonts w:hint="eastAsia" w:ascii="宋体" w:hAnsi="宋体" w:eastAsia="宋体" w:cs="宋体"/>
          <w:color w:val="auto"/>
          <w:position w:val="9"/>
          <w:sz w:val="14"/>
          <w:szCs w:val="14"/>
          <w:highlight w:val="none"/>
        </w:rPr>
        <w:t>0</w:t>
      </w:r>
      <w:r>
        <w:rPr>
          <w:rFonts w:hint="eastAsia" w:ascii="宋体" w:hAnsi="宋体" w:eastAsia="宋体" w:cs="宋体"/>
          <w:color w:val="auto"/>
          <w:spacing w:val="20"/>
          <w:position w:val="9"/>
          <w:sz w:val="14"/>
          <w:szCs w:val="14"/>
          <w:highlight w:val="none"/>
        </w:rPr>
        <w:t xml:space="preserve"> </w:t>
      </w:r>
      <w:r>
        <w:rPr>
          <w:rFonts w:hint="eastAsia" w:ascii="宋体" w:hAnsi="宋体" w:eastAsia="宋体" w:cs="宋体"/>
          <w:color w:val="auto"/>
          <w:spacing w:val="8"/>
          <w:szCs w:val="24"/>
          <w:highlight w:val="none"/>
        </w:rPr>
        <w:t></w:t>
      </w:r>
      <w:r>
        <w:rPr>
          <w:rFonts w:hint="eastAsia" w:ascii="宋体" w:hAnsi="宋体" w:eastAsia="宋体" w:cs="宋体"/>
          <w:color w:val="auto"/>
          <w:spacing w:val="8"/>
          <w:szCs w:val="24"/>
          <w:highlight w:val="none"/>
          <w:lang w:val="en-US" w:eastAsia="zh-CN"/>
        </w:rPr>
        <w:t>x</w:t>
      </w:r>
      <w:r>
        <w:rPr>
          <w:rFonts w:hint="eastAsia" w:ascii="宋体" w:hAnsi="宋体" w:eastAsia="宋体" w:cs="宋体"/>
          <w:color w:val="auto"/>
          <w:szCs w:val="24"/>
          <w:highlight w:val="none"/>
        </w:rPr>
        <w:t>10</w:t>
      </w:r>
      <w:r>
        <w:rPr>
          <w:rFonts w:hint="eastAsia" w:ascii="宋体" w:hAnsi="宋体" w:eastAsia="宋体" w:cs="宋体"/>
          <w:color w:val="auto"/>
          <w:spacing w:val="2"/>
          <w:szCs w:val="24"/>
          <w:highlight w:val="none"/>
        </w:rPr>
        <w:t>0</w:t>
      </w:r>
      <w:r>
        <w:rPr>
          <w:rFonts w:hint="eastAsia" w:ascii="宋体" w:hAnsi="宋体" w:eastAsia="宋体" w:cs="宋体"/>
          <w:color w:val="auto"/>
          <w:spacing w:val="-20"/>
          <w:szCs w:val="24"/>
          <w:highlight w:val="none"/>
        </w:rPr>
        <w:t>%</w:t>
      </w:r>
      <w:r>
        <w:rPr>
          <w:rFonts w:hint="eastAsia" w:ascii="宋体" w:hAnsi="宋体" w:eastAsia="宋体" w:cs="宋体"/>
          <w:color w:val="auto"/>
          <w:spacing w:val="1"/>
          <w:szCs w:val="24"/>
          <w:highlight w:val="none"/>
        </w:rPr>
        <w:t>＋</w:t>
      </w:r>
      <w:r>
        <w:rPr>
          <w:rFonts w:hint="eastAsia" w:ascii="宋体" w:hAnsi="宋体" w:eastAsia="宋体" w:cs="宋体"/>
          <w:color w:val="auto"/>
          <w:spacing w:val="-5"/>
          <w:szCs w:val="24"/>
          <w:highlight w:val="none"/>
        </w:rPr>
        <w:t>B</w:t>
      </w:r>
      <w:r>
        <w:rPr>
          <w:rFonts w:hint="eastAsia" w:ascii="宋体" w:hAnsi="宋体" w:eastAsia="宋体" w:cs="宋体"/>
          <w:color w:val="auto"/>
          <w:szCs w:val="24"/>
          <w:highlight w:val="none"/>
        </w:rPr>
        <w:t>）</w:t>
      </w:r>
    </w:p>
    <w:p w14:paraId="1FF45CF6">
      <w:pPr>
        <w:pStyle w:val="11"/>
        <w:tabs>
          <w:tab w:val="left" w:pos="2884"/>
        </w:tabs>
        <w:spacing w:line="142" w:lineRule="exact"/>
        <w:ind w:firstLine="2520" w:firstLineChars="1800"/>
        <w:jc w:val="left"/>
        <w:rPr>
          <w:rFonts w:hint="eastAsia" w:ascii="宋体" w:hAnsi="宋体" w:eastAsia="宋体" w:cs="宋体"/>
          <w:color w:val="auto"/>
          <w:sz w:val="14"/>
          <w:szCs w:val="14"/>
          <w:highlight w:val="none"/>
        </w:rPr>
      </w:pPr>
      <w:r>
        <w:rPr>
          <w:rFonts w:hint="eastAsia" w:ascii="宋体" w:hAnsi="宋体" w:eastAsia="宋体" w:cs="宋体"/>
          <w:color w:val="auto"/>
          <w:sz w:val="14"/>
          <w:szCs w:val="14"/>
          <w:highlight w:val="none"/>
        </w:rPr>
        <mc:AlternateContent>
          <mc:Choice Requires="wps">
            <w:drawing>
              <wp:anchor distT="0" distB="0" distL="114300" distR="114300" simplePos="0" relativeHeight="251683840" behindDoc="0" locked="0" layoutInCell="1" allowOverlap="1">
                <wp:simplePos x="0" y="0"/>
                <wp:positionH relativeFrom="page">
                  <wp:posOffset>3289300</wp:posOffset>
                </wp:positionH>
                <wp:positionV relativeFrom="paragraph">
                  <wp:posOffset>29845</wp:posOffset>
                </wp:positionV>
                <wp:extent cx="296545" cy="24638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296545" cy="246380"/>
                        </a:xfrm>
                        <a:prstGeom prst="rect">
                          <a:avLst/>
                        </a:prstGeom>
                        <a:noFill/>
                        <a:ln>
                          <a:noFill/>
                        </a:ln>
                        <a:effectLst/>
                      </wps:spPr>
                      <wps:txbx>
                        <w:txbxContent>
                          <w:p w14:paraId="52AC9BE9">
                            <w:r>
                              <w:rPr>
                                <w:rFonts w:ascii="Times New Roman" w:eastAsia="Times New Roman"/>
                                <w:spacing w:val="-26"/>
                                <w:position w:val="15"/>
                                <w:szCs w:val="24"/>
                              </w:rPr>
                              <w:t>F</w:t>
                            </w:r>
                            <w:r>
                              <w:rPr>
                                <w:rFonts w:ascii="Times New Roman" w:eastAsia="Times New Roman"/>
                                <w:position w:val="9"/>
                                <w:sz w:val="14"/>
                                <w:szCs w:val="14"/>
                              </w:rPr>
                              <w:t>0</w:t>
                            </w:r>
                          </w:p>
                        </w:txbxContent>
                      </wps:txbx>
                      <wps:bodyPr wrap="square" lIns="0" tIns="0" rIns="0" bIns="0" upright="1"/>
                    </wps:wsp>
                  </a:graphicData>
                </a:graphic>
              </wp:anchor>
            </w:drawing>
          </mc:Choice>
          <mc:Fallback>
            <w:pict>
              <v:shape id="_x0000_s1026" o:spid="_x0000_s1026" o:spt="202" type="#_x0000_t202" style="position:absolute;left:0pt;margin-left:259pt;margin-top:2.35pt;height:19.4pt;width:23.35pt;mso-position-horizontal-relative:page;z-index:251683840;mso-width-relative:page;mso-height-relative:page;" filled="f" stroked="f" coordsize="21600,21600" o:gfxdata="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eQvMZ1wAAAAgBAAAPAAAAAAAAAAEAIAAAACIAAABkcnMv&#10;ZG93bnJldi54bWxQSwECFAAUAAAACACHTuJAKGCBNMsBAACPAwAADgAAAAAAAAABACAAAAAmAQAA&#10;ZHJzL2Uyb0RvYy54bWxQSwUGAAAAAAYABgBZAQAAYwUAAAAA&#10;">
                <v:fill on="f" focussize="0,0"/>
                <v:stroke on="f"/>
                <v:imagedata o:title=""/>
                <o:lock v:ext="edit" aspectratio="f"/>
                <v:textbox inset="0mm,0mm,0mm,0mm">
                  <w:txbxContent>
                    <w:p w14:paraId="52AC9BE9">
                      <w:r>
                        <w:rPr>
                          <w:rFonts w:ascii="Times New Roman" w:eastAsia="Times New Roman"/>
                          <w:spacing w:val="-26"/>
                          <w:position w:val="15"/>
                          <w:szCs w:val="24"/>
                        </w:rPr>
                        <w:t>F</w:t>
                      </w:r>
                      <w:r>
                        <w:rPr>
                          <w:rFonts w:ascii="Times New Roman" w:eastAsia="Times New Roman"/>
                          <w:position w:val="9"/>
                          <w:sz w:val="14"/>
                          <w:szCs w:val="14"/>
                        </w:rPr>
                        <w:t>0</w:t>
                      </w:r>
                    </w:p>
                  </w:txbxContent>
                </v:textbox>
              </v:shape>
            </w:pict>
          </mc:Fallback>
        </mc:AlternateContent>
      </w:r>
      <w:r>
        <w:rPr>
          <w:rFonts w:hint="eastAsia" w:ascii="宋体" w:hAnsi="宋体" w:eastAsia="宋体" w:cs="宋体"/>
          <w:color w:val="auto"/>
          <w:sz w:val="14"/>
          <w:szCs w:val="14"/>
          <w:highlight w:val="none"/>
        </w:rPr>
        <w:t>1    0</w:t>
      </w:r>
    </w:p>
    <w:p w14:paraId="7D1EF219">
      <w:pPr>
        <w:pStyle w:val="11"/>
        <w:spacing w:before="26"/>
        <w:ind w:left="3521" w:right="4781"/>
        <w:jc w:val="center"/>
        <w:rPr>
          <w:rFonts w:hint="eastAsia" w:ascii="宋体" w:hAnsi="宋体" w:eastAsia="宋体" w:cs="宋体"/>
          <w:color w:val="auto"/>
          <w:sz w:val="14"/>
          <w:szCs w:val="14"/>
          <w:highlight w:val="none"/>
        </w:rPr>
      </w:pPr>
    </w:p>
    <w:p w14:paraId="38470333">
      <w:pPr>
        <w:wordWrap w:val="0"/>
        <w:adjustRightInd w:val="0"/>
        <w:snapToGrid w:val="0"/>
        <w:spacing w:line="440" w:lineRule="exact"/>
        <w:ind w:firstLine="480" w:firstLineChars="200"/>
        <w:rPr>
          <w:rFonts w:hint="eastAsia" w:ascii="宋体" w:hAnsi="宋体" w:eastAsia="宋体" w:cs="宋体"/>
          <w:bCs/>
          <w:snapToGrid w:val="0"/>
          <w:color w:val="auto"/>
          <w:kern w:val="0"/>
          <w:szCs w:val="28"/>
          <w:highlight w:val="none"/>
        </w:rPr>
      </w:pPr>
      <w:r>
        <w:rPr>
          <w:rFonts w:hint="eastAsia" w:ascii="宋体" w:hAnsi="宋体" w:eastAsia="宋体" w:cs="宋体"/>
          <w:snapToGrid w:val="0"/>
          <w:color w:val="auto"/>
          <w:kern w:val="0"/>
          <w:szCs w:val="24"/>
          <w:highlight w:val="none"/>
        </w:rPr>
        <w:t>以上公式中，</w:t>
      </w:r>
      <w:r>
        <w:rPr>
          <w:rFonts w:hint="eastAsia" w:ascii="宋体" w:hAnsi="宋体" w:eastAsia="宋体" w:cs="宋体"/>
          <w:bCs/>
          <w:snapToGrid w:val="0"/>
          <w:color w:val="auto"/>
          <w:kern w:val="0"/>
          <w:szCs w:val="28"/>
          <w:highlight w:val="none"/>
        </w:rPr>
        <w:t>F</w:t>
      </w:r>
      <w:r>
        <w:rPr>
          <w:rFonts w:hint="eastAsia" w:ascii="宋体" w:hAnsi="宋体" w:eastAsia="宋体" w:cs="宋体"/>
          <w:bCs/>
          <w:snapToGrid w:val="0"/>
          <w:color w:val="auto"/>
          <w:kern w:val="0"/>
          <w:szCs w:val="28"/>
          <w:highlight w:val="none"/>
          <w:vertAlign w:val="subscript"/>
        </w:rPr>
        <w:t>1</w:t>
      </w:r>
      <w:r>
        <w:rPr>
          <w:rFonts w:hint="eastAsia" w:ascii="宋体" w:hAnsi="宋体" w:eastAsia="宋体" w:cs="宋体"/>
          <w:bCs/>
          <w:snapToGrid w:val="0"/>
          <w:color w:val="auto"/>
          <w:kern w:val="0"/>
          <w:szCs w:val="28"/>
          <w:highlight w:val="none"/>
        </w:rPr>
        <w:t>为中标单价；F</w:t>
      </w:r>
      <w:r>
        <w:rPr>
          <w:rFonts w:hint="eastAsia" w:ascii="宋体" w:hAnsi="宋体" w:eastAsia="宋体" w:cs="宋体"/>
          <w:bCs/>
          <w:snapToGrid w:val="0"/>
          <w:color w:val="auto"/>
          <w:kern w:val="0"/>
          <w:szCs w:val="28"/>
          <w:highlight w:val="none"/>
          <w:vertAlign w:val="subscript"/>
        </w:rPr>
        <w:t>0</w:t>
      </w:r>
      <w:r>
        <w:rPr>
          <w:rFonts w:hint="eastAsia" w:ascii="宋体" w:hAnsi="宋体" w:eastAsia="宋体" w:cs="宋体"/>
          <w:bCs/>
          <w:snapToGrid w:val="0"/>
          <w:color w:val="auto"/>
          <w:kern w:val="0"/>
          <w:szCs w:val="28"/>
          <w:highlight w:val="none"/>
        </w:rPr>
        <w:t>为基准单价；F</w:t>
      </w:r>
      <w:r>
        <w:rPr>
          <w:rFonts w:hint="eastAsia" w:ascii="宋体" w:hAnsi="宋体" w:eastAsia="宋体" w:cs="宋体"/>
          <w:bCs/>
          <w:snapToGrid w:val="0"/>
          <w:color w:val="auto"/>
          <w:kern w:val="0"/>
          <w:szCs w:val="28"/>
          <w:highlight w:val="none"/>
          <w:vertAlign w:val="subscript"/>
        </w:rPr>
        <w:t>2</w:t>
      </w:r>
      <w:r>
        <w:rPr>
          <w:rFonts w:hint="eastAsia" w:ascii="宋体" w:hAnsi="宋体" w:eastAsia="宋体" w:cs="宋体"/>
          <w:bCs/>
          <w:snapToGrid w:val="0"/>
          <w:color w:val="auto"/>
          <w:kern w:val="0"/>
          <w:szCs w:val="28"/>
          <w:highlight w:val="none"/>
        </w:rPr>
        <w:t>为施工当月项目所在地工程造价管理机构发布的施工机具台班单价；B为合同约定的施工机具台班单价涨跌风险幅度值。</w:t>
      </w:r>
    </w:p>
    <w:p w14:paraId="3D37E4A1">
      <w:pPr>
        <w:wordWrap w:val="0"/>
        <w:adjustRightInd w:val="0"/>
        <w:snapToGrid w:val="0"/>
        <w:spacing w:line="440" w:lineRule="exact"/>
        <w:ind w:firstLine="482" w:firstLineChars="200"/>
        <w:rPr>
          <w:rFonts w:hint="eastAsia" w:ascii="宋体" w:hAnsi="宋体" w:eastAsia="宋体" w:cs="宋体"/>
          <w:bCs/>
          <w:snapToGrid w:val="0"/>
          <w:color w:val="auto"/>
          <w:kern w:val="0"/>
          <w:szCs w:val="28"/>
          <w:highlight w:val="none"/>
        </w:rPr>
      </w:pPr>
      <w:r>
        <w:rPr>
          <w:rFonts w:hint="eastAsia" w:ascii="宋体" w:hAnsi="宋体" w:eastAsia="宋体" w:cs="宋体"/>
          <w:b/>
          <w:snapToGrid w:val="0"/>
          <w:color w:val="auto"/>
          <w:kern w:val="0"/>
          <w:szCs w:val="28"/>
          <w:highlight w:val="none"/>
        </w:rPr>
        <w:t>2.3.7</w:t>
      </w:r>
      <w:r>
        <w:rPr>
          <w:rFonts w:hint="eastAsia" w:ascii="宋体" w:hAnsi="宋体" w:eastAsia="宋体" w:cs="宋体"/>
          <w:bCs/>
          <w:snapToGrid w:val="0"/>
          <w:color w:val="auto"/>
          <w:kern w:val="0"/>
          <w:szCs w:val="28"/>
          <w:highlight w:val="none"/>
        </w:rPr>
        <w:t xml:space="preserve"> 暂估价和暂列金额</w:t>
      </w:r>
    </w:p>
    <w:p w14:paraId="1E367EB2">
      <w:pPr>
        <w:wordWrap w:val="0"/>
        <w:adjustRightInd w:val="0"/>
        <w:snapToGrid w:val="0"/>
        <w:spacing w:line="440" w:lineRule="exact"/>
        <w:ind w:firstLine="482" w:firstLineChars="200"/>
        <w:rPr>
          <w:rFonts w:hint="eastAsia" w:ascii="宋体" w:hAnsi="宋体" w:eastAsia="宋体" w:cs="宋体"/>
          <w:bCs/>
          <w:snapToGrid w:val="0"/>
          <w:color w:val="auto"/>
          <w:kern w:val="0"/>
          <w:szCs w:val="28"/>
          <w:highlight w:val="none"/>
        </w:rPr>
      </w:pPr>
      <w:r>
        <w:rPr>
          <w:rFonts w:hint="eastAsia" w:ascii="宋体" w:hAnsi="宋体" w:eastAsia="宋体" w:cs="宋体"/>
          <w:b/>
          <w:snapToGrid w:val="0"/>
          <w:color w:val="auto"/>
          <w:kern w:val="0"/>
          <w:szCs w:val="28"/>
          <w:highlight w:val="none"/>
        </w:rPr>
        <w:t>2.3.7.1</w:t>
      </w:r>
      <w:r>
        <w:rPr>
          <w:rFonts w:hint="eastAsia" w:ascii="宋体" w:hAnsi="宋体" w:eastAsia="宋体" w:cs="宋体"/>
          <w:bCs/>
          <w:snapToGrid w:val="0"/>
          <w:color w:val="auto"/>
          <w:kern w:val="0"/>
          <w:szCs w:val="28"/>
          <w:highlight w:val="none"/>
        </w:rPr>
        <w:t xml:space="preserve"> 暂估价项目按第一章第三节“投标人须知正文”第</w:t>
      </w:r>
      <w:r>
        <w:rPr>
          <w:rFonts w:hint="eastAsia" w:ascii="宋体" w:hAnsi="宋体" w:eastAsia="宋体" w:cs="宋体"/>
          <w:b/>
          <w:bCs/>
          <w:snapToGrid w:val="0"/>
          <w:color w:val="auto"/>
          <w:kern w:val="0"/>
          <w:highlight w:val="none"/>
        </w:rPr>
        <w:t>8.5</w:t>
      </w:r>
      <w:r>
        <w:rPr>
          <w:rFonts w:hint="eastAsia" w:ascii="宋体" w:hAnsi="宋体" w:eastAsia="宋体" w:cs="宋体"/>
          <w:bCs/>
          <w:snapToGrid w:val="0"/>
          <w:color w:val="auto"/>
          <w:kern w:val="0"/>
          <w:szCs w:val="28"/>
          <w:highlight w:val="none"/>
        </w:rPr>
        <w:t>条的规定确定专业工程承包人（或材料供应商、工程设备供应商）后，将专业工程合同价款（或材料单价、工程设备单价）取代相应暂估价，并调整合同价款。</w:t>
      </w:r>
    </w:p>
    <w:p w14:paraId="48D92A89">
      <w:pPr>
        <w:wordWrap w:val="0"/>
        <w:adjustRightInd w:val="0"/>
        <w:snapToGrid w:val="0"/>
        <w:spacing w:line="440" w:lineRule="exact"/>
        <w:ind w:firstLine="482" w:firstLineChars="200"/>
        <w:rPr>
          <w:rFonts w:hint="eastAsia" w:ascii="宋体" w:hAnsi="宋体" w:eastAsia="宋体" w:cs="宋体"/>
          <w:bCs/>
          <w:snapToGrid w:val="0"/>
          <w:color w:val="auto"/>
          <w:kern w:val="0"/>
          <w:szCs w:val="28"/>
          <w:highlight w:val="none"/>
        </w:rPr>
      </w:pPr>
      <w:r>
        <w:rPr>
          <w:rFonts w:hint="eastAsia" w:ascii="宋体" w:hAnsi="宋体" w:eastAsia="宋体" w:cs="宋体"/>
          <w:b/>
          <w:snapToGrid w:val="0"/>
          <w:color w:val="auto"/>
          <w:kern w:val="0"/>
          <w:szCs w:val="28"/>
          <w:highlight w:val="none"/>
        </w:rPr>
        <w:t>2.3.7.2</w:t>
      </w:r>
      <w:r>
        <w:rPr>
          <w:rFonts w:hint="eastAsia" w:ascii="宋体" w:hAnsi="宋体" w:eastAsia="宋体" w:cs="宋体"/>
          <w:bCs/>
          <w:snapToGrid w:val="0"/>
          <w:color w:val="auto"/>
          <w:kern w:val="0"/>
          <w:szCs w:val="28"/>
          <w:highlight w:val="none"/>
        </w:rPr>
        <w:t xml:space="preserve"> 暂列金额由发包人掌握和使用。暂列金额项目若有发生，按第一章第三节“投标人须知正文”第</w:t>
      </w:r>
      <w:r>
        <w:rPr>
          <w:rFonts w:hint="eastAsia" w:ascii="宋体" w:hAnsi="宋体" w:eastAsia="宋体" w:cs="宋体"/>
          <w:b/>
          <w:snapToGrid w:val="0"/>
          <w:color w:val="auto"/>
          <w:kern w:val="0"/>
          <w:szCs w:val="28"/>
          <w:highlight w:val="none"/>
        </w:rPr>
        <w:t>8.6</w:t>
      </w:r>
      <w:r>
        <w:rPr>
          <w:rFonts w:hint="eastAsia" w:ascii="宋体" w:hAnsi="宋体" w:eastAsia="宋体" w:cs="宋体"/>
          <w:bCs/>
          <w:snapToGrid w:val="0"/>
          <w:color w:val="auto"/>
          <w:kern w:val="0"/>
          <w:szCs w:val="28"/>
          <w:highlight w:val="none"/>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w:t>
      </w:r>
    </w:p>
    <w:p w14:paraId="16AA41AC">
      <w:pPr>
        <w:wordWrap w:val="0"/>
        <w:adjustRightInd w:val="0"/>
        <w:snapToGrid w:val="0"/>
        <w:spacing w:line="440" w:lineRule="exact"/>
        <w:ind w:firstLine="482" w:firstLineChars="200"/>
        <w:rPr>
          <w:rFonts w:hint="eastAsia" w:ascii="宋体" w:hAnsi="宋体" w:eastAsia="宋体" w:cs="宋体"/>
          <w:bCs/>
          <w:snapToGrid w:val="0"/>
          <w:color w:val="auto"/>
          <w:kern w:val="0"/>
          <w:szCs w:val="28"/>
          <w:highlight w:val="none"/>
        </w:rPr>
      </w:pPr>
      <w:r>
        <w:rPr>
          <w:rFonts w:hint="eastAsia" w:ascii="宋体" w:hAnsi="宋体" w:eastAsia="宋体" w:cs="宋体"/>
          <w:b/>
          <w:snapToGrid w:val="0"/>
          <w:color w:val="auto"/>
          <w:kern w:val="0"/>
          <w:szCs w:val="28"/>
          <w:highlight w:val="none"/>
        </w:rPr>
        <w:t>2.3.8</w:t>
      </w:r>
      <w:r>
        <w:rPr>
          <w:rFonts w:hint="eastAsia" w:ascii="宋体" w:hAnsi="宋体" w:eastAsia="宋体" w:cs="宋体"/>
          <w:bCs/>
          <w:snapToGrid w:val="0"/>
          <w:color w:val="auto"/>
          <w:kern w:val="0"/>
          <w:szCs w:val="28"/>
          <w:highlight w:val="none"/>
        </w:rPr>
        <w:t xml:space="preserve"> 预算包干费按照广东省建设工程计价依据（2018)有关规定执行。本招标项目的预算包干内容包括：</w:t>
      </w:r>
      <w:r>
        <w:rPr>
          <w:rFonts w:hint="eastAsia" w:ascii="宋体" w:hAnsi="宋体" w:eastAsia="宋体" w:cs="宋体"/>
          <w:bCs/>
          <w:snapToGrid w:val="0"/>
          <w:color w:val="auto"/>
          <w:kern w:val="0"/>
          <w:szCs w:val="28"/>
          <w:highlight w:val="none"/>
          <w:u w:val="single"/>
        </w:rPr>
        <w:t xml:space="preserve">施工雨水污水的排除；因地形（场地）影响造成的场内料具二次运输；工程用水加压措施；施工场地材料场地的整理；工程成品的保护；施工中的临时停水停电；基础埋深2米以内挖土方的塌方；日间照明施工增加费；完工后的场地清理等  </w:t>
      </w:r>
      <w:r>
        <w:rPr>
          <w:rFonts w:hint="eastAsia" w:ascii="宋体" w:hAnsi="宋体" w:eastAsia="宋体" w:cs="宋体"/>
          <w:bCs/>
          <w:snapToGrid w:val="0"/>
          <w:color w:val="auto"/>
          <w:kern w:val="0"/>
          <w:szCs w:val="28"/>
          <w:highlight w:val="none"/>
        </w:rPr>
        <w:t>。对于以上预算包干内容，承包人不得提出额外付款或延长工期等要求。</w:t>
      </w:r>
      <w:r>
        <w:rPr>
          <w:rFonts w:hint="eastAsia" w:ascii="宋体" w:hAnsi="宋体" w:eastAsia="宋体" w:cs="宋体"/>
          <w:snapToGrid w:val="0"/>
          <w:color w:val="auto"/>
          <w:kern w:val="0"/>
          <w:szCs w:val="24"/>
          <w:highlight w:val="none"/>
        </w:rPr>
        <w:t>对此类要求，发包人不作任何考虑及答复</w:t>
      </w:r>
      <w:r>
        <w:rPr>
          <w:rFonts w:hint="eastAsia" w:ascii="宋体" w:hAnsi="宋体" w:eastAsia="宋体" w:cs="宋体"/>
          <w:bCs/>
          <w:snapToGrid w:val="0"/>
          <w:color w:val="auto"/>
          <w:kern w:val="0"/>
          <w:szCs w:val="28"/>
          <w:highlight w:val="none"/>
        </w:rPr>
        <w:t>。</w:t>
      </w:r>
    </w:p>
    <w:p w14:paraId="1E79C503">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snapToGrid w:val="0"/>
          <w:color w:val="auto"/>
          <w:kern w:val="0"/>
          <w:szCs w:val="28"/>
          <w:highlight w:val="none"/>
        </w:rPr>
        <w:t>2.3.9</w:t>
      </w:r>
      <w:r>
        <w:rPr>
          <w:rFonts w:hint="eastAsia" w:ascii="宋体" w:hAnsi="宋体" w:eastAsia="宋体" w:cs="宋体"/>
          <w:bCs/>
          <w:snapToGrid w:val="0"/>
          <w:color w:val="auto"/>
          <w:kern w:val="0"/>
          <w:szCs w:val="28"/>
          <w:highlight w:val="none"/>
        </w:rPr>
        <w:t xml:space="preserve"> 其余事项（如不可抗力、索赔、现场签证等）的调整原则按照</w:t>
      </w:r>
      <w:r>
        <w:rPr>
          <w:rFonts w:hint="eastAsia" w:ascii="宋体" w:hAnsi="宋体" w:eastAsia="宋体" w:cs="宋体"/>
          <w:snapToGrid w:val="0"/>
          <w:color w:val="auto"/>
          <w:kern w:val="0"/>
          <w:sz w:val="24"/>
          <w:szCs w:val="24"/>
          <w:highlight w:val="none"/>
          <w:lang w:val="en-US" w:eastAsia="zh-CN"/>
        </w:rPr>
        <w:t>《建设工程工程量清单计价标准》(GB/T50500-2024)</w:t>
      </w:r>
      <w:r>
        <w:rPr>
          <w:rFonts w:hint="eastAsia" w:ascii="宋体" w:hAnsi="宋体" w:eastAsia="宋体" w:cs="宋体"/>
          <w:bCs/>
          <w:snapToGrid w:val="0"/>
          <w:color w:val="auto"/>
          <w:kern w:val="0"/>
          <w:szCs w:val="28"/>
          <w:highlight w:val="none"/>
        </w:rPr>
        <w:t xml:space="preserve">有关规定执行。 </w:t>
      </w:r>
    </w:p>
    <w:p w14:paraId="7E0477F6">
      <w:pPr>
        <w:wordWrap w:val="0"/>
        <w:adjustRightInd w:val="0"/>
        <w:snapToGrid w:val="0"/>
        <w:spacing w:line="440" w:lineRule="exact"/>
        <w:ind w:firstLine="560"/>
        <w:rPr>
          <w:rFonts w:hint="eastAsia" w:ascii="宋体" w:hAnsi="宋体" w:eastAsia="宋体" w:cs="宋体"/>
          <w:b/>
          <w:snapToGrid w:val="0"/>
          <w:color w:val="auto"/>
          <w:kern w:val="0"/>
          <w:szCs w:val="28"/>
          <w:highlight w:val="none"/>
        </w:rPr>
      </w:pPr>
      <w:r>
        <w:rPr>
          <w:rFonts w:hint="eastAsia" w:ascii="宋体" w:hAnsi="宋体" w:eastAsia="宋体" w:cs="宋体"/>
          <w:b/>
          <w:bCs/>
          <w:snapToGrid w:val="0"/>
          <w:color w:val="auto"/>
          <w:kern w:val="0"/>
          <w:szCs w:val="24"/>
          <w:highlight w:val="none"/>
        </w:rPr>
        <w:t>2.4</w:t>
      </w:r>
      <w:r>
        <w:rPr>
          <w:rFonts w:hint="eastAsia" w:ascii="宋体" w:hAnsi="宋体" w:eastAsia="宋体" w:cs="宋体"/>
          <w:snapToGrid w:val="0"/>
          <w:color w:val="auto"/>
          <w:kern w:val="0"/>
          <w:szCs w:val="24"/>
          <w:highlight w:val="none"/>
        </w:rPr>
        <w:t xml:space="preserve"> 凡将引起合同价款调增的事项，承包人必须于拟实施14天前，将详细的报价书（含拟实施项目名称、变更部位、理由、预计造价等）报监理单位审核和发包人批准后方可实施。</w:t>
      </w:r>
      <w:bookmarkStart w:id="199" w:name="_Hlt112206782"/>
      <w:bookmarkEnd w:id="199"/>
    </w:p>
    <w:p w14:paraId="75A31870">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2.5</w:t>
      </w: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highlight w:val="none"/>
        </w:rPr>
        <w:t>承包</w:t>
      </w:r>
      <w:r>
        <w:rPr>
          <w:rFonts w:hint="eastAsia" w:ascii="宋体" w:hAnsi="宋体" w:eastAsia="宋体" w:cs="宋体"/>
          <w:snapToGrid w:val="0"/>
          <w:color w:val="auto"/>
          <w:kern w:val="0"/>
          <w:szCs w:val="24"/>
          <w:highlight w:val="none"/>
        </w:rPr>
        <w:t>人不得以不完全了解现场情况为理由，提出额外付款或延长工期等要求。对此类要求，发包人不作任何考虑及答复。</w:t>
      </w:r>
    </w:p>
    <w:p w14:paraId="58708FC4">
      <w:pPr>
        <w:wordWrap w:val="0"/>
        <w:adjustRightInd w:val="0"/>
        <w:snapToGrid w:val="0"/>
        <w:spacing w:line="440" w:lineRule="exact"/>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2.6</w:t>
      </w: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highlight w:val="none"/>
        </w:rPr>
        <w:t>承包</w:t>
      </w:r>
      <w:r>
        <w:rPr>
          <w:rFonts w:hint="eastAsia" w:ascii="宋体" w:hAnsi="宋体" w:eastAsia="宋体" w:cs="宋体"/>
          <w:snapToGrid w:val="0"/>
          <w:color w:val="auto"/>
          <w:kern w:val="0"/>
          <w:szCs w:val="24"/>
          <w:highlight w:val="none"/>
        </w:rPr>
        <w:t>人已标价工程量清单中漏报、错报或少报的清单项目，其价格均视为已经包含在其它清单项目中，竣工结算时不得重新组价和调整。</w:t>
      </w:r>
    </w:p>
    <w:p w14:paraId="01F2C212">
      <w:pPr>
        <w:wordWrap w:val="0"/>
        <w:adjustRightInd w:val="0"/>
        <w:snapToGrid w:val="0"/>
        <w:spacing w:line="440" w:lineRule="exact"/>
        <w:ind w:firstLine="48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2.7</w:t>
      </w:r>
      <w:r>
        <w:rPr>
          <w:rFonts w:hint="eastAsia" w:ascii="宋体" w:hAnsi="宋体" w:eastAsia="宋体" w:cs="宋体"/>
          <w:snapToGrid w:val="0"/>
          <w:color w:val="auto"/>
          <w:kern w:val="0"/>
          <w:szCs w:val="24"/>
          <w:highlight w:val="none"/>
        </w:rPr>
        <w:t xml:space="preserve"> 项目完工后，发、承包双方和受其委托具备相应资质的工程造价咨询单位必须按照</w:t>
      </w:r>
      <w:r>
        <w:rPr>
          <w:rFonts w:hint="eastAsia" w:ascii="宋体" w:hAnsi="宋体" w:eastAsia="宋体" w:cs="宋体"/>
          <w:snapToGrid w:val="0"/>
          <w:color w:val="auto"/>
          <w:kern w:val="0"/>
          <w:sz w:val="24"/>
          <w:szCs w:val="24"/>
          <w:highlight w:val="none"/>
          <w:lang w:val="en-US" w:eastAsia="zh-CN"/>
        </w:rPr>
        <w:t>《建设工程工程量清单计价标准》(GB/T50500-2024)</w:t>
      </w:r>
      <w:r>
        <w:rPr>
          <w:rFonts w:hint="eastAsia" w:ascii="宋体" w:hAnsi="宋体" w:eastAsia="宋体" w:cs="宋体"/>
          <w:snapToGrid w:val="0"/>
          <w:color w:val="auto"/>
          <w:kern w:val="0"/>
          <w:szCs w:val="24"/>
          <w:highlight w:val="none"/>
        </w:rPr>
        <w:t>和国家、省、市的有关规定办理竣工结算。</w:t>
      </w:r>
    </w:p>
    <w:p w14:paraId="03089C1B">
      <w:pPr>
        <w:wordWrap w:val="0"/>
        <w:adjustRightInd w:val="0"/>
        <w:snapToGrid w:val="0"/>
        <w:spacing w:line="360" w:lineRule="auto"/>
        <w:ind w:firstLine="56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2.8</w:t>
      </w:r>
      <w:r>
        <w:rPr>
          <w:rFonts w:hint="eastAsia" w:ascii="宋体" w:hAnsi="宋体" w:eastAsia="宋体" w:cs="宋体"/>
          <w:snapToGrid w:val="0"/>
          <w:color w:val="auto"/>
          <w:kern w:val="0"/>
          <w:szCs w:val="24"/>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7D68B70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rPr>
      </w:pPr>
      <w:r>
        <w:rPr>
          <w:rFonts w:hint="eastAsia" w:ascii="宋体" w:hAnsi="宋体" w:eastAsia="宋体" w:cs="宋体"/>
          <w:b/>
          <w:bCs/>
          <w:color w:val="auto"/>
          <w:lang w:val="en-US" w:eastAsia="zh-CN"/>
        </w:rPr>
        <w:t>2.9</w:t>
      </w:r>
      <w:r>
        <w:rPr>
          <w:rFonts w:hint="eastAsia" w:ascii="宋体" w:hAnsi="宋体" w:eastAsia="宋体" w:cs="宋体"/>
          <w:color w:val="auto"/>
          <w:lang w:val="en-US" w:eastAsia="zh-CN"/>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的，则采用厂商报价或市场询价等方式取得有合法依据的市场价格，报发包人确认。</w:t>
      </w:r>
    </w:p>
    <w:p w14:paraId="5ED901E0">
      <w:pPr>
        <w:wordWrap w:val="0"/>
        <w:adjustRightInd w:val="0"/>
        <w:snapToGrid w:val="0"/>
        <w:spacing w:line="440" w:lineRule="exact"/>
        <w:ind w:firstLine="560"/>
        <w:rPr>
          <w:rFonts w:hint="eastAsia" w:ascii="宋体" w:hAnsi="宋体" w:eastAsia="宋体" w:cs="宋体"/>
          <w:snapToGrid w:val="0"/>
          <w:color w:val="auto"/>
          <w:kern w:val="0"/>
          <w:szCs w:val="24"/>
          <w:highlight w:val="none"/>
        </w:rPr>
      </w:pPr>
    </w:p>
    <w:bookmarkEnd w:id="195"/>
    <w:bookmarkEnd w:id="196"/>
    <w:bookmarkEnd w:id="197"/>
    <w:bookmarkEnd w:id="198"/>
    <w:p w14:paraId="66B4B0E0">
      <w:pPr>
        <w:pStyle w:val="5"/>
        <w:bidi w:val="0"/>
        <w:spacing w:line="360" w:lineRule="auto"/>
        <w:ind w:firstLine="964"/>
        <w:rPr>
          <w:rFonts w:hint="eastAsia" w:ascii="宋体" w:hAnsi="宋体" w:eastAsia="宋体" w:cs="宋体"/>
          <w:color w:val="auto"/>
        </w:rPr>
      </w:pPr>
      <w:bookmarkStart w:id="200" w:name="_Toc14683"/>
      <w:bookmarkStart w:id="201" w:name="_Toc108200417"/>
      <w:bookmarkStart w:id="202" w:name="_Toc26653"/>
      <w:r>
        <w:rPr>
          <w:rFonts w:hint="eastAsia" w:ascii="宋体" w:hAnsi="宋体" w:eastAsia="宋体" w:cs="宋体"/>
          <w:color w:val="auto"/>
        </w:rPr>
        <w:t>3. 工程付款办法</w:t>
      </w:r>
      <w:bookmarkEnd w:id="200"/>
      <w:bookmarkEnd w:id="201"/>
      <w:bookmarkEnd w:id="202"/>
    </w:p>
    <w:p w14:paraId="581C50CE">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3.1</w:t>
      </w:r>
      <w:r>
        <w:rPr>
          <w:rFonts w:hint="eastAsia" w:ascii="宋体" w:hAnsi="宋体" w:eastAsia="宋体" w:cs="宋体"/>
          <w:snapToGrid w:val="0"/>
          <w:color w:val="auto"/>
          <w:kern w:val="0"/>
          <w:highlight w:val="none"/>
        </w:rPr>
        <w:t xml:space="preserve"> 本招标项目</w:t>
      </w:r>
      <w:r>
        <w:rPr>
          <w:rFonts w:hint="eastAsia" w:ascii="宋体" w:hAnsi="宋体" w:eastAsia="宋体" w:cs="宋体"/>
          <w:snapToGrid w:val="0"/>
          <w:color w:val="auto"/>
          <w:kern w:val="0"/>
          <w:highlight w:val="none"/>
          <w:u w:val="single"/>
        </w:rPr>
        <w:t xml:space="preserve"> 支付 </w:t>
      </w:r>
      <w:r>
        <w:rPr>
          <w:rFonts w:hint="eastAsia" w:ascii="宋体" w:hAnsi="宋体" w:eastAsia="宋体" w:cs="宋体"/>
          <w:snapToGrid w:val="0"/>
          <w:color w:val="auto"/>
          <w:kern w:val="0"/>
          <w:highlight w:val="none"/>
        </w:rPr>
        <w:t>施工预付款。</w:t>
      </w:r>
    </w:p>
    <w:p w14:paraId="292EAE33">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3.2</w:t>
      </w:r>
      <w:r>
        <w:rPr>
          <w:rFonts w:hint="eastAsia" w:ascii="宋体" w:hAnsi="宋体" w:eastAsia="宋体" w:cs="宋体"/>
          <w:snapToGrid w:val="0"/>
          <w:color w:val="auto"/>
          <w:kern w:val="0"/>
          <w:highlight w:val="none"/>
        </w:rPr>
        <w:t xml:space="preserve"> 施工预付款必须专用于合同工程，并按以下原则支付和抵扣：</w:t>
      </w:r>
    </w:p>
    <w:p w14:paraId="2082EDA8">
      <w:pPr>
        <w:wordWrap w:val="0"/>
        <w:adjustRightInd w:val="0"/>
        <w:snapToGrid w:val="0"/>
        <w:spacing w:line="360" w:lineRule="auto"/>
        <w:ind w:firstLine="482" w:firstLineChars="200"/>
        <w:rPr>
          <w:rFonts w:hint="eastAsia" w:ascii="宋体" w:hAnsi="宋体" w:eastAsia="宋体" w:cs="宋体"/>
          <w:i/>
          <w:iCs/>
          <w:snapToGrid w:val="0"/>
          <w:color w:val="auto"/>
          <w:kern w:val="0"/>
          <w:highlight w:val="none"/>
        </w:rPr>
      </w:pPr>
      <w:r>
        <w:rPr>
          <w:rFonts w:hint="eastAsia" w:ascii="宋体" w:hAnsi="宋体" w:eastAsia="宋体" w:cs="宋体"/>
          <w:b/>
          <w:bCs/>
          <w:snapToGrid w:val="0"/>
          <w:color w:val="auto"/>
          <w:kern w:val="0"/>
          <w:szCs w:val="24"/>
          <w:highlight w:val="none"/>
        </w:rPr>
        <w:t>3.2.1</w:t>
      </w:r>
      <w:r>
        <w:rPr>
          <w:rFonts w:hint="eastAsia" w:ascii="宋体" w:hAnsi="宋体" w:eastAsia="宋体" w:cs="宋体"/>
          <w:snapToGrid w:val="0"/>
          <w:color w:val="auto"/>
          <w:kern w:val="0"/>
          <w:highlight w:val="none"/>
        </w:rPr>
        <w:t xml:space="preserve"> 施工预付款支付比例为：按施工合同价（暂列金额除外）的</w:t>
      </w:r>
      <w:r>
        <w:rPr>
          <w:rFonts w:hint="eastAsia" w:ascii="宋体" w:hAnsi="宋体" w:eastAsia="宋体" w:cs="宋体"/>
          <w:snapToGrid w:val="0"/>
          <w:color w:val="auto"/>
          <w:kern w:val="0"/>
          <w:highlight w:val="none"/>
          <w:u w:val="single"/>
        </w:rPr>
        <w:t xml:space="preserve"> 30% </w:t>
      </w:r>
      <w:r>
        <w:rPr>
          <w:rFonts w:hint="eastAsia" w:ascii="宋体" w:hAnsi="宋体" w:eastAsia="宋体" w:cs="宋体"/>
          <w:snapToGrid w:val="0"/>
          <w:color w:val="auto"/>
          <w:kern w:val="0"/>
          <w:highlight w:val="none"/>
        </w:rPr>
        <w:t>支付。</w:t>
      </w:r>
    </w:p>
    <w:p w14:paraId="72BFA9C4">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3.2.2</w:t>
      </w:r>
      <w:r>
        <w:rPr>
          <w:rFonts w:hint="eastAsia" w:ascii="宋体" w:hAnsi="宋体" w:eastAsia="宋体" w:cs="宋体"/>
          <w:snapToGrid w:val="0"/>
          <w:color w:val="auto"/>
          <w:kern w:val="0"/>
          <w:highlight w:val="none"/>
        </w:rPr>
        <w:t xml:space="preserve"> 本招标项目</w:t>
      </w:r>
      <w:r>
        <w:rPr>
          <w:rFonts w:hint="eastAsia" w:ascii="宋体" w:hAnsi="宋体" w:eastAsia="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不</w:t>
      </w:r>
      <w:r>
        <w:rPr>
          <w:rFonts w:hint="eastAsia" w:ascii="宋体" w:hAnsi="宋体" w:eastAsia="宋体" w:cs="宋体"/>
          <w:snapToGrid w:val="0"/>
          <w:color w:val="auto"/>
          <w:kern w:val="0"/>
          <w:highlight w:val="none"/>
          <w:u w:val="single"/>
        </w:rPr>
        <w:t xml:space="preserve">要求 </w:t>
      </w:r>
      <w:r>
        <w:rPr>
          <w:rFonts w:hint="eastAsia" w:ascii="宋体" w:hAnsi="宋体" w:eastAsia="宋体" w:cs="宋体"/>
          <w:snapToGrid w:val="0"/>
          <w:color w:val="auto"/>
          <w:kern w:val="0"/>
          <w:highlight w:val="none"/>
        </w:rPr>
        <w:t>承包人提供与预付款等额的预付款保函。</w:t>
      </w:r>
    </w:p>
    <w:p w14:paraId="7072134D">
      <w:pPr>
        <w:wordWrap w:val="0"/>
        <w:adjustRightInd w:val="0"/>
        <w:snapToGrid w:val="0"/>
        <w:spacing w:line="360" w:lineRule="auto"/>
        <w:ind w:firstLine="482" w:firstLineChars="200"/>
        <w:rPr>
          <w:rFonts w:hint="eastAsia" w:ascii="宋体" w:hAnsi="宋体" w:eastAsia="宋体" w:cs="宋体"/>
          <w:snapToGrid w:val="0"/>
          <w:color w:val="auto"/>
          <w:kern w:val="0"/>
          <w:highlight w:val="none"/>
          <w:lang w:eastAsia="zh-CN"/>
        </w:rPr>
      </w:pPr>
      <w:r>
        <w:rPr>
          <w:rFonts w:hint="eastAsia" w:ascii="宋体" w:hAnsi="宋体" w:eastAsia="宋体" w:cs="宋体"/>
          <w:b/>
          <w:bCs/>
          <w:snapToGrid w:val="0"/>
          <w:color w:val="auto"/>
          <w:kern w:val="0"/>
          <w:szCs w:val="24"/>
          <w:highlight w:val="none"/>
        </w:rPr>
        <w:t>3.2.3</w:t>
      </w:r>
      <w:r>
        <w:rPr>
          <w:rFonts w:hint="eastAsia" w:ascii="宋体" w:hAnsi="宋体" w:eastAsia="宋体" w:cs="宋体"/>
          <w:snapToGrid w:val="0"/>
          <w:color w:val="auto"/>
          <w:kern w:val="0"/>
          <w:highlight w:val="none"/>
        </w:rPr>
        <w:t xml:space="preserve"> 承包人应在签订合同后，在具备施工条件的前提下，向发包人提交预付款支付申请。发包人应对在收到支付申请的7天内进行核实后向承包人发出预付款支付证书，并在签发支付证书后的7天内向承包人支付预付款。凡未签订合同或不具备施工条件的工程，发包人不得预付工程款。</w:t>
      </w:r>
    </w:p>
    <w:p w14:paraId="7BB13C86">
      <w:pPr>
        <w:wordWrap w:val="0"/>
        <w:adjustRightInd w:val="0"/>
        <w:snapToGrid w:val="0"/>
        <w:spacing w:line="360" w:lineRule="auto"/>
        <w:ind w:firstLine="482" w:firstLineChars="200"/>
        <w:rPr>
          <w:rFonts w:hint="eastAsia" w:ascii="宋体" w:hAnsi="宋体" w:eastAsia="宋体" w:cs="宋体"/>
          <w:snapToGrid w:val="0"/>
          <w:color w:val="auto"/>
          <w:kern w:val="0"/>
          <w:highlight w:val="none"/>
          <w:lang w:val="en-US" w:eastAsia="zh-CN"/>
        </w:rPr>
      </w:pPr>
      <w:r>
        <w:rPr>
          <w:rFonts w:hint="eastAsia" w:ascii="宋体" w:hAnsi="宋体" w:eastAsia="宋体" w:cs="宋体"/>
          <w:b/>
          <w:bCs/>
          <w:snapToGrid w:val="0"/>
          <w:color w:val="auto"/>
          <w:kern w:val="0"/>
          <w:szCs w:val="24"/>
          <w:highlight w:val="none"/>
        </w:rPr>
        <w:t>3.2.4</w:t>
      </w:r>
      <w:r>
        <w:rPr>
          <w:rFonts w:hint="eastAsia" w:ascii="宋体" w:hAnsi="宋体" w:eastAsia="宋体" w:cs="宋体"/>
          <w:snapToGrid w:val="0"/>
          <w:color w:val="auto"/>
          <w:kern w:val="0"/>
          <w:highlight w:val="none"/>
        </w:rPr>
        <w:t xml:space="preserve"> 预付款应从每支付期应支付给承包人的工程进度款中扣回，扣回比例为每月的工程进度款的30%，直到扣回的金额达到合同约定的预付款金额为止。如因建设工期短导致工程已完工而预付款尚未扣清的，尚未扣清的预付款余额在竣工初步验收合格后当期应支付的工程款项中一次性扣清。</w:t>
      </w:r>
    </w:p>
    <w:p w14:paraId="283B608C">
      <w:pPr>
        <w:wordWrap w:val="0"/>
        <w:adjustRightInd w:val="0"/>
        <w:snapToGrid w:val="0"/>
        <w:spacing w:line="360" w:lineRule="auto"/>
        <w:ind w:firstLine="482" w:firstLineChars="200"/>
        <w:rPr>
          <w:rFonts w:hint="eastAsia" w:ascii="宋体" w:hAnsi="宋体" w:eastAsia="宋体" w:cs="宋体"/>
          <w:snapToGrid w:val="0"/>
          <w:color w:val="auto"/>
          <w:kern w:val="0"/>
          <w:highlight w:val="yellow"/>
          <w:lang w:eastAsia="zh-CN"/>
        </w:rPr>
      </w:pPr>
      <w:r>
        <w:rPr>
          <w:rFonts w:hint="eastAsia" w:ascii="宋体" w:hAnsi="宋体" w:eastAsia="宋体" w:cs="宋体"/>
          <w:b/>
          <w:bCs/>
          <w:snapToGrid w:val="0"/>
          <w:color w:val="auto"/>
          <w:kern w:val="0"/>
          <w:szCs w:val="24"/>
          <w:highlight w:val="none"/>
        </w:rPr>
        <w:t>3.3</w:t>
      </w:r>
      <w:r>
        <w:rPr>
          <w:rFonts w:hint="eastAsia" w:ascii="宋体" w:hAnsi="宋体" w:eastAsia="宋体" w:cs="宋体"/>
          <w:snapToGrid w:val="0"/>
          <w:color w:val="auto"/>
          <w:kern w:val="0"/>
          <w:highlight w:val="none"/>
        </w:rPr>
        <w:t xml:space="preserve"> 施工过程中按月支付工程进度款：承包人每月按工程实际完成工程量（含变更及增加工程）申报，承包人必须将《已完成工程量报表》和《工程付款申请书》于当月26日前报监理单位核实。经监理单位审核、发包人审定后的工程进度款（指已经按照合同约定，扣除该支付期内因承包人违约而应扣除的管理费），于申报次月支付</w:t>
      </w:r>
      <w:r>
        <w:rPr>
          <w:rFonts w:hint="eastAsia" w:ascii="宋体" w:hAnsi="宋体" w:eastAsia="宋体" w:cs="宋体"/>
          <w:snapToGrid w:val="0"/>
          <w:color w:val="auto"/>
          <w:kern w:val="0"/>
          <w:highlight w:val="none"/>
          <w:lang w:eastAsia="zh-CN"/>
        </w:rPr>
        <w:t>。</w:t>
      </w:r>
    </w:p>
    <w:p w14:paraId="5A15ADBF">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3.4</w:t>
      </w:r>
      <w:r>
        <w:rPr>
          <w:rFonts w:hint="eastAsia" w:ascii="宋体" w:hAnsi="宋体" w:eastAsia="宋体" w:cs="宋体"/>
          <w:snapToGrid w:val="0"/>
          <w:color w:val="auto"/>
          <w:kern w:val="0"/>
          <w:highlight w:val="none"/>
        </w:rPr>
        <w:t xml:space="preserve"> 每月的工程进度款按工程实际完成工程量的80%支付，工程进度款中的作业工人工资款项由发包人单独足额拨付到承包人的工资专户。</w:t>
      </w:r>
    </w:p>
    <w:p w14:paraId="1F6CD569">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3.5</w:t>
      </w:r>
      <w:r>
        <w:rPr>
          <w:rFonts w:hint="eastAsia" w:ascii="宋体" w:hAnsi="宋体" w:eastAsia="宋体" w:cs="宋体"/>
          <w:snapToGrid w:val="0"/>
          <w:color w:val="auto"/>
          <w:kern w:val="0"/>
          <w:highlight w:val="none"/>
        </w:rPr>
        <w:t xml:space="preserve"> 措施项目费中的“</w:t>
      </w:r>
      <w:r>
        <w:rPr>
          <w:rFonts w:hint="eastAsia" w:ascii="宋体" w:hAnsi="宋体" w:eastAsia="宋体" w:cs="宋体"/>
          <w:snapToGrid w:val="0"/>
          <w:color w:val="auto"/>
          <w:kern w:val="0"/>
          <w:highlight w:val="none"/>
          <w:lang w:eastAsia="zh-CN"/>
        </w:rPr>
        <w:t>安全生产措施费</w:t>
      </w:r>
      <w:r>
        <w:rPr>
          <w:rFonts w:hint="eastAsia" w:ascii="宋体" w:hAnsi="宋体" w:eastAsia="宋体" w:cs="宋体"/>
          <w:snapToGrid w:val="0"/>
          <w:color w:val="auto"/>
          <w:kern w:val="0"/>
          <w:highlight w:val="none"/>
        </w:rPr>
        <w:t>”拨付按照《广东省建设工程计价依据（2018）》执行，按照项目所在地的建设行政主管部门有关规定支付。发生一般事故及以上等级重大安全事故的，发包人可扣除承包人金额相当于所有“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highlight w:val="none"/>
          <w:lang w:eastAsia="zh-CN"/>
        </w:rPr>
        <w:t>安全生产措施费</w:t>
      </w:r>
      <w:r>
        <w:rPr>
          <w:rFonts w:hint="eastAsia" w:ascii="宋体" w:hAnsi="宋体" w:eastAsia="宋体" w:cs="宋体"/>
          <w:snapToGrid w:val="0"/>
          <w:color w:val="auto"/>
          <w:kern w:val="0"/>
          <w:highlight w:val="none"/>
        </w:rPr>
        <w:t>”的工程管理费。</w:t>
      </w:r>
    </w:p>
    <w:p w14:paraId="4E5BC830">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rPr>
        <w:t>3.6</w:t>
      </w:r>
      <w:r>
        <w:rPr>
          <w:rFonts w:hint="eastAsia" w:ascii="宋体" w:hAnsi="宋体" w:eastAsia="宋体" w:cs="宋体"/>
          <w:snapToGrid w:val="0"/>
          <w:color w:val="auto"/>
          <w:kern w:val="0"/>
          <w:highlight w:val="none"/>
        </w:rPr>
        <w:t xml:space="preserve"> 变更工程造价必须经监理单位核实，并经发包人核定后方可支付。</w:t>
      </w:r>
    </w:p>
    <w:p w14:paraId="603B5F51">
      <w:pPr>
        <w:wordWrap w:val="0"/>
        <w:adjustRightInd w:val="0"/>
        <w:snapToGrid w:val="0"/>
        <w:spacing w:line="360" w:lineRule="auto"/>
        <w:ind w:firstLine="482" w:firstLineChars="200"/>
        <w:rPr>
          <w:rFonts w:hint="eastAsia" w:ascii="宋体" w:hAnsi="宋体" w:eastAsia="宋体" w:cs="宋体"/>
          <w:bCs/>
          <w:snapToGrid w:val="0"/>
          <w:color w:val="auto"/>
          <w:kern w:val="0"/>
          <w:highlight w:val="yellow"/>
          <w:lang w:eastAsia="zh-CN"/>
        </w:rPr>
      </w:pPr>
      <w:r>
        <w:rPr>
          <w:rFonts w:hint="eastAsia" w:ascii="宋体" w:hAnsi="宋体" w:eastAsia="宋体" w:cs="宋体"/>
          <w:b/>
          <w:bCs/>
          <w:snapToGrid w:val="0"/>
          <w:color w:val="auto"/>
          <w:kern w:val="0"/>
          <w:szCs w:val="24"/>
          <w:highlight w:val="none"/>
        </w:rPr>
        <w:t>3.7</w:t>
      </w:r>
      <w:r>
        <w:rPr>
          <w:rFonts w:hint="eastAsia" w:ascii="宋体" w:hAnsi="宋体" w:eastAsia="宋体" w:cs="宋体"/>
          <w:snapToGrid w:val="0"/>
          <w:color w:val="auto"/>
          <w:kern w:val="0"/>
          <w:highlight w:val="none"/>
        </w:rPr>
        <w:t xml:space="preserve"> 结算审核完成后，于次月支付至</w:t>
      </w:r>
      <w:r>
        <w:rPr>
          <w:rFonts w:hint="eastAsia" w:ascii="宋体" w:hAnsi="宋体" w:eastAsia="宋体" w:cs="宋体"/>
          <w:snapToGrid w:val="0"/>
          <w:color w:val="auto"/>
          <w:kern w:val="0"/>
          <w:highlight w:val="none"/>
          <w:lang w:val="en-US" w:eastAsia="zh-CN"/>
        </w:rPr>
        <w:t>结算</w:t>
      </w:r>
      <w:r>
        <w:rPr>
          <w:rFonts w:hint="eastAsia" w:ascii="宋体" w:hAnsi="宋体" w:eastAsia="宋体" w:cs="宋体"/>
          <w:snapToGrid w:val="0"/>
          <w:color w:val="auto"/>
          <w:kern w:val="0"/>
          <w:highlight w:val="none"/>
        </w:rPr>
        <w:t>价的97%，剩余3%转为质量保证金；承包人提交了等额</w:t>
      </w:r>
      <w:r>
        <w:rPr>
          <w:rFonts w:hint="eastAsia" w:ascii="宋体" w:hAnsi="宋体" w:eastAsia="宋体" w:cs="宋体"/>
          <w:bCs/>
          <w:snapToGrid w:val="0"/>
          <w:color w:val="auto"/>
          <w:kern w:val="0"/>
          <w:highlight w:val="none"/>
        </w:rPr>
        <w:t>质量保证担保或质量保证保险的，于次月一次性结清</w:t>
      </w:r>
      <w:r>
        <w:rPr>
          <w:rFonts w:hint="eastAsia" w:ascii="宋体" w:hAnsi="宋体" w:eastAsia="宋体" w:cs="宋体"/>
          <w:bCs/>
          <w:snapToGrid w:val="0"/>
          <w:color w:val="auto"/>
          <w:kern w:val="0"/>
          <w:highlight w:val="none"/>
          <w:lang w:val="en-US" w:eastAsia="zh-CN"/>
        </w:rPr>
        <w:t>结算</w:t>
      </w:r>
      <w:r>
        <w:rPr>
          <w:rFonts w:hint="eastAsia" w:ascii="宋体" w:hAnsi="宋体" w:eastAsia="宋体" w:cs="宋体"/>
          <w:bCs/>
          <w:snapToGrid w:val="0"/>
          <w:color w:val="auto"/>
          <w:kern w:val="0"/>
          <w:highlight w:val="none"/>
        </w:rPr>
        <w:t>价</w:t>
      </w:r>
      <w:r>
        <w:rPr>
          <w:rFonts w:hint="eastAsia" w:hAnsi="宋体" w:cs="宋体"/>
          <w:bCs/>
          <w:snapToGrid w:val="0"/>
          <w:color w:val="auto"/>
          <w:kern w:val="0"/>
          <w:highlight w:val="none"/>
          <w:lang w:eastAsia="zh-CN"/>
        </w:rPr>
        <w:t>。</w:t>
      </w:r>
    </w:p>
    <w:p w14:paraId="6DFD30D0">
      <w:pPr>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snapToGrid w:val="0"/>
          <w:color w:val="auto"/>
          <w:kern w:val="0"/>
          <w:highlight w:val="none"/>
        </w:rPr>
        <w:t>3.8</w:t>
      </w:r>
      <w:r>
        <w:rPr>
          <w:rFonts w:hint="eastAsia" w:ascii="宋体" w:hAnsi="宋体" w:eastAsia="宋体" w:cs="宋体"/>
          <w:bCs/>
          <w:snapToGrid w:val="0"/>
          <w:color w:val="auto"/>
          <w:kern w:val="0"/>
          <w:highlight w:val="none"/>
        </w:rPr>
        <w:t xml:space="preserve"> 本招标项目缺陷责任期为</w:t>
      </w:r>
      <w:r>
        <w:rPr>
          <w:rFonts w:hint="eastAsia" w:ascii="宋体" w:hAnsi="宋体" w:eastAsia="宋体" w:cs="宋体"/>
          <w:bCs/>
          <w:snapToGrid w:val="0"/>
          <w:color w:val="auto"/>
          <w:kern w:val="0"/>
          <w:highlight w:val="none"/>
          <w:u w:val="single"/>
        </w:rPr>
        <w:t xml:space="preserve"> </w:t>
      </w:r>
      <w:r>
        <w:rPr>
          <w:rFonts w:hint="eastAsia" w:ascii="宋体" w:hAnsi="宋体" w:eastAsia="宋体" w:cs="宋体"/>
          <w:bCs/>
          <w:snapToGrid w:val="0"/>
          <w:color w:val="auto"/>
          <w:kern w:val="0"/>
          <w:highlight w:val="none"/>
          <w:u w:val="single"/>
          <w:lang w:val="en-US" w:eastAsia="zh-CN"/>
        </w:rPr>
        <w:t>2</w:t>
      </w:r>
      <w:r>
        <w:rPr>
          <w:rFonts w:hint="eastAsia" w:ascii="宋体" w:hAnsi="宋体" w:eastAsia="宋体" w:cs="宋体"/>
          <w:bCs/>
          <w:snapToGrid w:val="0"/>
          <w:color w:val="auto"/>
          <w:kern w:val="0"/>
          <w:highlight w:val="none"/>
          <w:u w:val="single"/>
        </w:rPr>
        <w:t xml:space="preserve"> </w:t>
      </w:r>
      <w:r>
        <w:rPr>
          <w:rFonts w:hint="eastAsia" w:ascii="宋体" w:hAnsi="宋体" w:eastAsia="宋体" w:cs="宋体"/>
          <w:bCs/>
          <w:snapToGrid w:val="0"/>
          <w:color w:val="auto"/>
          <w:kern w:val="0"/>
          <w:highlight w:val="none"/>
        </w:rPr>
        <w:t>年（自通过竣工验收之日起计）。</w:t>
      </w:r>
      <w:r>
        <w:rPr>
          <w:rFonts w:hint="eastAsia" w:ascii="宋体" w:hAnsi="宋体" w:eastAsia="宋体" w:cs="宋体"/>
          <w:snapToGrid w:val="0"/>
          <w:color w:val="auto"/>
          <w:kern w:val="0"/>
          <w:highlight w:val="none"/>
        </w:rPr>
        <w:t>缺陷责任期到期后，承包人向发包人申请退还质量保证。发包人收到退还申请后，于14天内会同承包人进行核实。经双方核实且均无异议后，发包人在核实之日起</w:t>
      </w:r>
      <w:r>
        <w:rPr>
          <w:rFonts w:hint="eastAsia" w:ascii="宋体" w:hAnsi="宋体" w:eastAsia="宋体" w:cs="宋体"/>
          <w:snapToGrid w:val="0"/>
          <w:color w:val="auto"/>
          <w:kern w:val="0"/>
          <w:highlight w:val="none"/>
          <w:u w:val="single"/>
        </w:rPr>
        <w:t xml:space="preserve"> 14 </w:t>
      </w:r>
      <w:r>
        <w:rPr>
          <w:rFonts w:hint="eastAsia" w:ascii="宋体" w:hAnsi="宋体" w:eastAsia="宋体" w:cs="宋体"/>
          <w:snapToGrid w:val="0"/>
          <w:color w:val="auto"/>
          <w:kern w:val="0"/>
          <w:highlight w:val="none"/>
        </w:rPr>
        <w:t>天内将应返保证金（或银行保函）退还承包人。</w:t>
      </w:r>
    </w:p>
    <w:p w14:paraId="02B4D29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snapToGrid w:val="0"/>
          <w:color w:val="auto"/>
          <w:kern w:val="0"/>
          <w:highlight w:val="yellow"/>
        </w:rPr>
      </w:pPr>
      <w:r>
        <w:rPr>
          <w:rFonts w:hint="eastAsia" w:ascii="宋体" w:hAnsi="宋体" w:eastAsia="宋体" w:cs="宋体"/>
          <w:b/>
          <w:bCs/>
          <w:snapToGrid w:val="0"/>
          <w:color w:val="auto"/>
          <w:kern w:val="0"/>
          <w:szCs w:val="24"/>
          <w:highlight w:val="none"/>
        </w:rPr>
        <w:t>3.9</w:t>
      </w: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lang w:val="en-US" w:eastAsia="zh-CN"/>
        </w:rPr>
        <w:t>发包人每次支付工程款前，承包人均应提供有效的增值税专用发票。如果承包人无法提供符合要求的发票，由此造成的相应损失由承包人承担。</w:t>
      </w:r>
    </w:p>
    <w:p w14:paraId="2D082E56">
      <w:pPr>
        <w:wordWrap w:val="0"/>
        <w:adjustRightInd w:val="0"/>
        <w:snapToGrid w:val="0"/>
        <w:spacing w:line="360" w:lineRule="auto"/>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bCs/>
          <w:snapToGrid w:val="0"/>
          <w:color w:val="auto"/>
          <w:kern w:val="0"/>
          <w:szCs w:val="24"/>
          <w:highlight w:val="none"/>
        </w:rPr>
        <w:t>3.10</w:t>
      </w:r>
      <w:r>
        <w:rPr>
          <w:rFonts w:hint="eastAsia" w:ascii="宋体" w:hAnsi="宋体" w:eastAsia="宋体" w:cs="宋体"/>
          <w:snapToGrid w:val="0"/>
          <w:color w:val="auto"/>
          <w:kern w:val="0"/>
          <w:szCs w:val="24"/>
          <w:highlight w:val="none"/>
        </w:rPr>
        <w:t xml:space="preserve"> 暂列金额支付方式：</w:t>
      </w:r>
      <w:r>
        <w:rPr>
          <w:rFonts w:hint="eastAsia" w:ascii="宋体" w:hAnsi="宋体" w:eastAsia="宋体" w:cs="宋体"/>
          <w:color w:val="auto"/>
          <w:sz w:val="24"/>
          <w:szCs w:val="24"/>
          <w:highlight w:val="none"/>
          <w:u w:val="single"/>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暂停拨付。在暂列金额的范围内，最终经发包人确认后支付至该部分实际完成工程量的90％，其余部分待结算完成审核后支付至97%，剩余3%为工程质量保修金</w:t>
      </w:r>
      <w:r>
        <w:rPr>
          <w:rFonts w:hint="eastAsia" w:ascii="宋体" w:hAnsi="宋体" w:eastAsia="宋体" w:cs="宋体"/>
          <w:snapToGrid w:val="0"/>
          <w:color w:val="auto"/>
          <w:kern w:val="0"/>
          <w:szCs w:val="24"/>
          <w:highlight w:val="none"/>
          <w:u w:val="single"/>
        </w:rPr>
        <w:t>。</w:t>
      </w:r>
    </w:p>
    <w:p w14:paraId="2FBA866B">
      <w:pPr>
        <w:snapToGrid w:val="0"/>
        <w:spacing w:line="360" w:lineRule="auto"/>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snapToGrid w:val="0"/>
          <w:color w:val="auto"/>
          <w:kern w:val="0"/>
          <w:szCs w:val="24"/>
          <w:highlight w:val="none"/>
        </w:rPr>
        <w:t>3.11</w:t>
      </w:r>
      <w:r>
        <w:rPr>
          <w:rFonts w:hint="eastAsia" w:ascii="宋体" w:hAnsi="宋体" w:eastAsia="宋体" w:cs="宋体"/>
          <w:color w:val="auto"/>
          <w:sz w:val="24"/>
          <w:szCs w:val="24"/>
          <w:highlight w:val="none"/>
        </w:rPr>
        <w:t>材料暂估价、专业工程暂估价支付方式：</w:t>
      </w:r>
      <w:r>
        <w:rPr>
          <w:rFonts w:hint="eastAsia" w:ascii="宋体" w:hAnsi="宋体" w:eastAsia="宋体" w:cs="宋体"/>
          <w:color w:val="auto"/>
          <w:sz w:val="24"/>
          <w:szCs w:val="24"/>
          <w:highlight w:val="none"/>
          <w:u w:val="single"/>
        </w:rPr>
        <w:t xml:space="preserve"> 材料暂估价、专业工程暂估价与每个月的工程进度款一并报送，但需要列明详细项目内容，该部分材料暂估价、专业工程暂估价按该部分实际完成工程量的50%支付，剩余部分结算完成后支付至97%，剩余3%为工程质量保修金</w:t>
      </w:r>
      <w:r>
        <w:rPr>
          <w:rFonts w:hint="eastAsia" w:ascii="宋体" w:hAnsi="宋体" w:eastAsia="宋体" w:cs="宋体"/>
          <w:color w:val="auto"/>
          <w:sz w:val="24"/>
          <w:szCs w:val="24"/>
          <w:highlight w:val="none"/>
        </w:rPr>
        <w:t>。</w:t>
      </w:r>
    </w:p>
    <w:p w14:paraId="4A99466E">
      <w:pPr>
        <w:wordWrap w:val="0"/>
        <w:adjustRightInd w:val="0"/>
        <w:snapToGrid w:val="0"/>
        <w:spacing w:line="360" w:lineRule="auto"/>
        <w:ind w:firstLine="482" w:firstLineChars="200"/>
        <w:rPr>
          <w:rFonts w:hint="eastAsia" w:ascii="宋体" w:hAnsi="宋体" w:eastAsia="宋体" w:cs="宋体"/>
          <w:b/>
          <w:bCs/>
          <w:snapToGrid w:val="0"/>
          <w:color w:val="auto"/>
          <w:kern w:val="0"/>
          <w:szCs w:val="24"/>
          <w:highlight w:val="none"/>
        </w:rPr>
      </w:pPr>
    </w:p>
    <w:p w14:paraId="7ECAAEC7">
      <w:pPr>
        <w:wordWrap w:val="0"/>
        <w:adjustRightInd w:val="0"/>
        <w:snapToGrid w:val="0"/>
        <w:spacing w:line="360" w:lineRule="auto"/>
        <w:ind w:firstLine="482" w:firstLineChars="200"/>
        <w:rPr>
          <w:rFonts w:hint="eastAsia" w:ascii="宋体" w:hAnsi="宋体" w:eastAsia="宋体" w:cs="宋体"/>
          <w:snapToGrid w:val="0"/>
          <w:color w:val="auto"/>
          <w:kern w:val="0"/>
          <w:szCs w:val="24"/>
          <w:highlight w:val="none"/>
        </w:rPr>
      </w:pPr>
      <w:r>
        <w:rPr>
          <w:rFonts w:hint="eastAsia" w:ascii="宋体" w:hAnsi="宋体" w:eastAsia="宋体" w:cs="宋体"/>
          <w:b/>
          <w:color w:val="auto"/>
          <w:kern w:val="0"/>
          <w:sz w:val="24"/>
          <w:lang w:val="en-US" w:eastAsia="zh-CN" w:bidi="ar-SA"/>
        </w:rPr>
        <w:t>4．其他专用合同条款</w:t>
      </w:r>
      <w:r>
        <w:rPr>
          <w:rFonts w:hint="eastAsia" w:ascii="宋体" w:hAnsi="宋体" w:eastAsia="宋体" w:cs="宋体"/>
          <w:snapToGrid w:val="0"/>
          <w:color w:val="auto"/>
          <w:kern w:val="0"/>
          <w:szCs w:val="24"/>
          <w:highlight w:val="none"/>
        </w:rPr>
        <w:t>（由招标人根据本工程实际情况和地方政策与中标人自行协商签定相关专用合同条款。）</w:t>
      </w:r>
    </w:p>
    <w:bookmarkEnd w:id="170"/>
    <w:bookmarkEnd w:id="171"/>
    <w:p w14:paraId="73A29480">
      <w:pPr>
        <w:pStyle w:val="5"/>
        <w:bidi w:val="0"/>
        <w:spacing w:line="360" w:lineRule="auto"/>
        <w:ind w:firstLine="964"/>
        <w:rPr>
          <w:rFonts w:hint="eastAsia" w:ascii="宋体" w:hAnsi="宋体" w:eastAsia="宋体" w:cs="宋体"/>
          <w:color w:val="auto"/>
          <w:highlight w:val="none"/>
        </w:rPr>
      </w:pPr>
      <w:bookmarkStart w:id="203" w:name="_Toc9642"/>
      <w:bookmarkStart w:id="204" w:name="_Toc21669"/>
      <w:bookmarkStart w:id="205" w:name="_Hlt69698796"/>
      <w:r>
        <w:rPr>
          <w:rFonts w:hint="eastAsia" w:ascii="宋体" w:hAnsi="宋体" w:eastAsia="宋体" w:cs="宋体"/>
          <w:color w:val="auto"/>
          <w:highlight w:val="none"/>
          <w:lang w:val="en-US" w:eastAsia="zh-CN"/>
        </w:rPr>
        <w:t>4.1.</w:t>
      </w:r>
      <w:r>
        <w:rPr>
          <w:rFonts w:hint="eastAsia" w:ascii="宋体" w:hAnsi="宋体" w:eastAsia="宋体" w:cs="宋体"/>
          <w:color w:val="auto"/>
          <w:highlight w:val="none"/>
        </w:rPr>
        <w:t>专业工程分包</w:t>
      </w:r>
      <w:bookmarkEnd w:id="203"/>
    </w:p>
    <w:p w14:paraId="3CE814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snapToGrid w:val="0"/>
          <w:color w:val="auto"/>
          <w:kern w:val="0"/>
          <w:highlight w:val="none"/>
        </w:rPr>
        <w:t>合同范围内的工程未经发包人同意一律不得分包，一经发现，取消承包人的承包资格，由此引起的一切经济损失和法律责任由承包人自行承担。若有专业工程必须分包的，</w:t>
      </w:r>
      <w:r>
        <w:rPr>
          <w:rFonts w:hint="eastAsia" w:ascii="宋体" w:hAnsi="宋体" w:eastAsia="宋体" w:cs="宋体"/>
          <w:snapToGrid w:val="0"/>
          <w:color w:val="auto"/>
          <w:kern w:val="0"/>
          <w:highlight w:val="none"/>
          <w:lang w:val="en-US" w:eastAsia="zh-CN"/>
        </w:rPr>
        <w:t>中标人必须发包给具备相应资质的专业分包人，</w:t>
      </w:r>
      <w:r>
        <w:rPr>
          <w:rFonts w:hint="eastAsia" w:ascii="宋体" w:hAnsi="宋体" w:eastAsia="宋体" w:cs="宋体"/>
          <w:snapToGrid w:val="0"/>
          <w:color w:val="auto"/>
          <w:kern w:val="0"/>
          <w:highlight w:val="none"/>
        </w:rPr>
        <w:t>发包人不另行支付总包服务费；其分包合同由总包人与分包人双方签订，发包人不参与总包人与分包人之间的结算，该部分工程的造价仍按总包人与发包人签订的合同的有关条款进行结算。</w:t>
      </w:r>
    </w:p>
    <w:p w14:paraId="4D15650B">
      <w:pPr>
        <w:pStyle w:val="62"/>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06" w:name="_Toc4288"/>
      <w:bookmarkStart w:id="207" w:name="_Toc23958"/>
      <w:r>
        <w:rPr>
          <w:rFonts w:hint="eastAsia" w:ascii="宋体" w:hAnsi="宋体" w:eastAsia="宋体" w:cs="宋体"/>
          <w:b/>
          <w:bCs w:val="0"/>
          <w:snapToGrid w:val="0"/>
          <w:color w:val="auto"/>
          <w:kern w:val="0"/>
          <w:sz w:val="24"/>
          <w:szCs w:val="24"/>
          <w:highlight w:val="none"/>
        </w:rPr>
        <w:t>4.2．工人工资支付专用账户</w:t>
      </w:r>
      <w:bookmarkEnd w:id="206"/>
      <w:bookmarkEnd w:id="207"/>
    </w:p>
    <w:p w14:paraId="3EA720D2">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4.2.1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49301C50">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4.2.2依据人力资源社会保障部等十部门印发的《工程建设领域农民工工资专用账户管理暂行办法》（人社部发〔2021〕53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25EBE086">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号)及《韶关市工程建设领域农民工工资保证金管理实施细则》（韶法审〔2023〕19 号）规定执行。承包人在签订工程施工承包合同后一个月内必须办妥该事项，并将办妥回执交发包人。</w:t>
      </w:r>
    </w:p>
    <w:p w14:paraId="52A65D04">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w:t>
      </w:r>
    </w:p>
    <w:p w14:paraId="37CA8F42">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 xml:space="preserve">4.2.3承包人应在工资专户开立后 2 个工作日内，将开户银行及其账号、开户协议等资料提交给发包人。 </w:t>
      </w:r>
    </w:p>
    <w:p w14:paraId="643C7426">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 xml:space="preserve">（1）用人单位应当在建设项目动工前，在建设项目所在地银行设立工人工资支付专用账户。 </w:t>
      </w:r>
    </w:p>
    <w:p w14:paraId="4695E85C">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 xml:space="preserve">（2）用人单位应当在用工之日起 15 日内为每一位工人办理个人银行账户。 </w:t>
      </w:r>
    </w:p>
    <w:p w14:paraId="04FEC7F4">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 xml:space="preserve">（3）用人单位应当指定专人负责建设项目施工现场台账管理，真实、准确记录工人名册、劳务合同、劳动合同、工程进度、工时台账、劳务承包款和工人工资支付等信息，并保存两年以上备查。 </w:t>
      </w:r>
    </w:p>
    <w:p w14:paraId="67C27170">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用人单位应当按照“及时支付，按实结算”的原则，在规定日期前通过银行工人工资支付专用账户将工人工资直接支付到工人的个人银行账户，并按月将工人工资支付明细表报施工总承包单位和建设单位备案。用人单位未建立、保存用工管理台账，或者伪造相关台账的，按照《广东省劳动保障监察条例》第五十条的规定，由人力资源社会保障部门责令改正，并可处以二千元以上二万元以下的人民币罚款。</w:t>
      </w:r>
    </w:p>
    <w:p w14:paraId="7488AAAA">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rPr>
        <w:t>4.2.</w:t>
      </w:r>
      <w:r>
        <w:rPr>
          <w:rFonts w:hint="eastAsia" w:ascii="宋体" w:hAnsi="宋体" w:eastAsia="宋体" w:cs="宋体"/>
          <w:b w:val="0"/>
          <w:bCs/>
          <w:snapToGrid w:val="0"/>
          <w:color w:val="auto"/>
          <w:kern w:val="0"/>
          <w:sz w:val="24"/>
          <w:szCs w:val="24"/>
          <w:highlight w:val="none"/>
          <w:lang w:val="en-US" w:eastAsia="zh-CN"/>
        </w:rPr>
        <w:t>4</w:t>
      </w:r>
      <w:r>
        <w:rPr>
          <w:rFonts w:hint="eastAsia" w:ascii="宋体" w:hAnsi="宋体" w:eastAsia="宋体" w:cs="宋体"/>
          <w:b w:val="0"/>
          <w:bCs/>
          <w:snapToGrid w:val="0"/>
          <w:color w:val="auto"/>
          <w:kern w:val="0"/>
          <w:sz w:val="24"/>
          <w:szCs w:val="24"/>
          <w:highlight w:val="none"/>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0D9E5498">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4.2.5承包人必须依照各相关规定做好工人工资支付保证金、工人工资支付专用账户、用工实名制管理工作。</w:t>
      </w:r>
    </w:p>
    <w:p w14:paraId="16C79322">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w:t>
      </w:r>
      <w:r>
        <w:rPr>
          <w:rFonts w:hint="eastAsia" w:ascii="宋体" w:hAnsi="宋体" w:cs="宋体"/>
          <w:b w:val="0"/>
          <w:bCs/>
          <w:snapToGrid w:val="0"/>
          <w:color w:val="auto"/>
          <w:kern w:val="0"/>
          <w:sz w:val="24"/>
          <w:szCs w:val="24"/>
          <w:highlight w:val="none"/>
          <w:lang w:val="en-US" w:eastAsia="zh-CN"/>
        </w:rPr>
        <w:t>1</w:t>
      </w:r>
      <w:r>
        <w:rPr>
          <w:rFonts w:hint="eastAsia" w:ascii="宋体" w:hAnsi="宋体" w:eastAsia="宋体" w:cs="宋体"/>
          <w:b w:val="0"/>
          <w:bCs/>
          <w:snapToGrid w:val="0"/>
          <w:color w:val="auto"/>
          <w:kern w:val="0"/>
          <w:sz w:val="24"/>
          <w:szCs w:val="24"/>
          <w:highlight w:val="none"/>
          <w:lang w:val="en-US" w:eastAsia="zh-CN"/>
        </w:rPr>
        <w:t>）承包人已依照相关规定开立工人工资支付专用账户，发包人支付工程进度款时，其中</w:t>
      </w:r>
      <w:r>
        <w:rPr>
          <w:rFonts w:hint="eastAsia" w:ascii="宋体" w:hAnsi="宋体" w:cs="宋体"/>
          <w:b w:val="0"/>
          <w:bCs/>
          <w:snapToGrid w:val="0"/>
          <w:color w:val="auto"/>
          <w:kern w:val="0"/>
          <w:sz w:val="24"/>
          <w:szCs w:val="24"/>
          <w:highlight w:val="none"/>
          <w:lang w:val="en-US" w:eastAsia="zh-CN"/>
        </w:rPr>
        <w:t>85</w:t>
      </w:r>
      <w:r>
        <w:rPr>
          <w:rFonts w:hint="eastAsia" w:ascii="宋体" w:hAnsi="宋体" w:eastAsia="宋体" w:cs="宋体"/>
          <w:b w:val="0"/>
          <w:bCs/>
          <w:snapToGrid w:val="0"/>
          <w:color w:val="auto"/>
          <w:kern w:val="0"/>
          <w:sz w:val="24"/>
          <w:szCs w:val="24"/>
          <w:highlight w:val="none"/>
          <w:lang w:val="en-US" w:eastAsia="zh-CN"/>
        </w:rPr>
        <w:t>%支付进入本合同协议书载明的承包人账户、其中</w:t>
      </w:r>
      <w:r>
        <w:rPr>
          <w:rFonts w:hint="eastAsia" w:ascii="宋体" w:hAnsi="宋体" w:cs="宋体"/>
          <w:b w:val="0"/>
          <w:bCs/>
          <w:snapToGrid w:val="0"/>
          <w:color w:val="auto"/>
          <w:kern w:val="0"/>
          <w:sz w:val="24"/>
          <w:szCs w:val="24"/>
          <w:highlight w:val="none"/>
          <w:lang w:val="en-US" w:eastAsia="zh-CN"/>
        </w:rPr>
        <w:t>15</w:t>
      </w:r>
      <w:r>
        <w:rPr>
          <w:rFonts w:hint="eastAsia" w:ascii="宋体" w:hAnsi="宋体" w:eastAsia="宋体" w:cs="宋体"/>
          <w:b w:val="0"/>
          <w:bCs/>
          <w:snapToGrid w:val="0"/>
          <w:color w:val="auto"/>
          <w:kern w:val="0"/>
          <w:sz w:val="24"/>
          <w:szCs w:val="24"/>
          <w:highlight w:val="none"/>
          <w:lang w:val="en-US" w:eastAsia="zh-CN"/>
        </w:rPr>
        <w:t>%支付进入本款载明的工人工资支付专用账户。承包人必须与所有聘用人员签订劳动合同，并按劳动合同约定每月足额通过专用账户发放工资，并按月将工资发放资料提交一份给发包人。</w:t>
      </w:r>
    </w:p>
    <w:p w14:paraId="67282E75">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w:t>
      </w:r>
      <w:r>
        <w:rPr>
          <w:rFonts w:hint="eastAsia" w:ascii="宋体" w:hAnsi="宋体" w:cs="宋体"/>
          <w:b w:val="0"/>
          <w:bCs/>
          <w:snapToGrid w:val="0"/>
          <w:color w:val="auto"/>
          <w:kern w:val="0"/>
          <w:sz w:val="24"/>
          <w:szCs w:val="24"/>
          <w:highlight w:val="none"/>
          <w:lang w:val="en-US" w:eastAsia="zh-CN"/>
        </w:rPr>
        <w:t>2</w:t>
      </w:r>
      <w:r>
        <w:rPr>
          <w:rFonts w:hint="eastAsia" w:ascii="宋体" w:hAnsi="宋体" w:eastAsia="宋体" w:cs="宋体"/>
          <w:b w:val="0"/>
          <w:bCs/>
          <w:snapToGrid w:val="0"/>
          <w:color w:val="auto"/>
          <w:kern w:val="0"/>
          <w:sz w:val="24"/>
          <w:szCs w:val="24"/>
          <w:highlight w:val="none"/>
          <w:lang w:val="en-US" w:eastAsia="zh-CN"/>
        </w:rPr>
        <w:t>）承包人应在开工前编制用工实名管理专项方案以及费用使用计划，经监理单位审批后，作为施工合同的组成部分，并依照相关规定做好用工实名信息化管理。</w:t>
      </w:r>
    </w:p>
    <w:p w14:paraId="7FB799B2">
      <w:pPr>
        <w:pStyle w:val="62"/>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08" w:name="_Toc21233"/>
      <w:bookmarkStart w:id="209" w:name="_Toc15476"/>
      <w:r>
        <w:rPr>
          <w:rFonts w:hint="eastAsia" w:ascii="宋体" w:hAnsi="宋体" w:eastAsia="宋体" w:cs="宋体"/>
          <w:b/>
          <w:bCs w:val="0"/>
          <w:snapToGrid w:val="0"/>
          <w:color w:val="auto"/>
          <w:kern w:val="0"/>
          <w:sz w:val="24"/>
          <w:szCs w:val="24"/>
          <w:highlight w:val="none"/>
        </w:rPr>
        <w:t>4.3．诚信登记</w:t>
      </w:r>
      <w:bookmarkEnd w:id="208"/>
      <w:bookmarkEnd w:id="209"/>
    </w:p>
    <w:p w14:paraId="58A308A9">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根据资质管理规定，许可机关应当建立、健全建筑业企业信用档案管理制度，包括企业基本信息、资质、业绩、工程质量和安全、合同履约、社会投诉和违法行为等情况。</w:t>
      </w:r>
    </w:p>
    <w:p w14:paraId="2FFED412">
      <w:pPr>
        <w:pStyle w:val="62"/>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10" w:name="_Toc24195"/>
      <w:bookmarkStart w:id="211" w:name="_Toc30115"/>
      <w:r>
        <w:rPr>
          <w:rFonts w:hint="eastAsia" w:ascii="宋体" w:hAnsi="宋体" w:eastAsia="宋体" w:cs="宋体"/>
          <w:b/>
          <w:bCs w:val="0"/>
          <w:snapToGrid w:val="0"/>
          <w:color w:val="auto"/>
          <w:kern w:val="0"/>
          <w:sz w:val="24"/>
          <w:szCs w:val="24"/>
          <w:highlight w:val="none"/>
        </w:rPr>
        <w:t>4.4．工期进度</w:t>
      </w:r>
      <w:bookmarkEnd w:id="210"/>
      <w:bookmarkEnd w:id="211"/>
    </w:p>
    <w:p w14:paraId="1F897EDB">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4.4.1本招标项目施工工期为</w:t>
      </w:r>
      <w:r>
        <w:rPr>
          <w:rFonts w:hint="eastAsia" w:ascii="宋体" w:hAnsi="宋体" w:cs="宋体"/>
          <w:b w:val="0"/>
          <w:bCs/>
          <w:snapToGrid w:val="0"/>
          <w:color w:val="auto"/>
          <w:kern w:val="0"/>
          <w:sz w:val="24"/>
          <w:szCs w:val="24"/>
          <w:highlight w:val="none"/>
          <w:u w:val="single"/>
          <w:lang w:val="en-US" w:eastAsia="zh-CN"/>
        </w:rPr>
        <w:t>90</w:t>
      </w:r>
      <w:r>
        <w:rPr>
          <w:rFonts w:hint="eastAsia" w:ascii="宋体" w:hAnsi="宋体" w:eastAsia="宋体" w:cs="宋体"/>
          <w:b w:val="0"/>
          <w:bCs/>
          <w:snapToGrid w:val="0"/>
          <w:color w:val="auto"/>
          <w:kern w:val="0"/>
          <w:sz w:val="24"/>
          <w:szCs w:val="24"/>
          <w:highlight w:val="none"/>
        </w:rPr>
        <w:t>个日历天，承包人必须在招标工期内完成招标范围内的全部内容。</w:t>
      </w:r>
    </w:p>
    <w:p w14:paraId="5F82ECAA">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4.4.2 施工工期从承包人收到监理单位签发的开工令之日起计，至竣工验收合格之日止。</w:t>
      </w:r>
    </w:p>
    <w:p w14:paraId="34C25D64">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4.2.3工期奖罚</w:t>
      </w:r>
    </w:p>
    <w:p w14:paraId="4017E8FB">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 xml:space="preserve">□竣工验收合格交付使用每提前/天竣工；奖/元，奖励金额不超过合同价款的%（一般为 2%～5%）且不超过/万元。 </w:t>
      </w:r>
    </w:p>
    <w:p w14:paraId="25FEAB2F">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☑按施工合同期约定，因承包人原因每延误1天竣工，罚</w:t>
      </w:r>
      <w:r>
        <w:rPr>
          <w:rFonts w:hint="eastAsia" w:ascii="宋体" w:hAnsi="宋体" w:eastAsia="宋体" w:cs="宋体"/>
          <w:b w:val="0"/>
          <w:bCs/>
          <w:snapToGrid w:val="0"/>
          <w:color w:val="auto"/>
          <w:kern w:val="0"/>
          <w:sz w:val="24"/>
          <w:szCs w:val="24"/>
          <w:highlight w:val="none"/>
          <w:lang w:val="en-US" w:eastAsia="zh-CN"/>
        </w:rPr>
        <w:t>5000.00</w:t>
      </w:r>
      <w:r>
        <w:rPr>
          <w:rFonts w:hint="eastAsia" w:ascii="宋体" w:hAnsi="宋体" w:eastAsia="宋体" w:cs="宋体"/>
          <w:b w:val="0"/>
          <w:bCs/>
          <w:snapToGrid w:val="0"/>
          <w:color w:val="auto"/>
          <w:kern w:val="0"/>
          <w:sz w:val="24"/>
          <w:szCs w:val="24"/>
          <w:highlight w:val="none"/>
        </w:rPr>
        <w:t xml:space="preserve">元。 </w:t>
      </w:r>
    </w:p>
    <w:p w14:paraId="0FB92D9A">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□按施工合同期约定，因承包人原因延误工期</w:t>
      </w: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rPr>
        <w:t>天内不处罚，自第</w:t>
      </w: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rPr>
        <w:t>天起每延误</w:t>
      </w: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rPr>
        <w:t>天竣工, 罚</w:t>
      </w: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rPr>
        <w:t>元。处罚金额不超过合同价款的 %（一般为 2%～5%）且不超过</w:t>
      </w: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rPr>
        <w:t>万元，累计延误工期达到</w:t>
      </w: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rPr>
        <w:t xml:space="preserve">天，报请建设行政主管部门作不良行为记录，非承包方原因或不可抗力造成延误的除外。 </w:t>
      </w:r>
    </w:p>
    <w:p w14:paraId="5A1DE31E">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□其它说明：/</w:t>
      </w:r>
    </w:p>
    <w:p w14:paraId="5A5D4889">
      <w:pPr>
        <w:pStyle w:val="62"/>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12" w:name="_Toc21648"/>
      <w:bookmarkStart w:id="213" w:name="_Toc16363"/>
      <w:r>
        <w:rPr>
          <w:rFonts w:hint="eastAsia" w:ascii="宋体" w:hAnsi="宋体" w:eastAsia="宋体" w:cs="宋体"/>
          <w:b/>
          <w:bCs w:val="0"/>
          <w:snapToGrid w:val="0"/>
          <w:color w:val="auto"/>
          <w:kern w:val="0"/>
          <w:sz w:val="24"/>
          <w:szCs w:val="24"/>
          <w:highlight w:val="none"/>
        </w:rPr>
        <w:t>4.5．项目管理机构</w:t>
      </w:r>
      <w:bookmarkEnd w:id="212"/>
      <w:bookmarkEnd w:id="213"/>
    </w:p>
    <w:p w14:paraId="5C012F1C">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4.5.1 承包人派驻的项目管理班子成员必须为其投标文件确定的人员，否则发包人有权终止合同。</w:t>
      </w:r>
    </w:p>
    <w:p w14:paraId="001A7AC6">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4.5.2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466AE90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lang w:val="en-US" w:eastAsia="zh-CN"/>
        </w:rPr>
      </w:pPr>
      <w:r>
        <w:rPr>
          <w:rFonts w:hint="eastAsia" w:ascii="宋体" w:hAnsi="宋体" w:eastAsia="宋体" w:cs="宋体"/>
          <w:b w:val="0"/>
          <w:bCs/>
          <w:snapToGrid w:val="0"/>
          <w:color w:val="auto"/>
          <w:kern w:val="0"/>
          <w:sz w:val="24"/>
          <w:szCs w:val="24"/>
          <w:highlight w:val="none"/>
          <w:lang w:val="en-US" w:eastAsia="zh-CN"/>
        </w:rPr>
        <w:t>4.5.3根据项目实施进度情况，发包人有权要求承包人增派项目管理人员，以满足项目的现场管理工作要求。</w:t>
      </w:r>
    </w:p>
    <w:p w14:paraId="35E7ED36">
      <w:pPr>
        <w:pStyle w:val="62"/>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14" w:name="_Toc16233"/>
      <w:bookmarkStart w:id="215" w:name="_Toc21811"/>
      <w:r>
        <w:rPr>
          <w:rFonts w:hint="eastAsia" w:ascii="宋体" w:hAnsi="宋体" w:eastAsia="宋体" w:cs="宋体"/>
          <w:b/>
          <w:bCs w:val="0"/>
          <w:snapToGrid w:val="0"/>
          <w:color w:val="auto"/>
          <w:kern w:val="0"/>
          <w:sz w:val="24"/>
          <w:szCs w:val="24"/>
          <w:highlight w:val="none"/>
        </w:rPr>
        <w:t>4.6．现场管理</w:t>
      </w:r>
      <w:bookmarkEnd w:id="214"/>
      <w:bookmarkEnd w:id="215"/>
    </w:p>
    <w:p w14:paraId="171D14F0">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4.61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75D9EB01">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4.6.2 承包人应按安全施工有关规定，采取严格、科学的安全防护措施，确保施工和人员（包括第三者）的安全，承担由于自身安全防护措施不力所造成的安全事故责任和发生的费用。</w:t>
      </w:r>
    </w:p>
    <w:p w14:paraId="53D2B619">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4.6.3 为保证施工现场的环境卫生，承包人在本招标项目施工过程中，所有的车辆必须按发包人规定的行车路线行驶。</w:t>
      </w:r>
    </w:p>
    <w:p w14:paraId="5373956E">
      <w:pPr>
        <w:pStyle w:val="62"/>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16" w:name="_Toc1442"/>
      <w:bookmarkStart w:id="217" w:name="_Toc1176"/>
      <w:r>
        <w:rPr>
          <w:rFonts w:hint="eastAsia" w:ascii="宋体" w:hAnsi="宋体" w:eastAsia="宋体" w:cs="宋体"/>
          <w:b/>
          <w:bCs w:val="0"/>
          <w:snapToGrid w:val="0"/>
          <w:color w:val="auto"/>
          <w:kern w:val="0"/>
          <w:sz w:val="24"/>
          <w:szCs w:val="24"/>
          <w:highlight w:val="none"/>
        </w:rPr>
        <w:t>4.7．监督实施</w:t>
      </w:r>
      <w:bookmarkEnd w:id="216"/>
      <w:bookmarkEnd w:id="217"/>
    </w:p>
    <w:p w14:paraId="61B36255">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5CA00D6A">
      <w:pPr>
        <w:pStyle w:val="62"/>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18" w:name="_Toc5482"/>
      <w:bookmarkStart w:id="219" w:name="_Toc1485"/>
      <w:r>
        <w:rPr>
          <w:rFonts w:hint="eastAsia" w:ascii="宋体" w:hAnsi="宋体" w:eastAsia="宋体" w:cs="宋体"/>
          <w:b/>
          <w:bCs w:val="0"/>
          <w:snapToGrid w:val="0"/>
          <w:color w:val="auto"/>
          <w:kern w:val="0"/>
          <w:sz w:val="24"/>
          <w:szCs w:val="24"/>
          <w:highlight w:val="none"/>
        </w:rPr>
        <w:t>4.8．主材的采购和使用</w:t>
      </w:r>
      <w:bookmarkEnd w:id="218"/>
      <w:bookmarkEnd w:id="219"/>
    </w:p>
    <w:p w14:paraId="5CFBA4FD">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0D4C92C1">
      <w:pPr>
        <w:pStyle w:val="62"/>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20" w:name="_Toc27130"/>
      <w:bookmarkStart w:id="221" w:name="_Toc11557"/>
      <w:r>
        <w:rPr>
          <w:rFonts w:hint="eastAsia" w:ascii="宋体" w:hAnsi="宋体" w:eastAsia="宋体" w:cs="宋体"/>
          <w:b/>
          <w:bCs w:val="0"/>
          <w:snapToGrid w:val="0"/>
          <w:color w:val="auto"/>
          <w:kern w:val="0"/>
          <w:sz w:val="24"/>
          <w:szCs w:val="24"/>
          <w:highlight w:val="none"/>
        </w:rPr>
        <w:t>4.9</w:t>
      </w:r>
      <w:r>
        <w:rPr>
          <w:rFonts w:hint="eastAsia"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rPr>
        <w:t>竣工资料移交</w:t>
      </w:r>
      <w:bookmarkEnd w:id="220"/>
      <w:bookmarkEnd w:id="221"/>
    </w:p>
    <w:p w14:paraId="2D74B9D8">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项目竣工验收时，承包人应向监理单位和发包人提供符合国家档案部门备案要求的，编制成册的竣工图及有关的技术档案资料（含声像档案）一式</w:t>
      </w:r>
      <w:r>
        <w:rPr>
          <w:rFonts w:hint="eastAsia" w:ascii="宋体" w:hAnsi="宋体" w:eastAsia="宋体" w:cs="宋体"/>
          <w:b w:val="0"/>
          <w:bCs/>
          <w:snapToGrid w:val="0"/>
          <w:color w:val="auto"/>
          <w:kern w:val="0"/>
          <w:sz w:val="24"/>
          <w:szCs w:val="24"/>
          <w:highlight w:val="none"/>
          <w:u w:val="single"/>
        </w:rPr>
        <w:t>八</w:t>
      </w:r>
      <w:r>
        <w:rPr>
          <w:rFonts w:hint="eastAsia" w:ascii="宋体" w:hAnsi="宋体" w:eastAsia="宋体" w:cs="宋体"/>
          <w:b w:val="0"/>
          <w:bCs/>
          <w:snapToGrid w:val="0"/>
          <w:color w:val="auto"/>
          <w:kern w:val="0"/>
          <w:sz w:val="24"/>
          <w:szCs w:val="24"/>
          <w:highlight w:val="none"/>
        </w:rPr>
        <w:t>份。</w:t>
      </w:r>
    </w:p>
    <w:p w14:paraId="153E1139">
      <w:pPr>
        <w:pStyle w:val="62"/>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22" w:name="_Toc20949"/>
      <w:bookmarkStart w:id="223" w:name="_Toc14292"/>
      <w:r>
        <w:rPr>
          <w:rFonts w:hint="eastAsia" w:ascii="宋体" w:hAnsi="宋体" w:eastAsia="宋体" w:cs="宋体"/>
          <w:b/>
          <w:bCs w:val="0"/>
          <w:snapToGrid w:val="0"/>
          <w:color w:val="auto"/>
          <w:kern w:val="0"/>
          <w:sz w:val="24"/>
          <w:szCs w:val="24"/>
          <w:highlight w:val="none"/>
        </w:rPr>
        <w:t>4.10</w:t>
      </w:r>
      <w:r>
        <w:rPr>
          <w:rFonts w:hint="eastAsia"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rPr>
        <w:t>质量保证</w:t>
      </w:r>
      <w:bookmarkEnd w:id="222"/>
      <w:bookmarkEnd w:id="223"/>
    </w:p>
    <w:p w14:paraId="7F4CAF78">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4.10.1 本招标项目缺陷责任期为</w:t>
      </w:r>
      <w:r>
        <w:rPr>
          <w:rFonts w:hint="eastAsia" w:ascii="宋体" w:hAnsi="宋体" w:eastAsia="宋体" w:cs="宋体"/>
          <w:b/>
          <w:bCs w:val="0"/>
          <w:snapToGrid w:val="0"/>
          <w:color w:val="auto"/>
          <w:kern w:val="0"/>
          <w:sz w:val="24"/>
          <w:szCs w:val="24"/>
          <w:highlight w:val="none"/>
          <w:u w:val="single"/>
        </w:rPr>
        <w:t>2</w:t>
      </w:r>
      <w:r>
        <w:rPr>
          <w:rFonts w:hint="eastAsia" w:ascii="宋体" w:hAnsi="宋体" w:eastAsia="宋体" w:cs="宋体"/>
          <w:b/>
          <w:bCs w:val="0"/>
          <w:snapToGrid w:val="0"/>
          <w:color w:val="auto"/>
          <w:kern w:val="0"/>
          <w:sz w:val="24"/>
          <w:szCs w:val="24"/>
          <w:highlight w:val="none"/>
        </w:rPr>
        <w:t>年</w:t>
      </w:r>
      <w:r>
        <w:rPr>
          <w:rFonts w:hint="eastAsia" w:ascii="宋体" w:hAnsi="宋体" w:eastAsia="宋体" w:cs="宋体"/>
          <w:b w:val="0"/>
          <w:bCs/>
          <w:snapToGrid w:val="0"/>
          <w:color w:val="auto"/>
          <w:kern w:val="0"/>
          <w:sz w:val="24"/>
          <w:szCs w:val="24"/>
          <w:highlight w:val="none"/>
        </w:rPr>
        <w:t>（自通过竣工验收之日起计），在此期间预留金额为结算价</w:t>
      </w:r>
      <w:r>
        <w:rPr>
          <w:rFonts w:hint="eastAsia" w:ascii="宋体" w:hAnsi="宋体" w:eastAsia="宋体" w:cs="宋体"/>
          <w:b/>
          <w:bCs w:val="0"/>
          <w:snapToGrid w:val="0"/>
          <w:color w:val="auto"/>
          <w:kern w:val="0"/>
          <w:sz w:val="24"/>
          <w:szCs w:val="24"/>
          <w:highlight w:val="none"/>
          <w:u w:val="single"/>
        </w:rPr>
        <w:t>3%</w:t>
      </w:r>
      <w:r>
        <w:rPr>
          <w:rFonts w:hint="eastAsia" w:ascii="宋体" w:hAnsi="宋体" w:eastAsia="宋体" w:cs="宋体"/>
          <w:b w:val="0"/>
          <w:bCs/>
          <w:snapToGrid w:val="0"/>
          <w:color w:val="auto"/>
          <w:kern w:val="0"/>
          <w:sz w:val="24"/>
          <w:szCs w:val="24"/>
          <w:highlight w:val="none"/>
        </w:rPr>
        <w:t>的质量保证。</w:t>
      </w:r>
    </w:p>
    <w:p w14:paraId="2FC3D744">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4.10.2 质量保证的形式：质量保证的形式包括质量保证金、质量保证担保、质量保证保险三种，由承包人自主选择。</w:t>
      </w:r>
    </w:p>
    <w:p w14:paraId="678237C6">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（1）采用质量保证金形式的，在结清审定总造价时一次性扣留相应金额作为质量保证金。</w:t>
      </w:r>
    </w:p>
    <w:p w14:paraId="43198DD8">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lang w:val="en-US" w:eastAsia="zh-CN"/>
        </w:rPr>
        <w:t>（2）采用质量保证担保或质量保证保险的，承包人应在竣工验收时向发包人提交有效的商业保函、银行保函或保险合同（或保险单）原件，商业保函、银行保函或保险合同（或保险单）的有效期不得短于缺陷责任期</w:t>
      </w:r>
      <w:r>
        <w:rPr>
          <w:rFonts w:hint="eastAsia" w:ascii="宋体" w:hAnsi="宋体" w:eastAsia="宋体" w:cs="宋体"/>
          <w:b w:val="0"/>
          <w:bCs/>
          <w:snapToGrid w:val="0"/>
          <w:color w:val="auto"/>
          <w:kern w:val="0"/>
          <w:sz w:val="24"/>
          <w:szCs w:val="24"/>
          <w:highlight w:val="none"/>
        </w:rPr>
        <w:t>。</w:t>
      </w:r>
    </w:p>
    <w:p w14:paraId="7D260679">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4.10.3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2FA502D8">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由他人原因造成的缺陷，发包人负责组织维修，承包人不承担费用，且发包人不得从质量保证中扣除费用。</w:t>
      </w:r>
    </w:p>
    <w:p w14:paraId="763C841D">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4.10.4 缺陷责任期内，承包人应认真履行合同约定的责任。缺陷责任期到期后，承包人向发包人申请退还质量保证，发包人应按照《建设工程质量保证金管理办法》有关规定将质量保证退还给承包人。</w:t>
      </w:r>
    </w:p>
    <w:p w14:paraId="7A891F03">
      <w:pPr>
        <w:pStyle w:val="62"/>
        <w:spacing w:line="360" w:lineRule="auto"/>
        <w:ind w:firstLine="482" w:firstLineChars="200"/>
        <w:jc w:val="left"/>
        <w:rPr>
          <w:rFonts w:hint="eastAsia" w:ascii="宋体" w:hAnsi="宋体" w:eastAsia="宋体" w:cs="宋体"/>
          <w:b w:val="0"/>
          <w:bCs/>
          <w:snapToGrid w:val="0"/>
          <w:color w:val="auto"/>
          <w:kern w:val="0"/>
          <w:sz w:val="24"/>
          <w:szCs w:val="24"/>
          <w:highlight w:val="none"/>
        </w:rPr>
      </w:pPr>
      <w:bookmarkStart w:id="224" w:name="_Toc9682"/>
      <w:bookmarkStart w:id="225" w:name="_Toc211"/>
      <w:r>
        <w:rPr>
          <w:rFonts w:hint="eastAsia" w:ascii="宋体" w:hAnsi="宋体" w:eastAsia="宋体" w:cs="宋体"/>
          <w:b/>
          <w:bCs w:val="0"/>
          <w:snapToGrid w:val="0"/>
          <w:color w:val="auto"/>
          <w:kern w:val="0"/>
          <w:sz w:val="24"/>
          <w:szCs w:val="24"/>
          <w:highlight w:val="none"/>
        </w:rPr>
        <w:t>4.11</w:t>
      </w:r>
      <w:r>
        <w:rPr>
          <w:rFonts w:hint="eastAsia"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rPr>
        <w:t>不良行为处理</w:t>
      </w:r>
      <w:bookmarkEnd w:id="224"/>
      <w:bookmarkEnd w:id="225"/>
    </w:p>
    <w:p w14:paraId="00651002">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承包人及其有关人员有下列行为之一的，发包人应及时向建设行政主管部门报告。除按照有关法律、法规进行处罚外，不良行为将计入企业及有关个人诚信档案，并在韶关市住房和城乡建设管理局公示。</w:t>
      </w:r>
    </w:p>
    <w:p w14:paraId="5DE33D43">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（1）转包、违法分包或违反投标承诺分包工程的；</w:t>
      </w:r>
    </w:p>
    <w:p w14:paraId="253CB99F">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（2）非原参加投标中标的项目经理负责组织施工或在实施过程中擅自更换项目经理的、项目的其他主要管理人员与中标文件确定的人员不相符的；</w:t>
      </w:r>
    </w:p>
    <w:p w14:paraId="08756DD9">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（3）投标文件确定的大型机械设备没有进入施工现场的；</w:t>
      </w:r>
    </w:p>
    <w:p w14:paraId="3BA2B30A">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（4）与建设单位、监理单位串通，签认虚假工程量或工程造价的；</w:t>
      </w:r>
    </w:p>
    <w:p w14:paraId="110B95AF">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（5）项目经理施工现场管理不到位的；</w:t>
      </w:r>
    </w:p>
    <w:p w14:paraId="7DF6C304">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（6）项目经理在非本人资格证书注册单位从事工程项目施工管理的；</w:t>
      </w:r>
    </w:p>
    <w:p w14:paraId="039FAE7D">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（7）项目经理同时承担超过一项工程项目的；</w:t>
      </w:r>
    </w:p>
    <w:p w14:paraId="5A1E2D1E">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（8）违反有关法律、法规、规章规定的其它行为。</w:t>
      </w:r>
    </w:p>
    <w:p w14:paraId="75557C70">
      <w:pPr>
        <w:pStyle w:val="62"/>
        <w:spacing w:line="360" w:lineRule="auto"/>
        <w:ind w:firstLine="482" w:firstLineChars="200"/>
        <w:jc w:val="left"/>
        <w:rPr>
          <w:rFonts w:hint="eastAsia" w:ascii="宋体" w:hAnsi="宋体" w:eastAsia="宋体" w:cs="宋体"/>
          <w:b/>
          <w:bCs w:val="0"/>
          <w:snapToGrid w:val="0"/>
          <w:color w:val="auto"/>
          <w:kern w:val="0"/>
          <w:sz w:val="24"/>
          <w:szCs w:val="24"/>
          <w:highlight w:val="none"/>
        </w:rPr>
      </w:pPr>
      <w:bookmarkStart w:id="226" w:name="_Toc15004"/>
      <w:bookmarkStart w:id="227" w:name="_Toc16682"/>
      <w:r>
        <w:rPr>
          <w:rFonts w:hint="eastAsia" w:ascii="宋体" w:hAnsi="宋体" w:eastAsia="宋体" w:cs="宋体"/>
          <w:b/>
          <w:bCs w:val="0"/>
          <w:snapToGrid w:val="0"/>
          <w:color w:val="auto"/>
          <w:kern w:val="0"/>
          <w:sz w:val="24"/>
          <w:szCs w:val="24"/>
          <w:highlight w:val="none"/>
        </w:rPr>
        <w:t>4.12</w:t>
      </w:r>
      <w:r>
        <w:rPr>
          <w:rFonts w:hint="eastAsia"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rPr>
        <w:t>信用评价条款内容</w:t>
      </w:r>
      <w:bookmarkEnd w:id="226"/>
      <w:bookmarkEnd w:id="227"/>
    </w:p>
    <w:p w14:paraId="260E09D2">
      <w:pPr>
        <w:pStyle w:val="62"/>
        <w:spacing w:line="360" w:lineRule="auto"/>
        <w:ind w:firstLine="480"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由招标人决定是否对施工单位的履约情况进行信用评价。若进行信用评价，评价条款由招标人自拟，条款内容可参考人员到位情况、服务配合程度、服务成果质量、项目后期服务及信用评价结果的运用等。 </w:t>
      </w:r>
    </w:p>
    <w:p w14:paraId="2A724234">
      <w:pPr>
        <w:pStyle w:val="62"/>
        <w:spacing w:line="360" w:lineRule="auto"/>
        <w:ind w:firstLine="482" w:firstLineChars="200"/>
        <w:jc w:val="left"/>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 w:val="0"/>
          <w:bCs/>
          <w:snapToGrid w:val="0"/>
          <w:color w:val="auto"/>
          <w:kern w:val="0"/>
          <w:sz w:val="24"/>
          <w:szCs w:val="24"/>
          <w:highlight w:val="none"/>
        </w:rPr>
        <w:t>危险性较大的分部分项工程安全管理约定。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w:t>
      </w:r>
    </w:p>
    <w:p w14:paraId="034CC18B">
      <w:pPr>
        <w:pStyle w:val="62"/>
        <w:spacing w:line="360" w:lineRule="auto"/>
        <w:ind w:firstLine="480" w:firstLineChars="200"/>
        <w:jc w:val="left"/>
        <w:rPr>
          <w:rFonts w:hint="eastAsia" w:ascii="宋体" w:hAnsi="宋体" w:eastAsia="宋体" w:cs="宋体"/>
          <w:b/>
          <w:bCs w:val="0"/>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承包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14:paraId="5714F8E5">
      <w:pPr>
        <w:pStyle w:val="62"/>
        <w:keepNext w:val="0"/>
        <w:keepLines w:val="0"/>
        <w:pageBreakBefore w:val="0"/>
        <w:widowControl w:val="0"/>
        <w:kinsoku/>
        <w:wordWrap/>
        <w:overflowPunct/>
        <w:topLinePunct w:val="0"/>
        <w:autoSpaceDE/>
        <w:autoSpaceDN/>
        <w:bidi w:val="0"/>
        <w:adjustRightInd/>
        <w:snapToGrid/>
        <w:spacing w:line="348" w:lineRule="auto"/>
        <w:ind w:firstLine="482"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w:t>
      </w:r>
      <w:r>
        <w:rPr>
          <w:rFonts w:hint="eastAsia" w:ascii="宋体" w:hAnsi="宋体" w:eastAsia="宋体" w:cs="宋体"/>
          <w:b/>
          <w:bCs w:val="0"/>
          <w:snapToGrid w:val="0"/>
          <w:color w:val="auto"/>
          <w:kern w:val="0"/>
          <w:sz w:val="24"/>
          <w:szCs w:val="24"/>
          <w:highlight w:val="none"/>
          <w:lang w:val="en-US" w:eastAsia="zh-CN"/>
        </w:rPr>
        <w:t>14.</w:t>
      </w:r>
      <w:r>
        <w:rPr>
          <w:rFonts w:hint="eastAsia" w:ascii="宋体" w:hAnsi="宋体" w:eastAsia="宋体" w:cs="宋体"/>
          <w:b w:val="0"/>
          <w:bCs/>
          <w:snapToGrid w:val="0"/>
          <w:color w:val="auto"/>
          <w:kern w:val="0"/>
          <w:sz w:val="24"/>
          <w:szCs w:val="24"/>
          <w:highlight w:val="none"/>
        </w:rPr>
        <w:t>承包人在工程实施过程中，按照国家、省、市的相关规定制定相关的专项安全施工方案（如高支模、基坑支护、沉井等），编制专项施工方案报监理人、招标人审批后方可开展专项工程的施工。</w:t>
      </w:r>
    </w:p>
    <w:p w14:paraId="6D850A8F">
      <w:pPr>
        <w:pStyle w:val="62"/>
        <w:keepNext w:val="0"/>
        <w:keepLines w:val="0"/>
        <w:pageBreakBefore w:val="0"/>
        <w:widowControl w:val="0"/>
        <w:kinsoku/>
        <w:wordWrap/>
        <w:overflowPunct/>
        <w:topLinePunct w:val="0"/>
        <w:autoSpaceDE/>
        <w:autoSpaceDN/>
        <w:bidi w:val="0"/>
        <w:adjustRightInd/>
        <w:snapToGrid/>
        <w:spacing w:line="348" w:lineRule="auto"/>
        <w:ind w:firstLine="482"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4.1</w:t>
      </w:r>
      <w:r>
        <w:rPr>
          <w:rFonts w:hint="eastAsia" w:ascii="宋体" w:hAnsi="宋体" w:eastAsia="宋体" w:cs="宋体"/>
          <w:b/>
          <w:bCs w:val="0"/>
          <w:snapToGrid w:val="0"/>
          <w:color w:val="auto"/>
          <w:kern w:val="0"/>
          <w:sz w:val="24"/>
          <w:szCs w:val="24"/>
          <w:highlight w:val="none"/>
          <w:lang w:val="en-US" w:eastAsia="zh-CN"/>
        </w:rPr>
        <w:t>5.</w:t>
      </w:r>
      <w:r>
        <w:rPr>
          <w:rFonts w:hint="eastAsia" w:ascii="宋体" w:hAnsi="宋体" w:eastAsia="宋体" w:cs="宋体"/>
          <w:b w:val="0"/>
          <w:bCs/>
          <w:snapToGrid w:val="0"/>
          <w:color w:val="auto"/>
          <w:kern w:val="0"/>
          <w:sz w:val="24"/>
          <w:szCs w:val="24"/>
          <w:highlight w:val="none"/>
        </w:rPr>
        <w:t>中标人须按照《韶关市建筑垃圾管理条例》（2021年5月1日起施行），将弃土运至招标人指定的场所，否则招标人有权要求中标人无条件将弃土从违约弃土点运至招标人指定的场所并扣除违约金</w:t>
      </w:r>
      <w:r>
        <w:rPr>
          <w:rFonts w:hint="eastAsia" w:ascii="宋体" w:hAnsi="宋体" w:eastAsia="宋体" w:cs="宋体"/>
          <w:b w:val="0"/>
          <w:bCs/>
          <w:snapToGrid w:val="0"/>
          <w:color w:val="auto"/>
          <w:kern w:val="0"/>
          <w:sz w:val="24"/>
          <w:szCs w:val="24"/>
          <w:highlight w:val="none"/>
          <w:lang w:val="en-US" w:eastAsia="zh-CN"/>
        </w:rPr>
        <w:t>1</w:t>
      </w:r>
      <w:r>
        <w:rPr>
          <w:rFonts w:hint="eastAsia" w:ascii="宋体" w:hAnsi="宋体" w:eastAsia="宋体" w:cs="宋体"/>
          <w:b w:val="0"/>
          <w:bCs/>
          <w:snapToGrid w:val="0"/>
          <w:color w:val="auto"/>
          <w:kern w:val="0"/>
          <w:sz w:val="24"/>
          <w:szCs w:val="24"/>
          <w:highlight w:val="none"/>
        </w:rPr>
        <w:t>万元人民币/次。中标人对建筑垃圾须按《韶关市建筑垃圾管理条例》（2021年5月1日起施行）的相关规定进行排放和运输，投标人在投标报价时综合考虑在报价内。中标人应在施工现场建立洗车槽和临时排水系统等确保外运车辆（土方运输车辆应符合韶关市相关规定）不带泥上路，投标人在投标报价时综合考虑在报价内，招标人不另行支付该部分费用）。建设单位、施工单位应当在施工工地出入口显著位置公示建筑垃圾处理方案主要信息，包括建设工程垃圾种类、产生量、外运处置去向等信息及各相关单位名称、联系人及联系电话等。</w:t>
      </w:r>
    </w:p>
    <w:p w14:paraId="0F741952">
      <w:pPr>
        <w:pStyle w:val="62"/>
        <w:keepNext w:val="0"/>
        <w:keepLines w:val="0"/>
        <w:pageBreakBefore w:val="0"/>
        <w:widowControl w:val="0"/>
        <w:kinsoku/>
        <w:wordWrap/>
        <w:overflowPunct/>
        <w:topLinePunct w:val="0"/>
        <w:autoSpaceDE/>
        <w:autoSpaceDN/>
        <w:bidi w:val="0"/>
        <w:adjustRightInd/>
        <w:snapToGrid/>
        <w:spacing w:line="348" w:lineRule="auto"/>
        <w:ind w:firstLine="482"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4.1</w:t>
      </w:r>
      <w:r>
        <w:rPr>
          <w:rFonts w:hint="eastAsia" w:ascii="宋体" w:hAnsi="宋体" w:eastAsia="宋体" w:cs="宋体"/>
          <w:b/>
          <w:bCs w:val="0"/>
          <w:snapToGrid w:val="0"/>
          <w:color w:val="auto"/>
          <w:kern w:val="0"/>
          <w:sz w:val="24"/>
          <w:szCs w:val="24"/>
          <w:highlight w:val="none"/>
          <w:lang w:val="en-US" w:eastAsia="zh-CN"/>
        </w:rPr>
        <w:t>6.</w:t>
      </w:r>
      <w:r>
        <w:rPr>
          <w:rFonts w:hint="eastAsia" w:ascii="宋体" w:hAnsi="宋体" w:eastAsia="宋体" w:cs="宋体"/>
          <w:b w:val="0"/>
          <w:bCs/>
          <w:snapToGrid w:val="0"/>
          <w:color w:val="auto"/>
          <w:kern w:val="0"/>
          <w:sz w:val="24"/>
          <w:szCs w:val="24"/>
          <w:highlight w:val="none"/>
        </w:rPr>
        <w:t>工程竣工验收后15日内，中标人应按市城建档案馆的要求（质量、数量），将编制成册的施工档案资料（含声像档案和电子档案）提供给招标人、市城建档案馆、市住建管理局、管养单位及监理单位，并承担档案涉及的所有费用（制作标准和相关要求按市城建档案馆的有关规定执行）。中标人提交符合城建档案馆要求的竣工资料经招标人确认签收后，即可办理工程结算手续。</w:t>
      </w:r>
    </w:p>
    <w:p w14:paraId="119A4AF6">
      <w:pPr>
        <w:pStyle w:val="62"/>
        <w:keepNext w:val="0"/>
        <w:keepLines w:val="0"/>
        <w:pageBreakBefore w:val="0"/>
        <w:widowControl w:val="0"/>
        <w:kinsoku/>
        <w:wordWrap/>
        <w:overflowPunct/>
        <w:topLinePunct w:val="0"/>
        <w:autoSpaceDE/>
        <w:autoSpaceDN/>
        <w:bidi w:val="0"/>
        <w:adjustRightInd/>
        <w:snapToGrid/>
        <w:spacing w:line="348" w:lineRule="auto"/>
        <w:ind w:firstLine="482"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w:t>
      </w:r>
      <w:r>
        <w:rPr>
          <w:rFonts w:hint="eastAsia" w:ascii="宋体" w:hAnsi="宋体" w:eastAsia="宋体" w:cs="宋体"/>
          <w:b/>
          <w:bCs w:val="0"/>
          <w:snapToGrid w:val="0"/>
          <w:color w:val="auto"/>
          <w:kern w:val="0"/>
          <w:sz w:val="24"/>
          <w:szCs w:val="24"/>
          <w:highlight w:val="none"/>
          <w:lang w:val="en-US" w:eastAsia="zh-CN"/>
        </w:rPr>
        <w:t>17.</w:t>
      </w:r>
      <w:r>
        <w:rPr>
          <w:rFonts w:hint="eastAsia" w:ascii="宋体" w:hAnsi="宋体" w:eastAsia="宋体" w:cs="宋体"/>
          <w:b w:val="0"/>
          <w:bCs/>
          <w:snapToGrid w:val="0"/>
          <w:color w:val="auto"/>
          <w:kern w:val="0"/>
          <w:sz w:val="24"/>
          <w:szCs w:val="24"/>
          <w:highlight w:val="none"/>
        </w:rPr>
        <w:t xml:space="preserve">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 </w:t>
      </w:r>
    </w:p>
    <w:p w14:paraId="582C81D6">
      <w:pPr>
        <w:pStyle w:val="62"/>
        <w:keepNext w:val="0"/>
        <w:keepLines w:val="0"/>
        <w:pageBreakBefore w:val="0"/>
        <w:widowControl w:val="0"/>
        <w:kinsoku/>
        <w:wordWrap/>
        <w:overflowPunct/>
        <w:topLinePunct w:val="0"/>
        <w:autoSpaceDE/>
        <w:autoSpaceDN/>
        <w:bidi w:val="0"/>
        <w:adjustRightInd/>
        <w:snapToGrid/>
        <w:spacing w:line="348" w:lineRule="auto"/>
        <w:ind w:firstLine="482"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4.1</w:t>
      </w:r>
      <w:r>
        <w:rPr>
          <w:rFonts w:hint="eastAsia" w:ascii="宋体" w:hAnsi="宋体" w:eastAsia="宋体" w:cs="宋体"/>
          <w:b/>
          <w:bCs w:val="0"/>
          <w:snapToGrid w:val="0"/>
          <w:color w:val="auto"/>
          <w:kern w:val="0"/>
          <w:sz w:val="24"/>
          <w:szCs w:val="24"/>
          <w:highlight w:val="none"/>
          <w:lang w:val="en-US" w:eastAsia="zh-CN"/>
        </w:rPr>
        <w:t>8.</w:t>
      </w:r>
      <w:r>
        <w:rPr>
          <w:rFonts w:hint="eastAsia" w:ascii="宋体" w:hAnsi="宋体" w:eastAsia="宋体" w:cs="宋体"/>
          <w:b/>
          <w:bCs w:val="0"/>
          <w:snapToGrid w:val="0"/>
          <w:color w:val="auto"/>
          <w:kern w:val="0"/>
          <w:sz w:val="24"/>
          <w:szCs w:val="24"/>
          <w:highlight w:val="none"/>
        </w:rPr>
        <w:t xml:space="preserve"> </w:t>
      </w:r>
      <w:r>
        <w:rPr>
          <w:rFonts w:hint="eastAsia" w:ascii="宋体" w:hAnsi="宋体" w:eastAsia="宋体" w:cs="宋体"/>
          <w:b w:val="0"/>
          <w:bCs/>
          <w:snapToGrid w:val="0"/>
          <w:color w:val="auto"/>
          <w:kern w:val="0"/>
          <w:sz w:val="24"/>
          <w:szCs w:val="24"/>
          <w:highlight w:val="none"/>
        </w:rPr>
        <w:t xml:space="preserve">承包人中标后必须按规定及时缴交工人工资保证金、环保噪声排污费等。 </w:t>
      </w:r>
    </w:p>
    <w:p w14:paraId="129AC4D2">
      <w:pPr>
        <w:pStyle w:val="62"/>
        <w:keepNext w:val="0"/>
        <w:keepLines w:val="0"/>
        <w:pageBreakBefore w:val="0"/>
        <w:widowControl w:val="0"/>
        <w:kinsoku/>
        <w:wordWrap/>
        <w:overflowPunct/>
        <w:topLinePunct w:val="0"/>
        <w:autoSpaceDE/>
        <w:autoSpaceDN/>
        <w:bidi w:val="0"/>
        <w:adjustRightInd/>
        <w:snapToGrid/>
        <w:spacing w:line="348" w:lineRule="auto"/>
        <w:ind w:firstLine="482"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4.1</w:t>
      </w:r>
      <w:r>
        <w:rPr>
          <w:rFonts w:hint="eastAsia" w:ascii="宋体" w:hAnsi="宋体" w:eastAsia="宋体" w:cs="宋体"/>
          <w:b/>
          <w:bCs w:val="0"/>
          <w:snapToGrid w:val="0"/>
          <w:color w:val="auto"/>
          <w:kern w:val="0"/>
          <w:sz w:val="24"/>
          <w:szCs w:val="24"/>
          <w:highlight w:val="none"/>
          <w:lang w:val="en-US" w:eastAsia="zh-CN"/>
        </w:rPr>
        <w:t>9.</w:t>
      </w:r>
      <w:r>
        <w:rPr>
          <w:rFonts w:hint="eastAsia" w:ascii="宋体" w:hAnsi="宋体" w:eastAsia="宋体" w:cs="宋体"/>
          <w:b w:val="0"/>
          <w:bCs/>
          <w:snapToGrid w:val="0"/>
          <w:color w:val="auto"/>
          <w:kern w:val="0"/>
          <w:sz w:val="24"/>
          <w:szCs w:val="24"/>
          <w:highlight w:val="none"/>
        </w:rPr>
        <w:t xml:space="preserve"> 工程质量保修期按《中华人民共和国建筑法》、《建设工程质量管理条例》等相关规定实施。 </w:t>
      </w:r>
    </w:p>
    <w:p w14:paraId="327AFBE1">
      <w:pPr>
        <w:pStyle w:val="62"/>
        <w:keepNext w:val="0"/>
        <w:keepLines w:val="0"/>
        <w:pageBreakBefore w:val="0"/>
        <w:widowControl w:val="0"/>
        <w:kinsoku/>
        <w:wordWrap/>
        <w:overflowPunct/>
        <w:topLinePunct w:val="0"/>
        <w:autoSpaceDE/>
        <w:autoSpaceDN/>
        <w:bidi w:val="0"/>
        <w:adjustRightInd/>
        <w:snapToGrid/>
        <w:spacing w:line="348" w:lineRule="auto"/>
        <w:ind w:firstLine="482"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w:t>
      </w:r>
      <w:r>
        <w:rPr>
          <w:rFonts w:hint="eastAsia" w:ascii="宋体" w:hAnsi="宋体" w:eastAsia="宋体" w:cs="宋体"/>
          <w:b/>
          <w:bCs w:val="0"/>
          <w:snapToGrid w:val="0"/>
          <w:color w:val="auto"/>
          <w:kern w:val="0"/>
          <w:sz w:val="24"/>
          <w:szCs w:val="24"/>
          <w:highlight w:val="none"/>
          <w:lang w:val="en-US" w:eastAsia="zh-CN"/>
        </w:rPr>
        <w:t>20.</w:t>
      </w:r>
      <w:r>
        <w:rPr>
          <w:rFonts w:hint="eastAsia" w:ascii="宋体" w:hAnsi="宋体" w:eastAsia="宋体" w:cs="宋体"/>
          <w:b w:val="0"/>
          <w:bCs/>
          <w:snapToGrid w:val="0"/>
          <w:color w:val="auto"/>
          <w:kern w:val="0"/>
          <w:sz w:val="24"/>
          <w:szCs w:val="24"/>
          <w:highlight w:val="none"/>
        </w:rPr>
        <w:t xml:space="preserve"> 如项目实施过程中发生了工程变更及工程签证，承包人需根据发包人发布的 《工程变更管理办法》和《工程签证管理办法》完善工程变更签证相关程序。 </w:t>
      </w:r>
    </w:p>
    <w:p w14:paraId="0367AB3D">
      <w:pPr>
        <w:pStyle w:val="62"/>
        <w:keepNext w:val="0"/>
        <w:keepLines w:val="0"/>
        <w:pageBreakBefore w:val="0"/>
        <w:widowControl w:val="0"/>
        <w:kinsoku/>
        <w:wordWrap/>
        <w:overflowPunct/>
        <w:topLinePunct w:val="0"/>
        <w:autoSpaceDE/>
        <w:autoSpaceDN/>
        <w:bidi w:val="0"/>
        <w:adjustRightInd/>
        <w:snapToGrid/>
        <w:spacing w:line="348" w:lineRule="auto"/>
        <w:ind w:firstLine="482"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w:t>
      </w:r>
      <w:r>
        <w:rPr>
          <w:rFonts w:hint="eastAsia" w:ascii="宋体" w:hAnsi="宋体" w:eastAsia="宋体" w:cs="宋体"/>
          <w:b/>
          <w:bCs w:val="0"/>
          <w:snapToGrid w:val="0"/>
          <w:color w:val="auto"/>
          <w:kern w:val="0"/>
          <w:sz w:val="24"/>
          <w:szCs w:val="24"/>
          <w:highlight w:val="none"/>
          <w:lang w:val="en-US" w:eastAsia="zh-CN"/>
        </w:rPr>
        <w:t>21.</w:t>
      </w:r>
      <w:r>
        <w:rPr>
          <w:rFonts w:hint="eastAsia" w:ascii="宋体" w:hAnsi="宋体" w:eastAsia="宋体" w:cs="宋体"/>
          <w:b w:val="0"/>
          <w:bCs/>
          <w:snapToGrid w:val="0"/>
          <w:color w:val="auto"/>
          <w:kern w:val="0"/>
          <w:sz w:val="24"/>
          <w:szCs w:val="24"/>
          <w:highlight w:val="none"/>
        </w:rPr>
        <w:t xml:space="preserve"> 承包人需按相关规定要求，设置本工程符合相关要求的永久性标牌及规划公示牌，投标人在投标报价时综合考虑在报价内，发包人不另行支付该部分费用。 </w:t>
      </w:r>
    </w:p>
    <w:p w14:paraId="287663DB">
      <w:pPr>
        <w:pStyle w:val="62"/>
        <w:keepNext w:val="0"/>
        <w:keepLines w:val="0"/>
        <w:pageBreakBefore w:val="0"/>
        <w:widowControl w:val="0"/>
        <w:kinsoku/>
        <w:wordWrap/>
        <w:overflowPunct/>
        <w:topLinePunct w:val="0"/>
        <w:autoSpaceDE/>
        <w:autoSpaceDN/>
        <w:bidi w:val="0"/>
        <w:adjustRightInd/>
        <w:snapToGrid/>
        <w:spacing w:line="348" w:lineRule="auto"/>
        <w:ind w:firstLine="482"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4.2</w:t>
      </w:r>
      <w:r>
        <w:rPr>
          <w:rFonts w:hint="eastAsia" w:ascii="宋体" w:hAnsi="宋体" w:eastAsia="宋体" w:cs="宋体"/>
          <w:b/>
          <w:bCs w:val="0"/>
          <w:snapToGrid w:val="0"/>
          <w:color w:val="auto"/>
          <w:kern w:val="0"/>
          <w:sz w:val="24"/>
          <w:szCs w:val="24"/>
          <w:highlight w:val="none"/>
          <w:lang w:val="en-US" w:eastAsia="zh-CN"/>
        </w:rPr>
        <w:t>2.</w:t>
      </w:r>
      <w:r>
        <w:rPr>
          <w:rFonts w:hint="eastAsia" w:ascii="宋体" w:hAnsi="宋体" w:eastAsia="宋体" w:cs="宋体"/>
          <w:b/>
          <w:bCs w:val="0"/>
          <w:snapToGrid w:val="0"/>
          <w:color w:val="auto"/>
          <w:kern w:val="0"/>
          <w:sz w:val="24"/>
          <w:szCs w:val="24"/>
          <w:highlight w:val="none"/>
        </w:rPr>
        <w:t xml:space="preserve"> </w:t>
      </w:r>
      <w:r>
        <w:rPr>
          <w:rFonts w:hint="eastAsia" w:ascii="宋体" w:hAnsi="宋体" w:eastAsia="宋体" w:cs="宋体"/>
          <w:b w:val="0"/>
          <w:bCs/>
          <w:snapToGrid w:val="0"/>
          <w:color w:val="auto"/>
          <w:kern w:val="0"/>
          <w:sz w:val="24"/>
          <w:szCs w:val="24"/>
          <w:highlight w:val="none"/>
        </w:rPr>
        <w:t xml:space="preserve">承包人应在项目所在地住建管理部门办理诚信登记，发包人将严格按住建管理部门诚信登记管理办法对承包人履约情况进行考核。 </w:t>
      </w:r>
    </w:p>
    <w:p w14:paraId="2C740F39">
      <w:pPr>
        <w:pStyle w:val="62"/>
        <w:keepNext w:val="0"/>
        <w:keepLines w:val="0"/>
        <w:pageBreakBefore w:val="0"/>
        <w:widowControl w:val="0"/>
        <w:kinsoku/>
        <w:wordWrap/>
        <w:overflowPunct/>
        <w:topLinePunct w:val="0"/>
        <w:autoSpaceDE/>
        <w:autoSpaceDN/>
        <w:bidi w:val="0"/>
        <w:adjustRightInd/>
        <w:snapToGrid/>
        <w:spacing w:line="348" w:lineRule="auto"/>
        <w:ind w:firstLine="482" w:firstLineChars="200"/>
        <w:jc w:val="lef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rPr>
        <w:t>4.2</w:t>
      </w:r>
      <w:r>
        <w:rPr>
          <w:rFonts w:hint="eastAsia" w:ascii="宋体" w:hAnsi="宋体" w:eastAsia="宋体" w:cs="宋体"/>
          <w:b/>
          <w:bCs w:val="0"/>
          <w:snapToGrid w:val="0"/>
          <w:color w:val="auto"/>
          <w:kern w:val="0"/>
          <w:sz w:val="24"/>
          <w:szCs w:val="24"/>
          <w:highlight w:val="none"/>
          <w:lang w:val="en-US" w:eastAsia="zh-CN"/>
        </w:rPr>
        <w:t>3.</w:t>
      </w:r>
      <w:r>
        <w:rPr>
          <w:rFonts w:hint="eastAsia" w:ascii="宋体" w:hAnsi="宋体" w:eastAsia="宋体" w:cs="宋体"/>
          <w:b w:val="0"/>
          <w:bCs/>
          <w:snapToGrid w:val="0"/>
          <w:color w:val="auto"/>
          <w:kern w:val="0"/>
          <w:sz w:val="24"/>
          <w:szCs w:val="24"/>
          <w:highlight w:val="none"/>
        </w:rPr>
        <w:t xml:space="preserve"> 承包人应按韶关市住房和城乡建设管理局、韶关市人力资源和社会保障局等职能部门对用工实名制的相关规定,落实工人及相关软硬件设施要求。</w:t>
      </w:r>
    </w:p>
    <w:p w14:paraId="480A1774">
      <w:pPr>
        <w:pStyle w:val="3"/>
        <w:wordWrap w:val="0"/>
        <w:autoSpaceDE/>
        <w:autoSpaceDN/>
        <w:snapToGrid w:val="0"/>
        <w:spacing w:line="440" w:lineRule="exact"/>
        <w:jc w:val="center"/>
        <w:rPr>
          <w:rFonts w:hint="eastAsia" w:ascii="宋体" w:hAnsi="宋体" w:eastAsia="宋体" w:cs="宋体"/>
          <w:b/>
          <w:snapToGrid w:val="0"/>
          <w:color w:val="auto"/>
          <w:sz w:val="24"/>
          <w:highlight w:val="none"/>
          <w:lang w:val="en-US" w:eastAsia="zh-CN"/>
        </w:rPr>
      </w:pPr>
      <w:bookmarkStart w:id="228" w:name="_Toc3051"/>
      <w:bookmarkStart w:id="229" w:name="_Toc9687"/>
      <w:r>
        <w:rPr>
          <w:rFonts w:hint="eastAsia" w:ascii="宋体" w:hAnsi="宋体" w:eastAsia="宋体" w:cs="宋体"/>
          <w:b/>
          <w:snapToGrid w:val="0"/>
          <w:color w:val="auto"/>
          <w:sz w:val="24"/>
          <w:highlight w:val="none"/>
          <w:lang w:val="en-US" w:eastAsia="zh-CN"/>
        </w:rPr>
        <w:t>第四章</w:t>
      </w:r>
      <w:bookmarkStart w:id="230" w:name="_Hlt87793853"/>
      <w:bookmarkEnd w:id="230"/>
      <w:r>
        <w:rPr>
          <w:rFonts w:hint="eastAsia" w:ascii="宋体" w:hAnsi="宋体" w:eastAsia="宋体" w:cs="宋体"/>
          <w:b/>
          <w:snapToGrid w:val="0"/>
          <w:color w:val="auto"/>
          <w:sz w:val="24"/>
          <w:highlight w:val="none"/>
          <w:lang w:val="en-US" w:eastAsia="zh-CN"/>
        </w:rPr>
        <w:t xml:space="preserve"> 技术要求</w:t>
      </w:r>
      <w:bookmarkEnd w:id="204"/>
      <w:bookmarkEnd w:id="228"/>
      <w:bookmarkEnd w:id="229"/>
    </w:p>
    <w:bookmarkEnd w:id="205"/>
    <w:p w14:paraId="57C20EFC">
      <w:pPr>
        <w:pStyle w:val="5"/>
        <w:keepNext w:val="0"/>
        <w:keepLines w:val="0"/>
        <w:wordWrap w:val="0"/>
        <w:adjustRightInd w:val="0"/>
        <w:snapToGrid w:val="0"/>
        <w:spacing w:before="0" w:after="0" w:line="440" w:lineRule="exact"/>
        <w:ind w:left="643"/>
        <w:jc w:val="both"/>
        <w:rPr>
          <w:rFonts w:hint="eastAsia" w:ascii="宋体" w:hAnsi="宋体" w:eastAsia="宋体" w:cs="宋体"/>
          <w:b/>
          <w:snapToGrid w:val="0"/>
          <w:color w:val="auto"/>
          <w:kern w:val="0"/>
          <w:highlight w:val="none"/>
        </w:rPr>
      </w:pPr>
      <w:bookmarkStart w:id="231" w:name="_Hlt87793346"/>
      <w:bookmarkEnd w:id="231"/>
      <w:bookmarkStart w:id="232" w:name="_Hlt75685840"/>
      <w:bookmarkEnd w:id="232"/>
      <w:bookmarkStart w:id="233" w:name="_Hlt69357851"/>
      <w:bookmarkEnd w:id="233"/>
      <w:bookmarkStart w:id="234" w:name="_Hlt69358207"/>
      <w:bookmarkEnd w:id="234"/>
      <w:bookmarkStart w:id="235" w:name="_Hlt66104926"/>
      <w:bookmarkEnd w:id="235"/>
      <w:bookmarkStart w:id="236" w:name="_Hlt68774758"/>
      <w:bookmarkEnd w:id="236"/>
      <w:bookmarkStart w:id="237" w:name="_Hlt69359335"/>
      <w:bookmarkEnd w:id="237"/>
      <w:bookmarkStart w:id="238" w:name="_Hlt69265216"/>
      <w:bookmarkEnd w:id="238"/>
      <w:bookmarkStart w:id="239" w:name="_Hlt87793370"/>
      <w:bookmarkEnd w:id="239"/>
      <w:bookmarkStart w:id="240" w:name="_Hlt80411122"/>
      <w:bookmarkEnd w:id="240"/>
      <w:bookmarkStart w:id="241" w:name="_Hlt69116854"/>
      <w:bookmarkEnd w:id="241"/>
    </w:p>
    <w:p w14:paraId="4554505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bookmarkStart w:id="242" w:name="_Toc16624372"/>
      <w:bookmarkStart w:id="243" w:name="_Toc16624718"/>
      <w:bookmarkStart w:id="244" w:name="_Toc23896"/>
      <w:bookmarkStart w:id="245" w:name="_Toc16624434"/>
      <w:bookmarkStart w:id="246" w:name="_Toc26211"/>
      <w:bookmarkStart w:id="247" w:name="_Toc8650"/>
      <w:r>
        <w:rPr>
          <w:rFonts w:hint="eastAsia" w:ascii="宋体" w:hAnsi="宋体" w:eastAsia="宋体" w:cs="宋体"/>
        </w:rPr>
        <w:t>1</w:t>
      </w:r>
      <w:r>
        <w:rPr>
          <w:rFonts w:hint="eastAsia" w:ascii="宋体" w:hAnsi="宋体" w:eastAsia="宋体" w:cs="宋体"/>
          <w:lang w:val="en-US" w:eastAsia="zh-CN"/>
        </w:rPr>
        <w:t>.</w:t>
      </w:r>
      <w:r>
        <w:rPr>
          <w:rFonts w:hint="eastAsia" w:ascii="宋体" w:hAnsi="宋体" w:eastAsia="宋体" w:cs="宋体"/>
        </w:rPr>
        <w:t>工程的技术要求</w:t>
      </w:r>
      <w:bookmarkEnd w:id="242"/>
      <w:bookmarkEnd w:id="243"/>
      <w:bookmarkEnd w:id="244"/>
      <w:bookmarkEnd w:id="245"/>
      <w:bookmarkEnd w:id="246"/>
      <w:bookmarkEnd w:id="247"/>
    </w:p>
    <w:p w14:paraId="4E1169C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w:t>
      </w:r>
      <w:r>
        <w:rPr>
          <w:rFonts w:hint="eastAsia" w:ascii="宋体" w:hAnsi="宋体" w:eastAsia="宋体" w:cs="宋体"/>
        </w:rPr>
        <w:t xml:space="preserve">《光伏发电站设计标准》( GB 50797-2012[2024年局部修订]) </w:t>
      </w:r>
    </w:p>
    <w:p w14:paraId="57A1C3B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2</w:t>
      </w:r>
      <w:r>
        <w:rPr>
          <w:rFonts w:hint="eastAsia" w:ascii="宋体" w:hAnsi="宋体" w:eastAsia="宋体" w:cs="宋体"/>
          <w:lang w:eastAsia="zh-CN"/>
        </w:rPr>
        <w:t>）</w:t>
      </w:r>
      <w:r>
        <w:rPr>
          <w:rFonts w:hint="eastAsia" w:ascii="宋体" w:hAnsi="宋体" w:eastAsia="宋体" w:cs="宋体"/>
        </w:rPr>
        <w:t xml:space="preserve">《分布式电源孤岛运行控制规范》(NB/T 33013-2014) </w:t>
      </w:r>
    </w:p>
    <w:p w14:paraId="496BECA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3</w:t>
      </w:r>
      <w:r>
        <w:rPr>
          <w:rFonts w:hint="eastAsia" w:ascii="宋体" w:hAnsi="宋体" w:eastAsia="宋体" w:cs="宋体"/>
          <w:lang w:eastAsia="zh-CN"/>
        </w:rPr>
        <w:t>）</w:t>
      </w:r>
      <w:r>
        <w:rPr>
          <w:rFonts w:hint="eastAsia" w:ascii="宋体" w:hAnsi="宋体" w:eastAsia="宋体" w:cs="宋体"/>
        </w:rPr>
        <w:t xml:space="preserve">《分布式电源接入电网监控系统功能规范》(NB/T 33012-2014) </w:t>
      </w:r>
    </w:p>
    <w:p w14:paraId="7C1D09B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4</w:t>
      </w:r>
      <w:r>
        <w:rPr>
          <w:rFonts w:hint="eastAsia" w:ascii="宋体" w:hAnsi="宋体" w:eastAsia="宋体" w:cs="宋体"/>
          <w:lang w:eastAsia="zh-CN"/>
        </w:rPr>
        <w:t>）</w:t>
      </w:r>
      <w:r>
        <w:rPr>
          <w:rFonts w:hint="eastAsia" w:ascii="宋体" w:hAnsi="宋体" w:eastAsia="宋体" w:cs="宋体"/>
        </w:rPr>
        <w:t xml:space="preserve">《分布式电源接入电网运行控制规范》(NB/T 33010-2014) </w:t>
      </w:r>
    </w:p>
    <w:p w14:paraId="1BAE36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5</w:t>
      </w:r>
      <w:r>
        <w:rPr>
          <w:rFonts w:hint="eastAsia" w:ascii="宋体" w:hAnsi="宋体" w:eastAsia="宋体" w:cs="宋体"/>
          <w:lang w:eastAsia="zh-CN"/>
        </w:rPr>
        <w:t>）</w:t>
      </w:r>
      <w:r>
        <w:rPr>
          <w:rFonts w:hint="eastAsia" w:ascii="宋体" w:hAnsi="宋体" w:eastAsia="宋体" w:cs="宋体"/>
        </w:rPr>
        <w:t xml:space="preserve">《光伏发电站接入电力系统技术规定》(GB/T 19964-2024) </w:t>
      </w:r>
    </w:p>
    <w:p w14:paraId="576ACF9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6</w:t>
      </w:r>
      <w:r>
        <w:rPr>
          <w:rFonts w:hint="eastAsia" w:ascii="宋体" w:hAnsi="宋体" w:eastAsia="宋体" w:cs="宋体"/>
          <w:lang w:eastAsia="zh-CN"/>
        </w:rPr>
        <w:t>）</w:t>
      </w:r>
      <w:r>
        <w:rPr>
          <w:rFonts w:hint="eastAsia" w:ascii="宋体" w:hAnsi="宋体" w:eastAsia="宋体" w:cs="宋体"/>
        </w:rPr>
        <w:t xml:space="preserve">《光伏发电站接入电力系统设计规范》(GB/T 50866-2013) </w:t>
      </w:r>
    </w:p>
    <w:p w14:paraId="29FCE26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7</w:t>
      </w:r>
      <w:r>
        <w:rPr>
          <w:rFonts w:hint="eastAsia" w:ascii="宋体" w:hAnsi="宋体" w:eastAsia="宋体" w:cs="宋体"/>
          <w:lang w:eastAsia="zh-CN"/>
        </w:rPr>
        <w:t>）</w:t>
      </w:r>
      <w:r>
        <w:rPr>
          <w:rFonts w:hint="eastAsia" w:ascii="宋体" w:hAnsi="宋体" w:eastAsia="宋体" w:cs="宋体"/>
        </w:rPr>
        <w:t>《</w:t>
      </w:r>
      <w:bookmarkStart w:id="248" w:name="OLE_LINK6"/>
      <w:r>
        <w:rPr>
          <w:rFonts w:hint="eastAsia" w:ascii="宋体" w:hAnsi="宋体" w:eastAsia="宋体" w:cs="宋体"/>
        </w:rPr>
        <w:t>分布式电源并网技术要求》</w:t>
      </w:r>
      <w:bookmarkEnd w:id="248"/>
      <w:r>
        <w:rPr>
          <w:rFonts w:hint="eastAsia" w:ascii="宋体" w:hAnsi="宋体" w:eastAsia="宋体" w:cs="宋体"/>
        </w:rPr>
        <w:t xml:space="preserve">( GB/T 33593-2017) </w:t>
      </w:r>
    </w:p>
    <w:p w14:paraId="59AA395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8</w:t>
      </w:r>
      <w:r>
        <w:rPr>
          <w:rFonts w:hint="eastAsia" w:ascii="宋体" w:hAnsi="宋体" w:eastAsia="宋体" w:cs="宋体"/>
          <w:lang w:eastAsia="zh-CN"/>
        </w:rPr>
        <w:t>）</w:t>
      </w:r>
      <w:r>
        <w:rPr>
          <w:rFonts w:hint="eastAsia" w:ascii="宋体" w:hAnsi="宋体" w:eastAsia="宋体" w:cs="宋体"/>
        </w:rPr>
        <w:t xml:space="preserve">《光伏发电站并网运行控制规范》(GB/T 33599-2017) </w:t>
      </w:r>
    </w:p>
    <w:p w14:paraId="5FC8DDA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9</w:t>
      </w:r>
      <w:r>
        <w:rPr>
          <w:rFonts w:hint="eastAsia" w:ascii="宋体" w:hAnsi="宋体" w:eastAsia="宋体" w:cs="宋体"/>
          <w:lang w:eastAsia="zh-CN"/>
        </w:rPr>
        <w:t>）</w:t>
      </w:r>
      <w:r>
        <w:rPr>
          <w:rFonts w:hint="eastAsia" w:ascii="宋体" w:hAnsi="宋体" w:eastAsia="宋体" w:cs="宋体"/>
        </w:rPr>
        <w:t xml:space="preserve">《电力工程直流电源系统设计技术规程》( DL/T 5044-2014) </w:t>
      </w:r>
    </w:p>
    <w:p w14:paraId="7E9BF51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bookmarkStart w:id="249" w:name="OLE_LINK7"/>
      <w:r>
        <w:rPr>
          <w:rFonts w:hint="eastAsia" w:ascii="宋体" w:hAnsi="宋体" w:eastAsia="宋体" w:cs="宋体"/>
          <w:lang w:eastAsia="zh-CN"/>
        </w:rPr>
        <w:t>（</w:t>
      </w:r>
      <w:r>
        <w:rPr>
          <w:rFonts w:hint="eastAsia" w:ascii="宋体" w:hAnsi="宋体" w:eastAsia="宋体" w:cs="宋体"/>
          <w:lang w:val="en-US" w:eastAsia="zh-CN"/>
        </w:rPr>
        <w:t>10</w:t>
      </w:r>
      <w:r>
        <w:rPr>
          <w:rFonts w:hint="eastAsia" w:ascii="宋体" w:hAnsi="宋体" w:eastAsia="宋体" w:cs="宋体"/>
          <w:lang w:eastAsia="zh-CN"/>
        </w:rPr>
        <w:t>）</w:t>
      </w:r>
      <w:r>
        <w:rPr>
          <w:rFonts w:hint="eastAsia" w:ascii="宋体" w:hAnsi="宋体" w:eastAsia="宋体" w:cs="宋体"/>
        </w:rPr>
        <w:t>《电力系统安全自动装置设计规范》</w:t>
      </w:r>
      <w:bookmarkEnd w:id="249"/>
      <w:r>
        <w:rPr>
          <w:rFonts w:hint="eastAsia" w:ascii="宋体" w:hAnsi="宋体" w:eastAsia="宋体" w:cs="宋体"/>
        </w:rPr>
        <w:t>（GB/T 50703-2011）</w:t>
      </w:r>
    </w:p>
    <w:p w14:paraId="39F0300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11</w:t>
      </w:r>
      <w:r>
        <w:rPr>
          <w:rFonts w:hint="eastAsia" w:ascii="宋体" w:hAnsi="宋体" w:eastAsia="宋体" w:cs="宋体"/>
          <w:lang w:eastAsia="zh-CN"/>
        </w:rPr>
        <w:t>）</w:t>
      </w:r>
      <w:r>
        <w:rPr>
          <w:rFonts w:hint="eastAsia" w:ascii="宋体" w:hAnsi="宋体" w:eastAsia="宋体" w:cs="宋体"/>
        </w:rPr>
        <w:t xml:space="preserve">《电力装置的继电保护和自动装置设计规范》(GB/T 50062-2008) </w:t>
      </w:r>
    </w:p>
    <w:p w14:paraId="143C8F4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12</w:t>
      </w:r>
      <w:r>
        <w:rPr>
          <w:rFonts w:hint="eastAsia" w:ascii="宋体" w:hAnsi="宋体" w:eastAsia="宋体" w:cs="宋体"/>
          <w:lang w:eastAsia="zh-CN"/>
        </w:rPr>
        <w:t>）</w:t>
      </w:r>
      <w:r>
        <w:rPr>
          <w:rFonts w:hint="eastAsia" w:ascii="宋体" w:hAnsi="宋体" w:eastAsia="宋体" w:cs="宋体"/>
        </w:rPr>
        <w:t xml:space="preserve">《火力发电厂、变电站二次接线设计技术规程》(DL/T5136-2012) </w:t>
      </w:r>
    </w:p>
    <w:p w14:paraId="23A34CE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13</w:t>
      </w:r>
      <w:r>
        <w:rPr>
          <w:rFonts w:hint="eastAsia" w:ascii="宋体" w:hAnsi="宋体" w:eastAsia="宋体" w:cs="宋体"/>
          <w:lang w:eastAsia="zh-CN"/>
        </w:rPr>
        <w:t>）</w:t>
      </w:r>
      <w:r>
        <w:rPr>
          <w:rFonts w:hint="eastAsia" w:ascii="宋体" w:hAnsi="宋体" w:eastAsia="宋体" w:cs="宋体"/>
        </w:rPr>
        <w:t xml:space="preserve">《电能量计量系统设计规程》(DL/T 5202-2022) </w:t>
      </w:r>
    </w:p>
    <w:p w14:paraId="2775CE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14</w:t>
      </w:r>
      <w:r>
        <w:rPr>
          <w:rFonts w:hint="eastAsia" w:ascii="宋体" w:hAnsi="宋体" w:eastAsia="宋体" w:cs="宋体"/>
          <w:lang w:eastAsia="zh-CN"/>
        </w:rPr>
        <w:t>）</w:t>
      </w:r>
      <w:r>
        <w:rPr>
          <w:rFonts w:hint="eastAsia" w:ascii="宋体" w:hAnsi="宋体" w:eastAsia="宋体" w:cs="宋体"/>
        </w:rPr>
        <w:t xml:space="preserve">《变电工程总布置设计规程》(DL/T 5056-2024) </w:t>
      </w:r>
    </w:p>
    <w:p w14:paraId="66D0758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15</w:t>
      </w:r>
      <w:r>
        <w:rPr>
          <w:rFonts w:hint="eastAsia" w:ascii="宋体" w:hAnsi="宋体" w:eastAsia="宋体" w:cs="宋体"/>
          <w:lang w:eastAsia="zh-CN"/>
        </w:rPr>
        <w:t>）</w:t>
      </w:r>
      <w:r>
        <w:rPr>
          <w:rFonts w:hint="eastAsia" w:ascii="宋体" w:hAnsi="宋体" w:eastAsia="宋体" w:cs="宋体"/>
        </w:rPr>
        <w:t xml:space="preserve">《电力设备典型消防规程》(DL 5027-2015) </w:t>
      </w:r>
    </w:p>
    <w:p w14:paraId="66A0EF8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16</w:t>
      </w:r>
      <w:r>
        <w:rPr>
          <w:rFonts w:hint="eastAsia" w:ascii="宋体" w:hAnsi="宋体" w:eastAsia="宋体" w:cs="宋体"/>
          <w:lang w:eastAsia="zh-CN"/>
        </w:rPr>
        <w:t>）</w:t>
      </w:r>
      <w:r>
        <w:rPr>
          <w:rFonts w:hint="eastAsia" w:ascii="宋体" w:hAnsi="宋体" w:eastAsia="宋体" w:cs="宋体"/>
        </w:rPr>
        <w:t xml:space="preserve">《电能质量公用电网谐波》(GB/T14549-1993) </w:t>
      </w:r>
    </w:p>
    <w:p w14:paraId="29CD261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17</w:t>
      </w:r>
      <w:r>
        <w:rPr>
          <w:rFonts w:hint="eastAsia" w:ascii="宋体" w:hAnsi="宋体" w:eastAsia="宋体" w:cs="宋体"/>
          <w:lang w:eastAsia="zh-CN"/>
        </w:rPr>
        <w:t>）</w:t>
      </w:r>
      <w:r>
        <w:rPr>
          <w:rFonts w:hint="eastAsia" w:ascii="宋体" w:hAnsi="宋体" w:eastAsia="宋体" w:cs="宋体"/>
        </w:rPr>
        <w:t xml:space="preserve">《电能质量 三相电压不平衡》(GB/T15543-2008) </w:t>
      </w:r>
    </w:p>
    <w:p w14:paraId="395A334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18</w:t>
      </w:r>
      <w:r>
        <w:rPr>
          <w:rFonts w:hint="eastAsia" w:ascii="宋体" w:hAnsi="宋体" w:eastAsia="宋体" w:cs="宋体"/>
          <w:lang w:eastAsia="zh-CN"/>
        </w:rPr>
        <w:t>）</w:t>
      </w:r>
      <w:r>
        <w:rPr>
          <w:rFonts w:hint="eastAsia" w:ascii="宋体" w:hAnsi="宋体" w:eastAsia="宋体" w:cs="宋体"/>
        </w:rPr>
        <w:t xml:space="preserve">《电能质量 供电电压偏差》(GB/T12325-2008) </w:t>
      </w:r>
    </w:p>
    <w:p w14:paraId="4C66DD4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19</w:t>
      </w:r>
      <w:r>
        <w:rPr>
          <w:rFonts w:hint="eastAsia" w:ascii="宋体" w:hAnsi="宋体" w:eastAsia="宋体" w:cs="宋体"/>
          <w:lang w:eastAsia="zh-CN"/>
        </w:rPr>
        <w:t>）</w:t>
      </w:r>
      <w:r>
        <w:rPr>
          <w:rFonts w:hint="eastAsia" w:ascii="宋体" w:hAnsi="宋体" w:eastAsia="宋体" w:cs="宋体"/>
        </w:rPr>
        <w:t>《电能质量电力系统频率偏差》(GB/T15945-2008)</w:t>
      </w:r>
    </w:p>
    <w:p w14:paraId="42EE622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20</w:t>
      </w:r>
      <w:r>
        <w:rPr>
          <w:rFonts w:hint="eastAsia" w:ascii="宋体" w:hAnsi="宋体" w:eastAsia="宋体" w:cs="宋体"/>
          <w:lang w:eastAsia="zh-CN"/>
        </w:rPr>
        <w:t>）</w:t>
      </w:r>
      <w:r>
        <w:rPr>
          <w:rFonts w:hint="eastAsia" w:ascii="宋体" w:hAnsi="宋体" w:eastAsia="宋体" w:cs="宋体"/>
        </w:rPr>
        <w:t>《屋面工程质量验收规范》GB 50207-2012</w:t>
      </w:r>
    </w:p>
    <w:p w14:paraId="4E93925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21</w:t>
      </w:r>
      <w:r>
        <w:rPr>
          <w:rFonts w:hint="eastAsia" w:ascii="宋体" w:hAnsi="宋体" w:eastAsia="宋体" w:cs="宋体"/>
          <w:lang w:eastAsia="zh-CN"/>
        </w:rPr>
        <w:t>）</w:t>
      </w:r>
      <w:r>
        <w:rPr>
          <w:rFonts w:hint="eastAsia" w:ascii="宋体" w:hAnsi="宋体" w:eastAsia="宋体" w:cs="宋体"/>
        </w:rPr>
        <w:t>《建筑电气工程施工质量验收规范》GB 50303-2015</w:t>
      </w:r>
    </w:p>
    <w:p w14:paraId="57ED46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《光伏系统并网技术要求》（GB/T 19939）；</w:t>
      </w:r>
    </w:p>
    <w:p w14:paraId="3D76550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《建筑物防雷设计规范》(GB 50057)；</w:t>
      </w:r>
    </w:p>
    <w:p w14:paraId="385802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（24）《交流电气装置的接地》(DL/T 621)；</w:t>
      </w:r>
    </w:p>
    <w:p w14:paraId="0FCD452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（25）《光伏组件安全鉴定》（GB/T 7.1）；</w:t>
      </w:r>
    </w:p>
    <w:p w14:paraId="0071528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（26）《光伏支架基础设计规范》（JGJ/T 452-2018）； </w:t>
      </w:r>
    </w:p>
    <w:p w14:paraId="65B3FD7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（27）《电磁环境控制限值》（GB 8702） </w:t>
      </w:r>
    </w:p>
    <w:p w14:paraId="504950B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（28）《噪声污染防治标准》（GB 3096） </w:t>
      </w:r>
    </w:p>
    <w:p w14:paraId="4DB7E06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（29）《建筑光伏系统技术标准》 </w:t>
      </w:r>
    </w:p>
    <w:p w14:paraId="3899EA0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（30）《工程结构通用规范》（GB55001-2021）； </w:t>
      </w:r>
    </w:p>
    <w:p w14:paraId="0B15179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（31）《城市用地分类与规划建设用地标准》（GB50137-2011）； </w:t>
      </w:r>
    </w:p>
    <w:p w14:paraId="48039B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（32）《绿色建筑评价标准》（GB/T 50378-2019）； </w:t>
      </w:r>
    </w:p>
    <w:p w14:paraId="4C3B31D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（33）《电能计量装置技术管理规程》（DL/T 448） </w:t>
      </w:r>
    </w:p>
    <w:p w14:paraId="07A35E6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（34）《电力系统通信自动交换网技术规范》（DL/T 598）； </w:t>
      </w:r>
    </w:p>
    <w:p w14:paraId="45CAFC6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（35）《交流电气装置的过电压保护和绝缘配合》(DL/T 620)；</w:t>
      </w:r>
    </w:p>
    <w:p w14:paraId="6793ACC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（36）《高压配电装置设计技术规程》(DL/T 5352) </w:t>
      </w:r>
    </w:p>
    <w:p w14:paraId="6F0687B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（37）《电力工程电缆设计规范》（GB 50217）； </w:t>
      </w:r>
    </w:p>
    <w:p w14:paraId="6624E40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（38）《建筑结构可靠性设计统一标准 GB》(50068-2018)； </w:t>
      </w:r>
    </w:p>
    <w:p w14:paraId="3BE602D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（39）《混凝土结构设计规范》GB50010-2010（2015 年版）； </w:t>
      </w:r>
    </w:p>
    <w:p w14:paraId="3F628B0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（40）《建筑地基基础设计规范》(GB50007-2011)； </w:t>
      </w:r>
    </w:p>
    <w:p w14:paraId="1F65E59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（41）《建筑工程抗震设防分类标准》(GB50223-2008)； </w:t>
      </w:r>
    </w:p>
    <w:p w14:paraId="1F5087F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（42）《建筑抗震设计规范》GB50011-2010（2016 年版)； </w:t>
      </w:r>
    </w:p>
    <w:p w14:paraId="28DE762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（43）《工程结构通用规范》（GB55001-2021）； </w:t>
      </w:r>
    </w:p>
    <w:p w14:paraId="5172CC6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（44）《建筑节能与可再生能源利用通用规范》（GB 55015-2021）； </w:t>
      </w:r>
    </w:p>
    <w:p w14:paraId="720D135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 xml:space="preserve">（45）《建筑环境通用规范》（GB55016-2021）； </w:t>
      </w:r>
    </w:p>
    <w:p w14:paraId="0F05820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（46）《建筑防火通用规范》（GB55037-2022）</w:t>
      </w:r>
      <w:r>
        <w:rPr>
          <w:rFonts w:hint="eastAsia" w:ascii="宋体" w:hAnsi="宋体" w:eastAsia="宋体" w:cs="宋体"/>
        </w:rPr>
        <w:t>。</w:t>
      </w:r>
    </w:p>
    <w:p w14:paraId="0478CCB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p>
    <w:p w14:paraId="2F624FC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．备查要求</w:t>
      </w:r>
    </w:p>
    <w:p w14:paraId="67F4493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trike/>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r>
        <w:rPr>
          <w:rFonts w:hint="eastAsia" w:ascii="宋体" w:hAnsi="宋体" w:eastAsia="宋体" w:cs="宋体"/>
        </w:rPr>
        <w:t>承包人必须在施工现场准备至少一套上述规范，发包人和监理单位可随时检查承包人的上述规范，并监督承包人按规范要求执行。</w:t>
      </w:r>
      <w:bookmarkStart w:id="250" w:name="_Hlt69670335"/>
      <w:bookmarkEnd w:id="250"/>
    </w:p>
    <w:p w14:paraId="65C74E2D">
      <w:pPr>
        <w:pStyle w:val="3"/>
        <w:wordWrap w:val="0"/>
        <w:autoSpaceDE/>
        <w:autoSpaceDN/>
        <w:snapToGrid w:val="0"/>
        <w:spacing w:line="440" w:lineRule="exact"/>
        <w:jc w:val="center"/>
        <w:rPr>
          <w:rFonts w:hint="eastAsia" w:ascii="宋体" w:hAnsi="宋体" w:eastAsia="宋体" w:cs="宋体"/>
          <w:b/>
          <w:snapToGrid w:val="0"/>
          <w:color w:val="auto"/>
          <w:sz w:val="24"/>
          <w:highlight w:val="none"/>
          <w:lang w:val="en-US" w:eastAsia="zh-CN"/>
        </w:rPr>
      </w:pPr>
      <w:bookmarkStart w:id="251" w:name="_Hlt69265207"/>
      <w:bookmarkEnd w:id="251"/>
      <w:bookmarkStart w:id="252" w:name="_Hlt69635247"/>
      <w:bookmarkEnd w:id="252"/>
      <w:bookmarkStart w:id="253" w:name="_Hlt69116863"/>
      <w:bookmarkEnd w:id="253"/>
      <w:bookmarkStart w:id="254" w:name="_Hlt69358336"/>
      <w:bookmarkEnd w:id="254"/>
      <w:bookmarkStart w:id="255" w:name="_Hlt69338190"/>
      <w:bookmarkEnd w:id="255"/>
      <w:bookmarkStart w:id="256" w:name="_Hlt66848640"/>
      <w:bookmarkEnd w:id="256"/>
      <w:bookmarkStart w:id="257" w:name="_Toc10987"/>
      <w:bookmarkStart w:id="258" w:name="_Toc29329"/>
      <w:bookmarkStart w:id="259" w:name="_Toc10057"/>
      <w:r>
        <w:rPr>
          <w:rFonts w:hint="eastAsia" w:ascii="宋体" w:hAnsi="宋体" w:eastAsia="宋体" w:cs="宋体"/>
          <w:b/>
          <w:snapToGrid w:val="0"/>
          <w:color w:val="auto"/>
          <w:sz w:val="24"/>
          <w:highlight w:val="none"/>
          <w:lang w:val="en-US" w:eastAsia="zh-CN"/>
        </w:rPr>
        <w:t>第五章</w:t>
      </w:r>
      <w:bookmarkStart w:id="260" w:name="_Hlt87793860"/>
      <w:bookmarkEnd w:id="260"/>
      <w:r>
        <w:rPr>
          <w:rFonts w:hint="eastAsia" w:ascii="宋体" w:hAnsi="宋体" w:eastAsia="宋体" w:cs="宋体"/>
          <w:b/>
          <w:snapToGrid w:val="0"/>
          <w:color w:val="auto"/>
          <w:sz w:val="24"/>
          <w:highlight w:val="none"/>
          <w:lang w:val="en-US" w:eastAsia="zh-CN"/>
        </w:rPr>
        <w:t xml:space="preserve"> 图纸和招标工程</w:t>
      </w:r>
      <w:bookmarkStart w:id="261" w:name="_Hlt69669215"/>
      <w:bookmarkEnd w:id="261"/>
      <w:r>
        <w:rPr>
          <w:rFonts w:hint="eastAsia" w:ascii="宋体" w:hAnsi="宋体" w:eastAsia="宋体" w:cs="宋体"/>
          <w:b/>
          <w:snapToGrid w:val="0"/>
          <w:color w:val="auto"/>
          <w:sz w:val="24"/>
          <w:highlight w:val="none"/>
          <w:lang w:val="en-US" w:eastAsia="zh-CN"/>
        </w:rPr>
        <w:t>量清单</w:t>
      </w:r>
      <w:bookmarkEnd w:id="257"/>
      <w:bookmarkEnd w:id="258"/>
      <w:bookmarkEnd w:id="259"/>
    </w:p>
    <w:p w14:paraId="3E291842">
      <w:pPr>
        <w:wordWrap w:val="0"/>
        <w:adjustRightInd w:val="0"/>
        <w:snapToGrid w:val="0"/>
        <w:spacing w:line="440" w:lineRule="exact"/>
        <w:ind w:firstLine="480" w:firstLineChars="200"/>
        <w:rPr>
          <w:rFonts w:hint="eastAsia" w:ascii="宋体" w:hAnsi="宋体" w:eastAsia="宋体" w:cs="宋体"/>
          <w:snapToGrid w:val="0"/>
          <w:color w:val="auto"/>
          <w:kern w:val="0"/>
          <w:highlight w:val="none"/>
        </w:rPr>
      </w:pPr>
      <w:bookmarkStart w:id="262" w:name="_Hlt69669182"/>
      <w:bookmarkEnd w:id="262"/>
      <w:bookmarkStart w:id="263" w:name="_Hlt75747203"/>
      <w:bookmarkEnd w:id="263"/>
      <w:bookmarkStart w:id="264" w:name="_Hlt87793868"/>
      <w:bookmarkEnd w:id="264"/>
      <w:bookmarkStart w:id="265" w:name="_Hlt66104919"/>
      <w:bookmarkEnd w:id="265"/>
      <w:bookmarkStart w:id="266" w:name="_Toc25252"/>
      <w:bookmarkStart w:id="267" w:name="_Hlt69698785"/>
    </w:p>
    <w:p w14:paraId="31CAC6F2">
      <w:pPr>
        <w:pStyle w:val="5"/>
        <w:bidi w:val="0"/>
        <w:spacing w:line="360" w:lineRule="auto"/>
        <w:ind w:firstLine="964"/>
        <w:rPr>
          <w:rFonts w:hint="eastAsia" w:ascii="宋体" w:hAnsi="宋体" w:eastAsia="宋体" w:cs="宋体"/>
          <w:color w:val="auto"/>
        </w:rPr>
      </w:pPr>
      <w:bookmarkStart w:id="268" w:name="_Toc28153"/>
      <w:r>
        <w:rPr>
          <w:rFonts w:hint="eastAsia" w:ascii="宋体" w:hAnsi="宋体" w:eastAsia="宋体" w:cs="宋体"/>
          <w:color w:val="auto"/>
        </w:rPr>
        <w:t>1．图纸</w:t>
      </w:r>
      <w:bookmarkEnd w:id="268"/>
    </w:p>
    <w:p w14:paraId="1C045677">
      <w:pPr>
        <w:wordWrap w:val="0"/>
        <w:adjustRightInd w:val="0"/>
        <w:snapToGrid w:val="0"/>
        <w:spacing w:line="360" w:lineRule="auto"/>
        <w:ind w:firstLine="480" w:firstLineChars="200"/>
        <w:rPr>
          <w:rFonts w:hint="eastAsia" w:ascii="宋体" w:hAnsi="宋体" w:eastAsia="宋体" w:cs="宋体"/>
          <w:b w:val="0"/>
          <w:bCs/>
          <w:color w:val="auto"/>
          <w:highlight w:val="none"/>
          <w:lang w:eastAsia="zh-CN"/>
        </w:rPr>
      </w:pPr>
      <w:bookmarkStart w:id="269" w:name="_Toc14740"/>
      <w:r>
        <w:rPr>
          <w:rFonts w:hint="eastAsia" w:ascii="宋体" w:hAnsi="宋体" w:eastAsia="宋体" w:cs="宋体"/>
          <w:snapToGrid w:val="0"/>
          <w:color w:val="auto"/>
          <w:kern w:val="0"/>
          <w:highlight w:val="none"/>
        </w:rPr>
        <w:t>本招标文件随文另附施工图（电子文件）各一套。</w:t>
      </w:r>
    </w:p>
    <w:bookmarkEnd w:id="269"/>
    <w:p w14:paraId="1782A57F">
      <w:pPr>
        <w:pStyle w:val="5"/>
        <w:bidi w:val="0"/>
        <w:spacing w:line="360" w:lineRule="auto"/>
        <w:ind w:firstLine="964"/>
        <w:rPr>
          <w:rFonts w:hint="eastAsia" w:ascii="宋体" w:hAnsi="宋体" w:eastAsia="宋体" w:cs="宋体"/>
          <w:color w:val="auto"/>
        </w:rPr>
      </w:pPr>
      <w:r>
        <w:rPr>
          <w:rFonts w:hint="eastAsia" w:ascii="宋体" w:hAnsi="宋体" w:eastAsia="宋体" w:cs="宋体"/>
          <w:color w:val="auto"/>
        </w:rPr>
        <w:t>2．招标工程量清单</w:t>
      </w:r>
    </w:p>
    <w:p w14:paraId="31DDF78C">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2.1</w:t>
      </w:r>
      <w:r>
        <w:rPr>
          <w:rFonts w:hint="eastAsia" w:ascii="宋体" w:hAnsi="宋体" w:eastAsia="宋体" w:cs="宋体"/>
          <w:snapToGrid w:val="0"/>
          <w:color w:val="auto"/>
          <w:kern w:val="0"/>
          <w:highlight w:val="none"/>
        </w:rPr>
        <w:t xml:space="preserve"> 本招标文件随文另附招标工程量清单一套。</w:t>
      </w:r>
    </w:p>
    <w:p w14:paraId="71F15594">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2.2</w:t>
      </w:r>
      <w:r>
        <w:rPr>
          <w:rFonts w:hint="eastAsia" w:ascii="宋体" w:hAnsi="宋体" w:eastAsia="宋体" w:cs="宋体"/>
          <w:snapToGrid w:val="0"/>
          <w:color w:val="auto"/>
          <w:kern w:val="0"/>
          <w:highlight w:val="none"/>
        </w:rPr>
        <w:t xml:space="preserve"> 本工程按照以下依据编制招标工程量清单：</w:t>
      </w:r>
    </w:p>
    <w:p w14:paraId="28D49375">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w:t>
      </w:r>
      <w:r>
        <w:rPr>
          <w:rFonts w:hint="eastAsia" w:ascii="宋体" w:hAnsi="宋体" w:eastAsia="宋体" w:cs="宋体"/>
          <w:snapToGrid w:val="0"/>
          <w:color w:val="auto"/>
          <w:kern w:val="0"/>
          <w:sz w:val="24"/>
          <w:szCs w:val="24"/>
          <w:highlight w:val="none"/>
          <w:lang w:val="en-US" w:eastAsia="zh-CN"/>
        </w:rPr>
        <w:t>《建设工程工程量清单计价标准》(GB/T50500-2024)</w:t>
      </w:r>
      <w:r>
        <w:rPr>
          <w:rFonts w:hint="eastAsia" w:ascii="宋体" w:hAnsi="宋体" w:eastAsia="宋体" w:cs="宋体"/>
          <w:snapToGrid w:val="0"/>
          <w:color w:val="auto"/>
          <w:kern w:val="0"/>
          <w:highlight w:val="none"/>
        </w:rPr>
        <w:t>；</w:t>
      </w:r>
    </w:p>
    <w:p w14:paraId="7D6D1D2B">
      <w:pPr>
        <w:wordWrap w:val="0"/>
        <w:adjustRightInd w:val="0"/>
        <w:snapToGrid w:val="0"/>
        <w:spacing w:line="360" w:lineRule="auto"/>
        <w:ind w:firstLine="480" w:firstLineChars="200"/>
        <w:rPr>
          <w:rFonts w:hint="eastAsia" w:ascii="宋体" w:hAnsi="宋体" w:eastAsia="宋体" w:cs="宋体"/>
          <w:snapToGrid w:val="0"/>
          <w:color w:val="auto"/>
          <w:kern w:val="0"/>
          <w:highlight w:val="none"/>
          <w:lang w:eastAsia="zh-CN"/>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2</w:t>
      </w:r>
      <w:r>
        <w:rPr>
          <w:rFonts w:hint="eastAsia" w:ascii="宋体" w:hAnsi="宋体" w:eastAsia="宋体" w:cs="宋体"/>
          <w:snapToGrid w:val="0"/>
          <w:color w:val="auto"/>
          <w:kern w:val="0"/>
          <w:highlight w:val="none"/>
        </w:rPr>
        <w:t>）</w:t>
      </w:r>
      <w:r>
        <w:rPr>
          <w:rFonts w:hint="eastAsia" w:hAnsi="宋体" w:cs="宋体"/>
          <w:snapToGrid w:val="0"/>
          <w:color w:val="auto"/>
          <w:kern w:val="0"/>
          <w:highlight w:val="none"/>
          <w:lang w:eastAsia="zh-CN"/>
        </w:rPr>
        <w:t>《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当广东省综合定额子目缺项时，可参考套用最新的电力定额编制。</w:t>
      </w:r>
    </w:p>
    <w:p w14:paraId="27F4BE5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napToGrid w:val="0"/>
          <w:color w:val="auto"/>
          <w:kern w:val="0"/>
          <w:highlight w:val="none"/>
          <w:lang w:eastAsia="zh-CN"/>
        </w:rPr>
      </w:pP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lang w:val="en-US" w:eastAsia="zh-CN"/>
        </w:rPr>
        <w:t>3</w:t>
      </w:r>
      <w:r>
        <w:rPr>
          <w:rFonts w:hint="eastAsia" w:ascii="宋体" w:hAnsi="宋体" w:eastAsia="宋体" w:cs="宋体"/>
          <w:snapToGrid w:val="0"/>
          <w:color w:val="auto"/>
          <w:kern w:val="0"/>
          <w:highlight w:val="none"/>
          <w:lang w:eastAsia="zh-CN"/>
        </w:rPr>
        <w:t>）</w:t>
      </w:r>
      <w:r>
        <w:rPr>
          <w:rFonts w:hint="eastAsia" w:hAnsi="宋体" w:cs="宋体"/>
          <w:snapToGrid w:val="0"/>
          <w:color w:val="auto"/>
          <w:kern w:val="0"/>
          <w:sz w:val="24"/>
          <w:szCs w:val="24"/>
          <w:highlight w:val="none"/>
          <w:lang w:val="en-US" w:eastAsia="zh-CN"/>
        </w:rPr>
        <w:t>《光伏发电工程工程量清单计价规范》</w:t>
      </w:r>
      <w:r>
        <w:rPr>
          <w:rFonts w:hint="eastAsia" w:ascii="宋体" w:hAnsi="宋体" w:eastAsia="宋体" w:cs="宋体"/>
          <w:snapToGrid w:val="0"/>
          <w:color w:val="auto"/>
          <w:kern w:val="0"/>
          <w:sz w:val="24"/>
          <w:szCs w:val="24"/>
          <w:highlight w:val="none"/>
          <w:lang w:val="en-US" w:eastAsia="zh-CN"/>
        </w:rPr>
        <w:t>；</w:t>
      </w:r>
    </w:p>
    <w:p w14:paraId="7B348B6B">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4</w:t>
      </w:r>
      <w:r>
        <w:rPr>
          <w:rFonts w:hint="eastAsia" w:ascii="宋体" w:hAnsi="宋体" w:eastAsia="宋体" w:cs="宋体"/>
          <w:snapToGrid w:val="0"/>
          <w:color w:val="auto"/>
          <w:kern w:val="0"/>
          <w:highlight w:val="none"/>
        </w:rPr>
        <w:t>）施工图及相关资料；</w:t>
      </w:r>
    </w:p>
    <w:p w14:paraId="554436C4">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5</w:t>
      </w:r>
      <w:r>
        <w:rPr>
          <w:rFonts w:hint="eastAsia" w:ascii="宋体" w:hAnsi="宋体" w:eastAsia="宋体" w:cs="宋体"/>
          <w:snapToGrid w:val="0"/>
          <w:color w:val="auto"/>
          <w:kern w:val="0"/>
          <w:highlight w:val="none"/>
        </w:rPr>
        <w:t>）招标文件；</w:t>
      </w:r>
    </w:p>
    <w:p w14:paraId="4D95A811">
      <w:pPr>
        <w:wordWrap w:val="0"/>
        <w:adjustRightInd w:val="0"/>
        <w:snapToGrid w:val="0"/>
        <w:spacing w:line="360" w:lineRule="auto"/>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施工现场情况、地勘水文资料、工程特点及常规施工方案；</w:t>
      </w:r>
    </w:p>
    <w:p w14:paraId="4417B18E">
      <w:pPr>
        <w:wordWrap w:val="0"/>
        <w:adjustRightInd w:val="0"/>
        <w:snapToGrid w:val="0"/>
        <w:spacing w:line="360" w:lineRule="auto"/>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7</w:t>
      </w:r>
      <w:r>
        <w:rPr>
          <w:rFonts w:hint="eastAsia" w:ascii="宋体" w:hAnsi="宋体" w:eastAsia="宋体" w:cs="宋体"/>
          <w:snapToGrid w:val="0"/>
          <w:color w:val="auto"/>
          <w:kern w:val="0"/>
          <w:highlight w:val="none"/>
        </w:rPr>
        <w:t>）与建设工程有关的标准、规范、技术资料。</w:t>
      </w:r>
    </w:p>
    <w:p w14:paraId="0C72BD26">
      <w:pPr>
        <w:wordWrap w:val="0"/>
        <w:adjustRightInd w:val="0"/>
        <w:snapToGrid w:val="0"/>
        <w:spacing w:line="440" w:lineRule="exact"/>
        <w:ind w:firstLine="480"/>
        <w:rPr>
          <w:rFonts w:hint="eastAsia" w:ascii="宋体" w:hAnsi="宋体" w:eastAsia="宋体" w:cs="宋体"/>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2A5E58E8">
      <w:pPr>
        <w:pStyle w:val="3"/>
        <w:wordWrap w:val="0"/>
        <w:autoSpaceDE/>
        <w:autoSpaceDN/>
        <w:snapToGrid w:val="0"/>
        <w:spacing w:line="440" w:lineRule="exact"/>
        <w:jc w:val="center"/>
        <w:rPr>
          <w:rFonts w:hint="eastAsia" w:ascii="宋体" w:hAnsi="宋体" w:eastAsia="宋体" w:cs="宋体"/>
          <w:b/>
          <w:snapToGrid w:val="0"/>
          <w:color w:val="auto"/>
          <w:sz w:val="28"/>
          <w:szCs w:val="21"/>
          <w:highlight w:val="none"/>
          <w:lang w:val="en-US" w:eastAsia="zh-CN"/>
        </w:rPr>
      </w:pPr>
      <w:bookmarkStart w:id="270" w:name="_Toc16415"/>
      <w:bookmarkStart w:id="271" w:name="_Toc22127"/>
      <w:r>
        <w:rPr>
          <w:rFonts w:hint="eastAsia" w:ascii="宋体" w:hAnsi="宋体" w:eastAsia="宋体" w:cs="宋体"/>
          <w:b/>
          <w:snapToGrid w:val="0"/>
          <w:color w:val="auto"/>
          <w:sz w:val="28"/>
          <w:szCs w:val="21"/>
          <w:highlight w:val="none"/>
          <w:lang w:val="en-US" w:eastAsia="zh-CN"/>
        </w:rPr>
        <w:t xml:space="preserve">第六章 </w:t>
      </w:r>
      <w:bookmarkEnd w:id="266"/>
      <w:bookmarkStart w:id="272" w:name="_Hlt75747044"/>
      <w:bookmarkEnd w:id="272"/>
      <w:r>
        <w:rPr>
          <w:rFonts w:hint="eastAsia" w:ascii="宋体" w:hAnsi="宋体" w:eastAsia="宋体" w:cs="宋体"/>
          <w:b/>
          <w:snapToGrid w:val="0"/>
          <w:color w:val="auto"/>
          <w:sz w:val="28"/>
          <w:szCs w:val="21"/>
          <w:highlight w:val="none"/>
          <w:lang w:val="en-US" w:eastAsia="zh-CN"/>
        </w:rPr>
        <w:t>投标文件格式</w:t>
      </w:r>
      <w:bookmarkEnd w:id="270"/>
      <w:bookmarkEnd w:id="271"/>
    </w:p>
    <w:bookmarkEnd w:id="267"/>
    <w:p w14:paraId="3E5CA248">
      <w:pPr>
        <w:pStyle w:val="80"/>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snapToGrid w:val="0"/>
          <w:color w:val="auto"/>
          <w:highlight w:val="none"/>
        </w:rPr>
      </w:pPr>
      <w:bookmarkStart w:id="273" w:name="_附件五：综合评审合理低价法"/>
      <w:bookmarkEnd w:id="273"/>
      <w:bookmarkStart w:id="274" w:name="_附件一：投标函"/>
      <w:bookmarkEnd w:id="274"/>
      <w:bookmarkStart w:id="275" w:name="_附件四：工期承诺书"/>
      <w:bookmarkEnd w:id="275"/>
      <w:bookmarkStart w:id="276" w:name="_附件二：近三年度主要施工项目（竣工及在建）一览表"/>
      <w:bookmarkEnd w:id="276"/>
      <w:bookmarkStart w:id="277" w:name="_附件二：工期承诺书"/>
      <w:bookmarkEnd w:id="277"/>
      <w:bookmarkStart w:id="278" w:name="_附件一：对招标文件条款自愿接受承诺书"/>
      <w:bookmarkEnd w:id="278"/>
      <w:bookmarkStart w:id="279" w:name="_Toc200338097"/>
      <w:bookmarkStart w:id="280" w:name="_Toc137621693"/>
      <w:bookmarkStart w:id="281" w:name="_Toc66849200"/>
      <w:bookmarkStart w:id="282" w:name="_Hlt66847557"/>
    </w:p>
    <w:p w14:paraId="5470CEAB">
      <w:pPr>
        <w:pStyle w:val="5"/>
        <w:bidi w:val="0"/>
        <w:ind w:firstLine="964"/>
        <w:rPr>
          <w:rFonts w:hint="eastAsia" w:ascii="宋体" w:hAnsi="宋体" w:eastAsia="宋体" w:cs="宋体"/>
          <w:color w:val="auto"/>
        </w:rPr>
      </w:pPr>
      <w:bookmarkStart w:id="283" w:name="_Toc13462"/>
      <w:bookmarkStart w:id="284" w:name="_Toc17749"/>
      <w:bookmarkStart w:id="285" w:name="_Toc14677"/>
      <w:r>
        <w:rPr>
          <w:rFonts w:hint="eastAsia" w:ascii="宋体" w:hAnsi="宋体" w:eastAsia="宋体" w:cs="宋体"/>
          <w:color w:val="auto"/>
        </w:rPr>
        <w:t>格式一 封面</w:t>
      </w:r>
      <w:bookmarkEnd w:id="283"/>
      <w:bookmarkEnd w:id="284"/>
      <w:bookmarkEnd w:id="285"/>
    </w:p>
    <w:p w14:paraId="62285726">
      <w:pPr>
        <w:pStyle w:val="76"/>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4553C2D9">
      <w:pPr>
        <w:pStyle w:val="76"/>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404006EB">
      <w:pPr>
        <w:pStyle w:val="76"/>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68E9812F">
      <w:pPr>
        <w:pStyle w:val="76"/>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331A9C0C">
      <w:pPr>
        <w:pStyle w:val="76"/>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6ED3773B">
      <w:pPr>
        <w:pStyle w:val="76"/>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22C8C392">
      <w:pPr>
        <w:pStyle w:val="76"/>
        <w:widowControl w:val="0"/>
        <w:wordWrap w:val="0"/>
        <w:adjustRightInd w:val="0"/>
        <w:snapToGrid w:val="0"/>
        <w:spacing w:line="240" w:lineRule="auto"/>
        <w:rPr>
          <w:rFonts w:hint="eastAsia" w:ascii="宋体" w:hAnsi="宋体" w:eastAsia="宋体" w:cs="宋体"/>
          <w:b/>
          <w:snapToGrid w:val="0"/>
          <w:color w:val="auto"/>
          <w:sz w:val="24"/>
          <w:highlight w:val="none"/>
        </w:rPr>
      </w:pPr>
    </w:p>
    <w:p w14:paraId="64CADC78">
      <w:pPr>
        <w:pStyle w:val="76"/>
        <w:widowControl w:val="0"/>
        <w:wordWrap w:val="0"/>
        <w:adjustRightInd w:val="0"/>
        <w:snapToGrid w:val="0"/>
        <w:spacing w:line="240" w:lineRule="auto"/>
        <w:ind w:firstLine="0"/>
        <w:jc w:val="center"/>
        <w:rPr>
          <w:rFonts w:hint="eastAsia" w:ascii="宋体" w:hAnsi="宋体" w:eastAsia="宋体" w:cs="宋体"/>
          <w:b/>
          <w:snapToGrid w:val="0"/>
          <w:color w:val="auto"/>
          <w:sz w:val="48"/>
          <w:szCs w:val="48"/>
          <w:highlight w:val="none"/>
        </w:rPr>
      </w:pPr>
      <w:r>
        <w:rPr>
          <w:rFonts w:hint="eastAsia" w:ascii="宋体" w:hAnsi="宋体" w:eastAsia="宋体" w:cs="宋体"/>
          <w:bCs/>
          <w:snapToGrid w:val="0"/>
          <w:color w:val="auto"/>
          <w:sz w:val="48"/>
          <w:szCs w:val="48"/>
          <w:highlight w:val="none"/>
          <w:u w:val="single"/>
        </w:rPr>
        <w:t xml:space="preserve">             </w:t>
      </w:r>
      <w:r>
        <w:rPr>
          <w:rFonts w:hint="eastAsia" w:ascii="宋体" w:hAnsi="宋体" w:eastAsia="宋体" w:cs="宋体"/>
          <w:b/>
          <w:snapToGrid w:val="0"/>
          <w:color w:val="auto"/>
          <w:sz w:val="48"/>
          <w:szCs w:val="48"/>
          <w:highlight w:val="none"/>
        </w:rPr>
        <w:t>（项目名称）招标</w:t>
      </w:r>
    </w:p>
    <w:p w14:paraId="74280D79">
      <w:pPr>
        <w:pStyle w:val="76"/>
        <w:widowControl w:val="0"/>
        <w:wordWrap w:val="0"/>
        <w:adjustRightInd w:val="0"/>
        <w:snapToGrid w:val="0"/>
        <w:spacing w:line="240" w:lineRule="auto"/>
        <w:ind w:firstLine="0"/>
        <w:jc w:val="center"/>
        <w:rPr>
          <w:rFonts w:hint="eastAsia" w:ascii="宋体" w:hAnsi="宋体" w:eastAsia="宋体" w:cs="宋体"/>
          <w:b/>
          <w:snapToGrid w:val="0"/>
          <w:color w:val="auto"/>
          <w:sz w:val="32"/>
          <w:highlight w:val="none"/>
        </w:rPr>
      </w:pPr>
    </w:p>
    <w:p w14:paraId="1AF8E20E">
      <w:pPr>
        <w:pStyle w:val="76"/>
        <w:widowControl w:val="0"/>
        <w:wordWrap w:val="0"/>
        <w:adjustRightInd w:val="0"/>
        <w:snapToGrid w:val="0"/>
        <w:spacing w:line="240" w:lineRule="auto"/>
        <w:ind w:firstLine="0"/>
        <w:jc w:val="center"/>
        <w:rPr>
          <w:rFonts w:hint="eastAsia" w:ascii="宋体" w:hAnsi="宋体" w:eastAsia="宋体" w:cs="宋体"/>
          <w:b/>
          <w:snapToGrid w:val="0"/>
          <w:color w:val="auto"/>
          <w:sz w:val="72"/>
          <w:highlight w:val="none"/>
        </w:rPr>
      </w:pPr>
      <w:r>
        <w:rPr>
          <w:rFonts w:hint="eastAsia" w:ascii="宋体" w:hAnsi="宋体" w:eastAsia="宋体" w:cs="宋体"/>
          <w:b/>
          <w:snapToGrid w:val="0"/>
          <w:color w:val="auto"/>
          <w:sz w:val="72"/>
          <w:highlight w:val="none"/>
        </w:rPr>
        <w:t>投  标  文  件</w:t>
      </w:r>
    </w:p>
    <w:p w14:paraId="09EBFE22">
      <w:pPr>
        <w:pStyle w:val="76"/>
        <w:widowControl w:val="0"/>
        <w:wordWrap w:val="0"/>
        <w:adjustRightInd w:val="0"/>
        <w:snapToGrid w:val="0"/>
        <w:spacing w:line="240" w:lineRule="auto"/>
        <w:ind w:firstLine="0"/>
        <w:jc w:val="center"/>
        <w:rPr>
          <w:rFonts w:hint="eastAsia" w:ascii="宋体" w:hAnsi="宋体" w:eastAsia="宋体" w:cs="宋体"/>
          <w:b/>
          <w:snapToGrid w:val="0"/>
          <w:color w:val="auto"/>
          <w:sz w:val="32"/>
          <w:highlight w:val="none"/>
        </w:rPr>
      </w:pPr>
    </w:p>
    <w:p w14:paraId="19384084">
      <w:pPr>
        <w:pStyle w:val="76"/>
        <w:widowControl w:val="0"/>
        <w:wordWrap w:val="0"/>
        <w:adjustRightInd w:val="0"/>
        <w:snapToGrid w:val="0"/>
        <w:spacing w:line="240" w:lineRule="auto"/>
        <w:ind w:firstLine="0"/>
        <w:jc w:val="center"/>
        <w:rPr>
          <w:rFonts w:hint="eastAsia" w:ascii="宋体" w:hAnsi="宋体" w:eastAsia="宋体" w:cs="宋体"/>
          <w:b/>
          <w:snapToGrid w:val="0"/>
          <w:color w:val="auto"/>
          <w:sz w:val="48"/>
          <w:szCs w:val="48"/>
          <w:highlight w:val="none"/>
        </w:rPr>
      </w:pPr>
      <w:r>
        <w:rPr>
          <w:rFonts w:hint="eastAsia" w:ascii="宋体" w:hAnsi="宋体" w:eastAsia="宋体" w:cs="宋体"/>
          <w:b/>
          <w:snapToGrid w:val="0"/>
          <w:color w:val="auto"/>
          <w:sz w:val="48"/>
          <w:szCs w:val="48"/>
          <w:highlight w:val="none"/>
        </w:rPr>
        <w:t>（商务标书／经济标书／施工组织设计）</w:t>
      </w:r>
    </w:p>
    <w:p w14:paraId="64B90567">
      <w:pPr>
        <w:pStyle w:val="76"/>
        <w:widowControl w:val="0"/>
        <w:wordWrap w:val="0"/>
        <w:adjustRightInd w:val="0"/>
        <w:snapToGrid w:val="0"/>
        <w:spacing w:line="240" w:lineRule="auto"/>
        <w:rPr>
          <w:rFonts w:hint="eastAsia" w:ascii="宋体" w:hAnsi="宋体" w:eastAsia="宋体" w:cs="宋体"/>
          <w:b/>
          <w:snapToGrid w:val="0"/>
          <w:color w:val="auto"/>
          <w:highlight w:val="none"/>
        </w:rPr>
      </w:pPr>
    </w:p>
    <w:p w14:paraId="189EEA00">
      <w:pPr>
        <w:pStyle w:val="76"/>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44DCF70B">
      <w:pPr>
        <w:pStyle w:val="76"/>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51B6B47E">
      <w:pPr>
        <w:pStyle w:val="76"/>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0C5BDB24">
      <w:pPr>
        <w:pStyle w:val="76"/>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6B60CED4">
      <w:pPr>
        <w:pStyle w:val="76"/>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2F3092EB">
      <w:pPr>
        <w:pStyle w:val="76"/>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420C7425">
      <w:pPr>
        <w:pStyle w:val="76"/>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66DFF8C2">
      <w:pPr>
        <w:pStyle w:val="76"/>
        <w:widowControl w:val="0"/>
        <w:wordWrap w:val="0"/>
        <w:adjustRightInd w:val="0"/>
        <w:snapToGrid w:val="0"/>
        <w:spacing w:line="240" w:lineRule="auto"/>
        <w:rPr>
          <w:rFonts w:hint="eastAsia" w:ascii="宋体" w:hAnsi="宋体" w:eastAsia="宋体" w:cs="宋体"/>
          <w:b/>
          <w:snapToGrid w:val="0"/>
          <w:color w:val="auto"/>
          <w:sz w:val="32"/>
          <w:highlight w:val="none"/>
        </w:rPr>
      </w:pPr>
    </w:p>
    <w:p w14:paraId="45DAD187">
      <w:pPr>
        <w:pStyle w:val="76"/>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08001D46">
      <w:pPr>
        <w:pStyle w:val="76"/>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41EDE1DA">
      <w:pPr>
        <w:pStyle w:val="76"/>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6F7C862D">
      <w:pPr>
        <w:pStyle w:val="76"/>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3E637BE5">
      <w:pPr>
        <w:pStyle w:val="76"/>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72EA2AF6">
      <w:pPr>
        <w:pStyle w:val="76"/>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rPr>
      </w:pPr>
    </w:p>
    <w:p w14:paraId="1A975475">
      <w:pPr>
        <w:pStyle w:val="76"/>
        <w:widowControl w:val="0"/>
        <w:wordWrap w:val="0"/>
        <w:adjustRightInd w:val="0"/>
        <w:snapToGrid w:val="0"/>
        <w:spacing w:line="240" w:lineRule="auto"/>
        <w:ind w:firstLine="0"/>
        <w:jc w:val="center"/>
        <w:rPr>
          <w:rFonts w:hint="eastAsia" w:ascii="宋体" w:hAnsi="宋体" w:eastAsia="宋体" w:cs="宋体"/>
          <w:bCs/>
          <w:snapToGrid w:val="0"/>
          <w:color w:val="auto"/>
          <w:sz w:val="32"/>
          <w:highlight w:val="none"/>
          <w:u w:val="single"/>
        </w:rPr>
      </w:pPr>
    </w:p>
    <w:p w14:paraId="4A9347C3">
      <w:pPr>
        <w:pStyle w:val="76"/>
        <w:widowControl w:val="0"/>
        <w:wordWrap w:val="0"/>
        <w:adjustRightInd w:val="0"/>
        <w:snapToGrid w:val="0"/>
        <w:spacing w:line="24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2F104A7">
      <w:pPr>
        <w:pStyle w:val="76"/>
        <w:widowControl w:val="0"/>
        <w:wordWrap w:val="0"/>
        <w:adjustRightInd w:val="0"/>
        <w:snapToGrid w:val="0"/>
        <w:rPr>
          <w:rFonts w:hint="eastAsia" w:ascii="宋体" w:hAnsi="宋体" w:eastAsia="宋体" w:cs="宋体"/>
          <w:b/>
          <w:snapToGrid w:val="0"/>
          <w:color w:val="auto"/>
          <w:highlight w:val="none"/>
        </w:rPr>
      </w:pPr>
    </w:p>
    <w:p w14:paraId="53CB3B82">
      <w:pPr>
        <w:pStyle w:val="76"/>
        <w:widowControl w:val="0"/>
        <w:wordWrap w:val="0"/>
        <w:adjustRightInd w:val="0"/>
        <w:snapToGrid w:val="0"/>
        <w:rPr>
          <w:rFonts w:hint="eastAsia" w:ascii="宋体" w:hAnsi="宋体" w:eastAsia="宋体" w:cs="宋体"/>
          <w:b/>
          <w:snapToGrid w:val="0"/>
          <w:color w:val="auto"/>
          <w:highlight w:val="none"/>
        </w:rPr>
      </w:pPr>
    </w:p>
    <w:p w14:paraId="20584595">
      <w:pPr>
        <w:pStyle w:val="76"/>
        <w:widowControl w:val="0"/>
        <w:wordWrap w:val="0"/>
        <w:adjustRightInd w:val="0"/>
        <w:snapToGrid w:val="0"/>
        <w:rPr>
          <w:rFonts w:hint="eastAsia" w:ascii="宋体" w:hAnsi="宋体" w:eastAsia="宋体" w:cs="宋体"/>
          <w:b/>
          <w:snapToGrid w:val="0"/>
          <w:color w:val="auto"/>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5B097F81">
      <w:pPr>
        <w:pStyle w:val="5"/>
        <w:bidi w:val="0"/>
        <w:ind w:firstLine="964"/>
        <w:rPr>
          <w:rFonts w:hint="eastAsia" w:ascii="宋体" w:hAnsi="宋体" w:eastAsia="宋体" w:cs="宋体"/>
          <w:color w:val="auto"/>
        </w:rPr>
      </w:pPr>
      <w:bookmarkStart w:id="286" w:name="_Toc3166"/>
      <w:bookmarkStart w:id="287" w:name="_Toc17232"/>
      <w:bookmarkStart w:id="288" w:name="_Toc7500"/>
      <w:bookmarkStart w:id="289" w:name="_Toc106418843"/>
      <w:bookmarkStart w:id="290" w:name="_Toc104711098"/>
      <w:bookmarkStart w:id="291" w:name="_Toc28280"/>
      <w:r>
        <w:rPr>
          <w:rFonts w:hint="eastAsia" w:ascii="宋体" w:hAnsi="宋体" w:eastAsia="宋体" w:cs="宋体"/>
          <w:color w:val="auto"/>
        </w:rPr>
        <w:t>格式</w:t>
      </w:r>
      <w:bookmarkStart w:id="292" w:name="_Hlt97526007"/>
      <w:bookmarkEnd w:id="292"/>
      <w:r>
        <w:rPr>
          <w:rFonts w:hint="eastAsia" w:ascii="宋体" w:hAnsi="宋体" w:eastAsia="宋体" w:cs="宋体"/>
          <w:color w:val="auto"/>
        </w:rPr>
        <w:t>二 投标函</w:t>
      </w:r>
      <w:bookmarkEnd w:id="286"/>
      <w:bookmarkEnd w:id="287"/>
      <w:bookmarkEnd w:id="288"/>
    </w:p>
    <w:p w14:paraId="3D160AA4">
      <w:pPr>
        <w:pStyle w:val="5"/>
        <w:keepNext w:val="0"/>
        <w:keepLines w:val="0"/>
        <w:wordWrap w:val="0"/>
        <w:adjustRightInd w:val="0"/>
        <w:snapToGrid w:val="0"/>
        <w:spacing w:before="260" w:after="260" w:line="440" w:lineRule="exact"/>
        <w:jc w:val="center"/>
        <w:rPr>
          <w:rFonts w:hint="eastAsia" w:ascii="宋体" w:hAnsi="宋体" w:eastAsia="宋体" w:cs="宋体"/>
          <w:b/>
          <w:snapToGrid w:val="0"/>
          <w:color w:val="auto"/>
          <w:kern w:val="0"/>
          <w:highlight w:val="none"/>
        </w:rPr>
      </w:pPr>
      <w:bookmarkStart w:id="293" w:name="_Toc25895"/>
      <w:bookmarkStart w:id="294" w:name="_Toc26551"/>
      <w:bookmarkStart w:id="295" w:name="_Toc23239"/>
      <w:r>
        <w:rPr>
          <w:rFonts w:hint="eastAsia" w:ascii="宋体" w:hAnsi="宋体" w:eastAsia="宋体" w:cs="宋体"/>
          <w:b/>
          <w:snapToGrid w:val="0"/>
          <w:color w:val="auto"/>
          <w:kern w:val="0"/>
          <w:sz w:val="30"/>
          <w:highlight w:val="none"/>
        </w:rPr>
        <w:t>投  标  函</w:t>
      </w:r>
      <w:bookmarkEnd w:id="289"/>
      <w:bookmarkEnd w:id="290"/>
      <w:bookmarkEnd w:id="291"/>
      <w:bookmarkEnd w:id="293"/>
      <w:bookmarkEnd w:id="294"/>
      <w:bookmarkEnd w:id="295"/>
    </w:p>
    <w:p w14:paraId="5BD61156">
      <w:pPr>
        <w:wordWrap w:val="0"/>
        <w:adjustRightInd w:val="0"/>
        <w:snapToGrid w:val="0"/>
        <w:spacing w:line="440" w:lineRule="exact"/>
        <w:jc w:val="center"/>
        <w:rPr>
          <w:rFonts w:hint="eastAsia" w:ascii="宋体" w:hAnsi="宋体" w:eastAsia="宋体" w:cs="宋体"/>
          <w:b/>
          <w:snapToGrid w:val="0"/>
          <w:color w:val="auto"/>
          <w:kern w:val="0"/>
          <w:highlight w:val="none"/>
        </w:rPr>
      </w:pPr>
    </w:p>
    <w:p w14:paraId="65BB6F90">
      <w:pPr>
        <w:wordWrap w:val="0"/>
        <w:adjustRightInd w:val="0"/>
        <w:snapToGrid w:val="0"/>
        <w:spacing w:line="440" w:lineRule="exac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（招标人名称）</w:t>
      </w:r>
    </w:p>
    <w:p w14:paraId="7DF7758A">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1. </w:t>
      </w:r>
      <w:r>
        <w:rPr>
          <w:rFonts w:hint="eastAsia" w:ascii="宋体" w:hAnsi="宋体" w:eastAsia="宋体" w:cs="宋体"/>
          <w:snapToGrid w:val="0"/>
          <w:color w:val="auto"/>
          <w:kern w:val="0"/>
          <w:szCs w:val="22"/>
          <w:highlight w:val="none"/>
        </w:rPr>
        <w:t>我方</w:t>
      </w:r>
      <w:r>
        <w:rPr>
          <w:rFonts w:hint="eastAsia" w:ascii="宋体" w:hAnsi="宋体" w:eastAsia="宋体" w:cs="宋体"/>
          <w:snapToGrid w:val="0"/>
          <w:color w:val="auto"/>
          <w:kern w:val="0"/>
          <w:highlight w:val="none"/>
        </w:rPr>
        <w:t>考察现场并充分研究</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（项目名称）（以下简称“本项目”）施工招标文件</w:t>
      </w:r>
      <w:r>
        <w:rPr>
          <w:rFonts w:hint="eastAsia" w:ascii="宋体" w:hAnsi="宋体" w:eastAsia="宋体" w:cs="宋体"/>
          <w:snapToGrid w:val="0"/>
          <w:color w:val="auto"/>
          <w:kern w:val="0"/>
          <w:szCs w:val="22"/>
          <w:highlight w:val="none"/>
        </w:rPr>
        <w:t>所有内容后</w:t>
      </w:r>
      <w:r>
        <w:rPr>
          <w:rFonts w:hint="eastAsia" w:ascii="宋体" w:hAnsi="宋体" w:eastAsia="宋体" w:cs="宋体"/>
          <w:snapToGrid w:val="0"/>
          <w:color w:val="auto"/>
          <w:kern w:val="0"/>
          <w:highlight w:val="none"/>
        </w:rPr>
        <w:t>，结合自身资质、能力和特点，愿意接受招标文件的全部内容和条件，兹以人民币（大写）：</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szCs w:val="22"/>
          <w:highlight w:val="none"/>
        </w:rPr>
        <w:t>的投标总价</w:t>
      </w:r>
      <w:r>
        <w:rPr>
          <w:rFonts w:hint="eastAsia" w:ascii="宋体" w:hAnsi="宋体" w:eastAsia="宋体" w:cs="宋体"/>
          <w:snapToGrid w:val="0"/>
          <w:color w:val="auto"/>
          <w:kern w:val="0"/>
          <w:highlight w:val="none"/>
        </w:rPr>
        <w:t>竞投本项目施工。</w:t>
      </w:r>
    </w:p>
    <w:p w14:paraId="7CCD072B">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在我方的上述投标总价中，包括：</w:t>
      </w:r>
      <w:r>
        <w:rPr>
          <w:rFonts w:hint="eastAsia" w:ascii="宋体" w:hAnsi="宋体" w:eastAsia="宋体" w:cs="宋体"/>
          <w:snapToGrid w:val="0"/>
          <w:color w:val="auto"/>
          <w:kern w:val="0"/>
          <w:highlight w:val="none"/>
          <w:lang w:eastAsia="zh-CN"/>
        </w:rPr>
        <w:t>安全生产措施费</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，暂列金额¥</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，暂估价¥</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w:t>
      </w:r>
    </w:p>
    <w:p w14:paraId="09C76540">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 如果我方中标，我方保证按照合同约定的开工日期开始本项目的施工，</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个日历天内竣工，并确保工程质量达到</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标准和维修其中的任何缺陷。</w:t>
      </w:r>
    </w:p>
    <w:p w14:paraId="7E9D8559">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5C20BCCC">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4．我方在此声明，我方不存在本项目招标文件第一章第三节第</w:t>
      </w:r>
      <w:r>
        <w:rPr>
          <w:rFonts w:hint="eastAsia" w:ascii="宋体" w:hAnsi="宋体" w:eastAsia="宋体" w:cs="宋体"/>
          <w:b/>
          <w:bCs/>
          <w:snapToGrid w:val="0"/>
          <w:color w:val="auto"/>
          <w:kern w:val="0"/>
          <w:highlight w:val="none"/>
        </w:rPr>
        <w:t>2.4</w:t>
      </w:r>
      <w:r>
        <w:rPr>
          <w:rFonts w:hint="eastAsia" w:ascii="宋体" w:hAnsi="宋体" w:eastAsia="宋体" w:cs="宋体"/>
          <w:snapToGrid w:val="0"/>
          <w:color w:val="auto"/>
          <w:kern w:val="0"/>
          <w:highlight w:val="none"/>
        </w:rPr>
        <w:t>条“禁止投标条款”所列出的任何一种情形，并愿意承担因我方就此弄虚作假所引起的一切法律后果。</w:t>
      </w:r>
    </w:p>
    <w:p w14:paraId="48B983E4">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43AF98F8">
      <w:pPr>
        <w:wordWrap w:val="0"/>
        <w:adjustRightInd w:val="0"/>
        <w:snapToGrid w:val="0"/>
        <w:spacing w:line="440" w:lineRule="exact"/>
        <w:ind w:firstLine="570"/>
        <w:rPr>
          <w:rFonts w:hint="eastAsia" w:ascii="宋体" w:hAnsi="宋体" w:eastAsia="宋体" w:cs="宋体"/>
          <w:snapToGrid w:val="0"/>
          <w:color w:val="auto"/>
          <w:kern w:val="0"/>
          <w:highlight w:val="none"/>
        </w:rPr>
      </w:pPr>
      <w:bookmarkStart w:id="296" w:name="_Hlt68771070"/>
      <w:bookmarkEnd w:id="296"/>
      <w:r>
        <w:rPr>
          <w:rFonts w:hint="eastAsia" w:ascii="宋体" w:hAnsi="宋体" w:eastAsia="宋体" w:cs="宋体"/>
          <w:snapToGrid w:val="0"/>
          <w:color w:val="auto"/>
          <w:kern w:val="0"/>
          <w:highlight w:val="none"/>
        </w:rPr>
        <w:t>6. 我方理解你方不一定要接纳收到的最低投标总价或任何投标总价的投标人中标，也不要求你方解释我方是否中标的原因。</w:t>
      </w:r>
    </w:p>
    <w:p w14:paraId="15E89DC9">
      <w:pPr>
        <w:wordWrap w:val="0"/>
        <w:adjustRightInd w:val="0"/>
        <w:snapToGrid w:val="0"/>
        <w:spacing w:line="440" w:lineRule="exact"/>
        <w:ind w:firstLine="57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p>
    <w:p w14:paraId="7F4043DD">
      <w:pPr>
        <w:wordWrap w:val="0"/>
        <w:adjustRightInd w:val="0"/>
        <w:snapToGrid w:val="0"/>
        <w:spacing w:line="440" w:lineRule="exact"/>
        <w:rPr>
          <w:rFonts w:hint="eastAsia" w:ascii="宋体" w:hAnsi="宋体" w:eastAsia="宋体" w:cs="宋体"/>
          <w:snapToGrid w:val="0"/>
          <w:color w:val="auto"/>
          <w:kern w:val="0"/>
          <w:highlight w:val="none"/>
        </w:rPr>
      </w:pPr>
    </w:p>
    <w:p w14:paraId="55215338">
      <w:pPr>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投标人：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（盖单位章）</w:t>
      </w:r>
    </w:p>
    <w:p w14:paraId="5A1B5F53">
      <w:pPr>
        <w:wordWrap w:val="0"/>
        <w:adjustRightInd w:val="0"/>
        <w:snapToGrid w:val="0"/>
        <w:spacing w:line="440" w:lineRule="exact"/>
        <w:jc w:val="right"/>
        <w:rPr>
          <w:rFonts w:hint="eastAsia" w:ascii="宋体" w:hAnsi="宋体" w:eastAsia="宋体" w:cs="宋体"/>
          <w:snapToGrid w:val="0"/>
          <w:color w:val="auto"/>
          <w:kern w:val="0"/>
          <w:highlight w:val="none"/>
        </w:rPr>
      </w:pPr>
    </w:p>
    <w:p w14:paraId="26508364">
      <w:pPr>
        <w:wordWrap w:val="0"/>
        <w:adjustRightInd w:val="0"/>
        <w:snapToGrid w:val="0"/>
        <w:spacing w:line="440" w:lineRule="exact"/>
        <w:jc w:val="right"/>
        <w:rPr>
          <w:rFonts w:hint="eastAsia" w:ascii="宋体" w:hAnsi="宋体" w:eastAsia="宋体" w:cs="宋体"/>
          <w:snapToGrid w:val="0"/>
          <w:color w:val="auto"/>
          <w:kern w:val="0"/>
          <w:highlight w:val="none"/>
        </w:rPr>
      </w:pPr>
    </w:p>
    <w:p w14:paraId="558F4CA0">
      <w:pPr>
        <w:wordWrap w:val="0"/>
        <w:adjustRightInd w:val="0"/>
        <w:snapToGrid w:val="0"/>
        <w:spacing w:line="440" w:lineRule="exact"/>
        <w:ind w:firstLine="480" w:firstLineChars="200"/>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法定代表人或其委托代理人：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（签字或盖章）</w:t>
      </w:r>
    </w:p>
    <w:p w14:paraId="655DCCE3">
      <w:pPr>
        <w:wordWrap w:val="0"/>
        <w:adjustRightInd w:val="0"/>
        <w:snapToGrid w:val="0"/>
        <w:spacing w:line="440" w:lineRule="exact"/>
        <w:ind w:firstLine="480" w:firstLineChars="200"/>
        <w:jc w:val="right"/>
        <w:rPr>
          <w:rFonts w:hint="eastAsia" w:ascii="宋体" w:hAnsi="宋体" w:eastAsia="宋体" w:cs="宋体"/>
          <w:snapToGrid w:val="0"/>
          <w:color w:val="auto"/>
          <w:kern w:val="0"/>
          <w:highlight w:val="none"/>
        </w:rPr>
      </w:pPr>
    </w:p>
    <w:p w14:paraId="6B3C6271">
      <w:pPr>
        <w:wordWrap w:val="0"/>
        <w:adjustRightInd w:val="0"/>
        <w:snapToGrid w:val="0"/>
        <w:spacing w:line="440" w:lineRule="exact"/>
        <w:jc w:val="left"/>
        <w:rPr>
          <w:rFonts w:hint="eastAsia" w:ascii="宋体" w:hAnsi="宋体" w:eastAsia="宋体" w:cs="宋体"/>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5B22A1B2">
      <w:pPr>
        <w:pStyle w:val="5"/>
        <w:bidi w:val="0"/>
        <w:ind w:firstLine="964"/>
        <w:rPr>
          <w:rFonts w:hint="eastAsia" w:ascii="宋体" w:hAnsi="宋体" w:eastAsia="宋体" w:cs="宋体"/>
          <w:color w:val="auto"/>
        </w:rPr>
      </w:pPr>
      <w:bookmarkStart w:id="297" w:name="_Toc26367"/>
      <w:r>
        <w:rPr>
          <w:rFonts w:hint="eastAsia" w:ascii="宋体" w:hAnsi="宋体" w:eastAsia="宋体" w:cs="宋体"/>
          <w:color w:val="auto"/>
        </w:rPr>
        <w:t>格式三 各项承诺一览表</w:t>
      </w:r>
      <w:bookmarkEnd w:id="297"/>
    </w:p>
    <w:p w14:paraId="7ED1E1C4">
      <w:pPr>
        <w:pStyle w:val="80"/>
        <w:keepNext w:val="0"/>
        <w:keepLines w:val="0"/>
        <w:widowControl w:val="0"/>
        <w:wordWrap w:val="0"/>
        <w:adjustRightInd w:val="0"/>
        <w:snapToGrid w:val="0"/>
        <w:spacing w:before="260" w:after="260" w:line="440" w:lineRule="exact"/>
        <w:ind w:firstLine="0"/>
        <w:rPr>
          <w:rFonts w:hint="eastAsia" w:ascii="宋体" w:hAnsi="宋体" w:eastAsia="宋体" w:cs="宋体"/>
          <w:b/>
          <w:snapToGrid w:val="0"/>
          <w:color w:val="auto"/>
          <w:highlight w:val="none"/>
        </w:rPr>
      </w:pPr>
      <w:bookmarkStart w:id="298" w:name="_Toc29967"/>
      <w:bookmarkStart w:id="299" w:name="_Toc19422"/>
      <w:bookmarkStart w:id="300" w:name="_Toc18715"/>
      <w:r>
        <w:rPr>
          <w:rFonts w:hint="eastAsia" w:ascii="宋体" w:hAnsi="宋体" w:eastAsia="宋体" w:cs="宋体"/>
          <w:b/>
          <w:snapToGrid w:val="0"/>
          <w:color w:val="auto"/>
          <w:sz w:val="30"/>
          <w:highlight w:val="none"/>
        </w:rPr>
        <w:t>各项承诺一览表</w:t>
      </w:r>
      <w:bookmarkEnd w:id="298"/>
      <w:bookmarkEnd w:id="299"/>
      <w:bookmarkEnd w:id="300"/>
    </w:p>
    <w:tbl>
      <w:tblPr>
        <w:tblStyle w:val="32"/>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5051"/>
      </w:tblGrid>
      <w:tr w14:paraId="6A4B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noWrap w:val="0"/>
            <w:vAlign w:val="center"/>
          </w:tcPr>
          <w:p w14:paraId="0523F676">
            <w:pPr>
              <w:pStyle w:val="64"/>
              <w:wordWrap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序号</w:t>
            </w:r>
          </w:p>
        </w:tc>
        <w:tc>
          <w:tcPr>
            <w:tcW w:w="1573" w:type="dxa"/>
            <w:noWrap w:val="0"/>
            <w:vAlign w:val="center"/>
          </w:tcPr>
          <w:p w14:paraId="05516782">
            <w:pPr>
              <w:pStyle w:val="64"/>
              <w:wordWrap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承诺事项</w:t>
            </w:r>
          </w:p>
        </w:tc>
        <w:tc>
          <w:tcPr>
            <w:tcW w:w="2923" w:type="dxa"/>
            <w:noWrap w:val="0"/>
            <w:vAlign w:val="center"/>
          </w:tcPr>
          <w:p w14:paraId="748193F3">
            <w:pPr>
              <w:pStyle w:val="64"/>
              <w:wordWrap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承诺内容</w:t>
            </w:r>
          </w:p>
        </w:tc>
        <w:tc>
          <w:tcPr>
            <w:tcW w:w="5051" w:type="dxa"/>
            <w:noWrap w:val="0"/>
            <w:vAlign w:val="center"/>
          </w:tcPr>
          <w:p w14:paraId="789C2810">
            <w:pPr>
              <w:pStyle w:val="64"/>
              <w:wordWrap w:val="0"/>
              <w:adjustRightInd w:val="0"/>
              <w:snapToGrid w:val="0"/>
              <w:spacing w:line="360" w:lineRule="auto"/>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违约承诺</w:t>
            </w:r>
          </w:p>
        </w:tc>
      </w:tr>
      <w:tr w14:paraId="11B8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3" w:hRule="atLeast"/>
          <w:jc w:val="center"/>
        </w:trPr>
        <w:tc>
          <w:tcPr>
            <w:tcW w:w="716" w:type="dxa"/>
            <w:noWrap w:val="0"/>
            <w:vAlign w:val="center"/>
          </w:tcPr>
          <w:p w14:paraId="1DAC863C">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73" w:type="dxa"/>
            <w:noWrap w:val="0"/>
            <w:vAlign w:val="center"/>
          </w:tcPr>
          <w:p w14:paraId="19F39EE6">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自愿接受招标</w:t>
            </w:r>
          </w:p>
          <w:p w14:paraId="77DBC478">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文件条款的承诺</w:t>
            </w:r>
          </w:p>
        </w:tc>
        <w:tc>
          <w:tcPr>
            <w:tcW w:w="2923" w:type="dxa"/>
            <w:noWrap w:val="0"/>
            <w:vAlign w:val="center"/>
          </w:tcPr>
          <w:p w14:paraId="5DBBC6A2">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我方自愿接受招标文件的所有条款，所递交的投标文件已经充分响应招标文件的实质性要求。</w:t>
            </w:r>
          </w:p>
        </w:tc>
        <w:tc>
          <w:tcPr>
            <w:tcW w:w="5051" w:type="dxa"/>
            <w:noWrap w:val="0"/>
            <w:vAlign w:val="center"/>
          </w:tcPr>
          <w:p w14:paraId="47E4CB27">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26DF6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2" w:hRule="atLeast"/>
          <w:jc w:val="center"/>
        </w:trPr>
        <w:tc>
          <w:tcPr>
            <w:tcW w:w="716" w:type="dxa"/>
            <w:noWrap w:val="0"/>
            <w:vAlign w:val="center"/>
          </w:tcPr>
          <w:p w14:paraId="37117678">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73" w:type="dxa"/>
            <w:noWrap w:val="0"/>
            <w:vAlign w:val="center"/>
          </w:tcPr>
          <w:p w14:paraId="78BACBE4">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无禁止投标</w:t>
            </w:r>
          </w:p>
          <w:p w14:paraId="0ADD0EBE">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情形的承诺</w:t>
            </w:r>
          </w:p>
        </w:tc>
        <w:tc>
          <w:tcPr>
            <w:tcW w:w="2923" w:type="dxa"/>
            <w:noWrap w:val="0"/>
            <w:vAlign w:val="center"/>
          </w:tcPr>
          <w:p w14:paraId="0D17CBC0">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我方不存在招标文件第一章第三节第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tc>
        <w:tc>
          <w:tcPr>
            <w:tcW w:w="5051" w:type="dxa"/>
            <w:noWrap w:val="0"/>
            <w:vAlign w:val="center"/>
          </w:tcPr>
          <w:p w14:paraId="713FE0BB">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如果我方有招标文件第一章第三节第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6DD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9" w:hRule="atLeast"/>
          <w:jc w:val="center"/>
        </w:trPr>
        <w:tc>
          <w:tcPr>
            <w:tcW w:w="716" w:type="dxa"/>
            <w:noWrap w:val="0"/>
            <w:vAlign w:val="center"/>
          </w:tcPr>
          <w:p w14:paraId="1EAECE13">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73" w:type="dxa"/>
            <w:noWrap w:val="0"/>
            <w:vAlign w:val="center"/>
          </w:tcPr>
          <w:p w14:paraId="75495091">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自觉抵制围标</w:t>
            </w:r>
          </w:p>
          <w:p w14:paraId="0915F300">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串标和弄虚</w:t>
            </w:r>
          </w:p>
          <w:p w14:paraId="38DD2D73">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作假行为的承诺</w:t>
            </w:r>
          </w:p>
        </w:tc>
        <w:tc>
          <w:tcPr>
            <w:tcW w:w="2923" w:type="dxa"/>
            <w:noWrap w:val="0"/>
            <w:vAlign w:val="center"/>
          </w:tcPr>
          <w:p w14:paraId="6078EC86">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我方合法正当、诚实守信地参与投标，不组织、不参加围标串标违法行为，不通过弄虚作假行为骗取中标。</w:t>
            </w:r>
          </w:p>
        </w:tc>
        <w:tc>
          <w:tcPr>
            <w:tcW w:w="5051" w:type="dxa"/>
            <w:noWrap w:val="0"/>
            <w:vAlign w:val="center"/>
          </w:tcPr>
          <w:p w14:paraId="69666C85">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345B2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6" w:hRule="atLeast"/>
          <w:jc w:val="center"/>
        </w:trPr>
        <w:tc>
          <w:tcPr>
            <w:tcW w:w="716" w:type="dxa"/>
            <w:noWrap w:val="0"/>
            <w:vAlign w:val="center"/>
          </w:tcPr>
          <w:p w14:paraId="6D1A01CA">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573" w:type="dxa"/>
            <w:noWrap w:val="0"/>
            <w:vAlign w:val="center"/>
          </w:tcPr>
          <w:p w14:paraId="6E653F04">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14:paraId="39D8D8B0">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任职承诺</w:t>
            </w:r>
          </w:p>
        </w:tc>
        <w:tc>
          <w:tcPr>
            <w:tcW w:w="2923" w:type="dxa"/>
            <w:noWrap w:val="0"/>
            <w:vAlign w:val="center"/>
          </w:tcPr>
          <w:p w14:paraId="247CCC5F">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我方拟派项目经理现阶段没有担任任何在施（包括已中标未开工、已开工未竣工）建设工程项目的项目经理。</w:t>
            </w:r>
          </w:p>
        </w:tc>
        <w:tc>
          <w:tcPr>
            <w:tcW w:w="5051" w:type="dxa"/>
            <w:noWrap w:val="0"/>
            <w:vAlign w:val="center"/>
          </w:tcPr>
          <w:p w14:paraId="10D09C7E">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501B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jc w:val="center"/>
        </w:trPr>
        <w:tc>
          <w:tcPr>
            <w:tcW w:w="716" w:type="dxa"/>
            <w:noWrap w:val="0"/>
            <w:vAlign w:val="center"/>
          </w:tcPr>
          <w:p w14:paraId="67910BF8">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573" w:type="dxa"/>
            <w:noWrap w:val="0"/>
            <w:vAlign w:val="center"/>
          </w:tcPr>
          <w:p w14:paraId="2DD2F65B">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738087CB">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真实性承诺</w:t>
            </w:r>
          </w:p>
        </w:tc>
        <w:tc>
          <w:tcPr>
            <w:tcW w:w="2923" w:type="dxa"/>
            <w:noWrap w:val="0"/>
            <w:vAlign w:val="center"/>
          </w:tcPr>
          <w:p w14:paraId="2C049438">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我方所递交投标文件的全部内容均为真实、有效、准确的。</w:t>
            </w:r>
          </w:p>
        </w:tc>
        <w:tc>
          <w:tcPr>
            <w:tcW w:w="5051" w:type="dxa"/>
            <w:noWrap w:val="0"/>
            <w:vAlign w:val="center"/>
          </w:tcPr>
          <w:p w14:paraId="62C904A4">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787F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716" w:type="dxa"/>
            <w:noWrap w:val="0"/>
            <w:vAlign w:val="center"/>
          </w:tcPr>
          <w:p w14:paraId="68B0DDA3">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573" w:type="dxa"/>
            <w:noWrap w:val="0"/>
            <w:vAlign w:val="center"/>
          </w:tcPr>
          <w:p w14:paraId="2F332959">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04E8FAE0">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信息公开承诺</w:t>
            </w:r>
          </w:p>
        </w:tc>
        <w:tc>
          <w:tcPr>
            <w:tcW w:w="2923" w:type="dxa"/>
            <w:noWrap w:val="0"/>
            <w:vAlign w:val="center"/>
          </w:tcPr>
          <w:p w14:paraId="56C5303D">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Style w:val="151"/>
                <w:rFonts w:hint="eastAsia" w:ascii="宋体" w:hAnsi="宋体" w:eastAsia="宋体" w:cs="宋体"/>
                <w:color w:val="auto"/>
                <w:kern w:val="0"/>
                <w:sz w:val="21"/>
                <w:szCs w:val="21"/>
                <w:highlight w:val="none"/>
                <w:lang w:val="en-US" w:eastAsia="zh-CN" w:bidi="ar-SA"/>
              </w:rPr>
              <w:t>我方提供完整的电子文件。如果我方成为本项目中标候选人，我方同意并授权招标人在评标结果公示期内公开我方商务标书的全部内容。</w:t>
            </w:r>
          </w:p>
        </w:tc>
        <w:tc>
          <w:tcPr>
            <w:tcW w:w="5051" w:type="dxa"/>
            <w:noWrap w:val="0"/>
            <w:vAlign w:val="center"/>
            <mc:AlternateContent>
              <mc:Choice Requires="wpsCustomData">
                <wpsCustomData:diagonals>
                  <wpsCustomData:diagonal from="0" to="20000">
                    <wpsCustomData:border w:val="single" w:color="auto" w:sz="4" w:space="0"/>
                  </wpsCustomData:diagonal>
                </wpsCustomData:diagonals>
              </mc:Choice>
            </mc:AlternateContent>
          </w:tcPr>
          <w:p w14:paraId="14CEA547">
            <w:pPr>
              <w:pStyle w:val="107"/>
              <w:wordWrap w:val="0"/>
              <w:adjustRightInd w:val="0"/>
              <w:snapToGrid w:val="0"/>
              <w:spacing w:line="240" w:lineRule="auto"/>
              <w:ind w:firstLine="0" w:firstLineChars="0"/>
              <w:jc w:val="left"/>
              <mc:AlternateContent>
                <mc:Choice Requires="wpsCustomData">
                  <wpsCustomData:diagonalParaType/>
                </mc:Choice>
              </mc:AlternateConten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p>
          <w:p w14:paraId="2F2D6720">
            <w:pPr>
              <w:pStyle w:val="107"/>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tc>
      </w:tr>
      <w:tr w14:paraId="70FB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noWrap w:val="0"/>
            <w:vAlign w:val="center"/>
          </w:tcPr>
          <w:p w14:paraId="1AA2AFEC">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573" w:type="dxa"/>
            <w:noWrap w:val="0"/>
            <w:vAlign w:val="center"/>
          </w:tcPr>
          <w:p w14:paraId="26CFDCE0">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对不正常报价</w:t>
            </w:r>
          </w:p>
          <w:p w14:paraId="0ED97ECC">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的确认承诺</w:t>
            </w:r>
          </w:p>
        </w:tc>
        <w:tc>
          <w:tcPr>
            <w:tcW w:w="2923" w:type="dxa"/>
            <w:noWrap w:val="0"/>
            <w:vAlign w:val="center"/>
          </w:tcPr>
          <w:p w14:paraId="75717B94">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如果我方中标，我方接受招标人在合同订立期间依据招标文件有关条款约定对我方已标价工程量清单中不正常报价的修正或认定，并按要求签署《不正常报价清单》加以确认。</w:t>
            </w:r>
          </w:p>
        </w:tc>
        <w:tc>
          <w:tcPr>
            <w:tcW w:w="5051" w:type="dxa"/>
            <w:tcBorders>
              <w:tr2bl w:val="single" w:color="auto" w:sz="4" w:space="0"/>
            </w:tcBorders>
            <w:noWrap w:val="0"/>
            <w:vAlign w:val="center"/>
          </w:tcPr>
          <w:p w14:paraId="1EC5CF1B">
            <w:pPr>
              <w:pStyle w:val="107"/>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p w14:paraId="7C3A418B">
            <w:pPr>
              <w:pStyle w:val="107"/>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p>
        </w:tc>
      </w:tr>
      <w:tr w14:paraId="6F66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14:paraId="6EE990D8">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573" w:type="dxa"/>
            <w:noWrap w:val="0"/>
            <w:vAlign w:val="center"/>
          </w:tcPr>
          <w:p w14:paraId="720FD32C">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按时提交履约</w:t>
            </w:r>
          </w:p>
          <w:p w14:paraId="5DADC463">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保证的承诺</w:t>
            </w:r>
          </w:p>
        </w:tc>
        <w:tc>
          <w:tcPr>
            <w:tcW w:w="2923" w:type="dxa"/>
            <w:noWrap w:val="0"/>
            <w:vAlign w:val="center"/>
          </w:tcPr>
          <w:p w14:paraId="35D27895">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如果我方中标，我方保证在招标文件规定的时限内全额提交履约保证。</w:t>
            </w:r>
          </w:p>
        </w:tc>
        <w:tc>
          <w:tcPr>
            <w:tcW w:w="5051" w:type="dxa"/>
            <w:noWrap w:val="0"/>
            <w:vAlign w:val="center"/>
          </w:tcPr>
          <w:p w14:paraId="3AE88E3E">
            <w:pPr>
              <w:pStyle w:val="107"/>
              <w:wordWrap w:val="0"/>
              <w:adjustRightInd w:val="0"/>
              <w:snapToGrid w:val="0"/>
              <w:spacing w:line="360" w:lineRule="auto"/>
              <w:ind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4EFC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14:paraId="63365C53">
            <w:pPr>
              <w:pStyle w:val="64"/>
              <w:wordWrap w:val="0"/>
              <w:adjustRightInd w:val="0"/>
              <w:snapToGrid w:val="0"/>
              <w:spacing w:line="36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573" w:type="dxa"/>
            <w:noWrap w:val="0"/>
            <w:vAlign w:val="center"/>
          </w:tcPr>
          <w:p w14:paraId="6FA8C30A">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按时签订合同</w:t>
            </w:r>
          </w:p>
          <w:p w14:paraId="1BCA131A">
            <w:pPr>
              <w:pStyle w:val="107"/>
              <w:wordWrap w:val="0"/>
              <w:adjustRightInd w:val="0"/>
              <w:snapToGrid w:val="0"/>
              <w:spacing w:line="360" w:lineRule="auto"/>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的承诺</w:t>
            </w:r>
          </w:p>
        </w:tc>
        <w:tc>
          <w:tcPr>
            <w:tcW w:w="2923" w:type="dxa"/>
            <w:noWrap w:val="0"/>
            <w:vAlign w:val="center"/>
          </w:tcPr>
          <w:p w14:paraId="1EFF4E75">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5051" w:type="dxa"/>
            <w:noWrap w:val="0"/>
            <w:vAlign w:val="center"/>
          </w:tcPr>
          <w:p w14:paraId="1D829707">
            <w:pPr>
              <w:pStyle w:val="107"/>
              <w:wordWrap w:val="0"/>
              <w:adjustRightInd w:val="0"/>
              <w:snapToGrid w:val="0"/>
              <w:spacing w:line="360" w:lineRule="auto"/>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24C13A44">
      <w:pPr>
        <w:pStyle w:val="64"/>
        <w:wordWrap w:val="0"/>
        <w:adjustRightInd w:val="0"/>
        <w:snapToGrid w:val="0"/>
        <w:spacing w:line="420" w:lineRule="exact"/>
        <w:jc w:val="left"/>
        <w:rPr>
          <w:rFonts w:hint="eastAsia" w:ascii="宋体" w:hAnsi="宋体" w:eastAsia="宋体" w:cs="宋体"/>
          <w:snapToGrid w:val="0"/>
          <w:color w:val="auto"/>
          <w:kern w:val="0"/>
          <w:highlight w:val="none"/>
        </w:rPr>
      </w:pPr>
    </w:p>
    <w:p w14:paraId="1E71F53A">
      <w:pPr>
        <w:pStyle w:val="18"/>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投标人：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（盖单位章）</w:t>
      </w:r>
    </w:p>
    <w:p w14:paraId="273CB0B0">
      <w:pPr>
        <w:pStyle w:val="18"/>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highlight w:val="none"/>
        </w:rPr>
      </w:pPr>
    </w:p>
    <w:p w14:paraId="0E7A76ED">
      <w:pPr>
        <w:pStyle w:val="18"/>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highlight w:val="none"/>
        </w:rPr>
      </w:pPr>
    </w:p>
    <w:p w14:paraId="179E45B4">
      <w:pPr>
        <w:pStyle w:val="18"/>
        <w:wordWrap w:val="0"/>
        <w:adjustRightInd w:val="0"/>
        <w:snapToGrid w:val="0"/>
        <w:spacing w:line="420" w:lineRule="exact"/>
        <w:ind w:firstLine="480" w:firstLineChars="200"/>
        <w:jc w:val="right"/>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法定代表人或其委托代理人：</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（签字或盖章）</w:t>
      </w:r>
    </w:p>
    <w:p w14:paraId="02BB82C7">
      <w:pPr>
        <w:pStyle w:val="18"/>
        <w:wordWrap w:val="0"/>
        <w:adjustRightInd w:val="0"/>
        <w:snapToGrid w:val="0"/>
        <w:spacing w:line="420" w:lineRule="exact"/>
        <w:ind w:firstLine="480" w:firstLineChars="200"/>
        <w:rPr>
          <w:rFonts w:hint="eastAsia" w:ascii="宋体" w:hAnsi="宋体" w:eastAsia="宋体" w:cs="宋体"/>
          <w:snapToGrid w:val="0"/>
          <w:color w:val="auto"/>
          <w:kern w:val="0"/>
          <w:szCs w:val="24"/>
          <w:highlight w:val="none"/>
        </w:rPr>
      </w:pPr>
    </w:p>
    <w:p w14:paraId="6AF098DC">
      <w:pPr>
        <w:pStyle w:val="18"/>
        <w:wordWrap w:val="0"/>
        <w:adjustRightInd w:val="0"/>
        <w:snapToGrid w:val="0"/>
        <w:spacing w:line="420" w:lineRule="exact"/>
        <w:ind w:firstLine="480" w:firstLineChars="200"/>
        <w:jc w:val="center"/>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年</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月</w:t>
      </w:r>
      <w:r>
        <w:rPr>
          <w:rFonts w:hint="eastAsia" w:ascii="宋体" w:hAnsi="宋体" w:eastAsia="宋体" w:cs="宋体"/>
          <w:snapToGrid w:val="0"/>
          <w:color w:val="auto"/>
          <w:kern w:val="0"/>
          <w:szCs w:val="24"/>
          <w:highlight w:val="none"/>
          <w:u w:val="single"/>
        </w:rPr>
        <w:t xml:space="preserve">    </w:t>
      </w:r>
      <w:r>
        <w:rPr>
          <w:rFonts w:hint="eastAsia" w:ascii="宋体" w:hAnsi="宋体" w:eastAsia="宋体" w:cs="宋体"/>
          <w:snapToGrid w:val="0"/>
          <w:color w:val="auto"/>
          <w:kern w:val="0"/>
          <w:szCs w:val="24"/>
          <w:highlight w:val="none"/>
        </w:rPr>
        <w:t>日</w:t>
      </w:r>
    </w:p>
    <w:p w14:paraId="39F77F4D">
      <w:pPr>
        <w:wordWrap w:val="0"/>
        <w:adjustRightInd w:val="0"/>
        <w:snapToGrid w:val="0"/>
        <w:spacing w:line="420" w:lineRule="exact"/>
        <w:jc w:val="left"/>
        <w:outlineLvl w:val="2"/>
        <w:rPr>
          <w:rFonts w:hint="eastAsia" w:ascii="宋体" w:hAnsi="宋体" w:eastAsia="宋体" w:cs="宋体"/>
          <w:b/>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0D7DEAC4">
      <w:pPr>
        <w:pStyle w:val="5"/>
        <w:bidi w:val="0"/>
        <w:ind w:firstLine="964"/>
        <w:rPr>
          <w:rFonts w:hint="eastAsia" w:ascii="宋体" w:hAnsi="宋体" w:eastAsia="宋体" w:cs="宋体"/>
          <w:color w:val="auto"/>
        </w:rPr>
      </w:pPr>
      <w:bookmarkStart w:id="301" w:name="_Toc1822"/>
      <w:bookmarkStart w:id="302" w:name="_Toc1689"/>
      <w:r>
        <w:rPr>
          <w:rFonts w:hint="eastAsia" w:ascii="宋体" w:hAnsi="宋体" w:eastAsia="宋体" w:cs="宋体"/>
          <w:color w:val="auto"/>
        </w:rPr>
        <w:t>格式四 授权委托书</w:t>
      </w:r>
      <w:bookmarkEnd w:id="301"/>
      <w:bookmarkEnd w:id="302"/>
    </w:p>
    <w:p w14:paraId="1A4B32DD">
      <w:pPr>
        <w:wordWrap w:val="0"/>
        <w:adjustRightInd w:val="0"/>
        <w:snapToGrid w:val="0"/>
        <w:spacing w:line="440" w:lineRule="exact"/>
        <w:outlineLvl w:val="2"/>
        <w:rPr>
          <w:rFonts w:hint="eastAsia" w:ascii="宋体" w:hAnsi="宋体" w:eastAsia="宋体" w:cs="宋体"/>
          <w:b/>
          <w:bCs/>
          <w:snapToGrid w:val="0"/>
          <w:color w:val="auto"/>
          <w:kern w:val="0"/>
          <w:szCs w:val="24"/>
          <w:highlight w:val="none"/>
        </w:rPr>
      </w:pPr>
    </w:p>
    <w:p w14:paraId="47660150">
      <w:pPr>
        <w:wordWrap w:val="0"/>
        <w:adjustRightInd w:val="0"/>
        <w:snapToGrid w:val="0"/>
        <w:spacing w:before="260" w:after="260" w:line="440" w:lineRule="exact"/>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授权委托书</w:t>
      </w:r>
    </w:p>
    <w:p w14:paraId="793F2DE8">
      <w:pPr>
        <w:wordWrap w:val="0"/>
        <w:adjustRightInd w:val="0"/>
        <w:snapToGrid w:val="0"/>
        <w:spacing w:line="440" w:lineRule="exact"/>
        <w:rPr>
          <w:rFonts w:hint="eastAsia" w:ascii="宋体" w:hAnsi="宋体" w:eastAsia="宋体" w:cs="宋体"/>
          <w:snapToGrid w:val="0"/>
          <w:color w:val="auto"/>
          <w:kern w:val="0"/>
          <w:szCs w:val="28"/>
          <w:highlight w:val="none"/>
        </w:rPr>
      </w:pPr>
    </w:p>
    <w:p w14:paraId="07E22506">
      <w:pPr>
        <w:wordWrap w:val="0"/>
        <w:adjustRightInd w:val="0"/>
        <w:snapToGrid w:val="0"/>
        <w:spacing w:line="44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（项目名称）投标文件、签订合同和处理有关事宜，其法律后果由我方承担。</w:t>
      </w:r>
    </w:p>
    <w:p w14:paraId="172BCBCB">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委托期限：至</w:t>
      </w:r>
      <w:r>
        <w:rPr>
          <w:rFonts w:hint="eastAsia" w:ascii="宋体" w:hAnsi="宋体" w:eastAsia="宋体" w:cs="宋体"/>
          <w:snapToGrid w:val="0"/>
          <w:color w:val="auto"/>
          <w:kern w:val="0"/>
          <w:szCs w:val="21"/>
          <w:highlight w:val="none"/>
          <w:u w:val="single"/>
        </w:rPr>
        <w:t xml:space="preserve">     年   月   日</w:t>
      </w:r>
      <w:r>
        <w:rPr>
          <w:rFonts w:hint="eastAsia" w:ascii="宋体" w:hAnsi="宋体" w:eastAsia="宋体" w:cs="宋体"/>
          <w:i/>
          <w:iCs/>
          <w:snapToGrid w:val="0"/>
          <w:color w:val="auto"/>
          <w:kern w:val="0"/>
          <w:szCs w:val="21"/>
          <w:highlight w:val="none"/>
          <w:u w:val="single"/>
        </w:rPr>
        <w:t>（不得短于招标文件规定的投标有效期）</w:t>
      </w:r>
      <w:r>
        <w:rPr>
          <w:rFonts w:hint="eastAsia" w:ascii="宋体" w:hAnsi="宋体" w:eastAsia="宋体" w:cs="宋体"/>
          <w:snapToGrid w:val="0"/>
          <w:color w:val="auto"/>
          <w:kern w:val="0"/>
          <w:szCs w:val="21"/>
          <w:highlight w:val="none"/>
        </w:rPr>
        <w:t xml:space="preserve"> 。</w:t>
      </w:r>
    </w:p>
    <w:p w14:paraId="2DC64069">
      <w:pPr>
        <w:wordWrap w:val="0"/>
        <w:adjustRightInd w:val="0"/>
        <w:snapToGrid w:val="0"/>
        <w:spacing w:line="44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代理人无转委托权。</w:t>
      </w:r>
    </w:p>
    <w:p w14:paraId="36B11894">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6BB4D931">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56114A8D">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投  标  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（盖单位章）</w:t>
      </w:r>
    </w:p>
    <w:p w14:paraId="255E44F3">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p>
    <w:p w14:paraId="1C5A3FD3">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49B8A0F4">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法定代表人：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69A73393">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36316A00">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snapToGrid w:val="0"/>
          <w:color w:val="auto"/>
          <w:kern w:val="0"/>
          <w:szCs w:val="21"/>
          <w:highlight w:val="none"/>
          <w:lang w:val="en-US" w:eastAsia="zh-CN"/>
        </w:rPr>
        <w:t xml:space="preserve">       </w:t>
      </w:r>
      <w:r>
        <w:rPr>
          <w:rFonts w:hint="eastAsia" w:ascii="宋体" w:hAnsi="宋体" w:eastAsia="宋体" w:cs="宋体"/>
          <w:snapToGrid w:val="0"/>
          <w:color w:val="auto"/>
          <w:kern w:val="0"/>
          <w:szCs w:val="21"/>
          <w:highlight w:val="none"/>
        </w:rPr>
        <w:t>委托代理人：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16DC21C6">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p>
    <w:p w14:paraId="1FBEA013">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40EAFD4F">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54457C0A">
      <w:pPr>
        <w:wordWrap w:val="0"/>
        <w:adjustRightInd w:val="0"/>
        <w:snapToGrid w:val="0"/>
        <w:spacing w:line="440" w:lineRule="exact"/>
        <w:ind w:firstLine="480" w:firstLineChars="200"/>
        <w:rPr>
          <w:rFonts w:hint="eastAsia" w:ascii="宋体" w:hAnsi="宋体" w:eastAsia="宋体" w:cs="宋体"/>
          <w:snapToGrid w:val="0"/>
          <w:color w:val="auto"/>
          <w:kern w:val="0"/>
          <w:szCs w:val="21"/>
          <w:highlight w:val="none"/>
        </w:rPr>
      </w:pPr>
    </w:p>
    <w:p w14:paraId="5045367D">
      <w:pPr>
        <w:wordWrap w:val="0"/>
        <w:adjustRightInd w:val="0"/>
        <w:snapToGrid w:val="0"/>
        <w:ind w:firstLine="6440" w:firstLineChars="23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 w:val="28"/>
          <w:szCs w:val="28"/>
          <w:highlight w:val="none"/>
          <w:u w:val="single"/>
        </w:rPr>
        <mc:AlternateContent>
          <mc:Choice Requires="wps">
            <w:drawing>
              <wp:anchor distT="0" distB="0" distL="114300" distR="114300" simplePos="0" relativeHeight="251661312" behindDoc="0" locked="0" layoutInCell="1" allowOverlap="1">
                <wp:simplePos x="0" y="0"/>
                <wp:positionH relativeFrom="column">
                  <wp:posOffset>1466850</wp:posOffset>
                </wp:positionH>
                <wp:positionV relativeFrom="paragraph">
                  <wp:posOffset>33020</wp:posOffset>
                </wp:positionV>
                <wp:extent cx="3190875" cy="2202815"/>
                <wp:effectExtent l="4445" t="4445" r="5080" b="21590"/>
                <wp:wrapNone/>
                <wp:docPr id="20" name="自选图形 19"/>
                <wp:cNvGraphicFramePr/>
                <a:graphic xmlns:a="http://schemas.openxmlformats.org/drawingml/2006/main">
                  <a:graphicData uri="http://schemas.microsoft.com/office/word/2010/wordprocessingShape">
                    <wps:wsp>
                      <wps:cNvSpPr/>
                      <wps:spPr>
                        <a:xfrm>
                          <a:off x="0" y="0"/>
                          <a:ext cx="3190875" cy="22028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B94B07E">
                            <w:pPr>
                              <w:jc w:val="both"/>
                              <w:rPr>
                                <w:rFonts w:hint="eastAsia"/>
                                <w:szCs w:val="21"/>
                              </w:rPr>
                            </w:pPr>
                          </w:p>
                          <w:p w14:paraId="734E4B05">
                            <w:pPr>
                              <w:jc w:val="center"/>
                              <w:rPr>
                                <w:szCs w:val="21"/>
                              </w:rPr>
                            </w:pPr>
                            <w:r>
                              <w:rPr>
                                <w:rFonts w:hint="eastAsia"/>
                                <w:szCs w:val="21"/>
                              </w:rPr>
                              <w:t>委托代理人身份证</w:t>
                            </w:r>
                            <w:r>
                              <w:rPr>
                                <w:rFonts w:hint="eastAsia"/>
                                <w:szCs w:val="21"/>
                                <w:lang w:val="en-US" w:eastAsia="zh-CN"/>
                              </w:rPr>
                              <w:t>彩色扫描件</w:t>
                            </w:r>
                            <w:r>
                              <w:rPr>
                                <w:rFonts w:hint="eastAsia"/>
                                <w:szCs w:val="21"/>
                              </w:rPr>
                              <w:t>正、反面</w:t>
                            </w:r>
                          </w:p>
                        </w:txbxContent>
                      </wps:txbx>
                      <wps:bodyPr wrap="square" upright="1"/>
                    </wps:wsp>
                  </a:graphicData>
                </a:graphic>
              </wp:anchor>
            </w:drawing>
          </mc:Choice>
          <mc:Fallback>
            <w:pict>
              <v:shape id="自选图形 19" o:spid="_x0000_s1026" o:spt="176" type="#_x0000_t176" style="position:absolute;left:0pt;margin-left:115.5pt;margin-top:2.6pt;height:173.45pt;width:251.25pt;z-index:251661312;mso-width-relative:page;mso-height-relative:page;" fillcolor="#FFFFFF" filled="t" stroked="t" coordsize="21600,21600" o:gfxdata="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dUEotgAAAAJAQAADwAAAAAAAAABACAAAAAiAAAAZHJzL2Rvd25yZXYueG1sUEsBAhQAFAAAAAgA&#10;h07iQCOOAcwlAgAAVQQAAA4AAAAAAAAAAQAgAAAAJwEAAGRycy9lMm9Eb2MueG1sUEsFBgAAAAAG&#10;AAYAWQEAAL4FAAAAAA==&#10;">
                <v:fill on="t" focussize="0,0"/>
                <v:stroke color="#000000" joinstyle="miter"/>
                <v:imagedata o:title=""/>
                <o:lock v:ext="edit" aspectratio="f"/>
                <v:textbox>
                  <w:txbxContent>
                    <w:p w14:paraId="7B94B07E">
                      <w:pPr>
                        <w:jc w:val="both"/>
                        <w:rPr>
                          <w:rFonts w:hint="eastAsia"/>
                          <w:szCs w:val="21"/>
                        </w:rPr>
                      </w:pPr>
                    </w:p>
                    <w:p w14:paraId="734E4B05">
                      <w:pPr>
                        <w:jc w:val="center"/>
                        <w:rPr>
                          <w:szCs w:val="21"/>
                        </w:rPr>
                      </w:pPr>
                      <w:r>
                        <w:rPr>
                          <w:rFonts w:hint="eastAsia"/>
                          <w:szCs w:val="21"/>
                        </w:rPr>
                        <w:t>委托代理人身份证</w:t>
                      </w:r>
                      <w:r>
                        <w:rPr>
                          <w:rFonts w:hint="eastAsia"/>
                          <w:szCs w:val="21"/>
                          <w:lang w:val="en-US" w:eastAsia="zh-CN"/>
                        </w:rPr>
                        <w:t>彩色扫描件</w:t>
                      </w:r>
                      <w:r>
                        <w:rPr>
                          <w:rFonts w:hint="eastAsia"/>
                          <w:szCs w:val="21"/>
                        </w:rPr>
                        <w:t>正、反面</w:t>
                      </w:r>
                    </w:p>
                  </w:txbxContent>
                </v:textbox>
              </v:shape>
            </w:pict>
          </mc:Fallback>
        </mc:AlternateContent>
      </w:r>
    </w:p>
    <w:p w14:paraId="146ED89D">
      <w:pPr>
        <w:pStyle w:val="11"/>
        <w:wordWrap w:val="0"/>
        <w:adjustRightInd w:val="0"/>
        <w:snapToGrid w:val="0"/>
        <w:rPr>
          <w:rFonts w:hint="eastAsia" w:ascii="宋体" w:hAnsi="宋体" w:eastAsia="宋体" w:cs="宋体"/>
          <w:snapToGrid w:val="0"/>
          <w:color w:val="auto"/>
          <w:kern w:val="0"/>
          <w:szCs w:val="24"/>
          <w:highlight w:val="none"/>
        </w:rPr>
      </w:pPr>
    </w:p>
    <w:p w14:paraId="13997643">
      <w:pPr>
        <w:pStyle w:val="5"/>
        <w:keepNext w:val="0"/>
        <w:keepLines w:val="0"/>
        <w:wordWrap w:val="0"/>
        <w:adjustRightInd w:val="0"/>
        <w:snapToGrid w:val="0"/>
        <w:rPr>
          <w:rFonts w:hint="eastAsia" w:ascii="宋体" w:hAnsi="宋体" w:eastAsia="宋体" w:cs="宋体"/>
          <w:snapToGrid w:val="0"/>
          <w:color w:val="auto"/>
          <w:kern w:val="0"/>
          <w:highlight w:val="none"/>
        </w:rPr>
      </w:pPr>
    </w:p>
    <w:p w14:paraId="05D406CA">
      <w:pPr>
        <w:pStyle w:val="6"/>
        <w:widowControl w:val="0"/>
        <w:wordWrap w:val="0"/>
        <w:adjustRightInd w:val="0"/>
        <w:snapToGrid w:val="0"/>
        <w:rPr>
          <w:rFonts w:hint="eastAsia" w:ascii="宋体" w:hAnsi="宋体" w:eastAsia="宋体" w:cs="宋体"/>
          <w:snapToGrid w:val="0"/>
          <w:color w:val="auto"/>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4CA478D1">
      <w:pPr>
        <w:pStyle w:val="5"/>
        <w:bidi w:val="0"/>
        <w:ind w:firstLine="964"/>
        <w:rPr>
          <w:rFonts w:hint="eastAsia" w:ascii="宋体" w:hAnsi="宋体" w:eastAsia="宋体" w:cs="宋体"/>
          <w:color w:val="auto"/>
        </w:rPr>
      </w:pPr>
      <w:bookmarkStart w:id="303" w:name="_Toc26408"/>
      <w:bookmarkStart w:id="304" w:name="_Toc21377"/>
      <w:r>
        <w:rPr>
          <w:rFonts w:hint="eastAsia" w:ascii="宋体" w:hAnsi="宋体" w:eastAsia="宋体" w:cs="宋体"/>
          <w:color w:val="auto"/>
        </w:rPr>
        <w:t>格式五 法定代表人身份证明</w:t>
      </w:r>
      <w:bookmarkEnd w:id="303"/>
      <w:bookmarkEnd w:id="304"/>
    </w:p>
    <w:p w14:paraId="128111AD">
      <w:pPr>
        <w:wordWrap w:val="0"/>
        <w:adjustRightInd w:val="0"/>
        <w:snapToGrid w:val="0"/>
        <w:spacing w:line="440" w:lineRule="exact"/>
        <w:outlineLvl w:val="2"/>
        <w:rPr>
          <w:rFonts w:hint="eastAsia" w:ascii="宋体" w:hAnsi="宋体" w:eastAsia="宋体" w:cs="宋体"/>
          <w:b/>
          <w:snapToGrid w:val="0"/>
          <w:color w:val="auto"/>
          <w:kern w:val="0"/>
          <w:highlight w:val="none"/>
        </w:rPr>
      </w:pPr>
    </w:p>
    <w:p w14:paraId="31B9C975">
      <w:pPr>
        <w:wordWrap w:val="0"/>
        <w:adjustRightInd w:val="0"/>
        <w:snapToGrid w:val="0"/>
        <w:spacing w:before="260" w:after="260" w:line="440" w:lineRule="exact"/>
        <w:jc w:val="center"/>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sz w:val="30"/>
          <w:highlight w:val="none"/>
        </w:rPr>
        <w:t>法定代表人身份证明</w:t>
      </w:r>
    </w:p>
    <w:p w14:paraId="6BB54858">
      <w:pPr>
        <w:wordWrap w:val="0"/>
        <w:adjustRightInd w:val="0"/>
        <w:snapToGrid w:val="0"/>
        <w:spacing w:line="440" w:lineRule="exact"/>
        <w:rPr>
          <w:rFonts w:hint="eastAsia" w:ascii="宋体" w:hAnsi="宋体" w:eastAsia="宋体" w:cs="宋体"/>
          <w:snapToGrid w:val="0"/>
          <w:color w:val="auto"/>
          <w:kern w:val="0"/>
          <w:szCs w:val="21"/>
          <w:highlight w:val="none"/>
        </w:rPr>
      </w:pPr>
    </w:p>
    <w:p w14:paraId="59DE099D">
      <w:pPr>
        <w:wordWrap w:val="0"/>
        <w:adjustRightInd w:val="0"/>
        <w:snapToGrid w:val="0"/>
        <w:spacing w:line="440" w:lineRule="exact"/>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投标人名称：</w:t>
      </w:r>
      <w:r>
        <w:rPr>
          <w:rFonts w:hint="eastAsia" w:ascii="宋体" w:hAnsi="宋体" w:eastAsia="宋体" w:cs="宋体"/>
          <w:snapToGrid w:val="0"/>
          <w:color w:val="auto"/>
          <w:kern w:val="0"/>
          <w:szCs w:val="21"/>
          <w:highlight w:val="none"/>
          <w:u w:val="single"/>
        </w:rPr>
        <w:t xml:space="preserve">                  </w:t>
      </w:r>
    </w:p>
    <w:p w14:paraId="18EC02A4">
      <w:pPr>
        <w:wordWrap w:val="0"/>
        <w:adjustRightInd w:val="0"/>
        <w:snapToGrid w:val="0"/>
        <w:spacing w:line="440" w:lineRule="exact"/>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姓名：</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性别：</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年龄：</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职务：</w:t>
      </w:r>
      <w:r>
        <w:rPr>
          <w:rFonts w:hint="eastAsia" w:ascii="宋体" w:hAnsi="宋体" w:eastAsia="宋体" w:cs="宋体"/>
          <w:snapToGrid w:val="0"/>
          <w:color w:val="auto"/>
          <w:kern w:val="0"/>
          <w:szCs w:val="21"/>
          <w:highlight w:val="none"/>
          <w:u w:val="single"/>
        </w:rPr>
        <w:t xml:space="preserve">           </w:t>
      </w:r>
    </w:p>
    <w:p w14:paraId="2AE3013E">
      <w:pPr>
        <w:wordWrap w:val="0"/>
        <w:adjustRightInd w:val="0"/>
        <w:snapToGrid w:val="0"/>
        <w:spacing w:line="44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（投标人名称）的法定代表人。</w:t>
      </w:r>
    </w:p>
    <w:p w14:paraId="1905C333">
      <w:pPr>
        <w:wordWrap w:val="0"/>
        <w:adjustRightInd w:val="0"/>
        <w:snapToGrid w:val="0"/>
        <w:spacing w:line="440" w:lineRule="exac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特此证明。</w:t>
      </w:r>
    </w:p>
    <w:p w14:paraId="33D73E87">
      <w:pPr>
        <w:wordWrap w:val="0"/>
        <w:adjustRightInd w:val="0"/>
        <w:snapToGrid w:val="0"/>
        <w:spacing w:line="440" w:lineRule="exact"/>
        <w:rPr>
          <w:rFonts w:hint="eastAsia" w:ascii="宋体" w:hAnsi="宋体" w:eastAsia="宋体" w:cs="宋体"/>
          <w:snapToGrid w:val="0"/>
          <w:color w:val="auto"/>
          <w:kern w:val="0"/>
          <w:szCs w:val="21"/>
          <w:highlight w:val="none"/>
        </w:rPr>
      </w:pPr>
    </w:p>
    <w:p w14:paraId="78B8D652">
      <w:pPr>
        <w:wordWrap w:val="0"/>
        <w:adjustRightInd w:val="0"/>
        <w:snapToGrid w:val="0"/>
        <w:spacing w:line="440" w:lineRule="exact"/>
        <w:rPr>
          <w:rFonts w:hint="eastAsia" w:ascii="宋体" w:hAnsi="宋体" w:eastAsia="宋体" w:cs="宋体"/>
          <w:snapToGrid w:val="0"/>
          <w:color w:val="auto"/>
          <w:kern w:val="0"/>
          <w:szCs w:val="21"/>
          <w:highlight w:val="none"/>
        </w:rPr>
      </w:pPr>
    </w:p>
    <w:p w14:paraId="3EB40026">
      <w:pPr>
        <w:wordWrap w:val="0"/>
        <w:adjustRightInd w:val="0"/>
        <w:snapToGrid w:val="0"/>
        <w:spacing w:line="440" w:lineRule="exact"/>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（盖单位章）</w:t>
      </w:r>
    </w:p>
    <w:p w14:paraId="3A983D9B">
      <w:pPr>
        <w:wordWrap w:val="0"/>
        <w:adjustRightInd w:val="0"/>
        <w:snapToGrid w:val="0"/>
        <w:spacing w:line="440" w:lineRule="exact"/>
        <w:jc w:val="right"/>
        <w:rPr>
          <w:rFonts w:hint="eastAsia" w:ascii="宋体" w:hAnsi="宋体" w:eastAsia="宋体" w:cs="宋体"/>
          <w:snapToGrid w:val="0"/>
          <w:color w:val="auto"/>
          <w:kern w:val="0"/>
          <w:szCs w:val="21"/>
          <w:highlight w:val="none"/>
        </w:rPr>
      </w:pPr>
    </w:p>
    <w:p w14:paraId="56B50CF0">
      <w:pPr>
        <w:wordWrap w:val="0"/>
        <w:adjustRightInd w:val="0"/>
        <w:snapToGrid w:val="0"/>
        <w:spacing w:line="440" w:lineRule="exact"/>
        <w:jc w:val="right"/>
        <w:rPr>
          <w:rFonts w:hint="eastAsia" w:ascii="宋体" w:hAnsi="宋体" w:eastAsia="宋体" w:cs="宋体"/>
          <w:snapToGrid w:val="0"/>
          <w:color w:val="auto"/>
          <w:kern w:val="0"/>
          <w:szCs w:val="21"/>
          <w:highlight w:val="none"/>
        </w:rPr>
      </w:pPr>
    </w:p>
    <w:p w14:paraId="346061ED">
      <w:pPr>
        <w:wordWrap w:val="0"/>
        <w:adjustRightInd w:val="0"/>
        <w:snapToGrid w:val="0"/>
        <w:spacing w:line="440" w:lineRule="exact"/>
        <w:jc w:val="right"/>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法定代表人：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（签字或盖章）</w:t>
      </w:r>
    </w:p>
    <w:p w14:paraId="085EDE61">
      <w:pPr>
        <w:wordWrap w:val="0"/>
        <w:adjustRightInd w:val="0"/>
        <w:snapToGrid w:val="0"/>
        <w:spacing w:line="440" w:lineRule="exact"/>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p>
    <w:p w14:paraId="0FE4AB79">
      <w:pPr>
        <w:wordWrap w:val="0"/>
        <w:adjustRightInd w:val="0"/>
        <w:snapToGrid w:val="0"/>
        <w:spacing w:line="440" w:lineRule="exact"/>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 xml:space="preserve">日       </w:t>
      </w:r>
    </w:p>
    <w:p w14:paraId="32092DA9">
      <w:pPr>
        <w:wordWrap w:val="0"/>
        <w:adjustRightInd w:val="0"/>
        <w:snapToGrid w:val="0"/>
        <w:spacing w:line="440" w:lineRule="exact"/>
        <w:ind w:firstLine="240" w:firstLineChars="1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p>
    <w:p w14:paraId="3F52A745">
      <w:pPr>
        <w:wordWrap w:val="0"/>
        <w:adjustRightInd w:val="0"/>
        <w:snapToGrid w:val="0"/>
        <w:spacing w:line="440" w:lineRule="exact"/>
        <w:ind w:firstLine="720" w:firstLineChars="300"/>
        <w:rPr>
          <w:rFonts w:hint="eastAsia" w:ascii="宋体" w:hAnsi="宋体" w:eastAsia="宋体" w:cs="宋体"/>
          <w:i/>
          <w:iCs/>
          <w:snapToGrid w:val="0"/>
          <w:color w:val="auto"/>
          <w:kern w:val="0"/>
          <w:szCs w:val="21"/>
          <w:highlight w:val="none"/>
        </w:rPr>
      </w:pPr>
      <w:r>
        <w:rPr>
          <w:rFonts w:hint="eastAsia" w:ascii="宋体" w:hAnsi="宋体" w:eastAsia="宋体" w:cs="宋体"/>
          <w:snapToGrid w:val="0"/>
          <w:color w:val="auto"/>
          <w:kern w:val="0"/>
          <w:szCs w:val="21"/>
          <w:highlight w:val="none"/>
        </w:rPr>
        <w:t xml:space="preserve">  </w:t>
      </w:r>
      <w:r>
        <w:rPr>
          <w:rFonts w:hint="eastAsia" w:ascii="宋体" w:hAnsi="宋体" w:eastAsia="宋体" w:cs="宋体"/>
          <w:i/>
          <w:iCs/>
          <w:snapToGrid w:val="0"/>
          <w:color w:val="auto"/>
          <w:kern w:val="0"/>
          <w:szCs w:val="21"/>
          <w:highlight w:val="none"/>
        </w:rPr>
        <w:t xml:space="preserve"> </w:t>
      </w:r>
    </w:p>
    <w:p w14:paraId="615D270D">
      <w:pPr>
        <w:wordWrap w:val="0"/>
        <w:adjustRightInd w:val="0"/>
        <w:snapToGrid w:val="0"/>
        <w:spacing w:line="440" w:lineRule="exact"/>
        <w:ind w:firstLine="720" w:firstLineChars="300"/>
        <w:rPr>
          <w:rFonts w:hint="eastAsia" w:ascii="宋体" w:hAnsi="宋体" w:eastAsia="宋体" w:cs="宋体"/>
          <w:i/>
          <w:iCs/>
          <w:snapToGrid w:val="0"/>
          <w:color w:val="auto"/>
          <w:kern w:val="0"/>
          <w:szCs w:val="21"/>
          <w:highlight w:val="none"/>
        </w:rPr>
      </w:pPr>
    </w:p>
    <w:p w14:paraId="5B16402B">
      <w:pPr>
        <w:wordWrap w:val="0"/>
        <w:adjustRightInd w:val="0"/>
        <w:snapToGrid w:val="0"/>
        <w:spacing w:line="440" w:lineRule="exact"/>
        <w:ind w:firstLine="720" w:firstLineChars="300"/>
        <w:rPr>
          <w:rFonts w:hint="eastAsia" w:ascii="宋体" w:hAnsi="宋体" w:eastAsia="宋体" w:cs="宋体"/>
          <w:i/>
          <w:iCs/>
          <w:snapToGrid w:val="0"/>
          <w:color w:val="auto"/>
          <w:kern w:val="0"/>
          <w:szCs w:val="21"/>
          <w:highlight w:val="none"/>
        </w:rPr>
      </w:pPr>
    </w:p>
    <w:p w14:paraId="1597B753">
      <w:pPr>
        <w:wordWrap w:val="0"/>
        <w:adjustRightInd w:val="0"/>
        <w:snapToGrid w:val="0"/>
        <w:rPr>
          <w:rFonts w:hint="eastAsia" w:ascii="宋体" w:hAnsi="宋体" w:eastAsia="宋体" w:cs="宋体"/>
          <w:b/>
          <w:snapToGrid w:val="0"/>
          <w:color w:val="auto"/>
          <w:kern w:val="0"/>
          <w:szCs w:val="21"/>
          <w:highlight w:val="none"/>
        </w:rPr>
      </w:pPr>
      <w:r>
        <w:rPr>
          <w:rFonts w:hint="eastAsia" w:ascii="宋体" w:hAnsi="宋体" w:eastAsia="宋体" w:cs="宋体"/>
          <w:b/>
          <w:snapToGrid w:val="0"/>
          <w:color w:val="auto"/>
          <w:kern w:val="0"/>
          <w:szCs w:val="21"/>
          <w:highlight w:val="none"/>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20320</wp:posOffset>
                </wp:positionV>
                <wp:extent cx="3120390" cy="2336165"/>
                <wp:effectExtent l="4445" t="4445" r="18415" b="21590"/>
                <wp:wrapNone/>
                <wp:docPr id="19" name="自选图形 18"/>
                <wp:cNvGraphicFramePr/>
                <a:graphic xmlns:a="http://schemas.openxmlformats.org/drawingml/2006/main">
                  <a:graphicData uri="http://schemas.microsoft.com/office/word/2010/wordprocessingShape">
                    <wps:wsp>
                      <wps:cNvSpPr/>
                      <wps:spPr>
                        <a:xfrm>
                          <a:off x="0" y="0"/>
                          <a:ext cx="3120390" cy="233616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B33CAFD">
                            <w:pPr>
                              <w:jc w:val="center"/>
                              <w:rPr>
                                <w:rFonts w:hint="eastAsia"/>
                                <w:szCs w:val="21"/>
                              </w:rPr>
                            </w:pPr>
                          </w:p>
                          <w:p w14:paraId="41B32FAC">
                            <w:pPr>
                              <w:jc w:val="center"/>
                              <w:rPr>
                                <w:szCs w:val="21"/>
                              </w:rPr>
                            </w:pPr>
                            <w:r>
                              <w:rPr>
                                <w:rFonts w:hint="eastAsia"/>
                                <w:szCs w:val="21"/>
                              </w:rPr>
                              <w:t>法定代表人身份证</w:t>
                            </w:r>
                            <w:r>
                              <w:rPr>
                                <w:rFonts w:hint="eastAsia"/>
                                <w:szCs w:val="21"/>
                                <w:lang w:val="en-US" w:eastAsia="zh-CN"/>
                              </w:rPr>
                              <w:t>彩色扫描件</w:t>
                            </w:r>
                            <w:r>
                              <w:rPr>
                                <w:rFonts w:hint="eastAsia"/>
                                <w:szCs w:val="21"/>
                              </w:rPr>
                              <w:t>正、反面</w:t>
                            </w:r>
                          </w:p>
                        </w:txbxContent>
                      </wps:txbx>
                      <wps:bodyPr wrap="square" upright="1"/>
                    </wps:wsp>
                  </a:graphicData>
                </a:graphic>
              </wp:anchor>
            </w:drawing>
          </mc:Choice>
          <mc:Fallback>
            <w:pict>
              <v:shape id="自选图形 18" o:spid="_x0000_s1026" o:spt="176" type="#_x0000_t176" style="position:absolute;left:0pt;margin-left:127.5pt;margin-top:1.6pt;height:183.95pt;width:245.7pt;z-index:251660288;mso-width-relative:page;mso-height-relative:page;" fillcolor="#FFFFFF" filled="t" stroked="t" coordsize="21600,21600" o:gfxdata="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yCSMrXAAAACQEAAA8AAAAAAAAAAQAgAAAAIgAAAGRycy9kb3ducmV2LnhtbFBLAQIUABQAAAAI&#10;AIdO4kCFFy0zJwIAAFUEAAAOAAAAAAAAAAEAIAAAACYBAABkcnMvZTJvRG9jLnhtbFBLBQYAAAAA&#10;BgAGAFkBAAC/BQAAAAA=&#10;">
                <v:fill on="t" focussize="0,0"/>
                <v:stroke color="#000000" joinstyle="miter"/>
                <v:imagedata o:title=""/>
                <o:lock v:ext="edit" aspectratio="f"/>
                <v:textbox>
                  <w:txbxContent>
                    <w:p w14:paraId="3B33CAFD">
                      <w:pPr>
                        <w:jc w:val="center"/>
                        <w:rPr>
                          <w:rFonts w:hint="eastAsia"/>
                          <w:szCs w:val="21"/>
                        </w:rPr>
                      </w:pPr>
                    </w:p>
                    <w:p w14:paraId="41B32FAC">
                      <w:pPr>
                        <w:jc w:val="center"/>
                        <w:rPr>
                          <w:szCs w:val="21"/>
                        </w:rPr>
                      </w:pPr>
                      <w:r>
                        <w:rPr>
                          <w:rFonts w:hint="eastAsia"/>
                          <w:szCs w:val="21"/>
                        </w:rPr>
                        <w:t>法定代表人身份证</w:t>
                      </w:r>
                      <w:r>
                        <w:rPr>
                          <w:rFonts w:hint="eastAsia"/>
                          <w:szCs w:val="21"/>
                          <w:lang w:val="en-US" w:eastAsia="zh-CN"/>
                        </w:rPr>
                        <w:t>彩色扫描件</w:t>
                      </w:r>
                      <w:r>
                        <w:rPr>
                          <w:rFonts w:hint="eastAsia"/>
                          <w:szCs w:val="21"/>
                        </w:rPr>
                        <w:t>正、反面</w:t>
                      </w:r>
                    </w:p>
                  </w:txbxContent>
                </v:textbox>
              </v:shape>
            </w:pict>
          </mc:Fallback>
        </mc:AlternateContent>
      </w:r>
    </w:p>
    <w:p w14:paraId="22494FB9">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宋体" w:hAnsi="宋体" w:eastAsia="宋体" w:cs="宋体"/>
          <w:snapToGrid w:val="0"/>
          <w:color w:val="auto"/>
          <w:kern w:val="0"/>
          <w:sz w:val="28"/>
          <w:szCs w:val="28"/>
          <w:highlight w:val="none"/>
        </w:rPr>
      </w:pPr>
    </w:p>
    <w:p w14:paraId="62C6C69A">
      <w:pPr>
        <w:wordWrap w:val="0"/>
        <w:adjustRightInd w:val="0"/>
        <w:snapToGrid w:val="0"/>
        <w:spacing w:line="480" w:lineRule="exact"/>
        <w:jc w:val="center"/>
        <w:rPr>
          <w:rFonts w:hint="eastAsia" w:ascii="宋体" w:hAnsi="宋体" w:eastAsia="宋体" w:cs="宋体"/>
          <w:b/>
          <w:snapToGrid w:val="0"/>
          <w:color w:val="auto"/>
          <w:kern w:val="0"/>
          <w:sz w:val="28"/>
          <w:szCs w:val="28"/>
          <w:highlight w:val="none"/>
        </w:rPr>
      </w:pPr>
    </w:p>
    <w:p w14:paraId="68360507">
      <w:pPr>
        <w:wordWrap w:val="0"/>
        <w:adjustRightInd w:val="0"/>
        <w:snapToGrid w:val="0"/>
        <w:spacing w:line="480" w:lineRule="exact"/>
        <w:jc w:val="center"/>
        <w:rPr>
          <w:rFonts w:hint="eastAsia" w:ascii="宋体" w:hAnsi="宋体" w:eastAsia="宋体" w:cs="宋体"/>
          <w:b/>
          <w:snapToGrid w:val="0"/>
          <w:color w:val="auto"/>
          <w:kern w:val="0"/>
          <w:sz w:val="28"/>
          <w:szCs w:val="28"/>
          <w:highlight w:val="none"/>
        </w:rPr>
      </w:pPr>
    </w:p>
    <w:p w14:paraId="76CD6A02">
      <w:pPr>
        <w:wordWrap w:val="0"/>
        <w:adjustRightInd w:val="0"/>
        <w:snapToGrid w:val="0"/>
        <w:spacing w:line="480" w:lineRule="exact"/>
        <w:jc w:val="center"/>
        <w:rPr>
          <w:rFonts w:hint="eastAsia" w:ascii="宋体" w:hAnsi="宋体" w:eastAsia="宋体" w:cs="宋体"/>
          <w:b/>
          <w:snapToGrid w:val="0"/>
          <w:color w:val="auto"/>
          <w:kern w:val="0"/>
          <w:sz w:val="28"/>
          <w:szCs w:val="28"/>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2829A00C">
      <w:pPr>
        <w:pStyle w:val="5"/>
        <w:bidi w:val="0"/>
        <w:ind w:firstLine="964"/>
        <w:rPr>
          <w:rFonts w:hint="eastAsia" w:ascii="宋体" w:hAnsi="宋体" w:eastAsia="宋体" w:cs="宋体"/>
          <w:color w:val="auto"/>
        </w:rPr>
      </w:pPr>
      <w:bookmarkStart w:id="305" w:name="_Toc191"/>
      <w:r>
        <w:rPr>
          <w:rFonts w:hint="eastAsia" w:ascii="宋体" w:hAnsi="宋体" w:eastAsia="宋体" w:cs="宋体"/>
          <w:color w:val="auto"/>
        </w:rPr>
        <w:t>格式六 联合体协议书</w:t>
      </w:r>
      <w:bookmarkEnd w:id="305"/>
    </w:p>
    <w:p w14:paraId="5D306B4F">
      <w:pPr>
        <w:pStyle w:val="76"/>
        <w:widowControl w:val="0"/>
        <w:wordWrap w:val="0"/>
        <w:adjustRightInd w:val="0"/>
        <w:snapToGrid w:val="0"/>
        <w:spacing w:line="440" w:lineRule="exact"/>
        <w:ind w:firstLine="0"/>
        <w:rPr>
          <w:rFonts w:hint="eastAsia" w:ascii="宋体" w:hAnsi="宋体" w:eastAsia="宋体" w:cs="宋体"/>
          <w:b/>
          <w:bCs/>
          <w:snapToGrid w:val="0"/>
          <w:color w:val="auto"/>
          <w:sz w:val="24"/>
          <w:szCs w:val="24"/>
          <w:highlight w:val="none"/>
        </w:rPr>
      </w:pPr>
    </w:p>
    <w:p w14:paraId="5E87777E">
      <w:pPr>
        <w:pStyle w:val="76"/>
        <w:widowControl w:val="0"/>
        <w:wordWrap w:val="0"/>
        <w:adjustRightInd w:val="0"/>
        <w:snapToGrid w:val="0"/>
        <w:spacing w:before="240" w:after="240" w:line="440" w:lineRule="exact"/>
        <w:ind w:firstLine="0"/>
        <w:jc w:val="center"/>
        <w:rPr>
          <w:rFonts w:hint="eastAsia" w:ascii="宋体" w:hAnsi="宋体" w:eastAsia="宋体" w:cs="宋体"/>
          <w:snapToGrid w:val="0"/>
          <w:color w:val="auto"/>
          <w:sz w:val="24"/>
          <w:szCs w:val="21"/>
          <w:highlight w:val="none"/>
        </w:rPr>
      </w:pPr>
      <w:r>
        <w:rPr>
          <w:rFonts w:hint="eastAsia" w:ascii="宋体" w:hAnsi="宋体" w:eastAsia="宋体" w:cs="宋体"/>
          <w:b/>
          <w:snapToGrid w:val="0"/>
          <w:color w:val="auto"/>
          <w:sz w:val="30"/>
          <w:highlight w:val="none"/>
        </w:rPr>
        <w:t>联合体协议书</w:t>
      </w:r>
    </w:p>
    <w:p w14:paraId="69F636C0">
      <w:pPr>
        <w:pStyle w:val="76"/>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0BCACDBF">
      <w:pPr>
        <w:pStyle w:val="76"/>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牵头人名称：</w:t>
      </w:r>
      <w:r>
        <w:rPr>
          <w:rFonts w:hint="eastAsia" w:ascii="宋体" w:hAnsi="宋体" w:eastAsia="宋体" w:cs="宋体"/>
          <w:snapToGrid w:val="0"/>
          <w:color w:val="auto"/>
          <w:sz w:val="24"/>
          <w:szCs w:val="24"/>
          <w:highlight w:val="none"/>
          <w:u w:val="single"/>
        </w:rPr>
        <w:t xml:space="preserve">                                                  </w:t>
      </w:r>
    </w:p>
    <w:p w14:paraId="1D3E9AB9">
      <w:pPr>
        <w:pStyle w:val="76"/>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14:paraId="319DF58B">
      <w:pPr>
        <w:pStyle w:val="76"/>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14:paraId="064EC425">
      <w:pPr>
        <w:pStyle w:val="76"/>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5E1A040C">
      <w:pPr>
        <w:pStyle w:val="76"/>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w:t>
      </w:r>
      <w:r>
        <w:rPr>
          <w:rFonts w:hint="eastAsia" w:ascii="宋体" w:hAnsi="宋体" w:eastAsia="宋体" w:cs="宋体"/>
          <w:snapToGrid w:val="0"/>
          <w:color w:val="auto"/>
          <w:sz w:val="24"/>
          <w:szCs w:val="24"/>
          <w:highlight w:val="none"/>
          <w:lang w:val="en-US" w:eastAsia="zh-CN"/>
        </w:rPr>
        <w:t>二</w:t>
      </w:r>
      <w:r>
        <w:rPr>
          <w:rFonts w:hint="eastAsia" w:ascii="宋体" w:hAnsi="宋体" w:eastAsia="宋体" w:cs="宋体"/>
          <w:snapToGrid w:val="0"/>
          <w:color w:val="auto"/>
          <w:sz w:val="24"/>
          <w:szCs w:val="24"/>
          <w:highlight w:val="none"/>
        </w:rPr>
        <w:t>名称：</w:t>
      </w:r>
      <w:r>
        <w:rPr>
          <w:rFonts w:hint="eastAsia" w:ascii="宋体" w:hAnsi="宋体" w:eastAsia="宋体" w:cs="宋体"/>
          <w:snapToGrid w:val="0"/>
          <w:color w:val="auto"/>
          <w:sz w:val="24"/>
          <w:szCs w:val="24"/>
          <w:highlight w:val="none"/>
          <w:u w:val="single"/>
        </w:rPr>
        <w:t xml:space="preserve">                                                  </w:t>
      </w:r>
    </w:p>
    <w:p w14:paraId="4DCF143E">
      <w:pPr>
        <w:pStyle w:val="76"/>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14:paraId="4ACB16D7">
      <w:pPr>
        <w:pStyle w:val="76"/>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14:paraId="31305BBC">
      <w:pPr>
        <w:pStyle w:val="76"/>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w:t>
      </w:r>
    </w:p>
    <w:p w14:paraId="1760019B">
      <w:pPr>
        <w:pStyle w:val="76"/>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上述各成员单位经过友好协商，自愿组成联合体，共同参加</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（项目名称）（以下简称“本项目”）的施工投标并争取赢得本项目施工承包合同（以下简称合同）。现就联合体投标事宜订立如下协议：</w:t>
      </w:r>
    </w:p>
    <w:p w14:paraId="189A3C00">
      <w:pPr>
        <w:pStyle w:val="76"/>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1．</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（某成员单位名称）为联合体牵头人。</w:t>
      </w:r>
    </w:p>
    <w:p w14:paraId="34B528C9">
      <w:pPr>
        <w:pStyle w:val="76"/>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1D5D3570">
      <w:pPr>
        <w:pStyle w:val="76"/>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20A9AE58">
      <w:pPr>
        <w:pStyle w:val="76"/>
        <w:widowControl w:val="0"/>
        <w:wordWrap w:val="0"/>
        <w:adjustRightInd w:val="0"/>
        <w:snapToGrid w:val="0"/>
        <w:spacing w:line="440" w:lineRule="exact"/>
        <w:ind w:firstLine="48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4．联合体各成员单位内部的职责分工如下：</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p>
    <w:p w14:paraId="604386BC">
      <w:pPr>
        <w:pStyle w:val="76"/>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5．投标工作和联合体在中标后工程实施过程中的有关费用按各自承担的工作量分摊。</w:t>
      </w:r>
    </w:p>
    <w:p w14:paraId="3DCA25F8">
      <w:pPr>
        <w:pStyle w:val="76"/>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6．联合体中标后，本联合体协议是合同的附件，对联合体各成员单位有合同约束力。</w:t>
      </w:r>
    </w:p>
    <w:p w14:paraId="126F1908">
      <w:pPr>
        <w:pStyle w:val="76"/>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7．本协议书自签署之日起生效，联合体未中标或者中标时合同履行完毕后自动失效。</w:t>
      </w:r>
    </w:p>
    <w:p w14:paraId="434EFC00">
      <w:pPr>
        <w:pStyle w:val="76"/>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8．本协议书一式</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份，联合体成员和招标人各执一份。</w:t>
      </w:r>
    </w:p>
    <w:p w14:paraId="50AF13E6">
      <w:pPr>
        <w:pStyle w:val="76"/>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5DAF77B3">
      <w:pPr>
        <w:pStyle w:val="76"/>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038C141A">
      <w:pPr>
        <w:pStyle w:val="76"/>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牵头人名称：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1B309A60">
      <w:pPr>
        <w:pStyle w:val="76"/>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71CFD60E">
      <w:pPr>
        <w:pStyle w:val="76"/>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14:paraId="371FB67E">
      <w:pPr>
        <w:pStyle w:val="76"/>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0C71F078">
      <w:pPr>
        <w:pStyle w:val="76"/>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14:paraId="2AD1012C">
      <w:pPr>
        <w:pStyle w:val="76"/>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14:paraId="4F3A070A">
      <w:pPr>
        <w:pStyle w:val="76"/>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3C42CEDC">
      <w:pPr>
        <w:pStyle w:val="76"/>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14:paraId="594D54B9">
      <w:pPr>
        <w:pStyle w:val="76"/>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14:paraId="5E8DBD40">
      <w:pPr>
        <w:pStyle w:val="76"/>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成员</w:t>
      </w:r>
      <w:r>
        <w:rPr>
          <w:rFonts w:hint="eastAsia" w:ascii="宋体" w:hAnsi="宋体" w:eastAsia="宋体" w:cs="宋体"/>
          <w:snapToGrid w:val="0"/>
          <w:color w:val="auto"/>
          <w:sz w:val="24"/>
          <w:szCs w:val="24"/>
          <w:highlight w:val="none"/>
          <w:lang w:val="en-US" w:eastAsia="zh-CN"/>
        </w:rPr>
        <w:t>二</w:t>
      </w:r>
      <w:r>
        <w:rPr>
          <w:rFonts w:hint="eastAsia" w:ascii="宋体" w:hAnsi="宋体" w:eastAsia="宋体" w:cs="宋体"/>
          <w:snapToGrid w:val="0"/>
          <w:color w:val="auto"/>
          <w:sz w:val="24"/>
          <w:szCs w:val="24"/>
          <w:highlight w:val="none"/>
        </w:rPr>
        <w:t>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07549BB1">
      <w:pPr>
        <w:pStyle w:val="76"/>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14:paraId="790189EB">
      <w:pPr>
        <w:pStyle w:val="76"/>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14:paraId="1987C139">
      <w:pPr>
        <w:pStyle w:val="76"/>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18AC942D">
      <w:pPr>
        <w:pStyle w:val="76"/>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6D26417F">
      <w:pPr>
        <w:pStyle w:val="76"/>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14:paraId="061D6DDA">
      <w:pPr>
        <w:pStyle w:val="76"/>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日</w:t>
      </w:r>
    </w:p>
    <w:p w14:paraId="77E09E97">
      <w:pPr>
        <w:pStyle w:val="76"/>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p>
    <w:p w14:paraId="1D8D5FB5">
      <w:pPr>
        <w:pStyle w:val="76"/>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1"/>
          <w:szCs w:val="21"/>
          <w:highlight w:val="none"/>
        </w:rPr>
        <w:t>说明：《联合体协议书》由委托代理人签字或盖章的，应附法定代表人签字或盖章的授权委托书。</w:t>
      </w:r>
    </w:p>
    <w:p w14:paraId="0C53638E">
      <w:pPr>
        <w:pStyle w:val="76"/>
        <w:widowControl w:val="0"/>
        <w:wordWrap w:val="0"/>
        <w:adjustRightInd w:val="0"/>
        <w:snapToGrid w:val="0"/>
        <w:spacing w:line="440" w:lineRule="exact"/>
        <w:rPr>
          <w:rFonts w:hint="eastAsia" w:ascii="宋体" w:hAnsi="宋体" w:eastAsia="宋体" w:cs="宋体"/>
          <w:snapToGrid w:val="0"/>
          <w:color w:val="auto"/>
          <w:sz w:val="24"/>
          <w:szCs w:val="24"/>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5B676C02">
      <w:pPr>
        <w:pStyle w:val="5"/>
        <w:bidi w:val="0"/>
        <w:ind w:firstLine="964"/>
        <w:rPr>
          <w:rFonts w:hint="eastAsia" w:ascii="宋体" w:hAnsi="宋体" w:eastAsia="宋体" w:cs="宋体"/>
          <w:color w:val="auto"/>
        </w:rPr>
      </w:pPr>
      <w:bookmarkStart w:id="306" w:name="_Toc4289"/>
      <w:bookmarkStart w:id="307" w:name="_Toc15143"/>
      <w:r>
        <w:rPr>
          <w:rFonts w:hint="eastAsia" w:ascii="宋体" w:hAnsi="宋体" w:eastAsia="宋体" w:cs="宋体"/>
          <w:color w:val="auto"/>
        </w:rPr>
        <w:t>格式七 投标人基本情况表</w:t>
      </w:r>
      <w:bookmarkEnd w:id="306"/>
      <w:bookmarkEnd w:id="307"/>
    </w:p>
    <w:p w14:paraId="02920C33">
      <w:pPr>
        <w:pStyle w:val="76"/>
        <w:widowControl w:val="0"/>
        <w:wordWrap w:val="0"/>
        <w:adjustRightInd w:val="0"/>
        <w:snapToGrid w:val="0"/>
        <w:spacing w:before="260" w:after="260" w:line="400" w:lineRule="exact"/>
        <w:ind w:firstLine="0"/>
        <w:jc w:val="center"/>
        <w:rPr>
          <w:rFonts w:hint="eastAsia" w:ascii="宋体" w:hAnsi="宋体" w:eastAsia="宋体" w:cs="宋体"/>
          <w:snapToGrid w:val="0"/>
          <w:color w:val="auto"/>
          <w:sz w:val="24"/>
          <w:highlight w:val="none"/>
        </w:rPr>
      </w:pPr>
      <w:r>
        <w:rPr>
          <w:rFonts w:hint="eastAsia" w:ascii="宋体" w:hAnsi="宋体" w:eastAsia="宋体" w:cs="宋体"/>
          <w:b/>
          <w:snapToGrid w:val="0"/>
          <w:color w:val="auto"/>
          <w:sz w:val="30"/>
          <w:highlight w:val="none"/>
        </w:rPr>
        <w:t>投标人基本情况表</w:t>
      </w:r>
    </w:p>
    <w:tbl>
      <w:tblPr>
        <w:tblStyle w:val="32"/>
        <w:tblW w:w="9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9"/>
        <w:gridCol w:w="1236"/>
        <w:gridCol w:w="1350"/>
        <w:gridCol w:w="803"/>
        <w:gridCol w:w="457"/>
        <w:gridCol w:w="789"/>
        <w:gridCol w:w="260"/>
        <w:gridCol w:w="709"/>
        <w:gridCol w:w="1890"/>
      </w:tblGrid>
      <w:tr w14:paraId="7BAD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5FCBF126">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投标人名称</w:t>
            </w:r>
          </w:p>
        </w:tc>
        <w:tc>
          <w:tcPr>
            <w:tcW w:w="7494" w:type="dxa"/>
            <w:gridSpan w:val="8"/>
            <w:noWrap w:val="0"/>
            <w:vAlign w:val="center"/>
          </w:tcPr>
          <w:p w14:paraId="1141AE83">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6AD8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2BD74181">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注册地址</w:t>
            </w:r>
          </w:p>
        </w:tc>
        <w:tc>
          <w:tcPr>
            <w:tcW w:w="3389" w:type="dxa"/>
            <w:gridSpan w:val="3"/>
            <w:noWrap w:val="0"/>
            <w:vAlign w:val="center"/>
          </w:tcPr>
          <w:p w14:paraId="7A466E18">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46" w:type="dxa"/>
            <w:gridSpan w:val="2"/>
            <w:noWrap w:val="0"/>
            <w:vAlign w:val="center"/>
          </w:tcPr>
          <w:p w14:paraId="60A6D937">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邮政编码</w:t>
            </w:r>
          </w:p>
        </w:tc>
        <w:tc>
          <w:tcPr>
            <w:tcW w:w="2859" w:type="dxa"/>
            <w:gridSpan w:val="3"/>
            <w:noWrap w:val="0"/>
            <w:vAlign w:val="center"/>
          </w:tcPr>
          <w:p w14:paraId="14BCFEED">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05A9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vMerge w:val="restart"/>
            <w:noWrap w:val="0"/>
            <w:vAlign w:val="center"/>
          </w:tcPr>
          <w:p w14:paraId="4493069D">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联系方式</w:t>
            </w:r>
          </w:p>
        </w:tc>
        <w:tc>
          <w:tcPr>
            <w:tcW w:w="1236" w:type="dxa"/>
            <w:noWrap w:val="0"/>
            <w:vAlign w:val="center"/>
          </w:tcPr>
          <w:p w14:paraId="1FFDA03A">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联系人</w:t>
            </w:r>
          </w:p>
        </w:tc>
        <w:tc>
          <w:tcPr>
            <w:tcW w:w="2153" w:type="dxa"/>
            <w:gridSpan w:val="2"/>
            <w:noWrap w:val="0"/>
            <w:vAlign w:val="center"/>
          </w:tcPr>
          <w:p w14:paraId="21D5388A">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46" w:type="dxa"/>
            <w:gridSpan w:val="2"/>
            <w:noWrap w:val="0"/>
            <w:vAlign w:val="center"/>
          </w:tcPr>
          <w:p w14:paraId="0477B6CA">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电  话</w:t>
            </w:r>
          </w:p>
        </w:tc>
        <w:tc>
          <w:tcPr>
            <w:tcW w:w="2859" w:type="dxa"/>
            <w:gridSpan w:val="3"/>
            <w:noWrap w:val="0"/>
            <w:vAlign w:val="center"/>
          </w:tcPr>
          <w:p w14:paraId="66E713B9">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412E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vMerge w:val="continue"/>
            <w:noWrap w:val="0"/>
            <w:vAlign w:val="center"/>
          </w:tcPr>
          <w:p w14:paraId="1F2CA452">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36" w:type="dxa"/>
            <w:noWrap w:val="0"/>
            <w:vAlign w:val="center"/>
          </w:tcPr>
          <w:p w14:paraId="19BD0998">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传  真</w:t>
            </w:r>
          </w:p>
        </w:tc>
        <w:tc>
          <w:tcPr>
            <w:tcW w:w="2153" w:type="dxa"/>
            <w:gridSpan w:val="2"/>
            <w:noWrap w:val="0"/>
            <w:vAlign w:val="center"/>
          </w:tcPr>
          <w:p w14:paraId="4F089F0C">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46" w:type="dxa"/>
            <w:gridSpan w:val="2"/>
            <w:noWrap w:val="0"/>
            <w:vAlign w:val="center"/>
          </w:tcPr>
          <w:p w14:paraId="3D535E67">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电子邮箱</w:t>
            </w:r>
          </w:p>
        </w:tc>
        <w:tc>
          <w:tcPr>
            <w:tcW w:w="2859" w:type="dxa"/>
            <w:gridSpan w:val="3"/>
            <w:noWrap w:val="0"/>
            <w:vAlign w:val="center"/>
          </w:tcPr>
          <w:p w14:paraId="7050CDAC">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6090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094BD079">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单位性质</w:t>
            </w:r>
          </w:p>
        </w:tc>
        <w:tc>
          <w:tcPr>
            <w:tcW w:w="7494" w:type="dxa"/>
            <w:gridSpan w:val="8"/>
            <w:noWrap w:val="0"/>
            <w:vAlign w:val="center"/>
          </w:tcPr>
          <w:p w14:paraId="766919B3">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70782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325AA326">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法定代表人</w:t>
            </w:r>
          </w:p>
        </w:tc>
        <w:tc>
          <w:tcPr>
            <w:tcW w:w="1236" w:type="dxa"/>
            <w:noWrap w:val="0"/>
            <w:vAlign w:val="center"/>
          </w:tcPr>
          <w:p w14:paraId="69E198DD">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姓名</w:t>
            </w:r>
          </w:p>
        </w:tc>
        <w:tc>
          <w:tcPr>
            <w:tcW w:w="1350" w:type="dxa"/>
            <w:noWrap w:val="0"/>
            <w:vAlign w:val="center"/>
          </w:tcPr>
          <w:p w14:paraId="4EB20802">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noWrap w:val="0"/>
            <w:vAlign w:val="center"/>
          </w:tcPr>
          <w:p w14:paraId="0D707791">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技术职称</w:t>
            </w:r>
          </w:p>
        </w:tc>
        <w:tc>
          <w:tcPr>
            <w:tcW w:w="1049" w:type="dxa"/>
            <w:gridSpan w:val="2"/>
            <w:noWrap w:val="0"/>
            <w:vAlign w:val="center"/>
          </w:tcPr>
          <w:p w14:paraId="140ECDC1">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709" w:type="dxa"/>
            <w:noWrap w:val="0"/>
            <w:vAlign w:val="center"/>
          </w:tcPr>
          <w:p w14:paraId="1551EDE7">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电话</w:t>
            </w:r>
          </w:p>
        </w:tc>
        <w:tc>
          <w:tcPr>
            <w:tcW w:w="1890" w:type="dxa"/>
            <w:noWrap w:val="0"/>
            <w:vAlign w:val="center"/>
          </w:tcPr>
          <w:p w14:paraId="0D667B51">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0FF1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3F85FB91">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成立时间</w:t>
            </w:r>
          </w:p>
        </w:tc>
        <w:tc>
          <w:tcPr>
            <w:tcW w:w="2586" w:type="dxa"/>
            <w:gridSpan w:val="2"/>
            <w:noWrap w:val="0"/>
            <w:vAlign w:val="center"/>
          </w:tcPr>
          <w:p w14:paraId="30C36794">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4908" w:type="dxa"/>
            <w:gridSpan w:val="6"/>
            <w:noWrap w:val="0"/>
            <w:vAlign w:val="center"/>
          </w:tcPr>
          <w:p w14:paraId="26E3444A">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员工总人数（个）：</w:t>
            </w:r>
          </w:p>
        </w:tc>
      </w:tr>
      <w:tr w14:paraId="239B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09221102">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企业资质</w:t>
            </w:r>
          </w:p>
          <w:p w14:paraId="074E5BA2">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类型和等级</w:t>
            </w:r>
          </w:p>
        </w:tc>
        <w:tc>
          <w:tcPr>
            <w:tcW w:w="2586" w:type="dxa"/>
            <w:gridSpan w:val="2"/>
            <w:noWrap w:val="0"/>
            <w:vAlign w:val="center"/>
          </w:tcPr>
          <w:p w14:paraId="15D4B1AF">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vMerge w:val="restart"/>
            <w:noWrap w:val="0"/>
            <w:vAlign w:val="center"/>
          </w:tcPr>
          <w:p w14:paraId="53AEAEE4">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其中</w:t>
            </w:r>
          </w:p>
        </w:tc>
        <w:tc>
          <w:tcPr>
            <w:tcW w:w="1758" w:type="dxa"/>
            <w:gridSpan w:val="3"/>
            <w:noWrap w:val="0"/>
            <w:vAlign w:val="center"/>
          </w:tcPr>
          <w:p w14:paraId="6657B11A">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项目经理</w:t>
            </w:r>
          </w:p>
        </w:tc>
        <w:tc>
          <w:tcPr>
            <w:tcW w:w="1890" w:type="dxa"/>
            <w:noWrap w:val="0"/>
            <w:vAlign w:val="center"/>
          </w:tcPr>
          <w:p w14:paraId="2157CF26">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5749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2A882B96">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营业执照号</w:t>
            </w:r>
          </w:p>
        </w:tc>
        <w:tc>
          <w:tcPr>
            <w:tcW w:w="2586" w:type="dxa"/>
            <w:gridSpan w:val="2"/>
            <w:noWrap w:val="0"/>
            <w:vAlign w:val="center"/>
          </w:tcPr>
          <w:p w14:paraId="65D93120">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vMerge w:val="continue"/>
            <w:noWrap w:val="0"/>
            <w:vAlign w:val="center"/>
          </w:tcPr>
          <w:p w14:paraId="203CC3E6">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758" w:type="dxa"/>
            <w:gridSpan w:val="3"/>
            <w:noWrap w:val="0"/>
            <w:vAlign w:val="center"/>
          </w:tcPr>
          <w:p w14:paraId="54ED8B2E">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高级职称人员</w:t>
            </w:r>
          </w:p>
        </w:tc>
        <w:tc>
          <w:tcPr>
            <w:tcW w:w="1890" w:type="dxa"/>
            <w:noWrap w:val="0"/>
            <w:vAlign w:val="center"/>
          </w:tcPr>
          <w:p w14:paraId="271B76F5">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6801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14042E10">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注册资金</w:t>
            </w:r>
          </w:p>
        </w:tc>
        <w:tc>
          <w:tcPr>
            <w:tcW w:w="2586" w:type="dxa"/>
            <w:gridSpan w:val="2"/>
            <w:noWrap w:val="0"/>
            <w:vAlign w:val="center"/>
          </w:tcPr>
          <w:p w14:paraId="53B9073C">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vMerge w:val="continue"/>
            <w:noWrap w:val="0"/>
            <w:vAlign w:val="center"/>
          </w:tcPr>
          <w:p w14:paraId="44EF65A1">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758" w:type="dxa"/>
            <w:gridSpan w:val="3"/>
            <w:noWrap w:val="0"/>
            <w:vAlign w:val="center"/>
          </w:tcPr>
          <w:p w14:paraId="7DDEF8E0">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中级职称人员</w:t>
            </w:r>
          </w:p>
        </w:tc>
        <w:tc>
          <w:tcPr>
            <w:tcW w:w="1890" w:type="dxa"/>
            <w:noWrap w:val="0"/>
            <w:vAlign w:val="center"/>
          </w:tcPr>
          <w:p w14:paraId="10FC2EF1">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3D15C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21EB1A41">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基本账户</w:t>
            </w:r>
          </w:p>
          <w:p w14:paraId="701DEF42">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开户银行</w:t>
            </w:r>
          </w:p>
        </w:tc>
        <w:tc>
          <w:tcPr>
            <w:tcW w:w="2586" w:type="dxa"/>
            <w:gridSpan w:val="2"/>
            <w:noWrap w:val="0"/>
            <w:vAlign w:val="center"/>
          </w:tcPr>
          <w:p w14:paraId="066A1826">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vMerge w:val="continue"/>
            <w:noWrap w:val="0"/>
            <w:vAlign w:val="center"/>
          </w:tcPr>
          <w:p w14:paraId="082FAF1D">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758" w:type="dxa"/>
            <w:gridSpan w:val="3"/>
            <w:noWrap w:val="0"/>
            <w:vAlign w:val="center"/>
          </w:tcPr>
          <w:p w14:paraId="6E0AB430">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初级职称人员</w:t>
            </w:r>
          </w:p>
        </w:tc>
        <w:tc>
          <w:tcPr>
            <w:tcW w:w="1890" w:type="dxa"/>
            <w:noWrap w:val="0"/>
            <w:vAlign w:val="center"/>
          </w:tcPr>
          <w:p w14:paraId="22232309">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1AEB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4140EC42">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基本账户</w:t>
            </w:r>
          </w:p>
          <w:p w14:paraId="46413F0D">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银行账号</w:t>
            </w:r>
          </w:p>
        </w:tc>
        <w:tc>
          <w:tcPr>
            <w:tcW w:w="2586" w:type="dxa"/>
            <w:gridSpan w:val="2"/>
            <w:noWrap w:val="0"/>
            <w:vAlign w:val="center"/>
          </w:tcPr>
          <w:p w14:paraId="138DE8BA">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260" w:type="dxa"/>
            <w:gridSpan w:val="2"/>
            <w:vMerge w:val="continue"/>
            <w:noWrap w:val="0"/>
            <w:vAlign w:val="center"/>
          </w:tcPr>
          <w:p w14:paraId="415BC6A8">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c>
          <w:tcPr>
            <w:tcW w:w="1758" w:type="dxa"/>
            <w:gridSpan w:val="3"/>
            <w:noWrap w:val="0"/>
            <w:vAlign w:val="center"/>
          </w:tcPr>
          <w:p w14:paraId="18B84979">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技术员</w:t>
            </w:r>
          </w:p>
        </w:tc>
        <w:tc>
          <w:tcPr>
            <w:tcW w:w="1890" w:type="dxa"/>
            <w:noWrap w:val="0"/>
            <w:vAlign w:val="center"/>
          </w:tcPr>
          <w:p w14:paraId="08658855">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r w14:paraId="2E38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548077D9">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经营范围</w:t>
            </w:r>
          </w:p>
        </w:tc>
        <w:tc>
          <w:tcPr>
            <w:tcW w:w="7494" w:type="dxa"/>
            <w:gridSpan w:val="8"/>
            <w:noWrap w:val="0"/>
            <w:vAlign w:val="center"/>
          </w:tcPr>
          <w:p w14:paraId="1DEAE451">
            <w:pPr>
              <w:pStyle w:val="125"/>
              <w:wordWrap w:val="0"/>
              <w:adjustRightInd w:val="0"/>
              <w:snapToGrid w:val="0"/>
              <w:spacing w:line="360" w:lineRule="auto"/>
              <w:jc w:val="left"/>
              <w:rPr>
                <w:rFonts w:hint="eastAsia" w:ascii="宋体" w:hAnsi="宋体" w:eastAsia="宋体" w:cs="宋体"/>
                <w:snapToGrid w:val="0"/>
                <w:color w:val="auto"/>
                <w:kern w:val="0"/>
                <w:sz w:val="22"/>
                <w:szCs w:val="22"/>
                <w:highlight w:val="none"/>
              </w:rPr>
            </w:pPr>
          </w:p>
        </w:tc>
      </w:tr>
      <w:tr w14:paraId="4480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0BF9E39F">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关联企业情况</w:t>
            </w:r>
          </w:p>
        </w:tc>
        <w:tc>
          <w:tcPr>
            <w:tcW w:w="7494" w:type="dxa"/>
            <w:gridSpan w:val="8"/>
            <w:noWrap w:val="0"/>
            <w:vAlign w:val="center"/>
          </w:tcPr>
          <w:p w14:paraId="76970875">
            <w:pPr>
              <w:pStyle w:val="125"/>
              <w:wordWrap w:val="0"/>
              <w:adjustRightInd w:val="0"/>
              <w:snapToGrid w:val="0"/>
              <w:spacing w:line="360"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包括但不限于与投标人存在以下关系的不同单位：</w:t>
            </w:r>
          </w:p>
          <w:p w14:paraId="4DFD7CE2">
            <w:pPr>
              <w:pStyle w:val="125"/>
              <w:wordWrap w:val="0"/>
              <w:adjustRightInd w:val="0"/>
              <w:snapToGrid w:val="0"/>
              <w:spacing w:line="360"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1．法定代表人为同一人的。</w:t>
            </w:r>
          </w:p>
          <w:p w14:paraId="69B918B2">
            <w:pPr>
              <w:pStyle w:val="125"/>
              <w:wordWrap w:val="0"/>
              <w:adjustRightInd w:val="0"/>
              <w:snapToGrid w:val="0"/>
              <w:spacing w:line="360"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2．存在控股、管理关系的。</w:t>
            </w:r>
          </w:p>
          <w:p w14:paraId="1CADA060">
            <w:pPr>
              <w:pStyle w:val="125"/>
              <w:wordWrap w:val="0"/>
              <w:adjustRightInd w:val="0"/>
              <w:snapToGrid w:val="0"/>
              <w:spacing w:line="360" w:lineRule="auto"/>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3．主要人员相互任职的。</w:t>
            </w:r>
          </w:p>
        </w:tc>
      </w:tr>
      <w:tr w14:paraId="559A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339" w:type="dxa"/>
            <w:noWrap w:val="0"/>
            <w:vAlign w:val="center"/>
          </w:tcPr>
          <w:p w14:paraId="7B1CA370">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备注</w:t>
            </w:r>
          </w:p>
        </w:tc>
        <w:tc>
          <w:tcPr>
            <w:tcW w:w="7494" w:type="dxa"/>
            <w:gridSpan w:val="8"/>
            <w:noWrap w:val="0"/>
            <w:vAlign w:val="center"/>
          </w:tcPr>
          <w:p w14:paraId="24CC1CC0">
            <w:pPr>
              <w:pStyle w:val="125"/>
              <w:wordWrap w:val="0"/>
              <w:adjustRightInd w:val="0"/>
              <w:snapToGrid w:val="0"/>
              <w:spacing w:line="360" w:lineRule="auto"/>
              <w:jc w:val="center"/>
              <w:rPr>
                <w:rFonts w:hint="eastAsia" w:ascii="宋体" w:hAnsi="宋体" w:eastAsia="宋体" w:cs="宋体"/>
                <w:snapToGrid w:val="0"/>
                <w:color w:val="auto"/>
                <w:kern w:val="0"/>
                <w:sz w:val="22"/>
                <w:szCs w:val="22"/>
                <w:highlight w:val="none"/>
              </w:rPr>
            </w:pPr>
          </w:p>
        </w:tc>
      </w:tr>
    </w:tbl>
    <w:p w14:paraId="4D454CB0">
      <w:pPr>
        <w:pStyle w:val="125"/>
        <w:wordWrap w:val="0"/>
        <w:adjustRightInd w:val="0"/>
        <w:snapToGrid w:val="0"/>
        <w:spacing w:line="400" w:lineRule="exact"/>
        <w:ind w:firstLine="440" w:firstLineChars="20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说明：</w:t>
      </w:r>
    </w:p>
    <w:p w14:paraId="18F6A04D">
      <w:pPr>
        <w:pStyle w:val="125"/>
        <w:wordWrap w:val="0"/>
        <w:adjustRightInd w:val="0"/>
        <w:snapToGrid w:val="0"/>
        <w:spacing w:line="400" w:lineRule="exact"/>
        <w:ind w:firstLine="440" w:firstLineChars="20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1．《投标人基本情况表》后应附以下资料：</w:t>
      </w:r>
    </w:p>
    <w:p w14:paraId="4AA9340D">
      <w:pPr>
        <w:pStyle w:val="125"/>
        <w:wordWrap w:val="0"/>
        <w:adjustRightInd w:val="0"/>
        <w:snapToGrid w:val="0"/>
        <w:spacing w:line="400" w:lineRule="exact"/>
        <w:ind w:firstLine="440" w:firstLineChars="200"/>
        <w:rPr>
          <w:rFonts w:hint="eastAsia" w:ascii="宋体" w:hAnsi="宋体" w:eastAsia="宋体" w:cs="宋体"/>
          <w:b/>
          <w:bCs/>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（1）企业营业执照、资质证书、安全生产许可证的（</w:t>
      </w:r>
      <w:r>
        <w:rPr>
          <w:rFonts w:hint="eastAsia" w:ascii="宋体" w:hAnsi="宋体" w:eastAsia="宋体" w:cs="宋体"/>
          <w:b/>
          <w:bCs/>
          <w:snapToGrid w:val="0"/>
          <w:color w:val="auto"/>
          <w:kern w:val="0"/>
          <w:sz w:val="22"/>
          <w:szCs w:val="22"/>
          <w:highlight w:val="none"/>
        </w:rPr>
        <w:t>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如中标后，投标单位安全生产许可证发生被暂扣情形，需双方另行协商）；</w:t>
      </w:r>
    </w:p>
    <w:p w14:paraId="75BA6363">
      <w:pPr>
        <w:pStyle w:val="125"/>
        <w:wordWrap w:val="0"/>
        <w:adjustRightInd w:val="0"/>
        <w:snapToGrid w:val="0"/>
        <w:spacing w:line="400" w:lineRule="exact"/>
        <w:ind w:firstLine="440" w:firstLineChars="200"/>
        <w:rPr>
          <w:rFonts w:hint="eastAsia" w:ascii="宋体" w:hAnsi="宋体" w:eastAsia="宋体" w:cs="宋体"/>
          <w:snapToGrid w:val="0"/>
          <w:color w:val="auto"/>
          <w:kern w:val="0"/>
          <w:sz w:val="22"/>
          <w:szCs w:val="28"/>
          <w:highlight w:val="none"/>
        </w:rPr>
      </w:pPr>
      <w:r>
        <w:rPr>
          <w:rFonts w:hint="eastAsia" w:ascii="宋体" w:hAnsi="宋体" w:eastAsia="宋体" w:cs="宋体"/>
          <w:snapToGrid w:val="0"/>
          <w:color w:val="auto"/>
          <w:kern w:val="0"/>
          <w:sz w:val="22"/>
          <w:szCs w:val="22"/>
          <w:highlight w:val="none"/>
        </w:rPr>
        <w:t>（2）</w:t>
      </w:r>
      <w:r>
        <w:rPr>
          <w:rFonts w:hint="eastAsia" w:ascii="宋体" w:hAnsi="宋体" w:eastAsia="宋体" w:cs="宋体"/>
          <w:snapToGrid w:val="0"/>
          <w:color w:val="auto"/>
          <w:kern w:val="0"/>
          <w:sz w:val="22"/>
          <w:szCs w:val="28"/>
          <w:highlight w:val="none"/>
        </w:rPr>
        <w:t>“进粤企业和人员诚信信息登记平台”企业信息情况打印页。（适用于省外建筑企业）</w:t>
      </w:r>
    </w:p>
    <w:p w14:paraId="7565FFDA">
      <w:pPr>
        <w:pStyle w:val="125"/>
        <w:wordWrap w:val="0"/>
        <w:adjustRightInd w:val="0"/>
        <w:snapToGrid w:val="0"/>
        <w:spacing w:line="400" w:lineRule="exact"/>
        <w:ind w:firstLine="440" w:firstLineChars="200"/>
        <w:rPr>
          <w:rFonts w:hint="eastAsia" w:ascii="宋体" w:hAnsi="宋体" w:eastAsia="宋体" w:cs="宋体"/>
          <w:snapToGrid w:val="0"/>
          <w:color w:val="auto"/>
          <w:kern w:val="0"/>
          <w:sz w:val="22"/>
          <w:szCs w:val="28"/>
          <w:highlight w:val="none"/>
        </w:rPr>
      </w:pPr>
      <w:r>
        <w:rPr>
          <w:rFonts w:hint="eastAsia" w:ascii="宋体" w:hAnsi="宋体" w:eastAsia="宋体" w:cs="宋体"/>
          <w:snapToGrid w:val="0"/>
          <w:color w:val="auto"/>
          <w:kern w:val="0"/>
          <w:sz w:val="22"/>
          <w:szCs w:val="22"/>
          <w:highlight w:val="none"/>
        </w:rPr>
        <w:t>（3）</w:t>
      </w:r>
      <w:r>
        <w:rPr>
          <w:rFonts w:hint="eastAsia" w:ascii="宋体" w:hAnsi="宋体" w:eastAsia="宋体" w:cs="宋体"/>
          <w:snapToGrid w:val="0"/>
          <w:color w:val="auto"/>
          <w:kern w:val="0"/>
          <w:sz w:val="22"/>
          <w:szCs w:val="28"/>
          <w:highlight w:val="none"/>
        </w:rPr>
        <w:t>《法人和非法人组织公共信用信息报告》（在“信用中国”网站企业查询界面中下载）。</w:t>
      </w:r>
    </w:p>
    <w:p w14:paraId="179E3ACF">
      <w:pPr>
        <w:pStyle w:val="125"/>
        <w:wordWrap w:val="0"/>
        <w:adjustRightInd w:val="0"/>
        <w:snapToGrid w:val="0"/>
        <w:spacing w:line="400" w:lineRule="exac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8"/>
          <w:highlight w:val="none"/>
        </w:rPr>
        <w:t xml:space="preserve">    </w:t>
      </w:r>
    </w:p>
    <w:p w14:paraId="603E6E0C">
      <w:pPr>
        <w:pStyle w:val="76"/>
        <w:widowControl w:val="0"/>
        <w:wordWrap w:val="0"/>
        <w:adjustRightInd w:val="0"/>
        <w:snapToGrid w:val="0"/>
        <w:spacing w:line="400" w:lineRule="exact"/>
        <w:jc w:val="center"/>
        <w:rPr>
          <w:rFonts w:hint="eastAsia" w:ascii="宋体" w:hAnsi="宋体" w:eastAsia="宋体" w:cs="宋体"/>
          <w:snapToGrid w:val="0"/>
          <w:color w:val="auto"/>
          <w:sz w:val="21"/>
          <w:szCs w:val="21"/>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bookmarkEnd w:id="279"/>
    <w:bookmarkEnd w:id="280"/>
    <w:p w14:paraId="257E92EE">
      <w:pPr>
        <w:pStyle w:val="5"/>
        <w:bidi w:val="0"/>
        <w:ind w:firstLine="964"/>
        <w:rPr>
          <w:rFonts w:hint="eastAsia" w:ascii="宋体" w:hAnsi="宋体" w:eastAsia="宋体" w:cs="宋体"/>
          <w:color w:val="auto"/>
        </w:rPr>
      </w:pPr>
      <w:bookmarkStart w:id="308" w:name="_Toc20248"/>
      <w:bookmarkStart w:id="309" w:name="_Toc32402"/>
      <w:bookmarkStart w:id="310" w:name="_Toc10778"/>
      <w:bookmarkStart w:id="311" w:name="_Toc27834"/>
      <w:r>
        <w:rPr>
          <w:rFonts w:hint="eastAsia" w:ascii="宋体" w:hAnsi="宋体" w:eastAsia="宋体" w:cs="宋体"/>
          <w:color w:val="auto"/>
        </w:rPr>
        <w:t>格式八 项目经理简历表</w:t>
      </w:r>
      <w:bookmarkEnd w:id="308"/>
      <w:bookmarkEnd w:id="309"/>
      <w:bookmarkEnd w:id="310"/>
      <w:bookmarkEnd w:id="311"/>
    </w:p>
    <w:p w14:paraId="3F50AE56">
      <w:pPr>
        <w:rPr>
          <w:rFonts w:hint="eastAsia" w:ascii="宋体" w:hAnsi="宋体" w:eastAsia="宋体" w:cs="宋体"/>
          <w:color w:val="auto"/>
          <w:highlight w:val="none"/>
        </w:rPr>
      </w:pPr>
    </w:p>
    <w:tbl>
      <w:tblPr>
        <w:tblStyle w:val="32"/>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5D7FB3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0ADC183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1355C1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135D30C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2994520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6D4C267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725064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44D11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BB0F11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22E4439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1452FF3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06E43C5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4FD7D1F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6647D7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04CCC5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31D750A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02BD292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2725EFE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AF0399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73928D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3CD0CD4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以项目经理身份参与过的主要业绩（已完工项目）</w:t>
            </w:r>
          </w:p>
        </w:tc>
      </w:tr>
      <w:tr w14:paraId="0F6651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901B82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C662EE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37EC84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C93901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C36633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A15EF2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2E3811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FD6510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CA1E16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DFF5DA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D73B71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440F33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D75444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32C3CF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C94BBA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8DC6C0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12949D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5C0660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C27E08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0E59BC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255DD1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31F5CF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E39C55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3E828E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61093A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EC9810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27B30E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15258E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F54C1E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315F88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97CDA4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018A40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42E555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E38328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bl>
    <w:p w14:paraId="333CD819">
      <w:pPr>
        <w:wordWrap w:val="0"/>
        <w:adjustRightInd w:val="0"/>
        <w:snapToGrid w:val="0"/>
        <w:spacing w:line="440" w:lineRule="exact"/>
        <w:jc w:val="center"/>
        <w:outlineLvl w:val="2"/>
        <w:rPr>
          <w:rFonts w:hint="eastAsia" w:ascii="宋体" w:hAnsi="宋体" w:eastAsia="宋体" w:cs="宋体"/>
          <w:b/>
          <w:bCs/>
          <w:snapToGrid w:val="0"/>
          <w:color w:val="auto"/>
          <w:kern w:val="0"/>
          <w:szCs w:val="24"/>
          <w:highlight w:val="none"/>
        </w:rPr>
      </w:pPr>
      <w:bookmarkStart w:id="312" w:name="_Toc31554"/>
      <w:bookmarkStart w:id="313" w:name="_Toc21706"/>
      <w:r>
        <w:rPr>
          <w:rFonts w:hint="eastAsia" w:ascii="宋体" w:hAnsi="宋体" w:eastAsia="宋体" w:cs="宋体"/>
          <w:b/>
          <w:snapToGrid w:val="0"/>
          <w:color w:val="auto"/>
          <w:kern w:val="0"/>
          <w:sz w:val="30"/>
          <w:highlight w:val="none"/>
        </w:rPr>
        <w:t>项目经理简历表</w:t>
      </w:r>
      <w:bookmarkEnd w:id="312"/>
      <w:bookmarkEnd w:id="313"/>
    </w:p>
    <w:p w14:paraId="70952DB3">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14:paraId="1A9BDCD5">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p>
    <w:p w14:paraId="27299335">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项目经理：</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5E6483BB">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p>
    <w:p w14:paraId="6A8A7244">
      <w:pPr>
        <w:pStyle w:val="64"/>
        <w:wordWrap w:val="0"/>
        <w:adjustRightInd w:val="0"/>
        <w:snapToGrid w:val="0"/>
        <w:spacing w:line="440" w:lineRule="exact"/>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71B8F092">
      <w:pPr>
        <w:wordWrap w:val="0"/>
        <w:adjustRightInd w:val="0"/>
        <w:snapToGrid w:val="0"/>
        <w:spacing w:line="400" w:lineRule="exact"/>
        <w:ind w:firstLine="570"/>
        <w:rPr>
          <w:rFonts w:hint="eastAsia" w:ascii="宋体" w:hAnsi="宋体" w:eastAsia="宋体" w:cs="宋体"/>
          <w:snapToGrid w:val="0"/>
          <w:color w:val="auto"/>
          <w:kern w:val="0"/>
          <w:szCs w:val="28"/>
          <w:highlight w:val="none"/>
        </w:rPr>
      </w:pPr>
    </w:p>
    <w:p w14:paraId="44FCFD3F">
      <w:pPr>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1"/>
          <w:highlight w:val="none"/>
        </w:rPr>
        <w:t>说明：《项目经理简历表》后应附拟派项目经理以下资料：</w:t>
      </w:r>
    </w:p>
    <w:p w14:paraId="1AAE81FB">
      <w:pPr>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1．身份证</w:t>
      </w:r>
      <w:r>
        <w:rPr>
          <w:rFonts w:hint="eastAsia" w:ascii="宋体" w:hAnsi="宋体" w:eastAsia="宋体" w:cs="宋体"/>
          <w:snapToGrid w:val="0"/>
          <w:color w:val="auto"/>
          <w:kern w:val="0"/>
          <w:sz w:val="21"/>
          <w:szCs w:val="21"/>
          <w:highlight w:val="none"/>
          <w:lang w:eastAsia="zh-CN"/>
        </w:rPr>
        <w:t>彩色扫描件</w:t>
      </w:r>
      <w:r>
        <w:rPr>
          <w:rFonts w:hint="eastAsia" w:ascii="宋体" w:hAnsi="宋体" w:eastAsia="宋体" w:cs="宋体"/>
          <w:snapToGrid w:val="0"/>
          <w:color w:val="auto"/>
          <w:kern w:val="0"/>
          <w:sz w:val="21"/>
          <w:szCs w:val="21"/>
          <w:highlight w:val="none"/>
        </w:rPr>
        <w:t>；</w:t>
      </w:r>
    </w:p>
    <w:p w14:paraId="373EEC9B">
      <w:pPr>
        <w:wordWrap w:val="0"/>
        <w:adjustRightInd w:val="0"/>
        <w:snapToGrid w:val="0"/>
        <w:spacing w:line="360" w:lineRule="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 xml:space="preserve">    2．</w:t>
      </w:r>
      <w:r>
        <w:rPr>
          <w:rFonts w:hint="eastAsia" w:ascii="宋体" w:hAnsi="宋体" w:eastAsia="宋体" w:cs="宋体"/>
          <w:snapToGrid w:val="0"/>
          <w:color w:val="auto"/>
          <w:kern w:val="0"/>
          <w:sz w:val="21"/>
          <w:szCs w:val="21"/>
          <w:highlight w:val="none"/>
          <w:lang w:eastAsia="zh-CN"/>
        </w:rPr>
        <w:t>建造师电子注册证书（在使用有效期内的有效电子证书）彩色扫描件；</w:t>
      </w:r>
    </w:p>
    <w:p w14:paraId="6D389050">
      <w:pPr>
        <w:wordWrap w:val="0"/>
        <w:adjustRightInd w:val="0"/>
        <w:snapToGrid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3．B类安全生产考核合格证书</w:t>
      </w:r>
      <w:r>
        <w:rPr>
          <w:rFonts w:hint="eastAsia" w:ascii="宋体" w:hAnsi="宋体" w:eastAsia="宋体" w:cs="宋体"/>
          <w:snapToGrid w:val="0"/>
          <w:color w:val="auto"/>
          <w:kern w:val="0"/>
          <w:sz w:val="21"/>
          <w:szCs w:val="21"/>
          <w:highlight w:val="none"/>
          <w:lang w:eastAsia="zh-CN"/>
        </w:rPr>
        <w:t>彩色扫描件</w:t>
      </w:r>
      <w:r>
        <w:rPr>
          <w:rFonts w:hint="eastAsia" w:ascii="宋体" w:hAnsi="宋体" w:eastAsia="宋体" w:cs="宋体"/>
          <w:snapToGrid w:val="0"/>
          <w:color w:val="auto"/>
          <w:kern w:val="0"/>
          <w:sz w:val="21"/>
          <w:szCs w:val="21"/>
          <w:highlight w:val="none"/>
        </w:rPr>
        <w:t>或广东省建筑施工企业管理人员安全生产考核系统考核合格信息打印页；</w:t>
      </w:r>
    </w:p>
    <w:p w14:paraId="24A1F9BC">
      <w:pPr>
        <w:snapToGrid w:val="0"/>
        <w:spacing w:line="360" w:lineRule="auto"/>
        <w:ind w:firstLine="420" w:firstLineChars="20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4．在本单位</w:t>
      </w:r>
      <w:r>
        <w:rPr>
          <w:rFonts w:hint="eastAsia" w:ascii="宋体" w:hAnsi="宋体" w:eastAsia="宋体" w:cs="宋体"/>
          <w:snapToGrid w:val="0"/>
          <w:color w:val="auto"/>
          <w:kern w:val="0"/>
          <w:sz w:val="21"/>
          <w:szCs w:val="21"/>
          <w:highlight w:val="none"/>
          <w:lang w:val="en-US" w:eastAsia="zh-CN"/>
        </w:rPr>
        <w:t>或其分支机构单位缴纳社保的证明</w:t>
      </w:r>
      <w:r>
        <w:rPr>
          <w:rFonts w:hint="eastAsia" w:ascii="宋体" w:hAnsi="宋体" w:eastAsia="宋体" w:cs="宋体"/>
          <w:snapToGrid w:val="0"/>
          <w:color w:val="auto"/>
          <w:kern w:val="0"/>
          <w:sz w:val="21"/>
          <w:szCs w:val="21"/>
          <w:highlight w:val="none"/>
          <w:lang w:eastAsia="zh-CN"/>
        </w:rPr>
        <w:t>（至少连续</w:t>
      </w:r>
      <w:r>
        <w:rPr>
          <w:rFonts w:hint="eastAsia" w:ascii="宋体" w:hAnsi="宋体" w:eastAsia="宋体" w:cs="宋体"/>
          <w:snapToGrid w:val="0"/>
          <w:color w:val="auto"/>
          <w:kern w:val="0"/>
          <w:sz w:val="21"/>
          <w:szCs w:val="21"/>
          <w:highlight w:val="none"/>
          <w:lang w:val="en-US" w:eastAsia="zh-CN"/>
        </w:rPr>
        <w:t>一</w:t>
      </w:r>
      <w:r>
        <w:rPr>
          <w:rFonts w:hint="eastAsia" w:ascii="宋体" w:hAnsi="宋体" w:eastAsia="宋体" w:cs="宋体"/>
          <w:snapToGrid w:val="0"/>
          <w:color w:val="auto"/>
          <w:kern w:val="0"/>
          <w:sz w:val="21"/>
          <w:szCs w:val="21"/>
          <w:highlight w:val="none"/>
          <w:lang w:eastAsia="zh-CN"/>
        </w:rPr>
        <w:t>个月，其中必须有202</w:t>
      </w:r>
      <w:r>
        <w:rPr>
          <w:rFonts w:hint="eastAsia" w:hAnsi="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lang w:eastAsia="zh-CN"/>
        </w:rPr>
        <w:t>年</w:t>
      </w:r>
      <w:r>
        <w:rPr>
          <w:rFonts w:hint="eastAsia"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lang w:eastAsia="zh-CN"/>
        </w:rPr>
        <w:t>月）彩色扫描件。拟派项目经理为退休返聘人员无法提供社保证明的，提供退休证和劳动彩色扫描件；</w:t>
      </w:r>
    </w:p>
    <w:p w14:paraId="2D1A5D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lang w:eastAsia="zh-CN"/>
        </w:rPr>
        <w:sectPr>
          <w:endnotePr>
            <w:numFmt w:val="decimal"/>
          </w:endnotePr>
          <w:pgSz w:w="11906" w:h="16838"/>
          <w:pgMar w:top="1134" w:right="1134" w:bottom="1134" w:left="1134" w:header="567" w:footer="567" w:gutter="0"/>
          <w:cols w:space="720" w:num="1"/>
          <w:docGrid w:linePitch="327" w:charSpace="0"/>
        </w:sect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“进粤企业和人员诚信信息登记平台”个人信息情况截图。（适用于省外建筑企业）。</w:t>
      </w:r>
    </w:p>
    <w:p w14:paraId="5DEAF4E8">
      <w:pPr>
        <w:pStyle w:val="5"/>
        <w:bidi w:val="0"/>
        <w:ind w:firstLine="964"/>
        <w:rPr>
          <w:rFonts w:hint="eastAsia" w:ascii="宋体" w:hAnsi="宋体" w:eastAsia="宋体" w:cs="宋体"/>
          <w:color w:val="auto"/>
        </w:rPr>
      </w:pPr>
      <w:bookmarkStart w:id="314" w:name="_Toc8211"/>
      <w:bookmarkStart w:id="315" w:name="_Toc5290"/>
      <w:bookmarkStart w:id="316" w:name="_Toc2842"/>
      <w:bookmarkStart w:id="317" w:name="_Toc21761"/>
      <w:r>
        <w:rPr>
          <w:rFonts w:hint="eastAsia" w:ascii="宋体" w:hAnsi="宋体" w:eastAsia="宋体" w:cs="宋体"/>
          <w:color w:val="auto"/>
        </w:rPr>
        <w:t>格式九 项目经理任职声明</w:t>
      </w:r>
      <w:bookmarkEnd w:id="314"/>
      <w:bookmarkEnd w:id="315"/>
      <w:bookmarkEnd w:id="316"/>
      <w:bookmarkEnd w:id="317"/>
    </w:p>
    <w:p w14:paraId="14F0CE43">
      <w:pPr>
        <w:rPr>
          <w:rFonts w:hint="eastAsia" w:ascii="宋体" w:hAnsi="宋体" w:eastAsia="宋体" w:cs="宋体"/>
          <w:color w:val="auto"/>
          <w:highlight w:val="none"/>
        </w:rPr>
      </w:pPr>
    </w:p>
    <w:p w14:paraId="218D3A3A">
      <w:pPr>
        <w:wordWrap w:val="0"/>
        <w:adjustRightInd w:val="0"/>
        <w:snapToGrid w:val="0"/>
        <w:spacing w:before="260" w:after="260" w:line="440" w:lineRule="exact"/>
        <w:jc w:val="center"/>
        <w:rPr>
          <w:rFonts w:hint="eastAsia" w:ascii="宋体" w:hAnsi="宋体" w:eastAsia="宋体" w:cs="宋体"/>
          <w:snapToGrid w:val="0"/>
          <w:color w:val="auto"/>
          <w:kern w:val="0"/>
          <w:szCs w:val="28"/>
          <w:highlight w:val="none"/>
        </w:rPr>
      </w:pPr>
      <w:r>
        <w:rPr>
          <w:rFonts w:hint="eastAsia" w:ascii="宋体" w:hAnsi="宋体" w:eastAsia="宋体" w:cs="宋体"/>
          <w:b/>
          <w:snapToGrid w:val="0"/>
          <w:color w:val="auto"/>
          <w:kern w:val="0"/>
          <w:sz w:val="30"/>
          <w:highlight w:val="none"/>
        </w:rPr>
        <w:t>项目经理任职声明</w:t>
      </w:r>
    </w:p>
    <w:p w14:paraId="45DC195A">
      <w:pPr>
        <w:wordWrap w:val="0"/>
        <w:adjustRightInd w:val="0"/>
        <w:snapToGrid w:val="0"/>
        <w:spacing w:line="440" w:lineRule="exact"/>
        <w:jc w:val="center"/>
        <w:rPr>
          <w:rFonts w:hint="eastAsia" w:ascii="宋体" w:hAnsi="宋体" w:eastAsia="宋体" w:cs="宋体"/>
          <w:snapToGrid w:val="0"/>
          <w:color w:val="auto"/>
          <w:kern w:val="0"/>
          <w:szCs w:val="28"/>
          <w:highlight w:val="none"/>
        </w:rPr>
      </w:pPr>
    </w:p>
    <w:p w14:paraId="62664D40">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致：</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（招标人名称）：</w:t>
      </w:r>
    </w:p>
    <w:p w14:paraId="647CE416">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我方在此声明，我方拟派往</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（项目名称）的项目经理</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（项目经理姓名）现阶段没有担任任何在施（包括已中标未开工、已开工未竣工）建设工程项目的项目经理。</w:t>
      </w:r>
    </w:p>
    <w:p w14:paraId="7FB173E1">
      <w:pPr>
        <w:wordWrap w:val="0"/>
        <w:adjustRightInd w:val="0"/>
        <w:snapToGrid w:val="0"/>
        <w:spacing w:line="440" w:lineRule="exact"/>
        <w:ind w:firstLine="48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我方保证上述信息的真实和准确，并愿意承担因我方就此弄虚作假所引起的一切法律后果。</w:t>
      </w:r>
    </w:p>
    <w:p w14:paraId="237EEE33">
      <w:pPr>
        <w:wordWrap w:val="0"/>
        <w:adjustRightInd w:val="0"/>
        <w:snapToGrid w:val="0"/>
        <w:spacing w:line="440" w:lineRule="exact"/>
        <w:ind w:firstLine="48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w:t>
      </w:r>
    </w:p>
    <w:p w14:paraId="283E22E3">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特此承诺　　</w:t>
      </w:r>
    </w:p>
    <w:p w14:paraId="02BC082B">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w:t>
      </w:r>
    </w:p>
    <w:p w14:paraId="4235C005">
      <w:pPr>
        <w:wordWrap w:val="0"/>
        <w:adjustRightInd w:val="0"/>
        <w:snapToGrid w:val="0"/>
        <w:spacing w:line="44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w:t>
      </w:r>
    </w:p>
    <w:p w14:paraId="4DC8890A">
      <w:pPr>
        <w:wordWrap w:val="0"/>
        <w:adjustRightInd w:val="0"/>
        <w:snapToGrid w:val="0"/>
        <w:spacing w:line="440" w:lineRule="exact"/>
        <w:jc w:val="righ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投标人：</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（盖单位章）</w:t>
      </w:r>
    </w:p>
    <w:p w14:paraId="6427A282">
      <w:pPr>
        <w:wordWrap w:val="0"/>
        <w:adjustRightInd w:val="0"/>
        <w:snapToGrid w:val="0"/>
        <w:spacing w:line="440" w:lineRule="exact"/>
        <w:jc w:val="right"/>
        <w:rPr>
          <w:rFonts w:hint="eastAsia" w:ascii="宋体" w:hAnsi="宋体" w:eastAsia="宋体" w:cs="宋体"/>
          <w:snapToGrid w:val="0"/>
          <w:color w:val="auto"/>
          <w:kern w:val="0"/>
          <w:szCs w:val="28"/>
          <w:highlight w:val="none"/>
        </w:rPr>
      </w:pPr>
    </w:p>
    <w:p w14:paraId="1A24926C">
      <w:pPr>
        <w:wordWrap w:val="0"/>
        <w:adjustRightInd w:val="0"/>
        <w:snapToGrid w:val="0"/>
        <w:spacing w:line="440" w:lineRule="exact"/>
        <w:jc w:val="right"/>
        <w:rPr>
          <w:rFonts w:hint="eastAsia" w:ascii="宋体" w:hAnsi="宋体" w:eastAsia="宋体" w:cs="宋体"/>
          <w:snapToGrid w:val="0"/>
          <w:color w:val="auto"/>
          <w:kern w:val="0"/>
          <w:szCs w:val="28"/>
          <w:highlight w:val="none"/>
        </w:rPr>
      </w:pPr>
    </w:p>
    <w:p w14:paraId="7729CED2">
      <w:pPr>
        <w:wordWrap w:val="0"/>
        <w:adjustRightInd w:val="0"/>
        <w:snapToGrid w:val="0"/>
        <w:spacing w:line="440" w:lineRule="exact"/>
        <w:jc w:val="righ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法定代表人或其委托代理人：</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（签字或盖章）</w:t>
      </w:r>
    </w:p>
    <w:p w14:paraId="0E109AC8">
      <w:pPr>
        <w:wordWrap w:val="0"/>
        <w:adjustRightInd w:val="0"/>
        <w:snapToGrid w:val="0"/>
        <w:spacing w:line="440" w:lineRule="exact"/>
        <w:jc w:val="right"/>
        <w:rPr>
          <w:rFonts w:hint="eastAsia" w:ascii="宋体" w:hAnsi="宋体" w:eastAsia="宋体" w:cs="宋体"/>
          <w:snapToGrid w:val="0"/>
          <w:color w:val="auto"/>
          <w:kern w:val="0"/>
          <w:szCs w:val="28"/>
          <w:highlight w:val="none"/>
        </w:rPr>
      </w:pPr>
    </w:p>
    <w:p w14:paraId="08D12FAA">
      <w:pPr>
        <w:wordWrap w:val="0"/>
        <w:adjustRightInd w:val="0"/>
        <w:snapToGrid w:val="0"/>
        <w:spacing w:line="440" w:lineRule="exact"/>
        <w:jc w:val="center"/>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xml:space="preserve">                            </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年</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月</w:t>
      </w:r>
      <w:r>
        <w:rPr>
          <w:rFonts w:hint="eastAsia" w:ascii="宋体" w:hAnsi="宋体" w:eastAsia="宋体" w:cs="宋体"/>
          <w:snapToGrid w:val="0"/>
          <w:color w:val="auto"/>
          <w:kern w:val="0"/>
          <w:szCs w:val="28"/>
          <w:highlight w:val="none"/>
          <w:u w:val="single"/>
        </w:rPr>
        <w:t xml:space="preserve">        </w:t>
      </w:r>
      <w:r>
        <w:rPr>
          <w:rFonts w:hint="eastAsia" w:ascii="宋体" w:hAnsi="宋体" w:eastAsia="宋体" w:cs="宋体"/>
          <w:snapToGrid w:val="0"/>
          <w:color w:val="auto"/>
          <w:kern w:val="0"/>
          <w:szCs w:val="28"/>
          <w:highlight w:val="none"/>
        </w:rPr>
        <w:t>日</w:t>
      </w:r>
    </w:p>
    <w:p w14:paraId="6957D60E">
      <w:pPr>
        <w:wordWrap w:val="0"/>
        <w:adjustRightInd w:val="0"/>
        <w:snapToGrid w:val="0"/>
        <w:spacing w:line="440" w:lineRule="exact"/>
        <w:rPr>
          <w:rFonts w:hint="eastAsia" w:ascii="宋体" w:hAnsi="宋体" w:eastAsia="宋体" w:cs="宋体"/>
          <w:snapToGrid w:val="0"/>
          <w:color w:val="auto"/>
          <w:kern w:val="0"/>
          <w:szCs w:val="28"/>
          <w:highlight w:val="none"/>
        </w:rPr>
        <w:sectPr>
          <w:endnotePr>
            <w:numFmt w:val="decimal"/>
          </w:endnotePr>
          <w:pgSz w:w="11906" w:h="16838"/>
          <w:pgMar w:top="1134" w:right="1134" w:bottom="1134" w:left="1134" w:header="567" w:footer="567" w:gutter="0"/>
          <w:cols w:space="720" w:num="1"/>
          <w:docGrid w:linePitch="327" w:charSpace="0"/>
        </w:sectPr>
      </w:pPr>
    </w:p>
    <w:p w14:paraId="02E975E8">
      <w:pPr>
        <w:pStyle w:val="5"/>
        <w:bidi w:val="0"/>
        <w:ind w:firstLine="964"/>
        <w:rPr>
          <w:rFonts w:hint="eastAsia" w:ascii="宋体" w:hAnsi="宋体" w:eastAsia="宋体" w:cs="宋体"/>
          <w:color w:val="auto"/>
        </w:rPr>
      </w:pPr>
      <w:bookmarkStart w:id="318" w:name="_Toc21420"/>
      <w:bookmarkStart w:id="319" w:name="_Toc12722"/>
      <w:bookmarkStart w:id="320" w:name="_Toc24994"/>
      <w:bookmarkStart w:id="321" w:name="_Toc27257"/>
      <w:r>
        <w:rPr>
          <w:rFonts w:hint="eastAsia" w:ascii="宋体" w:hAnsi="宋体" w:eastAsia="宋体" w:cs="宋体"/>
          <w:color w:val="auto"/>
        </w:rPr>
        <w:t>格式十 项目技术负责人简历表</w:t>
      </w:r>
      <w:bookmarkEnd w:id="318"/>
      <w:bookmarkEnd w:id="319"/>
      <w:bookmarkEnd w:id="320"/>
      <w:bookmarkEnd w:id="321"/>
    </w:p>
    <w:p w14:paraId="259A65F5">
      <w:pPr>
        <w:rPr>
          <w:rFonts w:hint="eastAsia" w:ascii="宋体" w:hAnsi="宋体" w:eastAsia="宋体" w:cs="宋体"/>
          <w:color w:val="auto"/>
          <w:highlight w:val="none"/>
        </w:rPr>
      </w:pPr>
    </w:p>
    <w:tbl>
      <w:tblPr>
        <w:tblStyle w:val="32"/>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0E9564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0CC8480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29C5A1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555794C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691CA21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49DA6CB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E4991D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553B7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62F714B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C6B06E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0F3F1F3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46A4DCD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1B7AB78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C8CED6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78FFC6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49452DE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3404E89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522114A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E1FD37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34558E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2DF790E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以项目技术负责人身份参与过的主要业绩（已完工项目）</w:t>
            </w:r>
          </w:p>
        </w:tc>
      </w:tr>
      <w:tr w14:paraId="093B5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D32455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38317C9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5F423D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FF149C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C5244D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C9F438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11C0C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799ABC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167B27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833AAF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DA5526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01B7DC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C89E82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6DD4C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B346A5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9B7DE3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A90E60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259A8D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0417FC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2E7E22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0D60E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4FB5BA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9506DD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13265C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93B426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17B81A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8ED268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5BA3CD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52AB46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30B9B6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E6D0D8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EDFD91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0DFC30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DC47E5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2E9EF9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8D4848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F10B4F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272A82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DD79C0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E1C898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A4B99F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bl>
    <w:p w14:paraId="0AD99FDB">
      <w:pPr>
        <w:wordWrap w:val="0"/>
        <w:adjustRightInd w:val="0"/>
        <w:snapToGrid w:val="0"/>
        <w:spacing w:line="440" w:lineRule="exact"/>
        <w:jc w:val="center"/>
        <w:outlineLvl w:val="2"/>
        <w:rPr>
          <w:rFonts w:hint="eastAsia" w:ascii="宋体" w:hAnsi="宋体" w:eastAsia="宋体" w:cs="宋体"/>
          <w:b/>
          <w:bCs/>
          <w:snapToGrid w:val="0"/>
          <w:color w:val="auto"/>
          <w:kern w:val="0"/>
          <w:szCs w:val="24"/>
          <w:highlight w:val="none"/>
        </w:rPr>
      </w:pPr>
      <w:bookmarkStart w:id="322" w:name="_Toc12290"/>
      <w:bookmarkStart w:id="323" w:name="_Toc6237"/>
      <w:r>
        <w:rPr>
          <w:rFonts w:hint="eastAsia" w:ascii="宋体" w:hAnsi="宋体" w:eastAsia="宋体" w:cs="宋体"/>
          <w:b/>
          <w:snapToGrid w:val="0"/>
          <w:color w:val="auto"/>
          <w:kern w:val="0"/>
          <w:sz w:val="30"/>
          <w:highlight w:val="none"/>
        </w:rPr>
        <w:t>项目技术负责人简历表</w:t>
      </w:r>
      <w:bookmarkEnd w:id="322"/>
      <w:bookmarkEnd w:id="323"/>
    </w:p>
    <w:p w14:paraId="25012E6D">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14:paraId="12310E71">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p>
    <w:p w14:paraId="55628FD1">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项目技术负责人：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545BDB91">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p>
    <w:p w14:paraId="7C9DCDF0">
      <w:pPr>
        <w:pStyle w:val="64"/>
        <w:wordWrap w:val="0"/>
        <w:adjustRightInd w:val="0"/>
        <w:snapToGrid w:val="0"/>
        <w:spacing w:line="440" w:lineRule="exact"/>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786517CA">
      <w:pPr>
        <w:wordWrap w:val="0"/>
        <w:adjustRightInd w:val="0"/>
        <w:snapToGrid w:val="0"/>
        <w:spacing w:line="400" w:lineRule="exact"/>
        <w:ind w:firstLine="570"/>
        <w:rPr>
          <w:rFonts w:hint="eastAsia" w:ascii="宋体" w:hAnsi="宋体" w:eastAsia="宋体" w:cs="宋体"/>
          <w:snapToGrid w:val="0"/>
          <w:color w:val="auto"/>
          <w:kern w:val="0"/>
          <w:szCs w:val="28"/>
          <w:highlight w:val="none"/>
        </w:rPr>
      </w:pPr>
    </w:p>
    <w:p w14:paraId="334B7C81">
      <w:pPr>
        <w:pStyle w:val="10"/>
        <w:rPr>
          <w:rFonts w:hint="eastAsia" w:ascii="宋体" w:hAnsi="宋体" w:eastAsia="宋体" w:cs="宋体"/>
          <w:snapToGrid w:val="0"/>
          <w:color w:val="auto"/>
          <w:kern w:val="0"/>
          <w:szCs w:val="28"/>
          <w:highlight w:val="none"/>
        </w:rPr>
      </w:pPr>
    </w:p>
    <w:p w14:paraId="15B12F41">
      <w:pPr>
        <w:rPr>
          <w:rFonts w:hint="eastAsia" w:ascii="宋体" w:hAnsi="宋体" w:eastAsia="宋体" w:cs="宋体"/>
          <w:color w:val="auto"/>
          <w:highlight w:val="none"/>
        </w:rPr>
      </w:pPr>
    </w:p>
    <w:p w14:paraId="6AD2B7D7">
      <w:pPr>
        <w:wordWrap w:val="0"/>
        <w:adjustRightInd w:val="0"/>
        <w:snapToGrid w:val="0"/>
        <w:spacing w:line="360" w:lineRule="auto"/>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w:t>
      </w:r>
      <w:bookmarkStart w:id="324" w:name="_Toc8264"/>
      <w:bookmarkStart w:id="325" w:name="_Toc200338098"/>
      <w:r>
        <w:rPr>
          <w:rFonts w:hint="eastAsia" w:ascii="宋体" w:hAnsi="宋体" w:eastAsia="宋体" w:cs="宋体"/>
          <w:snapToGrid w:val="0"/>
          <w:color w:val="auto"/>
          <w:kern w:val="0"/>
          <w:sz w:val="21"/>
          <w:szCs w:val="28"/>
          <w:highlight w:val="none"/>
        </w:rPr>
        <w:t>说明：《项目技术负责人简历表》后应附拟派项目技术负责人以下资料：</w:t>
      </w:r>
    </w:p>
    <w:p w14:paraId="01FCF52B">
      <w:pPr>
        <w:wordWrap w:val="0"/>
        <w:adjustRightInd w:val="0"/>
        <w:snapToGrid w:val="0"/>
        <w:spacing w:line="360" w:lineRule="auto"/>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1．身份证</w:t>
      </w:r>
      <w:r>
        <w:rPr>
          <w:rFonts w:hint="eastAsia" w:ascii="宋体" w:hAnsi="宋体" w:eastAsia="宋体" w:cs="宋体"/>
          <w:snapToGrid w:val="0"/>
          <w:color w:val="auto"/>
          <w:kern w:val="0"/>
          <w:sz w:val="21"/>
          <w:szCs w:val="28"/>
          <w:highlight w:val="none"/>
          <w:lang w:eastAsia="zh-CN"/>
        </w:rPr>
        <w:t>彩色扫描件</w:t>
      </w:r>
      <w:r>
        <w:rPr>
          <w:rFonts w:hint="eastAsia" w:ascii="宋体" w:hAnsi="宋体" w:eastAsia="宋体" w:cs="宋体"/>
          <w:snapToGrid w:val="0"/>
          <w:color w:val="auto"/>
          <w:kern w:val="0"/>
          <w:sz w:val="21"/>
          <w:szCs w:val="28"/>
          <w:highlight w:val="none"/>
        </w:rPr>
        <w:t>；</w:t>
      </w:r>
    </w:p>
    <w:p w14:paraId="6ADCBA34">
      <w:pPr>
        <w:wordWrap w:val="0"/>
        <w:adjustRightInd w:val="0"/>
        <w:snapToGrid w:val="0"/>
        <w:spacing w:line="360" w:lineRule="auto"/>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 xml:space="preserve">    2．职称证</w:t>
      </w:r>
      <w:r>
        <w:rPr>
          <w:rFonts w:hint="eastAsia" w:ascii="宋体" w:hAnsi="宋体" w:eastAsia="宋体" w:cs="宋体"/>
          <w:snapToGrid w:val="0"/>
          <w:color w:val="auto"/>
          <w:kern w:val="0"/>
          <w:sz w:val="21"/>
          <w:szCs w:val="28"/>
          <w:highlight w:val="none"/>
          <w:lang w:eastAsia="zh-CN"/>
        </w:rPr>
        <w:t>彩色扫描件</w:t>
      </w:r>
      <w:r>
        <w:rPr>
          <w:rFonts w:hint="eastAsia" w:ascii="宋体" w:hAnsi="宋体" w:eastAsia="宋体" w:cs="宋体"/>
          <w:snapToGrid w:val="0"/>
          <w:color w:val="auto"/>
          <w:kern w:val="0"/>
          <w:sz w:val="21"/>
          <w:szCs w:val="28"/>
          <w:highlight w:val="none"/>
        </w:rPr>
        <w:t>；</w:t>
      </w:r>
    </w:p>
    <w:p w14:paraId="76CC3A0F">
      <w:pPr>
        <w:wordWrap w:val="0"/>
        <w:adjustRightInd w:val="0"/>
        <w:snapToGrid w:val="0"/>
        <w:spacing w:line="360" w:lineRule="auto"/>
        <w:ind w:firstLine="420" w:firstLineChars="200"/>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3．在本单位</w:t>
      </w:r>
      <w:r>
        <w:rPr>
          <w:rFonts w:hint="eastAsia" w:ascii="宋体" w:hAnsi="宋体" w:eastAsia="宋体" w:cs="宋体"/>
          <w:snapToGrid w:val="0"/>
          <w:color w:val="auto"/>
          <w:kern w:val="0"/>
          <w:sz w:val="21"/>
          <w:szCs w:val="28"/>
          <w:highlight w:val="none"/>
          <w:lang w:val="en-US" w:eastAsia="zh-CN"/>
        </w:rPr>
        <w:t>或其分支机构单位缴纳社保的证明</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8"/>
          <w:highlight w:val="none"/>
          <w:lang w:eastAsia="zh-CN"/>
        </w:rPr>
        <w:t>至少连续</w:t>
      </w:r>
      <w:r>
        <w:rPr>
          <w:rFonts w:hint="eastAsia" w:ascii="宋体" w:hAnsi="宋体" w:eastAsia="宋体" w:cs="宋体"/>
          <w:snapToGrid w:val="0"/>
          <w:color w:val="auto"/>
          <w:kern w:val="0"/>
          <w:sz w:val="21"/>
          <w:szCs w:val="28"/>
          <w:highlight w:val="none"/>
          <w:lang w:val="en-US" w:eastAsia="zh-CN"/>
        </w:rPr>
        <w:t>一</w:t>
      </w:r>
      <w:r>
        <w:rPr>
          <w:rFonts w:hint="eastAsia" w:ascii="宋体" w:hAnsi="宋体" w:eastAsia="宋体" w:cs="宋体"/>
          <w:snapToGrid w:val="0"/>
          <w:color w:val="auto"/>
          <w:kern w:val="0"/>
          <w:sz w:val="21"/>
          <w:szCs w:val="28"/>
          <w:highlight w:val="none"/>
          <w:lang w:eastAsia="zh-CN"/>
        </w:rPr>
        <w:t>个月，其中必须有</w:t>
      </w:r>
      <w:r>
        <w:rPr>
          <w:rFonts w:hint="eastAsia" w:ascii="宋体" w:hAnsi="宋体" w:eastAsia="宋体" w:cs="宋体"/>
          <w:snapToGrid w:val="0"/>
          <w:color w:val="auto"/>
          <w:kern w:val="0"/>
          <w:sz w:val="21"/>
          <w:szCs w:val="21"/>
          <w:highlight w:val="none"/>
          <w:lang w:eastAsia="zh-CN"/>
        </w:rPr>
        <w:t>202</w:t>
      </w:r>
      <w:r>
        <w:rPr>
          <w:rFonts w:hint="eastAsia" w:hAnsi="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lang w:eastAsia="zh-CN"/>
        </w:rPr>
        <w:t>年</w:t>
      </w:r>
      <w:r>
        <w:rPr>
          <w:rFonts w:hint="eastAsia"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lang w:eastAsia="zh-CN"/>
        </w:rPr>
        <w:t>月）</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。拟派项目技术负责人为退休返聘人员无法提供社保证明的，提供退休证和劳动合同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67186CFC">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“进粤企业和人员诚信信息登记平台”个人信息情况截图。（适用于省外建筑企业）。</w:t>
      </w:r>
    </w:p>
    <w:p w14:paraId="6B83A33B">
      <w:pPr>
        <w:pStyle w:val="5"/>
        <w:keepNext w:val="0"/>
        <w:keepLines w:val="0"/>
        <w:widowControl w:val="0"/>
        <w:wordWrap w:val="0"/>
        <w:adjustRightInd w:val="0"/>
        <w:snapToGrid w:val="0"/>
        <w:spacing w:before="0" w:after="0" w:line="440" w:lineRule="exact"/>
        <w:ind w:firstLine="0"/>
        <w:jc w:val="left"/>
        <w:rPr>
          <w:rFonts w:hint="eastAsia" w:ascii="宋体" w:hAnsi="宋体" w:eastAsia="宋体" w:cs="宋体"/>
          <w:b/>
          <w:snapToGrid w:val="0"/>
          <w:color w:val="auto"/>
          <w:szCs w:val="22"/>
          <w:highlight w:val="none"/>
        </w:rPr>
      </w:pPr>
    </w:p>
    <w:p w14:paraId="43F37F8A">
      <w:pPr>
        <w:pStyle w:val="6"/>
        <w:rPr>
          <w:rFonts w:hint="eastAsia" w:ascii="宋体" w:hAnsi="宋体" w:eastAsia="宋体" w:cs="宋体"/>
          <w:color w:val="auto"/>
          <w:highlight w:val="none"/>
        </w:rPr>
      </w:pPr>
    </w:p>
    <w:p w14:paraId="48F7CA03">
      <w:pPr>
        <w:pStyle w:val="5"/>
        <w:keepNext w:val="0"/>
        <w:keepLines w:val="0"/>
        <w:widowControl w:val="0"/>
        <w:wordWrap w:val="0"/>
        <w:adjustRightInd w:val="0"/>
        <w:snapToGrid w:val="0"/>
        <w:spacing w:before="0" w:after="0" w:line="440" w:lineRule="exact"/>
        <w:ind w:firstLine="0"/>
        <w:jc w:val="left"/>
        <w:rPr>
          <w:rFonts w:hint="eastAsia" w:ascii="宋体" w:hAnsi="宋体" w:eastAsia="宋体" w:cs="宋体"/>
          <w:b/>
          <w:snapToGrid w:val="0"/>
          <w:color w:val="auto"/>
          <w:szCs w:val="22"/>
          <w:highlight w:val="none"/>
        </w:rPr>
      </w:pPr>
      <w:bookmarkStart w:id="326" w:name="_Toc8834"/>
      <w:bookmarkStart w:id="327" w:name="_Toc9436"/>
      <w:bookmarkStart w:id="328" w:name="_Toc4344"/>
    </w:p>
    <w:p w14:paraId="59E9416E">
      <w:pPr>
        <w:pStyle w:val="5"/>
        <w:keepNext w:val="0"/>
        <w:keepLines w:val="0"/>
        <w:widowControl w:val="0"/>
        <w:wordWrap w:val="0"/>
        <w:adjustRightInd w:val="0"/>
        <w:snapToGrid w:val="0"/>
        <w:spacing w:before="0" w:after="0" w:line="440" w:lineRule="exact"/>
        <w:ind w:firstLine="0"/>
        <w:jc w:val="left"/>
        <w:rPr>
          <w:rFonts w:hint="eastAsia" w:ascii="宋体" w:hAnsi="宋体" w:eastAsia="宋体" w:cs="宋体"/>
          <w:b/>
          <w:snapToGrid w:val="0"/>
          <w:color w:val="auto"/>
          <w:szCs w:val="22"/>
          <w:highlight w:val="none"/>
        </w:rPr>
        <w:sectPr>
          <w:endnotePr>
            <w:numFmt w:val="decimal"/>
          </w:endnotePr>
          <w:pgSz w:w="11906" w:h="16838"/>
          <w:pgMar w:top="1134" w:right="1134" w:bottom="1134" w:left="1134" w:header="567" w:footer="567" w:gutter="0"/>
          <w:cols w:space="720" w:num="1"/>
          <w:docGrid w:linePitch="327" w:charSpace="0"/>
        </w:sectPr>
      </w:pPr>
    </w:p>
    <w:p w14:paraId="78C99C8B">
      <w:pPr>
        <w:pStyle w:val="5"/>
        <w:bidi w:val="0"/>
        <w:ind w:firstLine="964"/>
        <w:rPr>
          <w:rFonts w:hint="eastAsia" w:ascii="宋体" w:hAnsi="宋体" w:eastAsia="宋体" w:cs="宋体"/>
          <w:color w:val="auto"/>
        </w:rPr>
      </w:pPr>
      <w:bookmarkStart w:id="329" w:name="_Toc16727"/>
      <w:r>
        <w:rPr>
          <w:rFonts w:hint="eastAsia" w:ascii="宋体" w:hAnsi="宋体" w:eastAsia="宋体" w:cs="宋体"/>
          <w:color w:val="auto"/>
        </w:rPr>
        <w:t>格式十一 专职安全员简历表</w:t>
      </w:r>
      <w:bookmarkEnd w:id="326"/>
      <w:bookmarkEnd w:id="327"/>
      <w:bookmarkEnd w:id="328"/>
      <w:bookmarkEnd w:id="329"/>
    </w:p>
    <w:p w14:paraId="295CE35B">
      <w:pPr>
        <w:rPr>
          <w:rFonts w:hint="eastAsia" w:ascii="宋体" w:hAnsi="宋体" w:eastAsia="宋体" w:cs="宋体"/>
          <w:color w:val="auto"/>
          <w:highlight w:val="none"/>
        </w:rPr>
      </w:pPr>
    </w:p>
    <w:tbl>
      <w:tblPr>
        <w:tblStyle w:val="32"/>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2250E6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34E889D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   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2FEA076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79B6EA5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  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7D28928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35B1923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   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0180B6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019C9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41DAB6B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50CDE6F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1998B56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  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1C195C4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0905B8A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学   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D338AE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220BEF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7B7A46C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75F8F72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492E72F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62CE35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1693C5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759CE411">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以专职安全员身份参与过的主要业绩（已完工项目）</w:t>
            </w:r>
          </w:p>
        </w:tc>
      </w:tr>
      <w:tr w14:paraId="305443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6C673D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639EEA3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878FCE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E002E7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0C7F8E6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D2AD74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质量等级</w:t>
            </w:r>
          </w:p>
        </w:tc>
      </w:tr>
      <w:tr w14:paraId="4A4763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1EE8CE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F5EF5B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E8E762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F6E2A0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51271F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6C24CB6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5BF799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6A428A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37A24A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3D33DA0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5C2B9B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2BEBD8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F1AE71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2D9900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3F9D8B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7AAE7E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3ABCDF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1563FF9">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EE6E57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5334E1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245144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6D86FDC">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CE8EC9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1E30A3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4559236">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D433D44">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679A01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r w14:paraId="74529A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7C6EF2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52A13DCE">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FE58B2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01C2747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668309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7AC20B7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p>
        </w:tc>
      </w:tr>
    </w:tbl>
    <w:p w14:paraId="3E2D0D33">
      <w:pPr>
        <w:wordWrap w:val="0"/>
        <w:adjustRightInd w:val="0"/>
        <w:snapToGrid w:val="0"/>
        <w:spacing w:line="440" w:lineRule="exact"/>
        <w:jc w:val="center"/>
        <w:outlineLvl w:val="2"/>
        <w:rPr>
          <w:rFonts w:hint="eastAsia" w:ascii="宋体" w:hAnsi="宋体" w:eastAsia="宋体" w:cs="宋体"/>
          <w:b/>
          <w:bCs/>
          <w:snapToGrid w:val="0"/>
          <w:color w:val="auto"/>
          <w:kern w:val="0"/>
          <w:szCs w:val="24"/>
          <w:highlight w:val="none"/>
        </w:rPr>
      </w:pPr>
      <w:bookmarkStart w:id="330" w:name="_Toc19513"/>
      <w:bookmarkStart w:id="331" w:name="_Toc12212"/>
      <w:r>
        <w:rPr>
          <w:rFonts w:hint="eastAsia" w:ascii="宋体" w:hAnsi="宋体" w:eastAsia="宋体" w:cs="宋体"/>
          <w:b/>
          <w:snapToGrid w:val="0"/>
          <w:color w:val="auto"/>
          <w:kern w:val="0"/>
          <w:sz w:val="30"/>
          <w:highlight w:val="none"/>
        </w:rPr>
        <w:t>专职安全员简历表</w:t>
      </w:r>
      <w:bookmarkEnd w:id="330"/>
      <w:bookmarkEnd w:id="331"/>
    </w:p>
    <w:p w14:paraId="4B7B20B5">
      <w:pPr>
        <w:wordWrap w:val="0"/>
        <w:adjustRightInd w:val="0"/>
        <w:snapToGrid w:val="0"/>
        <w:spacing w:line="440" w:lineRule="exact"/>
        <w:ind w:firstLine="570"/>
        <w:rPr>
          <w:rFonts w:hint="eastAsia" w:ascii="宋体" w:hAnsi="宋体" w:eastAsia="宋体" w:cs="宋体"/>
          <w:snapToGrid w:val="0"/>
          <w:color w:val="auto"/>
          <w:kern w:val="0"/>
          <w:szCs w:val="28"/>
          <w:highlight w:val="none"/>
        </w:rPr>
      </w:pPr>
    </w:p>
    <w:p w14:paraId="73ACCF2E">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p>
    <w:p w14:paraId="50DD7DE6">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专职安全员：</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w:t>
      </w:r>
    </w:p>
    <w:p w14:paraId="238B7992">
      <w:pPr>
        <w:pStyle w:val="64"/>
        <w:wordWrap w:val="0"/>
        <w:adjustRightInd w:val="0"/>
        <w:snapToGrid w:val="0"/>
        <w:spacing w:line="440" w:lineRule="exact"/>
        <w:jc w:val="right"/>
        <w:rPr>
          <w:rFonts w:hint="eastAsia" w:ascii="宋体" w:hAnsi="宋体" w:eastAsia="宋体" w:cs="宋体"/>
          <w:snapToGrid w:val="0"/>
          <w:color w:val="auto"/>
          <w:kern w:val="0"/>
          <w:highlight w:val="none"/>
        </w:rPr>
      </w:pPr>
    </w:p>
    <w:p w14:paraId="374FEB97">
      <w:pPr>
        <w:pStyle w:val="64"/>
        <w:wordWrap w:val="0"/>
        <w:adjustRightInd w:val="0"/>
        <w:snapToGrid w:val="0"/>
        <w:spacing w:line="440" w:lineRule="exact"/>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14:paraId="032E4527">
      <w:pPr>
        <w:wordWrap w:val="0"/>
        <w:adjustRightInd w:val="0"/>
        <w:snapToGrid w:val="0"/>
        <w:spacing w:line="400" w:lineRule="exact"/>
        <w:ind w:firstLine="570"/>
        <w:rPr>
          <w:rFonts w:hint="eastAsia" w:ascii="宋体" w:hAnsi="宋体" w:eastAsia="宋体" w:cs="宋体"/>
          <w:snapToGrid w:val="0"/>
          <w:color w:val="auto"/>
          <w:kern w:val="0"/>
          <w:szCs w:val="28"/>
          <w:highlight w:val="none"/>
        </w:rPr>
      </w:pPr>
    </w:p>
    <w:p w14:paraId="3E2B8BAD">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8"/>
          <w:highlight w:val="none"/>
        </w:rPr>
        <w:t xml:space="preserve">    </w:t>
      </w:r>
      <w:r>
        <w:rPr>
          <w:rFonts w:hint="eastAsia" w:ascii="宋体" w:hAnsi="宋体" w:eastAsia="宋体" w:cs="宋体"/>
          <w:snapToGrid w:val="0"/>
          <w:color w:val="auto"/>
          <w:kern w:val="0"/>
          <w:sz w:val="21"/>
          <w:szCs w:val="21"/>
          <w:highlight w:val="none"/>
        </w:rPr>
        <w:t>说明：《专职安全员简历表》后应附拟派专职安全员以下资料：</w:t>
      </w:r>
    </w:p>
    <w:p w14:paraId="3CBFC8AA">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1．身份证</w:t>
      </w:r>
      <w:r>
        <w:rPr>
          <w:rFonts w:hint="eastAsia" w:ascii="宋体" w:hAnsi="宋体" w:eastAsia="宋体" w:cs="宋体"/>
          <w:snapToGrid w:val="0"/>
          <w:color w:val="auto"/>
          <w:kern w:val="0"/>
          <w:sz w:val="21"/>
          <w:szCs w:val="21"/>
          <w:highlight w:val="none"/>
          <w:lang w:eastAsia="zh-CN"/>
        </w:rPr>
        <w:t>彩色扫描件</w:t>
      </w:r>
      <w:r>
        <w:rPr>
          <w:rFonts w:hint="eastAsia" w:ascii="宋体" w:hAnsi="宋体" w:eastAsia="宋体" w:cs="宋体"/>
          <w:snapToGrid w:val="0"/>
          <w:color w:val="auto"/>
          <w:kern w:val="0"/>
          <w:sz w:val="21"/>
          <w:szCs w:val="21"/>
          <w:highlight w:val="none"/>
        </w:rPr>
        <w:t>；</w:t>
      </w:r>
    </w:p>
    <w:p w14:paraId="1F03E0A6">
      <w:pPr>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2．C类安全生产考核合格证书</w:t>
      </w:r>
      <w:r>
        <w:rPr>
          <w:rFonts w:hint="eastAsia" w:ascii="宋体" w:hAnsi="宋体" w:eastAsia="宋体" w:cs="宋体"/>
          <w:snapToGrid w:val="0"/>
          <w:color w:val="auto"/>
          <w:kern w:val="0"/>
          <w:sz w:val="21"/>
          <w:szCs w:val="21"/>
          <w:highlight w:val="none"/>
          <w:lang w:eastAsia="zh-CN"/>
        </w:rPr>
        <w:t>彩色扫描件</w:t>
      </w:r>
      <w:r>
        <w:rPr>
          <w:rFonts w:hint="eastAsia" w:ascii="宋体" w:hAnsi="宋体" w:eastAsia="宋体" w:cs="宋体"/>
          <w:snapToGrid w:val="0"/>
          <w:color w:val="auto"/>
          <w:kern w:val="0"/>
          <w:sz w:val="21"/>
          <w:szCs w:val="21"/>
          <w:highlight w:val="none"/>
        </w:rPr>
        <w:t>或“广东省建筑施工企业管理人员安全生产考核信息系统”考核合格信息打印页；</w:t>
      </w:r>
    </w:p>
    <w:p w14:paraId="6F2788D7">
      <w:pPr>
        <w:wordWrap w:val="0"/>
        <w:adjustRightInd w:val="0"/>
        <w:snapToGrid w:val="0"/>
        <w:spacing w:line="400" w:lineRule="exact"/>
        <w:ind w:firstLine="420" w:firstLineChars="200"/>
        <w:rPr>
          <w:rStyle w:val="151"/>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3．在本单位</w:t>
      </w:r>
      <w:r>
        <w:rPr>
          <w:rFonts w:hint="eastAsia" w:ascii="宋体" w:hAnsi="宋体" w:eastAsia="宋体" w:cs="宋体"/>
          <w:snapToGrid w:val="0"/>
          <w:color w:val="auto"/>
          <w:kern w:val="0"/>
          <w:sz w:val="21"/>
          <w:szCs w:val="21"/>
          <w:highlight w:val="none"/>
          <w:lang w:val="en-US" w:eastAsia="zh-CN"/>
        </w:rPr>
        <w:t>或其分支机构单位缴纳社保的证明</w:t>
      </w:r>
      <w:r>
        <w:rPr>
          <w:rFonts w:hint="eastAsia" w:ascii="宋体" w:hAnsi="宋体" w:eastAsia="宋体" w:cs="宋体"/>
          <w:snapToGrid w:val="0"/>
          <w:color w:val="auto"/>
          <w:kern w:val="0"/>
          <w:sz w:val="21"/>
          <w:szCs w:val="21"/>
          <w:highlight w:val="none"/>
          <w:lang w:eastAsia="zh-CN"/>
        </w:rPr>
        <w:t>（至少连续</w:t>
      </w:r>
      <w:r>
        <w:rPr>
          <w:rFonts w:hint="eastAsia" w:ascii="宋体" w:hAnsi="宋体" w:eastAsia="宋体" w:cs="宋体"/>
          <w:snapToGrid w:val="0"/>
          <w:color w:val="auto"/>
          <w:kern w:val="0"/>
          <w:sz w:val="21"/>
          <w:szCs w:val="21"/>
          <w:highlight w:val="none"/>
          <w:lang w:val="en-US" w:eastAsia="zh-CN"/>
        </w:rPr>
        <w:t>一</w:t>
      </w:r>
      <w:r>
        <w:rPr>
          <w:rFonts w:hint="eastAsia" w:ascii="宋体" w:hAnsi="宋体" w:eastAsia="宋体" w:cs="宋体"/>
          <w:snapToGrid w:val="0"/>
          <w:color w:val="auto"/>
          <w:kern w:val="0"/>
          <w:sz w:val="21"/>
          <w:szCs w:val="21"/>
          <w:highlight w:val="none"/>
          <w:lang w:eastAsia="zh-CN"/>
        </w:rPr>
        <w:t>个月，其中必须有202</w:t>
      </w:r>
      <w:r>
        <w:rPr>
          <w:rFonts w:hint="eastAsia" w:hAnsi="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lang w:eastAsia="zh-CN"/>
        </w:rPr>
        <w:t>年</w:t>
      </w:r>
      <w:r>
        <w:rPr>
          <w:rFonts w:hint="eastAsia"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lang w:eastAsia="zh-CN"/>
        </w:rPr>
        <w:t>月）彩色扫描件。拟派专职安全员为退休返聘人员无法提供社保证明的，提供退休证和劳动合同彩色扫描件；</w:t>
      </w:r>
    </w:p>
    <w:p w14:paraId="6D57810E">
      <w:pPr>
        <w:pStyle w:val="76"/>
        <w:widowControl w:val="0"/>
        <w:wordWrap w:val="0"/>
        <w:adjustRightInd w:val="0"/>
        <w:snapToGrid w:val="0"/>
        <w:spacing w:line="400" w:lineRule="exact"/>
        <w:rPr>
          <w:rFonts w:hint="eastAsia" w:ascii="宋体" w:hAnsi="宋体" w:eastAsia="宋体" w:cs="宋体"/>
          <w:snapToGrid w:val="0"/>
          <w:color w:val="auto"/>
          <w:sz w:val="21"/>
          <w:szCs w:val="28"/>
          <w:highlight w:val="none"/>
        </w:rPr>
        <w:sectPr>
          <w:endnotePr>
            <w:numFmt w:val="decimal"/>
          </w:endnotePr>
          <w:pgSz w:w="11906" w:h="16838"/>
          <w:pgMar w:top="1134" w:right="1134" w:bottom="1134" w:left="1134" w:header="567" w:footer="567" w:gutter="0"/>
          <w:cols w:space="720" w:num="1"/>
          <w:docGrid w:linePitch="327" w:charSpace="0"/>
        </w:sect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“进粤企业和人员诚信信息登记平台”个人信息情况截图。（适用于省外建筑企业）。</w:t>
      </w:r>
    </w:p>
    <w:p w14:paraId="241C2AFA">
      <w:pPr>
        <w:pStyle w:val="5"/>
        <w:bidi w:val="0"/>
        <w:ind w:firstLine="964"/>
        <w:rPr>
          <w:rFonts w:hint="eastAsia" w:ascii="宋体" w:hAnsi="宋体" w:eastAsia="宋体" w:cs="宋体"/>
          <w:color w:val="auto"/>
        </w:rPr>
      </w:pPr>
      <w:bookmarkStart w:id="332" w:name="_Toc23812"/>
      <w:bookmarkStart w:id="333" w:name="_Toc994"/>
      <w:bookmarkStart w:id="334" w:name="_Toc29727"/>
      <w:bookmarkStart w:id="335" w:name="_Toc20506"/>
      <w:bookmarkStart w:id="336" w:name="_Toc14261309"/>
      <w:bookmarkStart w:id="337" w:name="_Toc14989"/>
      <w:r>
        <w:rPr>
          <w:rFonts w:hint="eastAsia" w:ascii="宋体" w:hAnsi="宋体" w:eastAsia="宋体" w:cs="宋体"/>
          <w:color w:val="auto"/>
        </w:rPr>
        <w:t>格式</w:t>
      </w:r>
      <w:bookmarkStart w:id="338" w:name="_Hlt287950384"/>
      <w:bookmarkEnd w:id="338"/>
      <w:r>
        <w:rPr>
          <w:rFonts w:hint="eastAsia" w:ascii="宋体" w:hAnsi="宋体" w:eastAsia="宋体" w:cs="宋体"/>
          <w:color w:val="auto"/>
        </w:rPr>
        <w:t>十二 项目管理机构组成表</w:t>
      </w:r>
      <w:bookmarkEnd w:id="332"/>
      <w:bookmarkEnd w:id="333"/>
      <w:bookmarkEnd w:id="334"/>
      <w:bookmarkEnd w:id="335"/>
      <w:bookmarkEnd w:id="336"/>
      <w:bookmarkEnd w:id="337"/>
    </w:p>
    <w:p w14:paraId="2A01A5B5">
      <w:pPr>
        <w:wordWrap w:val="0"/>
        <w:adjustRightInd w:val="0"/>
        <w:snapToGrid w:val="0"/>
        <w:spacing w:before="260" w:after="260" w:line="440" w:lineRule="exact"/>
        <w:jc w:val="center"/>
        <w:outlineLvl w:val="2"/>
        <w:rPr>
          <w:rFonts w:hint="eastAsia" w:ascii="宋体" w:hAnsi="宋体" w:eastAsia="宋体" w:cs="宋体"/>
          <w:b/>
          <w:snapToGrid w:val="0"/>
          <w:color w:val="auto"/>
          <w:kern w:val="0"/>
          <w:highlight w:val="none"/>
        </w:rPr>
      </w:pPr>
      <w:bookmarkStart w:id="339" w:name="_Toc21803"/>
      <w:bookmarkStart w:id="340" w:name="_Toc3834"/>
      <w:bookmarkStart w:id="341" w:name="_Toc14261751"/>
      <w:r>
        <w:rPr>
          <w:rFonts w:hint="eastAsia" w:ascii="宋体" w:hAnsi="宋体" w:eastAsia="宋体" w:cs="宋体"/>
          <w:b/>
          <w:snapToGrid w:val="0"/>
          <w:color w:val="auto"/>
          <w:kern w:val="0"/>
          <w:sz w:val="30"/>
          <w:highlight w:val="none"/>
        </w:rPr>
        <w:t>项目管理机构组成表</w:t>
      </w:r>
      <w:bookmarkEnd w:id="339"/>
      <w:bookmarkEnd w:id="340"/>
      <w:bookmarkEnd w:id="341"/>
    </w:p>
    <w:tbl>
      <w:tblPr>
        <w:tblStyle w:val="32"/>
        <w:tblW w:w="893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3"/>
        <w:gridCol w:w="1421"/>
        <w:gridCol w:w="1355"/>
        <w:gridCol w:w="900"/>
        <w:gridCol w:w="817"/>
        <w:gridCol w:w="1538"/>
        <w:gridCol w:w="2164"/>
      </w:tblGrid>
      <w:tr w14:paraId="30758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trPr>
        <w:tc>
          <w:tcPr>
            <w:tcW w:w="743" w:type="dxa"/>
            <w:tcBorders>
              <w:top w:val="single" w:color="auto" w:sz="6" w:space="0"/>
              <w:left w:val="single" w:color="auto" w:sz="6" w:space="0"/>
              <w:bottom w:val="single" w:color="auto" w:sz="6" w:space="0"/>
              <w:right w:val="single" w:color="auto" w:sz="6" w:space="0"/>
            </w:tcBorders>
            <w:noWrap w:val="0"/>
            <w:vAlign w:val="center"/>
          </w:tcPr>
          <w:p w14:paraId="7D14144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0DEFD67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职务</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12BB2BF8">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姓名</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25455DA0">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性别</w:t>
            </w:r>
          </w:p>
        </w:tc>
        <w:tc>
          <w:tcPr>
            <w:tcW w:w="817" w:type="dxa"/>
            <w:tcBorders>
              <w:top w:val="single" w:color="auto" w:sz="6" w:space="0"/>
              <w:left w:val="single" w:color="auto" w:sz="6" w:space="0"/>
              <w:bottom w:val="single" w:color="auto" w:sz="6" w:space="0"/>
              <w:right w:val="single" w:color="auto" w:sz="6" w:space="0"/>
            </w:tcBorders>
            <w:noWrap w:val="0"/>
            <w:vAlign w:val="center"/>
          </w:tcPr>
          <w:p w14:paraId="603BCCB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年龄</w:t>
            </w:r>
          </w:p>
        </w:tc>
        <w:tc>
          <w:tcPr>
            <w:tcW w:w="1538" w:type="dxa"/>
            <w:tcBorders>
              <w:top w:val="single" w:color="auto" w:sz="6" w:space="0"/>
              <w:left w:val="single" w:color="auto" w:sz="6" w:space="0"/>
              <w:bottom w:val="single" w:color="auto" w:sz="6" w:space="0"/>
              <w:right w:val="single" w:color="auto" w:sz="6" w:space="0"/>
            </w:tcBorders>
            <w:noWrap w:val="0"/>
            <w:vAlign w:val="center"/>
          </w:tcPr>
          <w:p w14:paraId="1D7DF99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职称</w:t>
            </w:r>
          </w:p>
        </w:tc>
        <w:tc>
          <w:tcPr>
            <w:tcW w:w="2164" w:type="dxa"/>
            <w:tcBorders>
              <w:top w:val="single" w:color="auto" w:sz="6" w:space="0"/>
              <w:left w:val="single" w:color="auto" w:sz="6" w:space="0"/>
              <w:bottom w:val="single" w:color="auto" w:sz="6" w:space="0"/>
              <w:right w:val="single" w:color="auto" w:sz="6" w:space="0"/>
            </w:tcBorders>
            <w:noWrap w:val="0"/>
            <w:vAlign w:val="center"/>
          </w:tcPr>
          <w:p w14:paraId="15372F05">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备注</w:t>
            </w:r>
          </w:p>
        </w:tc>
      </w:tr>
      <w:tr w14:paraId="5723FD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23D162B1">
            <w:pPr>
              <w:wordWrap w:val="0"/>
              <w:adjustRightInd w:val="0"/>
              <w:snapToGrid w:val="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7030D70B">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7F3C4B08">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5CBE49E2">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56D946AD">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69CDD42E">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39F2031E">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267699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1"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320F2CD4">
            <w:pPr>
              <w:wordWrap w:val="0"/>
              <w:adjustRightInd w:val="0"/>
              <w:snapToGrid w:val="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6129DD5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项目技术</w:t>
            </w:r>
          </w:p>
          <w:p w14:paraId="364C082F">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负责人</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5FF63CA6">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5FEAE2C8">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754E7BF3">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0F66FD4C">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0AC31E1E">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7FB86D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3" w:hRule="exact"/>
        </w:trPr>
        <w:tc>
          <w:tcPr>
            <w:tcW w:w="743" w:type="dxa"/>
            <w:tcBorders>
              <w:top w:val="single" w:color="auto" w:sz="6" w:space="0"/>
              <w:left w:val="single" w:color="auto" w:sz="6" w:space="0"/>
              <w:right w:val="single" w:color="auto" w:sz="6" w:space="0"/>
            </w:tcBorders>
            <w:noWrap w:val="0"/>
            <w:vAlign w:val="center"/>
          </w:tcPr>
          <w:p w14:paraId="61E0FF45">
            <w:pPr>
              <w:wordWrap w:val="0"/>
              <w:adjustRightInd w:val="0"/>
              <w:snapToGrid w:val="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421" w:type="dxa"/>
            <w:tcBorders>
              <w:top w:val="single" w:color="auto" w:sz="6" w:space="0"/>
              <w:left w:val="single" w:color="auto" w:sz="6" w:space="0"/>
              <w:right w:val="single" w:color="auto" w:sz="6" w:space="0"/>
            </w:tcBorders>
            <w:noWrap w:val="0"/>
            <w:vAlign w:val="center"/>
          </w:tcPr>
          <w:p w14:paraId="0DFA5BF2">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专职安全员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6103D7F3">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04E1C0CB">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68DC5461">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667B8A0E">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00176E15">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04AA82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1BE8F7EF">
            <w:pPr>
              <w:wordWrap w:val="0"/>
              <w:adjustRightInd w:val="0"/>
              <w:snapToGrid w:val="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4</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6F4FF35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施工员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4DEF1FEE">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08AA47A3">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5EDBB61B">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33F5F9E3">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6BD58CBC">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77B58D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C3488D4">
            <w:pPr>
              <w:wordWrap w:val="0"/>
              <w:adjustRightInd w:val="0"/>
              <w:snapToGrid w:val="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5</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1206DD33">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质量员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1BDEDBEF">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3FD9A995">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20E2949B">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356C38AB">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19505E2B">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5B0262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60D52610">
            <w:pPr>
              <w:wordWrap w:val="0"/>
              <w:adjustRightInd w:val="0"/>
              <w:snapToGrid w:val="0"/>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rPr>
              <w:t>6</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0CF89D0D">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材料员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5E313652">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33871C28">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7AB74900">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79346C4B">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33F87039">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1B288E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18A4D24B">
            <w:pPr>
              <w:wordWrap w:val="0"/>
              <w:adjustRightInd w:val="0"/>
              <w:snapToGrid w:val="0"/>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7</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0BEB727A">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7C4FB398">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663BD55C">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12B5206E">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3A7FFE8E">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59744306">
            <w:pPr>
              <w:wordWrap w:val="0"/>
              <w:adjustRightInd w:val="0"/>
              <w:snapToGrid w:val="0"/>
              <w:jc w:val="center"/>
              <w:rPr>
                <w:rFonts w:hint="eastAsia" w:ascii="宋体" w:hAnsi="宋体" w:eastAsia="宋体" w:cs="宋体"/>
                <w:snapToGrid w:val="0"/>
                <w:color w:val="auto"/>
                <w:kern w:val="0"/>
                <w:sz w:val="21"/>
                <w:szCs w:val="21"/>
                <w:highlight w:val="none"/>
              </w:rPr>
            </w:pPr>
          </w:p>
        </w:tc>
      </w:tr>
      <w:tr w14:paraId="16E17F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4B203E25">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421" w:type="dxa"/>
            <w:tcBorders>
              <w:top w:val="single" w:color="auto" w:sz="6" w:space="0"/>
              <w:left w:val="single" w:color="auto" w:sz="6" w:space="0"/>
              <w:bottom w:val="single" w:color="auto" w:sz="6" w:space="0"/>
              <w:right w:val="single" w:color="auto" w:sz="6" w:space="0"/>
            </w:tcBorders>
            <w:noWrap w:val="0"/>
            <w:vAlign w:val="center"/>
          </w:tcPr>
          <w:p w14:paraId="6AE75267">
            <w:pPr>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51F2B1B8">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2B8F9361">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77F8F894">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427D41AF">
            <w:pPr>
              <w:wordWrap w:val="0"/>
              <w:adjustRightInd w:val="0"/>
              <w:snapToGrid w:val="0"/>
              <w:jc w:val="center"/>
              <w:rPr>
                <w:rFonts w:hint="eastAsia" w:ascii="宋体" w:hAnsi="宋体" w:eastAsia="宋体" w:cs="宋体"/>
                <w:snapToGrid w:val="0"/>
                <w:color w:val="auto"/>
                <w:kern w:val="0"/>
                <w:sz w:val="21"/>
                <w:szCs w:val="21"/>
                <w:highlight w:val="none"/>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50112A35">
            <w:pPr>
              <w:wordWrap w:val="0"/>
              <w:adjustRightInd w:val="0"/>
              <w:snapToGrid w:val="0"/>
              <w:jc w:val="center"/>
              <w:rPr>
                <w:rFonts w:hint="eastAsia" w:ascii="宋体" w:hAnsi="宋体" w:eastAsia="宋体" w:cs="宋体"/>
                <w:snapToGrid w:val="0"/>
                <w:color w:val="auto"/>
                <w:kern w:val="0"/>
                <w:sz w:val="21"/>
                <w:szCs w:val="21"/>
                <w:highlight w:val="none"/>
              </w:rPr>
            </w:pPr>
          </w:p>
        </w:tc>
        <w:bookmarkStart w:id="342" w:name="_Hlt68774664"/>
        <w:bookmarkStart w:id="343" w:name="_附件十：单项工程费汇总表"/>
        <w:bookmarkStart w:id="344" w:name="_附件二十五：综合评审合理低价法"/>
        <w:bookmarkStart w:id="345" w:name="_附件二十四：技术标提问单"/>
        <w:bookmarkStart w:id="346" w:name="_Hlt69116778"/>
      </w:tr>
      <w:bookmarkEnd w:id="324"/>
      <w:bookmarkEnd w:id="325"/>
      <w:bookmarkEnd w:id="342"/>
      <w:bookmarkEnd w:id="343"/>
      <w:bookmarkEnd w:id="344"/>
      <w:bookmarkEnd w:id="345"/>
      <w:bookmarkEnd w:id="346"/>
    </w:tbl>
    <w:p w14:paraId="4E531D2D">
      <w:pPr>
        <w:pStyle w:val="152"/>
        <w:snapToGrid w:val="0"/>
        <w:spacing w:line="400" w:lineRule="exact"/>
        <w:rPr>
          <w:rStyle w:val="151"/>
          <w:rFonts w:hint="eastAsia" w:ascii="宋体" w:hAnsi="宋体" w:eastAsia="宋体" w:cs="宋体"/>
          <w:color w:val="auto"/>
          <w:sz w:val="21"/>
          <w:szCs w:val="21"/>
          <w:highlight w:val="none"/>
        </w:rPr>
      </w:pPr>
      <w:r>
        <w:rPr>
          <w:rStyle w:val="151"/>
          <w:rFonts w:hint="eastAsia" w:ascii="宋体" w:hAnsi="宋体" w:eastAsia="宋体" w:cs="宋体"/>
          <w:color w:val="auto"/>
          <w:sz w:val="21"/>
          <w:szCs w:val="21"/>
          <w:highlight w:val="none"/>
        </w:rPr>
        <w:t>说明：</w:t>
      </w:r>
    </w:p>
    <w:p w14:paraId="257996AB">
      <w:pPr>
        <w:pStyle w:val="76"/>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sz w:val="21"/>
          <w:szCs w:val="28"/>
          <w:highlight w:val="none"/>
        </w:rPr>
      </w:pPr>
      <w:r>
        <w:rPr>
          <w:rFonts w:hint="eastAsia" w:ascii="宋体" w:hAnsi="宋体" w:eastAsia="宋体" w:cs="宋体"/>
          <w:snapToGrid w:val="0"/>
          <w:color w:val="auto"/>
          <w:sz w:val="21"/>
          <w:highlight w:val="none"/>
        </w:rPr>
        <w:t>1</w:t>
      </w:r>
      <w:r>
        <w:rPr>
          <w:rFonts w:hint="eastAsia" w:ascii="宋体" w:hAnsi="宋体" w:eastAsia="宋体" w:cs="宋体"/>
          <w:snapToGrid w:val="0"/>
          <w:color w:val="auto"/>
          <w:sz w:val="21"/>
          <w:szCs w:val="28"/>
          <w:highlight w:val="none"/>
        </w:rPr>
        <w:t>．</w:t>
      </w:r>
      <w:r>
        <w:rPr>
          <w:rFonts w:hint="eastAsia" w:ascii="宋体" w:hAnsi="宋体" w:eastAsia="宋体" w:cs="宋体"/>
          <w:snapToGrid w:val="0"/>
          <w:color w:val="auto"/>
          <w:sz w:val="21"/>
          <w:highlight w:val="none"/>
        </w:rPr>
        <w:t>《项目管理机构组成表》后应附表中拟派人员（项目经理、项目技术负责人、专职安全员除外）以下资料：</w:t>
      </w:r>
    </w:p>
    <w:p w14:paraId="69C3B13C">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sz w:val="21"/>
          <w:szCs w:val="28"/>
          <w:highlight w:val="none"/>
        </w:rPr>
      </w:pPr>
      <w:r>
        <w:rPr>
          <w:rFonts w:hint="eastAsia" w:ascii="宋体" w:hAnsi="宋体" w:eastAsia="宋体" w:cs="宋体"/>
          <w:snapToGrid w:val="0"/>
          <w:color w:val="auto"/>
          <w:kern w:val="0"/>
          <w:sz w:val="21"/>
          <w:szCs w:val="28"/>
          <w:highlight w:val="none"/>
        </w:rPr>
        <w:t>（1）身份证</w:t>
      </w:r>
      <w:r>
        <w:rPr>
          <w:rFonts w:hint="eastAsia" w:ascii="宋体" w:hAnsi="宋体" w:eastAsia="宋体" w:cs="宋体"/>
          <w:snapToGrid w:val="0"/>
          <w:color w:val="auto"/>
          <w:kern w:val="0"/>
          <w:sz w:val="21"/>
          <w:szCs w:val="28"/>
          <w:highlight w:val="none"/>
          <w:lang w:eastAsia="zh-CN"/>
        </w:rPr>
        <w:t>彩色扫描件</w:t>
      </w:r>
      <w:r>
        <w:rPr>
          <w:rFonts w:hint="eastAsia" w:ascii="宋体" w:hAnsi="宋体" w:eastAsia="宋体" w:cs="宋体"/>
          <w:snapToGrid w:val="0"/>
          <w:color w:val="auto"/>
          <w:kern w:val="0"/>
          <w:sz w:val="21"/>
          <w:szCs w:val="28"/>
          <w:highlight w:val="none"/>
        </w:rPr>
        <w:t>；</w:t>
      </w:r>
    </w:p>
    <w:p w14:paraId="7AEA615F">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auto"/>
          <w:kern w:val="0"/>
          <w:sz w:val="21"/>
          <w:szCs w:val="28"/>
          <w:highlight w:val="none"/>
          <w:lang w:eastAsia="zh-CN"/>
        </w:rPr>
      </w:pPr>
      <w:r>
        <w:rPr>
          <w:rFonts w:hint="eastAsia" w:ascii="宋体" w:hAnsi="宋体" w:eastAsia="宋体" w:cs="宋体"/>
          <w:snapToGrid w:val="0"/>
          <w:color w:val="auto"/>
          <w:kern w:val="0"/>
          <w:sz w:val="21"/>
          <w:szCs w:val="28"/>
          <w:highlight w:val="none"/>
        </w:rPr>
        <w:t>（2）</w:t>
      </w:r>
      <w:r>
        <w:rPr>
          <w:rFonts w:hint="eastAsia" w:ascii="宋体" w:hAnsi="宋体" w:eastAsia="宋体" w:cs="宋体"/>
          <w:snapToGrid w:val="0"/>
          <w:color w:val="auto"/>
          <w:kern w:val="0"/>
          <w:sz w:val="21"/>
          <w:szCs w:val="28"/>
          <w:highlight w:val="none"/>
          <w:lang w:val="en-US" w:eastAsia="zh-CN"/>
        </w:rPr>
        <w:t>职称证或</w:t>
      </w:r>
      <w:r>
        <w:rPr>
          <w:rFonts w:hint="eastAsia" w:ascii="宋体" w:hAnsi="宋体" w:eastAsia="宋体" w:cs="宋体"/>
          <w:snapToGrid w:val="0"/>
          <w:color w:val="auto"/>
          <w:kern w:val="0"/>
          <w:sz w:val="21"/>
          <w:szCs w:val="28"/>
          <w:highlight w:val="none"/>
        </w:rPr>
        <w:t>岗位证或培训证</w:t>
      </w:r>
      <w:r>
        <w:rPr>
          <w:rFonts w:hint="eastAsia" w:ascii="宋体" w:hAnsi="宋体" w:eastAsia="宋体" w:cs="宋体"/>
          <w:snapToGrid w:val="0"/>
          <w:color w:val="auto"/>
          <w:kern w:val="0"/>
          <w:sz w:val="21"/>
          <w:szCs w:val="28"/>
          <w:highlight w:val="none"/>
          <w:lang w:eastAsia="zh-CN"/>
        </w:rPr>
        <w:t>彩色扫描件</w:t>
      </w:r>
      <w:r>
        <w:rPr>
          <w:rFonts w:hint="eastAsia" w:ascii="宋体" w:hAnsi="宋体" w:eastAsia="宋体" w:cs="宋体"/>
          <w:snapToGrid w:val="0"/>
          <w:color w:val="auto"/>
          <w:kern w:val="0"/>
          <w:sz w:val="21"/>
          <w:szCs w:val="21"/>
          <w:highlight w:val="none"/>
        </w:rPr>
        <w:t>（或打印件）；</w:t>
      </w:r>
    </w:p>
    <w:p w14:paraId="4115CCF7">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8"/>
          <w:highlight w:val="none"/>
          <w:lang w:val="en-US" w:eastAsia="zh-CN"/>
        </w:rPr>
        <w:t>3</w:t>
      </w:r>
      <w:r>
        <w:rPr>
          <w:rFonts w:hint="eastAsia" w:ascii="宋体" w:hAnsi="宋体" w:eastAsia="宋体" w:cs="宋体"/>
          <w:snapToGrid w:val="0"/>
          <w:color w:val="auto"/>
          <w:kern w:val="0"/>
          <w:sz w:val="21"/>
          <w:szCs w:val="28"/>
          <w:highlight w:val="none"/>
        </w:rPr>
        <w:t>）在本单位</w:t>
      </w:r>
      <w:r>
        <w:rPr>
          <w:rFonts w:hint="eastAsia" w:ascii="宋体" w:hAnsi="宋体" w:eastAsia="宋体" w:cs="宋体"/>
          <w:snapToGrid w:val="0"/>
          <w:color w:val="auto"/>
          <w:kern w:val="0"/>
          <w:sz w:val="21"/>
          <w:szCs w:val="28"/>
          <w:highlight w:val="none"/>
          <w:lang w:val="en-US" w:eastAsia="zh-CN"/>
        </w:rPr>
        <w:t>或其分支机构单位缴纳社保的证明</w:t>
      </w:r>
      <w:r>
        <w:rPr>
          <w:rFonts w:hint="eastAsia" w:ascii="宋体" w:hAnsi="宋体" w:eastAsia="宋体" w:cs="宋体"/>
          <w:snapToGrid w:val="0"/>
          <w:color w:val="auto"/>
          <w:kern w:val="0"/>
          <w:sz w:val="21"/>
          <w:szCs w:val="28"/>
          <w:highlight w:val="none"/>
        </w:rPr>
        <w:t>（</w:t>
      </w:r>
      <w:r>
        <w:rPr>
          <w:rFonts w:hint="eastAsia" w:ascii="宋体" w:hAnsi="宋体" w:eastAsia="宋体" w:cs="宋体"/>
          <w:snapToGrid w:val="0"/>
          <w:color w:val="auto"/>
          <w:kern w:val="0"/>
          <w:sz w:val="21"/>
          <w:szCs w:val="28"/>
          <w:highlight w:val="none"/>
          <w:lang w:eastAsia="zh-CN"/>
        </w:rPr>
        <w:t>至少连续</w:t>
      </w:r>
      <w:r>
        <w:rPr>
          <w:rFonts w:hint="eastAsia" w:ascii="宋体" w:hAnsi="宋体" w:eastAsia="宋体" w:cs="宋体"/>
          <w:snapToGrid w:val="0"/>
          <w:color w:val="auto"/>
          <w:kern w:val="0"/>
          <w:sz w:val="21"/>
          <w:szCs w:val="28"/>
          <w:highlight w:val="none"/>
          <w:lang w:val="en-US" w:eastAsia="zh-CN"/>
        </w:rPr>
        <w:t>一</w:t>
      </w:r>
      <w:r>
        <w:rPr>
          <w:rFonts w:hint="eastAsia" w:ascii="宋体" w:hAnsi="宋体" w:eastAsia="宋体" w:cs="宋体"/>
          <w:snapToGrid w:val="0"/>
          <w:color w:val="auto"/>
          <w:kern w:val="0"/>
          <w:sz w:val="21"/>
          <w:szCs w:val="28"/>
          <w:highlight w:val="none"/>
          <w:lang w:eastAsia="zh-CN"/>
        </w:rPr>
        <w:t>个月，其中必须</w:t>
      </w:r>
      <w:r>
        <w:rPr>
          <w:rFonts w:hint="eastAsia" w:ascii="宋体" w:hAnsi="宋体" w:eastAsia="宋体" w:cs="宋体"/>
          <w:snapToGrid w:val="0"/>
          <w:color w:val="auto"/>
          <w:kern w:val="0"/>
          <w:sz w:val="21"/>
          <w:szCs w:val="21"/>
          <w:highlight w:val="none"/>
          <w:lang w:eastAsia="zh-CN"/>
        </w:rPr>
        <w:t>有202</w:t>
      </w:r>
      <w:r>
        <w:rPr>
          <w:rFonts w:hint="eastAsia" w:hAnsi="宋体" w:cs="宋体"/>
          <w:snapToGrid w:val="0"/>
          <w:color w:val="auto"/>
          <w:kern w:val="0"/>
          <w:sz w:val="21"/>
          <w:szCs w:val="21"/>
          <w:highlight w:val="none"/>
          <w:lang w:val="en-US" w:eastAsia="zh-CN"/>
        </w:rPr>
        <w:t>6</w:t>
      </w:r>
      <w:r>
        <w:rPr>
          <w:rFonts w:hint="eastAsia" w:ascii="宋体" w:hAnsi="宋体" w:eastAsia="宋体" w:cs="宋体"/>
          <w:snapToGrid w:val="0"/>
          <w:color w:val="auto"/>
          <w:kern w:val="0"/>
          <w:sz w:val="21"/>
          <w:szCs w:val="21"/>
          <w:highlight w:val="none"/>
          <w:lang w:eastAsia="zh-CN"/>
        </w:rPr>
        <w:t>年</w:t>
      </w:r>
      <w:r>
        <w:rPr>
          <w:rFonts w:hint="eastAsia"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lang w:eastAsia="zh-CN"/>
        </w:rPr>
        <w:t>月）</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。拟派</w:t>
      </w:r>
      <w:r>
        <w:rPr>
          <w:rFonts w:hint="eastAsia" w:ascii="宋体" w:hAnsi="宋体" w:eastAsia="宋体" w:cs="宋体"/>
          <w:snapToGrid w:val="0"/>
          <w:color w:val="auto"/>
          <w:kern w:val="0"/>
          <w:sz w:val="21"/>
          <w:szCs w:val="28"/>
          <w:highlight w:val="none"/>
          <w:lang w:val="en-US" w:eastAsia="zh-CN"/>
        </w:rPr>
        <w:t>人员</w:t>
      </w:r>
      <w:r>
        <w:rPr>
          <w:rFonts w:hint="eastAsia" w:ascii="宋体" w:hAnsi="宋体" w:eastAsia="宋体" w:cs="宋体"/>
          <w:snapToGrid w:val="0"/>
          <w:color w:val="auto"/>
          <w:kern w:val="0"/>
          <w:sz w:val="21"/>
          <w:szCs w:val="28"/>
          <w:highlight w:val="none"/>
        </w:rPr>
        <w:t>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14:paraId="78C426FF">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16"/>
          <w:lang w:eastAsia="zh-CN"/>
        </w:rPr>
        <w:sectPr>
          <w:pgSz w:w="11907" w:h="16840"/>
          <w:pgMar w:top="1134" w:right="1134" w:bottom="1134" w:left="1134" w:header="567" w:footer="567" w:gutter="0"/>
          <w:cols w:space="720" w:num="1"/>
        </w:sectPr>
      </w:pPr>
      <w:r>
        <w:rPr>
          <w:rFonts w:hint="eastAsia" w:ascii="宋体" w:hAnsi="宋体" w:eastAsia="宋体" w:cs="宋体"/>
          <w:color w:val="auto"/>
          <w:sz w:val="21"/>
          <w:szCs w:val="16"/>
          <w:lang w:eastAsia="zh-CN"/>
        </w:rPr>
        <w:t>（</w:t>
      </w:r>
      <w:r>
        <w:rPr>
          <w:rFonts w:hint="eastAsia" w:ascii="宋体" w:hAnsi="宋体" w:eastAsia="宋体" w:cs="宋体"/>
          <w:color w:val="auto"/>
          <w:sz w:val="21"/>
          <w:szCs w:val="16"/>
          <w:lang w:val="en-US" w:eastAsia="zh-CN"/>
        </w:rPr>
        <w:t>4</w:t>
      </w:r>
      <w:r>
        <w:rPr>
          <w:rFonts w:hint="eastAsia" w:ascii="宋体" w:hAnsi="宋体" w:eastAsia="宋体" w:cs="宋体"/>
          <w:color w:val="auto"/>
          <w:sz w:val="21"/>
          <w:szCs w:val="16"/>
          <w:lang w:eastAsia="zh-CN"/>
        </w:rPr>
        <w:t>）</w:t>
      </w:r>
      <w:r>
        <w:rPr>
          <w:rFonts w:hint="eastAsia" w:ascii="宋体" w:hAnsi="宋体" w:eastAsia="宋体" w:cs="宋体"/>
          <w:color w:val="auto"/>
          <w:sz w:val="21"/>
          <w:szCs w:val="21"/>
          <w:lang w:eastAsia="zh-CN"/>
        </w:rPr>
        <w:t>“进粤企业和人员诚信信息登记平台”个人信息情况截图。（适用于省外建筑企业）。</w:t>
      </w:r>
    </w:p>
    <w:p w14:paraId="132C37FB">
      <w:pPr>
        <w:pStyle w:val="5"/>
        <w:bidi w:val="0"/>
        <w:ind w:firstLine="964"/>
        <w:rPr>
          <w:rFonts w:hint="eastAsia" w:ascii="宋体" w:hAnsi="宋体" w:eastAsia="宋体" w:cs="宋体"/>
          <w:color w:val="auto"/>
        </w:rPr>
      </w:pPr>
      <w:bookmarkStart w:id="347" w:name="_Toc13555"/>
      <w:r>
        <w:rPr>
          <w:rFonts w:hint="eastAsia" w:ascii="宋体" w:hAnsi="宋体" w:eastAsia="宋体" w:cs="宋体"/>
          <w:color w:val="auto"/>
        </w:rPr>
        <w:t>格式十</w:t>
      </w:r>
      <w:r>
        <w:rPr>
          <w:rFonts w:hint="eastAsia" w:ascii="宋体" w:hAnsi="宋体" w:eastAsia="宋体" w:cs="宋体"/>
          <w:color w:val="auto"/>
          <w:lang w:val="en-US" w:eastAsia="zh-CN"/>
        </w:rPr>
        <w:t>三</w:t>
      </w:r>
      <w:r>
        <w:rPr>
          <w:rFonts w:hint="eastAsia" w:ascii="宋体" w:hAnsi="宋体" w:eastAsia="宋体" w:cs="宋体"/>
          <w:color w:val="auto"/>
        </w:rPr>
        <w:t xml:space="preserve"> 建造师查询页（有效期+建造师签字）</w:t>
      </w:r>
      <w:bookmarkEnd w:id="347"/>
    </w:p>
    <w:p w14:paraId="30C5F9AE">
      <w:pPr>
        <w:pStyle w:val="76"/>
        <w:widowControl w:val="0"/>
        <w:wordWrap w:val="0"/>
        <w:adjustRightInd w:val="0"/>
        <w:snapToGrid w:val="0"/>
        <w:spacing w:line="240" w:lineRule="auto"/>
        <w:ind w:firstLine="0"/>
        <w:jc w:val="center"/>
        <w:rPr>
          <w:rFonts w:hint="eastAsia" w:ascii="宋体" w:hAnsi="宋体" w:eastAsia="宋体" w:cs="宋体"/>
          <w:snapToGrid w:val="0"/>
          <w:color w:val="auto"/>
          <w:sz w:val="21"/>
          <w:highlight w:val="none"/>
        </w:rPr>
      </w:pPr>
      <w:r>
        <w:rPr>
          <w:rFonts w:hint="eastAsia" w:ascii="宋体" w:hAnsi="宋体" w:eastAsia="宋体" w:cs="宋体"/>
          <w:caps w:val="0"/>
          <w:smallCaps w:val="0"/>
          <w:snapToGrid w:val="0"/>
          <w:color w:val="auto"/>
          <w:spacing w:val="0"/>
          <w:kern w:val="0"/>
          <w:sz w:val="21"/>
          <w:highlight w:val="none"/>
          <w:lang w:val="en-US" w:eastAsia="zh-CN"/>
        </w:rPr>
        <w:drawing>
          <wp:inline distT="0" distB="0" distL="114300" distR="114300">
            <wp:extent cx="5768975" cy="8063865"/>
            <wp:effectExtent l="0" t="0" r="3175" b="13335"/>
            <wp:docPr id="2" name="图片 2" descr="32d7491b2f9802d8de0f2607fe015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2d7491b2f9802d8de0f2607fe015bb"/>
                    <pic:cNvPicPr>
                      <a:picLocks noChangeAspect="1"/>
                    </pic:cNvPicPr>
                  </pic:nvPicPr>
                  <pic:blipFill>
                    <a:blip r:embed="rId8"/>
                    <a:stretch>
                      <a:fillRect/>
                    </a:stretch>
                  </pic:blipFill>
                  <pic:spPr>
                    <a:xfrm>
                      <a:off x="0" y="0"/>
                      <a:ext cx="5768975" cy="8063865"/>
                    </a:xfrm>
                    <a:prstGeom prst="rect">
                      <a:avLst/>
                    </a:prstGeom>
                    <a:noFill/>
                    <a:ln>
                      <a:noFill/>
                    </a:ln>
                  </pic:spPr>
                </pic:pic>
              </a:graphicData>
            </a:graphic>
          </wp:inline>
        </w:drawing>
      </w:r>
      <w:r>
        <w:rPr>
          <w:rFonts w:hint="eastAsia" w:ascii="宋体" w:hAnsi="宋体" w:eastAsia="宋体" w:cs="宋体"/>
          <w:color w:val="auto"/>
          <w:sz w:val="24"/>
          <w:szCs w:val="24"/>
        </w:rPr>
        <w:drawing>
          <wp:inline distT="0" distB="0" distL="114300" distR="114300">
            <wp:extent cx="6507480" cy="7734300"/>
            <wp:effectExtent l="0" t="0" r="7620" b="0"/>
            <wp:docPr id="1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IMG_256"/>
                    <pic:cNvPicPr>
                      <a:picLocks noChangeAspect="1"/>
                    </pic:cNvPicPr>
                  </pic:nvPicPr>
                  <pic:blipFill>
                    <a:blip r:embed="rId9"/>
                    <a:stretch>
                      <a:fillRect/>
                    </a:stretch>
                  </pic:blipFill>
                  <pic:spPr>
                    <a:xfrm>
                      <a:off x="0" y="0"/>
                      <a:ext cx="6507480" cy="7734300"/>
                    </a:xfrm>
                    <a:prstGeom prst="rect">
                      <a:avLst/>
                    </a:prstGeom>
                    <a:noFill/>
                    <a:ln w="9525">
                      <a:noFill/>
                    </a:ln>
                  </pic:spPr>
                </pic:pic>
              </a:graphicData>
            </a:graphic>
          </wp:inline>
        </w:drawing>
      </w:r>
    </w:p>
    <w:p w14:paraId="044BAB73">
      <w:pPr>
        <w:rPr>
          <w:rFonts w:hint="eastAsia" w:ascii="宋体" w:hAnsi="宋体" w:eastAsia="宋体" w:cs="宋体"/>
          <w:b/>
          <w:bCs/>
          <w:snapToGrid w:val="0"/>
          <w:color w:val="auto"/>
          <w:sz w:val="21"/>
          <w:highlight w:val="none"/>
          <w:lang w:val="en-US" w:eastAsia="zh-CN"/>
        </w:rPr>
      </w:pPr>
      <w:r>
        <w:rPr>
          <w:rFonts w:hint="eastAsia" w:ascii="宋体" w:hAnsi="宋体" w:eastAsia="宋体" w:cs="宋体"/>
          <w:snapToGrid w:val="0"/>
          <w:color w:val="auto"/>
          <w:sz w:val="21"/>
          <w:highlight w:val="none"/>
        </w:rPr>
        <w:br w:type="page"/>
      </w:r>
    </w:p>
    <w:p w14:paraId="68893148">
      <w:pPr>
        <w:pStyle w:val="76"/>
        <w:widowControl w:val="0"/>
        <w:wordWrap w:val="0"/>
        <w:adjustRightInd w:val="0"/>
        <w:snapToGrid w:val="0"/>
        <w:spacing w:line="240" w:lineRule="auto"/>
        <w:ind w:firstLine="0"/>
        <w:rPr>
          <w:rFonts w:hint="eastAsia" w:ascii="宋体" w:hAnsi="宋体" w:eastAsia="宋体" w:cs="宋体"/>
          <w:snapToGrid w:val="0"/>
          <w:color w:val="auto"/>
          <w:sz w:val="21"/>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bookmarkEnd w:id="7"/>
    <w:bookmarkEnd w:id="281"/>
    <w:bookmarkEnd w:id="282"/>
    <w:p w14:paraId="1F1A3B36">
      <w:pPr>
        <w:pStyle w:val="5"/>
        <w:bidi w:val="0"/>
        <w:ind w:firstLine="964"/>
        <w:rPr>
          <w:rFonts w:hint="eastAsia" w:ascii="宋体" w:hAnsi="宋体" w:eastAsia="宋体" w:cs="宋体"/>
          <w:color w:val="auto"/>
        </w:rPr>
      </w:pPr>
      <w:bookmarkStart w:id="348" w:name="_附件二十一：土建工程、电气工程、给排水工程工程清单项目费汇总表"/>
      <w:bookmarkEnd w:id="348"/>
      <w:bookmarkStart w:id="349" w:name="_附件十六：措施项目清单计价表"/>
      <w:bookmarkEnd w:id="349"/>
      <w:bookmarkStart w:id="350" w:name="_Hlt87783244"/>
      <w:bookmarkEnd w:id="350"/>
      <w:bookmarkStart w:id="351" w:name="_Hlt87793582"/>
      <w:bookmarkEnd w:id="351"/>
      <w:bookmarkStart w:id="352" w:name="_Toc9569"/>
      <w:bookmarkStart w:id="353" w:name="_Toc2067"/>
      <w:bookmarkStart w:id="354" w:name="_Toc346"/>
      <w:bookmarkStart w:id="355" w:name="_Toc13122"/>
      <w:bookmarkStart w:id="356" w:name="_Toc13722"/>
      <w:bookmarkStart w:id="357" w:name="_Toc133160683"/>
      <w:bookmarkStart w:id="358" w:name="_Toc137444778"/>
      <w:bookmarkStart w:id="359" w:name="_Toc142468134"/>
      <w:bookmarkStart w:id="360" w:name="_Toc132687128"/>
      <w:bookmarkStart w:id="361" w:name="_Toc78794873"/>
      <w:bookmarkStart w:id="362" w:name="_Toc133815902"/>
      <w:r>
        <w:rPr>
          <w:rFonts w:hint="eastAsia" w:ascii="宋体" w:hAnsi="宋体" w:eastAsia="宋体" w:cs="宋体"/>
          <w:color w:val="auto"/>
        </w:rPr>
        <w:t>格式十</w:t>
      </w:r>
      <w:r>
        <w:rPr>
          <w:rFonts w:hint="eastAsia" w:ascii="宋体" w:hAnsi="宋体" w:eastAsia="宋体" w:cs="宋体"/>
          <w:color w:val="auto"/>
          <w:lang w:val="en-US" w:eastAsia="zh-CN"/>
        </w:rPr>
        <w:t>四</w:t>
      </w:r>
      <w:r>
        <w:rPr>
          <w:rFonts w:hint="eastAsia" w:ascii="宋体" w:hAnsi="宋体" w:eastAsia="宋体" w:cs="宋体"/>
          <w:color w:val="auto"/>
        </w:rPr>
        <w:t xml:space="preserve"> 原件一览表</w:t>
      </w:r>
      <w:bookmarkEnd w:id="352"/>
      <w:bookmarkEnd w:id="353"/>
      <w:bookmarkEnd w:id="354"/>
      <w:bookmarkEnd w:id="355"/>
    </w:p>
    <w:p w14:paraId="58E5E4F8">
      <w:pPr>
        <w:spacing w:line="336" w:lineRule="auto"/>
        <w:contextualSpacing/>
        <w:jc w:val="left"/>
        <w:rPr>
          <w:rFonts w:hint="eastAsia" w:ascii="宋体" w:hAnsi="宋体" w:eastAsia="宋体" w:cs="宋体"/>
          <w:color w:val="auto"/>
          <w:highlight w:val="none"/>
        </w:rPr>
      </w:pPr>
    </w:p>
    <w:tbl>
      <w:tblPr>
        <w:tblStyle w:val="32"/>
        <w:tblpPr w:leftFromText="180" w:rightFromText="180" w:vertAnchor="text" w:horzAnchor="page" w:tblpX="1664" w:tblpY="438"/>
        <w:tblOverlap w:val="never"/>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92"/>
        <w:gridCol w:w="1902"/>
        <w:gridCol w:w="1625"/>
        <w:gridCol w:w="754"/>
        <w:gridCol w:w="958"/>
        <w:gridCol w:w="1570"/>
      </w:tblGrid>
      <w:tr w14:paraId="68B2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000000" w:fill="FFFFFF"/>
            <w:noWrap w:val="0"/>
            <w:tcMar>
              <w:left w:w="108" w:type="dxa"/>
              <w:right w:w="108" w:type="dxa"/>
            </w:tcMar>
            <w:vAlign w:val="center"/>
          </w:tcPr>
          <w:p w14:paraId="782E7337">
            <w:pPr>
              <w:jc w:val="center"/>
              <w:rPr>
                <w:rFonts w:hint="eastAsia" w:ascii="宋体" w:hAnsi="宋体" w:eastAsia="宋体" w:cs="宋体"/>
                <w:color w:val="auto"/>
                <w:highlight w:val="none"/>
              </w:rPr>
            </w:pPr>
            <w:r>
              <w:rPr>
                <w:rFonts w:hint="eastAsia" w:ascii="宋体" w:hAnsi="宋体" w:eastAsia="宋体" w:cs="宋体"/>
                <w:b/>
                <w:color w:val="auto"/>
                <w:highlight w:val="none"/>
              </w:rPr>
              <w:t>原件一览表</w:t>
            </w:r>
          </w:p>
        </w:tc>
      </w:tr>
      <w:tr w14:paraId="57AC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18ECE8F6">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lang w:val="en-US" w:eastAsia="zh-CN"/>
              </w:rPr>
              <w:t>项目</w:t>
            </w:r>
            <w:r>
              <w:rPr>
                <w:rFonts w:hint="eastAsia" w:ascii="宋体" w:hAnsi="宋体" w:eastAsia="宋体" w:cs="宋体"/>
                <w:color w:val="auto"/>
                <w:sz w:val="20"/>
                <w:highlight w:val="none"/>
              </w:rPr>
              <w:t>名称</w:t>
            </w:r>
          </w:p>
        </w:tc>
        <w:tc>
          <w:tcPr>
            <w:tcW w:w="6809" w:type="dxa"/>
            <w:gridSpan w:val="5"/>
            <w:shd w:val="clear" w:color="000000" w:fill="FFFFFF"/>
            <w:noWrap w:val="0"/>
            <w:tcMar>
              <w:left w:w="108" w:type="dxa"/>
              <w:right w:w="108" w:type="dxa"/>
            </w:tcMar>
            <w:vAlign w:val="center"/>
          </w:tcPr>
          <w:p w14:paraId="2A454562">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 xml:space="preserve"> </w:t>
            </w:r>
          </w:p>
        </w:tc>
      </w:tr>
      <w:tr w14:paraId="27EB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1559497C">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投标人名称                (请务必填写单位全称)</w:t>
            </w:r>
          </w:p>
        </w:tc>
        <w:tc>
          <w:tcPr>
            <w:tcW w:w="6809" w:type="dxa"/>
            <w:gridSpan w:val="5"/>
            <w:shd w:val="clear" w:color="000000" w:fill="FFFFFF"/>
            <w:noWrap w:val="0"/>
            <w:tcMar>
              <w:left w:w="108" w:type="dxa"/>
              <w:right w:w="108" w:type="dxa"/>
            </w:tcMar>
            <w:vAlign w:val="center"/>
          </w:tcPr>
          <w:p w14:paraId="564CAB2C">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　</w:t>
            </w:r>
          </w:p>
        </w:tc>
      </w:tr>
      <w:tr w14:paraId="0FD0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6A358BA3">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投标人法定代表人或其</w:t>
            </w:r>
          </w:p>
          <w:p w14:paraId="3AC60E4A">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委托代理人签名</w:t>
            </w:r>
          </w:p>
        </w:tc>
        <w:tc>
          <w:tcPr>
            <w:tcW w:w="3527" w:type="dxa"/>
            <w:gridSpan w:val="2"/>
            <w:shd w:val="clear" w:color="000000" w:fill="FFFFFF"/>
            <w:noWrap w:val="0"/>
            <w:tcMar>
              <w:left w:w="108" w:type="dxa"/>
              <w:right w:w="108" w:type="dxa"/>
            </w:tcMar>
            <w:vAlign w:val="center"/>
          </w:tcPr>
          <w:p w14:paraId="2B124D22">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　</w:t>
            </w:r>
          </w:p>
        </w:tc>
        <w:tc>
          <w:tcPr>
            <w:tcW w:w="754" w:type="dxa"/>
            <w:shd w:val="clear" w:color="000000" w:fill="FFFFFF"/>
            <w:noWrap w:val="0"/>
            <w:tcMar>
              <w:left w:w="108" w:type="dxa"/>
              <w:right w:w="108" w:type="dxa"/>
            </w:tcMar>
            <w:vAlign w:val="center"/>
          </w:tcPr>
          <w:p w14:paraId="64C0891A">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手机号码</w:t>
            </w:r>
          </w:p>
        </w:tc>
        <w:tc>
          <w:tcPr>
            <w:tcW w:w="2528" w:type="dxa"/>
            <w:gridSpan w:val="2"/>
            <w:shd w:val="clear" w:color="000000" w:fill="FFFFFF"/>
            <w:noWrap w:val="0"/>
            <w:tcMar>
              <w:left w:w="108" w:type="dxa"/>
              <w:right w:w="108" w:type="dxa"/>
            </w:tcMar>
            <w:vAlign w:val="center"/>
          </w:tcPr>
          <w:p w14:paraId="775FC6D7">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　</w:t>
            </w:r>
          </w:p>
        </w:tc>
      </w:tr>
      <w:tr w14:paraId="3F8A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108" w:type="dxa"/>
            <w:gridSpan w:val="8"/>
            <w:shd w:val="clear" w:color="000000" w:fill="FFFFFF"/>
            <w:noWrap w:val="0"/>
            <w:tcMar>
              <w:left w:w="108" w:type="dxa"/>
              <w:right w:w="108" w:type="dxa"/>
            </w:tcMar>
            <w:vAlign w:val="center"/>
          </w:tcPr>
          <w:p w14:paraId="02EF021E">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递交的证明材料原件如下：</w:t>
            </w:r>
          </w:p>
        </w:tc>
      </w:tr>
      <w:tr w14:paraId="1D0F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FFFFFF"/>
            <w:noWrap w:val="0"/>
            <w:tcMar>
              <w:left w:w="108" w:type="dxa"/>
              <w:right w:w="108" w:type="dxa"/>
            </w:tcMar>
            <w:vAlign w:val="center"/>
          </w:tcPr>
          <w:p w14:paraId="05582F4C">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序号</w:t>
            </w:r>
          </w:p>
        </w:tc>
        <w:tc>
          <w:tcPr>
            <w:tcW w:w="5125" w:type="dxa"/>
            <w:gridSpan w:val="4"/>
            <w:shd w:val="clear" w:color="auto" w:fill="FFFFFF"/>
            <w:noWrap w:val="0"/>
            <w:tcMar>
              <w:left w:w="108" w:type="dxa"/>
              <w:right w:w="108" w:type="dxa"/>
            </w:tcMar>
            <w:vAlign w:val="center"/>
          </w:tcPr>
          <w:p w14:paraId="559FA8DE">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证明材料原件名称</w:t>
            </w:r>
          </w:p>
        </w:tc>
        <w:tc>
          <w:tcPr>
            <w:tcW w:w="1712" w:type="dxa"/>
            <w:gridSpan w:val="2"/>
            <w:shd w:val="clear" w:color="auto" w:fill="FFFFFF"/>
            <w:noWrap w:val="0"/>
            <w:tcMar>
              <w:left w:w="108" w:type="dxa"/>
              <w:right w:w="108" w:type="dxa"/>
            </w:tcMar>
            <w:vAlign w:val="center"/>
          </w:tcPr>
          <w:p w14:paraId="106B125B">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单位</w:t>
            </w:r>
          </w:p>
        </w:tc>
        <w:tc>
          <w:tcPr>
            <w:tcW w:w="1570" w:type="dxa"/>
            <w:shd w:val="clear" w:color="auto" w:fill="FFFFFF"/>
            <w:noWrap w:val="0"/>
            <w:tcMar>
              <w:left w:w="108" w:type="dxa"/>
              <w:right w:w="108" w:type="dxa"/>
            </w:tcMar>
            <w:vAlign w:val="center"/>
          </w:tcPr>
          <w:p w14:paraId="308476C4">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数量</w:t>
            </w:r>
          </w:p>
        </w:tc>
      </w:tr>
      <w:tr w14:paraId="3F9B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2929E57C">
            <w:pPr>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5125" w:type="dxa"/>
            <w:gridSpan w:val="4"/>
            <w:shd w:val="clear" w:color="000000" w:fill="FFFFFF"/>
            <w:noWrap w:val="0"/>
            <w:tcMar>
              <w:left w:w="108" w:type="dxa"/>
              <w:right w:w="108" w:type="dxa"/>
            </w:tcMar>
            <w:vAlign w:val="center"/>
          </w:tcPr>
          <w:p w14:paraId="4099C3BD">
            <w:pPr>
              <w:jc w:val="center"/>
              <w:rPr>
                <w:rFonts w:hint="eastAsia" w:ascii="宋体" w:hAnsi="宋体" w:eastAsia="宋体" w:cs="宋体"/>
                <w:color w:val="auto"/>
                <w:highlight w:val="none"/>
              </w:rPr>
            </w:pPr>
          </w:p>
        </w:tc>
        <w:tc>
          <w:tcPr>
            <w:tcW w:w="1712" w:type="dxa"/>
            <w:gridSpan w:val="2"/>
            <w:shd w:val="clear" w:color="000000" w:fill="FFFFFF"/>
            <w:noWrap w:val="0"/>
            <w:tcMar>
              <w:left w:w="108" w:type="dxa"/>
              <w:right w:w="108" w:type="dxa"/>
            </w:tcMar>
            <w:vAlign w:val="center"/>
          </w:tcPr>
          <w:p w14:paraId="5839CDEF">
            <w:pPr>
              <w:jc w:val="center"/>
              <w:rPr>
                <w:rFonts w:hint="eastAsia" w:ascii="宋体" w:hAnsi="宋体" w:eastAsia="宋体" w:cs="宋体"/>
                <w:color w:val="auto"/>
                <w:highlight w:val="none"/>
              </w:rPr>
            </w:pPr>
          </w:p>
        </w:tc>
        <w:tc>
          <w:tcPr>
            <w:tcW w:w="1570" w:type="dxa"/>
            <w:shd w:val="clear" w:color="000000" w:fill="FFFFFF"/>
            <w:noWrap w:val="0"/>
            <w:tcMar>
              <w:left w:w="108" w:type="dxa"/>
              <w:right w:w="108" w:type="dxa"/>
            </w:tcMar>
            <w:vAlign w:val="center"/>
          </w:tcPr>
          <w:p w14:paraId="3500F32A">
            <w:pPr>
              <w:jc w:val="center"/>
              <w:rPr>
                <w:rFonts w:hint="eastAsia" w:ascii="宋体" w:hAnsi="宋体" w:eastAsia="宋体" w:cs="宋体"/>
                <w:color w:val="auto"/>
                <w:highlight w:val="none"/>
              </w:rPr>
            </w:pPr>
            <w:r>
              <w:rPr>
                <w:rFonts w:hint="eastAsia" w:ascii="宋体" w:hAnsi="宋体" w:eastAsia="宋体" w:cs="宋体"/>
                <w:color w:val="auto"/>
                <w:highlight w:val="none"/>
              </w:rPr>
              <w:t>　</w:t>
            </w:r>
          </w:p>
        </w:tc>
      </w:tr>
      <w:tr w14:paraId="51A9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7BA16B22">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5125" w:type="dxa"/>
            <w:gridSpan w:val="4"/>
            <w:shd w:val="clear" w:color="000000" w:fill="FFFFFF"/>
            <w:noWrap w:val="0"/>
            <w:tcMar>
              <w:left w:w="108" w:type="dxa"/>
              <w:right w:w="108" w:type="dxa"/>
            </w:tcMar>
            <w:vAlign w:val="center"/>
          </w:tcPr>
          <w:p w14:paraId="514DDB9A">
            <w:pPr>
              <w:jc w:val="center"/>
              <w:rPr>
                <w:rFonts w:hint="eastAsia" w:ascii="宋体" w:hAnsi="宋体" w:eastAsia="宋体" w:cs="宋体"/>
                <w:color w:val="auto"/>
                <w:highlight w:val="none"/>
              </w:rPr>
            </w:pPr>
          </w:p>
        </w:tc>
        <w:tc>
          <w:tcPr>
            <w:tcW w:w="1712" w:type="dxa"/>
            <w:gridSpan w:val="2"/>
            <w:shd w:val="clear" w:color="000000" w:fill="FFFFFF"/>
            <w:noWrap w:val="0"/>
            <w:tcMar>
              <w:left w:w="108" w:type="dxa"/>
              <w:right w:w="108" w:type="dxa"/>
            </w:tcMar>
            <w:vAlign w:val="center"/>
          </w:tcPr>
          <w:p w14:paraId="7AA4DB01">
            <w:pPr>
              <w:jc w:val="center"/>
              <w:rPr>
                <w:rFonts w:hint="eastAsia" w:ascii="宋体" w:hAnsi="宋体" w:eastAsia="宋体" w:cs="宋体"/>
                <w:color w:val="auto"/>
                <w:highlight w:val="none"/>
              </w:rPr>
            </w:pPr>
          </w:p>
        </w:tc>
        <w:tc>
          <w:tcPr>
            <w:tcW w:w="1570" w:type="dxa"/>
            <w:shd w:val="clear" w:color="000000" w:fill="FFFFFF"/>
            <w:noWrap w:val="0"/>
            <w:tcMar>
              <w:left w:w="108" w:type="dxa"/>
              <w:right w:w="108" w:type="dxa"/>
            </w:tcMar>
            <w:vAlign w:val="center"/>
          </w:tcPr>
          <w:p w14:paraId="55C4B9FF">
            <w:pPr>
              <w:jc w:val="center"/>
              <w:rPr>
                <w:rFonts w:hint="eastAsia" w:ascii="宋体" w:hAnsi="宋体" w:eastAsia="宋体" w:cs="宋体"/>
                <w:color w:val="auto"/>
                <w:highlight w:val="none"/>
              </w:rPr>
            </w:pPr>
          </w:p>
        </w:tc>
      </w:tr>
      <w:tr w14:paraId="6E72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7B07D806">
            <w:pPr>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5125" w:type="dxa"/>
            <w:gridSpan w:val="4"/>
            <w:shd w:val="clear" w:color="000000" w:fill="FFFFFF"/>
            <w:noWrap w:val="0"/>
            <w:tcMar>
              <w:left w:w="108" w:type="dxa"/>
              <w:right w:w="108" w:type="dxa"/>
            </w:tcMar>
            <w:vAlign w:val="center"/>
          </w:tcPr>
          <w:p w14:paraId="4843CD22">
            <w:pPr>
              <w:jc w:val="center"/>
              <w:rPr>
                <w:rFonts w:hint="eastAsia" w:ascii="宋体" w:hAnsi="宋体" w:eastAsia="宋体" w:cs="宋体"/>
                <w:color w:val="auto"/>
                <w:highlight w:val="none"/>
              </w:rPr>
            </w:pPr>
          </w:p>
        </w:tc>
        <w:tc>
          <w:tcPr>
            <w:tcW w:w="1712" w:type="dxa"/>
            <w:gridSpan w:val="2"/>
            <w:shd w:val="clear" w:color="000000" w:fill="FFFFFF"/>
            <w:noWrap w:val="0"/>
            <w:tcMar>
              <w:left w:w="108" w:type="dxa"/>
              <w:right w:w="108" w:type="dxa"/>
            </w:tcMar>
            <w:vAlign w:val="center"/>
          </w:tcPr>
          <w:p w14:paraId="041D69FC">
            <w:pPr>
              <w:jc w:val="center"/>
              <w:rPr>
                <w:rFonts w:hint="eastAsia" w:ascii="宋体" w:hAnsi="宋体" w:eastAsia="宋体" w:cs="宋体"/>
                <w:color w:val="auto"/>
                <w:highlight w:val="none"/>
              </w:rPr>
            </w:pPr>
          </w:p>
        </w:tc>
        <w:tc>
          <w:tcPr>
            <w:tcW w:w="1570" w:type="dxa"/>
            <w:shd w:val="clear" w:color="000000" w:fill="FFFFFF"/>
            <w:noWrap w:val="0"/>
            <w:tcMar>
              <w:left w:w="108" w:type="dxa"/>
              <w:right w:w="108" w:type="dxa"/>
            </w:tcMar>
            <w:vAlign w:val="center"/>
          </w:tcPr>
          <w:p w14:paraId="1216FF6A">
            <w:pPr>
              <w:jc w:val="center"/>
              <w:rPr>
                <w:rFonts w:hint="eastAsia" w:ascii="宋体" w:hAnsi="宋体" w:eastAsia="宋体" w:cs="宋体"/>
                <w:color w:val="auto"/>
                <w:highlight w:val="none"/>
              </w:rPr>
            </w:pPr>
          </w:p>
        </w:tc>
      </w:tr>
      <w:tr w14:paraId="27E0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177E8FBB">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5125" w:type="dxa"/>
            <w:gridSpan w:val="4"/>
            <w:shd w:val="clear" w:color="000000" w:fill="FFFFFF"/>
            <w:noWrap w:val="0"/>
            <w:tcMar>
              <w:left w:w="108" w:type="dxa"/>
              <w:right w:w="108" w:type="dxa"/>
            </w:tcMar>
            <w:vAlign w:val="center"/>
          </w:tcPr>
          <w:p w14:paraId="475F2F9E">
            <w:pPr>
              <w:jc w:val="center"/>
              <w:rPr>
                <w:rFonts w:hint="eastAsia" w:ascii="宋体" w:hAnsi="宋体" w:eastAsia="宋体" w:cs="宋体"/>
                <w:color w:val="auto"/>
                <w:highlight w:val="none"/>
              </w:rPr>
            </w:pPr>
          </w:p>
        </w:tc>
        <w:tc>
          <w:tcPr>
            <w:tcW w:w="1712" w:type="dxa"/>
            <w:gridSpan w:val="2"/>
            <w:shd w:val="clear" w:color="000000" w:fill="FFFFFF"/>
            <w:noWrap w:val="0"/>
            <w:tcMar>
              <w:left w:w="108" w:type="dxa"/>
              <w:right w:w="108" w:type="dxa"/>
            </w:tcMar>
            <w:vAlign w:val="center"/>
          </w:tcPr>
          <w:p w14:paraId="744FA12F">
            <w:pPr>
              <w:jc w:val="center"/>
              <w:rPr>
                <w:rFonts w:hint="eastAsia" w:ascii="宋体" w:hAnsi="宋体" w:eastAsia="宋体" w:cs="宋体"/>
                <w:color w:val="auto"/>
                <w:highlight w:val="none"/>
              </w:rPr>
            </w:pPr>
          </w:p>
        </w:tc>
        <w:tc>
          <w:tcPr>
            <w:tcW w:w="1570" w:type="dxa"/>
            <w:shd w:val="clear" w:color="000000" w:fill="FFFFFF"/>
            <w:noWrap w:val="0"/>
            <w:tcMar>
              <w:left w:w="108" w:type="dxa"/>
              <w:right w:w="108" w:type="dxa"/>
            </w:tcMar>
            <w:vAlign w:val="center"/>
          </w:tcPr>
          <w:p w14:paraId="4FE0A12E">
            <w:pPr>
              <w:jc w:val="center"/>
              <w:rPr>
                <w:rFonts w:hint="eastAsia" w:ascii="宋体" w:hAnsi="宋体" w:eastAsia="宋体" w:cs="宋体"/>
                <w:color w:val="auto"/>
                <w:highlight w:val="none"/>
              </w:rPr>
            </w:pPr>
            <w:r>
              <w:rPr>
                <w:rFonts w:hint="eastAsia" w:ascii="宋体" w:hAnsi="宋体" w:eastAsia="宋体" w:cs="宋体"/>
                <w:color w:val="auto"/>
                <w:highlight w:val="none"/>
              </w:rPr>
              <w:t>　</w:t>
            </w:r>
          </w:p>
        </w:tc>
      </w:tr>
      <w:tr w14:paraId="1451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8" w:hRule="atLeast"/>
        </w:trPr>
        <w:tc>
          <w:tcPr>
            <w:tcW w:w="701" w:type="dxa"/>
            <w:shd w:val="clear" w:color="auto" w:fill="FFFFFF"/>
            <w:noWrap w:val="0"/>
            <w:tcMar>
              <w:left w:w="108" w:type="dxa"/>
              <w:right w:w="108" w:type="dxa"/>
            </w:tcMar>
            <w:vAlign w:val="center"/>
          </w:tcPr>
          <w:p w14:paraId="7E184362">
            <w:pPr>
              <w:ind w:left="8" w:hanging="94"/>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注意：</w:t>
            </w:r>
          </w:p>
        </w:tc>
        <w:tc>
          <w:tcPr>
            <w:tcW w:w="8407" w:type="dxa"/>
            <w:gridSpan w:val="7"/>
            <w:shd w:val="clear" w:color="auto" w:fill="FFFFFF"/>
            <w:noWrap w:val="0"/>
            <w:tcMar>
              <w:left w:w="108" w:type="dxa"/>
              <w:right w:w="108" w:type="dxa"/>
            </w:tcMar>
            <w:vAlign w:val="center"/>
          </w:tcPr>
          <w:p w14:paraId="34137430">
            <w:pPr>
              <w:ind w:firstLine="480"/>
              <w:rPr>
                <w:rFonts w:hint="eastAsia" w:ascii="宋体" w:hAnsi="宋体" w:eastAsia="宋体" w:cs="宋体"/>
                <w:color w:val="auto"/>
                <w:sz w:val="20"/>
                <w:highlight w:val="none"/>
              </w:rPr>
            </w:pPr>
            <w:r>
              <w:rPr>
                <w:rFonts w:hint="eastAsia" w:ascii="宋体" w:hAnsi="宋体" w:eastAsia="宋体" w:cs="宋体"/>
                <w:color w:val="auto"/>
                <w:sz w:val="20"/>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3A3D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2207" w:type="dxa"/>
            <w:gridSpan w:val="2"/>
            <w:shd w:val="clear" w:color="000000" w:fill="FFFFFF"/>
            <w:noWrap w:val="0"/>
            <w:tcMar>
              <w:left w:w="108" w:type="dxa"/>
              <w:right w:w="108" w:type="dxa"/>
            </w:tcMar>
            <w:vAlign w:val="center"/>
          </w:tcPr>
          <w:p w14:paraId="11BE785A">
            <w:pPr>
              <w:jc w:val="center"/>
              <w:rPr>
                <w:rFonts w:hint="eastAsia" w:ascii="宋体" w:hAnsi="宋体" w:eastAsia="宋体" w:cs="宋体"/>
                <w:color w:val="auto"/>
                <w:sz w:val="20"/>
                <w:highlight w:val="none"/>
              </w:rPr>
            </w:pPr>
          </w:p>
          <w:p w14:paraId="6432014F">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接收原件经办人(招标代理)：</w:t>
            </w:r>
          </w:p>
        </w:tc>
        <w:tc>
          <w:tcPr>
            <w:tcW w:w="1994" w:type="dxa"/>
            <w:gridSpan w:val="2"/>
            <w:shd w:val="clear" w:color="000000" w:fill="FFFFFF"/>
            <w:noWrap w:val="0"/>
            <w:tcMar>
              <w:left w:w="108" w:type="dxa"/>
              <w:right w:w="108" w:type="dxa"/>
            </w:tcMar>
            <w:vAlign w:val="center"/>
          </w:tcPr>
          <w:p w14:paraId="64EF6556">
            <w:pPr>
              <w:jc w:val="center"/>
              <w:rPr>
                <w:rFonts w:hint="eastAsia" w:ascii="宋体" w:hAnsi="宋体" w:eastAsia="宋体" w:cs="宋体"/>
                <w:color w:val="auto"/>
                <w:sz w:val="20"/>
                <w:highlight w:val="none"/>
              </w:rPr>
            </w:pPr>
          </w:p>
        </w:tc>
        <w:tc>
          <w:tcPr>
            <w:tcW w:w="1625" w:type="dxa"/>
            <w:shd w:val="clear" w:color="000000" w:fill="FFFFFF"/>
            <w:noWrap w:val="0"/>
            <w:tcMar>
              <w:left w:w="108" w:type="dxa"/>
              <w:right w:w="108" w:type="dxa"/>
            </w:tcMar>
            <w:vAlign w:val="center"/>
          </w:tcPr>
          <w:p w14:paraId="2C62D6CD">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接收时间：</w:t>
            </w:r>
          </w:p>
        </w:tc>
        <w:tc>
          <w:tcPr>
            <w:tcW w:w="3282" w:type="dxa"/>
            <w:gridSpan w:val="3"/>
            <w:shd w:val="clear" w:color="000000" w:fill="FFFFFF"/>
            <w:noWrap w:val="0"/>
            <w:tcMar>
              <w:left w:w="108" w:type="dxa"/>
              <w:right w:w="108" w:type="dxa"/>
            </w:tcMar>
            <w:vAlign w:val="center"/>
          </w:tcPr>
          <w:p w14:paraId="41E5D9AB">
            <w:pPr>
              <w:ind w:firstLine="600" w:firstLineChars="300"/>
              <w:jc w:val="left"/>
              <w:rPr>
                <w:rFonts w:hint="eastAsia" w:ascii="宋体" w:hAnsi="宋体" w:eastAsia="宋体" w:cs="宋体"/>
                <w:color w:val="auto"/>
                <w:sz w:val="20"/>
                <w:highlight w:val="none"/>
              </w:rPr>
            </w:pPr>
            <w:r>
              <w:rPr>
                <w:rFonts w:hint="eastAsia" w:ascii="宋体" w:hAnsi="宋体" w:eastAsia="宋体" w:cs="宋体"/>
                <w:color w:val="auto"/>
                <w:sz w:val="20"/>
                <w:highlight w:val="none"/>
              </w:rPr>
              <w:t>年   月   日   时  分</w:t>
            </w:r>
          </w:p>
        </w:tc>
      </w:tr>
      <w:tr w14:paraId="45B8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000000" w:fill="FFFFFF"/>
            <w:noWrap w:val="0"/>
            <w:tcMar>
              <w:left w:w="108" w:type="dxa"/>
              <w:right w:w="108" w:type="dxa"/>
            </w:tcMar>
            <w:vAlign w:val="center"/>
          </w:tcPr>
          <w:p w14:paraId="0359AF54">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退还原件接收人(投标人)：</w:t>
            </w:r>
          </w:p>
        </w:tc>
        <w:tc>
          <w:tcPr>
            <w:tcW w:w="1994" w:type="dxa"/>
            <w:gridSpan w:val="2"/>
            <w:shd w:val="clear" w:color="000000" w:fill="FFFFFF"/>
            <w:noWrap w:val="0"/>
            <w:tcMar>
              <w:left w:w="108" w:type="dxa"/>
              <w:right w:w="108" w:type="dxa"/>
            </w:tcMar>
            <w:vAlign w:val="center"/>
          </w:tcPr>
          <w:p w14:paraId="77E741D3">
            <w:pPr>
              <w:jc w:val="center"/>
              <w:rPr>
                <w:rFonts w:hint="eastAsia" w:ascii="宋体" w:hAnsi="宋体" w:eastAsia="宋体" w:cs="宋体"/>
                <w:color w:val="auto"/>
                <w:sz w:val="20"/>
                <w:highlight w:val="none"/>
              </w:rPr>
            </w:pPr>
          </w:p>
        </w:tc>
        <w:tc>
          <w:tcPr>
            <w:tcW w:w="1625" w:type="dxa"/>
            <w:shd w:val="clear" w:color="000000" w:fill="FFFFFF"/>
            <w:noWrap w:val="0"/>
            <w:tcMar>
              <w:left w:w="108" w:type="dxa"/>
              <w:right w:w="108" w:type="dxa"/>
            </w:tcMar>
            <w:vAlign w:val="center"/>
          </w:tcPr>
          <w:p w14:paraId="115DC5D1">
            <w:pPr>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退还时间：</w:t>
            </w:r>
          </w:p>
        </w:tc>
        <w:tc>
          <w:tcPr>
            <w:tcW w:w="3282" w:type="dxa"/>
            <w:gridSpan w:val="3"/>
            <w:shd w:val="clear" w:color="000000" w:fill="FFFFFF"/>
            <w:noWrap w:val="0"/>
            <w:tcMar>
              <w:left w:w="108" w:type="dxa"/>
              <w:right w:w="108" w:type="dxa"/>
            </w:tcMar>
            <w:vAlign w:val="center"/>
          </w:tcPr>
          <w:p w14:paraId="01FC9EBC">
            <w:pPr>
              <w:ind w:firstLine="600" w:firstLineChars="300"/>
              <w:jc w:val="left"/>
              <w:rPr>
                <w:rFonts w:hint="eastAsia" w:ascii="宋体" w:hAnsi="宋体" w:eastAsia="宋体" w:cs="宋体"/>
                <w:color w:val="auto"/>
                <w:sz w:val="20"/>
                <w:highlight w:val="none"/>
              </w:rPr>
            </w:pPr>
            <w:r>
              <w:rPr>
                <w:rFonts w:hint="eastAsia" w:ascii="宋体" w:hAnsi="宋体" w:eastAsia="宋体" w:cs="宋体"/>
                <w:color w:val="auto"/>
                <w:sz w:val="20"/>
                <w:highlight w:val="none"/>
              </w:rPr>
              <w:t>年   月   日   时   分</w:t>
            </w:r>
          </w:p>
        </w:tc>
      </w:tr>
    </w:tbl>
    <w:p w14:paraId="79F98C6B">
      <w:pPr>
        <w:pStyle w:val="76"/>
        <w:widowControl w:val="0"/>
        <w:wordWrap w:val="0"/>
        <w:adjustRightInd w:val="0"/>
        <w:snapToGrid w:val="0"/>
        <w:spacing w:line="400" w:lineRule="exact"/>
        <w:rPr>
          <w:rFonts w:hint="eastAsia" w:ascii="宋体" w:hAnsi="宋体" w:eastAsia="宋体" w:cs="宋体"/>
          <w:snapToGrid w:val="0"/>
          <w:color w:val="auto"/>
          <w:sz w:val="21"/>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pPr>
    </w:p>
    <w:p w14:paraId="36FA6E8B">
      <w:pPr>
        <w:pStyle w:val="3"/>
        <w:wordWrap w:val="0"/>
        <w:autoSpaceDE/>
        <w:autoSpaceDN/>
        <w:snapToGrid w:val="0"/>
        <w:spacing w:line="440" w:lineRule="exact"/>
        <w:jc w:val="center"/>
        <w:rPr>
          <w:rFonts w:hint="eastAsia" w:ascii="宋体" w:hAnsi="宋体" w:eastAsia="宋体" w:cs="宋体"/>
          <w:b/>
          <w:snapToGrid w:val="0"/>
          <w:color w:val="auto"/>
          <w:sz w:val="24"/>
          <w:highlight w:val="none"/>
        </w:rPr>
      </w:pPr>
      <w:bookmarkStart w:id="363" w:name="_Toc17586"/>
      <w:bookmarkStart w:id="364" w:name="_Toc13959"/>
      <w:r>
        <w:rPr>
          <w:rFonts w:hint="eastAsia" w:ascii="宋体" w:hAnsi="宋体" w:eastAsia="宋体" w:cs="宋体"/>
          <w:b/>
          <w:snapToGrid w:val="0"/>
          <w:color w:val="auto"/>
          <w:sz w:val="24"/>
          <w:highlight w:val="none"/>
        </w:rPr>
        <w:t>第七章 建设工程施工合同</w:t>
      </w:r>
      <w:bookmarkEnd w:id="356"/>
      <w:bookmarkEnd w:id="357"/>
      <w:bookmarkEnd w:id="358"/>
      <w:bookmarkEnd w:id="359"/>
      <w:bookmarkEnd w:id="360"/>
      <w:bookmarkEnd w:id="363"/>
      <w:bookmarkEnd w:id="364"/>
    </w:p>
    <w:p w14:paraId="0A013BA5">
      <w:pPr>
        <w:wordWrap w:val="0"/>
        <w:adjustRightInd w:val="0"/>
        <w:snapToGrid w:val="0"/>
        <w:spacing w:line="440" w:lineRule="exact"/>
        <w:rPr>
          <w:rFonts w:hint="eastAsia" w:ascii="宋体" w:hAnsi="宋体" w:eastAsia="宋体" w:cs="宋体"/>
          <w:snapToGrid w:val="0"/>
          <w:color w:val="auto"/>
          <w:kern w:val="0"/>
          <w:highlight w:val="none"/>
        </w:rPr>
      </w:pPr>
    </w:p>
    <w:p w14:paraId="33681202">
      <w:pPr>
        <w:wordWrap w:val="0"/>
        <w:adjustRightInd w:val="0"/>
        <w:snapToGrid w:val="0"/>
        <w:spacing w:line="440" w:lineRule="exac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（略），</w:t>
      </w:r>
      <w:bookmarkEnd w:id="361"/>
      <w:bookmarkEnd w:id="362"/>
      <w:r>
        <w:rPr>
          <w:rFonts w:hint="eastAsia" w:ascii="宋体" w:hAnsi="宋体" w:eastAsia="宋体" w:cs="宋体"/>
          <w:snapToGrid w:val="0"/>
          <w:color w:val="auto"/>
          <w:kern w:val="0"/>
          <w:highlight w:val="none"/>
        </w:rPr>
        <w:t>按《广东省建设工程标准施工合同》（2009年版）或《建设工程施工合同（示范文本）》（GF—2017—0201）执行。</w:t>
      </w:r>
    </w:p>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cols w:space="72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69D89">
    <w:pPr>
      <w:pStyle w:val="20"/>
      <w:pBdr>
        <w:between w:val="none" w:color="auto" w:sz="0" w:space="0"/>
      </w:pBdr>
      <w:rPr>
        <w:rFonts w:hint="eastAsia"/>
      </w:rPr>
    </w:pPr>
  </w:p>
  <w:p w14:paraId="4472F7EC">
    <w:pPr>
      <w:pStyle w:val="20"/>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759D6">
    <w:pPr>
      <w:pStyle w:val="20"/>
      <w:pBdr>
        <w:between w:val="none" w:color="auto" w:sz="0" w:space="0"/>
      </w:pBd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6C9EB6">
                          <w:pPr>
                            <w:pStyle w:val="20"/>
                            <w:rPr>
                              <w:rFonts w:hint="eastAsia"/>
                            </w:rPr>
                          </w:pPr>
                          <w:r>
                            <w:rPr>
                              <w:rFonts w:hint="eastAsia" w:ascii="Times New Roman"/>
                              <w:sz w:val="21"/>
                            </w:rPr>
                            <w:t>—</w:t>
                          </w:r>
                          <w:r>
                            <w:rPr>
                              <w:rFonts w:hint="eastAsia" w:ascii="宋体" w:hAnsi="宋体" w:eastAsia="宋体" w:cs="宋体"/>
                              <w:sz w:val="21"/>
                            </w:rPr>
                            <w:fldChar w:fldCharType="begin"/>
                          </w:r>
                          <w:r>
                            <w:rPr>
                              <w:rFonts w:hint="eastAsia" w:ascii="宋体" w:hAnsi="宋体" w:eastAsia="宋体" w:cs="宋体"/>
                              <w:sz w:val="21"/>
                            </w:rPr>
                            <w:instrText xml:space="preserve"> PAGE  \* MERGEFORMAT </w:instrText>
                          </w:r>
                          <w:r>
                            <w:rPr>
                              <w:rFonts w:hint="eastAsia" w:ascii="宋体" w:hAnsi="宋体" w:eastAsia="宋体" w:cs="宋体"/>
                              <w:sz w:val="21"/>
                            </w:rPr>
                            <w:fldChar w:fldCharType="separate"/>
                          </w:r>
                          <w:r>
                            <w:rPr>
                              <w:rFonts w:hint="eastAsia" w:ascii="宋体" w:hAnsi="宋体" w:eastAsia="宋体" w:cs="宋体"/>
                            </w:rPr>
                            <w:t>54</w:t>
                          </w:r>
                          <w:r>
                            <w:rPr>
                              <w:rFonts w:hint="eastAsia" w:ascii="宋体" w:hAnsi="宋体" w:eastAsia="宋体" w:cs="宋体"/>
                              <w:sz w:val="21"/>
                            </w:rPr>
                            <w:fldChar w:fldCharType="end"/>
                          </w:r>
                          <w:r>
                            <w:rPr>
                              <w:rFonts w:hint="eastAsia" w:ascii="Times New Roman"/>
                              <w:sz w:val="21"/>
                            </w:rPr>
                            <w:t>—</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2tjnsoBAACaAwAADgAAAGRycy9lMm9Eb2MueG1srVPNjtMwEL4j8Q6W&#10;79TZrgR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6/fUOK4xYmff3w///x9/vWN&#10;XG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o2tjnsoBAACaAwAADgAAAAAAAAABACAAAAAeAQAAZHJzL2Uyb0Rv&#10;Yy54bWxQSwUGAAAAAAYABgBZAQAAWgUAAAAA&#10;">
              <v:fill on="f" focussize="0,0"/>
              <v:stroke on="f"/>
              <v:imagedata o:title=""/>
              <o:lock v:ext="edit" aspectratio="f"/>
              <v:textbox inset="0mm,0mm,0mm,0mm" style="mso-fit-shape-to-text:t;">
                <w:txbxContent>
                  <w:p w14:paraId="726C9EB6">
                    <w:pPr>
                      <w:pStyle w:val="20"/>
                      <w:rPr>
                        <w:rFonts w:hint="eastAsia"/>
                      </w:rPr>
                    </w:pPr>
                    <w:r>
                      <w:rPr>
                        <w:rFonts w:hint="eastAsia" w:ascii="Times New Roman"/>
                        <w:sz w:val="21"/>
                      </w:rPr>
                      <w:t>—</w:t>
                    </w:r>
                    <w:r>
                      <w:rPr>
                        <w:rFonts w:hint="eastAsia" w:ascii="宋体" w:hAnsi="宋体" w:eastAsia="宋体" w:cs="宋体"/>
                        <w:sz w:val="21"/>
                      </w:rPr>
                      <w:fldChar w:fldCharType="begin"/>
                    </w:r>
                    <w:r>
                      <w:rPr>
                        <w:rFonts w:hint="eastAsia" w:ascii="宋体" w:hAnsi="宋体" w:eastAsia="宋体" w:cs="宋体"/>
                        <w:sz w:val="21"/>
                      </w:rPr>
                      <w:instrText xml:space="preserve"> PAGE  \* MERGEFORMAT </w:instrText>
                    </w:r>
                    <w:r>
                      <w:rPr>
                        <w:rFonts w:hint="eastAsia" w:ascii="宋体" w:hAnsi="宋体" w:eastAsia="宋体" w:cs="宋体"/>
                        <w:sz w:val="21"/>
                      </w:rPr>
                      <w:fldChar w:fldCharType="separate"/>
                    </w:r>
                    <w:r>
                      <w:rPr>
                        <w:rFonts w:hint="eastAsia" w:ascii="宋体" w:hAnsi="宋体" w:eastAsia="宋体" w:cs="宋体"/>
                      </w:rPr>
                      <w:t>54</w:t>
                    </w:r>
                    <w:r>
                      <w:rPr>
                        <w:rFonts w:hint="eastAsia" w:ascii="宋体" w:hAnsi="宋体" w:eastAsia="宋体" w:cs="宋体"/>
                        <w:sz w:val="21"/>
                      </w:rPr>
                      <w:fldChar w:fldCharType="end"/>
                    </w:r>
                    <w:r>
                      <w:rPr>
                        <w:rFonts w:hint="eastAsia" w:ascii="Times New Roman"/>
                        <w:sz w:val="21"/>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75A511"/>
    <w:multiLevelType w:val="singleLevel"/>
    <w:tmpl w:val="6475A51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MjY2NzBhZWQ3Zjc5NDdhZTU5NDg5NTA0ZGM3N2UifQ=="/>
    <w:docVar w:name="KSO_WPS_MARK_KEY" w:val="339fc04a-30c4-466d-ab1a-b9d928989bea"/>
  </w:docVars>
  <w:rsids>
    <w:rsidRoot w:val="00172A27"/>
    <w:rsid w:val="000813CE"/>
    <w:rsid w:val="00156E02"/>
    <w:rsid w:val="001740E2"/>
    <w:rsid w:val="00204CA9"/>
    <w:rsid w:val="00253E2F"/>
    <w:rsid w:val="004804C4"/>
    <w:rsid w:val="00485BD6"/>
    <w:rsid w:val="004A677C"/>
    <w:rsid w:val="005D2C6E"/>
    <w:rsid w:val="00662AF1"/>
    <w:rsid w:val="00735061"/>
    <w:rsid w:val="00783750"/>
    <w:rsid w:val="008859E0"/>
    <w:rsid w:val="008B6453"/>
    <w:rsid w:val="00947E79"/>
    <w:rsid w:val="00976E7B"/>
    <w:rsid w:val="009E1A7B"/>
    <w:rsid w:val="009E7023"/>
    <w:rsid w:val="009F585C"/>
    <w:rsid w:val="00C4516D"/>
    <w:rsid w:val="00D5717A"/>
    <w:rsid w:val="01065CF6"/>
    <w:rsid w:val="011A0428"/>
    <w:rsid w:val="011F3697"/>
    <w:rsid w:val="013A3F8C"/>
    <w:rsid w:val="01635D69"/>
    <w:rsid w:val="01D953BA"/>
    <w:rsid w:val="020227A1"/>
    <w:rsid w:val="021717B9"/>
    <w:rsid w:val="02227179"/>
    <w:rsid w:val="022E1876"/>
    <w:rsid w:val="02FC76B4"/>
    <w:rsid w:val="03315C3D"/>
    <w:rsid w:val="034C6D1C"/>
    <w:rsid w:val="035B58E7"/>
    <w:rsid w:val="03D006DB"/>
    <w:rsid w:val="04061CFF"/>
    <w:rsid w:val="041025A8"/>
    <w:rsid w:val="041341B1"/>
    <w:rsid w:val="04CB5FDF"/>
    <w:rsid w:val="04EB042F"/>
    <w:rsid w:val="05235E1B"/>
    <w:rsid w:val="05533E9B"/>
    <w:rsid w:val="05717EE4"/>
    <w:rsid w:val="057E6B27"/>
    <w:rsid w:val="06127454"/>
    <w:rsid w:val="065C6C4B"/>
    <w:rsid w:val="066300E8"/>
    <w:rsid w:val="06A32407"/>
    <w:rsid w:val="06C4753C"/>
    <w:rsid w:val="06CB210C"/>
    <w:rsid w:val="06CC5B3F"/>
    <w:rsid w:val="07031B00"/>
    <w:rsid w:val="072C105E"/>
    <w:rsid w:val="07311844"/>
    <w:rsid w:val="0732071C"/>
    <w:rsid w:val="07594EB4"/>
    <w:rsid w:val="076B1CFB"/>
    <w:rsid w:val="07852DBD"/>
    <w:rsid w:val="07982AEC"/>
    <w:rsid w:val="07A251EE"/>
    <w:rsid w:val="07D62FDE"/>
    <w:rsid w:val="082A5712"/>
    <w:rsid w:val="0837398B"/>
    <w:rsid w:val="08472853"/>
    <w:rsid w:val="0878647D"/>
    <w:rsid w:val="08D32CA6"/>
    <w:rsid w:val="08DB54AE"/>
    <w:rsid w:val="09573962"/>
    <w:rsid w:val="0957416C"/>
    <w:rsid w:val="0958005D"/>
    <w:rsid w:val="09AA019F"/>
    <w:rsid w:val="09CE23B5"/>
    <w:rsid w:val="0A0A7E5D"/>
    <w:rsid w:val="0A345888"/>
    <w:rsid w:val="0A860745"/>
    <w:rsid w:val="0ADD2F10"/>
    <w:rsid w:val="0B112BB9"/>
    <w:rsid w:val="0B337C85"/>
    <w:rsid w:val="0B3F61A8"/>
    <w:rsid w:val="0B4B1C27"/>
    <w:rsid w:val="0B957346"/>
    <w:rsid w:val="0B9D0C4F"/>
    <w:rsid w:val="0BAF665A"/>
    <w:rsid w:val="0C264F0A"/>
    <w:rsid w:val="0C473915"/>
    <w:rsid w:val="0C5965C6"/>
    <w:rsid w:val="0C6F50D1"/>
    <w:rsid w:val="0C982D80"/>
    <w:rsid w:val="0CAD246E"/>
    <w:rsid w:val="0CC207F1"/>
    <w:rsid w:val="0CE56967"/>
    <w:rsid w:val="0D161723"/>
    <w:rsid w:val="0D341445"/>
    <w:rsid w:val="0D366D45"/>
    <w:rsid w:val="0D4232B6"/>
    <w:rsid w:val="0D53151A"/>
    <w:rsid w:val="0DB20DDC"/>
    <w:rsid w:val="0E054EB6"/>
    <w:rsid w:val="0E1919B2"/>
    <w:rsid w:val="0EA35515"/>
    <w:rsid w:val="0EAD2C13"/>
    <w:rsid w:val="0EB977F0"/>
    <w:rsid w:val="0F427539"/>
    <w:rsid w:val="0F8B63BB"/>
    <w:rsid w:val="0F933B9D"/>
    <w:rsid w:val="0FB5646C"/>
    <w:rsid w:val="0FCF221B"/>
    <w:rsid w:val="10162E29"/>
    <w:rsid w:val="101B48E8"/>
    <w:rsid w:val="10223C6A"/>
    <w:rsid w:val="102739F7"/>
    <w:rsid w:val="10336C65"/>
    <w:rsid w:val="1055163A"/>
    <w:rsid w:val="10637A6B"/>
    <w:rsid w:val="10703EDE"/>
    <w:rsid w:val="10817DC1"/>
    <w:rsid w:val="10B416E8"/>
    <w:rsid w:val="10C42F37"/>
    <w:rsid w:val="10CD6A2A"/>
    <w:rsid w:val="10DF5DAE"/>
    <w:rsid w:val="10E70644"/>
    <w:rsid w:val="11024F3F"/>
    <w:rsid w:val="114C494B"/>
    <w:rsid w:val="11934328"/>
    <w:rsid w:val="11C404D9"/>
    <w:rsid w:val="123635C4"/>
    <w:rsid w:val="124226EB"/>
    <w:rsid w:val="12815A20"/>
    <w:rsid w:val="129920B1"/>
    <w:rsid w:val="12A80195"/>
    <w:rsid w:val="12C12CBB"/>
    <w:rsid w:val="12ED2D3F"/>
    <w:rsid w:val="135F0966"/>
    <w:rsid w:val="138B03FE"/>
    <w:rsid w:val="14060DE1"/>
    <w:rsid w:val="149D77CF"/>
    <w:rsid w:val="14C00971"/>
    <w:rsid w:val="15226C56"/>
    <w:rsid w:val="153C6A85"/>
    <w:rsid w:val="153E45AB"/>
    <w:rsid w:val="15B42ABF"/>
    <w:rsid w:val="15C12761"/>
    <w:rsid w:val="160F6D81"/>
    <w:rsid w:val="162B0E39"/>
    <w:rsid w:val="163668B5"/>
    <w:rsid w:val="163E52CD"/>
    <w:rsid w:val="16465E0D"/>
    <w:rsid w:val="16825090"/>
    <w:rsid w:val="16B20DAC"/>
    <w:rsid w:val="16DD6444"/>
    <w:rsid w:val="16F17BE3"/>
    <w:rsid w:val="171E6FAE"/>
    <w:rsid w:val="1751770F"/>
    <w:rsid w:val="17B95607"/>
    <w:rsid w:val="183C2959"/>
    <w:rsid w:val="184719C8"/>
    <w:rsid w:val="18534570"/>
    <w:rsid w:val="18A80D52"/>
    <w:rsid w:val="18C36995"/>
    <w:rsid w:val="18FF1058"/>
    <w:rsid w:val="1986632D"/>
    <w:rsid w:val="19C37774"/>
    <w:rsid w:val="1A232E93"/>
    <w:rsid w:val="1A6554FA"/>
    <w:rsid w:val="1A9F7572"/>
    <w:rsid w:val="1AE6196C"/>
    <w:rsid w:val="1AF5570C"/>
    <w:rsid w:val="1B1C2BED"/>
    <w:rsid w:val="1B21189C"/>
    <w:rsid w:val="1B9D1DD5"/>
    <w:rsid w:val="1BEF6DFD"/>
    <w:rsid w:val="1BF06998"/>
    <w:rsid w:val="1C1545C5"/>
    <w:rsid w:val="1C5635D6"/>
    <w:rsid w:val="1C744DB0"/>
    <w:rsid w:val="1C7562B0"/>
    <w:rsid w:val="1D141CAC"/>
    <w:rsid w:val="1D55171C"/>
    <w:rsid w:val="1D69459E"/>
    <w:rsid w:val="1D742D80"/>
    <w:rsid w:val="1DB02AA1"/>
    <w:rsid w:val="1DE1641B"/>
    <w:rsid w:val="1E6C5F91"/>
    <w:rsid w:val="1E76451C"/>
    <w:rsid w:val="1ECB21F4"/>
    <w:rsid w:val="1F26151A"/>
    <w:rsid w:val="1F6F04E9"/>
    <w:rsid w:val="1F8F29A7"/>
    <w:rsid w:val="1FB73684"/>
    <w:rsid w:val="1FD82BA0"/>
    <w:rsid w:val="1FDA10C4"/>
    <w:rsid w:val="1FF42F10"/>
    <w:rsid w:val="2036210F"/>
    <w:rsid w:val="206E2053"/>
    <w:rsid w:val="20713F99"/>
    <w:rsid w:val="207B66B3"/>
    <w:rsid w:val="21224762"/>
    <w:rsid w:val="218A22F4"/>
    <w:rsid w:val="218D0B38"/>
    <w:rsid w:val="2192066D"/>
    <w:rsid w:val="219569C3"/>
    <w:rsid w:val="21DB149C"/>
    <w:rsid w:val="226B1A58"/>
    <w:rsid w:val="226C0772"/>
    <w:rsid w:val="227E0643"/>
    <w:rsid w:val="230C3197"/>
    <w:rsid w:val="23381CEE"/>
    <w:rsid w:val="234E0189"/>
    <w:rsid w:val="23713D9D"/>
    <w:rsid w:val="23E9602A"/>
    <w:rsid w:val="23FD1838"/>
    <w:rsid w:val="24132B71"/>
    <w:rsid w:val="24962A42"/>
    <w:rsid w:val="24BA4892"/>
    <w:rsid w:val="24EF141E"/>
    <w:rsid w:val="25236495"/>
    <w:rsid w:val="254A2AF8"/>
    <w:rsid w:val="25A16BBC"/>
    <w:rsid w:val="25BD5A88"/>
    <w:rsid w:val="25C04D26"/>
    <w:rsid w:val="25CD411B"/>
    <w:rsid w:val="26393298"/>
    <w:rsid w:val="26526878"/>
    <w:rsid w:val="26730090"/>
    <w:rsid w:val="26A5092E"/>
    <w:rsid w:val="26D43BC6"/>
    <w:rsid w:val="26DC6022"/>
    <w:rsid w:val="27001050"/>
    <w:rsid w:val="270B2978"/>
    <w:rsid w:val="271433BD"/>
    <w:rsid w:val="27303202"/>
    <w:rsid w:val="274B0A37"/>
    <w:rsid w:val="278858D8"/>
    <w:rsid w:val="28096C9A"/>
    <w:rsid w:val="286E29AA"/>
    <w:rsid w:val="28BE4088"/>
    <w:rsid w:val="290B64C5"/>
    <w:rsid w:val="29135C0E"/>
    <w:rsid w:val="29421D31"/>
    <w:rsid w:val="299F64A8"/>
    <w:rsid w:val="29BD5F8E"/>
    <w:rsid w:val="2A251746"/>
    <w:rsid w:val="2AC27A05"/>
    <w:rsid w:val="2B4166E9"/>
    <w:rsid w:val="2B66641F"/>
    <w:rsid w:val="2BDD46C6"/>
    <w:rsid w:val="2BFE4F67"/>
    <w:rsid w:val="2C0B1A81"/>
    <w:rsid w:val="2C183670"/>
    <w:rsid w:val="2C290723"/>
    <w:rsid w:val="2C4D3FF3"/>
    <w:rsid w:val="2C4F43C7"/>
    <w:rsid w:val="2C724190"/>
    <w:rsid w:val="2D38581D"/>
    <w:rsid w:val="2D4B4E2D"/>
    <w:rsid w:val="2D51162C"/>
    <w:rsid w:val="2D536CB5"/>
    <w:rsid w:val="2D930C39"/>
    <w:rsid w:val="2D973D96"/>
    <w:rsid w:val="2DAD3E66"/>
    <w:rsid w:val="2DF51B3E"/>
    <w:rsid w:val="2E1D2B43"/>
    <w:rsid w:val="2E204C18"/>
    <w:rsid w:val="2E2F0ABD"/>
    <w:rsid w:val="2E6B5FB9"/>
    <w:rsid w:val="2E6E34C0"/>
    <w:rsid w:val="2F2F348A"/>
    <w:rsid w:val="2F3C5BA7"/>
    <w:rsid w:val="2F3E191F"/>
    <w:rsid w:val="2F896F93"/>
    <w:rsid w:val="2FC11140"/>
    <w:rsid w:val="2FDA63FB"/>
    <w:rsid w:val="300F6E18"/>
    <w:rsid w:val="30105A39"/>
    <w:rsid w:val="3018665F"/>
    <w:rsid w:val="303074BA"/>
    <w:rsid w:val="303C57F4"/>
    <w:rsid w:val="30536D05"/>
    <w:rsid w:val="305A2B4D"/>
    <w:rsid w:val="307D4226"/>
    <w:rsid w:val="30B30AAC"/>
    <w:rsid w:val="30B337A6"/>
    <w:rsid w:val="30C222D2"/>
    <w:rsid w:val="30C85944"/>
    <w:rsid w:val="30D501D4"/>
    <w:rsid w:val="31210BB1"/>
    <w:rsid w:val="317433D6"/>
    <w:rsid w:val="31A041CB"/>
    <w:rsid w:val="31D51879"/>
    <w:rsid w:val="31DE6AA2"/>
    <w:rsid w:val="322104CD"/>
    <w:rsid w:val="32A63A63"/>
    <w:rsid w:val="32BE2779"/>
    <w:rsid w:val="32D305D1"/>
    <w:rsid w:val="33182487"/>
    <w:rsid w:val="33266BDE"/>
    <w:rsid w:val="33377574"/>
    <w:rsid w:val="33557238"/>
    <w:rsid w:val="34117689"/>
    <w:rsid w:val="342C1BED"/>
    <w:rsid w:val="34437F20"/>
    <w:rsid w:val="34575868"/>
    <w:rsid w:val="352D168F"/>
    <w:rsid w:val="35586B6B"/>
    <w:rsid w:val="356F3CBC"/>
    <w:rsid w:val="35812CF5"/>
    <w:rsid w:val="35EA0C71"/>
    <w:rsid w:val="35F15BE6"/>
    <w:rsid w:val="35F55F65"/>
    <w:rsid w:val="360A3E4F"/>
    <w:rsid w:val="361C403D"/>
    <w:rsid w:val="36211653"/>
    <w:rsid w:val="362700CC"/>
    <w:rsid w:val="36436AD9"/>
    <w:rsid w:val="365B7948"/>
    <w:rsid w:val="36653C36"/>
    <w:rsid w:val="3695313A"/>
    <w:rsid w:val="369F1D0C"/>
    <w:rsid w:val="36F80606"/>
    <w:rsid w:val="36FE3E1F"/>
    <w:rsid w:val="37935F95"/>
    <w:rsid w:val="383D25F2"/>
    <w:rsid w:val="3858329B"/>
    <w:rsid w:val="38841C4D"/>
    <w:rsid w:val="389B38FE"/>
    <w:rsid w:val="38EE5BAC"/>
    <w:rsid w:val="390F3BFF"/>
    <w:rsid w:val="39143A18"/>
    <w:rsid w:val="39222C63"/>
    <w:rsid w:val="39387BD3"/>
    <w:rsid w:val="39644BE0"/>
    <w:rsid w:val="398B779E"/>
    <w:rsid w:val="398C62F9"/>
    <w:rsid w:val="39DF5703"/>
    <w:rsid w:val="3A005EB0"/>
    <w:rsid w:val="3A091E3B"/>
    <w:rsid w:val="3A096720"/>
    <w:rsid w:val="3A38094F"/>
    <w:rsid w:val="3A385253"/>
    <w:rsid w:val="3B0D7690"/>
    <w:rsid w:val="3B5A482F"/>
    <w:rsid w:val="3BAB6E46"/>
    <w:rsid w:val="3BB50377"/>
    <w:rsid w:val="3BE9676F"/>
    <w:rsid w:val="3C501C16"/>
    <w:rsid w:val="3C6B3628"/>
    <w:rsid w:val="3C890B1C"/>
    <w:rsid w:val="3CDC0368"/>
    <w:rsid w:val="3CE82F45"/>
    <w:rsid w:val="3CF27EE4"/>
    <w:rsid w:val="3D142020"/>
    <w:rsid w:val="3D90085D"/>
    <w:rsid w:val="3DA821F1"/>
    <w:rsid w:val="3DCE34F0"/>
    <w:rsid w:val="3DE93F38"/>
    <w:rsid w:val="3DFA3EDF"/>
    <w:rsid w:val="3E3642DC"/>
    <w:rsid w:val="3E94568C"/>
    <w:rsid w:val="3EF77497"/>
    <w:rsid w:val="3F47212A"/>
    <w:rsid w:val="3F95226A"/>
    <w:rsid w:val="3FBB5D0C"/>
    <w:rsid w:val="3FC61702"/>
    <w:rsid w:val="40295CD4"/>
    <w:rsid w:val="40876255"/>
    <w:rsid w:val="408847A8"/>
    <w:rsid w:val="40F564A2"/>
    <w:rsid w:val="41406E31"/>
    <w:rsid w:val="414836DE"/>
    <w:rsid w:val="4173714A"/>
    <w:rsid w:val="41A35612"/>
    <w:rsid w:val="41EC0D67"/>
    <w:rsid w:val="42240113"/>
    <w:rsid w:val="425713A4"/>
    <w:rsid w:val="42783DA7"/>
    <w:rsid w:val="42A4461E"/>
    <w:rsid w:val="42B526FB"/>
    <w:rsid w:val="42DE3A88"/>
    <w:rsid w:val="42E020F1"/>
    <w:rsid w:val="432F1B40"/>
    <w:rsid w:val="435A387A"/>
    <w:rsid w:val="43BC12CE"/>
    <w:rsid w:val="4415344F"/>
    <w:rsid w:val="44250560"/>
    <w:rsid w:val="4439334D"/>
    <w:rsid w:val="4484172B"/>
    <w:rsid w:val="44A818BD"/>
    <w:rsid w:val="44C90CE4"/>
    <w:rsid w:val="44F3240C"/>
    <w:rsid w:val="45307B43"/>
    <w:rsid w:val="453411E9"/>
    <w:rsid w:val="454E4597"/>
    <w:rsid w:val="458B507A"/>
    <w:rsid w:val="45CE4402"/>
    <w:rsid w:val="45D16987"/>
    <w:rsid w:val="462C48A5"/>
    <w:rsid w:val="4666543F"/>
    <w:rsid w:val="46830038"/>
    <w:rsid w:val="46A3216A"/>
    <w:rsid w:val="46B20A58"/>
    <w:rsid w:val="46BD7176"/>
    <w:rsid w:val="46C4592F"/>
    <w:rsid w:val="4759106A"/>
    <w:rsid w:val="477D10DD"/>
    <w:rsid w:val="47D51828"/>
    <w:rsid w:val="484D14FE"/>
    <w:rsid w:val="48CB6044"/>
    <w:rsid w:val="48D507A7"/>
    <w:rsid w:val="491F2342"/>
    <w:rsid w:val="493C6C84"/>
    <w:rsid w:val="49446C09"/>
    <w:rsid w:val="49516671"/>
    <w:rsid w:val="49ED3E05"/>
    <w:rsid w:val="4A2C1F1B"/>
    <w:rsid w:val="4A2D0433"/>
    <w:rsid w:val="4A6D370F"/>
    <w:rsid w:val="4A927004"/>
    <w:rsid w:val="4AA462C2"/>
    <w:rsid w:val="4AB17999"/>
    <w:rsid w:val="4AD17C6A"/>
    <w:rsid w:val="4ADD673C"/>
    <w:rsid w:val="4AFD42C5"/>
    <w:rsid w:val="4BEC431A"/>
    <w:rsid w:val="4C26753E"/>
    <w:rsid w:val="4C7D6B0F"/>
    <w:rsid w:val="4C83676C"/>
    <w:rsid w:val="4CEE1D65"/>
    <w:rsid w:val="4CF54FD3"/>
    <w:rsid w:val="4CFB6302"/>
    <w:rsid w:val="4D0D7455"/>
    <w:rsid w:val="4D153868"/>
    <w:rsid w:val="4D184DDC"/>
    <w:rsid w:val="4D305F93"/>
    <w:rsid w:val="4DCB3F26"/>
    <w:rsid w:val="4DE60D60"/>
    <w:rsid w:val="4DE906B8"/>
    <w:rsid w:val="4E034506"/>
    <w:rsid w:val="4E9D3A56"/>
    <w:rsid w:val="4ED06ACC"/>
    <w:rsid w:val="4EF11423"/>
    <w:rsid w:val="4F9D61B1"/>
    <w:rsid w:val="500A476B"/>
    <w:rsid w:val="50154140"/>
    <w:rsid w:val="501B7800"/>
    <w:rsid w:val="5076449B"/>
    <w:rsid w:val="511424B5"/>
    <w:rsid w:val="5167777C"/>
    <w:rsid w:val="51E341EA"/>
    <w:rsid w:val="51EE072E"/>
    <w:rsid w:val="521F6F37"/>
    <w:rsid w:val="52831CC6"/>
    <w:rsid w:val="52DD4AA0"/>
    <w:rsid w:val="53334E5E"/>
    <w:rsid w:val="53414F13"/>
    <w:rsid w:val="53C02167"/>
    <w:rsid w:val="53EC2E48"/>
    <w:rsid w:val="545A2A0D"/>
    <w:rsid w:val="54DB6CF8"/>
    <w:rsid w:val="550860CF"/>
    <w:rsid w:val="553053B0"/>
    <w:rsid w:val="55490F06"/>
    <w:rsid w:val="558419F7"/>
    <w:rsid w:val="55843DEA"/>
    <w:rsid w:val="55FE0AD6"/>
    <w:rsid w:val="565572D8"/>
    <w:rsid w:val="56B87FEA"/>
    <w:rsid w:val="575C7A6A"/>
    <w:rsid w:val="577E6AC5"/>
    <w:rsid w:val="57971413"/>
    <w:rsid w:val="57ED15F0"/>
    <w:rsid w:val="587F6039"/>
    <w:rsid w:val="58CF6A0F"/>
    <w:rsid w:val="58E30CBE"/>
    <w:rsid w:val="59326E77"/>
    <w:rsid w:val="59A63D9B"/>
    <w:rsid w:val="59BE7B1D"/>
    <w:rsid w:val="59C53DD7"/>
    <w:rsid w:val="59CD3A40"/>
    <w:rsid w:val="59D61BA3"/>
    <w:rsid w:val="5A9A7FEA"/>
    <w:rsid w:val="5AB3121A"/>
    <w:rsid w:val="5AD7215D"/>
    <w:rsid w:val="5B2B56DE"/>
    <w:rsid w:val="5B8272E2"/>
    <w:rsid w:val="5BA1515F"/>
    <w:rsid w:val="5BC64949"/>
    <w:rsid w:val="5C8A5924"/>
    <w:rsid w:val="5CD361A8"/>
    <w:rsid w:val="5CE45E53"/>
    <w:rsid w:val="5CED5785"/>
    <w:rsid w:val="5CFA7B59"/>
    <w:rsid w:val="5D081B2B"/>
    <w:rsid w:val="5D7E531B"/>
    <w:rsid w:val="5DB979EA"/>
    <w:rsid w:val="5DDF1B27"/>
    <w:rsid w:val="5DFF4CA0"/>
    <w:rsid w:val="5E162F9C"/>
    <w:rsid w:val="5E23390B"/>
    <w:rsid w:val="5E806055"/>
    <w:rsid w:val="5EA252A9"/>
    <w:rsid w:val="5EFC720B"/>
    <w:rsid w:val="5F335282"/>
    <w:rsid w:val="5F456F62"/>
    <w:rsid w:val="5F6850AE"/>
    <w:rsid w:val="5FA338FA"/>
    <w:rsid w:val="5FB971CA"/>
    <w:rsid w:val="5FC15189"/>
    <w:rsid w:val="5FDA7209"/>
    <w:rsid w:val="5FE7724F"/>
    <w:rsid w:val="608839CA"/>
    <w:rsid w:val="60E94998"/>
    <w:rsid w:val="61144667"/>
    <w:rsid w:val="612C1C96"/>
    <w:rsid w:val="61810B92"/>
    <w:rsid w:val="61A134C4"/>
    <w:rsid w:val="61D2232C"/>
    <w:rsid w:val="61EA1238"/>
    <w:rsid w:val="61EE5FDE"/>
    <w:rsid w:val="61FD278D"/>
    <w:rsid w:val="626E7E8B"/>
    <w:rsid w:val="62EF7FF6"/>
    <w:rsid w:val="636812F3"/>
    <w:rsid w:val="638B3E9C"/>
    <w:rsid w:val="63BB50B2"/>
    <w:rsid w:val="647257A1"/>
    <w:rsid w:val="64BD6E23"/>
    <w:rsid w:val="64E9313E"/>
    <w:rsid w:val="64FE49C2"/>
    <w:rsid w:val="656C0B78"/>
    <w:rsid w:val="657219D1"/>
    <w:rsid w:val="657D1B52"/>
    <w:rsid w:val="65B11292"/>
    <w:rsid w:val="65B348B5"/>
    <w:rsid w:val="660404C6"/>
    <w:rsid w:val="66136878"/>
    <w:rsid w:val="661E19B4"/>
    <w:rsid w:val="662D2233"/>
    <w:rsid w:val="66594E7C"/>
    <w:rsid w:val="66717333"/>
    <w:rsid w:val="66C043ED"/>
    <w:rsid w:val="66C11F13"/>
    <w:rsid w:val="66E57306"/>
    <w:rsid w:val="670D43FE"/>
    <w:rsid w:val="674622CC"/>
    <w:rsid w:val="674F55EC"/>
    <w:rsid w:val="67553AAB"/>
    <w:rsid w:val="676A713E"/>
    <w:rsid w:val="676F0E01"/>
    <w:rsid w:val="67830574"/>
    <w:rsid w:val="67B176A0"/>
    <w:rsid w:val="67DB2196"/>
    <w:rsid w:val="681D04F5"/>
    <w:rsid w:val="68667456"/>
    <w:rsid w:val="68A76E4E"/>
    <w:rsid w:val="68D97D4B"/>
    <w:rsid w:val="68F8079F"/>
    <w:rsid w:val="6919541B"/>
    <w:rsid w:val="69CA10DE"/>
    <w:rsid w:val="6A090914"/>
    <w:rsid w:val="6A60658C"/>
    <w:rsid w:val="6AF64BE0"/>
    <w:rsid w:val="6B306F2E"/>
    <w:rsid w:val="6BED7202"/>
    <w:rsid w:val="6BF14433"/>
    <w:rsid w:val="6C4C35F0"/>
    <w:rsid w:val="6C986FDB"/>
    <w:rsid w:val="6CC961B8"/>
    <w:rsid w:val="6D111DB2"/>
    <w:rsid w:val="6D390A55"/>
    <w:rsid w:val="6D594D13"/>
    <w:rsid w:val="6D9258E0"/>
    <w:rsid w:val="6DA25CBE"/>
    <w:rsid w:val="6DD24CB8"/>
    <w:rsid w:val="6E385CCB"/>
    <w:rsid w:val="6E3D4575"/>
    <w:rsid w:val="6E4121AE"/>
    <w:rsid w:val="6E435064"/>
    <w:rsid w:val="6E530EB1"/>
    <w:rsid w:val="6E8B56BC"/>
    <w:rsid w:val="6E9C6E94"/>
    <w:rsid w:val="6EB45747"/>
    <w:rsid w:val="6EED58A5"/>
    <w:rsid w:val="6F37578E"/>
    <w:rsid w:val="6F8306AD"/>
    <w:rsid w:val="6FA80114"/>
    <w:rsid w:val="700C06A3"/>
    <w:rsid w:val="703A1840"/>
    <w:rsid w:val="705F3682"/>
    <w:rsid w:val="70B328CC"/>
    <w:rsid w:val="70F7175E"/>
    <w:rsid w:val="70F8517F"/>
    <w:rsid w:val="71540B5A"/>
    <w:rsid w:val="71861FE4"/>
    <w:rsid w:val="71EA67C2"/>
    <w:rsid w:val="71F238C8"/>
    <w:rsid w:val="72702E0F"/>
    <w:rsid w:val="72A43708"/>
    <w:rsid w:val="72D9462C"/>
    <w:rsid w:val="72EB5955"/>
    <w:rsid w:val="73001740"/>
    <w:rsid w:val="732D2D08"/>
    <w:rsid w:val="73611130"/>
    <w:rsid w:val="7386251A"/>
    <w:rsid w:val="73F303E1"/>
    <w:rsid w:val="74623C1E"/>
    <w:rsid w:val="74665088"/>
    <w:rsid w:val="74A40D4F"/>
    <w:rsid w:val="75067AB9"/>
    <w:rsid w:val="752B3379"/>
    <w:rsid w:val="75551EC0"/>
    <w:rsid w:val="75716BA1"/>
    <w:rsid w:val="75C61952"/>
    <w:rsid w:val="75F401CA"/>
    <w:rsid w:val="760B2304"/>
    <w:rsid w:val="760D3533"/>
    <w:rsid w:val="760D7FFA"/>
    <w:rsid w:val="764A3CD3"/>
    <w:rsid w:val="76A96199"/>
    <w:rsid w:val="771C4781"/>
    <w:rsid w:val="77494EF6"/>
    <w:rsid w:val="77912588"/>
    <w:rsid w:val="77C22EB1"/>
    <w:rsid w:val="781E5D2E"/>
    <w:rsid w:val="7843417C"/>
    <w:rsid w:val="78615304"/>
    <w:rsid w:val="788B412F"/>
    <w:rsid w:val="78F833FC"/>
    <w:rsid w:val="795D44C5"/>
    <w:rsid w:val="798049F2"/>
    <w:rsid w:val="798149F9"/>
    <w:rsid w:val="79A61220"/>
    <w:rsid w:val="79A62319"/>
    <w:rsid w:val="79AA0D57"/>
    <w:rsid w:val="79B06543"/>
    <w:rsid w:val="79F91F7E"/>
    <w:rsid w:val="7A0128FA"/>
    <w:rsid w:val="7A1A1600"/>
    <w:rsid w:val="7A4805DF"/>
    <w:rsid w:val="7A686FCC"/>
    <w:rsid w:val="7A6F427A"/>
    <w:rsid w:val="7AA11B1E"/>
    <w:rsid w:val="7ABE3062"/>
    <w:rsid w:val="7AEC04F3"/>
    <w:rsid w:val="7AF4245F"/>
    <w:rsid w:val="7B026E3F"/>
    <w:rsid w:val="7B570210"/>
    <w:rsid w:val="7B6126DB"/>
    <w:rsid w:val="7BFC4D17"/>
    <w:rsid w:val="7C013085"/>
    <w:rsid w:val="7C06244A"/>
    <w:rsid w:val="7C1D30D3"/>
    <w:rsid w:val="7C7400FF"/>
    <w:rsid w:val="7C8B0BA1"/>
    <w:rsid w:val="7D402DFE"/>
    <w:rsid w:val="7D4F6A43"/>
    <w:rsid w:val="7D622B91"/>
    <w:rsid w:val="7D77701F"/>
    <w:rsid w:val="7DBF2BE5"/>
    <w:rsid w:val="7DCF7B93"/>
    <w:rsid w:val="7E077CFD"/>
    <w:rsid w:val="7E403498"/>
    <w:rsid w:val="7E6B47E6"/>
    <w:rsid w:val="7F06714D"/>
    <w:rsid w:val="7F2B4AF7"/>
    <w:rsid w:val="7F947D6D"/>
    <w:rsid w:val="7F9B734D"/>
    <w:rsid w:val="7FD90FAC"/>
    <w:rsid w:val="7FF8030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qFormat/>
    <w:uiPriority w:val="0"/>
    <w:pPr>
      <w:autoSpaceDE w:val="0"/>
      <w:autoSpaceDN w:val="0"/>
      <w:adjustRightInd w:val="0"/>
      <w:jc w:val="left"/>
      <w:outlineLvl w:val="0"/>
    </w:pPr>
    <w:rPr>
      <w:kern w:val="0"/>
      <w:sz w:val="30"/>
    </w:rPr>
  </w:style>
  <w:style w:type="paragraph" w:styleId="4">
    <w:name w:val="heading 2"/>
    <w:basedOn w:val="1"/>
    <w:next w:val="1"/>
    <w:qFormat/>
    <w:uiPriority w:val="0"/>
    <w:pPr>
      <w:autoSpaceDE w:val="0"/>
      <w:autoSpaceDN w:val="0"/>
      <w:adjustRightInd w:val="0"/>
      <w:jc w:val="left"/>
      <w:outlineLvl w:val="1"/>
    </w:pPr>
    <w:rPr>
      <w:rFonts w:ascii="宋体" w:hAnsi="宋体" w:eastAsia="宋体"/>
      <w:b/>
      <w:kern w:val="0"/>
    </w:rPr>
  </w:style>
  <w:style w:type="paragraph" w:styleId="5">
    <w:name w:val="heading 3"/>
    <w:basedOn w:val="6"/>
    <w:next w:val="6"/>
    <w:link w:val="156"/>
    <w:qFormat/>
    <w:uiPriority w:val="0"/>
    <w:pPr>
      <w:keepNext/>
      <w:keepLines/>
      <w:spacing w:beforeLines="0" w:beforeAutospacing="0" w:afterLines="0" w:afterAutospacing="0"/>
      <w:ind w:firstLine="964" w:firstLineChars="200"/>
      <w:jc w:val="left"/>
      <w:outlineLvl w:val="2"/>
    </w:pPr>
    <w:rPr>
      <w:rFonts w:ascii="宋体" w:hAnsi="宋体" w:eastAsia="宋体"/>
      <w:b/>
      <w:sz w:val="24"/>
    </w:rPr>
  </w:style>
  <w:style w:type="paragraph" w:styleId="2">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34">
    <w:name w:val="Default Paragraph Font"/>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toc 7"/>
    <w:basedOn w:val="1"/>
    <w:next w:val="1"/>
    <w:qFormat/>
    <w:uiPriority w:val="0"/>
    <w:pPr>
      <w:ind w:left="1680"/>
      <w:jc w:val="left"/>
    </w:pPr>
  </w:style>
  <w:style w:type="paragraph" w:styleId="8">
    <w:name w:val="table of authorities"/>
    <w:basedOn w:val="1"/>
    <w:next w:val="1"/>
    <w:qFormat/>
    <w:uiPriority w:val="0"/>
    <w:pPr>
      <w:ind w:left="420" w:leftChars="200"/>
    </w:pPr>
  </w:style>
  <w:style w:type="paragraph" w:styleId="9">
    <w:name w:val="Document Map"/>
    <w:basedOn w:val="1"/>
    <w:qFormat/>
    <w:uiPriority w:val="0"/>
    <w:pPr>
      <w:shd w:val="clear" w:color="auto" w:fill="000080"/>
    </w:pPr>
  </w:style>
  <w:style w:type="paragraph" w:styleId="10">
    <w:name w:val="annotation text"/>
    <w:basedOn w:val="1"/>
    <w:next w:val="1"/>
    <w:qFormat/>
    <w:uiPriority w:val="0"/>
    <w:pPr>
      <w:adjustRightInd w:val="0"/>
      <w:spacing w:line="360" w:lineRule="atLeast"/>
      <w:jc w:val="left"/>
      <w:textAlignment w:val="baseline"/>
    </w:pPr>
    <w:rPr>
      <w:rFonts w:ascii="宋体"/>
      <w:kern w:val="0"/>
      <w:sz w:val="24"/>
    </w:rPr>
  </w:style>
  <w:style w:type="paragraph" w:styleId="11">
    <w:name w:val="Body Text"/>
    <w:basedOn w:val="1"/>
    <w:qFormat/>
    <w:uiPriority w:val="0"/>
    <w:pPr>
      <w:spacing w:after="120" w:afterLines="0" w:afterAutospacing="0"/>
    </w:pPr>
  </w:style>
  <w:style w:type="paragraph" w:styleId="12">
    <w:name w:val="Body Text Indent"/>
    <w:basedOn w:val="1"/>
    <w:next w:val="13"/>
    <w:link w:val="41"/>
    <w:qFormat/>
    <w:uiPriority w:val="0"/>
    <w:pPr>
      <w:ind w:firstLine="560" w:firstLineChars="200"/>
    </w:pPr>
  </w:style>
  <w:style w:type="paragraph" w:styleId="13">
    <w:name w:val="envelope return"/>
    <w:basedOn w:val="1"/>
    <w:qFormat/>
    <w:uiPriority w:val="99"/>
    <w:pPr>
      <w:snapToGrid w:val="0"/>
    </w:pPr>
    <w:rPr>
      <w:rFonts w:ascii="Arial" w:hAnsi="Arial"/>
    </w:rPr>
  </w:style>
  <w:style w:type="paragraph" w:styleId="14">
    <w:name w:val="toc 5"/>
    <w:basedOn w:val="1"/>
    <w:next w:val="1"/>
    <w:qFormat/>
    <w:uiPriority w:val="0"/>
    <w:pPr>
      <w:ind w:left="1120"/>
      <w:jc w:val="left"/>
    </w:pPr>
  </w:style>
  <w:style w:type="paragraph" w:styleId="15">
    <w:name w:val="toc 3"/>
    <w:basedOn w:val="1"/>
    <w:next w:val="1"/>
    <w:qFormat/>
    <w:uiPriority w:val="0"/>
    <w:pPr>
      <w:ind w:left="561"/>
      <w:jc w:val="left"/>
    </w:pPr>
    <w:rPr>
      <w:sz w:val="24"/>
    </w:rPr>
  </w:style>
  <w:style w:type="paragraph" w:styleId="16">
    <w:name w:val="Plain Text"/>
    <w:basedOn w:val="1"/>
    <w:qFormat/>
    <w:uiPriority w:val="0"/>
    <w:pPr>
      <w:ind w:firstLine="200" w:firstLineChars="200"/>
    </w:pPr>
    <w:rPr>
      <w:rFonts w:ascii="宋体" w:hAnsi="Courier New"/>
      <w:szCs w:val="21"/>
    </w:rPr>
  </w:style>
  <w:style w:type="paragraph" w:styleId="17">
    <w:name w:val="toc 8"/>
    <w:basedOn w:val="1"/>
    <w:next w:val="1"/>
    <w:qFormat/>
    <w:uiPriority w:val="0"/>
    <w:pPr>
      <w:ind w:left="1960"/>
      <w:jc w:val="left"/>
    </w:pPr>
  </w:style>
  <w:style w:type="paragraph" w:styleId="18">
    <w:name w:val="Body Text Indent 2"/>
    <w:basedOn w:val="1"/>
    <w:qFormat/>
    <w:uiPriority w:val="0"/>
    <w:pPr>
      <w:spacing w:line="480" w:lineRule="auto"/>
      <w:ind w:firstLine="561"/>
    </w:pPr>
    <w:rPr>
      <w:rFonts w:ascii="宋体"/>
    </w:rPr>
  </w:style>
  <w:style w:type="paragraph" w:styleId="19">
    <w:name w:val="Balloon Text"/>
    <w:basedOn w:val="1"/>
    <w:qFormat/>
    <w:uiPriority w:val="0"/>
    <w:rPr>
      <w:sz w:val="18"/>
      <w:szCs w:val="18"/>
    </w:rPr>
  </w:style>
  <w:style w:type="paragraph" w:styleId="20">
    <w:name w:val="footer"/>
    <w:basedOn w:val="1"/>
    <w:qFormat/>
    <w:uiPriority w:val="0"/>
    <w:pPr>
      <w:widowControl/>
      <w:tabs>
        <w:tab w:val="center" w:pos="4153"/>
        <w:tab w:val="right" w:pos="8306"/>
      </w:tabs>
      <w:snapToGrid w:val="0"/>
      <w:jc w:val="left"/>
    </w:pPr>
    <w:rPr>
      <w:kern w:val="0"/>
      <w:sz w:val="18"/>
    </w:rPr>
  </w:style>
  <w:style w:type="paragraph" w:styleId="21">
    <w:name w:val="header"/>
    <w:basedOn w:val="1"/>
    <w:qFormat/>
    <w:uiPriority w:val="0"/>
    <w:pPr>
      <w:widowControl/>
      <w:pBdr>
        <w:bottom w:val="single" w:color="auto" w:sz="6" w:space="1"/>
      </w:pBdr>
      <w:tabs>
        <w:tab w:val="center" w:pos="4153"/>
        <w:tab w:val="right" w:pos="8306"/>
      </w:tabs>
      <w:snapToGrid w:val="0"/>
      <w:jc w:val="center"/>
    </w:pPr>
    <w:rPr>
      <w:kern w:val="0"/>
      <w:sz w:val="18"/>
    </w:rPr>
  </w:style>
  <w:style w:type="paragraph" w:styleId="22">
    <w:name w:val="toc 1"/>
    <w:basedOn w:val="1"/>
    <w:next w:val="1"/>
    <w:qFormat/>
    <w:uiPriority w:val="0"/>
    <w:pPr>
      <w:spacing w:before="120" w:beforeLines="0" w:beforeAutospacing="0" w:after="120" w:afterLines="0" w:afterAutospacing="0"/>
      <w:jc w:val="left"/>
    </w:pPr>
    <w:rPr>
      <w:caps/>
      <w:sz w:val="24"/>
    </w:rPr>
  </w:style>
  <w:style w:type="paragraph" w:styleId="23">
    <w:name w:val="toc 4"/>
    <w:basedOn w:val="1"/>
    <w:next w:val="1"/>
    <w:qFormat/>
    <w:uiPriority w:val="0"/>
    <w:pPr>
      <w:ind w:left="840"/>
      <w:jc w:val="left"/>
    </w:pPr>
  </w:style>
  <w:style w:type="paragraph" w:styleId="24">
    <w:name w:val="toc 6"/>
    <w:basedOn w:val="1"/>
    <w:next w:val="1"/>
    <w:qFormat/>
    <w:uiPriority w:val="0"/>
    <w:pPr>
      <w:ind w:left="1400"/>
      <w:jc w:val="left"/>
    </w:pPr>
  </w:style>
  <w:style w:type="paragraph" w:styleId="25">
    <w:name w:val="Body Text Indent 3"/>
    <w:basedOn w:val="1"/>
    <w:link w:val="42"/>
    <w:qFormat/>
    <w:uiPriority w:val="0"/>
    <w:pPr>
      <w:ind w:firstLine="560"/>
    </w:pPr>
    <w:rPr>
      <w:color w:val="FF0000"/>
    </w:rPr>
  </w:style>
  <w:style w:type="paragraph" w:styleId="26">
    <w:name w:val="toc 2"/>
    <w:basedOn w:val="1"/>
    <w:next w:val="1"/>
    <w:qFormat/>
    <w:uiPriority w:val="0"/>
    <w:pPr>
      <w:ind w:left="278"/>
      <w:jc w:val="left"/>
    </w:pPr>
    <w:rPr>
      <w:smallCaps/>
      <w:sz w:val="24"/>
    </w:rPr>
  </w:style>
  <w:style w:type="paragraph" w:styleId="27">
    <w:name w:val="toc 9"/>
    <w:basedOn w:val="1"/>
    <w:next w:val="1"/>
    <w:qFormat/>
    <w:uiPriority w:val="0"/>
    <w:pPr>
      <w:ind w:left="2240"/>
      <w:jc w:val="left"/>
    </w:pPr>
  </w:style>
  <w:style w:type="paragraph" w:styleId="28">
    <w:name w:val="Body Text 2"/>
    <w:basedOn w:val="1"/>
    <w:next w:val="11"/>
    <w:qFormat/>
    <w:uiPriority w:val="0"/>
    <w:pPr>
      <w:spacing w:line="500" w:lineRule="exact"/>
    </w:pPr>
    <w:rPr>
      <w:rFonts w:ascii="宋体"/>
      <w:sz w:val="24"/>
    </w:rPr>
  </w:style>
  <w:style w:type="paragraph" w:styleId="2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30">
    <w:name w:val="Title"/>
    <w:basedOn w:val="1"/>
    <w:next w:val="1"/>
    <w:qFormat/>
    <w:uiPriority w:val="0"/>
    <w:pPr>
      <w:spacing w:line="480" w:lineRule="atLeast"/>
      <w:jc w:val="center"/>
    </w:pPr>
    <w:rPr>
      <w:sz w:val="32"/>
    </w:rPr>
  </w:style>
  <w:style w:type="paragraph" w:styleId="31">
    <w:name w:val="annotation subject"/>
    <w:basedOn w:val="10"/>
    <w:next w:val="10"/>
    <w:qFormat/>
    <w:uiPriority w:val="0"/>
    <w:pPr>
      <w:adjustRightInd/>
      <w:spacing w:line="360" w:lineRule="auto"/>
      <w:textAlignment w:val="auto"/>
    </w:pPr>
    <w:rPr>
      <w:b/>
      <w:bCs/>
      <w:kern w:val="2"/>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b/>
      <w:bCs/>
    </w:rPr>
  </w:style>
  <w:style w:type="character" w:styleId="36">
    <w:name w:val="page number"/>
    <w:qFormat/>
    <w:uiPriority w:val="0"/>
  </w:style>
  <w:style w:type="character" w:styleId="37">
    <w:name w:val="FollowedHyperlink"/>
    <w:qFormat/>
    <w:uiPriority w:val="0"/>
    <w:rPr>
      <w:color w:val="800080"/>
      <w:u w:val="single"/>
    </w:rPr>
  </w:style>
  <w:style w:type="character" w:styleId="38">
    <w:name w:val="Emphasis"/>
    <w:qFormat/>
    <w:uiPriority w:val="0"/>
    <w:rPr>
      <w:i/>
    </w:rPr>
  </w:style>
  <w:style w:type="character" w:styleId="39">
    <w:name w:val="Hyperlink"/>
    <w:qFormat/>
    <w:uiPriority w:val="0"/>
    <w:rPr>
      <w:color w:val="0000FF"/>
      <w:u w:val="single"/>
    </w:rPr>
  </w:style>
  <w:style w:type="character" w:styleId="40">
    <w:name w:val="annotation reference"/>
    <w:qFormat/>
    <w:uiPriority w:val="0"/>
    <w:rPr>
      <w:sz w:val="21"/>
    </w:rPr>
  </w:style>
  <w:style w:type="character" w:customStyle="1" w:styleId="41">
    <w:name w:val="正文文本缩进 字符"/>
    <w:link w:val="12"/>
    <w:qFormat/>
    <w:uiPriority w:val="0"/>
    <w:rPr>
      <w:rFonts w:ascii="宋体"/>
      <w:kern w:val="2"/>
      <w:sz w:val="24"/>
    </w:rPr>
  </w:style>
  <w:style w:type="character" w:customStyle="1" w:styleId="42">
    <w:name w:val="正文文本缩进 3 字符"/>
    <w:link w:val="25"/>
    <w:qFormat/>
    <w:uiPriority w:val="0"/>
    <w:rPr>
      <w:rFonts w:ascii="宋体" w:eastAsia="宋体"/>
      <w:color w:val="FF0000"/>
      <w:kern w:val="2"/>
      <w:sz w:val="24"/>
      <w:lang w:val="en-US" w:eastAsia="zh-CN" w:bidi="ar-SA"/>
    </w:rPr>
  </w:style>
  <w:style w:type="paragraph" w:customStyle="1" w:styleId="43">
    <w:name w:val=" Char Char2"/>
    <w:basedOn w:val="9"/>
    <w:qFormat/>
    <w:uiPriority w:val="0"/>
    <w:pPr>
      <w:spacing w:line="240" w:lineRule="auto"/>
    </w:pPr>
  </w:style>
  <w:style w:type="character" w:customStyle="1" w:styleId="44">
    <w:name w:val="超链接 New"/>
    <w:qFormat/>
    <w:uiPriority w:val="0"/>
    <w:rPr>
      <w:color w:val="000000"/>
      <w:sz w:val="18"/>
      <w:szCs w:val="18"/>
      <w:u w:val="none"/>
    </w:rPr>
  </w:style>
  <w:style w:type="character" w:customStyle="1" w:styleId="45">
    <w:name w:val=" Char Char1"/>
    <w:qFormat/>
    <w:uiPriority w:val="0"/>
    <w:rPr>
      <w:rFonts w:ascii="宋体" w:eastAsia="宋体"/>
      <w:color w:val="FF0000"/>
      <w:kern w:val="2"/>
      <w:sz w:val="24"/>
      <w:lang w:val="en-US" w:eastAsia="zh-CN" w:bidi="ar-SA"/>
    </w:rPr>
  </w:style>
  <w:style w:type="character" w:customStyle="1" w:styleId="46">
    <w:name w:val="Default Paragraph Font"/>
    <w:qFormat/>
    <w:uiPriority w:val="0"/>
    <w:rPr>
      <w:rFonts w:hint="default"/>
    </w:rPr>
  </w:style>
  <w:style w:type="character" w:customStyle="1" w:styleId="47">
    <w:name w:val="正文文本 (2) + 间距 0 pt3"/>
    <w:qFormat/>
    <w:uiPriority w:val="99"/>
    <w:rPr>
      <w:rFonts w:ascii="MingLiU" w:eastAsia="MingLiU" w:cs="MingLiU"/>
      <w:spacing w:val="0"/>
      <w:sz w:val="22"/>
      <w:szCs w:val="22"/>
      <w:u w:val="none"/>
    </w:rPr>
  </w:style>
  <w:style w:type="character" w:customStyle="1" w:styleId="48">
    <w:name w:val="页码 New New"/>
    <w:qFormat/>
    <w:uiPriority w:val="0"/>
    <w:rPr>
      <w:rFonts w:eastAsia="宋体"/>
      <w:kern w:val="2"/>
      <w:sz w:val="24"/>
      <w:szCs w:val="24"/>
      <w:lang w:val="en-US" w:eastAsia="zh-CN" w:bidi="ar-SA"/>
    </w:rPr>
  </w:style>
  <w:style w:type="character" w:customStyle="1" w:styleId="49">
    <w:name w:val="默认段落字体 New New"/>
    <w:link w:val="50"/>
    <w:qFormat/>
    <w:uiPriority w:val="0"/>
    <w:rPr>
      <w:rFonts w:ascii="Tahoma" w:hAnsi="Tahoma"/>
      <w:szCs w:val="24"/>
    </w:rPr>
  </w:style>
  <w:style w:type="paragraph" w:customStyle="1" w:styleId="50">
    <w:name w:val=" Char New New"/>
    <w:basedOn w:val="1"/>
    <w:link w:val="49"/>
    <w:qFormat/>
    <w:uiPriority w:val="0"/>
    <w:pPr>
      <w:spacing w:line="240" w:lineRule="auto"/>
    </w:pPr>
    <w:rPr>
      <w:rFonts w:ascii="Tahoma" w:hAnsi="Tahoma"/>
      <w:kern w:val="0"/>
      <w:sz w:val="20"/>
      <w:szCs w:val="24"/>
    </w:rPr>
  </w:style>
  <w:style w:type="character" w:customStyle="1" w:styleId="51">
    <w:name w:val="超链接 New New"/>
    <w:qFormat/>
    <w:uiPriority w:val="0"/>
    <w:rPr>
      <w:color w:val="000000"/>
      <w:sz w:val="18"/>
      <w:szCs w:val="18"/>
      <w:u w:val="none"/>
    </w:rPr>
  </w:style>
  <w:style w:type="character" w:customStyle="1" w:styleId="52">
    <w:name w:val="页码 New New New"/>
    <w:qFormat/>
    <w:uiPriority w:val="0"/>
    <w:rPr>
      <w:rFonts w:eastAsia="宋体"/>
      <w:kern w:val="2"/>
      <w:sz w:val="24"/>
      <w:szCs w:val="24"/>
      <w:lang w:val="en-US" w:eastAsia="zh-CN" w:bidi="ar-SA"/>
    </w:rPr>
  </w:style>
  <w:style w:type="character" w:customStyle="1" w:styleId="53">
    <w:name w:val="页码 New"/>
    <w:qFormat/>
    <w:uiPriority w:val="0"/>
    <w:rPr>
      <w:rFonts w:eastAsia="宋体"/>
      <w:kern w:val="2"/>
      <w:sz w:val="24"/>
      <w:szCs w:val="24"/>
      <w:lang w:val="en-US" w:eastAsia="zh-CN" w:bidi="ar-SA"/>
    </w:rPr>
  </w:style>
  <w:style w:type="character" w:customStyle="1" w:styleId="54">
    <w:name w:val="默认段落字体 New"/>
    <w:link w:val="55"/>
    <w:qFormat/>
    <w:uiPriority w:val="0"/>
    <w:rPr>
      <w:rFonts w:ascii="Tahoma" w:hAnsi="Tahoma"/>
      <w:szCs w:val="24"/>
    </w:rPr>
  </w:style>
  <w:style w:type="paragraph" w:customStyle="1" w:styleId="55">
    <w:name w:val=" Char New"/>
    <w:basedOn w:val="1"/>
    <w:link w:val="54"/>
    <w:qFormat/>
    <w:uiPriority w:val="0"/>
    <w:pPr>
      <w:spacing w:line="240" w:lineRule="auto"/>
    </w:pPr>
    <w:rPr>
      <w:rFonts w:ascii="Tahoma" w:hAnsi="Tahoma"/>
      <w:kern w:val="0"/>
      <w:sz w:val="20"/>
      <w:szCs w:val="24"/>
    </w:rPr>
  </w:style>
  <w:style w:type="paragraph" w:customStyle="1" w:styleId="56">
    <w:name w:val="页脚 New New"/>
    <w:basedOn w:val="57"/>
    <w:qFormat/>
    <w:uiPriority w:val="0"/>
    <w:pPr>
      <w:tabs>
        <w:tab w:val="center" w:pos="4153"/>
        <w:tab w:val="right" w:pos="8306"/>
      </w:tabs>
      <w:snapToGrid w:val="0"/>
      <w:jc w:val="left"/>
    </w:pPr>
    <w:rPr>
      <w:sz w:val="18"/>
      <w:szCs w:val="18"/>
    </w:rPr>
  </w:style>
  <w:style w:type="paragraph" w:customStyle="1" w:styleId="57">
    <w:name w:val="正文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8">
    <w:name w:val="正文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9">
    <w:name w:val="p18"/>
    <w:qFormat/>
    <w:uiPriority w:val="0"/>
    <w:pPr>
      <w:spacing w:after="120" w:line="360" w:lineRule="auto"/>
    </w:pPr>
    <w:rPr>
      <w:rFonts w:ascii="宋体" w:hAnsi="宋体" w:eastAsia="宋体" w:cs="宋体"/>
      <w:sz w:val="24"/>
      <w:szCs w:val="24"/>
      <w:lang w:val="en-US" w:eastAsia="zh-CN" w:bidi="ar-SA"/>
    </w:rPr>
  </w:style>
  <w:style w:type="paragraph" w:customStyle="1" w:styleId="60">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1">
    <w:name w:val="正文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2">
    <w:name w:val="样式 宋体 行距: 1.5 倍行距"/>
    <w:basedOn w:val="63"/>
    <w:next w:val="1"/>
    <w:qFormat/>
    <w:uiPriority w:val="99"/>
    <w:pPr>
      <w:jc w:val="center"/>
    </w:pPr>
    <w:rPr>
      <w:b/>
    </w:rPr>
  </w:style>
  <w:style w:type="paragraph" w:customStyle="1" w:styleId="6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62"/>
    <w:qFormat/>
    <w:uiPriority w:val="0"/>
    <w:pPr>
      <w:widowControl w:val="0"/>
      <w:jc w:val="both"/>
    </w:pPr>
    <w:rPr>
      <w:rFonts w:ascii="Calibri" w:hAnsi="Calibri" w:eastAsia="宋体" w:cs="黑体"/>
      <w:kern w:val="2"/>
      <w:sz w:val="21"/>
      <w:szCs w:val="24"/>
      <w:lang w:val="en-US" w:eastAsia="zh-CN" w:bidi="ar-SA"/>
    </w:rPr>
  </w:style>
  <w:style w:type="paragraph" w:customStyle="1" w:styleId="64">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5">
    <w:name w:val="纯文本 New New"/>
    <w:basedOn w:val="58"/>
    <w:qFormat/>
    <w:uiPriority w:val="0"/>
    <w:rPr>
      <w:rFonts w:ascii="宋体" w:hAnsi="Courier New" w:eastAsia="楷体_GB2312"/>
      <w:kern w:val="2"/>
      <w:sz w:val="21"/>
      <w:szCs w:val="24"/>
      <w:lang w:val="en-US" w:eastAsia="zh-CN" w:bidi="ar-SA"/>
    </w:rPr>
  </w:style>
  <w:style w:type="paragraph" w:customStyle="1" w:styleId="66">
    <w:name w:val="正文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7">
    <w:name w:val="正文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8">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9">
    <w:name w:val="页脚 New New New New"/>
    <w:basedOn w:val="70"/>
    <w:qFormat/>
    <w:uiPriority w:val="0"/>
    <w:pPr>
      <w:tabs>
        <w:tab w:val="center" w:pos="4153"/>
        <w:tab w:val="right" w:pos="8306"/>
      </w:tabs>
      <w:snapToGrid w:val="0"/>
      <w:jc w:val="left"/>
    </w:pPr>
    <w:rPr>
      <w:sz w:val="18"/>
      <w:szCs w:val="18"/>
    </w:rPr>
  </w:style>
  <w:style w:type="paragraph" w:customStyle="1" w:styleId="70">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72">
    <w:name w:val="正文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73">
    <w:name w:val="页眉 New New New New New New New"/>
    <w:basedOn w:val="71"/>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74">
    <w:name w:val="样式2"/>
    <w:basedOn w:val="22"/>
    <w:qFormat/>
    <w:uiPriority w:val="0"/>
    <w:pPr>
      <w:tabs>
        <w:tab w:val="right" w:leader="dot" w:pos="9345"/>
      </w:tabs>
    </w:pPr>
    <w:rPr>
      <w:rFonts w:ascii="宋体" w:hAnsi="宋体"/>
      <w:b/>
      <w:color w:val="0000FF"/>
      <w:u w:val="single"/>
    </w:rPr>
  </w:style>
  <w:style w:type="paragraph" w:customStyle="1" w:styleId="75">
    <w:name w:val="正文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6">
    <w:name w:val="正文缩进 New"/>
    <w:basedOn w:val="64"/>
    <w:qFormat/>
    <w:uiPriority w:val="0"/>
    <w:pPr>
      <w:widowControl/>
      <w:ind w:firstLine="420"/>
      <w:jc w:val="left"/>
    </w:pPr>
    <w:rPr>
      <w:kern w:val="0"/>
      <w:sz w:val="20"/>
    </w:rPr>
  </w:style>
  <w:style w:type="paragraph" w:customStyle="1" w:styleId="77">
    <w:name w:val="页眉 New"/>
    <w:basedOn w:val="78"/>
    <w:qFormat/>
    <w:uiPriority w:val="0"/>
    <w:pPr>
      <w:pBdr>
        <w:bottom w:val="single" w:color="auto" w:sz="6" w:space="1"/>
      </w:pBdr>
      <w:tabs>
        <w:tab w:val="center" w:pos="4153"/>
        <w:tab w:val="right" w:pos="8306"/>
      </w:tabs>
      <w:snapToGrid w:val="0"/>
      <w:jc w:val="center"/>
    </w:pPr>
    <w:rPr>
      <w:sz w:val="18"/>
      <w:szCs w:val="18"/>
    </w:rPr>
  </w:style>
  <w:style w:type="paragraph" w:customStyle="1" w:styleId="78">
    <w:name w:val="正文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9">
    <w:name w:val="样式1"/>
    <w:basedOn w:val="2"/>
    <w:qFormat/>
    <w:uiPriority w:val="0"/>
    <w:pPr>
      <w:tabs>
        <w:tab w:val="right" w:leader="dot" w:pos="9345"/>
      </w:tabs>
    </w:pPr>
    <w:rPr>
      <w:rFonts w:ascii="宋体" w:hAnsi="宋体" w:eastAsia="宋体"/>
      <w:b/>
      <w:caps/>
      <w:sz w:val="24"/>
      <w:u w:val="single"/>
    </w:rPr>
  </w:style>
  <w:style w:type="paragraph" w:customStyle="1" w:styleId="80">
    <w:name w:val="标题 3 New New"/>
    <w:basedOn w:val="76"/>
    <w:next w:val="76"/>
    <w:qFormat/>
    <w:uiPriority w:val="0"/>
    <w:pPr>
      <w:keepNext/>
      <w:keepLines/>
      <w:spacing w:before="120" w:beforeLines="0" w:beforeAutospacing="0" w:after="120" w:afterLines="0" w:afterAutospacing="0"/>
      <w:jc w:val="center"/>
      <w:outlineLvl w:val="2"/>
    </w:pPr>
    <w:rPr>
      <w:sz w:val="24"/>
    </w:rPr>
  </w:style>
  <w:style w:type="paragraph" w:customStyle="1" w:styleId="81">
    <w:name w:val="页脚 New New New New New New New New New New New New"/>
    <w:basedOn w:val="82"/>
    <w:qFormat/>
    <w:uiPriority w:val="0"/>
    <w:pPr>
      <w:tabs>
        <w:tab w:val="center" w:pos="4153"/>
        <w:tab w:val="right" w:pos="8306"/>
      </w:tabs>
      <w:snapToGrid w:val="0"/>
      <w:jc w:val="left"/>
    </w:pPr>
    <w:rPr>
      <w:rFonts w:eastAsia="楷体_GB2312"/>
      <w:kern w:val="2"/>
      <w:sz w:val="18"/>
      <w:szCs w:val="18"/>
    </w:rPr>
  </w:style>
  <w:style w:type="paragraph" w:customStyle="1" w:styleId="82">
    <w:name w:val="正文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3">
    <w:name w:val="页脚 New New New New New New New New New"/>
    <w:basedOn w:val="84"/>
    <w:qFormat/>
    <w:uiPriority w:val="0"/>
    <w:pPr>
      <w:tabs>
        <w:tab w:val="center" w:pos="4153"/>
        <w:tab w:val="right" w:pos="8306"/>
      </w:tabs>
      <w:snapToGrid w:val="0"/>
      <w:jc w:val="left"/>
    </w:pPr>
    <w:rPr>
      <w:kern w:val="2"/>
      <w:sz w:val="18"/>
      <w:szCs w:val="18"/>
    </w:rPr>
  </w:style>
  <w:style w:type="paragraph" w:customStyle="1" w:styleId="84">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页眉 New New New"/>
    <w:basedOn w:val="58"/>
    <w:qFormat/>
    <w:uiPriority w:val="0"/>
    <w:pPr>
      <w:pBdr>
        <w:bottom w:val="single" w:color="auto" w:sz="6" w:space="1"/>
      </w:pBdr>
      <w:tabs>
        <w:tab w:val="center" w:pos="4153"/>
        <w:tab w:val="right" w:pos="8306"/>
      </w:tabs>
      <w:snapToGrid w:val="0"/>
      <w:jc w:val="center"/>
    </w:pPr>
    <w:rPr>
      <w:sz w:val="18"/>
      <w:szCs w:val="18"/>
    </w:rPr>
  </w:style>
  <w:style w:type="paragraph" w:customStyle="1" w:styleId="86">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正文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正文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9">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0">
    <w:name w:val="正文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91">
    <w:name w:val="正文缩进1"/>
    <w:basedOn w:val="1"/>
    <w:qFormat/>
    <w:uiPriority w:val="0"/>
    <w:pPr>
      <w:widowControl/>
      <w:ind w:firstLine="420"/>
      <w:jc w:val="left"/>
    </w:pPr>
    <w:rPr>
      <w:kern w:val="0"/>
      <w:szCs w:val="20"/>
    </w:rPr>
  </w:style>
  <w:style w:type="paragraph" w:customStyle="1" w:styleId="92">
    <w:name w:val="页眉 New New"/>
    <w:basedOn w:val="57"/>
    <w:qFormat/>
    <w:uiPriority w:val="0"/>
    <w:pPr>
      <w:pBdr>
        <w:bottom w:val="single" w:color="auto" w:sz="6" w:space="1"/>
      </w:pBdr>
      <w:tabs>
        <w:tab w:val="center" w:pos="4153"/>
        <w:tab w:val="right" w:pos="8306"/>
      </w:tabs>
      <w:snapToGrid w:val="0"/>
      <w:jc w:val="center"/>
    </w:pPr>
    <w:rPr>
      <w:sz w:val="18"/>
      <w:szCs w:val="18"/>
    </w:rPr>
  </w:style>
  <w:style w:type="paragraph" w:customStyle="1" w:styleId="93">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4">
    <w:name w:val=" Char"/>
    <w:basedOn w:val="9"/>
    <w:qFormat/>
    <w:uiPriority w:val="0"/>
    <w:pPr>
      <w:spacing w:line="240" w:lineRule="auto"/>
    </w:pPr>
  </w:style>
  <w:style w:type="paragraph" w:customStyle="1" w:styleId="95">
    <w:name w:val="正文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6">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7">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8">
    <w:name w:val="页眉 New New New New New New New New New"/>
    <w:basedOn w:val="99"/>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99">
    <w:name w:val="正文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00">
    <w:name w:val="页脚 New New New New New New"/>
    <w:basedOn w:val="89"/>
    <w:qFormat/>
    <w:uiPriority w:val="0"/>
    <w:pPr>
      <w:tabs>
        <w:tab w:val="center" w:pos="4153"/>
        <w:tab w:val="right" w:pos="8306"/>
      </w:tabs>
      <w:snapToGrid w:val="0"/>
      <w:jc w:val="left"/>
    </w:pPr>
    <w:rPr>
      <w:sz w:val="18"/>
    </w:rPr>
  </w:style>
  <w:style w:type="paragraph" w:customStyle="1" w:styleId="101">
    <w:name w:val="正文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2">
    <w:name w:val="正文文本缩进 New New New New"/>
    <w:basedOn w:val="95"/>
    <w:qFormat/>
    <w:uiPriority w:val="0"/>
    <w:pPr>
      <w:ind w:firstLine="560" w:firstLineChars="200"/>
    </w:pPr>
    <w:rPr>
      <w:rFonts w:ascii="宋体"/>
      <w:kern w:val="2"/>
      <w:sz w:val="24"/>
      <w:szCs w:val="28"/>
    </w:rPr>
  </w:style>
  <w:style w:type="paragraph" w:customStyle="1" w:styleId="103">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05">
    <w:name w:val="正文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6">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正文文本缩进 New"/>
    <w:basedOn w:val="64"/>
    <w:qFormat/>
    <w:uiPriority w:val="0"/>
    <w:pPr>
      <w:ind w:firstLine="560" w:firstLineChars="200"/>
    </w:pPr>
    <w:rPr>
      <w:rFonts w:ascii="宋体"/>
      <w:kern w:val="2"/>
      <w:sz w:val="24"/>
    </w:rPr>
  </w:style>
  <w:style w:type="paragraph" w:customStyle="1" w:styleId="108">
    <w:name w:val="正文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9">
    <w:name w:val="Normal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10">
    <w:name w:val="页脚 New New New New New"/>
    <w:basedOn w:val="96"/>
    <w:qFormat/>
    <w:uiPriority w:val="0"/>
    <w:pPr>
      <w:tabs>
        <w:tab w:val="center" w:pos="4153"/>
        <w:tab w:val="right" w:pos="8306"/>
      </w:tabs>
      <w:snapToGrid w:val="0"/>
      <w:jc w:val="left"/>
    </w:pPr>
    <w:rPr>
      <w:sz w:val="18"/>
    </w:rPr>
  </w:style>
  <w:style w:type="paragraph" w:customStyle="1" w:styleId="111">
    <w:name w:val="页眉 New New New New"/>
    <w:basedOn w:val="9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112">
    <w:name w:val="页脚 New New New"/>
    <w:basedOn w:val="58"/>
    <w:qFormat/>
    <w:uiPriority w:val="0"/>
    <w:pPr>
      <w:tabs>
        <w:tab w:val="center" w:pos="4153"/>
        <w:tab w:val="right" w:pos="8306"/>
      </w:tabs>
      <w:snapToGrid w:val="0"/>
      <w:jc w:val="left"/>
    </w:pPr>
    <w:rPr>
      <w:sz w:val="18"/>
      <w:szCs w:val="18"/>
    </w:rPr>
  </w:style>
  <w:style w:type="paragraph" w:customStyle="1" w:styleId="113">
    <w:name w:val="toc 3"/>
    <w:basedOn w:val="114"/>
    <w:next w:val="114"/>
    <w:qFormat/>
    <w:uiPriority w:val="0"/>
    <w:pPr>
      <w:ind w:left="561"/>
      <w:jc w:val="left"/>
    </w:pPr>
    <w:rPr>
      <w:rFonts w:hint="eastAsia"/>
    </w:rPr>
  </w:style>
  <w:style w:type="paragraph" w:customStyle="1" w:styleId="114">
    <w:name w:val="Normal"/>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115">
    <w:name w:val="页脚 New New New New New New New"/>
    <w:basedOn w:val="104"/>
    <w:qFormat/>
    <w:uiPriority w:val="0"/>
    <w:pPr>
      <w:widowControl/>
      <w:tabs>
        <w:tab w:val="center" w:pos="4153"/>
        <w:tab w:val="right" w:pos="8306"/>
      </w:tabs>
      <w:snapToGrid w:val="0"/>
      <w:jc w:val="left"/>
    </w:pPr>
    <w:rPr>
      <w:kern w:val="0"/>
      <w:sz w:val="18"/>
      <w:szCs w:val="20"/>
    </w:rPr>
  </w:style>
  <w:style w:type="paragraph" w:customStyle="1" w:styleId="116">
    <w:name w:val="页眉 New New New New New New"/>
    <w:basedOn w:val="104"/>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17">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8">
    <w:name w:val="footer"/>
    <w:basedOn w:val="114"/>
    <w:qFormat/>
    <w:uiPriority w:val="0"/>
    <w:pPr>
      <w:widowControl/>
      <w:tabs>
        <w:tab w:val="center" w:pos="4153"/>
        <w:tab w:val="right" w:pos="8306"/>
      </w:tabs>
      <w:snapToGrid w:val="0"/>
      <w:jc w:val="left"/>
    </w:pPr>
    <w:rPr>
      <w:rFonts w:hint="eastAsia"/>
      <w:kern w:val="0"/>
      <w:sz w:val="18"/>
    </w:rPr>
  </w:style>
  <w:style w:type="paragraph" w:customStyle="1" w:styleId="119">
    <w:name w:val="p0"/>
    <w:basedOn w:val="90"/>
    <w:qFormat/>
    <w:uiPriority w:val="0"/>
    <w:pPr>
      <w:widowControl/>
      <w:spacing w:line="360" w:lineRule="auto"/>
    </w:pPr>
    <w:rPr>
      <w:rFonts w:ascii="宋体" w:hAnsi="宋体" w:eastAsia="宋体" w:cs="宋体"/>
      <w:kern w:val="0"/>
      <w:sz w:val="24"/>
      <w:szCs w:val="24"/>
    </w:rPr>
  </w:style>
  <w:style w:type="paragraph" w:customStyle="1" w:styleId="120">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1">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3">
    <w:name w:val="正文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4">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5">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27">
    <w:name w:val="正文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
    <w:name w:val="标题 3 New"/>
    <w:basedOn w:val="6"/>
    <w:next w:val="6"/>
    <w:qFormat/>
    <w:uiPriority w:val="0"/>
    <w:pPr>
      <w:keepNext/>
      <w:keepLines/>
      <w:spacing w:before="120" w:beforeLines="0" w:after="120" w:afterLines="0"/>
      <w:jc w:val="center"/>
      <w:outlineLvl w:val="2"/>
    </w:pPr>
    <w:rPr>
      <w:sz w:val="24"/>
    </w:rPr>
  </w:style>
  <w:style w:type="paragraph" w:customStyle="1" w:styleId="129">
    <w:name w:val="页脚 New New New New New New New New New New"/>
    <w:basedOn w:val="71"/>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30">
    <w:name w:val="页眉 New New New New New New New New"/>
    <w:basedOn w:val="131"/>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131">
    <w:name w:val="正文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32">
    <w:name w:val="页眉 New New New New New"/>
    <w:basedOn w:val="8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133">
    <w:name w:val="页脚 New New New New New New New New New New New New New"/>
    <w:basedOn w:val="99"/>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34">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5">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6">
    <w:name w:val="正文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7">
    <w:name w:val="正文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页脚 New New New New New New New New New New New"/>
    <w:basedOn w:val="131"/>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40">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
    <w:name w:val="正文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2">
    <w:name w:val="普通(网站) New"/>
    <w:basedOn w:val="89"/>
    <w:qFormat/>
    <w:uiPriority w:val="0"/>
    <w:rPr>
      <w:sz w:val="24"/>
    </w:rPr>
  </w:style>
  <w:style w:type="paragraph" w:customStyle="1" w:styleId="143">
    <w:name w:val="页脚 New New New New New New New New"/>
    <w:basedOn w:val="140"/>
    <w:qFormat/>
    <w:uiPriority w:val="0"/>
    <w:pPr>
      <w:tabs>
        <w:tab w:val="center" w:pos="4153"/>
        <w:tab w:val="right" w:pos="8306"/>
      </w:tabs>
      <w:snapToGrid w:val="0"/>
      <w:jc w:val="left"/>
    </w:pPr>
    <w:rPr>
      <w:kern w:val="2"/>
      <w:sz w:val="18"/>
      <w:szCs w:val="18"/>
    </w:rPr>
  </w:style>
  <w:style w:type="paragraph" w:customStyle="1" w:styleId="144">
    <w:name w:val="标题 2 New"/>
    <w:basedOn w:val="138"/>
    <w:qFormat/>
    <w:uiPriority w:val="0"/>
    <w:pPr>
      <w:widowControl/>
      <w:spacing w:before="100" w:beforeLines="0" w:beforeAutospacing="1" w:after="100" w:afterLines="0" w:afterAutospacing="1"/>
      <w:jc w:val="left"/>
      <w:outlineLvl w:val="1"/>
    </w:pPr>
    <w:rPr>
      <w:rFonts w:ascii="宋体" w:hAnsi="宋体" w:cs="宋体"/>
      <w:b/>
      <w:bCs/>
      <w:kern w:val="0"/>
      <w:sz w:val="36"/>
      <w:szCs w:val="36"/>
    </w:rPr>
  </w:style>
  <w:style w:type="paragraph" w:customStyle="1" w:styleId="145">
    <w:name w:val="blockquote"/>
    <w:basedOn w:val="1"/>
    <w:qFormat/>
    <w:uiPriority w:val="0"/>
    <w:pPr>
      <w:widowControl/>
      <w:spacing w:before="100" w:beforeLines="0" w:beforeAutospacing="1" w:after="100" w:afterLines="0" w:afterAutospacing="1" w:line="240" w:lineRule="auto"/>
      <w:jc w:val="left"/>
    </w:pPr>
    <w:rPr>
      <w:rFonts w:hAnsi="宋体"/>
      <w:kern w:val="0"/>
    </w:rPr>
  </w:style>
  <w:style w:type="paragraph" w:customStyle="1" w:styleId="146">
    <w:name w:val="纯文本 New"/>
    <w:basedOn w:val="57"/>
    <w:qFormat/>
    <w:uiPriority w:val="0"/>
    <w:rPr>
      <w:rFonts w:ascii="宋体" w:hAnsi="Courier New" w:eastAsia="楷体_GB2312"/>
      <w:kern w:val="2"/>
      <w:sz w:val="21"/>
      <w:szCs w:val="24"/>
      <w:lang w:val="en-US" w:eastAsia="zh-CN" w:bidi="ar-SA"/>
    </w:rPr>
  </w:style>
  <w:style w:type="paragraph" w:customStyle="1" w:styleId="147">
    <w:name w:val="页脚 New"/>
    <w:basedOn w:val="78"/>
    <w:qFormat/>
    <w:uiPriority w:val="0"/>
    <w:pPr>
      <w:tabs>
        <w:tab w:val="center" w:pos="4153"/>
        <w:tab w:val="right" w:pos="8306"/>
      </w:tabs>
      <w:snapToGrid w:val="0"/>
      <w:jc w:val="left"/>
    </w:pPr>
    <w:rPr>
      <w:sz w:val="18"/>
      <w:szCs w:val="18"/>
    </w:rPr>
  </w:style>
  <w:style w:type="paragraph" w:customStyle="1" w:styleId="148">
    <w:name w:val="_Style 1"/>
    <w:basedOn w:val="1"/>
    <w:qFormat/>
    <w:uiPriority w:val="0"/>
    <w:pPr>
      <w:spacing w:line="240" w:lineRule="auto"/>
      <w:ind w:firstLine="420" w:firstLineChars="200"/>
    </w:pPr>
    <w:rPr>
      <w:rFonts w:ascii="Calibri" w:hAnsi="Calibri"/>
      <w:sz w:val="21"/>
      <w:szCs w:val="22"/>
    </w:rPr>
  </w:style>
  <w:style w:type="paragraph" w:customStyle="1" w:styleId="149">
    <w:name w:val="文一"/>
    <w:basedOn w:val="1"/>
    <w:qFormat/>
    <w:uiPriority w:val="0"/>
    <w:pPr>
      <w:topLinePunct/>
      <w:adjustRightInd w:val="0"/>
      <w:snapToGrid w:val="0"/>
      <w:ind w:firstLine="200" w:firstLineChars="200"/>
    </w:pPr>
    <w:rPr>
      <w:rFonts w:hint="default" w:ascii="Calibri" w:hAnsi="Calibri" w:eastAsia="宋体" w:cs="Times New Roman"/>
      <w:snapToGrid w:val="0"/>
      <w:spacing w:val="4"/>
      <w:kern w:val="0"/>
      <w:szCs w:val="22"/>
    </w:rPr>
  </w:style>
  <w:style w:type="paragraph" w:customStyle="1" w:styleId="150">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character" w:customStyle="1" w:styleId="151">
    <w:name w:val="NormalCharacter"/>
    <w:semiHidden/>
    <w:qFormat/>
    <w:uiPriority w:val="0"/>
    <w:rPr>
      <w:rFonts w:ascii="宋体"/>
      <w:kern w:val="2"/>
      <w:sz w:val="24"/>
      <w:lang w:val="en-US" w:eastAsia="zh-CN" w:bidi="ar-SA"/>
    </w:rPr>
  </w:style>
  <w:style w:type="paragraph" w:customStyle="1" w:styleId="152">
    <w:name w:val="UserStyle_76"/>
    <w:basedOn w:val="153"/>
    <w:qFormat/>
    <w:uiPriority w:val="99"/>
    <w:pPr>
      <w:ind w:firstLine="420"/>
      <w:jc w:val="left"/>
    </w:pPr>
    <w:rPr>
      <w:kern w:val="0"/>
      <w:sz w:val="20"/>
      <w:szCs w:val="20"/>
    </w:rPr>
  </w:style>
  <w:style w:type="paragraph" w:customStyle="1" w:styleId="153">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154">
    <w:name w:val="Heading2"/>
    <w:basedOn w:val="1"/>
    <w:next w:val="1"/>
    <w:qFormat/>
    <w:uiPriority w:val="99"/>
    <w:pPr>
      <w:jc w:val="left"/>
    </w:pPr>
    <w:rPr>
      <w:kern w:val="0"/>
    </w:rPr>
  </w:style>
  <w:style w:type="paragraph" w:customStyle="1" w:styleId="155">
    <w:name w:val="Table Text"/>
    <w:basedOn w:val="1"/>
    <w:semiHidden/>
    <w:qFormat/>
    <w:uiPriority w:val="0"/>
    <w:rPr>
      <w:rFonts w:ascii="宋体" w:hAnsi="宋体" w:eastAsia="宋体" w:cs="宋体"/>
      <w:sz w:val="19"/>
      <w:szCs w:val="19"/>
      <w:lang w:val="en-US" w:eastAsia="en-US" w:bidi="ar-SA"/>
    </w:rPr>
  </w:style>
  <w:style w:type="character" w:customStyle="1" w:styleId="156">
    <w:name w:val="标题 3 Char"/>
    <w:link w:val="5"/>
    <w:qFormat/>
    <w:uiPriority w:val="0"/>
    <w:rPr>
      <w:rFonts w:ascii="宋体" w:hAnsi="宋体" w:eastAsia="宋体"/>
      <w:b/>
      <w:sz w:val="24"/>
    </w:rPr>
  </w:style>
  <w:style w:type="table" w:customStyle="1" w:styleId="157">
    <w:name w:val="Table Normal"/>
    <w:semiHidden/>
    <w:unhideWhenUsed/>
    <w:qFormat/>
    <w:uiPriority w:val="0"/>
    <w:tblPr>
      <w:tblCellMar>
        <w:top w:w="0" w:type="dxa"/>
        <w:left w:w="0" w:type="dxa"/>
        <w:bottom w:w="0" w:type="dxa"/>
        <w:right w:w="0" w:type="dxa"/>
      </w:tblCellMar>
    </w:tblPr>
  </w:style>
  <w:style w:type="paragraph" w:customStyle="1" w:styleId="158">
    <w:name w:val="标题 2 New New"/>
    <w:basedOn w:val="121"/>
    <w:next w:val="121"/>
    <w:qFormat/>
    <w:uiPriority w:val="0"/>
    <w:pPr>
      <w:autoSpaceDE w:val="0"/>
      <w:autoSpaceDN w:val="0"/>
      <w:adjustRightInd w:val="0"/>
      <w:jc w:val="left"/>
      <w:outlineLvl w:val="1"/>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6700;&#38754;\Norma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Norma3</Template>
  <Company>1</Company>
  <Pages>76</Pages>
  <Words>17359</Words>
  <Characters>18850</Characters>
  <Lines>721</Lines>
  <Paragraphs>203</Paragraphs>
  <TotalTime>17</TotalTime>
  <ScaleCrop>false</ScaleCrop>
  <LinksUpToDate>false</LinksUpToDate>
  <CharactersWithSpaces>19122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2022-12-20T03:27:00Z</dcterms:created>
  <dc:creator>kingsons</dc:creator>
  <cp:lastModifiedBy>妮子</cp:lastModifiedBy>
  <cp:lastPrinted>2026-06-29T01:17:00Z</cp:lastPrinted>
  <dcterms:modified xsi:type="dcterms:W3CDTF">2026-06-29T09:47:35Z</dcterms:modified>
  <dc:title>广东省韶关学院第三期学生公寓第一、二组团工程施工</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CE252277CF0A404F9C796571D5D0A788_13</vt:lpwstr>
  </property>
  <property fmtid="{D5CDD505-2E9C-101B-9397-08002B2CF9AE}" pid="4" name="ribbonExt">
    <vt:lpwstr>{"WPSExtOfficeTab":{"OnGetEnabled":false,"OnGetVisible":false}}</vt:lpwstr>
  </property>
  <property fmtid="{D5CDD505-2E9C-101B-9397-08002B2CF9AE}" pid="5" name="KSOTemplateDocerSaveRecord">
    <vt:lpwstr>eyJoZGlkIjoiNzJlODJlZWIyMWViOTBjNDFkZDAwODdjNDFmYTk2MjUiLCJ1c2VySWQiOiIxMzczNjgyNDAzIn0=</vt:lpwstr>
  </property>
</Properties>
</file>