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3F767E">
      <w:pPr>
        <w:pStyle w:val="8"/>
        <w:keepNext w:val="0"/>
        <w:keepLines w:val="0"/>
        <w:pageBreakBefore w:val="0"/>
        <w:wordWrap w:val="0"/>
        <w:overflowPunct/>
        <w:topLinePunct w:val="0"/>
        <w:bidi w:val="0"/>
        <w:spacing w:line="241" w:lineRule="auto"/>
        <w:rPr>
          <w:rFonts w:hint="eastAsia" w:ascii="宋体" w:hAnsi="宋体" w:eastAsia="宋体" w:cs="宋体"/>
          <w:color w:val="auto"/>
          <w:spacing w:val="0"/>
          <w:highlight w:val="none"/>
        </w:rPr>
      </w:pPr>
    </w:p>
    <w:p w14:paraId="51A21821">
      <w:pPr>
        <w:pStyle w:val="32"/>
        <w:wordWrap w:val="0"/>
        <w:adjustRightInd w:val="0"/>
        <w:snapToGrid w:val="0"/>
        <w:jc w:val="center"/>
        <w:rPr>
          <w:rFonts w:hint="eastAsia" w:eastAsia="宋体"/>
          <w:snapToGrid w:val="0"/>
          <w:color w:val="auto"/>
          <w:kern w:val="0"/>
          <w:sz w:val="24"/>
          <w:highlight w:val="none"/>
          <w:lang w:eastAsia="zh-CN"/>
        </w:rPr>
      </w:pPr>
      <w:r>
        <w:rPr>
          <w:rFonts w:hint="eastAsia" w:eastAsia="宋体"/>
          <w:snapToGrid w:val="0"/>
          <w:color w:val="auto"/>
          <w:kern w:val="0"/>
          <w:sz w:val="24"/>
          <w:highlight w:val="none"/>
          <w:lang w:eastAsia="zh-CN"/>
        </w:rPr>
        <w:drawing>
          <wp:inline distT="0" distB="0" distL="114300" distR="114300">
            <wp:extent cx="5918200" cy="8370570"/>
            <wp:effectExtent l="0" t="0" r="6350" b="11430"/>
            <wp:docPr id="3" name="图片 3" descr="招标文件封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招标文件封面_01"/>
                    <pic:cNvPicPr>
                      <a:picLocks noChangeAspect="1"/>
                    </pic:cNvPicPr>
                  </pic:nvPicPr>
                  <pic:blipFill>
                    <a:blip r:embed="rId27"/>
                    <a:stretch>
                      <a:fillRect/>
                    </a:stretch>
                  </pic:blipFill>
                  <pic:spPr>
                    <a:xfrm>
                      <a:off x="0" y="0"/>
                      <a:ext cx="5918200" cy="8370570"/>
                    </a:xfrm>
                    <a:prstGeom prst="rect">
                      <a:avLst/>
                    </a:prstGeom>
                  </pic:spPr>
                </pic:pic>
              </a:graphicData>
            </a:graphic>
          </wp:inline>
        </w:drawing>
      </w:r>
    </w:p>
    <w:p w14:paraId="69952BB3">
      <w:pPr>
        <w:keepNext w:val="0"/>
        <w:keepLines w:val="0"/>
        <w:pageBreakBefore w:val="0"/>
        <w:wordWrap w:val="0"/>
        <w:overflowPunct/>
        <w:topLinePunct w:val="0"/>
        <w:bidi w:val="0"/>
        <w:rPr>
          <w:rFonts w:hint="eastAsia" w:ascii="宋体" w:hAnsi="宋体" w:eastAsia="宋体" w:cs="宋体"/>
          <w:color w:val="auto"/>
          <w:spacing w:val="0"/>
          <w:highlight w:val="none"/>
          <w:lang w:val="en-US" w:eastAsia="zh-CN"/>
        </w:rPr>
        <w:sectPr>
          <w:headerReference r:id="rId3"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018A4953">
      <w:pPr>
        <w:keepNext w:val="0"/>
        <w:keepLines w:val="0"/>
        <w:pageBreakBefore w:val="0"/>
        <w:wordWrap w:val="0"/>
        <w:overflowPunct/>
        <w:topLinePunct w:val="0"/>
        <w:bidi w:val="0"/>
        <w:rPr>
          <w:rFonts w:hint="eastAsia" w:ascii="宋体" w:hAnsi="宋体" w:eastAsia="宋体" w:cs="宋体"/>
          <w:color w:val="auto"/>
          <w:spacing w:val="0"/>
          <w:highlight w:val="none"/>
        </w:rPr>
      </w:pPr>
    </w:p>
    <w:p w14:paraId="3363FA0C">
      <w:pPr>
        <w:keepNext w:val="0"/>
        <w:keepLines w:val="0"/>
        <w:pageBreakBefore w:val="0"/>
        <w:wordWrap w:val="0"/>
        <w:overflowPunct/>
        <w:topLinePunct w:val="0"/>
        <w:bidi w:val="0"/>
        <w:jc w:val="center"/>
        <w:rPr>
          <w:rFonts w:hint="eastAsia" w:ascii="宋体" w:hAnsi="宋体" w:eastAsia="宋体" w:cs="宋体"/>
          <w:b/>
          <w:bCs/>
          <w:color w:val="auto"/>
          <w:spacing w:val="0"/>
          <w:sz w:val="28"/>
          <w:szCs w:val="28"/>
          <w:highlight w:val="none"/>
        </w:rPr>
      </w:pPr>
      <w:r>
        <w:rPr>
          <w:rFonts w:hint="eastAsia" w:ascii="宋体" w:hAnsi="宋体" w:eastAsia="宋体" w:cs="宋体"/>
          <w:b/>
          <w:bCs/>
          <w:color w:val="auto"/>
          <w:spacing w:val="0"/>
          <w:sz w:val="28"/>
          <w:szCs w:val="28"/>
          <w:highlight w:val="none"/>
        </w:rPr>
        <w:t>目录</w:t>
      </w:r>
    </w:p>
    <w:p w14:paraId="7D4A8FF6">
      <w:pPr>
        <w:pStyle w:val="13"/>
        <w:tabs>
          <w:tab w:val="right" w:leader="dot" w:pos="9746"/>
        </w:tabs>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TOC \o "1-3" \h \u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_Toc25283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第一章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投标人须知</w:t>
      </w:r>
      <w:r>
        <w:tab/>
      </w:r>
      <w:r>
        <w:fldChar w:fldCharType="begin"/>
      </w:r>
      <w:r>
        <w:instrText xml:space="preserve"> PAGEREF _Toc25283 \h </w:instrText>
      </w:r>
      <w:r>
        <w:fldChar w:fldCharType="separate"/>
      </w:r>
      <w:r>
        <w:t>3</w:t>
      </w:r>
      <w:r>
        <w:fldChar w:fldCharType="end"/>
      </w:r>
      <w:r>
        <w:rPr>
          <w:rFonts w:hint="eastAsia" w:ascii="宋体" w:hAnsi="宋体" w:eastAsia="宋体" w:cs="宋体"/>
          <w:color w:val="auto"/>
          <w:spacing w:val="0"/>
          <w:szCs w:val="24"/>
          <w:highlight w:val="none"/>
        </w:rPr>
        <w:fldChar w:fldCharType="end"/>
      </w:r>
    </w:p>
    <w:p w14:paraId="63099B86">
      <w:pPr>
        <w:pStyle w:val="14"/>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_Toc1278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第一节</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投标人须知前附表</w:t>
      </w:r>
      <w:r>
        <w:tab/>
      </w:r>
      <w:r>
        <w:fldChar w:fldCharType="begin"/>
      </w:r>
      <w:r>
        <w:instrText xml:space="preserve"> PAGEREF _Toc1278 \h </w:instrText>
      </w:r>
      <w:r>
        <w:fldChar w:fldCharType="separate"/>
      </w:r>
      <w:r>
        <w:t>3</w:t>
      </w:r>
      <w:r>
        <w:fldChar w:fldCharType="end"/>
      </w:r>
      <w:r>
        <w:rPr>
          <w:rFonts w:hint="eastAsia" w:ascii="宋体" w:hAnsi="宋体" w:eastAsia="宋体" w:cs="宋体"/>
          <w:color w:val="auto"/>
          <w:spacing w:val="0"/>
          <w:szCs w:val="24"/>
          <w:highlight w:val="none"/>
        </w:rPr>
        <w:fldChar w:fldCharType="end"/>
      </w:r>
    </w:p>
    <w:p w14:paraId="3D9C8B78">
      <w:pPr>
        <w:pStyle w:val="14"/>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_Toc10198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第二节 重要事项时间地点一览表</w:t>
      </w:r>
      <w:r>
        <w:tab/>
      </w:r>
      <w:r>
        <w:fldChar w:fldCharType="begin"/>
      </w:r>
      <w:r>
        <w:instrText xml:space="preserve"> PAGEREF _Toc10198 \h </w:instrText>
      </w:r>
      <w:r>
        <w:fldChar w:fldCharType="separate"/>
      </w:r>
      <w:r>
        <w:t>10</w:t>
      </w:r>
      <w:r>
        <w:fldChar w:fldCharType="end"/>
      </w:r>
      <w:r>
        <w:rPr>
          <w:rFonts w:hint="eastAsia" w:ascii="宋体" w:hAnsi="宋体" w:eastAsia="宋体" w:cs="宋体"/>
          <w:color w:val="auto"/>
          <w:spacing w:val="0"/>
          <w:szCs w:val="24"/>
          <w:highlight w:val="none"/>
        </w:rPr>
        <w:fldChar w:fldCharType="end"/>
      </w:r>
    </w:p>
    <w:p w14:paraId="22FEC6A9">
      <w:pPr>
        <w:pStyle w:val="14"/>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_Toc3689 </w:instrText>
      </w:r>
      <w:r>
        <w:rPr>
          <w:rFonts w:hint="eastAsia" w:ascii="宋体" w:hAnsi="宋体" w:eastAsia="宋体" w:cs="宋体"/>
          <w:spacing w:val="0"/>
          <w:szCs w:val="24"/>
          <w:highlight w:val="none"/>
        </w:rPr>
        <w:fldChar w:fldCharType="separate"/>
      </w:r>
      <w:r>
        <w:rPr>
          <w:rFonts w:hint="eastAsia" w:ascii="宋体" w:hAnsi="宋体" w:eastAsia="宋体" w:cs="宋体"/>
          <w:snapToGrid w:val="0"/>
          <w:szCs w:val="24"/>
          <w:highlight w:val="none"/>
        </w:rPr>
        <w:t>第三节 投标人须知正文</w:t>
      </w:r>
      <w:r>
        <w:tab/>
      </w:r>
      <w:r>
        <w:fldChar w:fldCharType="begin"/>
      </w:r>
      <w:r>
        <w:instrText xml:space="preserve"> PAGEREF _Toc3689 \h </w:instrText>
      </w:r>
      <w:r>
        <w:fldChar w:fldCharType="separate"/>
      </w:r>
      <w:r>
        <w:t>11</w:t>
      </w:r>
      <w:r>
        <w:fldChar w:fldCharType="end"/>
      </w:r>
      <w:r>
        <w:rPr>
          <w:rFonts w:hint="eastAsia" w:ascii="宋体" w:hAnsi="宋体" w:eastAsia="宋体" w:cs="宋体"/>
          <w:color w:val="auto"/>
          <w:spacing w:val="0"/>
          <w:szCs w:val="24"/>
          <w:highlight w:val="none"/>
        </w:rPr>
        <w:fldChar w:fldCharType="end"/>
      </w:r>
    </w:p>
    <w:p w14:paraId="1A2C0C0F">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_Toc27215 </w:instrText>
      </w:r>
      <w:r>
        <w:rPr>
          <w:rFonts w:hint="eastAsia" w:ascii="宋体" w:hAnsi="宋体" w:eastAsia="宋体" w:cs="宋体"/>
          <w:spacing w:val="0"/>
          <w:szCs w:val="24"/>
          <w:highlight w:val="none"/>
        </w:rPr>
        <w:fldChar w:fldCharType="separate"/>
      </w:r>
      <w:r>
        <w:rPr>
          <w:rFonts w:hint="eastAsia" w:ascii="宋体" w:hAnsi="宋体" w:eastAsia="宋体" w:cs="宋体"/>
          <w:snapToGrid w:val="0"/>
          <w:szCs w:val="24"/>
          <w:highlight w:val="none"/>
        </w:rPr>
        <w:t>1．项目概况、招标范围和标段划分、投标费用</w:t>
      </w:r>
      <w:r>
        <w:tab/>
      </w:r>
      <w:r>
        <w:fldChar w:fldCharType="begin"/>
      </w:r>
      <w:r>
        <w:instrText xml:space="preserve"> PAGEREF _Toc27215 \h </w:instrText>
      </w:r>
      <w:r>
        <w:fldChar w:fldCharType="separate"/>
      </w:r>
      <w:r>
        <w:t>11</w:t>
      </w:r>
      <w:r>
        <w:fldChar w:fldCharType="end"/>
      </w:r>
      <w:r>
        <w:rPr>
          <w:rFonts w:hint="eastAsia" w:ascii="宋体" w:hAnsi="宋体" w:eastAsia="宋体" w:cs="宋体"/>
          <w:color w:val="auto"/>
          <w:spacing w:val="0"/>
          <w:szCs w:val="24"/>
          <w:highlight w:val="none"/>
        </w:rPr>
        <w:fldChar w:fldCharType="end"/>
      </w:r>
    </w:p>
    <w:p w14:paraId="0E3CE33D">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_Toc28907 </w:instrText>
      </w:r>
      <w:r>
        <w:rPr>
          <w:rFonts w:hint="eastAsia" w:ascii="宋体" w:hAnsi="宋体" w:eastAsia="宋体" w:cs="宋体"/>
          <w:spacing w:val="0"/>
          <w:szCs w:val="24"/>
          <w:highlight w:val="none"/>
        </w:rPr>
        <w:fldChar w:fldCharType="separate"/>
      </w:r>
      <w:r>
        <w:rPr>
          <w:rFonts w:hint="eastAsia" w:ascii="宋体" w:hAnsi="宋体" w:eastAsia="宋体" w:cs="宋体"/>
          <w:snapToGrid w:val="0"/>
          <w:szCs w:val="24"/>
          <w:highlight w:val="none"/>
        </w:rPr>
        <w:t>2．投标人资格要求</w:t>
      </w:r>
      <w:r>
        <w:tab/>
      </w:r>
      <w:r>
        <w:fldChar w:fldCharType="begin"/>
      </w:r>
      <w:r>
        <w:instrText xml:space="preserve"> PAGEREF _Toc28907 \h </w:instrText>
      </w:r>
      <w:r>
        <w:fldChar w:fldCharType="separate"/>
      </w:r>
      <w:r>
        <w:t>11</w:t>
      </w:r>
      <w:r>
        <w:fldChar w:fldCharType="end"/>
      </w:r>
      <w:r>
        <w:rPr>
          <w:rFonts w:hint="eastAsia" w:ascii="宋体" w:hAnsi="宋体" w:eastAsia="宋体" w:cs="宋体"/>
          <w:color w:val="auto"/>
          <w:spacing w:val="0"/>
          <w:szCs w:val="24"/>
          <w:highlight w:val="none"/>
        </w:rPr>
        <w:fldChar w:fldCharType="end"/>
      </w:r>
    </w:p>
    <w:p w14:paraId="3727EE00">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_Toc29340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3．招标文件的获取</w:t>
      </w:r>
      <w:r>
        <w:tab/>
      </w:r>
      <w:r>
        <w:fldChar w:fldCharType="begin"/>
      </w:r>
      <w:r>
        <w:instrText xml:space="preserve"> PAGEREF _Toc29340 \h </w:instrText>
      </w:r>
      <w:r>
        <w:fldChar w:fldCharType="separate"/>
      </w:r>
      <w:r>
        <w:t>13</w:t>
      </w:r>
      <w:r>
        <w:fldChar w:fldCharType="end"/>
      </w:r>
      <w:r>
        <w:rPr>
          <w:rFonts w:hint="eastAsia" w:ascii="宋体" w:hAnsi="宋体" w:eastAsia="宋体" w:cs="宋体"/>
          <w:color w:val="auto"/>
          <w:spacing w:val="0"/>
          <w:szCs w:val="24"/>
          <w:highlight w:val="none"/>
        </w:rPr>
        <w:fldChar w:fldCharType="end"/>
      </w:r>
    </w:p>
    <w:p w14:paraId="49E82278">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_Toc16298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4</w:t>
      </w:r>
      <w:r>
        <w:rPr>
          <w:rFonts w:hint="eastAsia" w:ascii="宋体" w:hAnsi="宋体" w:eastAsia="宋体" w:cs="宋体"/>
          <w:bCs/>
          <w:spacing w:val="0"/>
          <w:szCs w:val="24"/>
          <w:highlight w:val="none"/>
          <w:lang w:val="en-US" w:eastAsia="zh-CN"/>
        </w:rPr>
        <w:t xml:space="preserve"> </w:t>
      </w:r>
      <w:r>
        <w:rPr>
          <w:rFonts w:hint="eastAsia" w:ascii="宋体" w:hAnsi="宋体" w:eastAsia="宋体" w:cs="宋体"/>
          <w:bCs/>
          <w:spacing w:val="0"/>
          <w:szCs w:val="24"/>
          <w:highlight w:val="none"/>
        </w:rPr>
        <w:t>．工期要求</w:t>
      </w:r>
      <w:r>
        <w:tab/>
      </w:r>
      <w:r>
        <w:fldChar w:fldCharType="begin"/>
      </w:r>
      <w:r>
        <w:instrText xml:space="preserve"> PAGEREF _Toc16298 \h </w:instrText>
      </w:r>
      <w:r>
        <w:fldChar w:fldCharType="separate"/>
      </w:r>
      <w:r>
        <w:t>15</w:t>
      </w:r>
      <w:r>
        <w:fldChar w:fldCharType="end"/>
      </w:r>
      <w:r>
        <w:rPr>
          <w:rFonts w:hint="eastAsia" w:ascii="宋体" w:hAnsi="宋体" w:eastAsia="宋体" w:cs="宋体"/>
          <w:color w:val="auto"/>
          <w:spacing w:val="0"/>
          <w:szCs w:val="24"/>
          <w:highlight w:val="none"/>
        </w:rPr>
        <w:fldChar w:fldCharType="end"/>
      </w:r>
    </w:p>
    <w:p w14:paraId="368A8569">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_Toc27150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5</w:t>
      </w:r>
      <w:r>
        <w:rPr>
          <w:rFonts w:hint="eastAsia" w:ascii="宋体" w:hAnsi="宋体" w:eastAsia="宋体" w:cs="宋体"/>
          <w:bCs/>
          <w:spacing w:val="0"/>
          <w:szCs w:val="24"/>
          <w:highlight w:val="none"/>
          <w:lang w:val="en-US" w:eastAsia="zh-CN"/>
        </w:rPr>
        <w:t xml:space="preserve"> </w:t>
      </w:r>
      <w:r>
        <w:rPr>
          <w:rFonts w:hint="eastAsia" w:ascii="宋体" w:hAnsi="宋体" w:eastAsia="宋体" w:cs="宋体"/>
          <w:bCs/>
          <w:spacing w:val="0"/>
          <w:szCs w:val="24"/>
          <w:highlight w:val="none"/>
        </w:rPr>
        <w:t>．质量标准和材料、机械要求</w:t>
      </w:r>
      <w:r>
        <w:tab/>
      </w:r>
      <w:r>
        <w:fldChar w:fldCharType="begin"/>
      </w:r>
      <w:r>
        <w:instrText xml:space="preserve"> PAGEREF _Toc27150 \h </w:instrText>
      </w:r>
      <w:r>
        <w:fldChar w:fldCharType="separate"/>
      </w:r>
      <w:r>
        <w:t>15</w:t>
      </w:r>
      <w:r>
        <w:fldChar w:fldCharType="end"/>
      </w:r>
      <w:r>
        <w:rPr>
          <w:rFonts w:hint="eastAsia" w:ascii="宋体" w:hAnsi="宋体" w:eastAsia="宋体" w:cs="宋体"/>
          <w:color w:val="auto"/>
          <w:spacing w:val="0"/>
          <w:szCs w:val="24"/>
          <w:highlight w:val="none"/>
        </w:rPr>
        <w:fldChar w:fldCharType="end"/>
      </w:r>
    </w:p>
    <w:p w14:paraId="1EF5BA25">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_Toc24173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6 ．施工条件及现场踏勘</w:t>
      </w:r>
      <w:r>
        <w:tab/>
      </w:r>
      <w:r>
        <w:fldChar w:fldCharType="begin"/>
      </w:r>
      <w:r>
        <w:instrText xml:space="preserve"> PAGEREF _Toc24173 \h </w:instrText>
      </w:r>
      <w:r>
        <w:fldChar w:fldCharType="separate"/>
      </w:r>
      <w:r>
        <w:t>16</w:t>
      </w:r>
      <w:r>
        <w:fldChar w:fldCharType="end"/>
      </w:r>
      <w:r>
        <w:rPr>
          <w:rFonts w:hint="eastAsia" w:ascii="宋体" w:hAnsi="宋体" w:eastAsia="宋体" w:cs="宋体"/>
          <w:color w:val="auto"/>
          <w:spacing w:val="0"/>
          <w:szCs w:val="24"/>
          <w:highlight w:val="none"/>
        </w:rPr>
        <w:fldChar w:fldCharType="end"/>
      </w:r>
    </w:p>
    <w:p w14:paraId="159A8172">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_Toc28189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7 ．招标文件的提问和答疑</w:t>
      </w:r>
      <w:r>
        <w:tab/>
      </w:r>
      <w:r>
        <w:fldChar w:fldCharType="begin"/>
      </w:r>
      <w:r>
        <w:instrText xml:space="preserve"> PAGEREF _Toc28189 \h </w:instrText>
      </w:r>
      <w:r>
        <w:fldChar w:fldCharType="separate"/>
      </w:r>
      <w:r>
        <w:t>16</w:t>
      </w:r>
      <w:r>
        <w:fldChar w:fldCharType="end"/>
      </w:r>
      <w:r>
        <w:rPr>
          <w:rFonts w:hint="eastAsia" w:ascii="宋体" w:hAnsi="宋体" w:eastAsia="宋体" w:cs="宋体"/>
          <w:color w:val="auto"/>
          <w:spacing w:val="0"/>
          <w:szCs w:val="24"/>
          <w:highlight w:val="none"/>
        </w:rPr>
        <w:fldChar w:fldCharType="end"/>
      </w:r>
    </w:p>
    <w:p w14:paraId="5DD2DC98">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_Toc25170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8 ．</w:t>
      </w:r>
      <w:r>
        <w:rPr>
          <w:rFonts w:hint="eastAsia" w:ascii="宋体" w:hAnsi="宋体" w:eastAsia="宋体" w:cs="宋体"/>
          <w:bCs/>
          <w:spacing w:val="0"/>
          <w:szCs w:val="24"/>
          <w:highlight w:val="none"/>
          <w:lang w:val="en-US" w:eastAsia="zh-CN"/>
        </w:rPr>
        <w:t>最高投标限价</w:t>
      </w:r>
      <w:r>
        <w:tab/>
      </w:r>
      <w:r>
        <w:fldChar w:fldCharType="begin"/>
      </w:r>
      <w:r>
        <w:instrText xml:space="preserve"> PAGEREF _Toc25170 \h </w:instrText>
      </w:r>
      <w:r>
        <w:fldChar w:fldCharType="separate"/>
      </w:r>
      <w:r>
        <w:t>17</w:t>
      </w:r>
      <w:r>
        <w:fldChar w:fldCharType="end"/>
      </w:r>
      <w:r>
        <w:rPr>
          <w:rFonts w:hint="eastAsia" w:ascii="宋体" w:hAnsi="宋体" w:eastAsia="宋体" w:cs="宋体"/>
          <w:color w:val="auto"/>
          <w:spacing w:val="0"/>
          <w:szCs w:val="24"/>
          <w:highlight w:val="none"/>
        </w:rPr>
        <w:fldChar w:fldCharType="end"/>
      </w:r>
    </w:p>
    <w:p w14:paraId="2DD79C34">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_Toc7895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9 ．投标报价</w:t>
      </w:r>
      <w:r>
        <w:tab/>
      </w:r>
      <w:r>
        <w:fldChar w:fldCharType="begin"/>
      </w:r>
      <w:r>
        <w:instrText xml:space="preserve"> PAGEREF _Toc7895 \h </w:instrText>
      </w:r>
      <w:r>
        <w:fldChar w:fldCharType="separate"/>
      </w:r>
      <w:r>
        <w:t>18</w:t>
      </w:r>
      <w:r>
        <w:fldChar w:fldCharType="end"/>
      </w:r>
      <w:r>
        <w:rPr>
          <w:rFonts w:hint="eastAsia" w:ascii="宋体" w:hAnsi="宋体" w:eastAsia="宋体" w:cs="宋体"/>
          <w:color w:val="auto"/>
          <w:spacing w:val="0"/>
          <w:szCs w:val="24"/>
          <w:highlight w:val="none"/>
        </w:rPr>
        <w:fldChar w:fldCharType="end"/>
      </w:r>
    </w:p>
    <w:p w14:paraId="26A6FCC8">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_Toc21772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10 ．投标文件的编制要求</w:t>
      </w:r>
      <w:r>
        <w:tab/>
      </w:r>
      <w:r>
        <w:fldChar w:fldCharType="begin"/>
      </w:r>
      <w:r>
        <w:instrText xml:space="preserve"> PAGEREF _Toc21772 \h </w:instrText>
      </w:r>
      <w:r>
        <w:fldChar w:fldCharType="separate"/>
      </w:r>
      <w:r>
        <w:t>20</w:t>
      </w:r>
      <w:r>
        <w:fldChar w:fldCharType="end"/>
      </w:r>
      <w:r>
        <w:rPr>
          <w:rFonts w:hint="eastAsia" w:ascii="宋体" w:hAnsi="宋体" w:eastAsia="宋体" w:cs="宋体"/>
          <w:color w:val="auto"/>
          <w:spacing w:val="0"/>
          <w:szCs w:val="24"/>
          <w:highlight w:val="none"/>
        </w:rPr>
        <w:fldChar w:fldCharType="end"/>
      </w:r>
    </w:p>
    <w:p w14:paraId="0EDADFA7">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_Toc2450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 xml:space="preserve">11. </w:t>
      </w:r>
      <w:r>
        <w:rPr>
          <w:rFonts w:hint="eastAsia" w:ascii="宋体" w:hAnsi="宋体" w:eastAsia="宋体" w:cs="宋体"/>
          <w:spacing w:val="0"/>
          <w:szCs w:val="24"/>
          <w:highlight w:val="none"/>
        </w:rPr>
        <w:t>电子投标：</w:t>
      </w:r>
      <w:r>
        <w:tab/>
      </w:r>
      <w:r>
        <w:fldChar w:fldCharType="begin"/>
      </w:r>
      <w:r>
        <w:instrText xml:space="preserve"> PAGEREF _Toc2450 \h </w:instrText>
      </w:r>
      <w:r>
        <w:fldChar w:fldCharType="separate"/>
      </w:r>
      <w:r>
        <w:t>24</w:t>
      </w:r>
      <w:r>
        <w:fldChar w:fldCharType="end"/>
      </w:r>
      <w:r>
        <w:rPr>
          <w:rFonts w:hint="eastAsia" w:ascii="宋体" w:hAnsi="宋体" w:eastAsia="宋体" w:cs="宋体"/>
          <w:color w:val="auto"/>
          <w:spacing w:val="0"/>
          <w:szCs w:val="24"/>
          <w:highlight w:val="none"/>
        </w:rPr>
        <w:fldChar w:fldCharType="end"/>
      </w:r>
    </w:p>
    <w:p w14:paraId="374C3EDE">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_Toc22338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lang w:val="en-US" w:eastAsia="zh-CN"/>
        </w:rPr>
        <w:t>12.</w:t>
      </w:r>
      <w:r>
        <w:rPr>
          <w:rFonts w:hint="eastAsia" w:ascii="宋体" w:hAnsi="宋体" w:eastAsia="宋体" w:cs="宋体"/>
          <w:bCs/>
          <w:spacing w:val="0"/>
          <w:w w:val="101"/>
          <w:szCs w:val="24"/>
          <w:highlight w:val="none"/>
        </w:rPr>
        <w:t xml:space="preserve"> </w:t>
      </w:r>
      <w:r>
        <w:rPr>
          <w:rFonts w:hint="eastAsia" w:ascii="宋体" w:hAnsi="宋体" w:eastAsia="宋体" w:cs="宋体"/>
          <w:bCs/>
          <w:spacing w:val="0"/>
          <w:szCs w:val="24"/>
          <w:highlight w:val="none"/>
        </w:rPr>
        <w:t>电子投标及投标解密失败及突发情况的补救方案</w:t>
      </w:r>
      <w:r>
        <w:tab/>
      </w:r>
      <w:r>
        <w:fldChar w:fldCharType="begin"/>
      </w:r>
      <w:r>
        <w:instrText xml:space="preserve"> PAGEREF _Toc22338 \h </w:instrText>
      </w:r>
      <w:r>
        <w:fldChar w:fldCharType="separate"/>
      </w:r>
      <w:r>
        <w:t>24</w:t>
      </w:r>
      <w:r>
        <w:fldChar w:fldCharType="end"/>
      </w:r>
      <w:r>
        <w:rPr>
          <w:rFonts w:hint="eastAsia" w:ascii="宋体" w:hAnsi="宋体" w:eastAsia="宋体" w:cs="宋体"/>
          <w:color w:val="auto"/>
          <w:spacing w:val="0"/>
          <w:szCs w:val="24"/>
          <w:highlight w:val="none"/>
        </w:rPr>
        <w:fldChar w:fldCharType="end"/>
      </w:r>
    </w:p>
    <w:p w14:paraId="570C7D2A">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_Toc6745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13 ．投标文件的提交</w:t>
      </w:r>
      <w:r>
        <w:tab/>
      </w:r>
      <w:r>
        <w:fldChar w:fldCharType="begin"/>
      </w:r>
      <w:r>
        <w:instrText xml:space="preserve"> PAGEREF _Toc6745 \h </w:instrText>
      </w:r>
      <w:r>
        <w:fldChar w:fldCharType="separate"/>
      </w:r>
      <w:r>
        <w:t>25</w:t>
      </w:r>
      <w:r>
        <w:fldChar w:fldCharType="end"/>
      </w:r>
      <w:r>
        <w:rPr>
          <w:rFonts w:hint="eastAsia" w:ascii="宋体" w:hAnsi="宋体" w:eastAsia="宋体" w:cs="宋体"/>
          <w:color w:val="auto"/>
          <w:spacing w:val="0"/>
          <w:szCs w:val="24"/>
          <w:highlight w:val="none"/>
        </w:rPr>
        <w:fldChar w:fldCharType="end"/>
      </w:r>
    </w:p>
    <w:p w14:paraId="7C9980BB">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_Toc17102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14 ．开标</w:t>
      </w:r>
      <w:r>
        <w:tab/>
      </w:r>
      <w:r>
        <w:fldChar w:fldCharType="begin"/>
      </w:r>
      <w:r>
        <w:instrText xml:space="preserve"> PAGEREF _Toc17102 \h </w:instrText>
      </w:r>
      <w:r>
        <w:fldChar w:fldCharType="separate"/>
      </w:r>
      <w:r>
        <w:t>25</w:t>
      </w:r>
      <w:r>
        <w:fldChar w:fldCharType="end"/>
      </w:r>
      <w:r>
        <w:rPr>
          <w:rFonts w:hint="eastAsia" w:ascii="宋体" w:hAnsi="宋体" w:eastAsia="宋体" w:cs="宋体"/>
          <w:color w:val="auto"/>
          <w:spacing w:val="0"/>
          <w:szCs w:val="24"/>
          <w:highlight w:val="none"/>
        </w:rPr>
        <w:fldChar w:fldCharType="end"/>
      </w:r>
    </w:p>
    <w:p w14:paraId="628058C7">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_Toc20917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15 ．评标</w:t>
      </w:r>
      <w:r>
        <w:tab/>
      </w:r>
      <w:r>
        <w:fldChar w:fldCharType="begin"/>
      </w:r>
      <w:r>
        <w:instrText xml:space="preserve"> PAGEREF _Toc20917 \h </w:instrText>
      </w:r>
      <w:r>
        <w:fldChar w:fldCharType="separate"/>
      </w:r>
      <w:r>
        <w:t>27</w:t>
      </w:r>
      <w:r>
        <w:fldChar w:fldCharType="end"/>
      </w:r>
      <w:r>
        <w:rPr>
          <w:rFonts w:hint="eastAsia" w:ascii="宋体" w:hAnsi="宋体" w:eastAsia="宋体" w:cs="宋体"/>
          <w:color w:val="auto"/>
          <w:spacing w:val="0"/>
          <w:szCs w:val="24"/>
          <w:highlight w:val="none"/>
        </w:rPr>
        <w:fldChar w:fldCharType="end"/>
      </w:r>
    </w:p>
    <w:p w14:paraId="7C1709EB">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_Toc13278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16 ．</w:t>
      </w:r>
      <w:r>
        <w:rPr>
          <w:rFonts w:hint="eastAsia" w:ascii="宋体" w:hAnsi="宋体" w:eastAsia="宋体" w:cs="宋体"/>
          <w:bCs/>
          <w:spacing w:val="0"/>
          <w:szCs w:val="24"/>
          <w:highlight w:val="none"/>
          <w:lang w:val="en-US" w:eastAsia="zh-CN"/>
        </w:rPr>
        <w:t>定</w:t>
      </w:r>
      <w:r>
        <w:rPr>
          <w:rFonts w:hint="eastAsia" w:ascii="宋体" w:hAnsi="宋体" w:eastAsia="宋体" w:cs="宋体"/>
          <w:bCs/>
          <w:spacing w:val="0"/>
          <w:szCs w:val="24"/>
          <w:highlight w:val="none"/>
        </w:rPr>
        <w:t>标</w:t>
      </w:r>
      <w:r>
        <w:tab/>
      </w:r>
      <w:r>
        <w:fldChar w:fldCharType="begin"/>
      </w:r>
      <w:r>
        <w:instrText xml:space="preserve"> PAGEREF _Toc13278 \h </w:instrText>
      </w:r>
      <w:r>
        <w:fldChar w:fldCharType="separate"/>
      </w:r>
      <w:r>
        <w:t>39</w:t>
      </w:r>
      <w:r>
        <w:fldChar w:fldCharType="end"/>
      </w:r>
      <w:r>
        <w:rPr>
          <w:rFonts w:hint="eastAsia" w:ascii="宋体" w:hAnsi="宋体" w:eastAsia="宋体" w:cs="宋体"/>
          <w:color w:val="auto"/>
          <w:spacing w:val="0"/>
          <w:szCs w:val="24"/>
          <w:highlight w:val="none"/>
        </w:rPr>
        <w:fldChar w:fldCharType="end"/>
      </w:r>
    </w:p>
    <w:p w14:paraId="06844A2F">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_Toc10682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lang w:val="en-US" w:eastAsia="zh-CN"/>
        </w:rPr>
        <w:t>17</w:t>
      </w:r>
      <w:r>
        <w:rPr>
          <w:rFonts w:hint="eastAsia" w:ascii="宋体" w:hAnsi="宋体" w:eastAsia="宋体" w:cs="宋体"/>
          <w:bCs/>
          <w:spacing w:val="0"/>
          <w:szCs w:val="24"/>
          <w:highlight w:val="none"/>
        </w:rPr>
        <w:t xml:space="preserve"> ．</w:t>
      </w:r>
      <w:r>
        <w:rPr>
          <w:rFonts w:hint="eastAsia" w:ascii="宋体" w:hAnsi="宋体" w:eastAsia="宋体" w:cs="宋体"/>
          <w:bCs/>
          <w:spacing w:val="0"/>
          <w:szCs w:val="24"/>
          <w:highlight w:val="none"/>
          <w:lang w:val="en-US" w:eastAsia="zh-CN"/>
        </w:rPr>
        <w:t>定</w:t>
      </w:r>
      <w:r>
        <w:rPr>
          <w:rFonts w:hint="eastAsia" w:ascii="宋体" w:hAnsi="宋体" w:eastAsia="宋体" w:cs="宋体"/>
          <w:bCs/>
          <w:spacing w:val="0"/>
          <w:szCs w:val="24"/>
          <w:highlight w:val="none"/>
        </w:rPr>
        <w:t>标</w:t>
      </w:r>
      <w:r>
        <w:rPr>
          <w:rFonts w:hint="eastAsia" w:ascii="宋体" w:hAnsi="宋体" w:eastAsia="宋体" w:cs="宋体"/>
          <w:bCs/>
          <w:spacing w:val="0"/>
          <w:szCs w:val="24"/>
          <w:highlight w:val="none"/>
          <w:lang w:val="en-US" w:eastAsia="zh-CN"/>
        </w:rPr>
        <w:t>结果</w:t>
      </w:r>
      <w:r>
        <w:rPr>
          <w:rFonts w:hint="eastAsia" w:ascii="宋体" w:hAnsi="宋体" w:eastAsia="宋体" w:cs="宋体"/>
          <w:bCs/>
          <w:spacing w:val="0"/>
          <w:szCs w:val="24"/>
          <w:highlight w:val="none"/>
        </w:rPr>
        <w:t>公示</w:t>
      </w:r>
      <w:r>
        <w:tab/>
      </w:r>
      <w:r>
        <w:fldChar w:fldCharType="begin"/>
      </w:r>
      <w:r>
        <w:instrText xml:space="preserve"> PAGEREF _Toc10682 \h </w:instrText>
      </w:r>
      <w:r>
        <w:fldChar w:fldCharType="separate"/>
      </w:r>
      <w:r>
        <w:t>41</w:t>
      </w:r>
      <w:r>
        <w:fldChar w:fldCharType="end"/>
      </w:r>
      <w:r>
        <w:rPr>
          <w:rFonts w:hint="eastAsia" w:ascii="宋体" w:hAnsi="宋体" w:eastAsia="宋体" w:cs="宋体"/>
          <w:color w:val="auto"/>
          <w:spacing w:val="0"/>
          <w:szCs w:val="24"/>
          <w:highlight w:val="none"/>
        </w:rPr>
        <w:fldChar w:fldCharType="end"/>
      </w:r>
    </w:p>
    <w:p w14:paraId="0401476A">
      <w:pPr>
        <w:pStyle w:val="14"/>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_Toc22607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第四节</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否决投标条件</w:t>
      </w:r>
      <w:r>
        <w:tab/>
      </w:r>
      <w:r>
        <w:fldChar w:fldCharType="begin"/>
      </w:r>
      <w:r>
        <w:instrText xml:space="preserve"> PAGEREF _Toc22607 \h </w:instrText>
      </w:r>
      <w:r>
        <w:fldChar w:fldCharType="separate"/>
      </w:r>
      <w:r>
        <w:t>42</w:t>
      </w:r>
      <w:r>
        <w:fldChar w:fldCharType="end"/>
      </w:r>
      <w:r>
        <w:rPr>
          <w:rFonts w:hint="eastAsia" w:ascii="宋体" w:hAnsi="宋体" w:eastAsia="宋体" w:cs="宋体"/>
          <w:color w:val="auto"/>
          <w:spacing w:val="0"/>
          <w:szCs w:val="24"/>
          <w:highlight w:val="none"/>
        </w:rPr>
        <w:fldChar w:fldCharType="end"/>
      </w:r>
    </w:p>
    <w:p w14:paraId="1D6EE848">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_Toc11394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 ．资格评审环节</w:t>
      </w:r>
      <w:r>
        <w:tab/>
      </w:r>
      <w:r>
        <w:fldChar w:fldCharType="begin"/>
      </w:r>
      <w:r>
        <w:instrText xml:space="preserve"> PAGEREF _Toc11394 \h </w:instrText>
      </w:r>
      <w:r>
        <w:fldChar w:fldCharType="separate"/>
      </w:r>
      <w:r>
        <w:t>42</w:t>
      </w:r>
      <w:r>
        <w:fldChar w:fldCharType="end"/>
      </w:r>
      <w:r>
        <w:rPr>
          <w:rFonts w:hint="eastAsia" w:ascii="宋体" w:hAnsi="宋体" w:eastAsia="宋体" w:cs="宋体"/>
          <w:color w:val="auto"/>
          <w:spacing w:val="0"/>
          <w:szCs w:val="24"/>
          <w:highlight w:val="none"/>
        </w:rPr>
        <w:fldChar w:fldCharType="end"/>
      </w:r>
    </w:p>
    <w:p w14:paraId="29E4687F">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_Toc7870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2 ．形式评审环节</w:t>
      </w:r>
      <w:r>
        <w:tab/>
      </w:r>
      <w:r>
        <w:fldChar w:fldCharType="begin"/>
      </w:r>
      <w:r>
        <w:instrText xml:space="preserve"> PAGEREF _Toc7870 \h </w:instrText>
      </w:r>
      <w:r>
        <w:fldChar w:fldCharType="separate"/>
      </w:r>
      <w:r>
        <w:t>43</w:t>
      </w:r>
      <w:r>
        <w:fldChar w:fldCharType="end"/>
      </w:r>
      <w:r>
        <w:rPr>
          <w:rFonts w:hint="eastAsia" w:ascii="宋体" w:hAnsi="宋体" w:eastAsia="宋体" w:cs="宋体"/>
          <w:color w:val="auto"/>
          <w:spacing w:val="0"/>
          <w:szCs w:val="24"/>
          <w:highlight w:val="none"/>
        </w:rPr>
        <w:fldChar w:fldCharType="end"/>
      </w:r>
    </w:p>
    <w:p w14:paraId="0DD41A56">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_Toc3966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3 ．响应性评审环节</w:t>
      </w:r>
      <w:r>
        <w:tab/>
      </w:r>
      <w:r>
        <w:fldChar w:fldCharType="begin"/>
      </w:r>
      <w:r>
        <w:instrText xml:space="preserve"> PAGEREF _Toc3966 \h </w:instrText>
      </w:r>
      <w:r>
        <w:fldChar w:fldCharType="separate"/>
      </w:r>
      <w:r>
        <w:t>43</w:t>
      </w:r>
      <w:r>
        <w:fldChar w:fldCharType="end"/>
      </w:r>
      <w:r>
        <w:rPr>
          <w:rFonts w:hint="eastAsia" w:ascii="宋体" w:hAnsi="宋体" w:eastAsia="宋体" w:cs="宋体"/>
          <w:color w:val="auto"/>
          <w:spacing w:val="0"/>
          <w:szCs w:val="24"/>
          <w:highlight w:val="none"/>
        </w:rPr>
        <w:fldChar w:fldCharType="end"/>
      </w:r>
    </w:p>
    <w:p w14:paraId="140C3413">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_Toc27412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4 ．其他</w:t>
      </w:r>
      <w:r>
        <w:tab/>
      </w:r>
      <w:r>
        <w:fldChar w:fldCharType="begin"/>
      </w:r>
      <w:r>
        <w:instrText xml:space="preserve"> PAGEREF _Toc27412 \h </w:instrText>
      </w:r>
      <w:r>
        <w:fldChar w:fldCharType="separate"/>
      </w:r>
      <w:r>
        <w:t>44</w:t>
      </w:r>
      <w:r>
        <w:fldChar w:fldCharType="end"/>
      </w:r>
      <w:r>
        <w:rPr>
          <w:rFonts w:hint="eastAsia" w:ascii="宋体" w:hAnsi="宋体" w:eastAsia="宋体" w:cs="宋体"/>
          <w:color w:val="auto"/>
          <w:spacing w:val="0"/>
          <w:szCs w:val="24"/>
          <w:highlight w:val="none"/>
        </w:rPr>
        <w:fldChar w:fldCharType="end"/>
      </w:r>
    </w:p>
    <w:p w14:paraId="10F2D527">
      <w:pPr>
        <w:pStyle w:val="13"/>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_Toc575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第二章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中标人须知</w:t>
      </w:r>
      <w:r>
        <w:tab/>
      </w:r>
      <w:r>
        <w:fldChar w:fldCharType="begin"/>
      </w:r>
      <w:r>
        <w:instrText xml:space="preserve"> PAGEREF _Toc575 \h </w:instrText>
      </w:r>
      <w:r>
        <w:fldChar w:fldCharType="separate"/>
      </w:r>
      <w:r>
        <w:t>45</w:t>
      </w:r>
      <w:r>
        <w:fldChar w:fldCharType="end"/>
      </w:r>
      <w:r>
        <w:rPr>
          <w:rFonts w:hint="eastAsia" w:ascii="宋体" w:hAnsi="宋体" w:eastAsia="宋体" w:cs="宋体"/>
          <w:color w:val="auto"/>
          <w:spacing w:val="0"/>
          <w:szCs w:val="24"/>
          <w:highlight w:val="none"/>
        </w:rPr>
        <w:fldChar w:fldCharType="end"/>
      </w:r>
    </w:p>
    <w:p w14:paraId="6DFFF862">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_Toc25766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 ．中标通知书</w:t>
      </w:r>
      <w:r>
        <w:tab/>
      </w:r>
      <w:r>
        <w:fldChar w:fldCharType="begin"/>
      </w:r>
      <w:r>
        <w:instrText xml:space="preserve"> PAGEREF _Toc25766 \h </w:instrText>
      </w:r>
      <w:r>
        <w:fldChar w:fldCharType="separate"/>
      </w:r>
      <w:r>
        <w:t>45</w:t>
      </w:r>
      <w:r>
        <w:fldChar w:fldCharType="end"/>
      </w:r>
      <w:r>
        <w:rPr>
          <w:rFonts w:hint="eastAsia" w:ascii="宋体" w:hAnsi="宋体" w:eastAsia="宋体" w:cs="宋体"/>
          <w:color w:val="auto"/>
          <w:spacing w:val="0"/>
          <w:szCs w:val="24"/>
          <w:highlight w:val="none"/>
        </w:rPr>
        <w:fldChar w:fldCharType="end"/>
      </w:r>
    </w:p>
    <w:p w14:paraId="6CED9391">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_Toc5291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2 ．中结果公示</w:t>
      </w:r>
      <w:r>
        <w:tab/>
      </w:r>
      <w:r>
        <w:fldChar w:fldCharType="begin"/>
      </w:r>
      <w:r>
        <w:instrText xml:space="preserve"> PAGEREF _Toc5291 \h </w:instrText>
      </w:r>
      <w:r>
        <w:fldChar w:fldCharType="separate"/>
      </w:r>
      <w:r>
        <w:t>45</w:t>
      </w:r>
      <w:r>
        <w:fldChar w:fldCharType="end"/>
      </w:r>
      <w:r>
        <w:rPr>
          <w:rFonts w:hint="eastAsia" w:ascii="宋体" w:hAnsi="宋体" w:eastAsia="宋体" w:cs="宋体"/>
          <w:color w:val="auto"/>
          <w:spacing w:val="0"/>
          <w:szCs w:val="24"/>
          <w:highlight w:val="none"/>
        </w:rPr>
        <w:fldChar w:fldCharType="end"/>
      </w:r>
    </w:p>
    <w:p w14:paraId="7CE26967">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_Toc21021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3 ．履约保证</w:t>
      </w:r>
      <w:r>
        <w:tab/>
      </w:r>
      <w:r>
        <w:fldChar w:fldCharType="begin"/>
      </w:r>
      <w:r>
        <w:instrText xml:space="preserve"> PAGEREF _Toc21021 \h </w:instrText>
      </w:r>
      <w:r>
        <w:fldChar w:fldCharType="separate"/>
      </w:r>
      <w:r>
        <w:t>45</w:t>
      </w:r>
      <w:r>
        <w:fldChar w:fldCharType="end"/>
      </w:r>
      <w:r>
        <w:rPr>
          <w:rFonts w:hint="eastAsia" w:ascii="宋体" w:hAnsi="宋体" w:eastAsia="宋体" w:cs="宋体"/>
          <w:color w:val="auto"/>
          <w:spacing w:val="0"/>
          <w:szCs w:val="24"/>
          <w:highlight w:val="none"/>
        </w:rPr>
        <w:fldChar w:fldCharType="end"/>
      </w:r>
    </w:p>
    <w:p w14:paraId="6852F6BB">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_Toc30650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4 ．合同订立</w:t>
      </w:r>
      <w:r>
        <w:tab/>
      </w:r>
      <w:r>
        <w:fldChar w:fldCharType="begin"/>
      </w:r>
      <w:r>
        <w:instrText xml:space="preserve"> PAGEREF _Toc30650 \h </w:instrText>
      </w:r>
      <w:r>
        <w:fldChar w:fldCharType="separate"/>
      </w:r>
      <w:r>
        <w:t>45</w:t>
      </w:r>
      <w:r>
        <w:fldChar w:fldCharType="end"/>
      </w:r>
      <w:r>
        <w:rPr>
          <w:rFonts w:hint="eastAsia" w:ascii="宋体" w:hAnsi="宋体" w:eastAsia="宋体" w:cs="宋体"/>
          <w:color w:val="auto"/>
          <w:spacing w:val="0"/>
          <w:szCs w:val="24"/>
          <w:highlight w:val="none"/>
        </w:rPr>
        <w:fldChar w:fldCharType="end"/>
      </w:r>
    </w:p>
    <w:p w14:paraId="0E88A10B">
      <w:pPr>
        <w:pStyle w:val="13"/>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_Toc22969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第三章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拟签订合同的主要条款</w:t>
      </w:r>
      <w:r>
        <w:tab/>
      </w:r>
      <w:r>
        <w:fldChar w:fldCharType="begin"/>
      </w:r>
      <w:r>
        <w:instrText xml:space="preserve"> PAGEREF _Toc22969 \h </w:instrText>
      </w:r>
      <w:r>
        <w:fldChar w:fldCharType="separate"/>
      </w:r>
      <w:r>
        <w:t>56</w:t>
      </w:r>
      <w:r>
        <w:fldChar w:fldCharType="end"/>
      </w:r>
      <w:r>
        <w:rPr>
          <w:rFonts w:hint="eastAsia" w:ascii="宋体" w:hAnsi="宋体" w:eastAsia="宋体" w:cs="宋体"/>
          <w:color w:val="auto"/>
          <w:spacing w:val="0"/>
          <w:szCs w:val="24"/>
          <w:highlight w:val="none"/>
        </w:rPr>
        <w:fldChar w:fldCharType="end"/>
      </w:r>
    </w:p>
    <w:p w14:paraId="7FF8D084">
      <w:pPr>
        <w:pStyle w:val="14"/>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_Toc13610 </w:instrText>
      </w:r>
      <w:r>
        <w:rPr>
          <w:rFonts w:hint="eastAsia" w:ascii="宋体" w:hAnsi="宋体" w:eastAsia="宋体" w:cs="宋体"/>
          <w:spacing w:val="0"/>
          <w:szCs w:val="24"/>
          <w:highlight w:val="none"/>
        </w:rPr>
        <w:fldChar w:fldCharType="separate"/>
      </w:r>
      <w:r>
        <w:rPr>
          <w:rFonts w:hint="eastAsia" w:ascii="宋体" w:hAnsi="宋体" w:eastAsia="宋体" w:cs="宋体"/>
          <w:snapToGrid w:val="0"/>
          <w:szCs w:val="24"/>
          <w:highlight w:val="none"/>
        </w:rPr>
        <w:t>1．工程承包方式</w:t>
      </w:r>
      <w:r>
        <w:tab/>
      </w:r>
      <w:r>
        <w:fldChar w:fldCharType="begin"/>
      </w:r>
      <w:r>
        <w:instrText xml:space="preserve"> PAGEREF _Toc13610 \h </w:instrText>
      </w:r>
      <w:r>
        <w:fldChar w:fldCharType="separate"/>
      </w:r>
      <w:r>
        <w:t>56</w:t>
      </w:r>
      <w:r>
        <w:fldChar w:fldCharType="end"/>
      </w:r>
      <w:r>
        <w:rPr>
          <w:rFonts w:hint="eastAsia" w:ascii="宋体" w:hAnsi="宋体" w:eastAsia="宋体" w:cs="宋体"/>
          <w:color w:val="auto"/>
          <w:spacing w:val="0"/>
          <w:szCs w:val="24"/>
          <w:highlight w:val="none"/>
        </w:rPr>
        <w:fldChar w:fldCharType="end"/>
      </w:r>
    </w:p>
    <w:p w14:paraId="54F689B0">
      <w:pPr>
        <w:pStyle w:val="14"/>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_Toc28857 </w:instrText>
      </w:r>
      <w:r>
        <w:rPr>
          <w:rFonts w:hint="eastAsia" w:ascii="宋体" w:hAnsi="宋体" w:eastAsia="宋体" w:cs="宋体"/>
          <w:spacing w:val="0"/>
          <w:szCs w:val="24"/>
          <w:highlight w:val="none"/>
        </w:rPr>
        <w:fldChar w:fldCharType="separate"/>
      </w:r>
      <w:r>
        <w:rPr>
          <w:rFonts w:hint="eastAsia" w:ascii="宋体" w:hAnsi="宋体" w:eastAsia="宋体" w:cs="宋体"/>
          <w:snapToGrid w:val="0"/>
          <w:szCs w:val="24"/>
          <w:highlight w:val="none"/>
        </w:rPr>
        <w:t>2．工程结算原则</w:t>
      </w:r>
      <w:r>
        <w:tab/>
      </w:r>
      <w:r>
        <w:fldChar w:fldCharType="begin"/>
      </w:r>
      <w:r>
        <w:instrText xml:space="preserve"> PAGEREF _Toc28857 \h </w:instrText>
      </w:r>
      <w:r>
        <w:fldChar w:fldCharType="separate"/>
      </w:r>
      <w:r>
        <w:t>56</w:t>
      </w:r>
      <w:r>
        <w:fldChar w:fldCharType="end"/>
      </w:r>
      <w:r>
        <w:rPr>
          <w:rFonts w:hint="eastAsia" w:ascii="宋体" w:hAnsi="宋体" w:eastAsia="宋体" w:cs="宋体"/>
          <w:color w:val="auto"/>
          <w:spacing w:val="0"/>
          <w:szCs w:val="24"/>
          <w:highlight w:val="none"/>
        </w:rPr>
        <w:fldChar w:fldCharType="end"/>
      </w:r>
    </w:p>
    <w:p w14:paraId="01E80552">
      <w:pPr>
        <w:pStyle w:val="14"/>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_Toc7634 </w:instrText>
      </w:r>
      <w:r>
        <w:rPr>
          <w:rFonts w:hint="eastAsia" w:ascii="宋体" w:hAnsi="宋体" w:eastAsia="宋体" w:cs="宋体"/>
          <w:spacing w:val="0"/>
          <w:szCs w:val="24"/>
          <w:highlight w:val="none"/>
        </w:rPr>
        <w:fldChar w:fldCharType="separate"/>
      </w:r>
      <w:r>
        <w:rPr>
          <w:rFonts w:hint="eastAsia" w:ascii="宋体" w:hAnsi="宋体" w:eastAsia="宋体" w:cs="宋体"/>
          <w:snapToGrid w:val="0"/>
          <w:szCs w:val="24"/>
          <w:highlight w:val="none"/>
        </w:rPr>
        <w:t>3．工程付款办法</w:t>
      </w:r>
      <w:r>
        <w:tab/>
      </w:r>
      <w:r>
        <w:fldChar w:fldCharType="begin"/>
      </w:r>
      <w:r>
        <w:instrText xml:space="preserve"> PAGEREF _Toc7634 \h </w:instrText>
      </w:r>
      <w:r>
        <w:fldChar w:fldCharType="separate"/>
      </w:r>
      <w:r>
        <w:t>65</w:t>
      </w:r>
      <w:r>
        <w:fldChar w:fldCharType="end"/>
      </w:r>
      <w:r>
        <w:rPr>
          <w:rFonts w:hint="eastAsia" w:ascii="宋体" w:hAnsi="宋体" w:eastAsia="宋体" w:cs="宋体"/>
          <w:color w:val="auto"/>
          <w:spacing w:val="0"/>
          <w:szCs w:val="24"/>
          <w:highlight w:val="none"/>
        </w:rPr>
        <w:fldChar w:fldCharType="end"/>
      </w:r>
    </w:p>
    <w:p w14:paraId="3EE0DB2B">
      <w:pPr>
        <w:pStyle w:val="13"/>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_Toc23273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第四章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技术要求</w:t>
      </w:r>
      <w:r>
        <w:tab/>
      </w:r>
      <w:r>
        <w:fldChar w:fldCharType="begin"/>
      </w:r>
      <w:r>
        <w:instrText xml:space="preserve"> PAGEREF _Toc23273 \h </w:instrText>
      </w:r>
      <w:r>
        <w:fldChar w:fldCharType="separate"/>
      </w:r>
      <w:r>
        <w:t>69</w:t>
      </w:r>
      <w:r>
        <w:fldChar w:fldCharType="end"/>
      </w:r>
      <w:r>
        <w:rPr>
          <w:rFonts w:hint="eastAsia" w:ascii="宋体" w:hAnsi="宋体" w:eastAsia="宋体" w:cs="宋体"/>
          <w:color w:val="auto"/>
          <w:spacing w:val="0"/>
          <w:szCs w:val="24"/>
          <w:highlight w:val="none"/>
        </w:rPr>
        <w:fldChar w:fldCharType="end"/>
      </w:r>
    </w:p>
    <w:p w14:paraId="42A905AC">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_Toc27505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 ．房屋建筑工程建设项目</w:t>
      </w:r>
      <w:r>
        <w:tab/>
      </w:r>
      <w:r>
        <w:fldChar w:fldCharType="begin"/>
      </w:r>
      <w:r>
        <w:instrText xml:space="preserve"> PAGEREF _Toc27505 \h </w:instrText>
      </w:r>
      <w:r>
        <w:fldChar w:fldCharType="separate"/>
      </w:r>
      <w:r>
        <w:t>69</w:t>
      </w:r>
      <w:r>
        <w:fldChar w:fldCharType="end"/>
      </w:r>
      <w:r>
        <w:rPr>
          <w:rFonts w:hint="eastAsia" w:ascii="宋体" w:hAnsi="宋体" w:eastAsia="宋体" w:cs="宋体"/>
          <w:color w:val="auto"/>
          <w:spacing w:val="0"/>
          <w:szCs w:val="24"/>
          <w:highlight w:val="none"/>
        </w:rPr>
        <w:fldChar w:fldCharType="end"/>
      </w:r>
    </w:p>
    <w:p w14:paraId="6512147F">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_Toc25503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2 ．市政基础设施工程建设项目</w:t>
      </w:r>
      <w:r>
        <w:tab/>
      </w:r>
      <w:r>
        <w:fldChar w:fldCharType="begin"/>
      </w:r>
      <w:r>
        <w:instrText xml:space="preserve"> PAGEREF _Toc25503 \h </w:instrText>
      </w:r>
      <w:r>
        <w:fldChar w:fldCharType="separate"/>
      </w:r>
      <w:r>
        <w:t>69</w:t>
      </w:r>
      <w:r>
        <w:fldChar w:fldCharType="end"/>
      </w:r>
      <w:r>
        <w:rPr>
          <w:rFonts w:hint="eastAsia" w:ascii="宋体" w:hAnsi="宋体" w:eastAsia="宋体" w:cs="宋体"/>
          <w:color w:val="auto"/>
          <w:spacing w:val="0"/>
          <w:szCs w:val="24"/>
          <w:highlight w:val="none"/>
        </w:rPr>
        <w:fldChar w:fldCharType="end"/>
      </w:r>
    </w:p>
    <w:p w14:paraId="38E5F708">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_Toc14904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3 ．备查要求</w:t>
      </w:r>
      <w:r>
        <w:tab/>
      </w:r>
      <w:r>
        <w:fldChar w:fldCharType="begin"/>
      </w:r>
      <w:r>
        <w:instrText xml:space="preserve"> PAGEREF _Toc14904 \h </w:instrText>
      </w:r>
      <w:r>
        <w:fldChar w:fldCharType="separate"/>
      </w:r>
      <w:r>
        <w:t>70</w:t>
      </w:r>
      <w:r>
        <w:fldChar w:fldCharType="end"/>
      </w:r>
      <w:r>
        <w:rPr>
          <w:rFonts w:hint="eastAsia" w:ascii="宋体" w:hAnsi="宋体" w:eastAsia="宋体" w:cs="宋体"/>
          <w:color w:val="auto"/>
          <w:spacing w:val="0"/>
          <w:szCs w:val="24"/>
          <w:highlight w:val="none"/>
        </w:rPr>
        <w:fldChar w:fldCharType="end"/>
      </w:r>
    </w:p>
    <w:p w14:paraId="30CACC1E">
      <w:pPr>
        <w:pStyle w:val="13"/>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_Toc946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第五章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图纸和招标工程量清单</w:t>
      </w:r>
      <w:r>
        <w:tab/>
      </w:r>
      <w:r>
        <w:fldChar w:fldCharType="begin"/>
      </w:r>
      <w:r>
        <w:instrText xml:space="preserve"> PAGEREF _Toc946 \h </w:instrText>
      </w:r>
      <w:r>
        <w:fldChar w:fldCharType="separate"/>
      </w:r>
      <w:r>
        <w:t>71</w:t>
      </w:r>
      <w:r>
        <w:fldChar w:fldCharType="end"/>
      </w:r>
      <w:r>
        <w:rPr>
          <w:rFonts w:hint="eastAsia" w:ascii="宋体" w:hAnsi="宋体" w:eastAsia="宋体" w:cs="宋体"/>
          <w:color w:val="auto"/>
          <w:spacing w:val="0"/>
          <w:szCs w:val="24"/>
          <w:highlight w:val="none"/>
        </w:rPr>
        <w:fldChar w:fldCharType="end"/>
      </w:r>
    </w:p>
    <w:p w14:paraId="48DC1834">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_Toc24415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 ．图纸</w:t>
      </w:r>
      <w:r>
        <w:tab/>
      </w:r>
      <w:r>
        <w:fldChar w:fldCharType="begin"/>
      </w:r>
      <w:r>
        <w:instrText xml:space="preserve"> PAGEREF _Toc24415 \h </w:instrText>
      </w:r>
      <w:r>
        <w:fldChar w:fldCharType="separate"/>
      </w:r>
      <w:r>
        <w:t>71</w:t>
      </w:r>
      <w:r>
        <w:fldChar w:fldCharType="end"/>
      </w:r>
      <w:r>
        <w:rPr>
          <w:rFonts w:hint="eastAsia" w:ascii="宋体" w:hAnsi="宋体" w:eastAsia="宋体" w:cs="宋体"/>
          <w:color w:val="auto"/>
          <w:spacing w:val="0"/>
          <w:szCs w:val="24"/>
          <w:highlight w:val="none"/>
        </w:rPr>
        <w:fldChar w:fldCharType="end"/>
      </w:r>
    </w:p>
    <w:p w14:paraId="052FE67C">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_Toc1081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2 ．招标工程量清单</w:t>
      </w:r>
      <w:r>
        <w:tab/>
      </w:r>
      <w:r>
        <w:fldChar w:fldCharType="begin"/>
      </w:r>
      <w:r>
        <w:instrText xml:space="preserve"> PAGEREF _Toc1081 \h </w:instrText>
      </w:r>
      <w:r>
        <w:fldChar w:fldCharType="separate"/>
      </w:r>
      <w:r>
        <w:t>71</w:t>
      </w:r>
      <w:r>
        <w:fldChar w:fldCharType="end"/>
      </w:r>
      <w:r>
        <w:rPr>
          <w:rFonts w:hint="eastAsia" w:ascii="宋体" w:hAnsi="宋体" w:eastAsia="宋体" w:cs="宋体"/>
          <w:color w:val="auto"/>
          <w:spacing w:val="0"/>
          <w:szCs w:val="24"/>
          <w:highlight w:val="none"/>
        </w:rPr>
        <w:fldChar w:fldCharType="end"/>
      </w:r>
    </w:p>
    <w:p w14:paraId="6D86879D">
      <w:pPr>
        <w:pStyle w:val="13"/>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_Toc3447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第六章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投标文件格式</w:t>
      </w:r>
      <w:r>
        <w:tab/>
      </w:r>
      <w:r>
        <w:fldChar w:fldCharType="begin"/>
      </w:r>
      <w:r>
        <w:instrText xml:space="preserve"> PAGEREF _Toc3447 \h </w:instrText>
      </w:r>
      <w:r>
        <w:fldChar w:fldCharType="separate"/>
      </w:r>
      <w:r>
        <w:t>72</w:t>
      </w:r>
      <w:r>
        <w:fldChar w:fldCharType="end"/>
      </w:r>
      <w:r>
        <w:rPr>
          <w:rFonts w:hint="eastAsia" w:ascii="宋体" w:hAnsi="宋体" w:eastAsia="宋体" w:cs="宋体"/>
          <w:color w:val="auto"/>
          <w:spacing w:val="0"/>
          <w:szCs w:val="24"/>
          <w:highlight w:val="none"/>
        </w:rPr>
        <w:fldChar w:fldCharType="end"/>
      </w:r>
    </w:p>
    <w:p w14:paraId="7C70BF1A">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_Toc27656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格式一</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封面</w:t>
      </w:r>
      <w:r>
        <w:tab/>
      </w:r>
      <w:r>
        <w:fldChar w:fldCharType="begin"/>
      </w:r>
      <w:r>
        <w:instrText xml:space="preserve"> PAGEREF _Toc27656 \h </w:instrText>
      </w:r>
      <w:r>
        <w:fldChar w:fldCharType="separate"/>
      </w:r>
      <w:r>
        <w:t>72</w:t>
      </w:r>
      <w:r>
        <w:fldChar w:fldCharType="end"/>
      </w:r>
      <w:r>
        <w:rPr>
          <w:rFonts w:hint="eastAsia" w:ascii="宋体" w:hAnsi="宋体" w:eastAsia="宋体" w:cs="宋体"/>
          <w:color w:val="auto"/>
          <w:spacing w:val="0"/>
          <w:szCs w:val="24"/>
          <w:highlight w:val="none"/>
        </w:rPr>
        <w:fldChar w:fldCharType="end"/>
      </w:r>
    </w:p>
    <w:p w14:paraId="5DA1DB66">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_Toc31847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格式二 投标函</w:t>
      </w:r>
      <w:r>
        <w:tab/>
      </w:r>
      <w:r>
        <w:fldChar w:fldCharType="begin"/>
      </w:r>
      <w:r>
        <w:instrText xml:space="preserve"> PAGEREF _Toc31847 \h </w:instrText>
      </w:r>
      <w:r>
        <w:fldChar w:fldCharType="separate"/>
      </w:r>
      <w:r>
        <w:t>73</w:t>
      </w:r>
      <w:r>
        <w:fldChar w:fldCharType="end"/>
      </w:r>
      <w:r>
        <w:rPr>
          <w:rFonts w:hint="eastAsia" w:ascii="宋体" w:hAnsi="宋体" w:eastAsia="宋体" w:cs="宋体"/>
          <w:color w:val="auto"/>
          <w:spacing w:val="0"/>
          <w:szCs w:val="24"/>
          <w:highlight w:val="none"/>
        </w:rPr>
        <w:fldChar w:fldCharType="end"/>
      </w:r>
    </w:p>
    <w:p w14:paraId="6F7EB80C">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_Toc13891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格式三 各项承诺一览表</w:t>
      </w:r>
      <w:r>
        <w:tab/>
      </w:r>
      <w:r>
        <w:fldChar w:fldCharType="begin"/>
      </w:r>
      <w:r>
        <w:instrText xml:space="preserve"> PAGEREF _Toc13891 \h </w:instrText>
      </w:r>
      <w:r>
        <w:fldChar w:fldCharType="separate"/>
      </w:r>
      <w:r>
        <w:t>74</w:t>
      </w:r>
      <w:r>
        <w:fldChar w:fldCharType="end"/>
      </w:r>
      <w:r>
        <w:rPr>
          <w:rFonts w:hint="eastAsia" w:ascii="宋体" w:hAnsi="宋体" w:eastAsia="宋体" w:cs="宋体"/>
          <w:color w:val="auto"/>
          <w:spacing w:val="0"/>
          <w:szCs w:val="24"/>
          <w:highlight w:val="none"/>
        </w:rPr>
        <w:fldChar w:fldCharType="end"/>
      </w:r>
    </w:p>
    <w:p w14:paraId="78325566">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_Toc14898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格式四 授权委托书</w:t>
      </w:r>
      <w:r>
        <w:tab/>
      </w:r>
      <w:r>
        <w:fldChar w:fldCharType="begin"/>
      </w:r>
      <w:r>
        <w:instrText xml:space="preserve"> PAGEREF _Toc14898 \h </w:instrText>
      </w:r>
      <w:r>
        <w:fldChar w:fldCharType="separate"/>
      </w:r>
      <w:r>
        <w:t>76</w:t>
      </w:r>
      <w:r>
        <w:fldChar w:fldCharType="end"/>
      </w:r>
      <w:r>
        <w:rPr>
          <w:rFonts w:hint="eastAsia" w:ascii="宋体" w:hAnsi="宋体" w:eastAsia="宋体" w:cs="宋体"/>
          <w:color w:val="auto"/>
          <w:spacing w:val="0"/>
          <w:szCs w:val="24"/>
          <w:highlight w:val="none"/>
        </w:rPr>
        <w:fldChar w:fldCharType="end"/>
      </w:r>
    </w:p>
    <w:p w14:paraId="6322D6F7">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_Toc654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格式五 法定代表人身份证明</w:t>
      </w:r>
      <w:r>
        <w:tab/>
      </w:r>
      <w:r>
        <w:fldChar w:fldCharType="begin"/>
      </w:r>
      <w:r>
        <w:instrText xml:space="preserve"> PAGEREF _Toc654 \h </w:instrText>
      </w:r>
      <w:r>
        <w:fldChar w:fldCharType="separate"/>
      </w:r>
      <w:r>
        <w:t>77</w:t>
      </w:r>
      <w:r>
        <w:fldChar w:fldCharType="end"/>
      </w:r>
      <w:r>
        <w:rPr>
          <w:rFonts w:hint="eastAsia" w:ascii="宋体" w:hAnsi="宋体" w:eastAsia="宋体" w:cs="宋体"/>
          <w:color w:val="auto"/>
          <w:spacing w:val="0"/>
          <w:szCs w:val="24"/>
          <w:highlight w:val="none"/>
        </w:rPr>
        <w:fldChar w:fldCharType="end"/>
      </w:r>
    </w:p>
    <w:p w14:paraId="2A3B0424">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_Toc13041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格式六 联合体协议书</w:t>
      </w:r>
      <w:r>
        <w:rPr>
          <w:rFonts w:hint="eastAsia" w:ascii="宋体" w:hAnsi="宋体" w:eastAsia="宋体" w:cs="宋体"/>
          <w:bCs/>
          <w:spacing w:val="0"/>
          <w:szCs w:val="24"/>
          <w:highlight w:val="none"/>
          <w:lang w:eastAsia="zh-CN"/>
        </w:rPr>
        <w:t>（</w:t>
      </w:r>
      <w:r>
        <w:rPr>
          <w:rFonts w:hint="eastAsia" w:ascii="宋体" w:hAnsi="宋体" w:eastAsia="宋体" w:cs="宋体"/>
          <w:bCs/>
          <w:spacing w:val="0"/>
          <w:szCs w:val="24"/>
          <w:highlight w:val="none"/>
          <w:lang w:val="en-US" w:eastAsia="zh-CN"/>
        </w:rPr>
        <w:t>如有</w:t>
      </w:r>
      <w:r>
        <w:rPr>
          <w:rFonts w:hint="eastAsia" w:ascii="宋体" w:hAnsi="宋体" w:eastAsia="宋体" w:cs="宋体"/>
          <w:bCs/>
          <w:spacing w:val="0"/>
          <w:szCs w:val="24"/>
          <w:highlight w:val="none"/>
          <w:lang w:eastAsia="zh-CN"/>
        </w:rPr>
        <w:t>）</w:t>
      </w:r>
      <w:r>
        <w:tab/>
      </w:r>
      <w:r>
        <w:fldChar w:fldCharType="begin"/>
      </w:r>
      <w:r>
        <w:instrText xml:space="preserve"> PAGEREF _Toc13041 \h </w:instrText>
      </w:r>
      <w:r>
        <w:fldChar w:fldCharType="separate"/>
      </w:r>
      <w:r>
        <w:t>78</w:t>
      </w:r>
      <w:r>
        <w:fldChar w:fldCharType="end"/>
      </w:r>
      <w:r>
        <w:rPr>
          <w:rFonts w:hint="eastAsia" w:ascii="宋体" w:hAnsi="宋体" w:eastAsia="宋体" w:cs="宋体"/>
          <w:color w:val="auto"/>
          <w:spacing w:val="0"/>
          <w:szCs w:val="24"/>
          <w:highlight w:val="none"/>
        </w:rPr>
        <w:fldChar w:fldCharType="end"/>
      </w:r>
    </w:p>
    <w:p w14:paraId="4B27516A">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_Toc13205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格式七 投标人基本情况表</w:t>
      </w:r>
      <w:r>
        <w:tab/>
      </w:r>
      <w:r>
        <w:fldChar w:fldCharType="begin"/>
      </w:r>
      <w:r>
        <w:instrText xml:space="preserve"> PAGEREF _Toc13205 \h </w:instrText>
      </w:r>
      <w:r>
        <w:fldChar w:fldCharType="separate"/>
      </w:r>
      <w:r>
        <w:t>79</w:t>
      </w:r>
      <w:r>
        <w:fldChar w:fldCharType="end"/>
      </w:r>
      <w:r>
        <w:rPr>
          <w:rFonts w:hint="eastAsia" w:ascii="宋体" w:hAnsi="宋体" w:eastAsia="宋体" w:cs="宋体"/>
          <w:color w:val="auto"/>
          <w:spacing w:val="0"/>
          <w:szCs w:val="24"/>
          <w:highlight w:val="none"/>
        </w:rPr>
        <w:fldChar w:fldCharType="end"/>
      </w:r>
    </w:p>
    <w:p w14:paraId="79E7B105">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_Toc12717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格式八 项目经理简历表</w:t>
      </w:r>
      <w:r>
        <w:tab/>
      </w:r>
      <w:r>
        <w:fldChar w:fldCharType="begin"/>
      </w:r>
      <w:r>
        <w:instrText xml:space="preserve"> PAGEREF _Toc12717 \h </w:instrText>
      </w:r>
      <w:r>
        <w:fldChar w:fldCharType="separate"/>
      </w:r>
      <w:r>
        <w:t>80</w:t>
      </w:r>
      <w:r>
        <w:fldChar w:fldCharType="end"/>
      </w:r>
      <w:r>
        <w:rPr>
          <w:rFonts w:hint="eastAsia" w:ascii="宋体" w:hAnsi="宋体" w:eastAsia="宋体" w:cs="宋体"/>
          <w:color w:val="auto"/>
          <w:spacing w:val="0"/>
          <w:szCs w:val="24"/>
          <w:highlight w:val="none"/>
        </w:rPr>
        <w:fldChar w:fldCharType="end"/>
      </w:r>
    </w:p>
    <w:p w14:paraId="1A391EA0">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_Toc22280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格式九 项目经理任职声明</w:t>
      </w:r>
      <w:r>
        <w:tab/>
      </w:r>
      <w:r>
        <w:fldChar w:fldCharType="begin"/>
      </w:r>
      <w:r>
        <w:instrText xml:space="preserve"> PAGEREF _Toc22280 \h </w:instrText>
      </w:r>
      <w:r>
        <w:fldChar w:fldCharType="separate"/>
      </w:r>
      <w:r>
        <w:t>81</w:t>
      </w:r>
      <w:r>
        <w:fldChar w:fldCharType="end"/>
      </w:r>
      <w:r>
        <w:rPr>
          <w:rFonts w:hint="eastAsia" w:ascii="宋体" w:hAnsi="宋体" w:eastAsia="宋体" w:cs="宋体"/>
          <w:color w:val="auto"/>
          <w:spacing w:val="0"/>
          <w:szCs w:val="24"/>
          <w:highlight w:val="none"/>
        </w:rPr>
        <w:fldChar w:fldCharType="end"/>
      </w:r>
    </w:p>
    <w:p w14:paraId="0BF61260">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_Toc26877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 项目技术负责人简历表</w:t>
      </w:r>
      <w:r>
        <w:tab/>
      </w:r>
      <w:r>
        <w:fldChar w:fldCharType="begin"/>
      </w:r>
      <w:r>
        <w:instrText xml:space="preserve"> PAGEREF _Toc26877 \h </w:instrText>
      </w:r>
      <w:r>
        <w:fldChar w:fldCharType="separate"/>
      </w:r>
      <w:r>
        <w:t>82</w:t>
      </w:r>
      <w:r>
        <w:fldChar w:fldCharType="end"/>
      </w:r>
      <w:r>
        <w:rPr>
          <w:rFonts w:hint="eastAsia" w:ascii="宋体" w:hAnsi="宋体" w:eastAsia="宋体" w:cs="宋体"/>
          <w:color w:val="auto"/>
          <w:spacing w:val="0"/>
          <w:szCs w:val="24"/>
          <w:highlight w:val="none"/>
        </w:rPr>
        <w:fldChar w:fldCharType="end"/>
      </w:r>
    </w:p>
    <w:p w14:paraId="7FE83F88">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_Toc19005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格式十一 项目管理机构组成表</w:t>
      </w:r>
      <w:r>
        <w:tab/>
      </w:r>
      <w:r>
        <w:fldChar w:fldCharType="begin"/>
      </w:r>
      <w:r>
        <w:instrText xml:space="preserve"> PAGEREF _Toc19005 \h </w:instrText>
      </w:r>
      <w:r>
        <w:fldChar w:fldCharType="separate"/>
      </w:r>
      <w:r>
        <w:t>83</w:t>
      </w:r>
      <w:r>
        <w:fldChar w:fldCharType="end"/>
      </w:r>
      <w:r>
        <w:rPr>
          <w:rFonts w:hint="eastAsia" w:ascii="宋体" w:hAnsi="宋体" w:eastAsia="宋体" w:cs="宋体"/>
          <w:color w:val="auto"/>
          <w:spacing w:val="0"/>
          <w:szCs w:val="24"/>
          <w:highlight w:val="none"/>
        </w:rPr>
        <w:fldChar w:fldCharType="end"/>
      </w:r>
    </w:p>
    <w:p w14:paraId="3F7D96C2">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_Toc18832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格式十二 建造师查询页（有效期+建造师签字）</w:t>
      </w:r>
      <w:r>
        <w:tab/>
      </w:r>
      <w:r>
        <w:fldChar w:fldCharType="begin"/>
      </w:r>
      <w:r>
        <w:instrText xml:space="preserve"> PAGEREF _Toc18832 \h </w:instrText>
      </w:r>
      <w:r>
        <w:fldChar w:fldCharType="separate"/>
      </w:r>
      <w:r>
        <w:t>84</w:t>
      </w:r>
      <w:r>
        <w:fldChar w:fldCharType="end"/>
      </w:r>
      <w:r>
        <w:rPr>
          <w:rFonts w:hint="eastAsia" w:ascii="宋体" w:hAnsi="宋体" w:eastAsia="宋体" w:cs="宋体"/>
          <w:color w:val="auto"/>
          <w:spacing w:val="0"/>
          <w:szCs w:val="24"/>
          <w:highlight w:val="none"/>
        </w:rPr>
        <w:fldChar w:fldCharType="end"/>
      </w:r>
    </w:p>
    <w:p w14:paraId="31E1E0D0">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_Toc26899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格式十三</w:t>
      </w:r>
      <w:r>
        <w:rPr>
          <w:rFonts w:hint="eastAsia" w:ascii="宋体" w:hAnsi="宋体" w:eastAsia="宋体" w:cs="宋体"/>
          <w:bCs/>
          <w:spacing w:val="0"/>
          <w:szCs w:val="24"/>
          <w:highlight w:val="none"/>
          <w:lang w:val="en-US" w:eastAsia="zh-CN"/>
        </w:rPr>
        <w:t xml:space="preserve"> </w:t>
      </w:r>
      <w:r>
        <w:rPr>
          <w:rFonts w:hint="eastAsia" w:ascii="宋体" w:hAnsi="宋体" w:eastAsia="宋体" w:cs="宋体"/>
          <w:bCs/>
          <w:spacing w:val="0"/>
          <w:szCs w:val="22"/>
          <w:highlight w:val="none"/>
        </w:rPr>
        <w:t>危险性较大的分部分项工程清单及超过一定规模的危险性较大的分部分项工程清单</w:t>
      </w:r>
      <w:r>
        <w:tab/>
      </w:r>
      <w:r>
        <w:fldChar w:fldCharType="begin"/>
      </w:r>
      <w:r>
        <w:instrText xml:space="preserve"> PAGEREF _Toc26899 \h </w:instrText>
      </w:r>
      <w:r>
        <w:fldChar w:fldCharType="separate"/>
      </w:r>
      <w:r>
        <w:t>86</w:t>
      </w:r>
      <w:r>
        <w:fldChar w:fldCharType="end"/>
      </w:r>
      <w:r>
        <w:rPr>
          <w:rFonts w:hint="eastAsia" w:ascii="宋体" w:hAnsi="宋体" w:eastAsia="宋体" w:cs="宋体"/>
          <w:color w:val="auto"/>
          <w:spacing w:val="0"/>
          <w:szCs w:val="24"/>
          <w:highlight w:val="none"/>
        </w:rPr>
        <w:fldChar w:fldCharType="end"/>
      </w:r>
    </w:p>
    <w:p w14:paraId="064BDBF4">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_Toc24074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格式十四</w:t>
      </w:r>
      <w:r>
        <w:rPr>
          <w:rFonts w:hint="eastAsia" w:ascii="宋体" w:hAnsi="宋体" w:eastAsia="宋体" w:cs="宋体"/>
          <w:bCs/>
          <w:spacing w:val="0"/>
          <w:szCs w:val="24"/>
          <w:highlight w:val="none"/>
          <w:lang w:val="en-US" w:eastAsia="zh-CN"/>
        </w:rPr>
        <w:t xml:space="preserve">  </w:t>
      </w:r>
      <w:r>
        <w:rPr>
          <w:rFonts w:hint="eastAsia" w:ascii="宋体" w:hAnsi="宋体" w:eastAsia="宋体" w:cs="宋体"/>
          <w:bCs/>
          <w:spacing w:val="0"/>
          <w:position w:val="3"/>
          <w:szCs w:val="21"/>
          <w:highlight w:val="none"/>
        </w:rPr>
        <w:t>投标保证金信用承诺函</w:t>
      </w:r>
      <w:r>
        <w:tab/>
      </w:r>
      <w:r>
        <w:fldChar w:fldCharType="begin"/>
      </w:r>
      <w:r>
        <w:instrText xml:space="preserve"> PAGEREF _Toc24074 \h </w:instrText>
      </w:r>
      <w:r>
        <w:fldChar w:fldCharType="separate"/>
      </w:r>
      <w:r>
        <w:t>91</w:t>
      </w:r>
      <w:r>
        <w:fldChar w:fldCharType="end"/>
      </w:r>
      <w:r>
        <w:rPr>
          <w:rFonts w:hint="eastAsia" w:ascii="宋体" w:hAnsi="宋体" w:eastAsia="宋体" w:cs="宋体"/>
          <w:color w:val="auto"/>
          <w:spacing w:val="0"/>
          <w:szCs w:val="24"/>
          <w:highlight w:val="none"/>
        </w:rPr>
        <w:fldChar w:fldCharType="end"/>
      </w:r>
    </w:p>
    <w:p w14:paraId="01C6D0F9">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_Toc16593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w:t>
      </w:r>
      <w:r>
        <w:rPr>
          <w:rFonts w:hint="eastAsia" w:ascii="宋体" w:hAnsi="宋体" w:eastAsia="宋体" w:cs="宋体"/>
          <w:bCs/>
          <w:spacing w:val="0"/>
          <w:szCs w:val="24"/>
          <w:highlight w:val="none"/>
          <w:lang w:eastAsia="zh-CN"/>
        </w:rPr>
        <w:t>五</w:t>
      </w:r>
      <w:r>
        <w:rPr>
          <w:rFonts w:hint="eastAsia" w:ascii="宋体" w:hAnsi="宋体" w:eastAsia="宋体" w:cs="宋体"/>
          <w:bCs/>
          <w:spacing w:val="0"/>
          <w:szCs w:val="24"/>
          <w:highlight w:val="none"/>
        </w:rPr>
        <w:t xml:space="preserve">  原件一览表</w:t>
      </w:r>
      <w:r>
        <w:tab/>
      </w:r>
      <w:r>
        <w:fldChar w:fldCharType="begin"/>
      </w:r>
      <w:r>
        <w:instrText xml:space="preserve"> PAGEREF _Toc16593 \h </w:instrText>
      </w:r>
      <w:r>
        <w:fldChar w:fldCharType="separate"/>
      </w:r>
      <w:r>
        <w:t>92</w:t>
      </w:r>
      <w:r>
        <w:fldChar w:fldCharType="end"/>
      </w:r>
      <w:r>
        <w:rPr>
          <w:rFonts w:hint="eastAsia" w:ascii="宋体" w:hAnsi="宋体" w:eastAsia="宋体" w:cs="宋体"/>
          <w:color w:val="auto"/>
          <w:spacing w:val="0"/>
          <w:szCs w:val="24"/>
          <w:highlight w:val="none"/>
        </w:rPr>
        <w:fldChar w:fldCharType="end"/>
      </w:r>
    </w:p>
    <w:p w14:paraId="41197FDB">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_Toc24295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w:t>
      </w:r>
      <w:r>
        <w:rPr>
          <w:rFonts w:hint="eastAsia" w:ascii="宋体" w:hAnsi="宋体" w:eastAsia="宋体" w:cs="宋体"/>
          <w:bCs/>
          <w:spacing w:val="0"/>
          <w:szCs w:val="24"/>
          <w:highlight w:val="none"/>
          <w:lang w:val="en-US" w:eastAsia="zh-CN"/>
        </w:rPr>
        <w:t>十六</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lang w:val="en-US" w:eastAsia="zh-CN"/>
        </w:rPr>
        <w:t>定标文件</w:t>
      </w:r>
      <w:r>
        <w:rPr>
          <w:rFonts w:hint="eastAsia" w:ascii="宋体" w:hAnsi="宋体" w:eastAsia="宋体" w:cs="宋体"/>
          <w:bCs/>
          <w:spacing w:val="0"/>
          <w:szCs w:val="24"/>
          <w:highlight w:val="none"/>
        </w:rPr>
        <w:t>封面</w:t>
      </w:r>
      <w:r>
        <w:tab/>
      </w:r>
      <w:r>
        <w:fldChar w:fldCharType="begin"/>
      </w:r>
      <w:r>
        <w:instrText xml:space="preserve"> PAGEREF _Toc24295 \h </w:instrText>
      </w:r>
      <w:r>
        <w:fldChar w:fldCharType="separate"/>
      </w:r>
      <w:r>
        <w:t>93</w:t>
      </w:r>
      <w:r>
        <w:fldChar w:fldCharType="end"/>
      </w:r>
      <w:r>
        <w:rPr>
          <w:rFonts w:hint="eastAsia" w:ascii="宋体" w:hAnsi="宋体" w:eastAsia="宋体" w:cs="宋体"/>
          <w:color w:val="auto"/>
          <w:spacing w:val="0"/>
          <w:szCs w:val="24"/>
          <w:highlight w:val="none"/>
        </w:rPr>
        <w:fldChar w:fldCharType="end"/>
      </w:r>
    </w:p>
    <w:p w14:paraId="6B226464">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_Toc20244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w:t>
      </w:r>
      <w:r>
        <w:rPr>
          <w:rFonts w:hint="eastAsia" w:ascii="宋体" w:hAnsi="宋体" w:eastAsia="宋体" w:cs="宋体"/>
          <w:bCs/>
          <w:spacing w:val="0"/>
          <w:szCs w:val="24"/>
          <w:highlight w:val="none"/>
          <w:lang w:val="en-US" w:eastAsia="zh-CN"/>
        </w:rPr>
        <w:t>十七</w:t>
      </w:r>
      <w:r>
        <w:rPr>
          <w:rFonts w:hint="eastAsia" w:ascii="宋体" w:hAnsi="宋体" w:eastAsia="宋体" w:cs="宋体"/>
          <w:bCs/>
          <w:spacing w:val="0"/>
          <w:szCs w:val="24"/>
          <w:highlight w:val="none"/>
        </w:rPr>
        <w:t xml:space="preserve"> </w:t>
      </w:r>
      <w:r>
        <w:rPr>
          <w:rFonts w:hint="eastAsia" w:ascii="宋体" w:hAnsi="宋体" w:eastAsia="宋体" w:cs="宋体"/>
          <w:bCs/>
          <w:spacing w:val="0"/>
          <w:szCs w:val="24"/>
          <w:highlight w:val="none"/>
          <w:lang w:val="en-US" w:eastAsia="zh-CN"/>
        </w:rPr>
        <w:t>定标因素评审资料</w:t>
      </w:r>
      <w:r>
        <w:rPr>
          <w:rFonts w:hint="eastAsia" w:ascii="宋体" w:hAnsi="宋体" w:eastAsia="宋体" w:cs="宋体"/>
          <w:bCs/>
          <w:spacing w:val="0"/>
          <w:szCs w:val="24"/>
          <w:highlight w:val="none"/>
        </w:rPr>
        <w:t xml:space="preserve"> </w:t>
      </w:r>
      <w:r>
        <w:tab/>
      </w:r>
      <w:r>
        <w:fldChar w:fldCharType="begin"/>
      </w:r>
      <w:r>
        <w:instrText xml:space="preserve"> PAGEREF _Toc20244 \h </w:instrText>
      </w:r>
      <w:r>
        <w:fldChar w:fldCharType="separate"/>
      </w:r>
      <w:r>
        <w:t>94</w:t>
      </w:r>
      <w:r>
        <w:fldChar w:fldCharType="end"/>
      </w:r>
      <w:r>
        <w:rPr>
          <w:rFonts w:hint="eastAsia" w:ascii="宋体" w:hAnsi="宋体" w:eastAsia="宋体" w:cs="宋体"/>
          <w:color w:val="auto"/>
          <w:spacing w:val="0"/>
          <w:szCs w:val="24"/>
          <w:highlight w:val="none"/>
        </w:rPr>
        <w:fldChar w:fldCharType="end"/>
      </w:r>
    </w:p>
    <w:p w14:paraId="7A63DCCE">
      <w:pPr>
        <w:pStyle w:val="14"/>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_Toc1590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第七章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建设工程施工合同</w:t>
      </w:r>
      <w:r>
        <w:tab/>
      </w:r>
      <w:r>
        <w:fldChar w:fldCharType="begin"/>
      </w:r>
      <w:r>
        <w:instrText xml:space="preserve"> PAGEREF _Toc1590 \h </w:instrText>
      </w:r>
      <w:r>
        <w:fldChar w:fldCharType="separate"/>
      </w:r>
      <w:r>
        <w:t>95</w:t>
      </w:r>
      <w:r>
        <w:fldChar w:fldCharType="end"/>
      </w:r>
      <w:r>
        <w:rPr>
          <w:rFonts w:hint="eastAsia" w:ascii="宋体" w:hAnsi="宋体" w:eastAsia="宋体" w:cs="宋体"/>
          <w:color w:val="auto"/>
          <w:spacing w:val="0"/>
          <w:szCs w:val="24"/>
          <w:highlight w:val="none"/>
        </w:rPr>
        <w:fldChar w:fldCharType="end"/>
      </w:r>
    </w:p>
    <w:p w14:paraId="5C2DA271">
      <w:pPr>
        <w:keepNext w:val="0"/>
        <w:keepLines w:val="0"/>
        <w:pageBreakBefore w:val="0"/>
        <w:wordWrap w:val="0"/>
        <w:overflowPunct/>
        <w:topLinePunct w:val="0"/>
        <w:bidi w:val="0"/>
        <w:spacing w:line="220" w:lineRule="auto"/>
        <w:jc w:val="center"/>
        <w:rPr>
          <w:rFonts w:hint="eastAsia" w:ascii="宋体" w:hAnsi="宋体" w:eastAsia="宋体" w:cs="宋体"/>
          <w:color w:val="auto"/>
          <w:spacing w:val="0"/>
          <w:sz w:val="24"/>
          <w:szCs w:val="24"/>
          <w:highlight w:val="none"/>
        </w:rPr>
        <w:sectPr>
          <w:headerReference r:id="rId4" w:type="default"/>
          <w:footerReference r:id="rId5" w:type="default"/>
          <w:pgSz w:w="11906" w:h="16839"/>
          <w:pgMar w:top="1440" w:right="1080" w:bottom="1440" w:left="1080" w:header="1200" w:footer="1134" w:gutter="0"/>
          <w:pgBorders>
            <w:top w:val="none" w:sz="0" w:space="0"/>
            <w:left w:val="none" w:sz="0" w:space="0"/>
            <w:bottom w:val="none" w:sz="0" w:space="0"/>
            <w:right w:val="none" w:sz="0" w:space="0"/>
          </w:pgBorders>
          <w:pgNumType w:fmt="decimal" w:start="1"/>
          <w:cols w:space="720" w:num="1"/>
        </w:sectPr>
      </w:pPr>
      <w:r>
        <w:rPr>
          <w:rFonts w:hint="eastAsia" w:ascii="宋体" w:hAnsi="宋体" w:eastAsia="宋体" w:cs="宋体"/>
          <w:color w:val="auto"/>
          <w:spacing w:val="0"/>
          <w:szCs w:val="24"/>
          <w:highlight w:val="none"/>
        </w:rPr>
        <w:fldChar w:fldCharType="end"/>
      </w:r>
    </w:p>
    <w:p w14:paraId="5E00BD9D">
      <w:pPr>
        <w:pStyle w:val="8"/>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4469BBC3">
      <w:pPr>
        <w:keepNext w:val="0"/>
        <w:keepLines w:val="0"/>
        <w:pageBreakBefore w:val="0"/>
        <w:wordWrap w:val="0"/>
        <w:overflowPunct/>
        <w:topLinePunct w:val="0"/>
        <w:bidi w:val="0"/>
        <w:spacing w:before="78" w:line="219" w:lineRule="auto"/>
        <w:ind w:left="3416"/>
        <w:outlineLvl w:val="0"/>
        <w:rPr>
          <w:rFonts w:hint="eastAsia" w:ascii="宋体" w:hAnsi="宋体" w:eastAsia="宋体" w:cs="宋体"/>
          <w:color w:val="auto"/>
          <w:spacing w:val="0"/>
          <w:sz w:val="24"/>
          <w:szCs w:val="24"/>
          <w:highlight w:val="none"/>
        </w:rPr>
      </w:pPr>
      <w:bookmarkStart w:id="0" w:name="bookmark1"/>
      <w:bookmarkEnd w:id="0"/>
      <w:bookmarkStart w:id="1" w:name="_Toc25283"/>
      <w:r>
        <w:rPr>
          <w:rFonts w:hint="eastAsia" w:ascii="宋体" w:hAnsi="宋体" w:eastAsia="宋体" w:cs="宋体"/>
          <w:b/>
          <w:bCs/>
          <w:color w:val="auto"/>
          <w:spacing w:val="0"/>
          <w:sz w:val="24"/>
          <w:szCs w:val="24"/>
          <w:highlight w:val="none"/>
        </w:rPr>
        <w:t>第一章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w:t>
      </w:r>
      <w:bookmarkEnd w:id="1"/>
    </w:p>
    <w:p w14:paraId="2CEDFB2C">
      <w:pPr>
        <w:keepNext w:val="0"/>
        <w:keepLines w:val="0"/>
        <w:pageBreakBefore w:val="0"/>
        <w:wordWrap w:val="0"/>
        <w:overflowPunct/>
        <w:topLinePunct w:val="0"/>
        <w:bidi w:val="0"/>
        <w:spacing w:before="156" w:line="219" w:lineRule="auto"/>
        <w:ind w:left="17"/>
        <w:outlineLvl w:val="1"/>
        <w:rPr>
          <w:rFonts w:hint="eastAsia" w:ascii="宋体" w:hAnsi="宋体" w:eastAsia="宋体" w:cs="宋体"/>
          <w:color w:val="auto"/>
          <w:spacing w:val="0"/>
          <w:sz w:val="24"/>
          <w:szCs w:val="24"/>
          <w:highlight w:val="none"/>
        </w:rPr>
      </w:pPr>
      <w:bookmarkStart w:id="2" w:name="bookmark3"/>
      <w:bookmarkEnd w:id="2"/>
      <w:bookmarkStart w:id="3" w:name="_Toc1278"/>
      <w:r>
        <w:rPr>
          <w:rFonts w:hint="eastAsia" w:ascii="宋体" w:hAnsi="宋体" w:eastAsia="宋体" w:cs="宋体"/>
          <w:b/>
          <w:bCs/>
          <w:color w:val="auto"/>
          <w:spacing w:val="0"/>
          <w:sz w:val="24"/>
          <w:szCs w:val="24"/>
          <w:highlight w:val="none"/>
        </w:rPr>
        <w:t>第一节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投标人须知前附表</w:t>
      </w:r>
      <w:bookmarkEnd w:id="3"/>
    </w:p>
    <w:p w14:paraId="196CB528">
      <w:pPr>
        <w:keepNext w:val="0"/>
        <w:keepLines w:val="0"/>
        <w:pageBreakBefore w:val="0"/>
        <w:wordWrap w:val="0"/>
        <w:overflowPunct/>
        <w:topLinePunct w:val="0"/>
        <w:bidi w:val="0"/>
        <w:spacing w:before="25"/>
        <w:rPr>
          <w:rFonts w:hint="eastAsia" w:ascii="宋体" w:hAnsi="宋体" w:eastAsia="宋体" w:cs="宋体"/>
          <w:color w:val="auto"/>
          <w:spacing w:val="0"/>
          <w:highlight w:val="none"/>
        </w:rPr>
      </w:pPr>
    </w:p>
    <w:tbl>
      <w:tblPr>
        <w:tblStyle w:val="17"/>
        <w:tblW w:w="100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942"/>
        <w:gridCol w:w="7574"/>
      </w:tblGrid>
      <w:tr w14:paraId="4DD9F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rPr>
        <w:tc>
          <w:tcPr>
            <w:tcW w:w="582" w:type="dxa"/>
            <w:vAlign w:val="center"/>
          </w:tcPr>
          <w:p w14:paraId="48996B63">
            <w:pPr>
              <w:keepNext w:val="0"/>
              <w:keepLines w:val="0"/>
              <w:pageBreakBefore w:val="0"/>
              <w:wordWrap w:val="0"/>
              <w:overflowPunct/>
              <w:topLinePunct w:val="0"/>
              <w:bidi w:val="0"/>
              <w:spacing w:before="203" w:line="209" w:lineRule="auto"/>
              <w:ind w:left="0" w:leftChars="0" w:firstLine="0" w:firstLineChars="0"/>
              <w:jc w:val="center"/>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val="en-US" w:eastAsia="zh-CN"/>
              </w:rPr>
              <w:t>序号</w:t>
            </w:r>
          </w:p>
        </w:tc>
        <w:tc>
          <w:tcPr>
            <w:tcW w:w="1942" w:type="dxa"/>
            <w:vAlign w:val="center"/>
          </w:tcPr>
          <w:p w14:paraId="38542E1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内容</w:t>
            </w:r>
          </w:p>
        </w:tc>
        <w:tc>
          <w:tcPr>
            <w:tcW w:w="7574" w:type="dxa"/>
            <w:vAlign w:val="center"/>
          </w:tcPr>
          <w:p w14:paraId="19700D4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说明与要求</w:t>
            </w:r>
          </w:p>
        </w:tc>
      </w:tr>
      <w:tr w14:paraId="1E24C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582" w:type="dxa"/>
            <w:vAlign w:val="center"/>
          </w:tcPr>
          <w:p w14:paraId="6F0E6307">
            <w:pPr>
              <w:keepNext w:val="0"/>
              <w:keepLines w:val="0"/>
              <w:pageBreakBefore w:val="0"/>
              <w:wordWrap w:val="0"/>
              <w:overflowPunct/>
              <w:topLinePunct w:val="0"/>
              <w:bidi w:val="0"/>
              <w:spacing w:before="223" w:line="195" w:lineRule="auto"/>
              <w:jc w:val="center"/>
              <w:rPr>
                <w:rFonts w:hint="eastAsia" w:asciiTheme="minorEastAsia" w:hAnsiTheme="minorEastAsia" w:eastAsiaTheme="minorEastAsia" w:cstheme="minorEastAsia"/>
                <w:color w:val="auto"/>
                <w:spacing w:val="0"/>
                <w:sz w:val="21"/>
                <w:szCs w:val="21"/>
                <w:highlight w:val="none"/>
              </w:rPr>
            </w:pPr>
            <w:bookmarkStart w:id="4" w:name="OLE_LINK2" w:colFirst="2" w:colLast="2"/>
            <w:r>
              <w:rPr>
                <w:rFonts w:hint="eastAsia" w:asciiTheme="minorEastAsia" w:hAnsiTheme="minorEastAsia" w:eastAsiaTheme="minorEastAsia" w:cstheme="minorEastAsia"/>
                <w:color w:val="auto"/>
                <w:spacing w:val="0"/>
                <w:sz w:val="21"/>
                <w:szCs w:val="21"/>
                <w:highlight w:val="none"/>
              </w:rPr>
              <w:t>1</w:t>
            </w:r>
          </w:p>
        </w:tc>
        <w:tc>
          <w:tcPr>
            <w:tcW w:w="1942" w:type="dxa"/>
            <w:vAlign w:val="center"/>
          </w:tcPr>
          <w:p w14:paraId="222BCE8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项目名称</w:t>
            </w:r>
          </w:p>
        </w:tc>
        <w:tc>
          <w:tcPr>
            <w:tcW w:w="7574" w:type="dxa"/>
            <w:vAlign w:val="center"/>
          </w:tcPr>
          <w:p w14:paraId="7BFDA068">
            <w:pPr>
              <w:tabs>
                <w:tab w:val="left" w:pos="1180"/>
              </w:tabs>
              <w:adjustRightInd w:val="0"/>
              <w:snapToGrid w:val="0"/>
              <w:spacing w:line="400" w:lineRule="exact"/>
              <w:jc w:val="left"/>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imes New Roman"/>
                <w:snapToGrid w:val="0"/>
                <w:color w:val="auto"/>
                <w:kern w:val="0"/>
                <w:szCs w:val="24"/>
                <w:highlight w:val="none"/>
                <w:lang w:eastAsia="zh-CN"/>
              </w:rPr>
              <w:t>2025年曲江区老旧小区基础设施改造提升增补工程施工</w:t>
            </w:r>
          </w:p>
        </w:tc>
      </w:tr>
      <w:tr w14:paraId="27FD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582" w:type="dxa"/>
            <w:vAlign w:val="center"/>
          </w:tcPr>
          <w:p w14:paraId="6896A5ED">
            <w:pPr>
              <w:keepNext w:val="0"/>
              <w:keepLines w:val="0"/>
              <w:pageBreakBefore w:val="0"/>
              <w:wordWrap w:val="0"/>
              <w:overflowPunct/>
              <w:topLinePunct w:val="0"/>
              <w:bidi w:val="0"/>
              <w:spacing w:before="222"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w:t>
            </w:r>
          </w:p>
        </w:tc>
        <w:tc>
          <w:tcPr>
            <w:tcW w:w="1942" w:type="dxa"/>
            <w:vAlign w:val="center"/>
          </w:tcPr>
          <w:p w14:paraId="14419B9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项目业主</w:t>
            </w:r>
          </w:p>
        </w:tc>
        <w:tc>
          <w:tcPr>
            <w:tcW w:w="7574" w:type="dxa"/>
            <w:vAlign w:val="center"/>
          </w:tcPr>
          <w:p w14:paraId="24B962E3">
            <w:pPr>
              <w:wordWrap w:val="0"/>
              <w:adjustRightInd w:val="0"/>
              <w:snapToGrid w:val="0"/>
              <w:spacing w:line="400" w:lineRule="exact"/>
              <w:jc w:val="left"/>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imes New Roman"/>
                <w:bCs/>
                <w:snapToGrid w:val="0"/>
                <w:color w:val="auto"/>
                <w:kern w:val="0"/>
                <w:szCs w:val="24"/>
                <w:highlight w:val="none"/>
                <w:lang w:val="en-US" w:eastAsia="zh-CN"/>
              </w:rPr>
              <w:t>韶关市曲江区马坝镇人民政府</w:t>
            </w:r>
          </w:p>
        </w:tc>
      </w:tr>
      <w:tr w14:paraId="23B34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9" w:hRule="atLeast"/>
        </w:trPr>
        <w:tc>
          <w:tcPr>
            <w:tcW w:w="582" w:type="dxa"/>
            <w:vAlign w:val="center"/>
          </w:tcPr>
          <w:p w14:paraId="6BE10F56">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w:t>
            </w:r>
          </w:p>
        </w:tc>
        <w:tc>
          <w:tcPr>
            <w:tcW w:w="1942" w:type="dxa"/>
            <w:vAlign w:val="center"/>
          </w:tcPr>
          <w:p w14:paraId="4E3BE1B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项目批准部门及项目批准文号</w:t>
            </w:r>
          </w:p>
        </w:tc>
        <w:tc>
          <w:tcPr>
            <w:tcW w:w="7574" w:type="dxa"/>
            <w:vAlign w:val="center"/>
          </w:tcPr>
          <w:p w14:paraId="281FC55B">
            <w:pPr>
              <w:keepNext w:val="0"/>
              <w:keepLines w:val="0"/>
              <w:widowControl/>
              <w:suppressLineNumbers w:val="0"/>
              <w:jc w:val="left"/>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imes New Roman"/>
                <w:bCs/>
                <w:snapToGrid w:val="0"/>
                <w:color w:val="auto"/>
                <w:kern w:val="0"/>
                <w:szCs w:val="24"/>
                <w:highlight w:val="none"/>
                <w:lang w:val="en-US" w:eastAsia="zh-CN"/>
              </w:rPr>
              <w:t>韶关市曲江区发展和改革局</w:t>
            </w:r>
            <w:r>
              <w:rPr>
                <w:rFonts w:hint="eastAsia" w:asciiTheme="minorEastAsia" w:hAnsiTheme="minorEastAsia" w:eastAsiaTheme="minorEastAsia" w:cstheme="minorEastAsia"/>
                <w:snapToGrid w:val="0"/>
                <w:color w:val="auto"/>
                <w:spacing w:val="0"/>
                <w:kern w:val="0"/>
                <w:sz w:val="21"/>
                <w:szCs w:val="21"/>
                <w:highlight w:val="none"/>
                <w:lang w:val="en-US" w:eastAsia="zh-CN"/>
              </w:rPr>
              <w:br w:type="textWrapping"/>
            </w:r>
            <w:r>
              <w:rPr>
                <w:rFonts w:hint="eastAsia" w:ascii="Times New Roman"/>
                <w:bCs/>
                <w:snapToGrid w:val="0"/>
                <w:color w:val="auto"/>
                <w:kern w:val="0"/>
                <w:szCs w:val="24"/>
                <w:highlight w:val="none"/>
                <w:lang w:val="en-US" w:eastAsia="zh-CN"/>
              </w:rPr>
              <w:t>曲发改投审〔2026〕28号</w:t>
            </w:r>
          </w:p>
        </w:tc>
      </w:tr>
      <w:tr w14:paraId="1488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582" w:type="dxa"/>
            <w:vAlign w:val="center"/>
          </w:tcPr>
          <w:p w14:paraId="037AC272">
            <w:pPr>
              <w:keepNext w:val="0"/>
              <w:keepLines w:val="0"/>
              <w:pageBreakBefore w:val="0"/>
              <w:wordWrap w:val="0"/>
              <w:overflowPunct/>
              <w:topLinePunct w:val="0"/>
              <w:bidi w:val="0"/>
              <w:spacing w:before="225"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4</w:t>
            </w:r>
          </w:p>
        </w:tc>
        <w:tc>
          <w:tcPr>
            <w:tcW w:w="1942" w:type="dxa"/>
            <w:vAlign w:val="center"/>
          </w:tcPr>
          <w:p w14:paraId="1EAD014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建设地点</w:t>
            </w:r>
          </w:p>
        </w:tc>
        <w:tc>
          <w:tcPr>
            <w:tcW w:w="7574" w:type="dxa"/>
            <w:tcMar>
              <w:top w:w="0" w:type="dxa"/>
              <w:left w:w="0" w:type="dxa"/>
              <w:bottom w:w="0" w:type="dxa"/>
              <w:right w:w="0" w:type="dxa"/>
            </w:tcMar>
            <w:vAlign w:val="center"/>
          </w:tcPr>
          <w:p w14:paraId="1DDCBB22">
            <w:pPr>
              <w:keepNext w:val="0"/>
              <w:keepLines w:val="0"/>
              <w:widowControl/>
              <w:suppressLineNumbers w:val="0"/>
              <w:jc w:val="left"/>
              <w:rPr>
                <w:rFonts w:hint="default" w:ascii="Times New Roman"/>
                <w:bCs/>
                <w:snapToGrid w:val="0"/>
                <w:color w:val="auto"/>
                <w:kern w:val="0"/>
                <w:szCs w:val="24"/>
                <w:highlight w:val="none"/>
                <w:lang w:val="en-US" w:eastAsia="zh-CN"/>
              </w:rPr>
            </w:pPr>
            <w:r>
              <w:rPr>
                <w:rFonts w:hint="eastAsia" w:ascii="Times New Roman"/>
                <w:bCs/>
                <w:snapToGrid w:val="0"/>
                <w:color w:val="auto"/>
                <w:kern w:val="0"/>
                <w:szCs w:val="24"/>
                <w:highlight w:val="none"/>
                <w:lang w:val="en-US" w:eastAsia="zh-CN"/>
              </w:rPr>
              <w:t>韶关市曲江区马坝镇</w:t>
            </w:r>
          </w:p>
        </w:tc>
      </w:tr>
      <w:tr w14:paraId="75CB8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trPr>
        <w:tc>
          <w:tcPr>
            <w:tcW w:w="582" w:type="dxa"/>
            <w:vAlign w:val="center"/>
          </w:tcPr>
          <w:p w14:paraId="75BBD9EE">
            <w:pPr>
              <w:keepNext w:val="0"/>
              <w:keepLines w:val="0"/>
              <w:pageBreakBefore w:val="0"/>
              <w:wordWrap w:val="0"/>
              <w:overflowPunct/>
              <w:topLinePunct w:val="0"/>
              <w:bidi w:val="0"/>
              <w:spacing w:before="226" w:line="192"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5</w:t>
            </w:r>
          </w:p>
        </w:tc>
        <w:tc>
          <w:tcPr>
            <w:tcW w:w="1942" w:type="dxa"/>
            <w:vAlign w:val="center"/>
          </w:tcPr>
          <w:p w14:paraId="5664470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项目代码</w:t>
            </w:r>
          </w:p>
        </w:tc>
        <w:tc>
          <w:tcPr>
            <w:tcW w:w="7574" w:type="dxa"/>
            <w:vAlign w:val="center"/>
          </w:tcPr>
          <w:p w14:paraId="04C821F9">
            <w:pPr>
              <w:keepNext w:val="0"/>
              <w:keepLines w:val="0"/>
              <w:widowControl/>
              <w:suppressLineNumbers w:val="0"/>
              <w:jc w:val="left"/>
              <w:rPr>
                <w:rFonts w:hint="default" w:ascii="Times New Roman"/>
                <w:bCs/>
                <w:snapToGrid w:val="0"/>
                <w:color w:val="auto"/>
                <w:kern w:val="0"/>
                <w:szCs w:val="24"/>
                <w:highlight w:val="none"/>
                <w:lang w:val="en-US" w:eastAsia="zh-CN"/>
              </w:rPr>
            </w:pPr>
            <w:r>
              <w:rPr>
                <w:rFonts w:hint="eastAsia" w:ascii="Times New Roman"/>
                <w:bCs/>
                <w:snapToGrid w:val="0"/>
                <w:color w:val="auto"/>
                <w:kern w:val="0"/>
                <w:szCs w:val="24"/>
                <w:highlight w:val="none"/>
                <w:lang w:val="en-US" w:eastAsia="zh-CN"/>
              </w:rPr>
              <w:t>2603-440205-04-01-815274</w:t>
            </w:r>
          </w:p>
        </w:tc>
      </w:tr>
      <w:tr w14:paraId="016FD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3AF433F2">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6</w:t>
            </w:r>
          </w:p>
        </w:tc>
        <w:tc>
          <w:tcPr>
            <w:tcW w:w="1942" w:type="dxa"/>
            <w:vAlign w:val="center"/>
          </w:tcPr>
          <w:p w14:paraId="6092623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资金来源及落实情况</w:t>
            </w:r>
          </w:p>
        </w:tc>
        <w:tc>
          <w:tcPr>
            <w:tcW w:w="7574" w:type="dxa"/>
            <w:vAlign w:val="center"/>
          </w:tcPr>
          <w:p w14:paraId="6E2376B4">
            <w:pPr>
              <w:keepNext w:val="0"/>
              <w:keepLines w:val="0"/>
              <w:widowControl/>
              <w:suppressLineNumbers w:val="0"/>
              <w:jc w:val="left"/>
              <w:rPr>
                <w:rFonts w:hint="default" w:ascii="Times New Roman"/>
                <w:bCs/>
                <w:snapToGrid w:val="0"/>
                <w:color w:val="auto"/>
                <w:kern w:val="0"/>
                <w:szCs w:val="24"/>
                <w:highlight w:val="none"/>
                <w:lang w:val="en-US" w:eastAsia="zh-CN"/>
              </w:rPr>
            </w:pPr>
            <w:r>
              <w:rPr>
                <w:rFonts w:hint="eastAsia" w:ascii="Times New Roman"/>
                <w:bCs/>
                <w:snapToGrid w:val="0"/>
                <w:color w:val="auto"/>
                <w:kern w:val="0"/>
                <w:szCs w:val="24"/>
                <w:highlight w:val="none"/>
                <w:lang w:val="en-US" w:eastAsia="zh-CN"/>
              </w:rPr>
              <w:t>由上级资</w:t>
            </w:r>
            <w:r>
              <w:rPr>
                <w:rFonts w:hint="default" w:ascii="Times New Roman"/>
                <w:bCs/>
                <w:snapToGrid w:val="0"/>
                <w:color w:val="auto"/>
                <w:kern w:val="0"/>
                <w:szCs w:val="24"/>
                <w:highlight w:val="none"/>
                <w:lang w:val="en-US" w:eastAsia="zh-CN"/>
              </w:rPr>
              <w:t>金和县统筹安排解决</w:t>
            </w:r>
            <w:r>
              <w:rPr>
                <w:rFonts w:hint="eastAsia" w:ascii="Times New Roman"/>
                <w:bCs/>
                <w:snapToGrid w:val="0"/>
                <w:color w:val="auto"/>
                <w:kern w:val="0"/>
                <w:szCs w:val="24"/>
                <w:highlight w:val="none"/>
                <w:lang w:val="en-US" w:eastAsia="zh-CN"/>
              </w:rPr>
              <w:t>100%</w:t>
            </w:r>
          </w:p>
        </w:tc>
      </w:tr>
      <w:tr w14:paraId="1B38F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trPr>
        <w:tc>
          <w:tcPr>
            <w:tcW w:w="582" w:type="dxa"/>
            <w:vAlign w:val="center"/>
          </w:tcPr>
          <w:p w14:paraId="187C06E1">
            <w:pPr>
              <w:keepNext w:val="0"/>
              <w:keepLines w:val="0"/>
              <w:pageBreakBefore w:val="0"/>
              <w:wordWrap w:val="0"/>
              <w:overflowPunct/>
              <w:topLinePunct w:val="0"/>
              <w:bidi w:val="0"/>
              <w:spacing w:before="228" w:line="192"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7</w:t>
            </w:r>
          </w:p>
        </w:tc>
        <w:tc>
          <w:tcPr>
            <w:tcW w:w="1942" w:type="dxa"/>
            <w:vAlign w:val="center"/>
          </w:tcPr>
          <w:p w14:paraId="4C2F1E0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招标人</w:t>
            </w:r>
          </w:p>
        </w:tc>
        <w:tc>
          <w:tcPr>
            <w:tcW w:w="7574" w:type="dxa"/>
            <w:vAlign w:val="center"/>
          </w:tcPr>
          <w:p w14:paraId="7D53AF34">
            <w:pPr>
              <w:keepNext w:val="0"/>
              <w:keepLines w:val="0"/>
              <w:widowControl/>
              <w:suppressLineNumbers w:val="0"/>
              <w:jc w:val="left"/>
              <w:rPr>
                <w:rFonts w:hint="eastAsia" w:ascii="Times New Roman"/>
                <w:bCs/>
                <w:snapToGrid w:val="0"/>
                <w:color w:val="auto"/>
                <w:kern w:val="0"/>
                <w:szCs w:val="24"/>
                <w:highlight w:val="none"/>
                <w:lang w:val="en-US" w:eastAsia="zh-CN"/>
              </w:rPr>
            </w:pPr>
            <w:r>
              <w:rPr>
                <w:rFonts w:hint="eastAsia" w:ascii="Times New Roman"/>
                <w:bCs/>
                <w:snapToGrid w:val="0"/>
                <w:color w:val="auto"/>
                <w:kern w:val="0"/>
                <w:szCs w:val="24"/>
                <w:highlight w:val="none"/>
                <w:lang w:val="en-US" w:eastAsia="zh-CN"/>
              </w:rPr>
              <w:t>韶关市曲江区马坝镇人民政府</w:t>
            </w:r>
          </w:p>
        </w:tc>
      </w:tr>
      <w:tr w14:paraId="20EEF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582" w:type="dxa"/>
            <w:vAlign w:val="center"/>
          </w:tcPr>
          <w:p w14:paraId="3A2A6D51">
            <w:pPr>
              <w:keepNext w:val="0"/>
              <w:keepLines w:val="0"/>
              <w:pageBreakBefore w:val="0"/>
              <w:wordWrap w:val="0"/>
              <w:overflowPunct/>
              <w:topLinePunct w:val="0"/>
              <w:bidi w:val="0"/>
              <w:spacing w:before="224"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8</w:t>
            </w:r>
          </w:p>
        </w:tc>
        <w:tc>
          <w:tcPr>
            <w:tcW w:w="1942" w:type="dxa"/>
            <w:vAlign w:val="center"/>
          </w:tcPr>
          <w:p w14:paraId="028C8CE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招标代理机构</w:t>
            </w:r>
          </w:p>
        </w:tc>
        <w:tc>
          <w:tcPr>
            <w:tcW w:w="7574" w:type="dxa"/>
            <w:vAlign w:val="center"/>
          </w:tcPr>
          <w:p w14:paraId="0C9CFC1C">
            <w:pPr>
              <w:keepNext w:val="0"/>
              <w:keepLines w:val="0"/>
              <w:widowControl/>
              <w:suppressLineNumbers w:val="0"/>
              <w:jc w:val="left"/>
              <w:rPr>
                <w:rFonts w:hint="eastAsia" w:ascii="Times New Roman"/>
                <w:bCs/>
                <w:snapToGrid w:val="0"/>
                <w:color w:val="auto"/>
                <w:kern w:val="0"/>
                <w:szCs w:val="24"/>
                <w:highlight w:val="none"/>
                <w:lang w:val="en-US" w:eastAsia="zh-CN"/>
              </w:rPr>
            </w:pPr>
            <w:r>
              <w:rPr>
                <w:rFonts w:hint="eastAsia" w:ascii="Times New Roman"/>
                <w:bCs/>
                <w:snapToGrid w:val="0"/>
                <w:color w:val="auto"/>
                <w:kern w:val="0"/>
                <w:szCs w:val="24"/>
                <w:highlight w:val="none"/>
                <w:lang w:val="en-US" w:eastAsia="zh-CN"/>
              </w:rPr>
              <w:t>广东粤圣项目管理有限公司</w:t>
            </w:r>
          </w:p>
        </w:tc>
      </w:tr>
      <w:tr w14:paraId="40B4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866847F">
            <w:pPr>
              <w:keepNext w:val="0"/>
              <w:keepLines w:val="0"/>
              <w:pageBreakBefore w:val="0"/>
              <w:wordWrap w:val="0"/>
              <w:overflowPunct/>
              <w:topLinePunct w:val="0"/>
              <w:bidi w:val="0"/>
              <w:spacing w:before="225"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9</w:t>
            </w:r>
          </w:p>
        </w:tc>
        <w:tc>
          <w:tcPr>
            <w:tcW w:w="1942" w:type="dxa"/>
            <w:vAlign w:val="center"/>
          </w:tcPr>
          <w:p w14:paraId="4223215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设计单位</w:t>
            </w:r>
          </w:p>
        </w:tc>
        <w:tc>
          <w:tcPr>
            <w:tcW w:w="7574" w:type="dxa"/>
            <w:vAlign w:val="center"/>
          </w:tcPr>
          <w:p w14:paraId="7259E99D">
            <w:pPr>
              <w:keepNext w:val="0"/>
              <w:keepLines w:val="0"/>
              <w:widowControl/>
              <w:suppressLineNumbers w:val="0"/>
              <w:jc w:val="left"/>
              <w:rPr>
                <w:rFonts w:hint="default" w:ascii="Times New Roman"/>
                <w:bCs/>
                <w:snapToGrid w:val="0"/>
                <w:color w:val="auto"/>
                <w:kern w:val="0"/>
                <w:szCs w:val="24"/>
                <w:highlight w:val="none"/>
                <w:lang w:val="en-US" w:eastAsia="zh-CN"/>
              </w:rPr>
            </w:pPr>
            <w:r>
              <w:rPr>
                <w:rFonts w:hint="eastAsia" w:ascii="Times New Roman"/>
                <w:bCs/>
                <w:snapToGrid w:val="0"/>
                <w:color w:val="auto"/>
                <w:kern w:val="0"/>
                <w:szCs w:val="24"/>
                <w:highlight w:val="none"/>
                <w:lang w:val="en-US" w:eastAsia="zh-CN"/>
              </w:rPr>
              <w:t>中联玉德设计咨询有限公司</w:t>
            </w:r>
          </w:p>
        </w:tc>
      </w:tr>
      <w:bookmarkEnd w:id="4"/>
      <w:tr w14:paraId="41040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trPr>
        <w:tc>
          <w:tcPr>
            <w:tcW w:w="582" w:type="dxa"/>
            <w:vAlign w:val="center"/>
          </w:tcPr>
          <w:p w14:paraId="768DA257">
            <w:pPr>
              <w:keepNext w:val="0"/>
              <w:keepLines w:val="0"/>
              <w:pageBreakBefore w:val="0"/>
              <w:wordWrap w:val="0"/>
              <w:overflowPunct/>
              <w:topLinePunct w:val="0"/>
              <w:bidi w:val="0"/>
              <w:spacing w:before="245"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10</w:t>
            </w:r>
          </w:p>
        </w:tc>
        <w:tc>
          <w:tcPr>
            <w:tcW w:w="1942" w:type="dxa"/>
            <w:vAlign w:val="center"/>
          </w:tcPr>
          <w:p w14:paraId="59B7A727">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造价咨询单位</w:t>
            </w:r>
          </w:p>
        </w:tc>
        <w:tc>
          <w:tcPr>
            <w:tcW w:w="7574" w:type="dxa"/>
            <w:vAlign w:val="center"/>
          </w:tcPr>
          <w:p w14:paraId="01D21B5A">
            <w:pPr>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imes New Roman"/>
                <w:bCs/>
                <w:snapToGrid w:val="0"/>
                <w:color w:val="auto"/>
                <w:kern w:val="0"/>
                <w:szCs w:val="24"/>
                <w:highlight w:val="none"/>
                <w:lang w:val="en-US" w:eastAsia="zh-CN"/>
              </w:rPr>
              <w:t>首盛国际工程咨询集团有限公司</w:t>
            </w:r>
          </w:p>
        </w:tc>
      </w:tr>
      <w:tr w14:paraId="05A06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3B5417C">
            <w:pPr>
              <w:keepNext w:val="0"/>
              <w:keepLines w:val="0"/>
              <w:pageBreakBefore w:val="0"/>
              <w:wordWrap w:val="0"/>
              <w:overflowPunct/>
              <w:topLinePunct w:val="0"/>
              <w:bidi w:val="0"/>
              <w:spacing w:before="242"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11</w:t>
            </w:r>
          </w:p>
        </w:tc>
        <w:tc>
          <w:tcPr>
            <w:tcW w:w="1942" w:type="dxa"/>
            <w:vAlign w:val="center"/>
          </w:tcPr>
          <w:p w14:paraId="6CFC11F7">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监理单位</w:t>
            </w:r>
          </w:p>
        </w:tc>
        <w:tc>
          <w:tcPr>
            <w:tcW w:w="7574" w:type="dxa"/>
            <w:vAlign w:val="center"/>
          </w:tcPr>
          <w:p w14:paraId="1ABFA49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□已确定监理单位</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☑未确定监理单位</w:t>
            </w:r>
          </w:p>
        </w:tc>
      </w:tr>
      <w:tr w14:paraId="25D1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2" w:hRule="atLeast"/>
        </w:trPr>
        <w:tc>
          <w:tcPr>
            <w:tcW w:w="582" w:type="dxa"/>
            <w:vAlign w:val="center"/>
          </w:tcPr>
          <w:p w14:paraId="2114EF9C">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lang w:eastAsia="zh-CN"/>
              </w:rPr>
              <w:t>1</w:t>
            </w:r>
            <w:r>
              <w:rPr>
                <w:rFonts w:hint="eastAsia" w:asciiTheme="minorEastAsia" w:hAnsiTheme="minorEastAsia" w:eastAsiaTheme="minorEastAsia" w:cstheme="minorEastAsia"/>
                <w:color w:val="auto"/>
                <w:spacing w:val="0"/>
                <w:sz w:val="21"/>
                <w:szCs w:val="21"/>
                <w:highlight w:val="none"/>
              </w:rPr>
              <w:t>2</w:t>
            </w:r>
          </w:p>
        </w:tc>
        <w:tc>
          <w:tcPr>
            <w:tcW w:w="1942" w:type="dxa"/>
            <w:vAlign w:val="center"/>
          </w:tcPr>
          <w:p w14:paraId="0E4B842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建设内容和规模</w:t>
            </w:r>
          </w:p>
        </w:tc>
        <w:tc>
          <w:tcPr>
            <w:tcW w:w="7574" w:type="dxa"/>
            <w:vAlign w:val="center"/>
          </w:tcPr>
          <w:p w14:paraId="3331303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☑建设规模：</w:t>
            </w:r>
            <w:r>
              <w:rPr>
                <w:rFonts w:hint="eastAsia" w:asciiTheme="minorEastAsia" w:hAnsiTheme="minorEastAsia" w:eastAsiaTheme="minorEastAsia" w:cstheme="minorEastAsia"/>
                <w:snapToGrid w:val="0"/>
                <w:color w:val="auto"/>
                <w:spacing w:val="0"/>
                <w:kern w:val="0"/>
                <w:sz w:val="21"/>
                <w:szCs w:val="21"/>
                <w:highlight w:val="none"/>
                <w:lang w:val="en-US" w:eastAsia="zh-CN"/>
              </w:rPr>
              <w:t>/</w:t>
            </w:r>
          </w:p>
          <w:p w14:paraId="545B734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☑建设内容：</w:t>
            </w:r>
          </w:p>
          <w:p w14:paraId="241AFBB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主要建设内容：1.楼道设施更新：修缮楼道墙面面积约8933平方米；安装普通照明线路约3000米并配套荧光灯133套，增设应急照明线路约3000米及应急灯具133套；消防栓249套，更新消防立管约2533米。</w:t>
            </w:r>
          </w:p>
          <w:p w14:paraId="02E6BC4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2.小区公共基础设施更新：配置场地监控设备约55套，实施路面硬化面积约5500平方米，其中改造道路硬化面积约980平方米。</w:t>
            </w:r>
          </w:p>
          <w:p w14:paraId="056CDB1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3.附属配套公共基础设施提升改造：附属工程围墙约200米。</w:t>
            </w:r>
          </w:p>
        </w:tc>
      </w:tr>
      <w:tr w14:paraId="454DF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7FC595D">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13</w:t>
            </w:r>
          </w:p>
        </w:tc>
        <w:tc>
          <w:tcPr>
            <w:tcW w:w="1942" w:type="dxa"/>
            <w:vAlign w:val="center"/>
          </w:tcPr>
          <w:p w14:paraId="57C4E78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项目总投资</w:t>
            </w:r>
          </w:p>
        </w:tc>
        <w:tc>
          <w:tcPr>
            <w:tcW w:w="7574" w:type="dxa"/>
            <w:vAlign w:val="center"/>
          </w:tcPr>
          <w:p w14:paraId="45D7A72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项目概算总投资477.87万元，其中工程费用421.78万元，工程建设其他费用33.33万元，预备费用22.76万元。</w:t>
            </w:r>
          </w:p>
        </w:tc>
      </w:tr>
      <w:tr w14:paraId="2BECE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582" w:type="dxa"/>
            <w:vAlign w:val="center"/>
          </w:tcPr>
          <w:p w14:paraId="343ADD2F">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14</w:t>
            </w:r>
          </w:p>
        </w:tc>
        <w:tc>
          <w:tcPr>
            <w:tcW w:w="1942" w:type="dxa"/>
            <w:vAlign w:val="center"/>
          </w:tcPr>
          <w:p w14:paraId="6A7E5B25">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招标范围</w:t>
            </w:r>
          </w:p>
        </w:tc>
        <w:tc>
          <w:tcPr>
            <w:tcW w:w="7574" w:type="dxa"/>
            <w:vAlign w:val="center"/>
          </w:tcPr>
          <w:p w14:paraId="3110504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按审查合格的施工图纸及工程量清单内容施工</w:t>
            </w:r>
          </w:p>
        </w:tc>
      </w:tr>
      <w:tr w14:paraId="71BE6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120FB47A">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15</w:t>
            </w:r>
          </w:p>
        </w:tc>
        <w:tc>
          <w:tcPr>
            <w:tcW w:w="1942" w:type="dxa"/>
            <w:vAlign w:val="center"/>
          </w:tcPr>
          <w:p w14:paraId="61B9B9E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标段划分</w:t>
            </w:r>
          </w:p>
        </w:tc>
        <w:tc>
          <w:tcPr>
            <w:tcW w:w="7574" w:type="dxa"/>
            <w:vAlign w:val="center"/>
          </w:tcPr>
          <w:p w14:paraId="04448B7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 xml:space="preserve">本招标项目不划分标段。 </w:t>
            </w:r>
          </w:p>
        </w:tc>
      </w:tr>
      <w:tr w14:paraId="0CDC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170AAA65">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rPr>
              <w:t>16</w:t>
            </w:r>
          </w:p>
        </w:tc>
        <w:tc>
          <w:tcPr>
            <w:tcW w:w="1942" w:type="dxa"/>
            <w:vAlign w:val="center"/>
          </w:tcPr>
          <w:p w14:paraId="13DCEDC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工期</w:t>
            </w:r>
          </w:p>
        </w:tc>
        <w:tc>
          <w:tcPr>
            <w:tcW w:w="7574" w:type="dxa"/>
            <w:vAlign w:val="top"/>
          </w:tcPr>
          <w:p w14:paraId="33DD960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本招标项目招标工期为</w:t>
            </w:r>
            <w:r>
              <w:rPr>
                <w:rFonts w:hint="eastAsia" w:asciiTheme="minorEastAsia" w:hAnsiTheme="minorEastAsia" w:eastAsiaTheme="minorEastAsia" w:cstheme="minorEastAsia"/>
                <w:snapToGrid w:val="0"/>
                <w:color w:val="auto"/>
                <w:spacing w:val="0"/>
                <w:kern w:val="0"/>
                <w:sz w:val="21"/>
                <w:szCs w:val="21"/>
                <w:highlight w:val="none"/>
                <w:lang w:val="en-US" w:eastAsia="zh-CN"/>
              </w:rPr>
              <w:t>90个日历天</w:t>
            </w:r>
            <w:r>
              <w:rPr>
                <w:rFonts w:hint="eastAsia" w:asciiTheme="minorEastAsia" w:hAnsiTheme="minorEastAsia" w:eastAsiaTheme="minorEastAsia" w:cstheme="minorEastAsia"/>
                <w:snapToGrid w:val="0"/>
                <w:color w:val="auto"/>
                <w:spacing w:val="0"/>
                <w:kern w:val="0"/>
                <w:sz w:val="21"/>
                <w:szCs w:val="21"/>
                <w:highlight w:val="none"/>
                <w:lang w:eastAsia="zh-CN"/>
              </w:rPr>
              <w:t>。具体如下：</w:t>
            </w:r>
          </w:p>
          <w:p w14:paraId="2E23EB4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☑总工期：</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90</w:t>
            </w:r>
            <w:r>
              <w:rPr>
                <w:rFonts w:hint="eastAsia" w:asciiTheme="minorEastAsia" w:hAnsiTheme="minorEastAsia" w:eastAsiaTheme="minorEastAsia" w:cstheme="minorEastAsia"/>
                <w:snapToGrid w:val="0"/>
                <w:color w:val="auto"/>
                <w:spacing w:val="0"/>
                <w:kern w:val="0"/>
                <w:sz w:val="21"/>
                <w:szCs w:val="21"/>
                <w:highlight w:val="none"/>
                <w:lang w:eastAsia="zh-CN"/>
              </w:rPr>
              <w:t>天 （日历天）。</w:t>
            </w:r>
          </w:p>
          <w:p w14:paraId="26AB2D3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□计划开工日期：</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年</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月</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日（具体开工日期以合同为准）</w:t>
            </w:r>
          </w:p>
          <w:p w14:paraId="419633D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□计划竣工日期：</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年</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月</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日</w:t>
            </w:r>
          </w:p>
          <w:p w14:paraId="447708E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□除上述总工期外，发包人还要求以下阶段工期：</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w:t>
            </w:r>
          </w:p>
        </w:tc>
      </w:tr>
      <w:tr w14:paraId="08323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trPr>
        <w:tc>
          <w:tcPr>
            <w:tcW w:w="582" w:type="dxa"/>
            <w:vAlign w:val="center"/>
          </w:tcPr>
          <w:p w14:paraId="5C8BA544">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17</w:t>
            </w:r>
          </w:p>
        </w:tc>
        <w:tc>
          <w:tcPr>
            <w:tcW w:w="1942" w:type="dxa"/>
            <w:vAlign w:val="center"/>
          </w:tcPr>
          <w:p w14:paraId="4CEAC56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质量标准</w:t>
            </w:r>
          </w:p>
        </w:tc>
        <w:tc>
          <w:tcPr>
            <w:tcW w:w="7574" w:type="dxa"/>
            <w:vAlign w:val="top"/>
          </w:tcPr>
          <w:p w14:paraId="42F99ED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符合现行国家有关工程施工质量验收规范和标准的要求，达到验收合格标准。</w:t>
            </w:r>
          </w:p>
        </w:tc>
      </w:tr>
      <w:tr w14:paraId="4CB19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1D59D55F">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18</w:t>
            </w:r>
          </w:p>
        </w:tc>
        <w:tc>
          <w:tcPr>
            <w:tcW w:w="1942" w:type="dxa"/>
            <w:vMerge w:val="restart"/>
            <w:vAlign w:val="center"/>
          </w:tcPr>
          <w:p w14:paraId="1086669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合同类型</w:t>
            </w:r>
          </w:p>
        </w:tc>
        <w:tc>
          <w:tcPr>
            <w:tcW w:w="7574" w:type="dxa"/>
            <w:vAlign w:val="top"/>
          </w:tcPr>
          <w:p w14:paraId="34BB545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☑单价合同：发承包双方约定以工程量清单及其综合单价进行合同价款计算、调整和确认的建设工程施工合同。</w:t>
            </w:r>
          </w:p>
          <w:p w14:paraId="5FBB177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328D3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4992AFE9">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p>
        </w:tc>
        <w:tc>
          <w:tcPr>
            <w:tcW w:w="1942" w:type="dxa"/>
            <w:vMerge w:val="continue"/>
            <w:vAlign w:val="center"/>
          </w:tcPr>
          <w:p w14:paraId="67B171E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p>
        </w:tc>
        <w:tc>
          <w:tcPr>
            <w:tcW w:w="7574" w:type="dxa"/>
            <w:vAlign w:val="top"/>
          </w:tcPr>
          <w:p w14:paraId="5B2A157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□总价合同：发承包双方约定以施工图及其预算和有关条件进行合同价款计算、调整和确认的建设工程施工合同。 </w:t>
            </w:r>
          </w:p>
          <w:p w14:paraId="576C359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注：总价合同是以施工图纸、规范为基础，在工程任务内容明确、发包人的要求条件清楚、计价标准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标准原则。</w:t>
            </w:r>
          </w:p>
        </w:tc>
      </w:tr>
      <w:tr w14:paraId="7E0F1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5799A098">
            <w:pPr>
              <w:keepNext w:val="0"/>
              <w:keepLines w:val="0"/>
              <w:pageBreakBefore w:val="0"/>
              <w:wordWrap w:val="0"/>
              <w:overflowPunct/>
              <w:topLinePunct w:val="0"/>
              <w:bidi w:val="0"/>
              <w:spacing w:before="19"/>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19</w:t>
            </w:r>
          </w:p>
        </w:tc>
        <w:tc>
          <w:tcPr>
            <w:tcW w:w="1942" w:type="dxa"/>
            <w:vAlign w:val="center"/>
          </w:tcPr>
          <w:p w14:paraId="4BA854B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房屋建筑工程绿色建筑标准</w:t>
            </w:r>
          </w:p>
        </w:tc>
        <w:tc>
          <w:tcPr>
            <w:tcW w:w="7574" w:type="dxa"/>
            <w:vAlign w:val="center"/>
          </w:tcPr>
          <w:p w14:paraId="6EA25BEB">
            <w:pPr>
              <w:keepNext w:val="0"/>
              <w:keepLines w:val="0"/>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spacing w:val="0"/>
                <w:kern w:val="0"/>
                <w:sz w:val="21"/>
                <w:szCs w:val="21"/>
                <w:highlight w:val="none"/>
                <w:lang w:eastAsia="zh-CN"/>
              </w:rPr>
              <w:t>纳入绿色建设实施范围。</w:t>
            </w:r>
          </w:p>
        </w:tc>
      </w:tr>
      <w:tr w14:paraId="2F4B0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5BB5351C">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19. 1</w:t>
            </w:r>
          </w:p>
        </w:tc>
        <w:tc>
          <w:tcPr>
            <w:tcW w:w="1942" w:type="dxa"/>
            <w:vAlign w:val="center"/>
          </w:tcPr>
          <w:p w14:paraId="117D2CE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装配式建筑标准</w:t>
            </w:r>
          </w:p>
        </w:tc>
        <w:tc>
          <w:tcPr>
            <w:tcW w:w="7574" w:type="dxa"/>
            <w:vAlign w:val="center"/>
          </w:tcPr>
          <w:p w14:paraId="6B30D43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spacing w:val="0"/>
                <w:kern w:val="0"/>
                <w:sz w:val="21"/>
                <w:szCs w:val="21"/>
                <w:highlight w:val="none"/>
                <w:lang w:eastAsia="zh-CN"/>
              </w:rPr>
              <w:t>纳入装配式建造建设实施范围。</w:t>
            </w:r>
          </w:p>
        </w:tc>
      </w:tr>
      <w:tr w14:paraId="71962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53832028">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20</w:t>
            </w:r>
          </w:p>
        </w:tc>
        <w:tc>
          <w:tcPr>
            <w:tcW w:w="1942" w:type="dxa"/>
            <w:vAlign w:val="center"/>
          </w:tcPr>
          <w:p w14:paraId="5CAF528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发包人提供材料和工程设备</w:t>
            </w:r>
          </w:p>
        </w:tc>
        <w:tc>
          <w:tcPr>
            <w:tcW w:w="7574" w:type="dxa"/>
            <w:vAlign w:val="center"/>
          </w:tcPr>
          <w:p w14:paraId="7E704987">
            <w:pPr>
              <w:keepNext w:val="0"/>
              <w:keepLines w:val="0"/>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default" w:asciiTheme="minorEastAsia" w:hAnsiTheme="minorEastAsia" w:eastAsiaTheme="minorEastAsia" w:cstheme="minorEastAsia"/>
                <w:snapToGrid w:val="0"/>
                <w:color w:val="auto"/>
                <w:spacing w:val="0"/>
                <w:kern w:val="0"/>
                <w:sz w:val="21"/>
                <w:szCs w:val="21"/>
                <w:highlight w:val="none"/>
                <w:u w:val="singl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发包人提供材料和工程设备： ☑无     □有：</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 xml:space="preserve">     </w:t>
            </w:r>
          </w:p>
        </w:tc>
      </w:tr>
      <w:tr w14:paraId="7ECC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491AE3D4">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21</w:t>
            </w:r>
          </w:p>
        </w:tc>
        <w:tc>
          <w:tcPr>
            <w:tcW w:w="1942" w:type="dxa"/>
            <w:vAlign w:val="center"/>
          </w:tcPr>
          <w:p w14:paraId="1E0DD9E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承包人提供材料和工程设备</w:t>
            </w:r>
          </w:p>
        </w:tc>
        <w:tc>
          <w:tcPr>
            <w:tcW w:w="7574" w:type="dxa"/>
            <w:vAlign w:val="top"/>
          </w:tcPr>
          <w:p w14:paraId="14E2E4F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0D2DCB8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□其它说明：鼓励承包人积极采购环保产品进行施工。</w:t>
            </w:r>
          </w:p>
        </w:tc>
      </w:tr>
      <w:tr w14:paraId="2A7CB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582" w:type="dxa"/>
            <w:vAlign w:val="center"/>
          </w:tcPr>
          <w:p w14:paraId="3FCD515C">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22</w:t>
            </w:r>
          </w:p>
        </w:tc>
        <w:tc>
          <w:tcPr>
            <w:tcW w:w="1942" w:type="dxa"/>
            <w:vAlign w:val="center"/>
          </w:tcPr>
          <w:p w14:paraId="686F7B1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最高投标限价</w:t>
            </w:r>
          </w:p>
        </w:tc>
        <w:tc>
          <w:tcPr>
            <w:tcW w:w="7574" w:type="dxa"/>
            <w:vAlign w:val="center"/>
          </w:tcPr>
          <w:p w14:paraId="36D7A7C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本次招标项目招标控制价为人民币(大写)：叁佰陆拾陆万玖仟陆佰叁拾壹元肆角陆分（￥</w:t>
            </w:r>
            <w:r>
              <w:rPr>
                <w:rFonts w:hint="eastAsia" w:asciiTheme="minorEastAsia" w:hAnsiTheme="minorEastAsia" w:eastAsiaTheme="minorEastAsia" w:cstheme="minorEastAsia"/>
                <w:snapToGrid w:val="0"/>
                <w:color w:val="auto"/>
                <w:spacing w:val="0"/>
                <w:kern w:val="0"/>
                <w:sz w:val="21"/>
                <w:szCs w:val="21"/>
                <w:highlight w:val="none"/>
                <w:lang w:val="en-US" w:eastAsia="zh-CN"/>
              </w:rPr>
              <w:t>3669631.46</w:t>
            </w:r>
            <w:r>
              <w:rPr>
                <w:rFonts w:hint="eastAsia" w:asciiTheme="minorEastAsia" w:hAnsiTheme="minorEastAsia" w:eastAsiaTheme="minorEastAsia" w:cstheme="minorEastAsia"/>
                <w:snapToGrid w:val="0"/>
                <w:color w:val="auto"/>
                <w:spacing w:val="0"/>
                <w:kern w:val="0"/>
                <w:sz w:val="21"/>
                <w:szCs w:val="21"/>
                <w:highlight w:val="none"/>
                <w:lang w:eastAsia="zh-CN"/>
              </w:rPr>
              <w:t>元）。其中：</w:t>
            </w:r>
            <w:r>
              <w:rPr>
                <w:rFonts w:hint="eastAsia" w:asciiTheme="minorEastAsia" w:hAnsiTheme="minorEastAsia" w:eastAsiaTheme="minorEastAsia" w:cstheme="minorEastAsia"/>
                <w:snapToGrid w:val="0"/>
                <w:color w:val="auto"/>
                <w:spacing w:val="0"/>
                <w:kern w:val="0"/>
                <w:sz w:val="21"/>
                <w:szCs w:val="21"/>
                <w:highlight w:val="none"/>
                <w:lang w:val="en-US" w:eastAsia="zh-CN"/>
              </w:rPr>
              <w:t>暂列金</w:t>
            </w:r>
            <w:r>
              <w:rPr>
                <w:rFonts w:hint="eastAsia" w:asciiTheme="minorEastAsia" w:hAnsiTheme="minorEastAsia" w:eastAsiaTheme="minorEastAsia" w:cstheme="minorEastAsia"/>
                <w:snapToGrid w:val="0"/>
                <w:color w:val="auto"/>
                <w:spacing w:val="0"/>
                <w:kern w:val="0"/>
                <w:sz w:val="21"/>
                <w:szCs w:val="21"/>
                <w:highlight w:val="none"/>
                <w:lang w:eastAsia="zh-CN"/>
              </w:rPr>
              <w:t>￥</w:t>
            </w:r>
            <w:r>
              <w:rPr>
                <w:rFonts w:hint="eastAsia" w:asciiTheme="minorEastAsia" w:hAnsiTheme="minorEastAsia" w:eastAsiaTheme="minorEastAsia" w:cstheme="minorEastAsia"/>
                <w:snapToGrid w:val="0"/>
                <w:color w:val="auto"/>
                <w:spacing w:val="0"/>
                <w:kern w:val="0"/>
                <w:sz w:val="21"/>
                <w:szCs w:val="21"/>
                <w:highlight w:val="none"/>
                <w:lang w:val="en-US" w:eastAsia="zh-CN"/>
              </w:rPr>
              <w:t>293409.29</w:t>
            </w:r>
            <w:r>
              <w:rPr>
                <w:rFonts w:hint="eastAsia" w:asciiTheme="minorEastAsia" w:hAnsiTheme="minorEastAsia" w:eastAsiaTheme="minorEastAsia" w:cstheme="minorEastAsia"/>
                <w:snapToGrid w:val="0"/>
                <w:color w:val="auto"/>
                <w:spacing w:val="0"/>
                <w:kern w:val="0"/>
                <w:sz w:val="21"/>
                <w:szCs w:val="21"/>
                <w:highlight w:val="none"/>
                <w:lang w:eastAsia="zh-CN"/>
              </w:rPr>
              <w:t>元，</w:t>
            </w:r>
            <w:r>
              <w:rPr>
                <w:rFonts w:hint="eastAsia" w:asciiTheme="minorEastAsia" w:hAnsiTheme="minorEastAsia" w:eastAsiaTheme="minorEastAsia" w:cstheme="minorEastAsia"/>
                <w:snapToGrid w:val="0"/>
                <w:color w:val="auto"/>
                <w:spacing w:val="0"/>
                <w:kern w:val="0"/>
                <w:sz w:val="21"/>
                <w:szCs w:val="21"/>
                <w:highlight w:val="none"/>
                <w:lang w:val="en-US" w:eastAsia="zh-CN"/>
              </w:rPr>
              <w:t>专业工程暂估价</w:t>
            </w:r>
            <w:r>
              <w:rPr>
                <w:rFonts w:hint="eastAsia" w:asciiTheme="minorEastAsia" w:hAnsiTheme="minorEastAsia" w:eastAsiaTheme="minorEastAsia" w:cstheme="minorEastAsia"/>
                <w:snapToGrid w:val="0"/>
                <w:color w:val="auto"/>
                <w:spacing w:val="0"/>
                <w:kern w:val="0"/>
                <w:sz w:val="21"/>
                <w:szCs w:val="21"/>
                <w:highlight w:val="none"/>
                <w:lang w:eastAsia="zh-CN"/>
              </w:rPr>
              <w:t>￥</w:t>
            </w:r>
            <w:r>
              <w:rPr>
                <w:rFonts w:hint="eastAsia" w:asciiTheme="minorEastAsia" w:hAnsiTheme="minorEastAsia" w:eastAsiaTheme="minorEastAsia" w:cstheme="minorEastAsia"/>
                <w:snapToGrid w:val="0"/>
                <w:color w:val="auto"/>
                <w:spacing w:val="0"/>
                <w:kern w:val="0"/>
                <w:sz w:val="21"/>
                <w:szCs w:val="21"/>
                <w:highlight w:val="none"/>
                <w:lang w:val="en-US" w:eastAsia="zh-CN"/>
              </w:rPr>
              <w:t>66630.820</w:t>
            </w:r>
            <w:r>
              <w:rPr>
                <w:rFonts w:hint="eastAsia" w:asciiTheme="minorEastAsia" w:hAnsiTheme="minorEastAsia" w:eastAsiaTheme="minorEastAsia" w:cstheme="minorEastAsia"/>
                <w:snapToGrid w:val="0"/>
                <w:color w:val="auto"/>
                <w:spacing w:val="0"/>
                <w:kern w:val="0"/>
                <w:sz w:val="21"/>
                <w:szCs w:val="21"/>
                <w:highlight w:val="none"/>
                <w:lang w:eastAsia="zh-CN"/>
              </w:rPr>
              <w:t>元，</w:t>
            </w:r>
            <w:r>
              <w:rPr>
                <w:rFonts w:hint="eastAsia" w:asciiTheme="minorEastAsia" w:hAnsiTheme="minorEastAsia" w:eastAsiaTheme="minorEastAsia" w:cstheme="minorEastAsia"/>
                <w:snapToGrid w:val="0"/>
                <w:color w:val="auto"/>
                <w:spacing w:val="0"/>
                <w:kern w:val="0"/>
                <w:sz w:val="21"/>
                <w:szCs w:val="21"/>
                <w:highlight w:val="none"/>
                <w:lang w:val="en-US" w:eastAsia="zh-CN"/>
              </w:rPr>
              <w:t>安全生产措施费（不得低于）</w:t>
            </w:r>
            <w:r>
              <w:rPr>
                <w:rFonts w:hint="eastAsia" w:asciiTheme="minorEastAsia" w:hAnsiTheme="minorEastAsia" w:eastAsiaTheme="minorEastAsia" w:cstheme="minorEastAsia"/>
                <w:snapToGrid w:val="0"/>
                <w:color w:val="auto"/>
                <w:spacing w:val="0"/>
                <w:kern w:val="0"/>
                <w:sz w:val="21"/>
                <w:szCs w:val="21"/>
                <w:highlight w:val="none"/>
                <w:lang w:eastAsia="zh-CN"/>
              </w:rPr>
              <w:t>￥</w:t>
            </w:r>
            <w:r>
              <w:rPr>
                <w:rFonts w:hint="eastAsia" w:asciiTheme="minorEastAsia" w:hAnsiTheme="minorEastAsia" w:eastAsiaTheme="minorEastAsia" w:cstheme="minorEastAsia"/>
                <w:snapToGrid w:val="0"/>
                <w:color w:val="auto"/>
                <w:spacing w:val="0"/>
                <w:kern w:val="0"/>
                <w:sz w:val="21"/>
                <w:szCs w:val="21"/>
                <w:highlight w:val="none"/>
                <w:lang w:val="en-US" w:eastAsia="zh-CN"/>
              </w:rPr>
              <w:t>115240.82</w:t>
            </w:r>
            <w:r>
              <w:rPr>
                <w:rFonts w:hint="eastAsia" w:asciiTheme="minorEastAsia" w:hAnsiTheme="minorEastAsia" w:eastAsiaTheme="minorEastAsia" w:cstheme="minorEastAsia"/>
                <w:snapToGrid w:val="0"/>
                <w:color w:val="auto"/>
                <w:spacing w:val="0"/>
                <w:kern w:val="0"/>
                <w:sz w:val="21"/>
                <w:szCs w:val="21"/>
                <w:highlight w:val="none"/>
                <w:lang w:eastAsia="zh-CN"/>
              </w:rPr>
              <w:t>元。</w:t>
            </w:r>
          </w:p>
          <w:p w14:paraId="5868687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2" w:firstLineChars="91"/>
              <w:jc w:val="both"/>
              <w:textAlignment w:val="auto"/>
              <w:rPr>
                <w:rFonts w:hint="default" w:asciiTheme="minorEastAsia" w:hAnsiTheme="minorEastAsia" w:eastAsiaTheme="minorEastAsia" w:cstheme="minorEastAsia"/>
                <w:b/>
                <w:bCs/>
                <w:snapToGrid w:val="0"/>
                <w:color w:val="auto"/>
                <w:spacing w:val="0"/>
                <w:kern w:val="0"/>
                <w:sz w:val="21"/>
                <w:szCs w:val="21"/>
                <w:highlight w:val="none"/>
                <w:lang w:val="en-US" w:eastAsia="zh-CN"/>
              </w:rPr>
            </w:pPr>
            <w:r>
              <w:rPr>
                <w:rFonts w:hint="eastAsia" w:asciiTheme="minorEastAsia" w:hAnsiTheme="minorEastAsia" w:eastAsiaTheme="minorEastAsia" w:cstheme="minorEastAsia"/>
                <w:b/>
                <w:bCs/>
                <w:snapToGrid w:val="0"/>
                <w:color w:val="auto"/>
                <w:spacing w:val="0"/>
                <w:kern w:val="0"/>
                <w:sz w:val="21"/>
                <w:szCs w:val="21"/>
                <w:highlight w:val="none"/>
                <w:lang w:eastAsia="zh-CN"/>
              </w:rPr>
              <w:t>注：本项目招标控制价由韶关市曲江区投资评审中心提供。</w:t>
            </w:r>
            <w:r>
              <w:rPr>
                <w:rFonts w:hint="eastAsia" w:asciiTheme="minorEastAsia" w:hAnsiTheme="minorEastAsia" w:eastAsiaTheme="minorEastAsia" w:cstheme="minorEastAsia"/>
                <w:b/>
                <w:bCs/>
                <w:snapToGrid w:val="0"/>
                <w:color w:val="auto"/>
                <w:spacing w:val="0"/>
                <w:kern w:val="0"/>
                <w:sz w:val="21"/>
                <w:szCs w:val="21"/>
                <w:highlight w:val="none"/>
                <w:lang w:val="en-US" w:eastAsia="zh-CN"/>
              </w:rPr>
              <w:t>招标控制价已按韶曲府办【2025】8号文规定</w:t>
            </w:r>
            <w:r>
              <w:rPr>
                <w:rFonts w:hint="eastAsia" w:asciiTheme="minorEastAsia" w:hAnsiTheme="minorEastAsia" w:eastAsiaTheme="minorEastAsia" w:cstheme="minorEastAsia"/>
                <w:b/>
                <w:bCs/>
                <w:snapToGrid w:val="0"/>
                <w:color w:val="auto"/>
                <w:spacing w:val="0"/>
                <w:kern w:val="0"/>
                <w:sz w:val="21"/>
                <w:szCs w:val="21"/>
                <w:highlight w:val="none"/>
                <w:lang w:eastAsia="zh-CN"/>
              </w:rPr>
              <w:t>土建工程下浮5%，</w:t>
            </w:r>
            <w:r>
              <w:rPr>
                <w:rFonts w:hint="eastAsia" w:asciiTheme="minorEastAsia" w:hAnsiTheme="minorEastAsia" w:eastAsiaTheme="minorEastAsia" w:cstheme="minorEastAsia"/>
                <w:b/>
                <w:bCs/>
                <w:snapToGrid w:val="0"/>
                <w:color w:val="auto"/>
                <w:spacing w:val="0"/>
                <w:kern w:val="0"/>
                <w:sz w:val="21"/>
                <w:szCs w:val="21"/>
                <w:highlight w:val="none"/>
                <w:lang w:val="en-US" w:eastAsia="zh-CN"/>
              </w:rPr>
              <w:t>绿化、</w:t>
            </w:r>
            <w:r>
              <w:rPr>
                <w:rFonts w:hint="eastAsia" w:asciiTheme="minorEastAsia" w:hAnsiTheme="minorEastAsia" w:eastAsiaTheme="minorEastAsia" w:cstheme="minorEastAsia"/>
                <w:b/>
                <w:bCs/>
                <w:snapToGrid w:val="0"/>
                <w:color w:val="auto"/>
                <w:spacing w:val="0"/>
                <w:kern w:val="0"/>
                <w:sz w:val="21"/>
                <w:szCs w:val="21"/>
                <w:highlight w:val="none"/>
                <w:lang w:eastAsia="zh-CN"/>
              </w:rPr>
              <w:t>安装工程下浮8%作为本项目招标控制价，投标人自行考虑报价。</w:t>
            </w:r>
          </w:p>
          <w:p w14:paraId="2EDBA13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p>
        </w:tc>
      </w:tr>
      <w:tr w14:paraId="54A71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0" w:hRule="atLeast"/>
        </w:trPr>
        <w:tc>
          <w:tcPr>
            <w:tcW w:w="582" w:type="dxa"/>
            <w:vAlign w:val="center"/>
          </w:tcPr>
          <w:p w14:paraId="538319E4">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23</w:t>
            </w:r>
          </w:p>
        </w:tc>
        <w:tc>
          <w:tcPr>
            <w:tcW w:w="1942" w:type="dxa"/>
            <w:vAlign w:val="center"/>
          </w:tcPr>
          <w:p w14:paraId="67574905">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投标人的投标报价</w:t>
            </w:r>
          </w:p>
        </w:tc>
        <w:tc>
          <w:tcPr>
            <w:tcW w:w="7574" w:type="dxa"/>
            <w:vAlign w:val="center"/>
          </w:tcPr>
          <w:p w14:paraId="33957A2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19EEAFE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投标报价方式： ☑工程量清单报</w:t>
            </w:r>
            <w:r>
              <w:rPr>
                <w:rFonts w:hint="eastAsia" w:asciiTheme="minorEastAsia" w:hAnsiTheme="minorEastAsia" w:eastAsiaTheme="minorEastAsia" w:cstheme="minorEastAsia"/>
                <w:snapToGrid w:val="0"/>
                <w:color w:val="auto"/>
                <w:spacing w:val="0"/>
                <w:kern w:val="0"/>
                <w:sz w:val="21"/>
                <w:szCs w:val="21"/>
                <w:highlight w:val="none"/>
                <w:lang w:val="en-US" w:eastAsia="zh-CN"/>
              </w:rPr>
              <w:t>价  □其他：</w:t>
            </w:r>
          </w:p>
          <w:p w14:paraId="16173AD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投标报价时，应按《广东省建设工程计价依据（2018）》规定的费率报价，若招标工程量清单明确说明不计算预算包干费或另外确定预算包干费费率的，则按招标工程量清单报价。</w:t>
            </w:r>
          </w:p>
        </w:tc>
      </w:tr>
      <w:tr w14:paraId="42AA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582" w:type="dxa"/>
            <w:vAlign w:val="center"/>
          </w:tcPr>
          <w:p w14:paraId="0F9F6D8A">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24</w:t>
            </w:r>
          </w:p>
        </w:tc>
        <w:tc>
          <w:tcPr>
            <w:tcW w:w="1942" w:type="dxa"/>
            <w:vAlign w:val="center"/>
          </w:tcPr>
          <w:p w14:paraId="289DAA6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投标报价风险</w:t>
            </w:r>
          </w:p>
        </w:tc>
        <w:tc>
          <w:tcPr>
            <w:tcW w:w="7574" w:type="dxa"/>
            <w:vAlign w:val="center"/>
          </w:tcPr>
          <w:p w14:paraId="639CCF5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☑投标人依据招标文件约定自行考虑风险因素，一旦中标，投标报价（合同价）除合同另有约定外将不因市场变化而调整。</w:t>
            </w:r>
          </w:p>
          <w:p w14:paraId="414B250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☑投标报价中应包括工程量清单项目所发生的人工费、材料费、机具费、管理费、利润、措施项目费、其它项目费、税金、暂列金额、暂估价以及所有风险、责任等各项费用。</w:t>
            </w:r>
          </w:p>
          <w:p w14:paraId="54843E9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☑人工费、材料费、机具费、管理费、利润、措施项目费（不含安全生产措施费）投标人漏报或不报，招标人视为有关费用 已包括在工程量清单项目的其它单价及合价中不予另外增加。</w:t>
            </w:r>
          </w:p>
          <w:p w14:paraId="4D6AFB1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☑措施项目中的安全生产措施费，必须按国家、省级、市级（即工程所在地）行业建设主管部门的规定计算，不得作为竞争性费用。</w:t>
            </w:r>
          </w:p>
          <w:p w14:paraId="708EB3D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7A9C3DF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☑招标人向投标人提供的有关施工现场资料及数据，是招标人现有的能使投标人利用的资料，招标人对投标人据此作出的推论及理解概不负责。</w:t>
            </w:r>
          </w:p>
          <w:p w14:paraId="797C29E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52A8CB9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2776B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trPr>
        <w:tc>
          <w:tcPr>
            <w:tcW w:w="582" w:type="dxa"/>
            <w:vAlign w:val="center"/>
          </w:tcPr>
          <w:p w14:paraId="42E6764A">
            <w:pPr>
              <w:keepNext w:val="0"/>
              <w:keepLines w:val="0"/>
              <w:pageBreakBefore w:val="0"/>
              <w:wordWrap w:val="0"/>
              <w:overflowPunct/>
              <w:topLinePunct w:val="0"/>
              <w:bidi w:val="0"/>
              <w:spacing w:before="284"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25</w:t>
            </w:r>
          </w:p>
        </w:tc>
        <w:tc>
          <w:tcPr>
            <w:tcW w:w="1942" w:type="dxa"/>
            <w:vAlign w:val="center"/>
          </w:tcPr>
          <w:p w14:paraId="2EE410F3">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投标费用</w:t>
            </w:r>
          </w:p>
        </w:tc>
        <w:tc>
          <w:tcPr>
            <w:tcW w:w="7574" w:type="dxa"/>
            <w:vAlign w:val="center"/>
          </w:tcPr>
          <w:p w14:paraId="11D2FE5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投标人自行承担编制与递交投标文件的一切费用。</w:t>
            </w:r>
          </w:p>
        </w:tc>
      </w:tr>
      <w:tr w14:paraId="742CE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vAlign w:val="center"/>
          </w:tcPr>
          <w:p w14:paraId="2E6D0803">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26</w:t>
            </w:r>
          </w:p>
        </w:tc>
        <w:tc>
          <w:tcPr>
            <w:tcW w:w="1942" w:type="dxa"/>
            <w:vAlign w:val="center"/>
          </w:tcPr>
          <w:p w14:paraId="2A8AB06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投标人资格要求</w:t>
            </w:r>
          </w:p>
        </w:tc>
        <w:tc>
          <w:tcPr>
            <w:tcW w:w="7574" w:type="dxa"/>
            <w:vAlign w:val="center"/>
          </w:tcPr>
          <w:p w14:paraId="34E88E6F">
            <w:pPr>
              <w:wordWrap w:val="0"/>
              <w:adjustRightInd w:val="0"/>
              <w:snapToGrid w:val="0"/>
              <w:spacing w:line="400" w:lineRule="exact"/>
              <w:ind w:firstLine="210" w:firstLineChars="100"/>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1．本次招标</w:t>
            </w:r>
            <w:r>
              <w:rPr>
                <w:rFonts w:hint="eastAsia" w:ascii="宋体" w:hAnsi="宋体" w:eastAsia="宋体" w:cs="宋体"/>
                <w:b/>
                <w:bCs/>
                <w:snapToGrid w:val="0"/>
                <w:kern w:val="0"/>
                <w:sz w:val="21"/>
                <w:szCs w:val="21"/>
                <w:highlight w:val="none"/>
                <w:u w:val="single"/>
              </w:rPr>
              <w:t>接受</w:t>
            </w:r>
            <w:r>
              <w:rPr>
                <w:rFonts w:hint="eastAsia" w:ascii="宋体" w:hAnsi="宋体" w:eastAsia="宋体" w:cs="宋体"/>
                <w:snapToGrid w:val="0"/>
                <w:kern w:val="0"/>
                <w:sz w:val="21"/>
                <w:szCs w:val="21"/>
                <w:highlight w:val="none"/>
              </w:rPr>
              <w:t>联合体投标。</w:t>
            </w:r>
          </w:p>
          <w:p w14:paraId="4A6B2653">
            <w:pPr>
              <w:wordWrap w:val="0"/>
              <w:adjustRightInd w:val="0"/>
              <w:snapToGrid w:val="0"/>
              <w:spacing w:line="400" w:lineRule="exact"/>
              <w:ind w:firstLine="211" w:firstLineChars="100"/>
              <w:jc w:val="left"/>
              <w:rPr>
                <w:rFonts w:hint="eastAsia" w:ascii="宋体" w:hAnsi="宋体" w:eastAsia="宋体" w:cs="宋体"/>
                <w:b/>
                <w:bCs/>
                <w:snapToGrid w:val="0"/>
                <w:kern w:val="0"/>
                <w:sz w:val="21"/>
                <w:szCs w:val="21"/>
                <w:highlight w:val="none"/>
              </w:rPr>
            </w:pPr>
            <w:r>
              <w:rPr>
                <w:rFonts w:hint="eastAsia" w:ascii="宋体" w:hAnsi="宋体" w:eastAsia="宋体" w:cs="宋体"/>
                <w:b/>
                <w:bCs/>
                <w:snapToGrid w:val="0"/>
                <w:kern w:val="0"/>
                <w:sz w:val="21"/>
                <w:szCs w:val="21"/>
                <w:highlight w:val="none"/>
              </w:rPr>
              <w:t>2．</w:t>
            </w:r>
            <w:r>
              <w:rPr>
                <w:rFonts w:hint="eastAsia" w:ascii="宋体" w:hAnsi="宋体" w:eastAsia="宋体" w:cs="宋体"/>
                <w:b/>
                <w:bCs/>
                <w:color w:val="000000"/>
                <w:sz w:val="21"/>
                <w:szCs w:val="21"/>
                <w:highlight w:val="none"/>
              </w:rPr>
              <w:t>资格资质要求</w:t>
            </w:r>
          </w:p>
          <w:p w14:paraId="70C6D59B">
            <w:pPr>
              <w:pStyle w:val="32"/>
              <w:keepNext w:val="0"/>
              <w:keepLines w:val="0"/>
              <w:pageBreakBefore w:val="0"/>
              <w:widowControl w:val="0"/>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lang w:eastAsia="zh-CN"/>
              </w:rPr>
              <w:t>2</w:t>
            </w:r>
            <w:r>
              <w:rPr>
                <w:rFonts w:hint="eastAsia" w:ascii="宋体" w:hAnsi="宋体" w:eastAsia="宋体" w:cs="宋体"/>
                <w:b/>
                <w:bCs/>
                <w:color w:val="auto"/>
                <w:kern w:val="0"/>
                <w:sz w:val="21"/>
                <w:szCs w:val="21"/>
                <w:highlight w:val="none"/>
              </w:rPr>
              <w:t>.1</w:t>
            </w:r>
            <w:r>
              <w:rPr>
                <w:rFonts w:hint="eastAsia" w:ascii="宋体" w:hAnsi="宋体" w:eastAsia="宋体" w:cs="宋体"/>
                <w:color w:val="auto"/>
                <w:kern w:val="0"/>
                <w:sz w:val="21"/>
                <w:szCs w:val="21"/>
                <w:highlight w:val="none"/>
              </w:rPr>
              <w:t>本次招标</w:t>
            </w:r>
            <w:r>
              <w:rPr>
                <w:rFonts w:hint="eastAsia" w:ascii="宋体" w:hAnsi="宋体" w:eastAsia="宋体" w:cs="宋体"/>
                <w:b/>
                <w:bCs/>
                <w:color w:val="auto"/>
                <w:kern w:val="0"/>
                <w:sz w:val="21"/>
                <w:szCs w:val="21"/>
                <w:highlight w:val="none"/>
              </w:rPr>
              <w:t>接受</w:t>
            </w:r>
            <w:r>
              <w:rPr>
                <w:rFonts w:hint="eastAsia" w:ascii="宋体" w:hAnsi="宋体" w:eastAsia="宋体" w:cs="宋体"/>
                <w:color w:val="auto"/>
                <w:kern w:val="0"/>
                <w:sz w:val="21"/>
                <w:szCs w:val="21"/>
                <w:highlight w:val="none"/>
              </w:rPr>
              <w:t>联合体投标，联合体以一个投标人的身份共同投标。</w:t>
            </w:r>
          </w:p>
          <w:p w14:paraId="59E89F03">
            <w:pPr>
              <w:pStyle w:val="32"/>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leftChars="2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rPr>
              <w:t>2.1.1</w:t>
            </w:r>
            <w:r>
              <w:rPr>
                <w:rFonts w:hint="eastAsia" w:ascii="宋体" w:hAnsi="宋体" w:eastAsia="宋体" w:cs="宋体"/>
                <w:color w:val="auto"/>
                <w:sz w:val="21"/>
                <w:szCs w:val="21"/>
                <w:highlight w:val="none"/>
              </w:rPr>
              <w:t>联合体成员数量不超过</w:t>
            </w:r>
            <w:r>
              <w:rPr>
                <w:rFonts w:hint="eastAsia" w:ascii="宋体" w:hAnsi="宋体" w:eastAsia="宋体" w:cs="宋体"/>
                <w:color w:val="auto"/>
                <w:sz w:val="21"/>
                <w:szCs w:val="21"/>
                <w:highlight w:val="none"/>
                <w:u w:val="single"/>
                <w:lang w:val="en-US" w:eastAsia="zh-CN"/>
              </w:rPr>
              <w:t xml:space="preserve"> 2 </w:t>
            </w:r>
            <w:r>
              <w:rPr>
                <w:rFonts w:hint="eastAsia" w:ascii="宋体" w:hAnsi="宋体" w:eastAsia="宋体" w:cs="宋体"/>
                <w:color w:val="auto"/>
                <w:sz w:val="21"/>
                <w:szCs w:val="21"/>
                <w:highlight w:val="none"/>
              </w:rPr>
              <w:t>个。</w:t>
            </w:r>
          </w:p>
          <w:p w14:paraId="1C3EFE3F">
            <w:pPr>
              <w:pStyle w:val="32"/>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rPr>
              <w:t xml:space="preserve">2.1.2 </w:t>
            </w:r>
            <w:r>
              <w:rPr>
                <w:rFonts w:hint="eastAsia" w:ascii="宋体" w:hAnsi="宋体" w:eastAsia="宋体" w:cs="宋体"/>
                <w:color w:val="auto"/>
                <w:sz w:val="21"/>
                <w:szCs w:val="21"/>
                <w:highlight w:val="none"/>
              </w:rPr>
              <w:t>联合体各方应按招标文件提供的格式签订联合体协议书，明确联合体牵头人和各方权利义务，并承诺就中标项目向招标人承担连带责任。《联合体协议书》作为投标文件的组成部分向招标人提交。</w:t>
            </w:r>
          </w:p>
          <w:p w14:paraId="79266336">
            <w:pPr>
              <w:pStyle w:val="32"/>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rPr>
              <w:t>2.1.3</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联合体成员单位均应具备拟承担的工作内容（以《联合体协议书》的约定为准）所规定的资格条件。若同一工作内容由两个或两个以上单位共同承担，该项工作内容按照资质等级较低的单位确定联合体资质等级。</w:t>
            </w:r>
          </w:p>
          <w:p w14:paraId="7622FE70">
            <w:pPr>
              <w:pStyle w:val="32"/>
              <w:keepNext w:val="0"/>
              <w:keepLines w:val="0"/>
              <w:pageBreakBefore w:val="0"/>
              <w:widowControl w:val="0"/>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rPr>
              <w:t>2.1.4</w:t>
            </w:r>
            <w:r>
              <w:rPr>
                <w:rFonts w:hint="eastAsia" w:ascii="宋体" w:hAnsi="宋体" w:eastAsia="宋体" w:cs="宋体"/>
                <w:color w:val="auto"/>
                <w:sz w:val="21"/>
                <w:szCs w:val="21"/>
                <w:highlight w:val="none"/>
              </w:rPr>
              <w:t>联合体各方不得再以自己名义单独或参加其他联合体在本招标项目中投标，否则各相关投标均无效。</w:t>
            </w:r>
          </w:p>
          <w:p w14:paraId="2C30ED6B">
            <w:pPr>
              <w:pStyle w:val="32"/>
              <w:keepNext w:val="0"/>
              <w:keepLines w:val="0"/>
              <w:pageBreakBefore w:val="0"/>
              <w:widowControl w:val="0"/>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SA"/>
              </w:rPr>
              <w:t xml:space="preserve">2.2 </w:t>
            </w:r>
            <w:r>
              <w:rPr>
                <w:rFonts w:hint="eastAsia" w:ascii="宋体" w:hAnsi="宋体" w:eastAsia="宋体" w:cs="宋体"/>
                <w:color w:val="auto"/>
                <w:sz w:val="21"/>
                <w:szCs w:val="21"/>
                <w:highlight w:val="none"/>
              </w:rPr>
              <w:t>资质要求</w:t>
            </w:r>
          </w:p>
          <w:p w14:paraId="49C98410">
            <w:pPr>
              <w:pStyle w:val="32"/>
              <w:keepNext w:val="0"/>
              <w:keepLines w:val="0"/>
              <w:pageBreakBefore w:val="0"/>
              <w:widowControl w:val="0"/>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SA"/>
              </w:rPr>
              <w:t xml:space="preserve">2.2.1 </w:t>
            </w:r>
            <w:r>
              <w:rPr>
                <w:rFonts w:hint="eastAsia" w:ascii="宋体" w:hAnsi="宋体" w:eastAsia="宋体" w:cs="宋体"/>
                <w:color w:val="auto"/>
                <w:sz w:val="21"/>
                <w:szCs w:val="21"/>
                <w:highlight w:val="none"/>
              </w:rPr>
              <w:t>投标人须具备独立法人资格，按国家法律经营。</w:t>
            </w:r>
          </w:p>
          <w:p w14:paraId="43863B35">
            <w:pPr>
              <w:pStyle w:val="32"/>
              <w:keepNext w:val="0"/>
              <w:keepLines w:val="0"/>
              <w:pageBreakBefore w:val="0"/>
              <w:widowControl w:val="0"/>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SA"/>
              </w:rPr>
              <w:t xml:space="preserve">2.2.2 </w:t>
            </w:r>
            <w:r>
              <w:rPr>
                <w:rFonts w:hint="eastAsia" w:ascii="宋体" w:hAnsi="宋体" w:eastAsia="宋体" w:cs="宋体"/>
                <w:color w:val="auto"/>
                <w:sz w:val="21"/>
                <w:szCs w:val="21"/>
                <w:highlight w:val="none"/>
              </w:rPr>
              <w:t>投标人须持有行政主管部门颁发的企业资质证书。</w:t>
            </w:r>
          </w:p>
          <w:p w14:paraId="51B5FFD7">
            <w:pPr>
              <w:pStyle w:val="32"/>
              <w:keepNext w:val="0"/>
              <w:keepLines w:val="0"/>
              <w:pageBreakBefore w:val="0"/>
              <w:widowControl w:val="0"/>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SA"/>
              </w:rPr>
              <w:t xml:space="preserve">2.2.3 </w:t>
            </w:r>
            <w:r>
              <w:rPr>
                <w:rFonts w:hint="eastAsia" w:ascii="宋体" w:hAnsi="宋体" w:eastAsia="宋体" w:cs="宋体"/>
                <w:color w:val="auto"/>
                <w:sz w:val="21"/>
                <w:szCs w:val="21"/>
                <w:highlight w:val="none"/>
              </w:rPr>
              <w:t>参加投标的投标人可以是单</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独立法人或由不超过</w:t>
            </w:r>
            <w:r>
              <w:rPr>
                <w:rFonts w:hint="eastAsia" w:ascii="宋体" w:hAnsi="宋体" w:eastAsia="宋体" w:cs="宋体"/>
                <w:color w:val="auto"/>
                <w:sz w:val="21"/>
                <w:szCs w:val="21"/>
                <w:highlight w:val="none"/>
                <w:u w:val="single"/>
                <w:lang w:val="en-US" w:eastAsia="zh-CN"/>
              </w:rPr>
              <w:t xml:space="preserve"> 2 </w:t>
            </w:r>
            <w:r>
              <w:rPr>
                <w:rFonts w:hint="eastAsia" w:ascii="宋体" w:hAnsi="宋体" w:eastAsia="宋体" w:cs="宋体"/>
                <w:color w:val="auto"/>
                <w:sz w:val="21"/>
                <w:szCs w:val="21"/>
                <w:highlight w:val="none"/>
              </w:rPr>
              <w:t>家独立法人组成的联合体（必须注明其中一家为牵头人），联合体各方不得再以自己的名义单独申请，也不得同时参加两个或两个以上的联合体进行本项目的投标。单一独立法人必须至少具备以下①资质，组成联合体投标的，联合后必须至少具备以下①资质，联合体牵头人必须</w:t>
            </w:r>
            <w:r>
              <w:rPr>
                <w:rFonts w:hint="eastAsia" w:ascii="宋体" w:hAnsi="宋体" w:eastAsia="宋体" w:cs="宋体"/>
                <w:color w:val="auto"/>
                <w:sz w:val="21"/>
                <w:szCs w:val="21"/>
                <w:highlight w:val="none"/>
                <w:lang w:val="en-US" w:eastAsia="zh-CN"/>
              </w:rPr>
              <w:t>为</w:t>
            </w:r>
            <w:r>
              <w:rPr>
                <w:rFonts w:hint="eastAsia" w:ascii="宋体" w:hAnsi="宋体" w:eastAsia="宋体" w:cs="宋体"/>
                <w:color w:val="auto"/>
                <w:sz w:val="21"/>
                <w:szCs w:val="21"/>
                <w:highlight w:val="none"/>
                <w:u w:val="single"/>
                <w:lang w:val="en-US" w:eastAsia="zh-CN"/>
              </w:rPr>
              <w:t>施工单位</w:t>
            </w:r>
            <w:r>
              <w:rPr>
                <w:rFonts w:hint="eastAsia" w:ascii="宋体" w:hAnsi="宋体" w:eastAsia="宋体" w:cs="宋体"/>
                <w:color w:val="auto"/>
                <w:sz w:val="21"/>
                <w:szCs w:val="21"/>
                <w:highlight w:val="none"/>
              </w:rPr>
              <w:t>，由同一专业的单位组成的联合体，按照资质等级较低的单位确定资质等级：</w:t>
            </w:r>
          </w:p>
          <w:p w14:paraId="350B1E69">
            <w:pPr>
              <w:keepNext w:val="0"/>
              <w:keepLines w:val="0"/>
              <w:pageBreakBefore w:val="0"/>
              <w:kinsoku/>
              <w:wordWrap/>
              <w:overflowPunct/>
              <w:topLinePunct w:val="0"/>
              <w:autoSpaceDE/>
              <w:autoSpaceDN/>
              <w:bidi w:val="0"/>
              <w:adjustRightInd/>
              <w:snapToGrid w:val="0"/>
              <w:spacing w:line="300" w:lineRule="auto"/>
              <w:ind w:left="105" w:leftChars="50"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①施工资质：</w:t>
            </w:r>
            <w:r>
              <w:rPr>
                <w:rFonts w:hint="eastAsia" w:ascii="宋体" w:hAnsi="宋体" w:eastAsia="宋体" w:cs="宋体"/>
                <w:b/>
                <w:bCs/>
                <w:snapToGrid w:val="0"/>
                <w:color w:val="auto"/>
                <w:kern w:val="0"/>
                <w:sz w:val="21"/>
                <w:szCs w:val="21"/>
                <w:highlight w:val="none"/>
                <w:u w:val="single"/>
              </w:rPr>
              <w:t>市政公用工程施工总承包三级以上（含三级）</w:t>
            </w:r>
            <w:r>
              <w:rPr>
                <w:rFonts w:hint="eastAsia" w:ascii="宋体" w:hAnsi="宋体" w:eastAsia="宋体" w:cs="宋体"/>
                <w:b/>
                <w:bCs/>
                <w:color w:val="000000"/>
                <w:sz w:val="21"/>
                <w:szCs w:val="21"/>
                <w:highlight w:val="none"/>
                <w:u w:val="single"/>
                <w:lang w:eastAsia="zh-CN"/>
              </w:rPr>
              <w:t>。</w:t>
            </w:r>
          </w:p>
          <w:p w14:paraId="39BFDE5C">
            <w:pPr>
              <w:pStyle w:val="32"/>
              <w:keepNext w:val="0"/>
              <w:keepLines w:val="0"/>
              <w:pageBreakBefore w:val="0"/>
              <w:widowControl w:val="0"/>
              <w:kinsoku/>
              <w:wordWrap w:val="0"/>
              <w:overflowPunct/>
              <w:topLinePunct w:val="0"/>
              <w:autoSpaceDE/>
              <w:autoSpaceDN/>
              <w:bidi w:val="0"/>
              <w:adjustRightInd w:val="0"/>
              <w:snapToGrid w:val="0"/>
              <w:spacing w:line="400" w:lineRule="exact"/>
              <w:ind w:firstLine="632" w:firstLineChars="3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SA"/>
              </w:rPr>
              <w:t xml:space="preserve">2.3 </w:t>
            </w:r>
            <w:r>
              <w:rPr>
                <w:rFonts w:hint="eastAsia" w:ascii="宋体" w:hAnsi="宋体" w:eastAsia="宋体" w:cs="宋体"/>
                <w:color w:val="auto"/>
                <w:sz w:val="21"/>
                <w:szCs w:val="21"/>
                <w:highlight w:val="none"/>
              </w:rPr>
              <w:t>相关人员要求</w:t>
            </w:r>
          </w:p>
          <w:p w14:paraId="17CDB09C">
            <w:pPr>
              <w:pStyle w:val="32"/>
              <w:wordWrap w:val="0"/>
              <w:adjustRightInd w:val="0"/>
              <w:snapToGrid w:val="0"/>
              <w:spacing w:line="440" w:lineRule="exact"/>
              <w:ind w:firstLine="632" w:firstLineChars="30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color w:val="auto"/>
                <w:kern w:val="0"/>
                <w:sz w:val="21"/>
                <w:szCs w:val="21"/>
                <w:highlight w:val="none"/>
                <w:lang w:val="en-US" w:eastAsia="zh-CN" w:bidi="ar-SA"/>
              </w:rPr>
              <w:t xml:space="preserve">2.3.1 </w:t>
            </w:r>
            <w:r>
              <w:rPr>
                <w:rFonts w:hint="eastAsia" w:ascii="宋体" w:hAnsi="宋体" w:eastAsia="宋体" w:cs="宋体"/>
                <w:snapToGrid w:val="0"/>
                <w:color w:val="auto"/>
                <w:kern w:val="0"/>
                <w:sz w:val="21"/>
                <w:szCs w:val="21"/>
                <w:highlight w:val="none"/>
              </w:rPr>
              <w:t>拟派项目经理为</w:t>
            </w:r>
            <w:r>
              <w:rPr>
                <w:rFonts w:hint="eastAsia" w:ascii="宋体" w:hAnsi="宋体" w:eastAsia="宋体" w:cs="宋体"/>
                <w:b/>
                <w:bCs/>
                <w:snapToGrid w:val="0"/>
                <w:color w:val="auto"/>
                <w:kern w:val="0"/>
                <w:sz w:val="21"/>
                <w:szCs w:val="21"/>
                <w:highlight w:val="none"/>
                <w:u w:val="single"/>
              </w:rPr>
              <w:t>市政公用工程</w:t>
            </w:r>
            <w:r>
              <w:rPr>
                <w:rFonts w:hint="eastAsia" w:ascii="宋体" w:hAnsi="宋体" w:eastAsia="宋体" w:cs="宋体"/>
                <w:snapToGrid w:val="0"/>
                <w:color w:val="auto"/>
                <w:kern w:val="0"/>
                <w:sz w:val="21"/>
                <w:szCs w:val="21"/>
                <w:highlight w:val="none"/>
              </w:rPr>
              <w:t>专业一级或二级注册建造师，应持有住建部门印发的在使用有效期内的有效电子注册证书，同时须具备有效安全生产考核合格证明（B证，安全生产考核合格证书或“广东省建筑施工企业管理人员安全生产考核信息系统”考核合格信息打印页），且未担任其他在施（包括已中标未开工、已建成未竣工）建设工程项目的项目经理。</w:t>
            </w:r>
          </w:p>
          <w:p w14:paraId="252ECE88">
            <w:pPr>
              <w:pStyle w:val="32"/>
              <w:keepNext w:val="0"/>
              <w:keepLines w:val="0"/>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color w:val="auto"/>
                <w:sz w:val="21"/>
                <w:szCs w:val="21"/>
                <w:highlight w:val="none"/>
              </w:rPr>
            </w:pPr>
          </w:p>
          <w:p w14:paraId="327ED57A">
            <w:pPr>
              <w:pStyle w:val="32"/>
              <w:wordWrap w:val="0"/>
              <w:adjustRightInd w:val="0"/>
              <w:snapToGrid w:val="0"/>
              <w:spacing w:line="440" w:lineRule="exact"/>
              <w:ind w:firstLine="422" w:firstLineChars="200"/>
              <w:jc w:val="left"/>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rPr>
              <w:t>2.3.2</w:t>
            </w:r>
            <w:r>
              <w:rPr>
                <w:rFonts w:hint="eastAsia" w:ascii="宋体" w:hAnsi="宋体" w:eastAsia="宋体" w:cs="宋体"/>
                <w:snapToGrid w:val="0"/>
                <w:color w:val="auto"/>
                <w:kern w:val="0"/>
                <w:sz w:val="21"/>
                <w:szCs w:val="21"/>
                <w:highlight w:val="none"/>
              </w:rPr>
              <w:t>拟派项目技术负责人须具备市政工程类相关专业</w:t>
            </w:r>
            <w:r>
              <w:rPr>
                <w:rFonts w:hint="eastAsia" w:ascii="宋体" w:hAnsi="宋体" w:eastAsia="宋体" w:cs="宋体"/>
                <w:snapToGrid w:val="0"/>
                <w:color w:val="auto"/>
                <w:kern w:val="0"/>
                <w:sz w:val="21"/>
                <w:szCs w:val="21"/>
                <w:highlight w:val="none"/>
                <w:u w:val="single"/>
              </w:rPr>
              <w:t xml:space="preserve"> 中 </w:t>
            </w:r>
            <w:r>
              <w:rPr>
                <w:rFonts w:hint="eastAsia" w:ascii="宋体" w:hAnsi="宋体" w:eastAsia="宋体" w:cs="宋体"/>
                <w:snapToGrid w:val="0"/>
                <w:color w:val="auto"/>
                <w:kern w:val="0"/>
                <w:sz w:val="21"/>
                <w:szCs w:val="21"/>
                <w:highlight w:val="none"/>
              </w:rPr>
              <w:t>级以上（含</w:t>
            </w:r>
            <w:r>
              <w:rPr>
                <w:rFonts w:hint="eastAsia" w:ascii="宋体" w:hAnsi="宋体" w:eastAsia="宋体" w:cs="宋体"/>
                <w:snapToGrid w:val="0"/>
                <w:color w:val="auto"/>
                <w:kern w:val="0"/>
                <w:sz w:val="21"/>
                <w:szCs w:val="21"/>
                <w:highlight w:val="none"/>
                <w:u w:val="single"/>
              </w:rPr>
              <w:t xml:space="preserve"> 中 </w:t>
            </w:r>
            <w:r>
              <w:rPr>
                <w:rFonts w:hint="eastAsia" w:ascii="宋体" w:hAnsi="宋体" w:eastAsia="宋体" w:cs="宋体"/>
                <w:snapToGrid w:val="0"/>
                <w:color w:val="auto"/>
                <w:kern w:val="0"/>
                <w:sz w:val="21"/>
                <w:szCs w:val="21"/>
                <w:highlight w:val="none"/>
              </w:rPr>
              <w:t>级）技术职称。</w:t>
            </w:r>
          </w:p>
          <w:p w14:paraId="28C7ED8F">
            <w:pPr>
              <w:pStyle w:val="32"/>
              <w:keepNext w:val="0"/>
              <w:keepLines w:val="0"/>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kern w:val="0"/>
                <w:sz w:val="21"/>
                <w:szCs w:val="21"/>
                <w:highlight w:val="none"/>
                <w:lang w:val="en-US" w:eastAsia="zh-CN"/>
              </w:rPr>
              <w:t xml:space="preserve">2.3.3 </w:t>
            </w:r>
            <w:r>
              <w:rPr>
                <w:rFonts w:hint="eastAsia" w:ascii="宋体" w:hAnsi="宋体" w:eastAsia="宋体" w:cs="宋体"/>
                <w:color w:val="auto"/>
                <w:sz w:val="21"/>
                <w:szCs w:val="21"/>
                <w:highlight w:val="none"/>
              </w:rPr>
              <w:t>拟派专职安全生产管理人员须具备有效安全生产考核合格证明（C证，安全生产考核合格证书或广东省建筑施工企业管理人员安全生产考核系统考核合格信息打印页），且不少于</w:t>
            </w:r>
            <w:r>
              <w:rPr>
                <w:rFonts w:hint="eastAsia" w:ascii="宋体" w:hAnsi="宋体" w:eastAsia="宋体" w:cs="宋体"/>
                <w:color w:val="auto"/>
                <w:sz w:val="21"/>
                <w:szCs w:val="21"/>
                <w:highlight w:val="none"/>
                <w:u w:val="single"/>
                <w:lang w:val="en-US" w:eastAsia="zh-CN"/>
              </w:rPr>
              <w:t>1</w:t>
            </w:r>
            <w:r>
              <w:rPr>
                <w:rFonts w:hint="eastAsia" w:ascii="宋体" w:hAnsi="宋体" w:eastAsia="宋体" w:cs="宋体"/>
                <w:color w:val="auto"/>
                <w:sz w:val="21"/>
                <w:szCs w:val="21"/>
                <w:highlight w:val="none"/>
              </w:rPr>
              <w:t>人。</w:t>
            </w:r>
          </w:p>
          <w:p w14:paraId="390EB4E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4 ．禁止投标条款：</w:t>
            </w:r>
          </w:p>
          <w:p w14:paraId="3DE547D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4.1  投标人不得存在下列情形之一：</w:t>
            </w:r>
          </w:p>
          <w:p w14:paraId="0B1FE42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（1）为招标人不具有独立法人资格的附属机构（单位）；</w:t>
            </w:r>
          </w:p>
          <w:p w14:paraId="3AB7DCD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（2）为本招标项目前期准备提供设计或咨询服务的；</w:t>
            </w:r>
          </w:p>
          <w:p w14:paraId="2A9F062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（3）与本招标项目的其他投标人为同一个单位负责人；</w:t>
            </w:r>
          </w:p>
          <w:p w14:paraId="4DC3CA3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（4）与本招标项目的其他投标人存在控股、管理关系；</w:t>
            </w:r>
          </w:p>
          <w:p w14:paraId="5D03042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（5）为本招标项目的监理人；</w:t>
            </w:r>
          </w:p>
          <w:p w14:paraId="187606D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（6）为本招标项目的代建人；</w:t>
            </w:r>
          </w:p>
          <w:p w14:paraId="7FECDD4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（7）为本招标项目的招标代理机构；</w:t>
            </w:r>
          </w:p>
          <w:p w14:paraId="3724CA5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（8）与本招标项目的监理人或代建人或招标代理机构同为一个 法定代表人；</w:t>
            </w:r>
          </w:p>
          <w:p w14:paraId="68D8974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（9）与本招标项目的监理人或代建人或招标代理机构存在控股或参股关系；</w:t>
            </w:r>
          </w:p>
          <w:p w14:paraId="698AE31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（10）与本招标项目的监理人或代建人或招标代理机构存在相互任职或工作关系；</w:t>
            </w:r>
          </w:p>
          <w:p w14:paraId="140B384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（11）被依法暂停或者取消投标资格；</w:t>
            </w:r>
          </w:p>
          <w:p w14:paraId="383686A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（12）被责令停产停业、暂扣或者吊销许可证、暂扣或者吊销执照；</w:t>
            </w:r>
          </w:p>
          <w:p w14:paraId="2BFCC42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（13）进入清算程序，或被宣告破产，或其他丧失履约能力的情形；</w:t>
            </w:r>
          </w:p>
          <w:p w14:paraId="7C2A5A6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（14）在最近三年内发生重大工程质量或安全问题（以相关行业主管部门的行政处罚决定或司法机关出具的有关法律文书为准）；</w:t>
            </w:r>
          </w:p>
          <w:p w14:paraId="5D76926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szCs w:val="21"/>
                <w:highlight w:val="none"/>
                <w:lang w:eastAsia="zh-CN"/>
              </w:rPr>
              <w:t>（15）被“信用中国 ”网站（https://www.creditchina.gov.cn）发布的《法人和非法人组织公共信用信息报告》列为严重失信主体名单的。</w:t>
            </w:r>
          </w:p>
          <w:p w14:paraId="118B19E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z w:val="21"/>
                <w:szCs w:val="21"/>
              </w:rPr>
            </w:pPr>
            <w:r>
              <w:rPr>
                <w:rFonts w:hint="eastAsia" w:ascii="宋体" w:hAnsi="宋体" w:eastAsia="宋体" w:cs="宋体"/>
                <w:snapToGrid w:val="0"/>
                <w:color w:val="auto"/>
                <w:spacing w:val="0"/>
                <w:kern w:val="0"/>
                <w:sz w:val="21"/>
                <w:szCs w:val="21"/>
                <w:highlight w:val="none"/>
                <w:lang w:eastAsia="zh-CN"/>
              </w:rPr>
              <w:t>4.2  招标人拒绝以下名单中的单位参加本次投标：</w:t>
            </w:r>
          </w:p>
          <w:tbl>
            <w:tblPr>
              <w:tblStyle w:val="17"/>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2694"/>
              <w:gridCol w:w="2894"/>
            </w:tblGrid>
            <w:tr w14:paraId="31C7D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780" w:type="dxa"/>
                  <w:noWrap w:val="0"/>
                  <w:vAlign w:val="center"/>
                </w:tcPr>
                <w:p w14:paraId="1B673EAB">
                  <w:pPr>
                    <w:wordWrap w:val="0"/>
                    <w:adjustRightInd w:val="0"/>
                    <w:snapToGrid w:val="0"/>
                    <w:spacing w:line="400" w:lineRule="exact"/>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2694" w:type="dxa"/>
                  <w:noWrap w:val="0"/>
                  <w:vAlign w:val="center"/>
                </w:tcPr>
                <w:p w14:paraId="03FC34BF">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单位名称</w:t>
                  </w:r>
                </w:p>
              </w:tc>
              <w:tc>
                <w:tcPr>
                  <w:tcW w:w="2894" w:type="dxa"/>
                  <w:noWrap w:val="0"/>
                  <w:vAlign w:val="center"/>
                </w:tcPr>
                <w:p w14:paraId="38C2D815">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拒绝原因</w:t>
                  </w:r>
                </w:p>
              </w:tc>
            </w:tr>
            <w:tr w14:paraId="4107B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780" w:type="dxa"/>
                  <w:noWrap w:val="0"/>
                  <w:vAlign w:val="center"/>
                </w:tcPr>
                <w:p w14:paraId="68842324">
                  <w:pPr>
                    <w:pStyle w:val="32"/>
                    <w:wordWrap w:val="0"/>
                    <w:adjustRightInd w:val="0"/>
                    <w:snapToGrid w:val="0"/>
                    <w:jc w:val="center"/>
                    <w:rPr>
                      <w:rFonts w:hint="eastAsia" w:ascii="宋体" w:hAnsi="宋体" w:eastAsia="宋体" w:cs="宋体"/>
                      <w:iCs/>
                      <w:snapToGrid w:val="0"/>
                      <w:color w:val="auto"/>
                      <w:kern w:val="0"/>
                      <w:sz w:val="21"/>
                      <w:szCs w:val="21"/>
                      <w:highlight w:val="none"/>
                    </w:rPr>
                  </w:pPr>
                  <w:r>
                    <w:rPr>
                      <w:rFonts w:hint="eastAsia" w:ascii="宋体" w:hAnsi="宋体" w:eastAsia="宋体" w:cs="宋体"/>
                      <w:iCs/>
                      <w:snapToGrid w:val="0"/>
                      <w:color w:val="auto"/>
                      <w:kern w:val="0"/>
                      <w:sz w:val="21"/>
                      <w:szCs w:val="21"/>
                      <w:highlight w:val="none"/>
                    </w:rPr>
                    <w:t>1</w:t>
                  </w:r>
                </w:p>
              </w:tc>
              <w:tc>
                <w:tcPr>
                  <w:tcW w:w="2694" w:type="dxa"/>
                  <w:noWrap w:val="0"/>
                  <w:vAlign w:val="center"/>
                </w:tcPr>
                <w:p w14:paraId="36232536">
                  <w:pPr>
                    <w:wordWrap w:val="0"/>
                    <w:adjustRightInd w:val="0"/>
                    <w:snapToGrid w:val="0"/>
                    <w:spacing w:line="240" w:lineRule="auto"/>
                    <w:rPr>
                      <w:rFonts w:hint="eastAsia" w:ascii="宋体" w:hAnsi="宋体" w:eastAsia="宋体" w:cs="宋体"/>
                      <w:bCs/>
                      <w:snapToGrid w:val="0"/>
                      <w:color w:val="auto"/>
                      <w:kern w:val="0"/>
                      <w:sz w:val="21"/>
                      <w:szCs w:val="21"/>
                      <w:highlight w:val="none"/>
                      <w:lang w:val="en-US" w:eastAsia="zh-CN" w:bidi="ar-SA"/>
                    </w:rPr>
                  </w:pPr>
                  <w:r>
                    <w:rPr>
                      <w:rFonts w:hint="eastAsia" w:ascii="宋体" w:hAnsi="宋体" w:eastAsia="宋体" w:cs="宋体"/>
                      <w:bCs/>
                      <w:snapToGrid w:val="0"/>
                      <w:color w:val="auto"/>
                      <w:kern w:val="0"/>
                      <w:sz w:val="21"/>
                      <w:szCs w:val="21"/>
                      <w:highlight w:val="none"/>
                      <w:lang w:val="en-US" w:eastAsia="zh-CN" w:bidi="ar-SA"/>
                    </w:rPr>
                    <w:t>首盛国际工程咨询集团有限公司</w:t>
                  </w:r>
                </w:p>
              </w:tc>
              <w:tc>
                <w:tcPr>
                  <w:tcW w:w="2894" w:type="dxa"/>
                  <w:noWrap w:val="0"/>
                  <w:vAlign w:val="center"/>
                </w:tcPr>
                <w:p w14:paraId="6BA4DAF0">
                  <w:pPr>
                    <w:pStyle w:val="32"/>
                    <w:wordWrap w:val="0"/>
                    <w:adjustRightInd w:val="0"/>
                    <w:snapToGrid w:val="0"/>
                    <w:rPr>
                      <w:rFonts w:hint="eastAsia" w:ascii="宋体" w:hAnsi="宋体" w:eastAsia="宋体" w:cs="宋体"/>
                      <w:iCs/>
                      <w:snapToGrid w:val="0"/>
                      <w:color w:val="auto"/>
                      <w:kern w:val="0"/>
                      <w:sz w:val="21"/>
                      <w:szCs w:val="21"/>
                      <w:highlight w:val="none"/>
                      <w:lang w:val="en-US" w:eastAsia="zh-CN" w:bidi="ar-SA"/>
                    </w:rPr>
                  </w:pPr>
                  <w:r>
                    <w:rPr>
                      <w:rFonts w:hint="eastAsia" w:ascii="宋体" w:hAnsi="宋体" w:eastAsia="宋体" w:cs="宋体"/>
                      <w:iCs/>
                      <w:snapToGrid w:val="0"/>
                      <w:color w:val="auto"/>
                      <w:kern w:val="0"/>
                      <w:sz w:val="21"/>
                      <w:szCs w:val="21"/>
                      <w:highlight w:val="none"/>
                    </w:rPr>
                    <w:t>为本招标项目的造价咨询单位</w:t>
                  </w:r>
                </w:p>
              </w:tc>
            </w:tr>
            <w:tr w14:paraId="552F6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780" w:type="dxa"/>
                  <w:noWrap w:val="0"/>
                  <w:vAlign w:val="center"/>
                </w:tcPr>
                <w:p w14:paraId="636D2DC6">
                  <w:pPr>
                    <w:pStyle w:val="32"/>
                    <w:wordWrap w:val="0"/>
                    <w:adjustRightInd w:val="0"/>
                    <w:snapToGrid w:val="0"/>
                    <w:jc w:val="center"/>
                    <w:rPr>
                      <w:rFonts w:hint="eastAsia" w:ascii="宋体" w:hAnsi="宋体" w:eastAsia="宋体" w:cs="宋体"/>
                      <w:iCs/>
                      <w:snapToGrid w:val="0"/>
                      <w:color w:val="auto"/>
                      <w:kern w:val="0"/>
                      <w:sz w:val="21"/>
                      <w:szCs w:val="21"/>
                      <w:highlight w:val="none"/>
                    </w:rPr>
                  </w:pPr>
                  <w:r>
                    <w:rPr>
                      <w:rFonts w:hint="eastAsia" w:ascii="宋体" w:hAnsi="宋体" w:eastAsia="宋体" w:cs="宋体"/>
                      <w:iCs/>
                      <w:snapToGrid w:val="0"/>
                      <w:color w:val="auto"/>
                      <w:kern w:val="0"/>
                      <w:sz w:val="21"/>
                      <w:szCs w:val="21"/>
                      <w:highlight w:val="none"/>
                    </w:rPr>
                    <w:t>2</w:t>
                  </w:r>
                </w:p>
              </w:tc>
              <w:tc>
                <w:tcPr>
                  <w:tcW w:w="2694" w:type="dxa"/>
                  <w:noWrap w:val="0"/>
                  <w:vAlign w:val="center"/>
                </w:tcPr>
                <w:p w14:paraId="4CB6BD5A">
                  <w:pPr>
                    <w:wordWrap w:val="0"/>
                    <w:adjustRightInd w:val="0"/>
                    <w:snapToGrid w:val="0"/>
                    <w:spacing w:line="240" w:lineRule="auto"/>
                    <w:rPr>
                      <w:rFonts w:hint="eastAsia" w:ascii="宋体" w:hAnsi="宋体" w:eastAsia="宋体" w:cs="宋体"/>
                      <w:iCs/>
                      <w:snapToGrid w:val="0"/>
                      <w:color w:val="auto"/>
                      <w:kern w:val="0"/>
                      <w:sz w:val="21"/>
                      <w:szCs w:val="21"/>
                      <w:highlight w:val="none"/>
                      <w:lang w:val="en-US" w:eastAsia="zh-CN" w:bidi="ar-SA"/>
                    </w:rPr>
                  </w:pPr>
                  <w:r>
                    <w:rPr>
                      <w:rFonts w:hint="eastAsia" w:ascii="宋体" w:hAnsi="宋体" w:eastAsia="宋体" w:cs="宋体"/>
                      <w:iCs/>
                      <w:snapToGrid w:val="0"/>
                      <w:color w:val="auto"/>
                      <w:kern w:val="0"/>
                      <w:sz w:val="21"/>
                      <w:szCs w:val="21"/>
                      <w:highlight w:val="none"/>
                      <w:lang w:val="en-US" w:eastAsia="zh-CN" w:bidi="ar-SA"/>
                    </w:rPr>
                    <w:t>中联玉德设计咨询有限公司</w:t>
                  </w:r>
                </w:p>
              </w:tc>
              <w:tc>
                <w:tcPr>
                  <w:tcW w:w="2894" w:type="dxa"/>
                  <w:noWrap w:val="0"/>
                  <w:vAlign w:val="center"/>
                </w:tcPr>
                <w:p w14:paraId="17D59E32">
                  <w:pPr>
                    <w:pStyle w:val="32"/>
                    <w:wordWrap w:val="0"/>
                    <w:adjustRightInd w:val="0"/>
                    <w:snapToGrid w:val="0"/>
                    <w:rPr>
                      <w:rFonts w:hint="eastAsia" w:ascii="宋体" w:hAnsi="宋体" w:eastAsia="宋体" w:cs="宋体"/>
                      <w:iCs/>
                      <w:snapToGrid w:val="0"/>
                      <w:color w:val="auto"/>
                      <w:kern w:val="0"/>
                      <w:sz w:val="21"/>
                      <w:szCs w:val="21"/>
                      <w:highlight w:val="none"/>
                      <w:lang w:val="en-US" w:eastAsia="zh-CN" w:bidi="ar-SA"/>
                    </w:rPr>
                  </w:pPr>
                  <w:r>
                    <w:rPr>
                      <w:rFonts w:hint="eastAsia" w:ascii="宋体" w:hAnsi="宋体" w:eastAsia="宋体" w:cs="宋体"/>
                      <w:iCs/>
                      <w:snapToGrid w:val="0"/>
                      <w:color w:val="auto"/>
                      <w:kern w:val="0"/>
                      <w:sz w:val="21"/>
                      <w:szCs w:val="21"/>
                      <w:highlight w:val="none"/>
                    </w:rPr>
                    <w:t>为本招标项目的设计单位</w:t>
                  </w:r>
                </w:p>
              </w:tc>
            </w:tr>
            <w:tr w14:paraId="35757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780" w:type="dxa"/>
                  <w:noWrap w:val="0"/>
                  <w:vAlign w:val="center"/>
                </w:tcPr>
                <w:p w14:paraId="67E8CB44">
                  <w:pPr>
                    <w:pStyle w:val="32"/>
                    <w:wordWrap w:val="0"/>
                    <w:adjustRightInd w:val="0"/>
                    <w:snapToGrid w:val="0"/>
                    <w:jc w:val="center"/>
                    <w:rPr>
                      <w:rFonts w:hint="eastAsia" w:ascii="宋体" w:hAnsi="宋体" w:eastAsia="宋体" w:cs="宋体"/>
                      <w:iCs/>
                      <w:snapToGrid w:val="0"/>
                      <w:color w:val="auto"/>
                      <w:kern w:val="0"/>
                      <w:sz w:val="21"/>
                      <w:szCs w:val="21"/>
                      <w:highlight w:val="none"/>
                    </w:rPr>
                  </w:pPr>
                  <w:r>
                    <w:rPr>
                      <w:rFonts w:hint="eastAsia" w:ascii="宋体" w:hAnsi="宋体" w:eastAsia="宋体" w:cs="宋体"/>
                      <w:iCs/>
                      <w:snapToGrid w:val="0"/>
                      <w:color w:val="auto"/>
                      <w:kern w:val="0"/>
                      <w:sz w:val="21"/>
                      <w:szCs w:val="21"/>
                      <w:highlight w:val="none"/>
                    </w:rPr>
                    <w:t>3</w:t>
                  </w:r>
                </w:p>
              </w:tc>
              <w:tc>
                <w:tcPr>
                  <w:tcW w:w="2694" w:type="dxa"/>
                  <w:noWrap w:val="0"/>
                  <w:vAlign w:val="center"/>
                </w:tcPr>
                <w:p w14:paraId="2EBF4F01">
                  <w:pPr>
                    <w:wordWrap w:val="0"/>
                    <w:adjustRightInd w:val="0"/>
                    <w:snapToGrid w:val="0"/>
                    <w:spacing w:line="240" w:lineRule="auto"/>
                    <w:rPr>
                      <w:rFonts w:hint="eastAsia" w:ascii="宋体" w:hAnsi="宋体" w:eastAsia="宋体" w:cs="宋体"/>
                      <w:iCs/>
                      <w:snapToGrid w:val="0"/>
                      <w:color w:val="auto"/>
                      <w:kern w:val="0"/>
                      <w:sz w:val="21"/>
                      <w:szCs w:val="21"/>
                      <w:highlight w:val="none"/>
                      <w:lang w:val="en-US" w:eastAsia="zh-CN" w:bidi="ar-SA"/>
                    </w:rPr>
                  </w:pPr>
                  <w:r>
                    <w:rPr>
                      <w:rFonts w:hint="eastAsia" w:ascii="宋体" w:hAnsi="宋体" w:eastAsia="宋体" w:cs="宋体"/>
                      <w:color w:val="auto"/>
                      <w:sz w:val="21"/>
                      <w:szCs w:val="21"/>
                      <w:highlight w:val="none"/>
                      <w:lang w:eastAsia="zh-CN"/>
                    </w:rPr>
                    <w:t>广东粤圣项目管理有限公司</w:t>
                  </w:r>
                </w:p>
              </w:tc>
              <w:tc>
                <w:tcPr>
                  <w:tcW w:w="2894" w:type="dxa"/>
                  <w:noWrap w:val="0"/>
                  <w:vAlign w:val="center"/>
                </w:tcPr>
                <w:p w14:paraId="6AC72B0A">
                  <w:pPr>
                    <w:pStyle w:val="32"/>
                    <w:wordWrap w:val="0"/>
                    <w:adjustRightInd w:val="0"/>
                    <w:snapToGrid w:val="0"/>
                    <w:rPr>
                      <w:rFonts w:hint="eastAsia" w:ascii="宋体" w:hAnsi="宋体" w:eastAsia="宋体" w:cs="宋体"/>
                      <w:iCs/>
                      <w:snapToGrid w:val="0"/>
                      <w:color w:val="auto"/>
                      <w:kern w:val="0"/>
                      <w:sz w:val="21"/>
                      <w:szCs w:val="21"/>
                      <w:highlight w:val="none"/>
                      <w:lang w:val="en-US" w:eastAsia="zh-CN" w:bidi="ar-SA"/>
                    </w:rPr>
                  </w:pPr>
                  <w:r>
                    <w:rPr>
                      <w:rFonts w:hint="eastAsia" w:ascii="宋体" w:hAnsi="宋体" w:eastAsia="宋体" w:cs="宋体"/>
                      <w:iCs/>
                      <w:snapToGrid w:val="0"/>
                      <w:color w:val="auto"/>
                      <w:kern w:val="0"/>
                      <w:sz w:val="21"/>
                      <w:szCs w:val="21"/>
                      <w:highlight w:val="none"/>
                    </w:rPr>
                    <w:t>为本招标项目的招标代理机构</w:t>
                  </w:r>
                </w:p>
              </w:tc>
            </w:tr>
            <w:tr w14:paraId="29CC0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780" w:type="dxa"/>
                  <w:noWrap w:val="0"/>
                  <w:vAlign w:val="center"/>
                </w:tcPr>
                <w:p w14:paraId="6CB2D811">
                  <w:pPr>
                    <w:pStyle w:val="32"/>
                    <w:wordWrap w:val="0"/>
                    <w:adjustRightInd w:val="0"/>
                    <w:snapToGrid w:val="0"/>
                    <w:jc w:val="center"/>
                    <w:rPr>
                      <w:rFonts w:hint="eastAsia" w:ascii="宋体" w:hAnsi="宋体" w:eastAsia="宋体" w:cs="宋体"/>
                      <w:iCs/>
                      <w:snapToGrid w:val="0"/>
                      <w:color w:val="auto"/>
                      <w:kern w:val="0"/>
                      <w:sz w:val="21"/>
                      <w:szCs w:val="21"/>
                      <w:highlight w:val="none"/>
                      <w:lang w:val="en-US" w:eastAsia="zh-CN"/>
                    </w:rPr>
                  </w:pPr>
                  <w:r>
                    <w:rPr>
                      <w:rFonts w:hint="eastAsia" w:ascii="宋体" w:hAnsi="宋体" w:eastAsia="宋体" w:cs="宋体"/>
                      <w:iCs/>
                      <w:snapToGrid w:val="0"/>
                      <w:color w:val="auto"/>
                      <w:kern w:val="0"/>
                      <w:sz w:val="21"/>
                      <w:szCs w:val="21"/>
                      <w:highlight w:val="none"/>
                      <w:lang w:val="en-US" w:eastAsia="zh-CN"/>
                    </w:rPr>
                    <w:t>4</w:t>
                  </w:r>
                </w:p>
              </w:tc>
              <w:tc>
                <w:tcPr>
                  <w:tcW w:w="2694" w:type="dxa"/>
                  <w:noWrap w:val="0"/>
                  <w:vAlign w:val="center"/>
                </w:tcPr>
                <w:p w14:paraId="008866FA">
                  <w:pPr>
                    <w:pStyle w:val="32"/>
                    <w:wordWrap w:val="0"/>
                    <w:adjustRightInd w:val="0"/>
                    <w:snapToGrid w:val="0"/>
                    <w:rPr>
                      <w:rFonts w:hint="eastAsia" w:ascii="宋体" w:hAnsi="宋体" w:eastAsia="宋体" w:cs="宋体"/>
                      <w:iCs/>
                      <w:snapToGrid w:val="0"/>
                      <w:color w:val="auto"/>
                      <w:kern w:val="0"/>
                      <w:sz w:val="21"/>
                      <w:szCs w:val="21"/>
                      <w:highlight w:val="none"/>
                      <w:lang w:val="en-US" w:eastAsia="zh-CN" w:bidi="ar-SA"/>
                    </w:rPr>
                  </w:pPr>
                  <w:r>
                    <w:rPr>
                      <w:rFonts w:hint="eastAsia" w:ascii="宋体" w:hAnsi="宋体" w:eastAsia="宋体" w:cs="宋体"/>
                      <w:iCs/>
                      <w:snapToGrid w:val="0"/>
                      <w:color w:val="auto"/>
                      <w:kern w:val="0"/>
                      <w:sz w:val="21"/>
                      <w:szCs w:val="21"/>
                      <w:highlight w:val="none"/>
                      <w:lang w:eastAsia="zh-CN"/>
                    </w:rPr>
                    <w:t>韶关市曲江区马坝镇人民政府</w:t>
                  </w:r>
                </w:p>
              </w:tc>
              <w:tc>
                <w:tcPr>
                  <w:tcW w:w="2894" w:type="dxa"/>
                  <w:noWrap w:val="0"/>
                  <w:vAlign w:val="center"/>
                </w:tcPr>
                <w:p w14:paraId="6294869C">
                  <w:pPr>
                    <w:pStyle w:val="32"/>
                    <w:wordWrap w:val="0"/>
                    <w:adjustRightInd w:val="0"/>
                    <w:snapToGrid w:val="0"/>
                    <w:rPr>
                      <w:rFonts w:hint="eastAsia" w:ascii="宋体" w:hAnsi="宋体" w:eastAsia="宋体" w:cs="宋体"/>
                      <w:iCs/>
                      <w:snapToGrid w:val="0"/>
                      <w:color w:val="auto"/>
                      <w:kern w:val="0"/>
                      <w:sz w:val="21"/>
                      <w:szCs w:val="21"/>
                      <w:highlight w:val="none"/>
                      <w:lang w:val="en-US" w:eastAsia="zh-CN" w:bidi="ar-SA"/>
                    </w:rPr>
                  </w:pPr>
                  <w:r>
                    <w:rPr>
                      <w:rFonts w:hint="eastAsia" w:ascii="宋体" w:hAnsi="宋体" w:eastAsia="宋体" w:cs="宋体"/>
                      <w:iCs/>
                      <w:snapToGrid w:val="0"/>
                      <w:color w:val="auto"/>
                      <w:kern w:val="0"/>
                      <w:sz w:val="21"/>
                      <w:szCs w:val="21"/>
                      <w:highlight w:val="none"/>
                    </w:rPr>
                    <w:t>为本招标项目的</w:t>
                  </w:r>
                  <w:r>
                    <w:rPr>
                      <w:rFonts w:hint="eastAsia" w:ascii="宋体" w:hAnsi="宋体" w:eastAsia="宋体" w:cs="宋体"/>
                      <w:iCs/>
                      <w:snapToGrid w:val="0"/>
                      <w:color w:val="auto"/>
                      <w:kern w:val="0"/>
                      <w:sz w:val="21"/>
                      <w:szCs w:val="21"/>
                      <w:highlight w:val="none"/>
                      <w:lang w:eastAsia="zh-CN"/>
                    </w:rPr>
                    <w:t>招标人</w:t>
                  </w:r>
                </w:p>
              </w:tc>
            </w:tr>
          </w:tbl>
          <w:p w14:paraId="5E989C05">
            <w:pPr>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5．其他要求</w:t>
            </w:r>
          </w:p>
          <w:p w14:paraId="3881870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宋体" w:hAnsi="宋体" w:eastAsia="宋体" w:cs="宋体"/>
                <w:snapToGrid w:val="0"/>
                <w:color w:val="auto"/>
                <w:kern w:val="0"/>
                <w:sz w:val="21"/>
                <w:szCs w:val="21"/>
                <w:highlight w:val="none"/>
              </w:rPr>
              <w:t>省外企业须按照《广东省住房和城乡建设厅关于取消省外建筑企业和人员进粤信息备案有关工作的通知》（粤建市﹝2015﹞52号）规定在“进粤企业和人员诚信信息登记平台”录入相关信息并通过数据规范检查。</w:t>
            </w:r>
          </w:p>
        </w:tc>
      </w:tr>
      <w:tr w14:paraId="5BAB6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trPr>
        <w:tc>
          <w:tcPr>
            <w:tcW w:w="582" w:type="dxa"/>
            <w:vAlign w:val="center"/>
          </w:tcPr>
          <w:p w14:paraId="4BF78773">
            <w:pPr>
              <w:keepNext w:val="0"/>
              <w:keepLines w:val="0"/>
              <w:pageBreakBefore w:val="0"/>
              <w:wordWrap w:val="0"/>
              <w:overflowPunct/>
              <w:topLinePunct w:val="0"/>
              <w:bidi w:val="0"/>
              <w:spacing w:before="19"/>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27</w:t>
            </w:r>
          </w:p>
        </w:tc>
        <w:tc>
          <w:tcPr>
            <w:tcW w:w="1942" w:type="dxa"/>
            <w:vAlign w:val="center"/>
          </w:tcPr>
          <w:p w14:paraId="6A030E1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投标有效期</w:t>
            </w:r>
          </w:p>
        </w:tc>
        <w:tc>
          <w:tcPr>
            <w:tcW w:w="7574" w:type="dxa"/>
            <w:vAlign w:val="center"/>
          </w:tcPr>
          <w:p w14:paraId="7EF5475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本次招标的投标有效期为</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90</w:t>
            </w:r>
            <w:r>
              <w:rPr>
                <w:rFonts w:hint="eastAsia" w:asciiTheme="minorEastAsia" w:hAnsiTheme="minorEastAsia" w:eastAsiaTheme="minorEastAsia" w:cstheme="minorEastAsia"/>
                <w:snapToGrid w:val="0"/>
                <w:color w:val="auto"/>
                <w:spacing w:val="0"/>
                <w:kern w:val="0"/>
                <w:sz w:val="21"/>
                <w:szCs w:val="21"/>
                <w:highlight w:val="none"/>
                <w:lang w:eastAsia="zh-CN"/>
              </w:rPr>
              <w:t xml:space="preserve"> 个日历天。</w:t>
            </w:r>
          </w:p>
        </w:tc>
      </w:tr>
      <w:tr w14:paraId="6971D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0" w:hRule="atLeast"/>
        </w:trPr>
        <w:tc>
          <w:tcPr>
            <w:tcW w:w="582" w:type="dxa"/>
            <w:vAlign w:val="center"/>
          </w:tcPr>
          <w:p w14:paraId="1E3A9D17">
            <w:pPr>
              <w:keepNext w:val="0"/>
              <w:keepLines w:val="0"/>
              <w:pageBreakBefore w:val="0"/>
              <w:wordWrap w:val="0"/>
              <w:overflowPunct/>
              <w:topLinePunct w:val="0"/>
              <w:bidi w:val="0"/>
              <w:spacing w:before="69" w:line="188" w:lineRule="auto"/>
              <w:ind w:left="205"/>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28</w:t>
            </w:r>
          </w:p>
        </w:tc>
        <w:tc>
          <w:tcPr>
            <w:tcW w:w="1942" w:type="dxa"/>
            <w:vAlign w:val="center"/>
          </w:tcPr>
          <w:p w14:paraId="24459D3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投标文件组成</w:t>
            </w:r>
          </w:p>
        </w:tc>
        <w:tc>
          <w:tcPr>
            <w:tcW w:w="7574" w:type="dxa"/>
            <w:vAlign w:val="center"/>
          </w:tcPr>
          <w:p w14:paraId="53F827A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投标文件包括商务标书、经济标书、施工组织设计、</w:t>
            </w:r>
            <w:r>
              <w:rPr>
                <w:rFonts w:hint="eastAsia" w:asciiTheme="minorEastAsia" w:hAnsiTheme="minorEastAsia" w:eastAsiaTheme="minorEastAsia" w:cstheme="minorEastAsia"/>
                <w:snapToGrid w:val="0"/>
                <w:color w:val="auto"/>
                <w:spacing w:val="0"/>
                <w:kern w:val="0"/>
                <w:sz w:val="21"/>
                <w:szCs w:val="21"/>
                <w:highlight w:val="none"/>
                <w:lang w:val="en-US" w:eastAsia="zh-CN"/>
              </w:rPr>
              <w:t>定标文件四</w:t>
            </w:r>
            <w:r>
              <w:rPr>
                <w:rFonts w:hint="eastAsia" w:asciiTheme="minorEastAsia" w:hAnsiTheme="minorEastAsia" w:eastAsiaTheme="minorEastAsia" w:cstheme="minorEastAsia"/>
                <w:snapToGrid w:val="0"/>
                <w:color w:val="auto"/>
                <w:spacing w:val="0"/>
                <w:kern w:val="0"/>
                <w:sz w:val="21"/>
                <w:szCs w:val="21"/>
                <w:highlight w:val="none"/>
                <w:lang w:eastAsia="zh-CN"/>
              </w:rPr>
              <w:t>个分册。</w:t>
            </w:r>
          </w:p>
        </w:tc>
      </w:tr>
      <w:tr w14:paraId="5E297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282353BA">
            <w:pPr>
              <w:keepNext w:val="0"/>
              <w:keepLines w:val="0"/>
              <w:pageBreakBefore w:val="0"/>
              <w:wordWrap w:val="0"/>
              <w:overflowPunct/>
              <w:topLinePunct w:val="0"/>
              <w:bidi w:val="0"/>
              <w:spacing w:before="69" w:line="188" w:lineRule="auto"/>
              <w:ind w:left="205"/>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29</w:t>
            </w:r>
          </w:p>
        </w:tc>
        <w:tc>
          <w:tcPr>
            <w:tcW w:w="1942" w:type="dxa"/>
            <w:vAlign w:val="center"/>
          </w:tcPr>
          <w:p w14:paraId="74B22D6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施工组织设计评审方式</w:t>
            </w:r>
          </w:p>
        </w:tc>
        <w:tc>
          <w:tcPr>
            <w:tcW w:w="7574" w:type="dxa"/>
            <w:vAlign w:val="center"/>
          </w:tcPr>
          <w:p w14:paraId="683086F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本次招标施工组织设计</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不采用 </w:t>
            </w:r>
            <w:r>
              <w:rPr>
                <w:rFonts w:hint="eastAsia" w:asciiTheme="minorEastAsia" w:hAnsiTheme="minorEastAsia" w:eastAsiaTheme="minorEastAsia" w:cstheme="minorEastAsia"/>
                <w:snapToGrid w:val="0"/>
                <w:color w:val="auto"/>
                <w:spacing w:val="0"/>
                <w:kern w:val="0"/>
                <w:sz w:val="21"/>
                <w:szCs w:val="21"/>
                <w:highlight w:val="none"/>
                <w:lang w:eastAsia="zh-CN"/>
              </w:rPr>
              <w:t>“暗标 ”方式进行评审。</w:t>
            </w:r>
          </w:p>
        </w:tc>
      </w:tr>
      <w:tr w14:paraId="4CD98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3" w:hRule="atLeast"/>
        </w:trPr>
        <w:tc>
          <w:tcPr>
            <w:tcW w:w="582" w:type="dxa"/>
            <w:vAlign w:val="center"/>
          </w:tcPr>
          <w:p w14:paraId="029705D9">
            <w:pPr>
              <w:keepNext w:val="0"/>
              <w:keepLines w:val="0"/>
              <w:pageBreakBefore w:val="0"/>
              <w:wordWrap w:val="0"/>
              <w:overflowPunct/>
              <w:topLinePunct w:val="0"/>
              <w:bidi w:val="0"/>
              <w:spacing w:before="69" w:line="188" w:lineRule="auto"/>
              <w:ind w:left="209"/>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30</w:t>
            </w:r>
          </w:p>
        </w:tc>
        <w:tc>
          <w:tcPr>
            <w:tcW w:w="1942" w:type="dxa"/>
            <w:vAlign w:val="center"/>
          </w:tcPr>
          <w:p w14:paraId="1ABA6C5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评标委员会</w:t>
            </w:r>
          </w:p>
        </w:tc>
        <w:tc>
          <w:tcPr>
            <w:tcW w:w="7574" w:type="dxa"/>
            <w:vAlign w:val="top"/>
          </w:tcPr>
          <w:p w14:paraId="1D041BE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评标委员会由</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5</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人组成，其中招标人代表</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0</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人，专家</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 xml:space="preserve">5 </w:t>
            </w:r>
            <w:r>
              <w:rPr>
                <w:rFonts w:hint="eastAsia" w:asciiTheme="minorEastAsia" w:hAnsiTheme="minorEastAsia" w:eastAsiaTheme="minorEastAsia" w:cstheme="minorEastAsia"/>
                <w:snapToGrid w:val="0"/>
                <w:color w:val="auto"/>
                <w:spacing w:val="0"/>
                <w:kern w:val="0"/>
                <w:sz w:val="21"/>
                <w:szCs w:val="21"/>
                <w:highlight w:val="none"/>
                <w:lang w:eastAsia="zh-CN"/>
              </w:rPr>
              <w:t>人。专家从广东省综合评标评审专家库</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（韶关区域）</w:t>
            </w:r>
            <w:r>
              <w:rPr>
                <w:rFonts w:hint="eastAsia" w:asciiTheme="minorEastAsia" w:hAnsiTheme="minorEastAsia" w:eastAsiaTheme="minorEastAsia" w:cstheme="minorEastAsia"/>
                <w:snapToGrid w:val="0"/>
                <w:color w:val="auto"/>
                <w:spacing w:val="0"/>
                <w:kern w:val="0"/>
                <w:sz w:val="21"/>
                <w:szCs w:val="21"/>
                <w:highlight w:val="none"/>
                <w:lang w:eastAsia="zh-CN"/>
              </w:rPr>
              <w:t>中随机抽取，其中技术类专家</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3 </w:t>
            </w:r>
            <w:r>
              <w:rPr>
                <w:rFonts w:hint="eastAsia" w:asciiTheme="minorEastAsia" w:hAnsiTheme="minorEastAsia" w:eastAsiaTheme="minorEastAsia" w:cstheme="minorEastAsia"/>
                <w:snapToGrid w:val="0"/>
                <w:color w:val="auto"/>
                <w:spacing w:val="0"/>
                <w:kern w:val="0"/>
                <w:sz w:val="21"/>
                <w:szCs w:val="21"/>
                <w:highlight w:val="none"/>
                <w:lang w:eastAsia="zh-CN"/>
              </w:rPr>
              <w:t>人，经济类专家</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2 </w:t>
            </w:r>
            <w:r>
              <w:rPr>
                <w:rFonts w:hint="eastAsia" w:asciiTheme="minorEastAsia" w:hAnsiTheme="minorEastAsia" w:eastAsiaTheme="minorEastAsia" w:cstheme="minorEastAsia"/>
                <w:snapToGrid w:val="0"/>
                <w:color w:val="auto"/>
                <w:spacing w:val="0"/>
                <w:kern w:val="0"/>
                <w:sz w:val="21"/>
                <w:szCs w:val="21"/>
                <w:highlight w:val="none"/>
                <w:lang w:eastAsia="zh-CN"/>
              </w:rPr>
              <w:t>人。</w:t>
            </w:r>
          </w:p>
        </w:tc>
      </w:tr>
      <w:tr w14:paraId="00FCD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rPr>
        <w:tc>
          <w:tcPr>
            <w:tcW w:w="582" w:type="dxa"/>
            <w:vAlign w:val="center"/>
          </w:tcPr>
          <w:p w14:paraId="20A804ED">
            <w:pPr>
              <w:keepNext w:val="0"/>
              <w:keepLines w:val="0"/>
              <w:pageBreakBefore w:val="0"/>
              <w:wordWrap w:val="0"/>
              <w:overflowPunct/>
              <w:topLinePunct w:val="0"/>
              <w:bidi w:val="0"/>
              <w:spacing w:before="258" w:line="188" w:lineRule="auto"/>
              <w:ind w:left="209" w:leftChars="0"/>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31</w:t>
            </w:r>
          </w:p>
        </w:tc>
        <w:tc>
          <w:tcPr>
            <w:tcW w:w="1942" w:type="dxa"/>
            <w:vAlign w:val="center"/>
          </w:tcPr>
          <w:p w14:paraId="665467A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定</w:t>
            </w:r>
            <w:r>
              <w:rPr>
                <w:rFonts w:hint="eastAsia" w:asciiTheme="minorEastAsia" w:hAnsiTheme="minorEastAsia" w:eastAsiaTheme="minorEastAsia" w:cstheme="minorEastAsia"/>
                <w:snapToGrid w:val="0"/>
                <w:color w:val="auto"/>
                <w:spacing w:val="0"/>
                <w:kern w:val="0"/>
                <w:sz w:val="21"/>
                <w:szCs w:val="21"/>
                <w:highlight w:val="none"/>
                <w:lang w:eastAsia="zh-CN"/>
              </w:rPr>
              <w:t>标委员会</w:t>
            </w:r>
          </w:p>
        </w:tc>
        <w:tc>
          <w:tcPr>
            <w:tcW w:w="7574" w:type="dxa"/>
            <w:vAlign w:val="center"/>
          </w:tcPr>
          <w:p w14:paraId="3AE5DB9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left"/>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本</w:t>
            </w:r>
            <w:r>
              <w:rPr>
                <w:rFonts w:hint="eastAsia" w:asciiTheme="minorEastAsia" w:hAnsiTheme="minorEastAsia" w:eastAsiaTheme="minorEastAsia" w:cstheme="minorEastAsia"/>
                <w:snapToGrid w:val="0"/>
                <w:color w:val="auto"/>
                <w:spacing w:val="0"/>
                <w:kern w:val="0"/>
                <w:sz w:val="21"/>
                <w:szCs w:val="21"/>
                <w:highlight w:val="none"/>
                <w:lang w:eastAsia="zh-CN"/>
              </w:rPr>
              <w:t xml:space="preserve">项目定标委员会组成人员为 </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7 </w:t>
            </w:r>
            <w:r>
              <w:rPr>
                <w:rFonts w:hint="eastAsia" w:asciiTheme="minorEastAsia" w:hAnsiTheme="minorEastAsia" w:eastAsiaTheme="minorEastAsia" w:cstheme="minorEastAsia"/>
                <w:snapToGrid w:val="0"/>
                <w:color w:val="auto"/>
                <w:spacing w:val="0"/>
                <w:kern w:val="0"/>
                <w:sz w:val="21"/>
                <w:szCs w:val="21"/>
                <w:highlight w:val="none"/>
                <w:lang w:eastAsia="zh-CN"/>
              </w:rPr>
              <w:t>人</w:t>
            </w:r>
          </w:p>
        </w:tc>
      </w:tr>
      <w:tr w14:paraId="705EA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rPr>
        <w:tc>
          <w:tcPr>
            <w:tcW w:w="582" w:type="dxa"/>
            <w:vAlign w:val="center"/>
          </w:tcPr>
          <w:p w14:paraId="2AFC9717">
            <w:pPr>
              <w:keepNext w:val="0"/>
              <w:keepLines w:val="0"/>
              <w:pageBreakBefore w:val="0"/>
              <w:wordWrap w:val="0"/>
              <w:overflowPunct/>
              <w:topLinePunct w:val="0"/>
              <w:bidi w:val="0"/>
              <w:spacing w:before="258" w:line="188" w:lineRule="auto"/>
              <w:ind w:left="209" w:leftChars="0"/>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lang w:val="en-US" w:eastAsia="zh-CN"/>
              </w:rPr>
              <w:t>32</w:t>
            </w:r>
          </w:p>
        </w:tc>
        <w:tc>
          <w:tcPr>
            <w:tcW w:w="1942" w:type="dxa"/>
            <w:vAlign w:val="center"/>
          </w:tcPr>
          <w:p w14:paraId="7057DE4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评标方法</w:t>
            </w:r>
          </w:p>
        </w:tc>
        <w:tc>
          <w:tcPr>
            <w:tcW w:w="7574" w:type="dxa"/>
            <w:vAlign w:val="center"/>
          </w:tcPr>
          <w:p w14:paraId="628B1B3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☑综合评估法</w:t>
            </w:r>
          </w:p>
        </w:tc>
      </w:tr>
      <w:tr w14:paraId="6DFDE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rPr>
        <w:tc>
          <w:tcPr>
            <w:tcW w:w="582" w:type="dxa"/>
            <w:vAlign w:val="center"/>
          </w:tcPr>
          <w:p w14:paraId="4AF0EE91">
            <w:pPr>
              <w:keepNext w:val="0"/>
              <w:keepLines w:val="0"/>
              <w:pageBreakBefore w:val="0"/>
              <w:wordWrap w:val="0"/>
              <w:overflowPunct/>
              <w:topLinePunct w:val="0"/>
              <w:bidi w:val="0"/>
              <w:spacing w:before="258" w:line="188" w:lineRule="auto"/>
              <w:ind w:left="209"/>
              <w:jc w:val="both"/>
              <w:rPr>
                <w:rFonts w:hint="default"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val="en-US" w:eastAsia="zh-CN"/>
              </w:rPr>
              <w:t>33</w:t>
            </w:r>
          </w:p>
        </w:tc>
        <w:tc>
          <w:tcPr>
            <w:tcW w:w="1942" w:type="dxa"/>
            <w:vAlign w:val="center"/>
          </w:tcPr>
          <w:p w14:paraId="7AA0808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定标办法</w:t>
            </w:r>
          </w:p>
        </w:tc>
        <w:tc>
          <w:tcPr>
            <w:tcW w:w="7574" w:type="dxa"/>
            <w:vAlign w:val="center"/>
          </w:tcPr>
          <w:p w14:paraId="73EA49A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☑票决定标法（</w:t>
            </w:r>
            <w:r>
              <w:rPr>
                <w:rFonts w:hint="eastAsia" w:asciiTheme="minorEastAsia" w:hAnsiTheme="minorEastAsia" w:eastAsiaTheme="minorEastAsia" w:cstheme="minorEastAsia"/>
                <w:snapToGrid w:val="0"/>
                <w:color w:val="auto"/>
                <w:spacing w:val="0"/>
                <w:kern w:val="0"/>
                <w:sz w:val="21"/>
                <w:szCs w:val="21"/>
                <w:highlight w:val="none"/>
                <w:lang w:val="en-US" w:eastAsia="zh-CN"/>
              </w:rPr>
              <w:t>票决数量法</w:t>
            </w:r>
            <w:r>
              <w:rPr>
                <w:rFonts w:hint="eastAsia" w:asciiTheme="minorEastAsia" w:hAnsiTheme="minorEastAsia" w:eastAsiaTheme="minorEastAsia" w:cstheme="minorEastAsia"/>
                <w:snapToGrid w:val="0"/>
                <w:color w:val="auto"/>
                <w:spacing w:val="0"/>
                <w:kern w:val="0"/>
                <w:sz w:val="21"/>
                <w:szCs w:val="21"/>
                <w:highlight w:val="none"/>
                <w:lang w:eastAsia="zh-CN"/>
              </w:rPr>
              <w:t>）</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□集体议事法</w:t>
            </w:r>
          </w:p>
        </w:tc>
      </w:tr>
      <w:tr w14:paraId="735BD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4" w:hRule="atLeast"/>
        </w:trPr>
        <w:tc>
          <w:tcPr>
            <w:tcW w:w="582" w:type="dxa"/>
            <w:vAlign w:val="center"/>
          </w:tcPr>
          <w:p w14:paraId="28C06626">
            <w:pPr>
              <w:keepNext w:val="0"/>
              <w:keepLines w:val="0"/>
              <w:pageBreakBefore w:val="0"/>
              <w:wordWrap w:val="0"/>
              <w:overflowPunct/>
              <w:topLinePunct w:val="0"/>
              <w:bidi w:val="0"/>
              <w:spacing w:before="57" w:line="195" w:lineRule="auto"/>
              <w:jc w:val="center"/>
              <w:rPr>
                <w:rFonts w:hint="default"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rPr>
              <w:t>3</w:t>
            </w:r>
            <w:r>
              <w:rPr>
                <w:rFonts w:hint="eastAsia" w:asciiTheme="minorEastAsia" w:hAnsiTheme="minorEastAsia" w:eastAsiaTheme="minorEastAsia" w:cstheme="minorEastAsia"/>
                <w:color w:val="auto"/>
                <w:spacing w:val="0"/>
                <w:sz w:val="21"/>
                <w:szCs w:val="21"/>
                <w:highlight w:val="none"/>
                <w:lang w:val="en-US" w:eastAsia="zh-CN"/>
              </w:rPr>
              <w:t>4</w:t>
            </w:r>
          </w:p>
        </w:tc>
        <w:tc>
          <w:tcPr>
            <w:tcW w:w="1942" w:type="dxa"/>
            <w:vAlign w:val="center"/>
          </w:tcPr>
          <w:p w14:paraId="5B598B93">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招标文件要求提交的用于评审的证书、证件、证明原件</w:t>
            </w:r>
          </w:p>
        </w:tc>
        <w:tc>
          <w:tcPr>
            <w:tcW w:w="7574" w:type="dxa"/>
            <w:vAlign w:val="top"/>
          </w:tcPr>
          <w:p w14:paraId="547AFCE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投标人在提交用于评审的证书、证件、证明原件的，投标人应自行将所需原件密封于文件袋（箱）中，并自行准备两张“原件一览表 ”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1846C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5" w:hRule="atLeast"/>
        </w:trPr>
        <w:tc>
          <w:tcPr>
            <w:tcW w:w="582" w:type="dxa"/>
            <w:vAlign w:val="center"/>
          </w:tcPr>
          <w:p w14:paraId="7C8ECFED">
            <w:pPr>
              <w:keepNext w:val="0"/>
              <w:keepLines w:val="0"/>
              <w:pageBreakBefore w:val="0"/>
              <w:wordWrap w:val="0"/>
              <w:overflowPunct/>
              <w:topLinePunct w:val="0"/>
              <w:bidi w:val="0"/>
              <w:spacing w:before="69" w:line="188" w:lineRule="auto"/>
              <w:ind w:left="209"/>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3</w:t>
            </w:r>
            <w:r>
              <w:rPr>
                <w:rFonts w:hint="eastAsia" w:asciiTheme="minorEastAsia" w:hAnsiTheme="minorEastAsia" w:eastAsiaTheme="minorEastAsia" w:cstheme="minorEastAsia"/>
                <w:color w:val="auto"/>
                <w:spacing w:val="0"/>
                <w:sz w:val="21"/>
                <w:szCs w:val="21"/>
                <w:highlight w:val="none"/>
                <w:lang w:val="en-US" w:eastAsia="zh-CN"/>
              </w:rPr>
              <w:t>5</w:t>
            </w:r>
          </w:p>
        </w:tc>
        <w:tc>
          <w:tcPr>
            <w:tcW w:w="1942" w:type="dxa"/>
            <w:vAlign w:val="center"/>
          </w:tcPr>
          <w:p w14:paraId="7C44A74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招标代理费</w:t>
            </w:r>
          </w:p>
        </w:tc>
        <w:tc>
          <w:tcPr>
            <w:tcW w:w="7574" w:type="dxa"/>
            <w:vAlign w:val="center"/>
          </w:tcPr>
          <w:p w14:paraId="746D7B91">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color w:val="auto"/>
                <w:highlight w:val="none"/>
              </w:rPr>
              <w:t>本项目招标代理服务费参照《招标代理服务收费管理暂行办法》计价格[2002]1980号文，以最终中标金额为计算基数计算，由中标单位支付。</w:t>
            </w:r>
          </w:p>
        </w:tc>
      </w:tr>
      <w:tr w14:paraId="362FB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9" w:hRule="atLeast"/>
        </w:trPr>
        <w:tc>
          <w:tcPr>
            <w:tcW w:w="582" w:type="dxa"/>
            <w:vAlign w:val="center"/>
          </w:tcPr>
          <w:p w14:paraId="1482EFA4">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eastAsia="zh-CN"/>
              </w:rPr>
              <w:t>3</w:t>
            </w:r>
            <w:r>
              <w:rPr>
                <w:rFonts w:hint="eastAsia" w:asciiTheme="minorEastAsia" w:hAnsiTheme="minorEastAsia" w:eastAsiaTheme="minorEastAsia" w:cstheme="minorEastAsia"/>
                <w:color w:val="auto"/>
                <w:spacing w:val="0"/>
                <w:sz w:val="21"/>
                <w:szCs w:val="21"/>
                <w:highlight w:val="none"/>
                <w:lang w:val="en-US" w:eastAsia="zh-CN"/>
              </w:rPr>
              <w:t>6</w:t>
            </w:r>
          </w:p>
        </w:tc>
        <w:tc>
          <w:tcPr>
            <w:tcW w:w="1942" w:type="dxa"/>
            <w:vAlign w:val="center"/>
          </w:tcPr>
          <w:p w14:paraId="18185B7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招标人</w:t>
            </w:r>
          </w:p>
          <w:p w14:paraId="7BD8529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联系方式</w:t>
            </w:r>
          </w:p>
        </w:tc>
        <w:tc>
          <w:tcPr>
            <w:tcW w:w="7574" w:type="dxa"/>
            <w:vAlign w:val="center"/>
          </w:tcPr>
          <w:p w14:paraId="2987864C">
            <w:pPr>
              <w:pStyle w:val="32"/>
              <w:wordWrap w:val="0"/>
              <w:adjustRightInd w:val="0"/>
              <w:snapToGrid w:val="0"/>
              <w:spacing w:line="440" w:lineRule="exact"/>
              <w:jc w:val="left"/>
              <w:rPr>
                <w:rFonts w:hint="eastAsia" w:eastAsia="宋体"/>
                <w:snapToGrid w:val="0"/>
                <w:color w:val="auto"/>
                <w:kern w:val="0"/>
                <w:sz w:val="24"/>
                <w:highlight w:val="none"/>
                <w:lang w:eastAsia="zh-CN"/>
              </w:rPr>
            </w:pPr>
            <w:r>
              <w:rPr>
                <w:rFonts w:hint="eastAsia"/>
                <w:snapToGrid w:val="0"/>
                <w:color w:val="auto"/>
                <w:kern w:val="0"/>
                <w:sz w:val="24"/>
                <w:highlight w:val="none"/>
              </w:rPr>
              <w:t>单位名称：</w:t>
            </w:r>
            <w:r>
              <w:rPr>
                <w:rFonts w:hint="eastAsia"/>
                <w:snapToGrid w:val="0"/>
                <w:color w:val="auto"/>
                <w:kern w:val="0"/>
                <w:sz w:val="24"/>
                <w:highlight w:val="none"/>
                <w:lang w:eastAsia="zh-CN"/>
              </w:rPr>
              <w:t>韶关市曲江区马坝镇人民政府</w:t>
            </w:r>
          </w:p>
          <w:p w14:paraId="7E4FB074">
            <w:pPr>
              <w:pStyle w:val="32"/>
              <w:wordWrap w:val="0"/>
              <w:adjustRightInd w:val="0"/>
              <w:snapToGrid w:val="0"/>
              <w:spacing w:line="440" w:lineRule="exact"/>
              <w:jc w:val="left"/>
              <w:rPr>
                <w:rFonts w:hint="eastAsia"/>
                <w:snapToGrid w:val="0"/>
                <w:color w:val="auto"/>
                <w:kern w:val="0"/>
                <w:sz w:val="24"/>
                <w:highlight w:val="none"/>
                <w:lang w:val="en-US" w:eastAsia="zh-CN"/>
              </w:rPr>
            </w:pPr>
            <w:r>
              <w:rPr>
                <w:rFonts w:hint="eastAsia"/>
                <w:snapToGrid w:val="0"/>
                <w:color w:val="auto"/>
                <w:kern w:val="0"/>
                <w:sz w:val="24"/>
                <w:highlight w:val="none"/>
              </w:rPr>
              <w:t>办公地址：</w:t>
            </w:r>
            <w:r>
              <w:rPr>
                <w:rFonts w:hint="eastAsia"/>
                <w:snapToGrid w:val="0"/>
                <w:color w:val="auto"/>
                <w:kern w:val="0"/>
                <w:sz w:val="24"/>
                <w:highlight w:val="none"/>
                <w:lang w:val="en-US" w:eastAsia="zh-CN"/>
              </w:rPr>
              <w:t xml:space="preserve"> 广东省韶关市曲江区马坝镇九龄路3号</w:t>
            </w:r>
          </w:p>
          <w:p w14:paraId="399F1E60">
            <w:pPr>
              <w:pStyle w:val="32"/>
              <w:wordWrap w:val="0"/>
              <w:adjustRightInd w:val="0"/>
              <w:snapToGrid w:val="0"/>
              <w:spacing w:line="440" w:lineRule="exact"/>
              <w:jc w:val="left"/>
              <w:rPr>
                <w:rFonts w:hint="eastAsia" w:eastAsia="宋体"/>
                <w:snapToGrid w:val="0"/>
                <w:color w:val="auto"/>
                <w:kern w:val="0"/>
                <w:sz w:val="24"/>
                <w:highlight w:val="none"/>
                <w:lang w:eastAsia="zh-CN"/>
              </w:rPr>
            </w:pPr>
            <w:r>
              <w:rPr>
                <w:rFonts w:hint="eastAsia"/>
                <w:snapToGrid w:val="0"/>
                <w:color w:val="auto"/>
                <w:kern w:val="0"/>
                <w:sz w:val="24"/>
                <w:highlight w:val="none"/>
              </w:rPr>
              <w:t>联系人（部门）：</w:t>
            </w:r>
            <w:r>
              <w:rPr>
                <w:rFonts w:hint="eastAsia"/>
                <w:snapToGrid w:val="0"/>
                <w:color w:val="auto"/>
                <w:kern w:val="0"/>
                <w:sz w:val="24"/>
                <w:highlight w:val="none"/>
                <w:lang w:eastAsia="zh-CN"/>
              </w:rPr>
              <w:t>陈希卓</w:t>
            </w:r>
          </w:p>
          <w:p w14:paraId="1FAC3FE5">
            <w:pPr>
              <w:wordWrap w:val="0"/>
              <w:adjustRightInd w:val="0"/>
              <w:snapToGrid w:val="0"/>
              <w:spacing w:line="400" w:lineRule="exact"/>
              <w:jc w:val="left"/>
              <w:rPr>
                <w:rFonts w:hint="default" w:eastAsia="宋体" w:asciiTheme="minorEastAsia" w:hAnsiTheme="minorEastAsia" w:cstheme="minorEastAsia"/>
                <w:snapToGrid w:val="0"/>
                <w:color w:val="auto"/>
                <w:spacing w:val="0"/>
                <w:kern w:val="0"/>
                <w:sz w:val="21"/>
                <w:szCs w:val="21"/>
                <w:highlight w:val="none"/>
                <w:lang w:val="en-US" w:eastAsia="zh-CN"/>
              </w:rPr>
            </w:pPr>
            <w:r>
              <w:rPr>
                <w:snapToGrid w:val="0"/>
                <w:color w:val="auto"/>
                <w:kern w:val="0"/>
                <w:highlight w:val="none"/>
              </w:rPr>
              <w:t>联系电话：</w:t>
            </w:r>
            <w:r>
              <w:rPr>
                <w:rFonts w:hint="eastAsia"/>
                <w:snapToGrid w:val="0"/>
                <w:color w:val="auto"/>
                <w:kern w:val="0"/>
                <w:highlight w:val="none"/>
                <w:lang w:eastAsia="zh-CN"/>
              </w:rPr>
              <w:t>15219035074</w:t>
            </w:r>
          </w:p>
        </w:tc>
      </w:tr>
      <w:tr w14:paraId="08636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582" w:type="dxa"/>
            <w:vAlign w:val="center"/>
          </w:tcPr>
          <w:p w14:paraId="74FCC8C3">
            <w:pPr>
              <w:keepNext w:val="0"/>
              <w:keepLines w:val="0"/>
              <w:pageBreakBefore w:val="0"/>
              <w:wordWrap w:val="0"/>
              <w:overflowPunct/>
              <w:topLinePunct w:val="0"/>
              <w:bidi w:val="0"/>
              <w:spacing w:before="69" w:line="188" w:lineRule="auto"/>
              <w:jc w:val="center"/>
              <w:rPr>
                <w:rFonts w:hint="default"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eastAsia="zh-CN"/>
              </w:rPr>
              <w:t>3</w:t>
            </w:r>
            <w:r>
              <w:rPr>
                <w:rFonts w:hint="eastAsia" w:asciiTheme="minorEastAsia" w:hAnsiTheme="minorEastAsia" w:eastAsiaTheme="minorEastAsia" w:cstheme="minorEastAsia"/>
                <w:color w:val="auto"/>
                <w:spacing w:val="0"/>
                <w:sz w:val="21"/>
                <w:szCs w:val="21"/>
                <w:highlight w:val="none"/>
                <w:lang w:val="en-US" w:eastAsia="zh-CN"/>
              </w:rPr>
              <w:t>7</w:t>
            </w:r>
          </w:p>
        </w:tc>
        <w:tc>
          <w:tcPr>
            <w:tcW w:w="1942" w:type="dxa"/>
            <w:vAlign w:val="center"/>
          </w:tcPr>
          <w:p w14:paraId="4671EC7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招标代理机构</w:t>
            </w:r>
          </w:p>
          <w:p w14:paraId="41FE93A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联系方式</w:t>
            </w:r>
          </w:p>
        </w:tc>
        <w:tc>
          <w:tcPr>
            <w:tcW w:w="7574" w:type="dxa"/>
            <w:vAlign w:val="center"/>
          </w:tcPr>
          <w:p w14:paraId="2549D10A">
            <w:pPr>
              <w:spacing w:line="400" w:lineRule="exac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单位名称：</w:t>
            </w:r>
            <w:r>
              <w:rPr>
                <w:rFonts w:hint="eastAsia" w:ascii="宋体" w:hAnsi="宋体" w:eastAsia="宋体" w:cs="宋体"/>
                <w:color w:val="auto"/>
                <w:highlight w:val="none"/>
                <w:lang w:eastAsia="zh-CN"/>
              </w:rPr>
              <w:t>广东粤圣项目管理有限公司</w:t>
            </w:r>
          </w:p>
          <w:p w14:paraId="3088DCC6">
            <w:pPr>
              <w:spacing w:line="400" w:lineRule="exac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办公地址：韶关市曲江区马坝镇铁东二路林场消防办公楼第5层</w:t>
            </w:r>
          </w:p>
          <w:p w14:paraId="4CFE927A">
            <w:pPr>
              <w:spacing w:line="400" w:lineRule="exact"/>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联系人(部门)</w:t>
            </w:r>
            <w:r>
              <w:rPr>
                <w:rFonts w:hint="eastAsia" w:hAnsi="宋体" w:cs="宋体"/>
                <w:color w:val="auto"/>
                <w:sz w:val="24"/>
                <w:szCs w:val="24"/>
                <w:highlight w:val="none"/>
                <w:lang w:eastAsia="zh-CN"/>
              </w:rPr>
              <w:t>：</w:t>
            </w:r>
            <w:r>
              <w:rPr>
                <w:rFonts w:hint="eastAsia" w:hAnsi="宋体" w:cs="宋体"/>
                <w:color w:val="auto"/>
                <w:sz w:val="24"/>
                <w:szCs w:val="24"/>
                <w:highlight w:val="none"/>
                <w:lang w:val="en-US" w:eastAsia="zh-CN"/>
              </w:rPr>
              <w:t>叶工</w:t>
            </w:r>
          </w:p>
          <w:p w14:paraId="6CF4F20C">
            <w:pPr>
              <w:wordWrap w:val="0"/>
              <w:adjustRightInd w:val="0"/>
              <w:snapToGrid w:val="0"/>
              <w:spacing w:line="400" w:lineRule="exact"/>
              <w:jc w:val="left"/>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宋体" w:hAnsi="宋体" w:cs="宋体"/>
                <w:color w:val="auto"/>
                <w:sz w:val="24"/>
                <w:szCs w:val="24"/>
                <w:highlight w:val="none"/>
              </w:rPr>
              <w:t>联系电话：</w:t>
            </w:r>
            <w:r>
              <w:rPr>
                <w:rFonts w:hint="eastAsia" w:ascii="宋体" w:hAnsi="宋体" w:eastAsia="宋体" w:cs="宋体"/>
                <w:color w:val="auto"/>
                <w:highlight w:val="none"/>
                <w:lang w:eastAsia="zh-CN"/>
              </w:rPr>
              <w:t>0751-</w:t>
            </w:r>
            <w:r>
              <w:rPr>
                <w:rFonts w:hint="eastAsia" w:ascii="宋体" w:hAnsi="宋体" w:eastAsia="宋体" w:cs="宋体"/>
                <w:color w:val="auto"/>
                <w:highlight w:val="none"/>
                <w:lang w:val="en-US" w:eastAsia="zh-CN"/>
              </w:rPr>
              <w:t>6664566</w:t>
            </w:r>
          </w:p>
        </w:tc>
      </w:tr>
      <w:tr w14:paraId="7AB41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5B24D42F">
            <w:pPr>
              <w:keepNext w:val="0"/>
              <w:keepLines w:val="0"/>
              <w:pageBreakBefore w:val="0"/>
              <w:wordWrap w:val="0"/>
              <w:overflowPunct/>
              <w:topLinePunct w:val="0"/>
              <w:bidi w:val="0"/>
              <w:spacing w:before="69" w:line="188" w:lineRule="auto"/>
              <w:jc w:val="center"/>
              <w:rPr>
                <w:rFonts w:hint="default"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eastAsia="zh-CN"/>
              </w:rPr>
              <w:t>3</w:t>
            </w:r>
            <w:r>
              <w:rPr>
                <w:rFonts w:hint="eastAsia" w:asciiTheme="minorEastAsia" w:hAnsiTheme="minorEastAsia" w:eastAsiaTheme="minorEastAsia" w:cstheme="minorEastAsia"/>
                <w:color w:val="auto"/>
                <w:spacing w:val="0"/>
                <w:sz w:val="21"/>
                <w:szCs w:val="21"/>
                <w:highlight w:val="none"/>
                <w:lang w:val="en-US" w:eastAsia="zh-CN"/>
              </w:rPr>
              <w:t>8</w:t>
            </w:r>
          </w:p>
        </w:tc>
        <w:tc>
          <w:tcPr>
            <w:tcW w:w="1942" w:type="dxa"/>
            <w:vAlign w:val="center"/>
          </w:tcPr>
          <w:p w14:paraId="7CA477E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交易场所联系方式</w:t>
            </w:r>
          </w:p>
        </w:tc>
        <w:tc>
          <w:tcPr>
            <w:tcW w:w="7574" w:type="dxa"/>
            <w:vAlign w:val="center"/>
          </w:tcPr>
          <w:p w14:paraId="537C21F1">
            <w:pPr>
              <w:wordWrap w:val="0"/>
              <w:adjustRightInd w:val="0"/>
              <w:snapToGrid w:val="0"/>
              <w:spacing w:line="360" w:lineRule="exact"/>
              <w:ind w:left="105" w:leftChars="50" w:right="105" w:rightChars="50"/>
              <w:jc w:val="left"/>
              <w:rPr>
                <w:rFonts w:hint="default" w:hAnsi="宋体" w:eastAsia="宋体" w:cs="宋体"/>
                <w:snapToGrid w:val="0"/>
                <w:color w:val="auto"/>
                <w:kern w:val="0"/>
                <w:szCs w:val="24"/>
                <w:highlight w:val="none"/>
                <w:lang w:val="en-US" w:eastAsia="zh-CN"/>
              </w:rPr>
            </w:pPr>
            <w:r>
              <w:rPr>
                <w:rFonts w:hint="eastAsia" w:hAnsi="宋体" w:cs="宋体"/>
                <w:snapToGrid w:val="0"/>
                <w:color w:val="auto"/>
                <w:kern w:val="0"/>
                <w:szCs w:val="24"/>
                <w:highlight w:val="none"/>
              </w:rPr>
              <w:t>单位名称：韶关市公共资源交易中心</w:t>
            </w:r>
            <w:r>
              <w:rPr>
                <w:rFonts w:hint="eastAsia" w:hAnsi="宋体" w:eastAsia="宋体" w:cs="宋体"/>
                <w:snapToGrid w:val="0"/>
                <w:color w:val="auto"/>
                <w:kern w:val="0"/>
                <w:szCs w:val="24"/>
                <w:highlight w:val="none"/>
                <w:lang w:val="en-US" w:eastAsia="zh-CN"/>
              </w:rPr>
              <w:t>曲江分中心</w:t>
            </w:r>
            <w:bookmarkStart w:id="267" w:name="_GoBack"/>
            <w:bookmarkEnd w:id="267"/>
          </w:p>
          <w:p w14:paraId="0202CE0B">
            <w:pPr>
              <w:widowControl/>
              <w:spacing w:line="400" w:lineRule="exact"/>
              <w:ind w:left="105" w:leftChars="50" w:right="105" w:rightChars="50"/>
              <w:jc w:val="left"/>
              <w:rPr>
                <w:rFonts w:hint="eastAsia" w:hAnsi="宋体" w:cs="宋体"/>
                <w:color w:val="auto"/>
                <w:szCs w:val="24"/>
                <w:highlight w:val="none"/>
              </w:rPr>
            </w:pPr>
            <w:r>
              <w:rPr>
                <w:rFonts w:hint="eastAsia" w:hAnsi="宋体" w:cs="宋体"/>
                <w:color w:val="auto"/>
                <w:szCs w:val="24"/>
                <w:highlight w:val="none"/>
              </w:rPr>
              <w:t>办公地址：</w:t>
            </w:r>
            <w:r>
              <w:rPr>
                <w:rFonts w:hint="eastAsia" w:hAnsi="宋体" w:cs="宋体"/>
                <w:color w:val="auto"/>
                <w:highlight w:val="none"/>
              </w:rPr>
              <w:t>韶关市</w:t>
            </w:r>
            <w:r>
              <w:rPr>
                <w:rFonts w:hint="eastAsia" w:hAnsi="宋体" w:cs="宋体"/>
                <w:color w:val="auto"/>
                <w:szCs w:val="24"/>
                <w:highlight w:val="none"/>
              </w:rPr>
              <w:t>曲江区马坝镇鞍山路曲江文化中心一楼（</w:t>
            </w:r>
            <w:r>
              <w:rPr>
                <w:rFonts w:hint="eastAsia" w:hAnsi="宋体" w:cs="宋体"/>
                <w:snapToGrid w:val="0"/>
                <w:color w:val="auto"/>
                <w:kern w:val="0"/>
                <w:szCs w:val="24"/>
                <w:highlight w:val="none"/>
              </w:rPr>
              <w:t>韶关市公共资源交易中心曲江分中心）</w:t>
            </w:r>
          </w:p>
          <w:p w14:paraId="07BB17DD">
            <w:pPr>
              <w:widowControl/>
              <w:spacing w:line="400" w:lineRule="exact"/>
              <w:ind w:left="105" w:leftChars="50" w:right="105" w:rightChars="50"/>
              <w:jc w:val="left"/>
              <w:rPr>
                <w:rFonts w:hint="eastAsia" w:hAnsi="宋体" w:cs="宋体"/>
                <w:color w:val="auto"/>
                <w:szCs w:val="24"/>
                <w:highlight w:val="none"/>
              </w:rPr>
            </w:pPr>
            <w:r>
              <w:rPr>
                <w:rFonts w:hint="eastAsia" w:hAnsi="宋体" w:cs="宋体"/>
                <w:color w:val="auto"/>
                <w:szCs w:val="24"/>
                <w:highlight w:val="none"/>
              </w:rPr>
              <w:t>联系人：工程交易部</w:t>
            </w:r>
          </w:p>
          <w:p w14:paraId="0E616925">
            <w:pPr>
              <w:wordWrap w:val="0"/>
              <w:adjustRightInd w:val="0"/>
              <w:snapToGrid w:val="0"/>
              <w:spacing w:line="400" w:lineRule="exact"/>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hAnsi="宋体" w:cs="宋体"/>
                <w:color w:val="auto"/>
                <w:szCs w:val="24"/>
                <w:highlight w:val="none"/>
              </w:rPr>
              <w:t>电话：0751-6690193</w:t>
            </w:r>
          </w:p>
        </w:tc>
      </w:tr>
      <w:tr w14:paraId="29FD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76D80BEF">
            <w:pPr>
              <w:keepNext w:val="0"/>
              <w:keepLines w:val="0"/>
              <w:pageBreakBefore w:val="0"/>
              <w:wordWrap w:val="0"/>
              <w:overflowPunct/>
              <w:topLinePunct w:val="0"/>
              <w:bidi w:val="0"/>
              <w:spacing w:before="69" w:line="188" w:lineRule="auto"/>
              <w:jc w:val="center"/>
              <w:rPr>
                <w:rFonts w:hint="default"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eastAsia="zh-CN"/>
              </w:rPr>
              <w:t>3</w:t>
            </w:r>
            <w:r>
              <w:rPr>
                <w:rFonts w:hint="eastAsia" w:asciiTheme="minorEastAsia" w:hAnsiTheme="minorEastAsia" w:eastAsiaTheme="minorEastAsia" w:cstheme="minorEastAsia"/>
                <w:color w:val="auto"/>
                <w:spacing w:val="0"/>
                <w:sz w:val="21"/>
                <w:szCs w:val="21"/>
                <w:highlight w:val="none"/>
                <w:lang w:val="en-US" w:eastAsia="zh-CN"/>
              </w:rPr>
              <w:t>9</w:t>
            </w:r>
          </w:p>
        </w:tc>
        <w:tc>
          <w:tcPr>
            <w:tcW w:w="1942" w:type="dxa"/>
            <w:vAlign w:val="center"/>
          </w:tcPr>
          <w:p w14:paraId="49F1505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行政监督部</w:t>
            </w:r>
          </w:p>
          <w:p w14:paraId="78B01F1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yellow"/>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门联系方式</w:t>
            </w:r>
          </w:p>
        </w:tc>
        <w:tc>
          <w:tcPr>
            <w:tcW w:w="7574" w:type="dxa"/>
            <w:vAlign w:val="center"/>
          </w:tcPr>
          <w:p w14:paraId="109B9403">
            <w:pPr>
              <w:widowControl/>
              <w:spacing w:line="400" w:lineRule="exact"/>
              <w:ind w:left="105" w:leftChars="50" w:right="105" w:rightChars="50"/>
              <w:jc w:val="left"/>
              <w:rPr>
                <w:rFonts w:hint="eastAsia" w:hAnsi="宋体" w:cs="宋体"/>
                <w:color w:val="auto"/>
                <w:szCs w:val="24"/>
                <w:highlight w:val="none"/>
              </w:rPr>
            </w:pPr>
            <w:r>
              <w:rPr>
                <w:rFonts w:hint="eastAsia" w:hAnsi="宋体" w:cs="宋体"/>
                <w:color w:val="auto"/>
                <w:szCs w:val="24"/>
                <w:highlight w:val="none"/>
              </w:rPr>
              <w:t>单位名称：韶关市曲江区住房和城乡建设管理局</w:t>
            </w:r>
          </w:p>
          <w:p w14:paraId="30E94819">
            <w:pPr>
              <w:widowControl/>
              <w:spacing w:line="400" w:lineRule="exact"/>
              <w:ind w:left="105" w:leftChars="50" w:right="105" w:rightChars="50"/>
              <w:jc w:val="left"/>
              <w:rPr>
                <w:rFonts w:hint="eastAsia" w:hAnsi="宋体" w:cs="宋体"/>
                <w:color w:val="auto"/>
                <w:szCs w:val="24"/>
                <w:highlight w:val="none"/>
              </w:rPr>
            </w:pPr>
            <w:r>
              <w:rPr>
                <w:rFonts w:hint="eastAsia" w:hAnsi="宋体" w:cs="宋体"/>
                <w:color w:val="auto"/>
                <w:szCs w:val="24"/>
                <w:highlight w:val="none"/>
              </w:rPr>
              <w:t>办公地址：韶关市曲江区马坝镇府前中路23号</w:t>
            </w:r>
          </w:p>
          <w:p w14:paraId="3A2A234C">
            <w:pPr>
              <w:widowControl/>
              <w:spacing w:line="400" w:lineRule="exact"/>
              <w:ind w:left="105" w:leftChars="50" w:right="105" w:rightChars="50"/>
              <w:jc w:val="left"/>
              <w:rPr>
                <w:rFonts w:hint="eastAsia" w:hAnsi="宋体" w:cs="宋体"/>
                <w:color w:val="auto"/>
                <w:szCs w:val="24"/>
                <w:highlight w:val="none"/>
              </w:rPr>
            </w:pPr>
            <w:r>
              <w:rPr>
                <w:rFonts w:hint="eastAsia" w:hAnsi="宋体" w:cs="宋体"/>
                <w:color w:val="auto"/>
                <w:szCs w:val="24"/>
                <w:highlight w:val="none"/>
              </w:rPr>
              <w:t>联系人（部门）：建管股</w:t>
            </w:r>
          </w:p>
          <w:p w14:paraId="59ACDC2D">
            <w:pPr>
              <w:wordWrap w:val="0"/>
              <w:adjustRightInd w:val="0"/>
              <w:snapToGrid w:val="0"/>
              <w:spacing w:line="400" w:lineRule="exact"/>
              <w:rPr>
                <w:rFonts w:hint="default" w:asciiTheme="minorEastAsia" w:hAnsiTheme="minorEastAsia" w:eastAsiaTheme="minorEastAsia" w:cstheme="minorEastAsia"/>
                <w:snapToGrid w:val="0"/>
                <w:color w:val="auto"/>
                <w:spacing w:val="0"/>
                <w:kern w:val="0"/>
                <w:sz w:val="21"/>
                <w:szCs w:val="21"/>
                <w:highlight w:val="yellow"/>
                <w:lang w:val="en-US" w:eastAsia="zh-CN"/>
              </w:rPr>
            </w:pPr>
            <w:r>
              <w:rPr>
                <w:rFonts w:hint="eastAsia" w:hAnsi="宋体" w:cs="宋体"/>
                <w:color w:val="auto"/>
                <w:szCs w:val="24"/>
                <w:highlight w:val="none"/>
              </w:rPr>
              <w:t>联系电话：0751-6666656</w:t>
            </w:r>
          </w:p>
        </w:tc>
      </w:tr>
    </w:tbl>
    <w:p w14:paraId="4C651CFF">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bookmarkStart w:id="5" w:name="bookmark115"/>
      <w:bookmarkEnd w:id="5"/>
    </w:p>
    <w:p w14:paraId="724FDEFB">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41883E5E">
      <w:pPr>
        <w:keepNext w:val="0"/>
        <w:keepLines w:val="0"/>
        <w:pageBreakBefore w:val="0"/>
        <w:wordWrap w:val="0"/>
        <w:overflowPunct/>
        <w:topLinePunct w:val="0"/>
        <w:bidi w:val="0"/>
        <w:spacing w:before="156" w:line="219" w:lineRule="auto"/>
        <w:ind w:left="17"/>
        <w:jc w:val="left"/>
        <w:outlineLvl w:val="1"/>
        <w:rPr>
          <w:rFonts w:hint="eastAsia" w:ascii="宋体" w:hAnsi="宋体" w:eastAsia="宋体" w:cs="宋体"/>
          <w:color w:val="auto"/>
          <w:spacing w:val="0"/>
          <w:highlight w:val="none"/>
        </w:rPr>
      </w:pPr>
      <w:bookmarkStart w:id="6" w:name="_Toc10198"/>
      <w:r>
        <w:rPr>
          <w:rFonts w:hint="eastAsia" w:ascii="宋体" w:hAnsi="宋体" w:eastAsia="宋体" w:cs="宋体"/>
          <w:b/>
          <w:bCs/>
          <w:color w:val="auto"/>
          <w:spacing w:val="0"/>
          <w:sz w:val="24"/>
          <w:szCs w:val="24"/>
          <w:highlight w:val="none"/>
        </w:rPr>
        <w:t>第二节 重要事项时间地点一览表</w:t>
      </w:r>
      <w:bookmarkEnd w:id="6"/>
    </w:p>
    <w:p w14:paraId="22FDFC17">
      <w:pPr>
        <w:pStyle w:val="8"/>
        <w:keepNext w:val="0"/>
        <w:keepLines w:val="0"/>
        <w:pageBreakBefore w:val="0"/>
        <w:wordWrap w:val="0"/>
        <w:overflowPunct/>
        <w:topLinePunct w:val="0"/>
        <w:bidi w:val="0"/>
        <w:rPr>
          <w:rFonts w:hint="eastAsia" w:ascii="宋体" w:hAnsi="宋体" w:eastAsia="宋体" w:cs="宋体"/>
          <w:color w:val="auto"/>
          <w:spacing w:val="0"/>
          <w:highlight w:val="none"/>
        </w:rPr>
      </w:pPr>
    </w:p>
    <w:tbl>
      <w:tblPr>
        <w:tblStyle w:val="17"/>
        <w:tblW w:w="9059" w:type="dxa"/>
        <w:tblInd w:w="-6"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21"/>
        <w:gridCol w:w="1300"/>
        <w:gridCol w:w="7338"/>
      </w:tblGrid>
      <w:tr w14:paraId="7527E6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5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64368E62">
            <w:pPr>
              <w:pStyle w:val="32"/>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1</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30921FDD">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招标公告</w:t>
            </w:r>
          </w:p>
          <w:p w14:paraId="3BBFD34A">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发布时间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7C3DCC19">
            <w:pPr>
              <w:pStyle w:val="32"/>
              <w:wordWrap w:val="0"/>
              <w:adjustRightInd w:val="0"/>
              <w:snapToGrid w:val="0"/>
              <w:ind w:left="105" w:leftChars="50" w:firstLine="240" w:firstLineChars="100"/>
              <w:jc w:val="left"/>
              <w:rPr>
                <w:rFonts w:hint="eastAsia" w:asciiTheme="minorEastAsia" w:hAnsiTheme="minorEastAsia" w:eastAsiaTheme="minorEastAsia" w:cstheme="minorEastAsia"/>
                <w:color w:val="FFFFFF" w:themeColor="background1"/>
                <w:spacing w:val="0"/>
                <w:sz w:val="22"/>
                <w:szCs w:val="18"/>
                <w:highlight w:val="none"/>
                <w14:textFill>
                  <w14:solidFill>
                    <w14:schemeClr w14:val="bg1"/>
                  </w14:solidFill>
                </w14:textFill>
              </w:rPr>
            </w:pPr>
            <w:r>
              <w:rPr>
                <w:rFonts w:hint="eastAsia" w:ascii="宋体" w:hAnsi="宋体" w:eastAsia="宋体" w:cs="宋体"/>
                <w:color w:val="auto"/>
                <w:sz w:val="24"/>
                <w:szCs w:val="20"/>
                <w:highlight w:val="none"/>
                <w:u w:val="single"/>
                <w:lang w:val="en-US" w:eastAsia="zh-CN"/>
              </w:rPr>
              <w:t>2026</w:t>
            </w:r>
            <w:r>
              <w:rPr>
                <w:rFonts w:hint="eastAsia" w:ascii="宋体" w:hAnsi="宋体" w:eastAsia="宋体" w:cs="宋体"/>
                <w:color w:val="auto"/>
                <w:sz w:val="24"/>
                <w:szCs w:val="20"/>
                <w:highlight w:val="none"/>
              </w:rPr>
              <w:t>年</w:t>
            </w:r>
            <w:r>
              <w:rPr>
                <w:rFonts w:hint="eastAsia" w:ascii="宋体" w:hAnsi="宋体" w:cs="宋体"/>
                <w:color w:val="auto"/>
                <w:sz w:val="24"/>
                <w:szCs w:val="20"/>
                <w:highlight w:val="none"/>
                <w:u w:val="single"/>
                <w:lang w:val="en-US" w:eastAsia="zh-CN"/>
              </w:rPr>
              <w:t>6</w:t>
            </w:r>
            <w:r>
              <w:rPr>
                <w:rFonts w:hint="eastAsia" w:ascii="宋体" w:hAnsi="宋体" w:eastAsia="宋体" w:cs="宋体"/>
                <w:color w:val="auto"/>
                <w:sz w:val="24"/>
                <w:szCs w:val="20"/>
                <w:highlight w:val="none"/>
              </w:rPr>
              <w:t>月</w:t>
            </w:r>
            <w:r>
              <w:rPr>
                <w:rFonts w:hint="eastAsia" w:ascii="宋体" w:hAnsi="宋体" w:cs="宋体"/>
                <w:color w:val="auto"/>
                <w:sz w:val="24"/>
                <w:szCs w:val="20"/>
                <w:highlight w:val="none"/>
                <w:lang w:val="en-US" w:eastAsia="zh-CN"/>
              </w:rPr>
              <w:t>12</w:t>
            </w:r>
            <w:r>
              <w:rPr>
                <w:rFonts w:hint="eastAsia" w:ascii="宋体" w:hAnsi="宋体" w:eastAsia="宋体" w:cs="宋体"/>
                <w:color w:val="auto"/>
                <w:sz w:val="24"/>
                <w:szCs w:val="20"/>
                <w:highlight w:val="none"/>
              </w:rPr>
              <w:t>日</w:t>
            </w:r>
            <w:r>
              <w:rPr>
                <w:rFonts w:hint="eastAsia" w:ascii="宋体" w:hAnsi="宋体" w:eastAsia="宋体" w:cs="宋体"/>
                <w:color w:val="auto"/>
                <w:sz w:val="24"/>
                <w:szCs w:val="20"/>
                <w:highlight w:val="none"/>
                <w:u w:val="single"/>
                <w:lang w:val="en-US" w:eastAsia="zh-CN"/>
              </w:rPr>
              <w:t>18</w:t>
            </w:r>
            <w:r>
              <w:rPr>
                <w:rFonts w:hint="eastAsia" w:ascii="宋体" w:hAnsi="宋体" w:eastAsia="宋体" w:cs="宋体"/>
                <w:color w:val="auto"/>
                <w:sz w:val="24"/>
                <w:szCs w:val="20"/>
                <w:highlight w:val="none"/>
              </w:rPr>
              <w:t>时</w:t>
            </w:r>
            <w:r>
              <w:rPr>
                <w:rFonts w:hint="eastAsia" w:ascii="宋体" w:hAnsi="宋体" w:eastAsia="宋体" w:cs="宋体"/>
                <w:color w:val="auto"/>
                <w:sz w:val="24"/>
                <w:szCs w:val="20"/>
                <w:highlight w:val="none"/>
                <w:u w:val="single"/>
                <w:lang w:val="en-US" w:eastAsia="zh-CN"/>
              </w:rPr>
              <w:t>00</w:t>
            </w:r>
            <w:r>
              <w:rPr>
                <w:rFonts w:hint="eastAsia" w:ascii="宋体" w:hAnsi="宋体" w:eastAsia="宋体" w:cs="宋体"/>
                <w:color w:val="auto"/>
                <w:sz w:val="24"/>
                <w:szCs w:val="20"/>
                <w:highlight w:val="none"/>
              </w:rPr>
              <w:t>分</w:t>
            </w:r>
          </w:p>
        </w:tc>
      </w:tr>
      <w:tr w14:paraId="176E30F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70"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0881C250">
            <w:pPr>
              <w:pStyle w:val="32"/>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2</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354C967C">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获取招标文件截止时间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20223F80">
            <w:pPr>
              <w:pStyle w:val="32"/>
              <w:wordWrap w:val="0"/>
              <w:adjustRightInd w:val="0"/>
              <w:snapToGrid w:val="0"/>
              <w:ind w:left="105" w:leftChars="50" w:firstLine="240" w:firstLineChars="100"/>
              <w:jc w:val="left"/>
              <w:rPr>
                <w:rFonts w:hint="eastAsia" w:asciiTheme="minorEastAsia" w:hAnsiTheme="minorEastAsia" w:eastAsiaTheme="minorEastAsia" w:cstheme="minorEastAsia"/>
                <w:color w:val="FFFFFF" w:themeColor="background1"/>
                <w:spacing w:val="0"/>
                <w:sz w:val="22"/>
                <w:szCs w:val="18"/>
                <w:highlight w:val="none"/>
                <w14:textFill>
                  <w14:solidFill>
                    <w14:schemeClr w14:val="bg1"/>
                  </w14:solidFill>
                </w14:textFill>
              </w:rPr>
            </w:pPr>
            <w:r>
              <w:rPr>
                <w:rFonts w:hint="eastAsia" w:ascii="宋体" w:hAnsi="宋体" w:eastAsia="宋体" w:cs="宋体"/>
                <w:color w:val="auto"/>
                <w:sz w:val="24"/>
                <w:szCs w:val="20"/>
                <w:highlight w:val="none"/>
                <w:u w:val="single"/>
                <w:lang w:val="en-US" w:eastAsia="zh-CN"/>
              </w:rPr>
              <w:t>2026</w:t>
            </w:r>
            <w:r>
              <w:rPr>
                <w:rFonts w:hint="eastAsia" w:ascii="宋体" w:hAnsi="宋体" w:eastAsia="宋体" w:cs="宋体"/>
                <w:color w:val="auto"/>
                <w:sz w:val="24"/>
                <w:szCs w:val="20"/>
                <w:highlight w:val="none"/>
              </w:rPr>
              <w:t>年</w:t>
            </w:r>
            <w:r>
              <w:rPr>
                <w:rFonts w:hint="eastAsia" w:ascii="宋体" w:hAnsi="宋体" w:cs="宋体"/>
                <w:color w:val="auto"/>
                <w:sz w:val="24"/>
                <w:szCs w:val="20"/>
                <w:highlight w:val="none"/>
                <w:u w:val="single"/>
                <w:lang w:val="en-US" w:eastAsia="zh-CN"/>
              </w:rPr>
              <w:t>7</w:t>
            </w:r>
            <w:r>
              <w:rPr>
                <w:rFonts w:hint="eastAsia" w:ascii="宋体" w:hAnsi="宋体" w:eastAsia="宋体" w:cs="宋体"/>
                <w:color w:val="auto"/>
                <w:sz w:val="24"/>
                <w:szCs w:val="20"/>
                <w:highlight w:val="none"/>
              </w:rPr>
              <w:t>月</w:t>
            </w:r>
            <w:r>
              <w:rPr>
                <w:rFonts w:hint="eastAsia" w:ascii="宋体" w:hAnsi="宋体" w:cs="宋体"/>
                <w:color w:val="auto"/>
                <w:sz w:val="24"/>
                <w:szCs w:val="20"/>
                <w:highlight w:val="none"/>
                <w:u w:val="single"/>
                <w:lang w:val="en-US" w:eastAsia="zh-CN"/>
              </w:rPr>
              <w:t>3</w:t>
            </w:r>
            <w:r>
              <w:rPr>
                <w:rFonts w:hint="eastAsia" w:ascii="宋体" w:hAnsi="宋体" w:eastAsia="宋体" w:cs="宋体"/>
                <w:color w:val="auto"/>
                <w:sz w:val="24"/>
                <w:szCs w:val="20"/>
                <w:highlight w:val="none"/>
              </w:rPr>
              <w:t>日</w:t>
            </w:r>
            <w:r>
              <w:rPr>
                <w:rFonts w:hint="eastAsia" w:ascii="宋体" w:hAnsi="宋体" w:cs="宋体"/>
                <w:color w:val="auto"/>
                <w:sz w:val="24"/>
                <w:szCs w:val="20"/>
                <w:highlight w:val="none"/>
                <w:u w:val="single"/>
                <w:lang w:val="en-US" w:eastAsia="zh-CN"/>
              </w:rPr>
              <w:t>9</w:t>
            </w:r>
            <w:r>
              <w:rPr>
                <w:rFonts w:hint="eastAsia" w:ascii="宋体" w:hAnsi="宋体" w:eastAsia="宋体" w:cs="宋体"/>
                <w:color w:val="auto"/>
                <w:sz w:val="24"/>
                <w:szCs w:val="20"/>
                <w:highlight w:val="none"/>
              </w:rPr>
              <w:t>时</w:t>
            </w:r>
            <w:r>
              <w:rPr>
                <w:rFonts w:hint="eastAsia" w:ascii="宋体" w:hAnsi="宋体" w:cs="宋体"/>
                <w:color w:val="auto"/>
                <w:sz w:val="24"/>
                <w:szCs w:val="20"/>
                <w:highlight w:val="none"/>
                <w:u w:val="single"/>
                <w:lang w:val="en-US" w:eastAsia="zh-CN"/>
              </w:rPr>
              <w:t>3</w:t>
            </w:r>
            <w:r>
              <w:rPr>
                <w:rFonts w:hint="eastAsia" w:ascii="宋体" w:hAnsi="宋体" w:eastAsia="宋体" w:cs="宋体"/>
                <w:color w:val="auto"/>
                <w:sz w:val="24"/>
                <w:szCs w:val="20"/>
                <w:highlight w:val="none"/>
                <w:u w:val="single"/>
                <w:lang w:val="en-US" w:eastAsia="zh-CN"/>
              </w:rPr>
              <w:t>0</w:t>
            </w:r>
            <w:r>
              <w:rPr>
                <w:rFonts w:hint="eastAsia" w:ascii="宋体" w:hAnsi="宋体" w:eastAsia="宋体" w:cs="宋体"/>
                <w:color w:val="auto"/>
                <w:sz w:val="24"/>
                <w:szCs w:val="20"/>
                <w:highlight w:val="none"/>
              </w:rPr>
              <w:t>分</w:t>
            </w:r>
          </w:p>
        </w:tc>
      </w:tr>
      <w:tr w14:paraId="40EC174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7"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4F5448C1">
            <w:pPr>
              <w:pStyle w:val="32"/>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3</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61500AF3">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网上提问</w:t>
            </w:r>
          </w:p>
          <w:p w14:paraId="613A4108">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截止时间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1F302D19">
            <w:pPr>
              <w:pStyle w:val="32"/>
              <w:wordWrap w:val="0"/>
              <w:adjustRightInd w:val="0"/>
              <w:snapToGrid w:val="0"/>
              <w:ind w:left="105" w:leftChars="50" w:firstLine="240" w:firstLineChars="100"/>
              <w:jc w:val="left"/>
              <w:rPr>
                <w:rFonts w:hint="eastAsia" w:asciiTheme="minorEastAsia" w:hAnsiTheme="minorEastAsia" w:eastAsiaTheme="minorEastAsia" w:cstheme="minorEastAsia"/>
                <w:color w:val="FFFFFF" w:themeColor="background1"/>
                <w:spacing w:val="0"/>
                <w:sz w:val="22"/>
                <w:szCs w:val="18"/>
                <w:highlight w:val="none"/>
                <w14:textFill>
                  <w14:solidFill>
                    <w14:schemeClr w14:val="bg1"/>
                  </w14:solidFill>
                </w14:textFill>
              </w:rPr>
            </w:pPr>
            <w:r>
              <w:rPr>
                <w:rFonts w:hint="eastAsia" w:ascii="宋体" w:hAnsi="宋体" w:eastAsia="宋体" w:cs="宋体"/>
                <w:color w:val="auto"/>
                <w:sz w:val="24"/>
                <w:szCs w:val="20"/>
                <w:highlight w:val="none"/>
                <w:u w:val="single"/>
                <w:lang w:val="en-US" w:eastAsia="zh-CN"/>
              </w:rPr>
              <w:t>2026</w:t>
            </w:r>
            <w:r>
              <w:rPr>
                <w:rFonts w:hint="eastAsia" w:ascii="宋体" w:hAnsi="宋体" w:eastAsia="宋体" w:cs="宋体"/>
                <w:color w:val="auto"/>
                <w:sz w:val="24"/>
                <w:szCs w:val="20"/>
                <w:highlight w:val="none"/>
              </w:rPr>
              <w:t>年</w:t>
            </w:r>
            <w:r>
              <w:rPr>
                <w:rFonts w:hint="eastAsia" w:ascii="宋体" w:hAnsi="宋体" w:cs="宋体"/>
                <w:color w:val="auto"/>
                <w:sz w:val="24"/>
                <w:szCs w:val="20"/>
                <w:highlight w:val="none"/>
                <w:u w:val="single"/>
                <w:lang w:val="en-US" w:eastAsia="zh-CN"/>
              </w:rPr>
              <w:t>6</w:t>
            </w:r>
            <w:r>
              <w:rPr>
                <w:rFonts w:hint="eastAsia" w:ascii="宋体" w:hAnsi="宋体" w:eastAsia="宋体" w:cs="宋体"/>
                <w:color w:val="auto"/>
                <w:sz w:val="24"/>
                <w:szCs w:val="20"/>
                <w:highlight w:val="none"/>
              </w:rPr>
              <w:t>月</w:t>
            </w:r>
            <w:r>
              <w:rPr>
                <w:rFonts w:hint="eastAsia" w:ascii="宋体" w:hAnsi="宋体" w:cs="宋体"/>
                <w:color w:val="auto"/>
                <w:sz w:val="24"/>
                <w:szCs w:val="20"/>
                <w:highlight w:val="none"/>
                <w:u w:val="single"/>
                <w:lang w:val="en-US" w:eastAsia="zh-CN"/>
              </w:rPr>
              <w:t>23</w:t>
            </w:r>
            <w:r>
              <w:rPr>
                <w:rFonts w:hint="eastAsia" w:ascii="宋体" w:hAnsi="宋体" w:eastAsia="宋体" w:cs="宋体"/>
                <w:color w:val="auto"/>
                <w:sz w:val="24"/>
                <w:szCs w:val="20"/>
                <w:highlight w:val="none"/>
              </w:rPr>
              <w:t>日</w:t>
            </w:r>
            <w:r>
              <w:rPr>
                <w:rFonts w:hint="eastAsia" w:ascii="宋体" w:hAnsi="宋体" w:eastAsia="宋体" w:cs="宋体"/>
                <w:color w:val="auto"/>
                <w:sz w:val="24"/>
                <w:szCs w:val="20"/>
                <w:highlight w:val="none"/>
                <w:u w:val="single"/>
                <w:lang w:val="en-US" w:eastAsia="zh-CN"/>
              </w:rPr>
              <w:t>16</w:t>
            </w:r>
            <w:r>
              <w:rPr>
                <w:rFonts w:hint="eastAsia" w:ascii="宋体" w:hAnsi="宋体" w:eastAsia="宋体" w:cs="宋体"/>
                <w:color w:val="auto"/>
                <w:sz w:val="24"/>
                <w:szCs w:val="20"/>
                <w:highlight w:val="none"/>
              </w:rPr>
              <w:t>时</w:t>
            </w:r>
            <w:r>
              <w:rPr>
                <w:rFonts w:hint="eastAsia" w:ascii="宋体" w:hAnsi="宋体" w:eastAsia="宋体" w:cs="宋体"/>
                <w:color w:val="auto"/>
                <w:sz w:val="24"/>
                <w:szCs w:val="20"/>
                <w:highlight w:val="none"/>
                <w:u w:val="single"/>
                <w:lang w:val="en-US" w:eastAsia="zh-CN"/>
              </w:rPr>
              <w:t>00</w:t>
            </w:r>
            <w:r>
              <w:rPr>
                <w:rFonts w:hint="eastAsia" w:ascii="宋体" w:hAnsi="宋体" w:eastAsia="宋体" w:cs="宋体"/>
                <w:color w:val="auto"/>
                <w:sz w:val="24"/>
                <w:szCs w:val="20"/>
                <w:highlight w:val="none"/>
              </w:rPr>
              <w:t>分</w:t>
            </w:r>
          </w:p>
        </w:tc>
      </w:tr>
      <w:tr w14:paraId="1E494C5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73"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09DD0DB5">
            <w:pPr>
              <w:pStyle w:val="32"/>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4</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3D1381A7">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网上答疑</w:t>
            </w:r>
          </w:p>
          <w:p w14:paraId="6D1C14C3">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42790101">
            <w:pPr>
              <w:pStyle w:val="32"/>
              <w:wordWrap w:val="0"/>
              <w:adjustRightInd w:val="0"/>
              <w:snapToGrid w:val="0"/>
              <w:ind w:left="105" w:leftChars="50" w:firstLine="240" w:firstLineChars="100"/>
              <w:jc w:val="left"/>
              <w:rPr>
                <w:rFonts w:hint="eastAsia" w:asciiTheme="minorEastAsia" w:hAnsiTheme="minorEastAsia" w:eastAsiaTheme="minorEastAsia" w:cstheme="minorEastAsia"/>
                <w:color w:val="FFFFFF" w:themeColor="background1"/>
                <w:spacing w:val="0"/>
                <w:sz w:val="22"/>
                <w:szCs w:val="18"/>
                <w:highlight w:val="none"/>
                <w14:textFill>
                  <w14:solidFill>
                    <w14:schemeClr w14:val="bg1"/>
                  </w14:solidFill>
                </w14:textFill>
              </w:rPr>
            </w:pPr>
            <w:r>
              <w:rPr>
                <w:rFonts w:hint="eastAsia" w:ascii="宋体" w:hAnsi="宋体" w:eastAsia="宋体" w:cs="宋体"/>
                <w:color w:val="auto"/>
                <w:sz w:val="24"/>
                <w:szCs w:val="20"/>
                <w:highlight w:val="none"/>
                <w:u w:val="single"/>
                <w:lang w:val="en-US" w:eastAsia="zh-CN"/>
              </w:rPr>
              <w:t>2026</w:t>
            </w:r>
            <w:r>
              <w:rPr>
                <w:rFonts w:hint="eastAsia" w:ascii="宋体" w:hAnsi="宋体" w:eastAsia="宋体" w:cs="宋体"/>
                <w:color w:val="auto"/>
                <w:sz w:val="24"/>
                <w:szCs w:val="20"/>
                <w:highlight w:val="none"/>
              </w:rPr>
              <w:t>年</w:t>
            </w:r>
            <w:r>
              <w:rPr>
                <w:rFonts w:hint="eastAsia" w:ascii="宋体" w:hAnsi="宋体" w:eastAsia="宋体" w:cs="宋体"/>
                <w:color w:val="auto"/>
                <w:sz w:val="24"/>
                <w:szCs w:val="20"/>
                <w:highlight w:val="none"/>
                <w:u w:val="single"/>
                <w:lang w:val="en-US" w:eastAsia="zh-CN"/>
              </w:rPr>
              <w:t xml:space="preserve"> </w:t>
            </w:r>
            <w:r>
              <w:rPr>
                <w:rFonts w:hint="eastAsia" w:ascii="宋体" w:hAnsi="宋体" w:cs="宋体"/>
                <w:color w:val="auto"/>
                <w:sz w:val="24"/>
                <w:szCs w:val="20"/>
                <w:highlight w:val="none"/>
                <w:u w:val="single"/>
                <w:lang w:val="en-US" w:eastAsia="zh-CN"/>
              </w:rPr>
              <w:t>6</w:t>
            </w:r>
            <w:r>
              <w:rPr>
                <w:rFonts w:hint="eastAsia" w:ascii="宋体" w:hAnsi="宋体" w:eastAsia="宋体" w:cs="宋体"/>
                <w:color w:val="auto"/>
                <w:sz w:val="24"/>
                <w:szCs w:val="20"/>
                <w:highlight w:val="none"/>
                <w:u w:val="single"/>
                <w:lang w:val="en-US" w:eastAsia="zh-CN"/>
              </w:rPr>
              <w:t xml:space="preserve"> </w:t>
            </w:r>
            <w:r>
              <w:rPr>
                <w:rFonts w:hint="eastAsia" w:ascii="宋体" w:hAnsi="宋体" w:eastAsia="宋体" w:cs="宋体"/>
                <w:color w:val="auto"/>
                <w:sz w:val="24"/>
                <w:szCs w:val="20"/>
                <w:highlight w:val="none"/>
              </w:rPr>
              <w:t>月</w:t>
            </w:r>
            <w:r>
              <w:rPr>
                <w:rFonts w:hint="eastAsia" w:ascii="宋体" w:hAnsi="宋体" w:eastAsia="宋体" w:cs="宋体"/>
                <w:color w:val="auto"/>
                <w:sz w:val="24"/>
                <w:szCs w:val="20"/>
                <w:highlight w:val="none"/>
                <w:u w:val="single"/>
                <w:lang w:val="en-US" w:eastAsia="zh-CN"/>
              </w:rPr>
              <w:t xml:space="preserve"> </w:t>
            </w:r>
            <w:r>
              <w:rPr>
                <w:rFonts w:hint="eastAsia" w:ascii="宋体" w:hAnsi="宋体" w:cs="宋体"/>
                <w:color w:val="auto"/>
                <w:sz w:val="24"/>
                <w:szCs w:val="20"/>
                <w:highlight w:val="none"/>
                <w:u w:val="single"/>
                <w:lang w:val="en-US" w:eastAsia="zh-CN"/>
              </w:rPr>
              <w:t>23</w:t>
            </w:r>
            <w:r>
              <w:rPr>
                <w:rFonts w:hint="eastAsia" w:ascii="宋体" w:hAnsi="宋体" w:eastAsia="宋体" w:cs="宋体"/>
                <w:color w:val="auto"/>
                <w:sz w:val="24"/>
                <w:szCs w:val="20"/>
                <w:highlight w:val="none"/>
                <w:u w:val="single"/>
                <w:lang w:val="en-US" w:eastAsia="zh-CN"/>
              </w:rPr>
              <w:t xml:space="preserve"> </w:t>
            </w:r>
            <w:r>
              <w:rPr>
                <w:rFonts w:hint="eastAsia" w:ascii="宋体" w:hAnsi="宋体" w:eastAsia="宋体" w:cs="宋体"/>
                <w:color w:val="auto"/>
                <w:sz w:val="24"/>
                <w:szCs w:val="20"/>
                <w:highlight w:val="none"/>
              </w:rPr>
              <w:t>日</w:t>
            </w:r>
            <w:r>
              <w:rPr>
                <w:rFonts w:hint="eastAsia" w:ascii="宋体" w:hAnsi="宋体" w:eastAsia="宋体" w:cs="宋体"/>
                <w:color w:val="auto"/>
                <w:sz w:val="24"/>
                <w:szCs w:val="20"/>
                <w:highlight w:val="none"/>
                <w:u w:val="single"/>
                <w:lang w:val="en-US" w:eastAsia="zh-CN"/>
              </w:rPr>
              <w:t>16</w:t>
            </w:r>
            <w:r>
              <w:rPr>
                <w:rFonts w:hint="eastAsia" w:ascii="宋体" w:hAnsi="宋体" w:eastAsia="宋体" w:cs="宋体"/>
                <w:color w:val="auto"/>
                <w:sz w:val="24"/>
                <w:szCs w:val="20"/>
                <w:highlight w:val="none"/>
              </w:rPr>
              <w:t>时</w:t>
            </w:r>
            <w:r>
              <w:rPr>
                <w:rFonts w:hint="eastAsia" w:ascii="宋体" w:hAnsi="宋体" w:eastAsia="宋体" w:cs="宋体"/>
                <w:color w:val="auto"/>
                <w:sz w:val="24"/>
                <w:szCs w:val="20"/>
                <w:highlight w:val="none"/>
                <w:u w:val="single"/>
                <w:lang w:val="en-US" w:eastAsia="zh-CN"/>
              </w:rPr>
              <w:t>30</w:t>
            </w:r>
            <w:r>
              <w:rPr>
                <w:rFonts w:hint="eastAsia" w:ascii="宋体" w:hAnsi="宋体" w:eastAsia="宋体" w:cs="宋体"/>
                <w:color w:val="auto"/>
                <w:sz w:val="24"/>
                <w:szCs w:val="20"/>
                <w:highlight w:val="none"/>
              </w:rPr>
              <w:t>分至</w:t>
            </w:r>
            <w:r>
              <w:rPr>
                <w:rFonts w:hint="eastAsia" w:ascii="宋体" w:hAnsi="宋体" w:eastAsia="宋体" w:cs="宋体"/>
                <w:color w:val="auto"/>
                <w:sz w:val="24"/>
                <w:szCs w:val="20"/>
                <w:highlight w:val="none"/>
                <w:u w:val="single"/>
                <w:lang w:val="en-US" w:eastAsia="zh-CN"/>
              </w:rPr>
              <w:t>2026</w:t>
            </w:r>
            <w:r>
              <w:rPr>
                <w:rFonts w:hint="eastAsia" w:ascii="宋体" w:hAnsi="宋体" w:eastAsia="宋体" w:cs="宋体"/>
                <w:color w:val="auto"/>
                <w:sz w:val="24"/>
                <w:szCs w:val="20"/>
                <w:highlight w:val="none"/>
              </w:rPr>
              <w:t>年</w:t>
            </w:r>
            <w:r>
              <w:rPr>
                <w:rFonts w:hint="eastAsia" w:ascii="宋体" w:hAnsi="宋体" w:eastAsia="宋体" w:cs="宋体"/>
                <w:color w:val="auto"/>
                <w:sz w:val="24"/>
                <w:szCs w:val="20"/>
                <w:highlight w:val="none"/>
                <w:u w:val="single"/>
                <w:lang w:val="en-US" w:eastAsia="zh-CN"/>
              </w:rPr>
              <w:t xml:space="preserve"> </w:t>
            </w:r>
            <w:r>
              <w:rPr>
                <w:rFonts w:hint="eastAsia" w:ascii="宋体" w:hAnsi="宋体" w:cs="宋体"/>
                <w:color w:val="auto"/>
                <w:sz w:val="24"/>
                <w:szCs w:val="20"/>
                <w:highlight w:val="none"/>
                <w:u w:val="single"/>
                <w:lang w:val="en-US" w:eastAsia="zh-CN"/>
              </w:rPr>
              <w:t>6</w:t>
            </w:r>
            <w:r>
              <w:rPr>
                <w:rFonts w:hint="eastAsia" w:ascii="宋体" w:hAnsi="宋体" w:eastAsia="宋体" w:cs="宋体"/>
                <w:color w:val="auto"/>
                <w:sz w:val="24"/>
                <w:szCs w:val="20"/>
                <w:highlight w:val="none"/>
                <w:u w:val="single"/>
                <w:lang w:val="en-US" w:eastAsia="zh-CN"/>
              </w:rPr>
              <w:t xml:space="preserve"> </w:t>
            </w:r>
            <w:r>
              <w:rPr>
                <w:rFonts w:hint="eastAsia" w:ascii="宋体" w:hAnsi="宋体" w:eastAsia="宋体" w:cs="宋体"/>
                <w:color w:val="auto"/>
                <w:sz w:val="24"/>
                <w:szCs w:val="20"/>
                <w:highlight w:val="none"/>
              </w:rPr>
              <w:t>月</w:t>
            </w:r>
            <w:r>
              <w:rPr>
                <w:rFonts w:hint="eastAsia" w:ascii="宋体" w:hAnsi="宋体" w:eastAsia="宋体" w:cs="宋体"/>
                <w:color w:val="auto"/>
                <w:sz w:val="24"/>
                <w:szCs w:val="20"/>
                <w:highlight w:val="none"/>
                <w:u w:val="single"/>
                <w:lang w:val="en-US" w:eastAsia="zh-CN"/>
              </w:rPr>
              <w:t xml:space="preserve"> </w:t>
            </w:r>
            <w:r>
              <w:rPr>
                <w:rFonts w:hint="eastAsia" w:ascii="宋体" w:hAnsi="宋体" w:cs="宋体"/>
                <w:color w:val="auto"/>
                <w:sz w:val="24"/>
                <w:szCs w:val="20"/>
                <w:highlight w:val="none"/>
                <w:u w:val="single"/>
                <w:lang w:val="en-US" w:eastAsia="zh-CN"/>
              </w:rPr>
              <w:t>26</w:t>
            </w:r>
            <w:r>
              <w:rPr>
                <w:rFonts w:hint="eastAsia" w:ascii="宋体" w:hAnsi="宋体" w:eastAsia="宋体" w:cs="宋体"/>
                <w:color w:val="auto"/>
                <w:sz w:val="24"/>
                <w:szCs w:val="20"/>
                <w:highlight w:val="none"/>
              </w:rPr>
              <w:t>日</w:t>
            </w:r>
            <w:r>
              <w:rPr>
                <w:rFonts w:hint="eastAsia" w:ascii="宋体" w:hAnsi="宋体" w:eastAsia="宋体" w:cs="宋体"/>
                <w:color w:val="auto"/>
                <w:sz w:val="24"/>
                <w:szCs w:val="20"/>
                <w:highlight w:val="none"/>
                <w:u w:val="single"/>
                <w:lang w:val="en-US" w:eastAsia="zh-CN"/>
              </w:rPr>
              <w:t>16</w:t>
            </w:r>
            <w:r>
              <w:rPr>
                <w:rFonts w:hint="eastAsia" w:ascii="宋体" w:hAnsi="宋体" w:eastAsia="宋体" w:cs="宋体"/>
                <w:color w:val="auto"/>
                <w:sz w:val="24"/>
                <w:szCs w:val="20"/>
                <w:highlight w:val="none"/>
              </w:rPr>
              <w:t>时</w:t>
            </w:r>
            <w:r>
              <w:rPr>
                <w:rFonts w:hint="eastAsia" w:ascii="宋体" w:hAnsi="宋体" w:eastAsia="宋体" w:cs="宋体"/>
                <w:color w:val="auto"/>
                <w:sz w:val="24"/>
                <w:szCs w:val="20"/>
                <w:highlight w:val="none"/>
                <w:u w:val="single"/>
                <w:lang w:val="en-US" w:eastAsia="zh-CN"/>
              </w:rPr>
              <w:t>00</w:t>
            </w:r>
            <w:r>
              <w:rPr>
                <w:rFonts w:hint="eastAsia" w:ascii="宋体" w:hAnsi="宋体" w:eastAsia="宋体" w:cs="宋体"/>
                <w:color w:val="auto"/>
                <w:sz w:val="24"/>
                <w:szCs w:val="20"/>
                <w:highlight w:val="none"/>
              </w:rPr>
              <w:t>分</w:t>
            </w:r>
          </w:p>
        </w:tc>
      </w:tr>
      <w:tr w14:paraId="3FA5D79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64"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3210D221">
            <w:pPr>
              <w:pStyle w:val="32"/>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5</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66BC121C">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投标保证缴</w:t>
            </w:r>
          </w:p>
          <w:p w14:paraId="3116ABE1">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纳截止时间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477AFD7E">
            <w:pPr>
              <w:pStyle w:val="32"/>
              <w:wordWrap w:val="0"/>
              <w:adjustRightInd w:val="0"/>
              <w:snapToGrid w:val="0"/>
              <w:spacing w:line="400" w:lineRule="exact"/>
              <w:ind w:left="105" w:leftChars="50" w:firstLine="240" w:firstLineChars="1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投标保证金到账截止时间：</w:t>
            </w:r>
            <w:r>
              <w:rPr>
                <w:rFonts w:hint="eastAsia" w:ascii="宋体" w:hAnsi="宋体" w:eastAsia="宋体" w:cs="宋体"/>
                <w:color w:val="auto"/>
                <w:sz w:val="24"/>
                <w:szCs w:val="20"/>
                <w:highlight w:val="none"/>
                <w:u w:val="single"/>
                <w:lang w:val="en-US" w:eastAsia="zh-CN"/>
              </w:rPr>
              <w:t>2026</w:t>
            </w:r>
            <w:r>
              <w:rPr>
                <w:rFonts w:hint="eastAsia" w:ascii="宋体" w:hAnsi="宋体" w:eastAsia="宋体" w:cs="宋体"/>
                <w:color w:val="auto"/>
                <w:sz w:val="24"/>
                <w:szCs w:val="20"/>
                <w:highlight w:val="none"/>
              </w:rPr>
              <w:t>年</w:t>
            </w:r>
            <w:r>
              <w:rPr>
                <w:rFonts w:hint="eastAsia" w:ascii="宋体" w:hAnsi="宋体" w:eastAsia="宋体" w:cs="宋体"/>
                <w:color w:val="auto"/>
                <w:sz w:val="24"/>
                <w:szCs w:val="20"/>
                <w:highlight w:val="none"/>
                <w:u w:val="single"/>
                <w:lang w:val="en-US" w:eastAsia="zh-CN"/>
              </w:rPr>
              <w:t xml:space="preserve"> </w:t>
            </w:r>
            <w:r>
              <w:rPr>
                <w:rFonts w:hint="eastAsia" w:ascii="宋体" w:hAnsi="宋体" w:cs="宋体"/>
                <w:color w:val="auto"/>
                <w:sz w:val="24"/>
                <w:szCs w:val="20"/>
                <w:highlight w:val="none"/>
                <w:u w:val="single"/>
                <w:lang w:val="en-US" w:eastAsia="zh-CN"/>
              </w:rPr>
              <w:t>7</w:t>
            </w:r>
            <w:r>
              <w:rPr>
                <w:rFonts w:hint="eastAsia" w:ascii="宋体" w:hAnsi="宋体" w:eastAsia="宋体" w:cs="宋体"/>
                <w:color w:val="auto"/>
                <w:sz w:val="24"/>
                <w:szCs w:val="20"/>
                <w:highlight w:val="none"/>
              </w:rPr>
              <w:t>月</w:t>
            </w:r>
            <w:r>
              <w:rPr>
                <w:rFonts w:hint="eastAsia" w:ascii="宋体" w:hAnsi="宋体" w:eastAsia="宋体" w:cs="宋体"/>
                <w:color w:val="auto"/>
                <w:sz w:val="24"/>
                <w:szCs w:val="20"/>
                <w:highlight w:val="none"/>
                <w:u w:val="single"/>
                <w:lang w:val="en-US" w:eastAsia="zh-CN"/>
              </w:rPr>
              <w:t xml:space="preserve"> </w:t>
            </w:r>
            <w:r>
              <w:rPr>
                <w:rFonts w:hint="eastAsia" w:ascii="宋体" w:hAnsi="宋体" w:cs="宋体"/>
                <w:color w:val="auto"/>
                <w:sz w:val="24"/>
                <w:szCs w:val="20"/>
                <w:highlight w:val="none"/>
                <w:u w:val="single"/>
                <w:lang w:val="en-US" w:eastAsia="zh-CN"/>
              </w:rPr>
              <w:t>2</w:t>
            </w:r>
            <w:r>
              <w:rPr>
                <w:rFonts w:hint="eastAsia" w:ascii="宋体" w:hAnsi="宋体" w:eastAsia="宋体" w:cs="宋体"/>
                <w:color w:val="auto"/>
                <w:sz w:val="24"/>
                <w:szCs w:val="20"/>
                <w:highlight w:val="none"/>
              </w:rPr>
              <w:t>日</w:t>
            </w:r>
            <w:r>
              <w:rPr>
                <w:rFonts w:hint="eastAsia" w:ascii="宋体" w:hAnsi="宋体" w:cs="宋体"/>
                <w:color w:val="auto"/>
                <w:sz w:val="24"/>
                <w:szCs w:val="20"/>
                <w:highlight w:val="none"/>
                <w:u w:val="single"/>
                <w:lang w:val="en-US" w:eastAsia="zh-CN"/>
              </w:rPr>
              <w:t>9</w:t>
            </w:r>
            <w:r>
              <w:rPr>
                <w:rFonts w:hint="eastAsia" w:ascii="宋体" w:hAnsi="宋体" w:eastAsia="宋体" w:cs="宋体"/>
                <w:color w:val="auto"/>
                <w:sz w:val="24"/>
                <w:szCs w:val="20"/>
                <w:highlight w:val="none"/>
              </w:rPr>
              <w:t>时</w:t>
            </w:r>
            <w:r>
              <w:rPr>
                <w:rFonts w:hint="eastAsia" w:ascii="宋体" w:hAnsi="宋体" w:cs="宋体"/>
                <w:color w:val="auto"/>
                <w:sz w:val="24"/>
                <w:szCs w:val="20"/>
                <w:highlight w:val="none"/>
                <w:u w:val="single"/>
                <w:lang w:val="en-US" w:eastAsia="zh-CN"/>
              </w:rPr>
              <w:t>3</w:t>
            </w:r>
            <w:r>
              <w:rPr>
                <w:rFonts w:hint="eastAsia" w:ascii="宋体" w:hAnsi="宋体" w:eastAsia="宋体" w:cs="宋体"/>
                <w:color w:val="auto"/>
                <w:sz w:val="24"/>
                <w:szCs w:val="20"/>
                <w:highlight w:val="none"/>
                <w:u w:val="single"/>
                <w:lang w:val="en-US" w:eastAsia="zh-CN"/>
              </w:rPr>
              <w:t>0</w:t>
            </w:r>
            <w:r>
              <w:rPr>
                <w:rFonts w:hint="eastAsia" w:ascii="宋体" w:hAnsi="宋体" w:eastAsia="宋体" w:cs="宋体"/>
                <w:color w:val="auto"/>
                <w:sz w:val="24"/>
                <w:szCs w:val="20"/>
                <w:highlight w:val="none"/>
              </w:rPr>
              <w:t>分；</w:t>
            </w:r>
          </w:p>
          <w:p w14:paraId="58EBD7CA">
            <w:pPr>
              <w:pStyle w:val="32"/>
              <w:wordWrap w:val="0"/>
              <w:adjustRightInd w:val="0"/>
              <w:snapToGrid w:val="0"/>
              <w:spacing w:line="400" w:lineRule="exact"/>
              <w:ind w:left="105" w:leftChars="50" w:firstLine="240" w:firstLineChars="1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投标保证担保上传截止时间：</w:t>
            </w:r>
            <w:r>
              <w:rPr>
                <w:rFonts w:hint="eastAsia" w:ascii="宋体" w:hAnsi="宋体" w:eastAsia="宋体" w:cs="宋体"/>
                <w:color w:val="auto"/>
                <w:sz w:val="24"/>
                <w:szCs w:val="20"/>
                <w:highlight w:val="none"/>
                <w:u w:val="single"/>
                <w:lang w:val="en-US" w:eastAsia="zh-CN"/>
              </w:rPr>
              <w:t>2026</w:t>
            </w:r>
            <w:r>
              <w:rPr>
                <w:rFonts w:hint="eastAsia" w:ascii="宋体" w:hAnsi="宋体" w:eastAsia="宋体" w:cs="宋体"/>
                <w:color w:val="auto"/>
                <w:sz w:val="24"/>
                <w:szCs w:val="20"/>
                <w:highlight w:val="none"/>
              </w:rPr>
              <w:t>年</w:t>
            </w:r>
            <w:r>
              <w:rPr>
                <w:rFonts w:hint="eastAsia" w:ascii="宋体" w:hAnsi="宋体" w:eastAsia="宋体" w:cs="宋体"/>
                <w:color w:val="auto"/>
                <w:sz w:val="24"/>
                <w:szCs w:val="20"/>
                <w:highlight w:val="none"/>
                <w:u w:val="single"/>
                <w:lang w:val="en-US" w:eastAsia="zh-CN"/>
              </w:rPr>
              <w:t xml:space="preserve"> </w:t>
            </w:r>
            <w:r>
              <w:rPr>
                <w:rFonts w:hint="eastAsia" w:ascii="宋体" w:hAnsi="宋体" w:cs="宋体"/>
                <w:color w:val="auto"/>
                <w:sz w:val="24"/>
                <w:szCs w:val="20"/>
                <w:highlight w:val="none"/>
                <w:u w:val="single"/>
                <w:lang w:val="en-US" w:eastAsia="zh-CN"/>
              </w:rPr>
              <w:t>7</w:t>
            </w:r>
            <w:r>
              <w:rPr>
                <w:rFonts w:hint="eastAsia" w:ascii="宋体" w:hAnsi="宋体" w:eastAsia="宋体" w:cs="宋体"/>
                <w:color w:val="auto"/>
                <w:sz w:val="24"/>
                <w:szCs w:val="20"/>
                <w:highlight w:val="none"/>
              </w:rPr>
              <w:t>月</w:t>
            </w:r>
            <w:r>
              <w:rPr>
                <w:rFonts w:hint="eastAsia" w:ascii="宋体" w:hAnsi="宋体" w:eastAsia="宋体" w:cs="宋体"/>
                <w:color w:val="auto"/>
                <w:sz w:val="24"/>
                <w:szCs w:val="20"/>
                <w:highlight w:val="none"/>
                <w:u w:val="single"/>
                <w:lang w:val="en-US" w:eastAsia="zh-CN"/>
              </w:rPr>
              <w:t xml:space="preserve"> </w:t>
            </w:r>
            <w:r>
              <w:rPr>
                <w:rFonts w:hint="eastAsia" w:ascii="宋体" w:hAnsi="宋体" w:cs="宋体"/>
                <w:color w:val="auto"/>
                <w:sz w:val="24"/>
                <w:szCs w:val="20"/>
                <w:highlight w:val="none"/>
                <w:u w:val="single"/>
                <w:lang w:val="en-US" w:eastAsia="zh-CN"/>
              </w:rPr>
              <w:t>2</w:t>
            </w:r>
            <w:r>
              <w:rPr>
                <w:rFonts w:hint="eastAsia" w:ascii="宋体" w:hAnsi="宋体" w:eastAsia="宋体" w:cs="宋体"/>
                <w:color w:val="auto"/>
                <w:sz w:val="24"/>
                <w:szCs w:val="20"/>
                <w:highlight w:val="none"/>
              </w:rPr>
              <w:t>日</w:t>
            </w:r>
            <w:r>
              <w:rPr>
                <w:rFonts w:hint="eastAsia" w:ascii="宋体" w:hAnsi="宋体" w:cs="宋体"/>
                <w:color w:val="auto"/>
                <w:sz w:val="24"/>
                <w:szCs w:val="20"/>
                <w:highlight w:val="none"/>
                <w:u w:val="single"/>
                <w:lang w:val="en-US" w:eastAsia="zh-CN"/>
              </w:rPr>
              <w:t>9</w:t>
            </w:r>
            <w:r>
              <w:rPr>
                <w:rFonts w:hint="eastAsia" w:ascii="宋体" w:hAnsi="宋体" w:eastAsia="宋体" w:cs="宋体"/>
                <w:color w:val="auto"/>
                <w:sz w:val="24"/>
                <w:szCs w:val="20"/>
                <w:highlight w:val="none"/>
              </w:rPr>
              <w:t>时</w:t>
            </w:r>
            <w:r>
              <w:rPr>
                <w:rFonts w:hint="eastAsia" w:ascii="宋体" w:hAnsi="宋体" w:cs="宋体"/>
                <w:color w:val="auto"/>
                <w:sz w:val="24"/>
                <w:szCs w:val="20"/>
                <w:highlight w:val="none"/>
                <w:u w:val="single"/>
                <w:lang w:val="en-US" w:eastAsia="zh-CN"/>
              </w:rPr>
              <w:t>3</w:t>
            </w:r>
            <w:r>
              <w:rPr>
                <w:rFonts w:hint="eastAsia" w:ascii="宋体" w:hAnsi="宋体" w:eastAsia="宋体" w:cs="宋体"/>
                <w:color w:val="auto"/>
                <w:sz w:val="24"/>
                <w:szCs w:val="20"/>
                <w:highlight w:val="none"/>
                <w:u w:val="single"/>
                <w:lang w:val="en-US" w:eastAsia="zh-CN"/>
              </w:rPr>
              <w:t>0</w:t>
            </w:r>
            <w:r>
              <w:rPr>
                <w:rFonts w:hint="eastAsia" w:ascii="宋体" w:hAnsi="宋体" w:eastAsia="宋体" w:cs="宋体"/>
                <w:color w:val="auto"/>
                <w:sz w:val="24"/>
                <w:szCs w:val="20"/>
                <w:highlight w:val="none"/>
              </w:rPr>
              <w:t>分；</w:t>
            </w:r>
          </w:p>
          <w:p w14:paraId="434E53CC">
            <w:pPr>
              <w:pStyle w:val="32"/>
              <w:wordWrap w:val="0"/>
              <w:adjustRightInd w:val="0"/>
              <w:snapToGrid w:val="0"/>
              <w:spacing w:line="400" w:lineRule="exact"/>
              <w:ind w:left="105" w:leftChars="50" w:firstLine="240" w:firstLineChars="100"/>
              <w:rPr>
                <w:rFonts w:hint="eastAsia" w:asciiTheme="minorEastAsia" w:hAnsiTheme="minorEastAsia" w:eastAsiaTheme="minorEastAsia" w:cstheme="minorEastAsia"/>
                <w:color w:val="FFFFFF" w:themeColor="background1"/>
                <w:spacing w:val="0"/>
                <w:sz w:val="22"/>
                <w:szCs w:val="18"/>
                <w:highlight w:val="none"/>
                <w14:textFill>
                  <w14:solidFill>
                    <w14:schemeClr w14:val="bg1"/>
                  </w14:solidFill>
                </w14:textFill>
              </w:rPr>
            </w:pPr>
            <w:r>
              <w:rPr>
                <w:rFonts w:hint="eastAsia" w:ascii="宋体" w:hAnsi="宋体" w:eastAsia="宋体" w:cs="宋体"/>
                <w:color w:val="auto"/>
                <w:sz w:val="24"/>
                <w:szCs w:val="20"/>
                <w:highlight w:val="none"/>
              </w:rPr>
              <w:t>投标保证保险投保截止时间：</w:t>
            </w:r>
            <w:r>
              <w:rPr>
                <w:rFonts w:hint="eastAsia" w:ascii="宋体" w:hAnsi="宋体" w:eastAsia="宋体" w:cs="宋体"/>
                <w:color w:val="auto"/>
                <w:sz w:val="24"/>
                <w:szCs w:val="20"/>
                <w:highlight w:val="none"/>
                <w:u w:val="single"/>
                <w:lang w:val="en-US" w:eastAsia="zh-CN"/>
              </w:rPr>
              <w:t>2026</w:t>
            </w:r>
            <w:r>
              <w:rPr>
                <w:rFonts w:hint="eastAsia" w:ascii="宋体" w:hAnsi="宋体" w:eastAsia="宋体" w:cs="宋体"/>
                <w:color w:val="auto"/>
                <w:sz w:val="24"/>
                <w:szCs w:val="20"/>
                <w:highlight w:val="none"/>
              </w:rPr>
              <w:t>年</w:t>
            </w:r>
            <w:r>
              <w:rPr>
                <w:rFonts w:hint="eastAsia" w:ascii="宋体" w:hAnsi="宋体" w:eastAsia="宋体" w:cs="宋体"/>
                <w:color w:val="auto"/>
                <w:sz w:val="24"/>
                <w:szCs w:val="20"/>
                <w:highlight w:val="none"/>
                <w:u w:val="single"/>
                <w:lang w:val="en-US" w:eastAsia="zh-CN"/>
              </w:rPr>
              <w:t xml:space="preserve"> </w:t>
            </w:r>
            <w:r>
              <w:rPr>
                <w:rFonts w:hint="eastAsia" w:ascii="宋体" w:hAnsi="宋体" w:cs="宋体"/>
                <w:color w:val="auto"/>
                <w:sz w:val="24"/>
                <w:szCs w:val="20"/>
                <w:highlight w:val="none"/>
                <w:u w:val="single"/>
                <w:lang w:val="en-US" w:eastAsia="zh-CN"/>
              </w:rPr>
              <w:t>7</w:t>
            </w:r>
            <w:r>
              <w:rPr>
                <w:rFonts w:hint="eastAsia" w:ascii="宋体" w:hAnsi="宋体" w:eastAsia="宋体" w:cs="宋体"/>
                <w:color w:val="auto"/>
                <w:sz w:val="24"/>
                <w:szCs w:val="20"/>
                <w:highlight w:val="none"/>
              </w:rPr>
              <w:t>月</w:t>
            </w:r>
            <w:r>
              <w:rPr>
                <w:rFonts w:hint="eastAsia" w:ascii="宋体" w:hAnsi="宋体" w:eastAsia="宋体" w:cs="宋体"/>
                <w:color w:val="auto"/>
                <w:sz w:val="24"/>
                <w:szCs w:val="20"/>
                <w:highlight w:val="none"/>
                <w:u w:val="single"/>
                <w:lang w:val="en-US" w:eastAsia="zh-CN"/>
              </w:rPr>
              <w:t xml:space="preserve"> </w:t>
            </w:r>
            <w:r>
              <w:rPr>
                <w:rFonts w:hint="eastAsia" w:ascii="宋体" w:hAnsi="宋体" w:cs="宋体"/>
                <w:color w:val="auto"/>
                <w:sz w:val="24"/>
                <w:szCs w:val="20"/>
                <w:highlight w:val="none"/>
                <w:u w:val="single"/>
                <w:lang w:val="en-US" w:eastAsia="zh-CN"/>
              </w:rPr>
              <w:t>2</w:t>
            </w:r>
            <w:r>
              <w:rPr>
                <w:rFonts w:hint="eastAsia" w:ascii="宋体" w:hAnsi="宋体" w:eastAsia="宋体" w:cs="宋体"/>
                <w:color w:val="auto"/>
                <w:sz w:val="24"/>
                <w:szCs w:val="20"/>
                <w:highlight w:val="none"/>
              </w:rPr>
              <w:t>日</w:t>
            </w:r>
            <w:r>
              <w:rPr>
                <w:rFonts w:hint="eastAsia" w:ascii="宋体" w:hAnsi="宋体" w:cs="宋体"/>
                <w:color w:val="auto"/>
                <w:sz w:val="24"/>
                <w:szCs w:val="20"/>
                <w:highlight w:val="none"/>
                <w:u w:val="single"/>
                <w:lang w:val="en-US" w:eastAsia="zh-CN"/>
              </w:rPr>
              <w:t>9</w:t>
            </w:r>
            <w:r>
              <w:rPr>
                <w:rFonts w:hint="eastAsia" w:ascii="宋体" w:hAnsi="宋体" w:eastAsia="宋体" w:cs="宋体"/>
                <w:color w:val="auto"/>
                <w:sz w:val="24"/>
                <w:szCs w:val="20"/>
                <w:highlight w:val="none"/>
              </w:rPr>
              <w:t>时</w:t>
            </w:r>
            <w:r>
              <w:rPr>
                <w:rFonts w:hint="eastAsia" w:ascii="宋体" w:hAnsi="宋体" w:cs="宋体"/>
                <w:color w:val="auto"/>
                <w:sz w:val="24"/>
                <w:szCs w:val="20"/>
                <w:highlight w:val="none"/>
                <w:u w:val="single"/>
                <w:lang w:val="en-US" w:eastAsia="zh-CN"/>
              </w:rPr>
              <w:t>3</w:t>
            </w:r>
            <w:r>
              <w:rPr>
                <w:rFonts w:hint="eastAsia" w:ascii="宋体" w:hAnsi="宋体" w:eastAsia="宋体" w:cs="宋体"/>
                <w:color w:val="auto"/>
                <w:sz w:val="24"/>
                <w:szCs w:val="20"/>
                <w:highlight w:val="none"/>
                <w:u w:val="single"/>
                <w:lang w:val="en-US" w:eastAsia="zh-CN"/>
              </w:rPr>
              <w:t>0</w:t>
            </w:r>
            <w:r>
              <w:rPr>
                <w:rFonts w:hint="eastAsia" w:ascii="宋体" w:hAnsi="宋体" w:eastAsia="宋体" w:cs="宋体"/>
                <w:color w:val="auto"/>
                <w:sz w:val="24"/>
                <w:szCs w:val="20"/>
                <w:highlight w:val="none"/>
              </w:rPr>
              <w:t>分。</w:t>
            </w:r>
          </w:p>
        </w:tc>
      </w:tr>
      <w:tr w14:paraId="205F9D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2"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69E9DC16">
            <w:pPr>
              <w:pStyle w:val="32"/>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6</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60B78F29">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电子投标</w:t>
            </w:r>
          </w:p>
          <w:p w14:paraId="4D6B4BDD">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截止时间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67503A73">
            <w:pPr>
              <w:pStyle w:val="9"/>
              <w:wordWrap w:val="0"/>
              <w:adjustRightInd w:val="0"/>
              <w:snapToGrid w:val="0"/>
              <w:spacing w:line="240" w:lineRule="auto"/>
              <w:ind w:left="105" w:leftChars="50" w:firstLine="240" w:firstLineChars="100"/>
              <w:rPr>
                <w:rFonts w:hint="eastAsia" w:asciiTheme="minorEastAsia" w:hAnsiTheme="minorEastAsia" w:eastAsiaTheme="minorEastAsia" w:cstheme="minorEastAsia"/>
                <w:color w:val="FFFFFF" w:themeColor="background1"/>
                <w:spacing w:val="0"/>
                <w:sz w:val="22"/>
                <w:szCs w:val="18"/>
                <w:highlight w:val="none"/>
                <w14:textFill>
                  <w14:solidFill>
                    <w14:schemeClr w14:val="bg1"/>
                  </w14:solidFill>
                </w14:textFill>
              </w:rPr>
            </w:pPr>
            <w:r>
              <w:rPr>
                <w:rFonts w:hint="eastAsia" w:hAnsi="宋体" w:eastAsia="宋体" w:cs="宋体"/>
                <w:color w:val="auto"/>
                <w:sz w:val="24"/>
                <w:szCs w:val="20"/>
                <w:highlight w:val="none"/>
                <w:u w:val="single"/>
                <w:lang w:val="en-US" w:eastAsia="zh-CN"/>
              </w:rPr>
              <w:t>2026</w:t>
            </w:r>
            <w:r>
              <w:rPr>
                <w:rFonts w:hint="eastAsia" w:ascii="宋体" w:hAnsi="宋体" w:eastAsia="宋体" w:cs="宋体"/>
                <w:color w:val="auto"/>
                <w:sz w:val="24"/>
                <w:szCs w:val="20"/>
                <w:highlight w:val="none"/>
              </w:rPr>
              <w:t>年</w:t>
            </w:r>
            <w:r>
              <w:rPr>
                <w:rFonts w:hint="eastAsia" w:hAnsi="宋体" w:eastAsia="宋体" w:cs="宋体"/>
                <w:color w:val="auto"/>
                <w:sz w:val="24"/>
                <w:szCs w:val="20"/>
                <w:highlight w:val="none"/>
                <w:u w:val="single"/>
                <w:lang w:val="en-US" w:eastAsia="zh-CN"/>
              </w:rPr>
              <w:t xml:space="preserve"> 7</w:t>
            </w:r>
            <w:r>
              <w:rPr>
                <w:rFonts w:hint="eastAsia" w:ascii="宋体" w:hAnsi="宋体" w:eastAsia="宋体" w:cs="宋体"/>
                <w:color w:val="auto"/>
                <w:sz w:val="24"/>
                <w:szCs w:val="20"/>
                <w:highlight w:val="none"/>
              </w:rPr>
              <w:t>月</w:t>
            </w:r>
            <w:r>
              <w:rPr>
                <w:rFonts w:hint="eastAsia" w:hAnsi="宋体" w:eastAsia="宋体" w:cs="宋体"/>
                <w:color w:val="auto"/>
                <w:sz w:val="24"/>
                <w:szCs w:val="20"/>
                <w:highlight w:val="none"/>
                <w:u w:val="single"/>
                <w:lang w:val="en-US" w:eastAsia="zh-CN"/>
              </w:rPr>
              <w:t>3</w:t>
            </w:r>
            <w:r>
              <w:rPr>
                <w:rFonts w:hint="eastAsia" w:ascii="宋体" w:hAnsi="宋体" w:eastAsia="宋体" w:cs="宋体"/>
                <w:color w:val="auto"/>
                <w:sz w:val="24"/>
                <w:szCs w:val="20"/>
                <w:highlight w:val="none"/>
              </w:rPr>
              <w:t>日</w:t>
            </w:r>
            <w:r>
              <w:rPr>
                <w:rFonts w:hint="eastAsia" w:hAnsi="宋体" w:eastAsia="宋体" w:cs="宋体"/>
                <w:color w:val="auto"/>
                <w:sz w:val="24"/>
                <w:szCs w:val="20"/>
                <w:highlight w:val="none"/>
                <w:u w:val="single"/>
                <w:lang w:val="en-US" w:eastAsia="zh-CN"/>
              </w:rPr>
              <w:t>09</w:t>
            </w:r>
            <w:r>
              <w:rPr>
                <w:rFonts w:hint="eastAsia" w:ascii="宋体" w:hAnsi="宋体" w:eastAsia="宋体" w:cs="宋体"/>
                <w:color w:val="auto"/>
                <w:sz w:val="24"/>
                <w:szCs w:val="20"/>
                <w:highlight w:val="none"/>
              </w:rPr>
              <w:t>时</w:t>
            </w:r>
            <w:r>
              <w:rPr>
                <w:rFonts w:hint="eastAsia" w:hAnsi="宋体" w:eastAsia="宋体" w:cs="宋体"/>
                <w:color w:val="auto"/>
                <w:sz w:val="24"/>
                <w:szCs w:val="20"/>
                <w:highlight w:val="none"/>
                <w:u w:val="single"/>
                <w:lang w:val="en-US" w:eastAsia="zh-CN"/>
              </w:rPr>
              <w:t>3</w:t>
            </w:r>
            <w:r>
              <w:rPr>
                <w:rFonts w:hint="eastAsia" w:ascii="宋体" w:hAnsi="宋体" w:eastAsia="宋体" w:cs="宋体"/>
                <w:color w:val="auto"/>
                <w:sz w:val="24"/>
                <w:szCs w:val="20"/>
                <w:highlight w:val="none"/>
                <w:u w:val="single"/>
                <w:lang w:val="en-US" w:eastAsia="zh-CN"/>
              </w:rPr>
              <w:t>0</w:t>
            </w:r>
            <w:r>
              <w:rPr>
                <w:rFonts w:hint="eastAsia" w:ascii="宋体" w:hAnsi="宋体" w:eastAsia="宋体" w:cs="宋体"/>
                <w:color w:val="auto"/>
                <w:sz w:val="24"/>
                <w:szCs w:val="20"/>
                <w:highlight w:val="none"/>
              </w:rPr>
              <w:t>分</w:t>
            </w:r>
          </w:p>
        </w:tc>
      </w:tr>
      <w:tr w14:paraId="793969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9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096D5BFB">
            <w:pPr>
              <w:pStyle w:val="32"/>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7</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7ECFCCB9">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投标相关资料（如有）</w:t>
            </w:r>
          </w:p>
          <w:p w14:paraId="6A3E1C1C">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递交时间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61A2A4F5">
            <w:pPr>
              <w:pStyle w:val="9"/>
              <w:wordWrap w:val="0"/>
              <w:adjustRightInd w:val="0"/>
              <w:snapToGrid w:val="0"/>
              <w:spacing w:line="240" w:lineRule="auto"/>
              <w:ind w:left="105" w:leftChars="50" w:firstLine="240" w:firstLineChars="100"/>
              <w:jc w:val="left"/>
              <w:rPr>
                <w:rFonts w:hint="eastAsia" w:asciiTheme="minorEastAsia" w:hAnsiTheme="minorEastAsia" w:eastAsiaTheme="minorEastAsia" w:cstheme="minorEastAsia"/>
                <w:color w:val="FFFFFF" w:themeColor="background1"/>
                <w:spacing w:val="0"/>
                <w:sz w:val="22"/>
                <w:szCs w:val="18"/>
                <w:highlight w:val="none"/>
                <w14:textFill>
                  <w14:solidFill>
                    <w14:schemeClr w14:val="bg1"/>
                  </w14:solidFill>
                </w14:textFill>
              </w:rPr>
            </w:pPr>
            <w:r>
              <w:rPr>
                <w:rFonts w:hint="eastAsia" w:hAnsi="宋体" w:eastAsia="宋体" w:cs="宋体"/>
                <w:color w:val="auto"/>
                <w:highlight w:val="none"/>
                <w:u w:val="single"/>
                <w:lang w:val="en-US" w:eastAsia="zh-CN"/>
              </w:rPr>
              <w:t>2026</w:t>
            </w:r>
            <w:r>
              <w:rPr>
                <w:rFonts w:hint="eastAsia" w:ascii="宋体" w:hAnsi="宋体" w:eastAsia="宋体" w:cs="宋体"/>
                <w:color w:val="auto"/>
                <w:highlight w:val="none"/>
              </w:rPr>
              <w:t>年</w:t>
            </w:r>
            <w:r>
              <w:rPr>
                <w:rFonts w:hint="eastAsia" w:hAnsi="宋体" w:eastAsia="宋体" w:cs="宋体"/>
                <w:color w:val="auto"/>
                <w:sz w:val="24"/>
                <w:szCs w:val="20"/>
                <w:highlight w:val="none"/>
                <w:u w:val="single"/>
                <w:lang w:val="en-US" w:eastAsia="zh-CN"/>
              </w:rPr>
              <w:t xml:space="preserve"> 7 </w:t>
            </w:r>
            <w:r>
              <w:rPr>
                <w:rFonts w:hint="eastAsia" w:ascii="宋体" w:hAnsi="宋体" w:eastAsia="宋体" w:cs="宋体"/>
                <w:color w:val="auto"/>
                <w:sz w:val="24"/>
                <w:szCs w:val="20"/>
                <w:highlight w:val="none"/>
              </w:rPr>
              <w:t>月</w:t>
            </w:r>
            <w:r>
              <w:rPr>
                <w:rFonts w:hint="eastAsia" w:hAnsi="宋体" w:eastAsia="宋体" w:cs="宋体"/>
                <w:color w:val="auto"/>
                <w:sz w:val="24"/>
                <w:szCs w:val="20"/>
                <w:highlight w:val="none"/>
                <w:u w:val="single"/>
                <w:lang w:val="en-US" w:eastAsia="zh-CN"/>
              </w:rPr>
              <w:t xml:space="preserve"> 3 </w:t>
            </w:r>
            <w:r>
              <w:rPr>
                <w:rFonts w:hint="eastAsia" w:ascii="宋体" w:hAnsi="宋体" w:eastAsia="宋体" w:cs="宋体"/>
                <w:color w:val="auto"/>
                <w:highlight w:val="none"/>
              </w:rPr>
              <w:t>日</w:t>
            </w:r>
            <w:r>
              <w:rPr>
                <w:rFonts w:hint="eastAsia" w:hAnsi="宋体" w:eastAsia="宋体" w:cs="宋体"/>
                <w:color w:val="auto"/>
                <w:highlight w:val="none"/>
                <w:u w:val="single"/>
                <w:lang w:val="en-US" w:eastAsia="zh-CN"/>
              </w:rPr>
              <w:t>9</w:t>
            </w:r>
            <w:r>
              <w:rPr>
                <w:rFonts w:hint="eastAsia" w:ascii="宋体" w:hAnsi="宋体" w:eastAsia="宋体" w:cs="宋体"/>
                <w:color w:val="auto"/>
                <w:highlight w:val="none"/>
              </w:rPr>
              <w:t>时</w:t>
            </w:r>
            <w:r>
              <w:rPr>
                <w:rFonts w:hint="eastAsia" w:hAnsi="宋体" w:eastAsia="宋体" w:cs="宋体"/>
                <w:color w:val="auto"/>
                <w:highlight w:val="none"/>
                <w:u w:val="single"/>
                <w:lang w:val="en-US" w:eastAsia="zh-CN"/>
              </w:rPr>
              <w:t>0</w:t>
            </w:r>
            <w:r>
              <w:rPr>
                <w:rFonts w:hint="eastAsia" w:ascii="宋体" w:hAnsi="宋体" w:eastAsia="宋体" w:cs="宋体"/>
                <w:color w:val="auto"/>
                <w:highlight w:val="none"/>
                <w:u w:val="single"/>
                <w:lang w:val="en-US" w:eastAsia="zh-CN"/>
              </w:rPr>
              <w:t>0</w:t>
            </w:r>
            <w:r>
              <w:rPr>
                <w:rFonts w:hint="eastAsia" w:ascii="宋体" w:hAnsi="宋体" w:eastAsia="宋体" w:cs="宋体"/>
                <w:color w:val="auto"/>
                <w:highlight w:val="none"/>
              </w:rPr>
              <w:t>分至</w:t>
            </w:r>
            <w:r>
              <w:rPr>
                <w:rFonts w:hint="eastAsia" w:hAnsi="宋体" w:eastAsia="宋体" w:cs="宋体"/>
                <w:color w:val="auto"/>
                <w:sz w:val="24"/>
                <w:szCs w:val="20"/>
                <w:highlight w:val="none"/>
                <w:u w:val="single"/>
                <w:lang w:val="en-US" w:eastAsia="zh-CN"/>
              </w:rPr>
              <w:t xml:space="preserve"> 7 </w:t>
            </w:r>
            <w:r>
              <w:rPr>
                <w:rFonts w:hint="eastAsia" w:ascii="宋体" w:hAnsi="宋体" w:eastAsia="宋体" w:cs="宋体"/>
                <w:color w:val="auto"/>
                <w:sz w:val="24"/>
                <w:szCs w:val="20"/>
                <w:highlight w:val="none"/>
              </w:rPr>
              <w:t>月</w:t>
            </w:r>
            <w:r>
              <w:rPr>
                <w:rFonts w:hint="eastAsia" w:hAnsi="宋体" w:eastAsia="宋体" w:cs="宋体"/>
                <w:color w:val="auto"/>
                <w:sz w:val="24"/>
                <w:szCs w:val="20"/>
                <w:highlight w:val="none"/>
                <w:u w:val="single"/>
                <w:lang w:val="en-US" w:eastAsia="zh-CN"/>
              </w:rPr>
              <w:t xml:space="preserve"> 3 </w:t>
            </w:r>
            <w:r>
              <w:rPr>
                <w:rFonts w:hint="eastAsia" w:ascii="宋体" w:hAnsi="宋体" w:eastAsia="宋体" w:cs="宋体"/>
                <w:color w:val="auto"/>
                <w:highlight w:val="none"/>
              </w:rPr>
              <w:t>日</w:t>
            </w:r>
            <w:r>
              <w:rPr>
                <w:rFonts w:hint="eastAsia" w:hAnsi="宋体" w:eastAsia="宋体" w:cs="宋体"/>
                <w:color w:val="auto"/>
                <w:highlight w:val="none"/>
                <w:u w:val="single"/>
                <w:lang w:val="en-US" w:eastAsia="zh-CN"/>
              </w:rPr>
              <w:t>09</w:t>
            </w:r>
            <w:r>
              <w:rPr>
                <w:rFonts w:hint="eastAsia" w:ascii="宋体" w:hAnsi="宋体" w:eastAsia="宋体" w:cs="宋体"/>
                <w:color w:val="auto"/>
                <w:highlight w:val="none"/>
              </w:rPr>
              <w:t>时</w:t>
            </w:r>
            <w:r>
              <w:rPr>
                <w:rFonts w:hint="eastAsia" w:hAnsi="宋体" w:eastAsia="宋体" w:cs="宋体"/>
                <w:color w:val="auto"/>
                <w:highlight w:val="none"/>
                <w:u w:val="single"/>
                <w:lang w:val="en-US" w:eastAsia="zh-CN"/>
              </w:rPr>
              <w:t>3</w:t>
            </w:r>
            <w:r>
              <w:rPr>
                <w:rFonts w:hint="eastAsia" w:ascii="宋体" w:hAnsi="宋体" w:eastAsia="宋体" w:cs="宋体"/>
                <w:color w:val="auto"/>
                <w:highlight w:val="none"/>
                <w:u w:val="single"/>
                <w:lang w:val="en-US" w:eastAsia="zh-CN"/>
              </w:rPr>
              <w:t>0</w:t>
            </w:r>
            <w:r>
              <w:rPr>
                <w:rFonts w:hint="eastAsia" w:ascii="宋体" w:hAnsi="宋体" w:eastAsia="宋体" w:cs="宋体"/>
                <w:color w:val="auto"/>
                <w:highlight w:val="none"/>
              </w:rPr>
              <w:t>分</w:t>
            </w:r>
          </w:p>
        </w:tc>
      </w:tr>
      <w:tr w14:paraId="1087819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9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187E6EBC">
            <w:pPr>
              <w:pStyle w:val="32"/>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8</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1C1C57A0">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投标相关资料（如有）</w:t>
            </w:r>
          </w:p>
          <w:p w14:paraId="0C806EA8">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递交地点</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50F6C79B">
            <w:pPr>
              <w:pStyle w:val="32"/>
              <w:widowControl/>
              <w:snapToGrid w:val="0"/>
              <w:ind w:left="105" w:leftChars="50" w:firstLine="240" w:firstLineChars="100"/>
              <w:jc w:val="left"/>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递交场所：</w:t>
            </w:r>
            <w:r>
              <w:rPr>
                <w:rFonts w:hint="eastAsia" w:ascii="宋体" w:hAnsi="宋体" w:eastAsia="宋体" w:cs="宋体"/>
                <w:color w:val="auto"/>
                <w:kern w:val="0"/>
                <w:sz w:val="24"/>
                <w:highlight w:val="none"/>
              </w:rPr>
              <w:t>韶关市公共资源交易中心</w:t>
            </w:r>
            <w:r>
              <w:rPr>
                <w:rFonts w:hint="eastAsia" w:ascii="宋体" w:hAnsi="宋体" w:eastAsia="宋体" w:cs="宋体"/>
                <w:color w:val="auto"/>
                <w:sz w:val="24"/>
                <w:szCs w:val="20"/>
                <w:highlight w:val="none"/>
              </w:rPr>
              <w:t xml:space="preserve"> </w:t>
            </w:r>
          </w:p>
          <w:p w14:paraId="021A4CD3">
            <w:pPr>
              <w:pStyle w:val="9"/>
              <w:wordWrap w:val="0"/>
              <w:adjustRightInd w:val="0"/>
              <w:snapToGrid w:val="0"/>
              <w:spacing w:line="240" w:lineRule="auto"/>
              <w:ind w:left="105" w:leftChars="50" w:firstLine="240" w:firstLineChars="100"/>
              <w:jc w:val="left"/>
              <w:rPr>
                <w:rFonts w:hint="eastAsia" w:eastAsia="宋体" w:asciiTheme="minorEastAsia" w:hAnsiTheme="minorEastAsia" w:cstheme="minorEastAsia"/>
                <w:color w:val="FFFFFF" w:themeColor="background1"/>
                <w:spacing w:val="0"/>
                <w:sz w:val="22"/>
                <w:szCs w:val="18"/>
                <w:highlight w:val="none"/>
                <w:lang w:eastAsia="zh-CN"/>
                <w14:textFill>
                  <w14:solidFill>
                    <w14:schemeClr w14:val="bg1"/>
                  </w14:solidFill>
                </w14:textFill>
              </w:rPr>
            </w:pPr>
            <w:r>
              <w:rPr>
                <w:rFonts w:hint="eastAsia" w:ascii="宋体" w:hAnsi="宋体" w:eastAsia="宋体" w:cs="宋体"/>
                <w:snapToGrid w:val="0"/>
                <w:color w:val="auto"/>
                <w:kern w:val="0"/>
                <w:highlight w:val="none"/>
              </w:rPr>
              <w:t>地址：</w:t>
            </w:r>
            <w:r>
              <w:rPr>
                <w:rFonts w:hint="eastAsia" w:ascii="宋体" w:hAnsi="宋体" w:eastAsia="宋体" w:cs="宋体"/>
                <w:color w:val="auto"/>
                <w:highlight w:val="none"/>
              </w:rPr>
              <w:t>韶关市曲江区马坝镇鞍山路曲江文化中心一楼</w:t>
            </w:r>
            <w:r>
              <w:rPr>
                <w:rFonts w:hint="eastAsia" w:ascii="宋体" w:hAnsi="宋体" w:eastAsia="宋体" w:cs="宋体"/>
                <w:color w:val="auto"/>
                <w:szCs w:val="24"/>
                <w:highlight w:val="none"/>
              </w:rPr>
              <w:t>（</w:t>
            </w:r>
            <w:r>
              <w:rPr>
                <w:rFonts w:hint="eastAsia" w:ascii="宋体" w:hAnsi="宋体" w:eastAsia="宋体" w:cs="宋体"/>
                <w:snapToGrid w:val="0"/>
                <w:color w:val="auto"/>
                <w:kern w:val="0"/>
                <w:szCs w:val="24"/>
                <w:highlight w:val="none"/>
              </w:rPr>
              <w:t>韶关市公共资源交易中心曲江分中心）</w:t>
            </w:r>
            <w:r>
              <w:rPr>
                <w:rFonts w:hint="eastAsia" w:ascii="宋体" w:hAnsi="宋体" w:eastAsia="宋体" w:cs="宋体"/>
                <w:color w:val="auto"/>
                <w:highlight w:val="none"/>
              </w:rPr>
              <w:t>，具体房间号以当日现场通知为准。</w:t>
            </w:r>
          </w:p>
        </w:tc>
      </w:tr>
      <w:tr w14:paraId="67D68B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7A492F83">
            <w:pPr>
              <w:pStyle w:val="32"/>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9</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47E60E97">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开标时间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4C4759C4">
            <w:pPr>
              <w:pStyle w:val="9"/>
              <w:wordWrap w:val="0"/>
              <w:adjustRightInd w:val="0"/>
              <w:snapToGrid w:val="0"/>
              <w:spacing w:line="240" w:lineRule="auto"/>
              <w:ind w:left="105" w:leftChars="50" w:firstLine="240" w:firstLineChars="100"/>
              <w:rPr>
                <w:rFonts w:hint="eastAsia" w:asciiTheme="minorEastAsia" w:hAnsiTheme="minorEastAsia" w:eastAsiaTheme="minorEastAsia" w:cstheme="minorEastAsia"/>
                <w:color w:val="FFFFFF" w:themeColor="background1"/>
                <w:spacing w:val="0"/>
                <w:sz w:val="22"/>
                <w:szCs w:val="18"/>
                <w:highlight w:val="none"/>
                <w14:textFill>
                  <w14:solidFill>
                    <w14:schemeClr w14:val="bg1"/>
                  </w14:solidFill>
                </w14:textFill>
              </w:rPr>
            </w:pPr>
            <w:r>
              <w:rPr>
                <w:rFonts w:hint="eastAsia" w:hAnsi="宋体" w:eastAsia="宋体" w:cs="宋体"/>
                <w:color w:val="auto"/>
                <w:sz w:val="24"/>
                <w:szCs w:val="20"/>
                <w:highlight w:val="none"/>
                <w:u w:val="single"/>
                <w:lang w:val="en-US" w:eastAsia="zh-CN"/>
              </w:rPr>
              <w:t>2026</w:t>
            </w:r>
            <w:r>
              <w:rPr>
                <w:rFonts w:hint="eastAsia" w:ascii="宋体" w:hAnsi="宋体" w:eastAsia="宋体" w:cs="宋体"/>
                <w:color w:val="auto"/>
                <w:sz w:val="24"/>
                <w:szCs w:val="20"/>
                <w:highlight w:val="none"/>
              </w:rPr>
              <w:t>年</w:t>
            </w:r>
            <w:r>
              <w:rPr>
                <w:rFonts w:hint="eastAsia" w:hAnsi="宋体" w:eastAsia="宋体" w:cs="宋体"/>
                <w:color w:val="auto"/>
                <w:sz w:val="24"/>
                <w:szCs w:val="20"/>
                <w:highlight w:val="none"/>
                <w:u w:val="single"/>
                <w:lang w:val="en-US" w:eastAsia="zh-CN"/>
              </w:rPr>
              <w:t xml:space="preserve"> 7 </w:t>
            </w:r>
            <w:r>
              <w:rPr>
                <w:rFonts w:hint="eastAsia" w:ascii="宋体" w:hAnsi="宋体" w:eastAsia="宋体" w:cs="宋体"/>
                <w:color w:val="auto"/>
                <w:sz w:val="24"/>
                <w:szCs w:val="20"/>
                <w:highlight w:val="none"/>
              </w:rPr>
              <w:t>月</w:t>
            </w:r>
            <w:r>
              <w:rPr>
                <w:rFonts w:hint="eastAsia" w:hAnsi="宋体" w:eastAsia="宋体" w:cs="宋体"/>
                <w:color w:val="auto"/>
                <w:sz w:val="24"/>
                <w:szCs w:val="20"/>
                <w:highlight w:val="none"/>
                <w:u w:val="single"/>
                <w:lang w:val="en-US" w:eastAsia="zh-CN"/>
              </w:rPr>
              <w:t xml:space="preserve"> 3 </w:t>
            </w:r>
            <w:r>
              <w:rPr>
                <w:rFonts w:hint="eastAsia" w:ascii="宋体" w:hAnsi="宋体" w:eastAsia="宋体" w:cs="宋体"/>
                <w:color w:val="auto"/>
                <w:sz w:val="24"/>
                <w:szCs w:val="20"/>
                <w:highlight w:val="none"/>
              </w:rPr>
              <w:t>日</w:t>
            </w:r>
            <w:r>
              <w:rPr>
                <w:rFonts w:hint="eastAsia" w:hAnsi="宋体" w:eastAsia="宋体" w:cs="宋体"/>
                <w:color w:val="auto"/>
                <w:sz w:val="24"/>
                <w:szCs w:val="20"/>
                <w:highlight w:val="none"/>
                <w:u w:val="single"/>
                <w:lang w:val="en-US" w:eastAsia="zh-CN"/>
              </w:rPr>
              <w:t>9</w:t>
            </w:r>
            <w:r>
              <w:rPr>
                <w:rFonts w:hint="eastAsia" w:ascii="宋体" w:hAnsi="宋体" w:eastAsia="宋体" w:cs="宋体"/>
                <w:color w:val="auto"/>
                <w:sz w:val="24"/>
                <w:szCs w:val="20"/>
                <w:highlight w:val="none"/>
              </w:rPr>
              <w:t>时</w:t>
            </w:r>
            <w:r>
              <w:rPr>
                <w:rFonts w:hint="eastAsia" w:hAnsi="宋体" w:eastAsia="宋体" w:cs="宋体"/>
                <w:color w:val="auto"/>
                <w:sz w:val="24"/>
                <w:szCs w:val="20"/>
                <w:highlight w:val="none"/>
                <w:u w:val="single"/>
                <w:lang w:val="en-US" w:eastAsia="zh-CN"/>
              </w:rPr>
              <w:t>3</w:t>
            </w:r>
            <w:r>
              <w:rPr>
                <w:rFonts w:hint="eastAsia" w:ascii="宋体" w:hAnsi="宋体" w:eastAsia="宋体" w:cs="宋体"/>
                <w:color w:val="auto"/>
                <w:sz w:val="24"/>
                <w:szCs w:val="20"/>
                <w:highlight w:val="none"/>
                <w:u w:val="single"/>
                <w:lang w:val="en-US" w:eastAsia="zh-CN"/>
              </w:rPr>
              <w:t>0</w:t>
            </w:r>
            <w:r>
              <w:rPr>
                <w:rFonts w:hint="eastAsia" w:ascii="宋体" w:hAnsi="宋体" w:eastAsia="宋体" w:cs="宋体"/>
                <w:color w:val="auto"/>
                <w:sz w:val="24"/>
                <w:szCs w:val="20"/>
                <w:highlight w:val="none"/>
              </w:rPr>
              <w:t>分</w:t>
            </w:r>
          </w:p>
        </w:tc>
      </w:tr>
      <w:tr w14:paraId="20C8AC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7"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5162EF3C">
            <w:pPr>
              <w:pStyle w:val="32"/>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10</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0F22FDE3">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开标地点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2D262BF7">
            <w:pPr>
              <w:pStyle w:val="32"/>
              <w:widowControl/>
              <w:snapToGrid w:val="0"/>
              <w:ind w:left="105" w:leftChars="50" w:firstLine="240" w:firstLine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开标场所：韶关市公共资源交易中心</w:t>
            </w:r>
          </w:p>
          <w:p w14:paraId="1316D2EB">
            <w:pPr>
              <w:pStyle w:val="9"/>
              <w:wordWrap w:val="0"/>
              <w:adjustRightInd w:val="0"/>
              <w:snapToGrid w:val="0"/>
              <w:spacing w:line="240" w:lineRule="auto"/>
              <w:ind w:left="105" w:leftChars="50" w:firstLine="240" w:firstLineChars="100"/>
              <w:jc w:val="left"/>
              <w:rPr>
                <w:rFonts w:hint="eastAsia" w:asciiTheme="minorEastAsia" w:hAnsiTheme="minorEastAsia" w:eastAsiaTheme="minorEastAsia" w:cstheme="minorEastAsia"/>
                <w:color w:val="FFFFFF" w:themeColor="background1"/>
                <w:spacing w:val="0"/>
                <w:sz w:val="22"/>
                <w:szCs w:val="18"/>
                <w:highlight w:val="none"/>
                <w14:textFill>
                  <w14:solidFill>
                    <w14:schemeClr w14:val="bg1"/>
                  </w14:solidFill>
                </w14:textFill>
              </w:rPr>
            </w:pPr>
            <w:r>
              <w:rPr>
                <w:rFonts w:hint="eastAsia" w:ascii="宋体" w:hAnsi="宋体" w:eastAsia="宋体" w:cs="宋体"/>
                <w:snapToGrid w:val="0"/>
                <w:color w:val="auto"/>
                <w:kern w:val="0"/>
                <w:highlight w:val="none"/>
              </w:rPr>
              <w:t>地址：</w:t>
            </w:r>
            <w:r>
              <w:rPr>
                <w:rFonts w:hint="eastAsia" w:ascii="宋体" w:hAnsi="宋体" w:eastAsia="宋体" w:cs="宋体"/>
                <w:color w:val="auto"/>
                <w:highlight w:val="none"/>
              </w:rPr>
              <w:t>韶关市曲江区马坝镇鞍山路曲江文化中心一楼</w:t>
            </w:r>
            <w:r>
              <w:rPr>
                <w:rFonts w:hint="eastAsia" w:ascii="宋体" w:hAnsi="宋体" w:eastAsia="宋体" w:cs="宋体"/>
                <w:color w:val="auto"/>
                <w:szCs w:val="24"/>
                <w:highlight w:val="none"/>
              </w:rPr>
              <w:t>（</w:t>
            </w:r>
            <w:r>
              <w:rPr>
                <w:rFonts w:hint="eastAsia" w:ascii="宋体" w:hAnsi="宋体" w:eastAsia="宋体" w:cs="宋体"/>
                <w:snapToGrid w:val="0"/>
                <w:color w:val="auto"/>
                <w:kern w:val="0"/>
                <w:szCs w:val="24"/>
                <w:highlight w:val="none"/>
              </w:rPr>
              <w:t>韶关市公共资源交易中心曲江分中心）</w:t>
            </w:r>
            <w:r>
              <w:rPr>
                <w:rFonts w:hint="eastAsia" w:ascii="宋体" w:hAnsi="宋体" w:eastAsia="宋体" w:cs="宋体"/>
                <w:color w:val="auto"/>
                <w:highlight w:val="none"/>
              </w:rPr>
              <w:t>，具体房间号以当日现场通知为准</w:t>
            </w:r>
            <w:r>
              <w:rPr>
                <w:rFonts w:hint="eastAsia" w:ascii="宋体" w:hAnsi="宋体" w:eastAsia="宋体" w:cs="宋体"/>
                <w:color w:val="auto"/>
                <w:kern w:val="0"/>
                <w:szCs w:val="24"/>
                <w:highlight w:val="none"/>
              </w:rPr>
              <w:t>。</w:t>
            </w:r>
          </w:p>
        </w:tc>
      </w:tr>
      <w:tr w14:paraId="1FD2AC3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6" w:hRule="exact"/>
        </w:trPr>
        <w:tc>
          <w:tcPr>
            <w:tcW w:w="1721" w:type="dxa"/>
            <w:gridSpan w:val="2"/>
            <w:tcBorders>
              <w:top w:val="single" w:color="080000" w:sz="4" w:space="0"/>
              <w:left w:val="single" w:color="080000" w:sz="4" w:space="0"/>
              <w:bottom w:val="single" w:color="080000" w:sz="4" w:space="0"/>
              <w:right w:val="single" w:color="080000" w:sz="4" w:space="0"/>
            </w:tcBorders>
            <w:noWrap w:val="0"/>
            <w:vAlign w:val="center"/>
          </w:tcPr>
          <w:p w14:paraId="5F4E94EC">
            <w:pPr>
              <w:pStyle w:val="32"/>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lang w:val="en-US" w:eastAsia="zh-CN"/>
              </w:rPr>
              <w:t>备注</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719EF49D">
            <w:pPr>
              <w:pStyle w:val="9"/>
              <w:wordWrap w:val="0"/>
              <w:adjustRightInd w:val="0"/>
              <w:snapToGrid w:val="0"/>
              <w:spacing w:line="240" w:lineRule="auto"/>
              <w:ind w:left="105" w:leftChars="50" w:firstLine="240" w:firstLineChars="100"/>
              <w:jc w:val="left"/>
              <w:rPr>
                <w:rFonts w:hint="eastAsia" w:asciiTheme="minorEastAsia" w:hAnsiTheme="minorEastAsia" w:eastAsiaTheme="minorEastAsia" w:cstheme="minorEastAsia"/>
                <w:color w:val="FFFFFF" w:themeColor="background1"/>
                <w:spacing w:val="0"/>
                <w:sz w:val="20"/>
                <w:szCs w:val="22"/>
                <w:highlight w:val="none"/>
                <w14:textFill>
                  <w14:solidFill>
                    <w14:schemeClr w14:val="bg1"/>
                  </w14:solidFill>
                </w14:textFill>
              </w:rPr>
            </w:pPr>
            <w:r>
              <w:rPr>
                <w:rFonts w:hint="eastAsia" w:ascii="宋体" w:hAnsi="宋体" w:eastAsia="宋体" w:cs="宋体"/>
                <w:snapToGrid w:val="0"/>
                <w:color w:val="auto"/>
                <w:kern w:val="0"/>
                <w:szCs w:val="24"/>
                <w:highlight w:val="none"/>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7A73BBFE">
      <w:pPr>
        <w:keepNext w:val="0"/>
        <w:keepLines w:val="0"/>
        <w:pageBreakBefore w:val="0"/>
        <w:tabs>
          <w:tab w:val="left" w:pos="8820"/>
        </w:tabs>
        <w:wordWrap w:val="0"/>
        <w:overflowPunct/>
        <w:topLinePunct w:val="0"/>
        <w:bidi w:val="0"/>
        <w:rPr>
          <w:rFonts w:hint="eastAsia" w:ascii="宋体" w:hAnsi="宋体" w:eastAsia="宋体" w:cs="宋体"/>
          <w:b w:val="0"/>
          <w:bCs w:val="0"/>
          <w:color w:val="auto"/>
          <w:spacing w:val="0"/>
          <w:sz w:val="24"/>
          <w:szCs w:val="24"/>
          <w:highlight w:val="none"/>
        </w:rPr>
        <w:sectPr>
          <w:headerReference r:id="rId6" w:type="default"/>
          <w:footerReference r:id="rId7" w:type="default"/>
          <w:pgSz w:w="11906" w:h="16839"/>
          <w:pgMar w:top="1440" w:right="1080" w:bottom="1440" w:left="1080" w:header="0" w:footer="1085" w:gutter="0"/>
          <w:pgBorders>
            <w:top w:val="none" w:sz="0" w:space="0"/>
            <w:left w:val="none" w:sz="0" w:space="0"/>
            <w:bottom w:val="none" w:sz="0" w:space="0"/>
            <w:right w:val="none" w:sz="0" w:space="0"/>
          </w:pgBorders>
          <w:pgNumType w:fmt="decimal"/>
          <w:cols w:space="720" w:num="1"/>
        </w:sectPr>
      </w:pPr>
    </w:p>
    <w:p w14:paraId="3995874F">
      <w:pPr>
        <w:pStyle w:val="4"/>
        <w:pageBreakBefore w:val="0"/>
        <w:wordWrap w:val="0"/>
        <w:overflowPunct/>
        <w:topLinePunct w:val="0"/>
        <w:autoSpaceDE/>
        <w:autoSpaceDN/>
        <w:bidi w:val="0"/>
        <w:snapToGrid w:val="0"/>
        <w:spacing w:before="0" w:beforeAutospacing="0" w:after="0" w:afterAutospacing="0" w:line="360" w:lineRule="auto"/>
        <w:ind w:left="0" w:leftChars="0" w:firstLine="482" w:firstLineChars="200"/>
        <w:jc w:val="center"/>
        <w:rPr>
          <w:rFonts w:hint="eastAsia" w:ascii="宋体" w:hAnsi="宋体" w:eastAsia="宋体" w:cs="宋体"/>
          <w:b/>
          <w:snapToGrid w:val="0"/>
          <w:color w:val="auto"/>
          <w:sz w:val="24"/>
          <w:szCs w:val="24"/>
          <w:highlight w:val="none"/>
        </w:rPr>
      </w:pPr>
      <w:bookmarkStart w:id="7" w:name="_Toc3689"/>
      <w:bookmarkStart w:id="8" w:name="_Toc11246"/>
      <w:bookmarkStart w:id="9" w:name="_Hlt69698705"/>
      <w:bookmarkStart w:id="10" w:name="_Hlt69698754"/>
      <w:bookmarkStart w:id="11" w:name="_Toc23243"/>
      <w:r>
        <w:rPr>
          <w:rFonts w:hint="eastAsia" w:ascii="宋体" w:hAnsi="宋体" w:eastAsia="宋体" w:cs="宋体"/>
          <w:b/>
          <w:snapToGrid w:val="0"/>
          <w:color w:val="auto"/>
          <w:sz w:val="24"/>
          <w:szCs w:val="24"/>
          <w:highlight w:val="none"/>
        </w:rPr>
        <w:t>第三节 投标人须知</w:t>
      </w:r>
      <w:bookmarkStart w:id="12" w:name="_Hlt69669159"/>
      <w:bookmarkEnd w:id="12"/>
      <w:r>
        <w:rPr>
          <w:rFonts w:hint="eastAsia" w:ascii="宋体" w:hAnsi="宋体" w:eastAsia="宋体" w:cs="宋体"/>
          <w:b/>
          <w:snapToGrid w:val="0"/>
          <w:color w:val="auto"/>
          <w:sz w:val="24"/>
          <w:szCs w:val="24"/>
          <w:highlight w:val="none"/>
        </w:rPr>
        <w:t>正文</w:t>
      </w:r>
      <w:bookmarkEnd w:id="7"/>
      <w:bookmarkEnd w:id="8"/>
    </w:p>
    <w:bookmarkEnd w:id="9"/>
    <w:bookmarkEnd w:id="10"/>
    <w:p w14:paraId="54496001">
      <w:pPr>
        <w:pStyle w:val="61"/>
        <w:pageBreakBefore w:val="0"/>
        <w:overflowPunct/>
        <w:topLinePunct w:val="0"/>
        <w:bidi w:val="0"/>
        <w:snapToGrid w:val="0"/>
        <w:spacing w:beforeAutospacing="0" w:afterAutospacing="0" w:line="360" w:lineRule="auto"/>
        <w:ind w:left="0" w:leftChars="0" w:firstLine="480" w:firstLineChars="200"/>
        <w:rPr>
          <w:rFonts w:hint="eastAsia" w:ascii="宋体" w:hAnsi="宋体" w:eastAsia="宋体" w:cs="宋体"/>
          <w:snapToGrid w:val="0"/>
          <w:color w:val="auto"/>
          <w:kern w:val="0"/>
          <w:sz w:val="24"/>
          <w:szCs w:val="24"/>
          <w:highlight w:val="none"/>
          <w:lang w:val="zh-CN"/>
        </w:rPr>
      </w:pPr>
      <w:r>
        <w:rPr>
          <w:rFonts w:hint="eastAsia" w:ascii="宋体" w:hAnsi="宋体" w:eastAsia="宋体" w:cs="宋体"/>
          <w:snapToGrid w:val="0"/>
          <w:color w:val="auto"/>
          <w:kern w:val="0"/>
          <w:sz w:val="24"/>
          <w:szCs w:val="24"/>
          <w:highlight w:val="none"/>
          <w:u w:val="single"/>
          <w:lang w:val="en-US" w:eastAsia="zh-CN"/>
        </w:rPr>
        <w:t>2025年曲江区老旧小区基础设施改造提升增补工程</w:t>
      </w:r>
      <w:r>
        <w:rPr>
          <w:rFonts w:hint="eastAsia" w:ascii="宋体" w:hAnsi="宋体" w:eastAsia="宋体" w:cs="宋体"/>
          <w:snapToGrid w:val="0"/>
          <w:color w:val="auto"/>
          <w:kern w:val="0"/>
          <w:sz w:val="24"/>
          <w:szCs w:val="24"/>
          <w:highlight w:val="none"/>
          <w:lang w:val="en-US" w:eastAsia="zh-CN"/>
        </w:rPr>
        <w:t>已</w:t>
      </w:r>
      <w:r>
        <w:rPr>
          <w:rFonts w:hint="eastAsia" w:ascii="宋体" w:hAnsi="宋体" w:eastAsia="宋体" w:cs="宋体"/>
          <w:snapToGrid w:val="0"/>
          <w:color w:val="auto"/>
          <w:kern w:val="0"/>
          <w:sz w:val="24"/>
          <w:szCs w:val="24"/>
          <w:highlight w:val="none"/>
        </w:rPr>
        <w:t>经</w:t>
      </w:r>
      <w:r>
        <w:rPr>
          <w:rFonts w:hint="eastAsia" w:ascii="宋体" w:hAnsi="宋体" w:eastAsia="宋体" w:cs="宋体"/>
          <w:color w:val="auto"/>
          <w:kern w:val="0"/>
          <w:sz w:val="24"/>
          <w:szCs w:val="24"/>
          <w:highlight w:val="none"/>
          <w:u w:val="single"/>
          <w:lang w:eastAsia="zh-CN"/>
        </w:rPr>
        <w:t>韶关市曲江区发展和改革局</w:t>
      </w:r>
      <w:r>
        <w:rPr>
          <w:rFonts w:hint="eastAsia" w:ascii="宋体" w:hAnsi="宋体" w:eastAsia="宋体" w:cs="宋体"/>
          <w:snapToGrid w:val="0"/>
          <w:color w:val="auto"/>
          <w:kern w:val="0"/>
          <w:sz w:val="24"/>
          <w:szCs w:val="24"/>
          <w:highlight w:val="none"/>
        </w:rPr>
        <w:t>以</w:t>
      </w:r>
      <w:r>
        <w:rPr>
          <w:rFonts w:hint="eastAsia" w:ascii="宋体" w:hAnsi="宋体" w:eastAsia="宋体" w:cs="宋体"/>
          <w:snapToGrid w:val="0"/>
          <w:color w:val="auto"/>
          <w:kern w:val="0"/>
          <w:sz w:val="24"/>
          <w:szCs w:val="24"/>
          <w:highlight w:val="none"/>
          <w:u w:val="single"/>
        </w:rPr>
        <w:t>《</w:t>
      </w:r>
      <w:r>
        <w:rPr>
          <w:rFonts w:hint="eastAsia" w:ascii="宋体" w:hAnsi="宋体" w:eastAsia="宋体" w:cs="宋体"/>
          <w:snapToGrid w:val="0"/>
          <w:color w:val="auto"/>
          <w:kern w:val="0"/>
          <w:sz w:val="24"/>
          <w:szCs w:val="24"/>
          <w:highlight w:val="none"/>
          <w:u w:val="single"/>
          <w:lang w:val="en-US" w:eastAsia="zh-CN"/>
        </w:rPr>
        <w:t>韶关市曲江区发展和改革局关于2025年曲江区老旧小区基础设施改造提升增补工程项目初步设计概算的批复</w:t>
      </w:r>
      <w:r>
        <w:rPr>
          <w:rFonts w:hint="eastAsia" w:ascii="宋体" w:hAnsi="宋体" w:eastAsia="宋体" w:cs="宋体"/>
          <w:snapToGrid w:val="0"/>
          <w:color w:val="auto"/>
          <w:kern w:val="0"/>
          <w:sz w:val="24"/>
          <w:szCs w:val="24"/>
          <w:highlight w:val="none"/>
          <w:u w:val="single"/>
        </w:rPr>
        <w:t>》</w:t>
      </w:r>
      <w:r>
        <w:rPr>
          <w:rFonts w:hint="eastAsia" w:ascii="宋体" w:hAnsi="宋体" w:eastAsia="宋体" w:cs="宋体"/>
          <w:snapToGrid w:val="0"/>
          <w:color w:val="auto"/>
          <w:kern w:val="0"/>
          <w:sz w:val="24"/>
          <w:szCs w:val="24"/>
          <w:highlight w:val="none"/>
          <w:u w:val="single"/>
          <w:lang w:eastAsia="zh-CN"/>
        </w:rPr>
        <w:t>（曲发改投审[2026]28号）</w:t>
      </w:r>
      <w:r>
        <w:rPr>
          <w:rFonts w:hint="eastAsia" w:ascii="宋体" w:hAnsi="宋体" w:eastAsia="宋体" w:cs="宋体"/>
          <w:snapToGrid w:val="0"/>
          <w:color w:val="auto"/>
          <w:kern w:val="0"/>
          <w:sz w:val="24"/>
          <w:szCs w:val="24"/>
          <w:highlight w:val="none"/>
          <w:u w:val="none"/>
        </w:rPr>
        <w:t>批准建设</w:t>
      </w:r>
      <w:r>
        <w:rPr>
          <w:rFonts w:hint="eastAsia" w:ascii="宋体" w:hAnsi="宋体" w:eastAsia="宋体" w:cs="宋体"/>
          <w:snapToGrid w:val="0"/>
          <w:color w:val="auto"/>
          <w:kern w:val="0"/>
          <w:sz w:val="24"/>
          <w:szCs w:val="24"/>
          <w:highlight w:val="none"/>
        </w:rPr>
        <w:t>，项目代码为</w:t>
      </w:r>
      <w:r>
        <w:rPr>
          <w:rFonts w:hint="eastAsia" w:ascii="宋体" w:hAnsi="宋体" w:eastAsia="宋体" w:cs="宋体"/>
          <w:snapToGrid w:val="0"/>
          <w:color w:val="auto"/>
          <w:kern w:val="0"/>
          <w:sz w:val="24"/>
          <w:szCs w:val="24"/>
          <w:highlight w:val="none"/>
          <w:u w:val="single"/>
          <w:lang w:val="en-US" w:eastAsia="zh-CN"/>
        </w:rPr>
        <w:t>2603-440205-04-01-815274</w:t>
      </w:r>
      <w:r>
        <w:rPr>
          <w:rFonts w:hint="eastAsia" w:ascii="宋体" w:hAnsi="宋体" w:eastAsia="宋体" w:cs="宋体"/>
          <w:snapToGrid w:val="0"/>
          <w:color w:val="auto"/>
          <w:kern w:val="0"/>
          <w:sz w:val="24"/>
          <w:szCs w:val="24"/>
          <w:highlight w:val="none"/>
        </w:rPr>
        <w:t>。本项目业主为：</w:t>
      </w:r>
      <w:r>
        <w:rPr>
          <w:rFonts w:hint="eastAsia" w:ascii="宋体" w:hAnsi="宋体" w:eastAsia="宋体" w:cs="宋体"/>
          <w:color w:val="auto"/>
          <w:kern w:val="0"/>
          <w:sz w:val="24"/>
          <w:szCs w:val="24"/>
          <w:highlight w:val="none"/>
          <w:u w:val="single"/>
          <w:lang w:eastAsia="zh-CN"/>
        </w:rPr>
        <w:t>韶关市曲江区马坝镇人民政府</w:t>
      </w:r>
      <w:r>
        <w:rPr>
          <w:rFonts w:hint="eastAsia" w:ascii="宋体" w:hAnsi="宋体" w:eastAsia="宋体" w:cs="宋体"/>
          <w:snapToGrid w:val="0"/>
          <w:color w:val="auto"/>
          <w:kern w:val="0"/>
          <w:sz w:val="24"/>
          <w:szCs w:val="24"/>
          <w:highlight w:val="none"/>
        </w:rPr>
        <w:t>，建设资金：</w:t>
      </w:r>
      <w:r>
        <w:rPr>
          <w:rFonts w:hint="eastAsia" w:ascii="宋体" w:hAnsi="宋体" w:eastAsia="宋体" w:cs="宋体"/>
          <w:bCs/>
          <w:color w:val="auto"/>
          <w:sz w:val="24"/>
          <w:szCs w:val="24"/>
          <w:highlight w:val="none"/>
          <w:u w:val="single"/>
          <w:lang w:eastAsia="zh-CN"/>
        </w:rPr>
        <w:t>财政资金</w:t>
      </w:r>
      <w:r>
        <w:rPr>
          <w:rFonts w:hint="eastAsia" w:ascii="宋体" w:hAnsi="宋体" w:eastAsia="宋体" w:cs="宋体"/>
          <w:bCs/>
          <w:color w:val="auto"/>
          <w:sz w:val="24"/>
          <w:szCs w:val="24"/>
          <w:highlight w:val="none"/>
          <w:u w:val="none"/>
          <w:lang w:eastAsia="zh-CN"/>
        </w:rPr>
        <w:t>，</w:t>
      </w:r>
      <w:r>
        <w:rPr>
          <w:rStyle w:val="30"/>
          <w:rFonts w:hint="eastAsia" w:ascii="宋体" w:hAnsi="宋体" w:eastAsia="宋体" w:cs="宋体"/>
          <w:color w:val="auto"/>
          <w:kern w:val="0"/>
          <w:sz w:val="24"/>
          <w:szCs w:val="24"/>
          <w:highlight w:val="none"/>
        </w:rPr>
        <w:t>出资比例为</w:t>
      </w:r>
      <w:r>
        <w:rPr>
          <w:rFonts w:hint="eastAsia" w:ascii="宋体" w:hAnsi="宋体" w:eastAsia="宋体" w:cs="宋体"/>
          <w:bCs/>
          <w:color w:val="auto"/>
          <w:sz w:val="24"/>
          <w:szCs w:val="24"/>
          <w:highlight w:val="none"/>
          <w:u w:val="single"/>
          <w:lang w:val="en-US" w:eastAsia="zh-CN"/>
        </w:rPr>
        <w:t>100%</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snapToGrid w:val="0"/>
          <w:color w:val="auto"/>
          <w:kern w:val="0"/>
          <w:sz w:val="24"/>
          <w:szCs w:val="24"/>
          <w:highlight w:val="none"/>
        </w:rPr>
        <w:t>，招标人为</w:t>
      </w:r>
      <w:r>
        <w:rPr>
          <w:rFonts w:hint="eastAsia" w:ascii="宋体" w:hAnsi="宋体" w:eastAsia="宋体" w:cs="宋体"/>
          <w:color w:val="auto"/>
          <w:kern w:val="0"/>
          <w:sz w:val="24"/>
          <w:szCs w:val="24"/>
          <w:highlight w:val="none"/>
          <w:u w:val="single"/>
          <w:lang w:eastAsia="zh-CN"/>
        </w:rPr>
        <w:t>韶关市曲江区马坝镇人民政府</w:t>
      </w:r>
      <w:r>
        <w:rPr>
          <w:rFonts w:hint="eastAsia" w:ascii="宋体" w:hAnsi="宋体" w:eastAsia="宋体" w:cs="宋体"/>
          <w:snapToGrid w:val="0"/>
          <w:color w:val="auto"/>
          <w:kern w:val="0"/>
          <w:sz w:val="24"/>
          <w:szCs w:val="24"/>
          <w:highlight w:val="none"/>
        </w:rPr>
        <w:t>，招标代理机构为</w:t>
      </w:r>
      <w:r>
        <w:rPr>
          <w:rFonts w:hint="eastAsia" w:ascii="宋体" w:hAnsi="宋体" w:eastAsia="宋体" w:cs="宋体"/>
          <w:color w:val="auto"/>
          <w:kern w:val="0"/>
          <w:sz w:val="24"/>
          <w:szCs w:val="24"/>
          <w:highlight w:val="none"/>
          <w:u w:val="single"/>
          <w:lang w:eastAsia="zh-CN"/>
        </w:rPr>
        <w:t>广东粤圣项目管理有限公司</w:t>
      </w:r>
      <w:r>
        <w:rPr>
          <w:rFonts w:hint="eastAsia" w:ascii="宋体" w:hAnsi="宋体" w:eastAsia="宋体" w:cs="宋体"/>
          <w:snapToGrid w:val="0"/>
          <w:color w:val="auto"/>
          <w:kern w:val="0"/>
          <w:sz w:val="24"/>
          <w:szCs w:val="24"/>
          <w:highlight w:val="none"/>
        </w:rPr>
        <w:t>。项目已具备招标条件，现对该项目的</w:t>
      </w:r>
      <w:r>
        <w:rPr>
          <w:rFonts w:hint="eastAsia" w:ascii="宋体" w:hAnsi="宋体" w:eastAsia="宋体" w:cs="宋体"/>
          <w:snapToGrid w:val="0"/>
          <w:color w:val="auto"/>
          <w:kern w:val="0"/>
          <w:sz w:val="24"/>
          <w:szCs w:val="24"/>
          <w:highlight w:val="none"/>
          <w:u w:val="single"/>
          <w:lang w:eastAsia="zh-CN"/>
        </w:rPr>
        <w:t>2025年曲江区老旧小区基础设施改造提升增补工程施工</w:t>
      </w:r>
      <w:r>
        <w:rPr>
          <w:rFonts w:hint="eastAsia" w:ascii="宋体" w:hAnsi="宋体" w:eastAsia="宋体" w:cs="宋体"/>
          <w:snapToGrid w:val="0"/>
          <w:color w:val="auto"/>
          <w:kern w:val="0"/>
          <w:sz w:val="24"/>
          <w:szCs w:val="24"/>
          <w:highlight w:val="none"/>
        </w:rPr>
        <w:t>进行公开招标。</w:t>
      </w:r>
    </w:p>
    <w:p w14:paraId="61B654FA">
      <w:pPr>
        <w:pStyle w:val="5"/>
        <w:pageBreakBefore w:val="0"/>
        <w:wordWrap w:val="0"/>
        <w:overflowPunct/>
        <w:topLinePunct w:val="0"/>
        <w:bidi w:val="0"/>
        <w:snapToGrid w:val="0"/>
        <w:spacing w:before="0" w:beforeLines="0" w:beforeAutospacing="0" w:after="0" w:afterLines="0" w:afterAutospacing="0" w:line="360" w:lineRule="auto"/>
        <w:ind w:left="0" w:leftChars="0" w:firstLine="482" w:firstLineChars="200"/>
        <w:jc w:val="both"/>
        <w:rPr>
          <w:rFonts w:hint="eastAsia" w:ascii="宋体" w:hAnsi="宋体" w:eastAsia="宋体" w:cs="宋体"/>
          <w:b/>
          <w:snapToGrid w:val="0"/>
          <w:color w:val="auto"/>
          <w:sz w:val="24"/>
          <w:szCs w:val="24"/>
          <w:highlight w:val="none"/>
        </w:rPr>
      </w:pPr>
      <w:bookmarkStart w:id="13" w:name="_Toc11701"/>
      <w:bookmarkStart w:id="14" w:name="_Toc27215"/>
      <w:r>
        <w:rPr>
          <w:rFonts w:hint="eastAsia" w:ascii="宋体" w:hAnsi="宋体" w:eastAsia="宋体" w:cs="宋体"/>
          <w:b/>
          <w:snapToGrid w:val="0"/>
          <w:color w:val="auto"/>
          <w:sz w:val="24"/>
          <w:szCs w:val="24"/>
          <w:highlight w:val="none"/>
        </w:rPr>
        <w:t>1．项目概况、招标范围和标段划分、投标费用</w:t>
      </w:r>
      <w:bookmarkEnd w:id="13"/>
      <w:bookmarkEnd w:id="14"/>
    </w:p>
    <w:p w14:paraId="78397ECC">
      <w:pPr>
        <w:pStyle w:val="32"/>
        <w:pageBreakBefore w:val="0"/>
        <w:wordWrap w:val="0"/>
        <w:overflowPunct/>
        <w:topLinePunct w:val="0"/>
        <w:bidi w:val="0"/>
        <w:adjustRightInd w:val="0"/>
        <w:snapToGrid w:val="0"/>
        <w:spacing w:beforeAutospacing="0" w:afterAutospacing="0" w:line="360" w:lineRule="auto"/>
        <w:ind w:left="0" w:leftChars="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1.1</w:t>
      </w:r>
      <w:r>
        <w:rPr>
          <w:rFonts w:hint="eastAsia" w:ascii="宋体" w:hAnsi="宋体" w:eastAsia="宋体" w:cs="宋体"/>
          <w:snapToGrid w:val="0"/>
          <w:color w:val="auto"/>
          <w:kern w:val="0"/>
          <w:sz w:val="24"/>
          <w:szCs w:val="24"/>
          <w:highlight w:val="none"/>
        </w:rPr>
        <w:t xml:space="preserve"> 项目概况</w:t>
      </w:r>
    </w:p>
    <w:p w14:paraId="3F491047">
      <w:pPr>
        <w:pStyle w:val="32"/>
        <w:pageBreakBefore w:val="0"/>
        <w:wordWrap w:val="0"/>
        <w:overflowPunct/>
        <w:topLinePunct w:val="0"/>
        <w:bidi w:val="0"/>
        <w:adjustRightInd w:val="0"/>
        <w:snapToGrid w:val="0"/>
        <w:spacing w:beforeAutospacing="0" w:afterAutospacing="0" w:line="360" w:lineRule="auto"/>
        <w:ind w:left="0" w:leftChars="0" w:firstLine="482" w:firstLineChars="200"/>
        <w:jc w:val="left"/>
        <w:rPr>
          <w:rFonts w:hint="eastAsia" w:ascii="宋体" w:hAnsi="宋体" w:eastAsia="宋体" w:cs="宋体"/>
          <w:snapToGrid w:val="0"/>
          <w:color w:val="auto"/>
          <w:kern w:val="0"/>
          <w:sz w:val="24"/>
          <w:szCs w:val="24"/>
          <w:highlight w:val="none"/>
          <w:u w:val="single"/>
        </w:rPr>
      </w:pPr>
      <w:r>
        <w:rPr>
          <w:rFonts w:hint="eastAsia" w:ascii="宋体" w:hAnsi="宋体" w:eastAsia="宋体" w:cs="宋体"/>
          <w:b/>
          <w:bCs/>
          <w:snapToGrid w:val="0"/>
          <w:color w:val="auto"/>
          <w:kern w:val="0"/>
          <w:sz w:val="24"/>
          <w:szCs w:val="24"/>
          <w:highlight w:val="none"/>
        </w:rPr>
        <w:t>1.1.1</w:t>
      </w:r>
      <w:r>
        <w:rPr>
          <w:rFonts w:hint="eastAsia" w:ascii="宋体" w:hAnsi="宋体" w:eastAsia="宋体" w:cs="宋体"/>
          <w:snapToGrid w:val="0"/>
          <w:color w:val="auto"/>
          <w:kern w:val="0"/>
          <w:sz w:val="24"/>
          <w:szCs w:val="24"/>
          <w:highlight w:val="none"/>
        </w:rPr>
        <w:t xml:space="preserve"> 建设地点：</w:t>
      </w:r>
      <w:r>
        <w:rPr>
          <w:rFonts w:hint="eastAsia" w:ascii="宋体" w:hAnsi="宋体" w:eastAsia="宋体" w:cs="宋体"/>
          <w:snapToGrid w:val="0"/>
          <w:color w:val="auto"/>
          <w:kern w:val="0"/>
          <w:sz w:val="24"/>
          <w:szCs w:val="24"/>
          <w:highlight w:val="none"/>
          <w:u w:val="single"/>
        </w:rPr>
        <w:t>韶关市曲江区</w:t>
      </w:r>
      <w:r>
        <w:rPr>
          <w:rFonts w:hint="eastAsia" w:ascii="宋体" w:hAnsi="宋体" w:eastAsia="宋体" w:cs="宋体"/>
          <w:snapToGrid w:val="0"/>
          <w:color w:val="auto"/>
          <w:kern w:val="0"/>
          <w:sz w:val="24"/>
          <w:szCs w:val="24"/>
          <w:highlight w:val="none"/>
          <w:u w:val="single"/>
          <w:lang w:eastAsia="zh-CN"/>
        </w:rPr>
        <w:t>马坝镇</w:t>
      </w:r>
      <w:r>
        <w:rPr>
          <w:rFonts w:hint="eastAsia" w:ascii="宋体" w:hAnsi="宋体" w:eastAsia="宋体" w:cs="宋体"/>
          <w:snapToGrid w:val="0"/>
          <w:color w:val="auto"/>
          <w:kern w:val="0"/>
          <w:sz w:val="24"/>
          <w:szCs w:val="24"/>
          <w:highlight w:val="none"/>
          <w:u w:val="single"/>
          <w:lang w:val="en-US" w:eastAsia="zh-CN" w:bidi="ar-SA"/>
        </w:rPr>
        <w:t>。</w:t>
      </w:r>
    </w:p>
    <w:p w14:paraId="31151A1E">
      <w:pPr>
        <w:pStyle w:val="32"/>
        <w:pageBreakBefore w:val="0"/>
        <w:wordWrap w:val="0"/>
        <w:overflowPunct/>
        <w:topLinePunct w:val="0"/>
        <w:bidi w:val="0"/>
        <w:adjustRightInd w:val="0"/>
        <w:snapToGrid w:val="0"/>
        <w:spacing w:beforeAutospacing="0" w:afterAutospacing="0" w:line="360" w:lineRule="auto"/>
        <w:ind w:left="0" w:leftChars="0" w:firstLine="480" w:firstLineChars="200"/>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rPr>
        <w:t>1.1.2 建设内容和规模：</w:t>
      </w:r>
      <w:r>
        <w:rPr>
          <w:rFonts w:hint="eastAsia" w:ascii="宋体" w:hAnsi="宋体" w:eastAsia="宋体" w:cs="宋体"/>
          <w:b w:val="0"/>
          <w:bCs w:val="0"/>
          <w:snapToGrid w:val="0"/>
          <w:color w:val="auto"/>
          <w:kern w:val="0"/>
          <w:sz w:val="24"/>
          <w:szCs w:val="24"/>
          <w:highlight w:val="none"/>
          <w:lang w:val="en-US" w:eastAsia="zh-CN"/>
        </w:rPr>
        <w:t>1.楼道设施更新：修缮楼道墙面面积约8933平方米；安装普通照明线路约3000米并配套荧光灯133套，增设应急照明线路约3000米及应急灯具133套；消防栓249套，更新消防立管约2533米。2.小区公共基础设施更新：配置场地监控设备约55套，实施路面硬化面积约5500平方米，其中改造道路硬化面积约980平方米。3.附属配套公共基础设施提升改造：附属工程围墙约200米。</w:t>
      </w:r>
    </w:p>
    <w:p w14:paraId="1DECE7A1">
      <w:pPr>
        <w:pStyle w:val="32"/>
        <w:pageBreakBefore w:val="0"/>
        <w:wordWrap w:val="0"/>
        <w:overflowPunct/>
        <w:topLinePunct w:val="0"/>
        <w:bidi w:val="0"/>
        <w:adjustRightInd w:val="0"/>
        <w:snapToGrid w:val="0"/>
        <w:spacing w:beforeAutospacing="0" w:afterAutospacing="0" w:line="360" w:lineRule="auto"/>
        <w:ind w:left="0" w:leftChars="0" w:firstLine="482" w:firstLineChars="200"/>
        <w:jc w:val="left"/>
        <w:rPr>
          <w:rFonts w:hint="eastAsia" w:ascii="宋体" w:hAnsi="宋体" w:eastAsia="宋体" w:cs="宋体"/>
          <w:snapToGrid w:val="0"/>
          <w:color w:val="auto"/>
          <w:kern w:val="0"/>
          <w:sz w:val="24"/>
          <w:szCs w:val="24"/>
          <w:highlight w:val="none"/>
          <w:u w:val="single"/>
          <w:lang w:val="en-US" w:eastAsia="zh-CN"/>
        </w:rPr>
      </w:pPr>
      <w:r>
        <w:rPr>
          <w:rFonts w:hint="eastAsia" w:ascii="宋体" w:hAnsi="宋体" w:eastAsia="宋体" w:cs="宋体"/>
          <w:b/>
          <w:bCs/>
          <w:snapToGrid w:val="0"/>
          <w:color w:val="auto"/>
          <w:kern w:val="0"/>
          <w:sz w:val="24"/>
          <w:szCs w:val="24"/>
          <w:highlight w:val="none"/>
        </w:rPr>
        <w:t>1.1.3</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none"/>
        </w:rPr>
        <w:t>项目</w:t>
      </w:r>
      <w:r>
        <w:rPr>
          <w:rFonts w:hint="eastAsia" w:ascii="宋体" w:hAnsi="宋体" w:eastAsia="宋体" w:cs="宋体"/>
          <w:snapToGrid w:val="0"/>
          <w:color w:val="auto"/>
          <w:kern w:val="0"/>
          <w:sz w:val="24"/>
          <w:szCs w:val="24"/>
          <w:highlight w:val="none"/>
          <w:u w:val="none"/>
          <w:lang w:eastAsia="zh-CN"/>
        </w:rPr>
        <w:t>总</w:t>
      </w:r>
      <w:r>
        <w:rPr>
          <w:rFonts w:hint="eastAsia" w:ascii="宋体" w:hAnsi="宋体" w:eastAsia="宋体" w:cs="宋体"/>
          <w:snapToGrid w:val="0"/>
          <w:color w:val="auto"/>
          <w:kern w:val="0"/>
          <w:sz w:val="24"/>
          <w:szCs w:val="24"/>
          <w:highlight w:val="none"/>
          <w:u w:val="none"/>
        </w:rPr>
        <w:t>投资</w:t>
      </w:r>
      <w:r>
        <w:rPr>
          <w:rFonts w:hint="eastAsia" w:ascii="宋体" w:hAnsi="宋体" w:eastAsia="宋体" w:cs="宋体"/>
          <w:color w:val="auto"/>
          <w:kern w:val="0"/>
          <w:sz w:val="24"/>
          <w:szCs w:val="24"/>
          <w:highlight w:val="none"/>
          <w:u w:val="none"/>
          <w:lang w:val="en-US" w:eastAsia="zh-CN"/>
        </w:rPr>
        <w:t>：项目概算总投资477.87万元，其中工程费用421.78万元，工程建设其他费用33.33万元，预备费用22.76万元。</w:t>
      </w:r>
    </w:p>
    <w:p w14:paraId="003B1FE0">
      <w:pPr>
        <w:pStyle w:val="32"/>
        <w:pageBreakBefore w:val="0"/>
        <w:wordWrap w:val="0"/>
        <w:overflowPunct/>
        <w:topLinePunct w:val="0"/>
        <w:bidi w:val="0"/>
        <w:adjustRightInd w:val="0"/>
        <w:snapToGrid w:val="0"/>
        <w:spacing w:beforeAutospacing="0" w:afterAutospacing="0" w:line="360" w:lineRule="auto"/>
        <w:ind w:left="0" w:leftChars="0" w:firstLine="482" w:firstLineChars="200"/>
        <w:jc w:val="left"/>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1.2 </w:t>
      </w:r>
      <w:r>
        <w:rPr>
          <w:rFonts w:hint="eastAsia" w:ascii="宋体" w:hAnsi="宋体" w:eastAsia="宋体" w:cs="宋体"/>
          <w:snapToGrid w:val="0"/>
          <w:color w:val="auto"/>
          <w:kern w:val="0"/>
          <w:sz w:val="24"/>
          <w:szCs w:val="24"/>
          <w:highlight w:val="none"/>
        </w:rPr>
        <w:t>招标范围和标段划分</w:t>
      </w:r>
    </w:p>
    <w:p w14:paraId="0E2927B2">
      <w:pPr>
        <w:pStyle w:val="32"/>
        <w:pageBreakBefore w:val="0"/>
        <w:wordWrap w:val="0"/>
        <w:overflowPunct/>
        <w:topLinePunct w:val="0"/>
        <w:bidi w:val="0"/>
        <w:adjustRightInd w:val="0"/>
        <w:snapToGrid w:val="0"/>
        <w:spacing w:beforeAutospacing="0" w:afterAutospacing="0" w:line="360" w:lineRule="auto"/>
        <w:ind w:left="0" w:leftChars="0" w:firstLine="482" w:firstLineChars="200"/>
        <w:jc w:val="left"/>
        <w:rPr>
          <w:rFonts w:hint="eastAsia" w:ascii="宋体" w:hAnsi="宋体" w:eastAsia="宋体" w:cs="宋体"/>
          <w:color w:val="auto"/>
          <w:kern w:val="0"/>
          <w:sz w:val="24"/>
          <w:szCs w:val="24"/>
          <w:highlight w:val="none"/>
          <w:u w:val="single"/>
          <w:lang w:val="en-US" w:eastAsia="zh-CN"/>
        </w:rPr>
      </w:pPr>
      <w:r>
        <w:rPr>
          <w:rFonts w:hint="eastAsia" w:ascii="宋体" w:hAnsi="宋体" w:eastAsia="宋体" w:cs="宋体"/>
          <w:b/>
          <w:bCs/>
          <w:snapToGrid w:val="0"/>
          <w:color w:val="auto"/>
          <w:kern w:val="0"/>
          <w:sz w:val="24"/>
          <w:szCs w:val="24"/>
          <w:highlight w:val="none"/>
        </w:rPr>
        <w:t>1.2.1</w:t>
      </w:r>
      <w:r>
        <w:rPr>
          <w:rFonts w:hint="eastAsia" w:ascii="宋体" w:hAnsi="宋体" w:eastAsia="宋体" w:cs="宋体"/>
          <w:snapToGrid w:val="0"/>
          <w:color w:val="auto"/>
          <w:kern w:val="0"/>
          <w:sz w:val="24"/>
          <w:szCs w:val="24"/>
          <w:highlight w:val="none"/>
        </w:rPr>
        <w:t xml:space="preserve"> 招标范围：</w:t>
      </w:r>
      <w:r>
        <w:rPr>
          <w:rFonts w:hint="eastAsia" w:ascii="宋体" w:hAnsi="宋体" w:eastAsia="宋体" w:cs="宋体"/>
          <w:snapToGrid w:val="0"/>
          <w:color w:val="auto"/>
          <w:kern w:val="0"/>
          <w:sz w:val="24"/>
          <w:szCs w:val="24"/>
          <w:highlight w:val="none"/>
          <w:u w:val="single"/>
        </w:rPr>
        <w:t>施工图纸和工程量清单范围内等所有工程</w:t>
      </w:r>
      <w:r>
        <w:rPr>
          <w:rFonts w:hint="eastAsia" w:ascii="宋体" w:hAnsi="宋体" w:eastAsia="宋体" w:cs="宋体"/>
          <w:snapToGrid w:val="0"/>
          <w:color w:val="auto"/>
          <w:kern w:val="0"/>
          <w:sz w:val="24"/>
          <w:szCs w:val="24"/>
          <w:highlight w:val="none"/>
          <w:u w:val="single"/>
          <w:lang w:eastAsia="zh-CN"/>
        </w:rPr>
        <w:t>施工</w:t>
      </w:r>
      <w:r>
        <w:rPr>
          <w:rFonts w:hint="eastAsia" w:ascii="宋体" w:hAnsi="宋体" w:eastAsia="宋体" w:cs="宋体"/>
          <w:color w:val="auto"/>
          <w:kern w:val="0"/>
          <w:sz w:val="24"/>
          <w:szCs w:val="24"/>
          <w:highlight w:val="none"/>
          <w:u w:val="single"/>
          <w:lang w:val="en-US" w:eastAsia="zh-CN"/>
        </w:rPr>
        <w:t>。</w:t>
      </w:r>
    </w:p>
    <w:p w14:paraId="61F10702">
      <w:pPr>
        <w:pStyle w:val="32"/>
        <w:pageBreakBefore w:val="0"/>
        <w:wordWrap w:val="0"/>
        <w:overflowPunct/>
        <w:topLinePunct w:val="0"/>
        <w:bidi w:val="0"/>
        <w:adjustRightInd w:val="0"/>
        <w:snapToGrid w:val="0"/>
        <w:spacing w:beforeAutospacing="0" w:afterAutospacing="0" w:line="360" w:lineRule="auto"/>
        <w:ind w:left="0" w:leftChars="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 xml:space="preserve">1.2.2 </w:t>
      </w:r>
      <w:r>
        <w:rPr>
          <w:rFonts w:hint="eastAsia" w:ascii="宋体" w:hAnsi="宋体" w:eastAsia="宋体" w:cs="宋体"/>
          <w:snapToGrid w:val="0"/>
          <w:color w:val="auto"/>
          <w:kern w:val="0"/>
          <w:sz w:val="24"/>
          <w:szCs w:val="24"/>
          <w:highlight w:val="none"/>
        </w:rPr>
        <w:t>标段划分：</w:t>
      </w:r>
      <w:r>
        <w:rPr>
          <w:rFonts w:hint="eastAsia" w:ascii="宋体" w:hAnsi="宋体" w:eastAsia="宋体" w:cs="宋体"/>
          <w:snapToGrid w:val="0"/>
          <w:color w:val="auto"/>
          <w:kern w:val="0"/>
          <w:sz w:val="24"/>
          <w:szCs w:val="24"/>
          <w:highlight w:val="none"/>
          <w:u w:val="single"/>
        </w:rPr>
        <w:t>本招标</w:t>
      </w:r>
      <w:r>
        <w:rPr>
          <w:rFonts w:hint="eastAsia" w:ascii="宋体" w:hAnsi="宋体" w:eastAsia="宋体" w:cs="宋体"/>
          <w:snapToGrid w:val="0"/>
          <w:color w:val="auto"/>
          <w:kern w:val="0"/>
          <w:sz w:val="24"/>
          <w:szCs w:val="24"/>
          <w:highlight w:val="none"/>
          <w:u w:val="single"/>
          <w:lang w:eastAsia="zh-CN"/>
        </w:rPr>
        <w:t>项目</w:t>
      </w:r>
      <w:r>
        <w:rPr>
          <w:rFonts w:hint="eastAsia" w:ascii="宋体" w:hAnsi="宋体" w:eastAsia="宋体" w:cs="宋体"/>
          <w:snapToGrid w:val="0"/>
          <w:color w:val="auto"/>
          <w:kern w:val="0"/>
          <w:sz w:val="24"/>
          <w:szCs w:val="24"/>
          <w:highlight w:val="none"/>
          <w:u w:val="single"/>
        </w:rPr>
        <w:t>不划分标段。</w:t>
      </w:r>
    </w:p>
    <w:p w14:paraId="1F2A8CA3">
      <w:pPr>
        <w:pageBreakBefore w:val="0"/>
        <w:tabs>
          <w:tab w:val="left" w:pos="7020"/>
        </w:tabs>
        <w:wordWrap w:val="0"/>
        <w:overflowPunct/>
        <w:topLinePunct w:val="0"/>
        <w:bidi w:val="0"/>
        <w:adjustRightInd w:val="0"/>
        <w:snapToGrid w:val="0"/>
        <w:spacing w:beforeAutospacing="0" w:afterAutospacing="0" w:line="360" w:lineRule="auto"/>
        <w:ind w:left="0" w:leftChars="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1.3</w:t>
      </w:r>
      <w:r>
        <w:rPr>
          <w:rFonts w:hint="eastAsia" w:ascii="宋体" w:hAnsi="宋体" w:eastAsia="宋体" w:cs="宋体"/>
          <w:snapToGrid w:val="0"/>
          <w:color w:val="auto"/>
          <w:kern w:val="0"/>
          <w:sz w:val="24"/>
          <w:szCs w:val="24"/>
          <w:highlight w:val="none"/>
        </w:rPr>
        <w:t xml:space="preserve"> 投标费用：</w:t>
      </w:r>
      <w:r>
        <w:rPr>
          <w:rFonts w:hint="eastAsia" w:ascii="宋体" w:hAnsi="宋体" w:eastAsia="宋体" w:cs="宋体"/>
          <w:snapToGrid w:val="0"/>
          <w:color w:val="auto"/>
          <w:kern w:val="0"/>
          <w:sz w:val="24"/>
          <w:szCs w:val="24"/>
          <w:highlight w:val="none"/>
          <w:u w:val="single"/>
        </w:rPr>
        <w:t>投标人应承担所有准备和参加投标的相关费用，不论投标结果如何，招标人均无义务和责任承担这些费用。</w:t>
      </w:r>
    </w:p>
    <w:p w14:paraId="0DAECF25">
      <w:pPr>
        <w:pStyle w:val="5"/>
        <w:pageBreakBefore w:val="0"/>
        <w:wordWrap w:val="0"/>
        <w:overflowPunct/>
        <w:topLinePunct w:val="0"/>
        <w:bidi w:val="0"/>
        <w:snapToGrid w:val="0"/>
        <w:spacing w:before="0" w:beforeLines="0" w:beforeAutospacing="0" w:after="0" w:afterLines="0" w:afterAutospacing="0" w:line="360" w:lineRule="auto"/>
        <w:ind w:left="0" w:leftChars="0" w:firstLine="482" w:firstLineChars="200"/>
        <w:jc w:val="both"/>
        <w:rPr>
          <w:rFonts w:hint="eastAsia" w:ascii="宋体" w:hAnsi="宋体" w:eastAsia="宋体" w:cs="宋体"/>
          <w:b/>
          <w:snapToGrid w:val="0"/>
          <w:color w:val="auto"/>
          <w:sz w:val="24"/>
          <w:szCs w:val="24"/>
          <w:highlight w:val="none"/>
        </w:rPr>
      </w:pPr>
      <w:bookmarkStart w:id="15" w:name="_Toc11624"/>
      <w:bookmarkStart w:id="16" w:name="_Toc28907"/>
      <w:r>
        <w:rPr>
          <w:rFonts w:hint="eastAsia" w:ascii="宋体" w:hAnsi="宋体" w:eastAsia="宋体" w:cs="宋体"/>
          <w:b/>
          <w:snapToGrid w:val="0"/>
          <w:color w:val="auto"/>
          <w:sz w:val="24"/>
          <w:szCs w:val="24"/>
          <w:highlight w:val="none"/>
        </w:rPr>
        <w:t>2．投标人资格要求</w:t>
      </w:r>
      <w:bookmarkEnd w:id="15"/>
      <w:bookmarkEnd w:id="16"/>
      <w:bookmarkStart w:id="17" w:name="_Hlt74496495"/>
      <w:bookmarkEnd w:id="17"/>
    </w:p>
    <w:p w14:paraId="2D780CD8">
      <w:pPr>
        <w:pStyle w:val="32"/>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2"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eastAsia="zh-CN"/>
        </w:rPr>
        <w:t>2</w:t>
      </w:r>
      <w:r>
        <w:rPr>
          <w:rFonts w:hint="eastAsia" w:ascii="宋体" w:hAnsi="宋体" w:eastAsia="宋体" w:cs="宋体"/>
          <w:b/>
          <w:bCs/>
          <w:color w:val="auto"/>
          <w:kern w:val="0"/>
          <w:sz w:val="24"/>
          <w:szCs w:val="24"/>
          <w:highlight w:val="none"/>
        </w:rPr>
        <w:t>.1</w:t>
      </w:r>
      <w:r>
        <w:rPr>
          <w:rFonts w:hint="eastAsia" w:ascii="宋体" w:hAnsi="宋体" w:eastAsia="宋体" w:cs="宋体"/>
          <w:color w:val="auto"/>
          <w:kern w:val="0"/>
          <w:sz w:val="24"/>
          <w:szCs w:val="24"/>
          <w:highlight w:val="none"/>
        </w:rPr>
        <w:t>本次招标</w:t>
      </w:r>
      <w:r>
        <w:rPr>
          <w:rFonts w:hint="eastAsia" w:ascii="宋体" w:hAnsi="宋体" w:eastAsia="宋体" w:cs="宋体"/>
          <w:b/>
          <w:bCs/>
          <w:color w:val="auto"/>
          <w:kern w:val="0"/>
          <w:sz w:val="24"/>
          <w:szCs w:val="24"/>
          <w:highlight w:val="none"/>
        </w:rPr>
        <w:t>接受</w:t>
      </w:r>
      <w:r>
        <w:rPr>
          <w:rFonts w:hint="eastAsia" w:ascii="宋体" w:hAnsi="宋体" w:eastAsia="宋体" w:cs="宋体"/>
          <w:color w:val="auto"/>
          <w:kern w:val="0"/>
          <w:sz w:val="24"/>
          <w:szCs w:val="24"/>
          <w:highlight w:val="none"/>
        </w:rPr>
        <w:t>联合体投标，联合体以一个投标人的身份共同投标。</w:t>
      </w:r>
    </w:p>
    <w:p w14:paraId="3AE686E0">
      <w:pPr>
        <w:pStyle w:val="32"/>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afterAutospacing="0" w:line="360" w:lineRule="auto"/>
        <w:ind w:left="0" w:leftChars="0"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rPr>
        <w:t>2.1.1</w:t>
      </w:r>
      <w:r>
        <w:rPr>
          <w:rFonts w:hint="eastAsia" w:ascii="宋体" w:hAnsi="宋体" w:eastAsia="宋体" w:cs="宋体"/>
          <w:color w:val="auto"/>
          <w:sz w:val="24"/>
          <w:szCs w:val="24"/>
          <w:highlight w:val="none"/>
        </w:rPr>
        <w:t>联合体成员数量不超过</w:t>
      </w:r>
      <w:r>
        <w:rPr>
          <w:rFonts w:hint="eastAsia" w:ascii="宋体" w:hAnsi="宋体" w:eastAsia="宋体" w:cs="宋体"/>
          <w:color w:val="auto"/>
          <w:sz w:val="24"/>
          <w:szCs w:val="24"/>
          <w:highlight w:val="none"/>
          <w:u w:val="single"/>
          <w:lang w:val="en-US" w:eastAsia="zh-CN"/>
        </w:rPr>
        <w:t xml:space="preserve"> 2 </w:t>
      </w:r>
      <w:r>
        <w:rPr>
          <w:rFonts w:hint="eastAsia" w:ascii="宋体" w:hAnsi="宋体" w:eastAsia="宋体" w:cs="宋体"/>
          <w:color w:val="auto"/>
          <w:sz w:val="24"/>
          <w:szCs w:val="24"/>
          <w:highlight w:val="none"/>
        </w:rPr>
        <w:t>个。</w:t>
      </w:r>
    </w:p>
    <w:p w14:paraId="233903DE">
      <w:pPr>
        <w:pStyle w:val="32"/>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afterAutospacing="0" w:line="360" w:lineRule="auto"/>
        <w:ind w:left="0" w:leftChars="0"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rPr>
        <w:t xml:space="preserve">2.1.2 </w:t>
      </w:r>
      <w:r>
        <w:rPr>
          <w:rFonts w:hint="eastAsia" w:ascii="宋体" w:hAnsi="宋体" w:eastAsia="宋体" w:cs="宋体"/>
          <w:color w:val="auto"/>
          <w:sz w:val="24"/>
          <w:szCs w:val="24"/>
          <w:highlight w:val="none"/>
        </w:rPr>
        <w:t>联合体各方应按招标文件提供的格式签订联合体协议书，明确联合体牵头人和各方权利义务，并承诺就中标项目向招标人承担连带责任。《联合体协议书》作为投标文件的组成部分向招标人提交。</w:t>
      </w:r>
    </w:p>
    <w:p w14:paraId="11A09923">
      <w:pPr>
        <w:pStyle w:val="32"/>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afterAutospacing="0" w:line="360" w:lineRule="auto"/>
        <w:ind w:left="0" w:leftChars="0"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rPr>
        <w:t>2.1.3</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联合体成员单位均应具备拟承担的工作内容（以《联合体协议书》的约定为准）所规定的资格条件。若同一工作内容由两个或两个以上单位共同承担，该项工作内容按照资质等级较低的单位确定联合体资质等级。</w:t>
      </w:r>
    </w:p>
    <w:p w14:paraId="2619C637">
      <w:pPr>
        <w:pStyle w:val="32"/>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rPr>
        <w:t>2.1.4</w:t>
      </w:r>
      <w:r>
        <w:rPr>
          <w:rFonts w:hint="eastAsia" w:ascii="宋体" w:hAnsi="宋体" w:eastAsia="宋体" w:cs="宋体"/>
          <w:color w:val="auto"/>
          <w:sz w:val="24"/>
          <w:szCs w:val="24"/>
          <w:highlight w:val="none"/>
        </w:rPr>
        <w:t>联合体各方不得再以自己名义单独或参加其他联合体在本招标项目中投标，否则各相关投标均无效。</w:t>
      </w:r>
    </w:p>
    <w:p w14:paraId="0AE910B5">
      <w:pPr>
        <w:pStyle w:val="32"/>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bidi="ar-SA"/>
        </w:rPr>
        <w:t xml:space="preserve">2.2 </w:t>
      </w:r>
      <w:r>
        <w:rPr>
          <w:rFonts w:hint="eastAsia" w:ascii="宋体" w:hAnsi="宋体" w:eastAsia="宋体" w:cs="宋体"/>
          <w:color w:val="auto"/>
          <w:sz w:val="24"/>
          <w:szCs w:val="24"/>
          <w:highlight w:val="none"/>
        </w:rPr>
        <w:t>资质要求</w:t>
      </w:r>
    </w:p>
    <w:p w14:paraId="375D1A77">
      <w:pPr>
        <w:pStyle w:val="32"/>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bidi="ar-SA"/>
        </w:rPr>
        <w:t xml:space="preserve">2.2.1 </w:t>
      </w:r>
      <w:r>
        <w:rPr>
          <w:rFonts w:hint="eastAsia" w:ascii="宋体" w:hAnsi="宋体" w:eastAsia="宋体" w:cs="宋体"/>
          <w:color w:val="auto"/>
          <w:sz w:val="24"/>
          <w:szCs w:val="24"/>
          <w:highlight w:val="none"/>
        </w:rPr>
        <w:t>投标人须具备独立法人资格，按国家法律经营。</w:t>
      </w:r>
    </w:p>
    <w:p w14:paraId="09F227B6">
      <w:pPr>
        <w:pStyle w:val="32"/>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bidi="ar-SA"/>
        </w:rPr>
        <w:t xml:space="preserve">2.2.2 </w:t>
      </w:r>
      <w:r>
        <w:rPr>
          <w:rFonts w:hint="eastAsia" w:ascii="宋体" w:hAnsi="宋体" w:eastAsia="宋体" w:cs="宋体"/>
          <w:color w:val="auto"/>
          <w:sz w:val="24"/>
          <w:szCs w:val="24"/>
          <w:highlight w:val="none"/>
        </w:rPr>
        <w:t>投标人须持有行政主管部门颁发的企业资质证书。</w:t>
      </w:r>
    </w:p>
    <w:p w14:paraId="534BD69D">
      <w:pPr>
        <w:pStyle w:val="32"/>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bidi="ar-SA"/>
        </w:rPr>
        <w:t xml:space="preserve">2.2.3 </w:t>
      </w:r>
      <w:r>
        <w:rPr>
          <w:rFonts w:hint="eastAsia" w:ascii="宋体" w:hAnsi="宋体" w:eastAsia="宋体" w:cs="宋体"/>
          <w:color w:val="auto"/>
          <w:sz w:val="24"/>
          <w:szCs w:val="24"/>
          <w:highlight w:val="none"/>
        </w:rPr>
        <w:t>参加投标的投标人可以是单</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独立法人或由不超过</w:t>
      </w:r>
      <w:r>
        <w:rPr>
          <w:rFonts w:hint="eastAsia" w:ascii="宋体" w:hAnsi="宋体" w:eastAsia="宋体" w:cs="宋体"/>
          <w:color w:val="auto"/>
          <w:sz w:val="24"/>
          <w:szCs w:val="24"/>
          <w:highlight w:val="none"/>
          <w:u w:val="single"/>
          <w:lang w:val="en-US" w:eastAsia="zh-CN"/>
        </w:rPr>
        <w:t xml:space="preserve"> 2 </w:t>
      </w:r>
      <w:r>
        <w:rPr>
          <w:rFonts w:hint="eastAsia" w:ascii="宋体" w:hAnsi="宋体" w:eastAsia="宋体" w:cs="宋体"/>
          <w:color w:val="auto"/>
          <w:sz w:val="24"/>
          <w:szCs w:val="24"/>
          <w:highlight w:val="none"/>
        </w:rPr>
        <w:t>家独立法人组成的联合体（必须注明其中一家为牵头人），联合体各方不得再以自己的名义单独申请，也不得同时参加两个或两个以上的联合体进行本项目的投标。单一独立法人必须至少具备以下①资质，组成联合体投标的，联合后必须至少具备以下①资质，联合体牵头人必须</w:t>
      </w:r>
      <w:r>
        <w:rPr>
          <w:rFonts w:hint="eastAsia" w:ascii="宋体" w:hAnsi="宋体" w:eastAsia="宋体" w:cs="宋体"/>
          <w:color w:val="auto"/>
          <w:sz w:val="24"/>
          <w:szCs w:val="24"/>
          <w:highlight w:val="none"/>
          <w:lang w:val="en-US" w:eastAsia="zh-CN"/>
        </w:rPr>
        <w:t>为</w:t>
      </w:r>
      <w:r>
        <w:rPr>
          <w:rFonts w:hint="eastAsia" w:ascii="宋体" w:hAnsi="宋体" w:eastAsia="宋体" w:cs="宋体"/>
          <w:color w:val="auto"/>
          <w:sz w:val="24"/>
          <w:szCs w:val="24"/>
          <w:highlight w:val="none"/>
          <w:u w:val="single"/>
          <w:lang w:val="en-US" w:eastAsia="zh-CN"/>
        </w:rPr>
        <w:t>施工单位</w:t>
      </w:r>
      <w:r>
        <w:rPr>
          <w:rFonts w:hint="eastAsia" w:ascii="宋体" w:hAnsi="宋体" w:eastAsia="宋体" w:cs="宋体"/>
          <w:color w:val="auto"/>
          <w:sz w:val="24"/>
          <w:szCs w:val="24"/>
          <w:highlight w:val="none"/>
        </w:rPr>
        <w:t>，由同一专业的单位组成的联合体，按照资质等级较低的单位确定资质等级：</w:t>
      </w:r>
    </w:p>
    <w:p w14:paraId="1E6BAD3E">
      <w:pPr>
        <w:keepNext w:val="0"/>
        <w:keepLines w:val="0"/>
        <w:pageBreakBefore w:val="0"/>
        <w:kinsoku/>
        <w:wordWrap/>
        <w:overflowPunct/>
        <w:topLinePunct w:val="0"/>
        <w:autoSpaceDE/>
        <w:autoSpaceDN/>
        <w:bidi w:val="0"/>
        <w:adjustRightInd/>
        <w:snapToGrid w:val="0"/>
        <w:spacing w:beforeAutospacing="0" w:afterAutospacing="0" w:line="360" w:lineRule="auto"/>
        <w:ind w:left="0" w:leftChars="0"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①施工资质：</w:t>
      </w:r>
      <w:r>
        <w:rPr>
          <w:rFonts w:hint="eastAsia" w:ascii="宋体" w:hAnsi="宋体" w:eastAsia="宋体" w:cs="宋体"/>
          <w:b/>
          <w:bCs/>
          <w:snapToGrid w:val="0"/>
          <w:color w:val="auto"/>
          <w:kern w:val="0"/>
          <w:sz w:val="24"/>
          <w:szCs w:val="24"/>
          <w:highlight w:val="none"/>
          <w:u w:val="single"/>
        </w:rPr>
        <w:t>市政公用工程施工总承包三级以上（含三级）</w:t>
      </w:r>
      <w:r>
        <w:rPr>
          <w:rFonts w:hint="eastAsia" w:ascii="宋体" w:hAnsi="宋体" w:eastAsia="宋体" w:cs="宋体"/>
          <w:b/>
          <w:bCs/>
          <w:color w:val="000000"/>
          <w:sz w:val="24"/>
          <w:szCs w:val="24"/>
          <w:highlight w:val="none"/>
          <w:u w:val="single"/>
          <w:lang w:eastAsia="zh-CN"/>
        </w:rPr>
        <w:t>。</w:t>
      </w:r>
    </w:p>
    <w:p w14:paraId="0A0BE571">
      <w:pPr>
        <w:pStyle w:val="32"/>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bidi="ar-SA"/>
        </w:rPr>
        <w:t xml:space="preserve">2.3 </w:t>
      </w:r>
      <w:r>
        <w:rPr>
          <w:rFonts w:hint="eastAsia" w:ascii="宋体" w:hAnsi="宋体" w:eastAsia="宋体" w:cs="宋体"/>
          <w:color w:val="auto"/>
          <w:sz w:val="24"/>
          <w:szCs w:val="24"/>
          <w:highlight w:val="none"/>
        </w:rPr>
        <w:t>相关人员要求</w:t>
      </w:r>
    </w:p>
    <w:p w14:paraId="1260F9BD">
      <w:pPr>
        <w:pStyle w:val="32"/>
        <w:pageBreakBefore w:val="0"/>
        <w:wordWrap w:val="0"/>
        <w:overflowPunct/>
        <w:topLinePunct w:val="0"/>
        <w:bidi w:val="0"/>
        <w:adjustRightInd w:val="0"/>
        <w:snapToGrid w:val="0"/>
        <w:spacing w:beforeAutospacing="0" w:afterAutospacing="0" w:line="360" w:lineRule="auto"/>
        <w:ind w:left="0" w:leftChars="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SA"/>
        </w:rPr>
        <w:t xml:space="preserve">2.3.1 </w:t>
      </w:r>
      <w:r>
        <w:rPr>
          <w:rFonts w:hint="eastAsia" w:ascii="宋体" w:hAnsi="宋体" w:eastAsia="宋体" w:cs="宋体"/>
          <w:snapToGrid w:val="0"/>
          <w:color w:val="auto"/>
          <w:kern w:val="0"/>
          <w:sz w:val="24"/>
          <w:szCs w:val="24"/>
          <w:highlight w:val="none"/>
        </w:rPr>
        <w:t>拟派项目经理为</w:t>
      </w:r>
      <w:r>
        <w:rPr>
          <w:rFonts w:hint="eastAsia" w:ascii="宋体" w:hAnsi="宋体" w:eastAsia="宋体" w:cs="宋体"/>
          <w:b/>
          <w:bCs/>
          <w:snapToGrid w:val="0"/>
          <w:color w:val="auto"/>
          <w:kern w:val="0"/>
          <w:sz w:val="24"/>
          <w:szCs w:val="24"/>
          <w:highlight w:val="none"/>
          <w:u w:val="single"/>
        </w:rPr>
        <w:t>市政公用工程</w:t>
      </w:r>
      <w:r>
        <w:rPr>
          <w:rFonts w:hint="eastAsia" w:ascii="宋体" w:hAnsi="宋体" w:eastAsia="宋体" w:cs="宋体"/>
          <w:snapToGrid w:val="0"/>
          <w:color w:val="auto"/>
          <w:kern w:val="0"/>
          <w:sz w:val="24"/>
          <w:szCs w:val="24"/>
          <w:highlight w:val="none"/>
        </w:rPr>
        <w:t>专业一级或二级注册建造师，应持有住建部门印发的在使用有效期内的有效电子注册证书，同时须具备有效安全生产考核合格证明（B证，安全生产考核合格证书或“广东省建筑施工企业管理人员安全生产考核信息系统”考核合格信息打印页），且未担任其他在施（包括已中标未开工、已建成未竣工）建设工程项目的项目经理。</w:t>
      </w:r>
    </w:p>
    <w:p w14:paraId="47AB66D3">
      <w:pPr>
        <w:pStyle w:val="32"/>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rPr>
          <w:rFonts w:hint="eastAsia" w:ascii="宋体" w:hAnsi="宋体" w:eastAsia="宋体" w:cs="宋体"/>
          <w:color w:val="auto"/>
          <w:sz w:val="24"/>
          <w:szCs w:val="24"/>
          <w:highlight w:val="none"/>
        </w:rPr>
      </w:pPr>
    </w:p>
    <w:p w14:paraId="0A2F6F34">
      <w:pPr>
        <w:pStyle w:val="32"/>
        <w:pageBreakBefore w:val="0"/>
        <w:wordWrap w:val="0"/>
        <w:overflowPunct/>
        <w:topLinePunct w:val="0"/>
        <w:bidi w:val="0"/>
        <w:adjustRightInd w:val="0"/>
        <w:snapToGrid w:val="0"/>
        <w:spacing w:beforeAutospacing="0" w:afterAutospacing="0" w:line="360" w:lineRule="auto"/>
        <w:ind w:left="0" w:leftChars="0" w:firstLine="482" w:firstLineChars="200"/>
        <w:jc w:val="left"/>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rPr>
        <w:t>2.3.2</w:t>
      </w:r>
      <w:r>
        <w:rPr>
          <w:rFonts w:hint="eastAsia" w:ascii="宋体" w:hAnsi="宋体" w:eastAsia="宋体" w:cs="宋体"/>
          <w:snapToGrid w:val="0"/>
          <w:color w:val="auto"/>
          <w:kern w:val="0"/>
          <w:sz w:val="24"/>
          <w:szCs w:val="24"/>
          <w:highlight w:val="none"/>
        </w:rPr>
        <w:t>拟派项目技术负责人须具备市政工程类相关专业</w:t>
      </w:r>
      <w:r>
        <w:rPr>
          <w:rFonts w:hint="eastAsia" w:ascii="宋体" w:hAnsi="宋体" w:eastAsia="宋体" w:cs="宋体"/>
          <w:snapToGrid w:val="0"/>
          <w:color w:val="auto"/>
          <w:kern w:val="0"/>
          <w:sz w:val="24"/>
          <w:szCs w:val="24"/>
          <w:highlight w:val="none"/>
          <w:u w:val="single"/>
        </w:rPr>
        <w:t xml:space="preserve"> 中 </w:t>
      </w:r>
      <w:r>
        <w:rPr>
          <w:rFonts w:hint="eastAsia" w:ascii="宋体" w:hAnsi="宋体" w:eastAsia="宋体" w:cs="宋体"/>
          <w:snapToGrid w:val="0"/>
          <w:color w:val="auto"/>
          <w:kern w:val="0"/>
          <w:sz w:val="24"/>
          <w:szCs w:val="24"/>
          <w:highlight w:val="none"/>
        </w:rPr>
        <w:t>级以上（含</w:t>
      </w:r>
      <w:r>
        <w:rPr>
          <w:rFonts w:hint="eastAsia" w:ascii="宋体" w:hAnsi="宋体" w:eastAsia="宋体" w:cs="宋体"/>
          <w:snapToGrid w:val="0"/>
          <w:color w:val="auto"/>
          <w:kern w:val="0"/>
          <w:sz w:val="24"/>
          <w:szCs w:val="24"/>
          <w:highlight w:val="none"/>
          <w:u w:val="single"/>
        </w:rPr>
        <w:t xml:space="preserve"> 中 </w:t>
      </w:r>
      <w:r>
        <w:rPr>
          <w:rFonts w:hint="eastAsia" w:ascii="宋体" w:hAnsi="宋体" w:eastAsia="宋体" w:cs="宋体"/>
          <w:snapToGrid w:val="0"/>
          <w:color w:val="auto"/>
          <w:kern w:val="0"/>
          <w:sz w:val="24"/>
          <w:szCs w:val="24"/>
          <w:highlight w:val="none"/>
        </w:rPr>
        <w:t>级）技术职称。</w:t>
      </w:r>
    </w:p>
    <w:p w14:paraId="2723B102">
      <w:pPr>
        <w:pStyle w:val="32"/>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kern w:val="0"/>
          <w:sz w:val="24"/>
          <w:szCs w:val="24"/>
          <w:highlight w:val="none"/>
          <w:lang w:val="en-US" w:eastAsia="zh-CN"/>
        </w:rPr>
        <w:t xml:space="preserve">2.3.3 </w:t>
      </w:r>
      <w:r>
        <w:rPr>
          <w:rFonts w:hint="eastAsia" w:ascii="宋体" w:hAnsi="宋体" w:eastAsia="宋体" w:cs="宋体"/>
          <w:color w:val="auto"/>
          <w:sz w:val="24"/>
          <w:szCs w:val="24"/>
          <w:highlight w:val="none"/>
        </w:rPr>
        <w:t>拟派专职安全生产管理人员须具备有效安全生产考核合格证明（C证，安全生产考核合格证书或广东省建筑施工企业管理人员安全生产考核系统考核合格信息打印页），且不少于</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rPr>
        <w:t>人。</w:t>
      </w:r>
    </w:p>
    <w:p w14:paraId="49C1F17C">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4 ．禁止投标条款：</w:t>
      </w:r>
    </w:p>
    <w:p w14:paraId="114E5752">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4.1  投标人不得存在下列情形之一：</w:t>
      </w:r>
    </w:p>
    <w:p w14:paraId="27D05588">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（1）为招标人不具有独立法人资格的附属机构（单位）；</w:t>
      </w:r>
    </w:p>
    <w:p w14:paraId="423C9B44">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（2）为本招标项目前期准备提供设计或咨询服务的；</w:t>
      </w:r>
    </w:p>
    <w:p w14:paraId="4C89A19A">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（3）与本招标项目的其他投标人为同一个单位负责人；</w:t>
      </w:r>
    </w:p>
    <w:p w14:paraId="4670EC31">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（4）与本招标项目的其他投标人存在控股、管理关系；</w:t>
      </w:r>
    </w:p>
    <w:p w14:paraId="7B0319E2">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（5）为本招标项目的监理人；</w:t>
      </w:r>
    </w:p>
    <w:p w14:paraId="1E510457">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（6）为本招标项目的代建人；</w:t>
      </w:r>
    </w:p>
    <w:p w14:paraId="3887D460">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（7）为本招标项目的招标代理机构；</w:t>
      </w:r>
    </w:p>
    <w:p w14:paraId="52EC51F9">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（8）与本招标项目的监理人或代建人或招标代理机构同为一个 法定代表人；</w:t>
      </w:r>
    </w:p>
    <w:p w14:paraId="53079197">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（9）与本招标项目的监理人或代建人或招标代理机构存在控股或参股关系；</w:t>
      </w:r>
    </w:p>
    <w:p w14:paraId="7F7A17E9">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（10）与本招标项目的监理人或代建人或招标代理机构存在相互任职或工作关系；</w:t>
      </w:r>
    </w:p>
    <w:p w14:paraId="3814C9ED">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（11）被依法暂停或者取消投标资格；</w:t>
      </w:r>
    </w:p>
    <w:p w14:paraId="5CF89937">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（12）被责令停产停业、暂扣或者吊销许可证、暂扣或者吊销执照；</w:t>
      </w:r>
    </w:p>
    <w:p w14:paraId="25796C6B">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（13）进入清算程序，或被宣告破产，或其他丧失履约能力的情形；</w:t>
      </w:r>
    </w:p>
    <w:p w14:paraId="75CD7C2A">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（14）在最近三年内发生重大工程质量或安全问题（以相关行业主管部门的行政处罚决定或司法机关出具的有关法律文书为准）；</w:t>
      </w:r>
    </w:p>
    <w:p w14:paraId="32D782B8">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（15）被“信用中国 ”网站（https://www.creditchina.gov.cn）发布的《法人和非法人组织公共信用信息报告》列为严重失信主体名单的。</w:t>
      </w:r>
    </w:p>
    <w:p w14:paraId="1A9889D4">
      <w:pPr>
        <w:pStyle w:val="32"/>
        <w:pageBreakBefore w:val="0"/>
        <w:wordWrap w:val="0"/>
        <w:overflowPunct/>
        <w:topLinePunct w:val="0"/>
        <w:bidi w:val="0"/>
        <w:adjustRightInd w:val="0"/>
        <w:snapToGrid w:val="0"/>
        <w:spacing w:beforeAutospacing="0" w:afterAutospacing="0" w:line="360" w:lineRule="auto"/>
        <w:ind w:left="0" w:leftChars="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2.4.2 招标人拒绝以下名单中的单位参加本次投标：</w:t>
      </w:r>
    </w:p>
    <w:tbl>
      <w:tblPr>
        <w:tblStyle w:val="17"/>
        <w:tblW w:w="8528"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4133"/>
        <w:gridCol w:w="3615"/>
      </w:tblGrid>
      <w:tr w14:paraId="5659A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780" w:type="dxa"/>
            <w:noWrap w:val="0"/>
            <w:vAlign w:val="center"/>
          </w:tcPr>
          <w:p w14:paraId="539B84B5">
            <w:pPr>
              <w:pageBreakBefore w:val="0"/>
              <w:wordWrap w:val="0"/>
              <w:overflowPunct/>
              <w:topLinePunct w:val="0"/>
              <w:bidi w:val="0"/>
              <w:adjustRightInd w:val="0"/>
              <w:snapToGrid w:val="0"/>
              <w:spacing w:beforeAutospacing="0" w:afterAutospacing="0"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4133" w:type="dxa"/>
            <w:noWrap w:val="0"/>
            <w:vAlign w:val="center"/>
          </w:tcPr>
          <w:p w14:paraId="3D40B331">
            <w:pPr>
              <w:pageBreakBefore w:val="0"/>
              <w:wordWrap w:val="0"/>
              <w:overflowPunct/>
              <w:topLinePunct w:val="0"/>
              <w:bidi w:val="0"/>
              <w:adjustRightInd w:val="0"/>
              <w:snapToGrid w:val="0"/>
              <w:spacing w:beforeAutospacing="0" w:afterAutospacing="0" w:line="240" w:lineRule="auto"/>
              <w:ind w:left="0" w:leftChars="0" w:firstLine="480" w:firstLineChars="20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3615" w:type="dxa"/>
            <w:noWrap w:val="0"/>
            <w:vAlign w:val="center"/>
          </w:tcPr>
          <w:p w14:paraId="7BE68B0E">
            <w:pPr>
              <w:pageBreakBefore w:val="0"/>
              <w:wordWrap w:val="0"/>
              <w:overflowPunct/>
              <w:topLinePunct w:val="0"/>
              <w:bidi w:val="0"/>
              <w:adjustRightInd w:val="0"/>
              <w:snapToGrid w:val="0"/>
              <w:spacing w:beforeAutospacing="0" w:afterAutospacing="0" w:line="240" w:lineRule="auto"/>
              <w:ind w:left="0" w:leftChars="0" w:firstLine="480" w:firstLineChars="20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39DC3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780" w:type="dxa"/>
            <w:noWrap w:val="0"/>
            <w:vAlign w:val="center"/>
          </w:tcPr>
          <w:p w14:paraId="0D150EDF">
            <w:pPr>
              <w:pStyle w:val="32"/>
              <w:pageBreakBefore w:val="0"/>
              <w:wordWrap w:val="0"/>
              <w:overflowPunct/>
              <w:topLinePunct w:val="0"/>
              <w:bidi w:val="0"/>
              <w:adjustRightInd w:val="0"/>
              <w:snapToGrid w:val="0"/>
              <w:spacing w:beforeAutospacing="0" w:afterAutospacing="0" w:line="240" w:lineRule="auto"/>
              <w:jc w:val="center"/>
              <w:rPr>
                <w:rFonts w:hint="eastAsia" w:ascii="宋体" w:hAnsi="宋体" w:eastAsia="宋体" w:cs="宋体"/>
                <w:iCs/>
                <w:snapToGrid w:val="0"/>
                <w:color w:val="auto"/>
                <w:kern w:val="0"/>
                <w:sz w:val="24"/>
                <w:szCs w:val="24"/>
                <w:highlight w:val="yellow"/>
              </w:rPr>
            </w:pPr>
            <w:r>
              <w:rPr>
                <w:rFonts w:hint="eastAsia" w:ascii="宋体" w:hAnsi="宋体" w:eastAsia="宋体" w:cs="宋体"/>
                <w:iCs/>
                <w:snapToGrid w:val="0"/>
                <w:color w:val="auto"/>
                <w:kern w:val="0"/>
                <w:sz w:val="24"/>
                <w:szCs w:val="24"/>
                <w:highlight w:val="yellow"/>
              </w:rPr>
              <w:t>1</w:t>
            </w:r>
          </w:p>
        </w:tc>
        <w:tc>
          <w:tcPr>
            <w:tcW w:w="4133" w:type="dxa"/>
            <w:noWrap w:val="0"/>
            <w:vAlign w:val="center"/>
          </w:tcPr>
          <w:p w14:paraId="1C23AE8F">
            <w:pPr>
              <w:pageBreakBefore w:val="0"/>
              <w:wordWrap w:val="0"/>
              <w:overflowPunct/>
              <w:topLinePunct w:val="0"/>
              <w:bidi w:val="0"/>
              <w:adjustRightInd w:val="0"/>
              <w:snapToGrid w:val="0"/>
              <w:spacing w:beforeAutospacing="0" w:afterAutospacing="0" w:line="240" w:lineRule="auto"/>
              <w:jc w:val="center"/>
              <w:rPr>
                <w:rFonts w:hint="eastAsia" w:ascii="宋体" w:hAnsi="宋体" w:eastAsia="宋体" w:cs="宋体"/>
                <w:bCs/>
                <w:snapToGrid w:val="0"/>
                <w:color w:val="auto"/>
                <w:kern w:val="0"/>
                <w:sz w:val="24"/>
                <w:szCs w:val="24"/>
                <w:highlight w:val="yellow"/>
                <w:lang w:val="en-US" w:eastAsia="zh-CN" w:bidi="ar-SA"/>
              </w:rPr>
            </w:pPr>
            <w:r>
              <w:rPr>
                <w:rFonts w:hint="eastAsia" w:ascii="宋体" w:hAnsi="宋体" w:eastAsia="宋体" w:cs="宋体"/>
                <w:bCs/>
                <w:snapToGrid w:val="0"/>
                <w:color w:val="auto"/>
                <w:kern w:val="0"/>
                <w:sz w:val="24"/>
                <w:szCs w:val="24"/>
                <w:highlight w:val="none"/>
                <w:lang w:val="en-US" w:eastAsia="zh-CN" w:bidi="ar-SA"/>
              </w:rPr>
              <w:t>首盛国际工程咨询集团有限公司</w:t>
            </w:r>
          </w:p>
        </w:tc>
        <w:tc>
          <w:tcPr>
            <w:tcW w:w="3615" w:type="dxa"/>
            <w:noWrap w:val="0"/>
            <w:vAlign w:val="center"/>
          </w:tcPr>
          <w:p w14:paraId="167A2388">
            <w:pPr>
              <w:pStyle w:val="32"/>
              <w:pageBreakBefore w:val="0"/>
              <w:wordWrap w:val="0"/>
              <w:overflowPunct/>
              <w:topLinePunct w:val="0"/>
              <w:bidi w:val="0"/>
              <w:adjustRightInd w:val="0"/>
              <w:snapToGrid w:val="0"/>
              <w:spacing w:beforeAutospacing="0" w:afterAutospacing="0" w:line="240" w:lineRule="auto"/>
              <w:jc w:val="center"/>
              <w:rPr>
                <w:rFonts w:hint="eastAsia" w:ascii="宋体" w:hAnsi="宋体" w:eastAsia="宋体" w:cs="宋体"/>
                <w:iCs/>
                <w:snapToGrid w:val="0"/>
                <w:color w:val="auto"/>
                <w:kern w:val="0"/>
                <w:sz w:val="24"/>
                <w:szCs w:val="24"/>
                <w:highlight w:val="yellow"/>
                <w:lang w:val="en-US" w:eastAsia="zh-CN" w:bidi="ar-SA"/>
              </w:rPr>
            </w:pPr>
            <w:r>
              <w:rPr>
                <w:rFonts w:hint="eastAsia" w:ascii="宋体" w:hAnsi="宋体" w:eastAsia="宋体" w:cs="宋体"/>
                <w:iCs/>
                <w:snapToGrid w:val="0"/>
                <w:color w:val="auto"/>
                <w:kern w:val="0"/>
                <w:sz w:val="24"/>
                <w:szCs w:val="24"/>
                <w:highlight w:val="none"/>
              </w:rPr>
              <w:t>为本招标项目的造价咨询单位</w:t>
            </w:r>
          </w:p>
        </w:tc>
      </w:tr>
      <w:tr w14:paraId="6A0A4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780" w:type="dxa"/>
            <w:noWrap w:val="0"/>
            <w:vAlign w:val="center"/>
          </w:tcPr>
          <w:p w14:paraId="17FFC688">
            <w:pPr>
              <w:pStyle w:val="32"/>
              <w:pageBreakBefore w:val="0"/>
              <w:wordWrap w:val="0"/>
              <w:overflowPunct/>
              <w:topLinePunct w:val="0"/>
              <w:bidi w:val="0"/>
              <w:adjustRightInd w:val="0"/>
              <w:snapToGrid w:val="0"/>
              <w:spacing w:beforeAutospacing="0" w:afterAutospacing="0" w:line="240" w:lineRule="auto"/>
              <w:jc w:val="center"/>
              <w:rPr>
                <w:rFonts w:hint="eastAsia" w:ascii="宋体" w:hAnsi="宋体" w:eastAsia="宋体" w:cs="宋体"/>
                <w:iCs/>
                <w:snapToGrid w:val="0"/>
                <w:color w:val="auto"/>
                <w:kern w:val="0"/>
                <w:sz w:val="24"/>
                <w:szCs w:val="24"/>
                <w:highlight w:val="yellow"/>
              </w:rPr>
            </w:pPr>
            <w:r>
              <w:rPr>
                <w:rFonts w:hint="eastAsia" w:ascii="宋体" w:hAnsi="宋体" w:eastAsia="宋体" w:cs="宋体"/>
                <w:iCs/>
                <w:snapToGrid w:val="0"/>
                <w:color w:val="auto"/>
                <w:kern w:val="0"/>
                <w:sz w:val="24"/>
                <w:szCs w:val="24"/>
                <w:highlight w:val="yellow"/>
              </w:rPr>
              <w:t>2</w:t>
            </w:r>
          </w:p>
        </w:tc>
        <w:tc>
          <w:tcPr>
            <w:tcW w:w="4133" w:type="dxa"/>
            <w:noWrap w:val="0"/>
            <w:vAlign w:val="center"/>
          </w:tcPr>
          <w:p w14:paraId="78EDCC0E">
            <w:pPr>
              <w:pageBreakBefore w:val="0"/>
              <w:wordWrap w:val="0"/>
              <w:overflowPunct/>
              <w:topLinePunct w:val="0"/>
              <w:bidi w:val="0"/>
              <w:adjustRightInd w:val="0"/>
              <w:snapToGrid w:val="0"/>
              <w:spacing w:beforeAutospacing="0" w:afterAutospacing="0" w:line="240" w:lineRule="auto"/>
              <w:jc w:val="center"/>
              <w:rPr>
                <w:rFonts w:hint="eastAsia" w:ascii="宋体" w:hAnsi="宋体" w:eastAsia="宋体" w:cs="宋体"/>
                <w:iCs/>
                <w:snapToGrid w:val="0"/>
                <w:color w:val="auto"/>
                <w:kern w:val="0"/>
                <w:sz w:val="24"/>
                <w:szCs w:val="24"/>
                <w:highlight w:val="yellow"/>
                <w:lang w:val="en-US" w:eastAsia="zh-CN" w:bidi="ar-SA"/>
              </w:rPr>
            </w:pPr>
            <w:r>
              <w:rPr>
                <w:rFonts w:hint="eastAsia" w:ascii="宋体" w:hAnsi="宋体" w:eastAsia="宋体" w:cs="宋体"/>
                <w:iCs/>
                <w:snapToGrid w:val="0"/>
                <w:color w:val="auto"/>
                <w:kern w:val="0"/>
                <w:sz w:val="24"/>
                <w:szCs w:val="24"/>
                <w:highlight w:val="none"/>
                <w:lang w:val="en-US" w:eastAsia="zh-CN" w:bidi="ar-SA"/>
              </w:rPr>
              <w:t>中联玉德设计咨询有限公司</w:t>
            </w:r>
          </w:p>
        </w:tc>
        <w:tc>
          <w:tcPr>
            <w:tcW w:w="3615" w:type="dxa"/>
            <w:noWrap w:val="0"/>
            <w:vAlign w:val="center"/>
          </w:tcPr>
          <w:p w14:paraId="59039AF7">
            <w:pPr>
              <w:pStyle w:val="32"/>
              <w:pageBreakBefore w:val="0"/>
              <w:wordWrap w:val="0"/>
              <w:overflowPunct/>
              <w:topLinePunct w:val="0"/>
              <w:bidi w:val="0"/>
              <w:adjustRightInd w:val="0"/>
              <w:snapToGrid w:val="0"/>
              <w:spacing w:beforeAutospacing="0" w:afterAutospacing="0" w:line="240" w:lineRule="auto"/>
              <w:jc w:val="center"/>
              <w:rPr>
                <w:rFonts w:hint="eastAsia" w:ascii="宋体" w:hAnsi="宋体" w:eastAsia="宋体" w:cs="宋体"/>
                <w:iCs/>
                <w:snapToGrid w:val="0"/>
                <w:color w:val="auto"/>
                <w:kern w:val="0"/>
                <w:sz w:val="24"/>
                <w:szCs w:val="24"/>
                <w:highlight w:val="yellow"/>
                <w:lang w:val="en-US" w:eastAsia="zh-CN" w:bidi="ar-SA"/>
              </w:rPr>
            </w:pPr>
            <w:r>
              <w:rPr>
                <w:rFonts w:hint="eastAsia" w:ascii="宋体" w:hAnsi="宋体" w:eastAsia="宋体" w:cs="宋体"/>
                <w:iCs/>
                <w:snapToGrid w:val="0"/>
                <w:color w:val="auto"/>
                <w:kern w:val="0"/>
                <w:sz w:val="24"/>
                <w:szCs w:val="24"/>
                <w:highlight w:val="none"/>
              </w:rPr>
              <w:t>为本招标项目的设计单位</w:t>
            </w:r>
          </w:p>
        </w:tc>
      </w:tr>
      <w:tr w14:paraId="4C3BA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780" w:type="dxa"/>
            <w:noWrap w:val="0"/>
            <w:vAlign w:val="center"/>
          </w:tcPr>
          <w:p w14:paraId="0D15C91F">
            <w:pPr>
              <w:pStyle w:val="32"/>
              <w:pageBreakBefore w:val="0"/>
              <w:wordWrap w:val="0"/>
              <w:overflowPunct/>
              <w:topLinePunct w:val="0"/>
              <w:bidi w:val="0"/>
              <w:adjustRightInd w:val="0"/>
              <w:snapToGrid w:val="0"/>
              <w:spacing w:beforeAutospacing="0" w:afterAutospacing="0" w:line="240" w:lineRule="auto"/>
              <w:jc w:val="center"/>
              <w:rPr>
                <w:rFonts w:hint="eastAsia" w:ascii="宋体" w:hAnsi="宋体" w:eastAsia="宋体" w:cs="宋体"/>
                <w:iCs/>
                <w:snapToGrid w:val="0"/>
                <w:color w:val="auto"/>
                <w:kern w:val="0"/>
                <w:sz w:val="24"/>
                <w:szCs w:val="24"/>
                <w:highlight w:val="yellow"/>
              </w:rPr>
            </w:pPr>
            <w:r>
              <w:rPr>
                <w:rFonts w:hint="eastAsia" w:ascii="宋体" w:hAnsi="宋体" w:eastAsia="宋体" w:cs="宋体"/>
                <w:iCs/>
                <w:snapToGrid w:val="0"/>
                <w:color w:val="auto"/>
                <w:kern w:val="0"/>
                <w:sz w:val="24"/>
                <w:szCs w:val="24"/>
                <w:highlight w:val="yellow"/>
              </w:rPr>
              <w:t>3</w:t>
            </w:r>
          </w:p>
        </w:tc>
        <w:tc>
          <w:tcPr>
            <w:tcW w:w="4133" w:type="dxa"/>
            <w:noWrap w:val="0"/>
            <w:vAlign w:val="center"/>
          </w:tcPr>
          <w:p w14:paraId="5B6EAF46">
            <w:pPr>
              <w:pageBreakBefore w:val="0"/>
              <w:wordWrap w:val="0"/>
              <w:overflowPunct/>
              <w:topLinePunct w:val="0"/>
              <w:bidi w:val="0"/>
              <w:adjustRightInd w:val="0"/>
              <w:snapToGrid w:val="0"/>
              <w:spacing w:beforeAutospacing="0" w:afterAutospacing="0" w:line="240" w:lineRule="auto"/>
              <w:jc w:val="center"/>
              <w:rPr>
                <w:rFonts w:hint="eastAsia" w:ascii="宋体" w:hAnsi="宋体" w:eastAsia="宋体" w:cs="宋体"/>
                <w:iCs/>
                <w:snapToGrid w:val="0"/>
                <w:color w:val="auto"/>
                <w:kern w:val="0"/>
                <w:sz w:val="24"/>
                <w:szCs w:val="24"/>
                <w:highlight w:val="yellow"/>
                <w:lang w:val="en-US" w:eastAsia="zh-CN" w:bidi="ar-SA"/>
              </w:rPr>
            </w:pPr>
            <w:r>
              <w:rPr>
                <w:rFonts w:hint="eastAsia" w:ascii="宋体" w:hAnsi="宋体" w:eastAsia="宋体" w:cs="宋体"/>
                <w:color w:val="auto"/>
                <w:sz w:val="24"/>
                <w:szCs w:val="24"/>
                <w:highlight w:val="none"/>
                <w:lang w:eastAsia="zh-CN"/>
              </w:rPr>
              <w:t>广东粤圣项目管理有限公司</w:t>
            </w:r>
          </w:p>
        </w:tc>
        <w:tc>
          <w:tcPr>
            <w:tcW w:w="3615" w:type="dxa"/>
            <w:noWrap w:val="0"/>
            <w:vAlign w:val="center"/>
          </w:tcPr>
          <w:p w14:paraId="1077F952">
            <w:pPr>
              <w:pStyle w:val="32"/>
              <w:pageBreakBefore w:val="0"/>
              <w:wordWrap w:val="0"/>
              <w:overflowPunct/>
              <w:topLinePunct w:val="0"/>
              <w:bidi w:val="0"/>
              <w:adjustRightInd w:val="0"/>
              <w:snapToGrid w:val="0"/>
              <w:spacing w:beforeAutospacing="0" w:afterAutospacing="0" w:line="240" w:lineRule="auto"/>
              <w:jc w:val="center"/>
              <w:rPr>
                <w:rFonts w:hint="eastAsia" w:ascii="宋体" w:hAnsi="宋体" w:eastAsia="宋体" w:cs="宋体"/>
                <w:iCs/>
                <w:snapToGrid w:val="0"/>
                <w:color w:val="auto"/>
                <w:kern w:val="0"/>
                <w:sz w:val="24"/>
                <w:szCs w:val="24"/>
                <w:highlight w:val="yellow"/>
                <w:lang w:val="en-US" w:eastAsia="zh-CN" w:bidi="ar-SA"/>
              </w:rPr>
            </w:pPr>
            <w:r>
              <w:rPr>
                <w:rFonts w:hint="eastAsia" w:ascii="宋体" w:hAnsi="宋体" w:eastAsia="宋体" w:cs="宋体"/>
                <w:iCs/>
                <w:snapToGrid w:val="0"/>
                <w:color w:val="auto"/>
                <w:kern w:val="0"/>
                <w:sz w:val="24"/>
                <w:szCs w:val="24"/>
                <w:highlight w:val="none"/>
              </w:rPr>
              <w:t>为本招标项目的招标代理机构</w:t>
            </w:r>
          </w:p>
        </w:tc>
      </w:tr>
      <w:tr w14:paraId="32BA0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780" w:type="dxa"/>
            <w:noWrap w:val="0"/>
            <w:vAlign w:val="center"/>
          </w:tcPr>
          <w:p w14:paraId="731CD76B">
            <w:pPr>
              <w:pStyle w:val="32"/>
              <w:pageBreakBefore w:val="0"/>
              <w:wordWrap w:val="0"/>
              <w:overflowPunct/>
              <w:topLinePunct w:val="0"/>
              <w:bidi w:val="0"/>
              <w:adjustRightInd w:val="0"/>
              <w:snapToGrid w:val="0"/>
              <w:spacing w:beforeAutospacing="0" w:afterAutospacing="0" w:line="240" w:lineRule="auto"/>
              <w:jc w:val="center"/>
              <w:rPr>
                <w:rFonts w:hint="eastAsia" w:ascii="宋体" w:hAnsi="宋体" w:eastAsia="宋体" w:cs="宋体"/>
                <w:iCs/>
                <w:snapToGrid w:val="0"/>
                <w:color w:val="auto"/>
                <w:kern w:val="0"/>
                <w:sz w:val="24"/>
                <w:szCs w:val="24"/>
                <w:highlight w:val="yellow"/>
                <w:lang w:val="en-US" w:eastAsia="zh-CN"/>
              </w:rPr>
            </w:pPr>
            <w:r>
              <w:rPr>
                <w:rFonts w:hint="eastAsia" w:ascii="宋体" w:hAnsi="宋体" w:eastAsia="宋体" w:cs="宋体"/>
                <w:iCs/>
                <w:snapToGrid w:val="0"/>
                <w:color w:val="auto"/>
                <w:kern w:val="0"/>
                <w:sz w:val="24"/>
                <w:szCs w:val="24"/>
                <w:highlight w:val="yellow"/>
                <w:lang w:val="en-US" w:eastAsia="zh-CN"/>
              </w:rPr>
              <w:t>4</w:t>
            </w:r>
          </w:p>
        </w:tc>
        <w:tc>
          <w:tcPr>
            <w:tcW w:w="4133" w:type="dxa"/>
            <w:noWrap w:val="0"/>
            <w:vAlign w:val="center"/>
          </w:tcPr>
          <w:p w14:paraId="5A032465">
            <w:pPr>
              <w:pStyle w:val="32"/>
              <w:pageBreakBefore w:val="0"/>
              <w:wordWrap w:val="0"/>
              <w:overflowPunct/>
              <w:topLinePunct w:val="0"/>
              <w:bidi w:val="0"/>
              <w:adjustRightInd w:val="0"/>
              <w:snapToGrid w:val="0"/>
              <w:spacing w:beforeAutospacing="0" w:afterAutospacing="0" w:line="240" w:lineRule="auto"/>
              <w:jc w:val="center"/>
              <w:rPr>
                <w:rFonts w:hint="eastAsia" w:ascii="宋体" w:hAnsi="宋体" w:eastAsia="宋体" w:cs="宋体"/>
                <w:iCs/>
                <w:snapToGrid w:val="0"/>
                <w:color w:val="auto"/>
                <w:kern w:val="0"/>
                <w:sz w:val="24"/>
                <w:szCs w:val="24"/>
                <w:highlight w:val="yellow"/>
                <w:lang w:val="en-US" w:eastAsia="zh-CN" w:bidi="ar-SA"/>
              </w:rPr>
            </w:pPr>
            <w:r>
              <w:rPr>
                <w:rFonts w:hint="eastAsia" w:ascii="宋体" w:hAnsi="宋体" w:eastAsia="宋体" w:cs="宋体"/>
                <w:iCs/>
                <w:snapToGrid w:val="0"/>
                <w:color w:val="auto"/>
                <w:kern w:val="0"/>
                <w:sz w:val="24"/>
                <w:szCs w:val="24"/>
                <w:highlight w:val="none"/>
                <w:lang w:eastAsia="zh-CN"/>
              </w:rPr>
              <w:t>韶关市曲江区马坝镇人民政府</w:t>
            </w:r>
          </w:p>
        </w:tc>
        <w:tc>
          <w:tcPr>
            <w:tcW w:w="3615" w:type="dxa"/>
            <w:noWrap w:val="0"/>
            <w:vAlign w:val="center"/>
          </w:tcPr>
          <w:p w14:paraId="783C77BA">
            <w:pPr>
              <w:pStyle w:val="32"/>
              <w:pageBreakBefore w:val="0"/>
              <w:wordWrap w:val="0"/>
              <w:overflowPunct/>
              <w:topLinePunct w:val="0"/>
              <w:bidi w:val="0"/>
              <w:adjustRightInd w:val="0"/>
              <w:snapToGrid w:val="0"/>
              <w:spacing w:beforeAutospacing="0" w:afterAutospacing="0" w:line="240" w:lineRule="auto"/>
              <w:jc w:val="center"/>
              <w:rPr>
                <w:rFonts w:hint="eastAsia" w:ascii="宋体" w:hAnsi="宋体" w:eastAsia="宋体" w:cs="宋体"/>
                <w:iCs/>
                <w:snapToGrid w:val="0"/>
                <w:color w:val="auto"/>
                <w:kern w:val="0"/>
                <w:sz w:val="24"/>
                <w:szCs w:val="24"/>
                <w:highlight w:val="yellow"/>
                <w:lang w:val="en-US" w:eastAsia="zh-CN" w:bidi="ar-SA"/>
              </w:rPr>
            </w:pPr>
            <w:r>
              <w:rPr>
                <w:rFonts w:hint="eastAsia" w:ascii="宋体" w:hAnsi="宋体" w:eastAsia="宋体" w:cs="宋体"/>
                <w:iCs/>
                <w:snapToGrid w:val="0"/>
                <w:color w:val="auto"/>
                <w:kern w:val="0"/>
                <w:sz w:val="24"/>
                <w:szCs w:val="24"/>
                <w:highlight w:val="none"/>
              </w:rPr>
              <w:t>为本招标项目的</w:t>
            </w:r>
            <w:r>
              <w:rPr>
                <w:rFonts w:hint="eastAsia" w:ascii="宋体" w:hAnsi="宋体" w:eastAsia="宋体" w:cs="宋体"/>
                <w:iCs/>
                <w:snapToGrid w:val="0"/>
                <w:color w:val="auto"/>
                <w:kern w:val="0"/>
                <w:sz w:val="24"/>
                <w:szCs w:val="24"/>
                <w:highlight w:val="none"/>
                <w:lang w:eastAsia="zh-CN"/>
              </w:rPr>
              <w:t>招标人</w:t>
            </w:r>
          </w:p>
        </w:tc>
      </w:tr>
    </w:tbl>
    <w:p w14:paraId="3C76E972">
      <w:pPr>
        <w:pageBreakBefore w:val="0"/>
        <w:tabs>
          <w:tab w:val="left" w:pos="7020"/>
        </w:tabs>
        <w:wordWrap w:val="0"/>
        <w:overflowPunct/>
        <w:topLinePunct w:val="0"/>
        <w:bidi w:val="0"/>
        <w:adjustRightInd w:val="0"/>
        <w:snapToGrid w:val="0"/>
        <w:spacing w:beforeAutospacing="0" w:afterAutospacing="0" w:line="360" w:lineRule="auto"/>
        <w:ind w:left="0" w:leftChars="0" w:firstLine="482" w:firstLineChars="200"/>
        <w:rPr>
          <w:rFonts w:hint="eastAsia" w:ascii="宋体" w:hAnsi="宋体" w:eastAsia="宋体" w:cs="宋体"/>
          <w:b/>
          <w:bCs/>
          <w:snapToGrid w:val="0"/>
          <w:color w:val="auto"/>
          <w:kern w:val="0"/>
          <w:sz w:val="24"/>
          <w:szCs w:val="24"/>
          <w:highlight w:val="none"/>
        </w:rPr>
      </w:pPr>
    </w:p>
    <w:p w14:paraId="525B7E5A">
      <w:pPr>
        <w:pageBreakBefore w:val="0"/>
        <w:tabs>
          <w:tab w:val="left" w:pos="7020"/>
        </w:tabs>
        <w:wordWrap w:val="0"/>
        <w:overflowPunct/>
        <w:topLinePunct w:val="0"/>
        <w:bidi w:val="0"/>
        <w:adjustRightInd w:val="0"/>
        <w:snapToGrid w:val="0"/>
        <w:spacing w:beforeAutospacing="0" w:afterAutospacing="0" w:line="360" w:lineRule="auto"/>
        <w:ind w:left="0" w:leftChars="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2.5</w:t>
      </w:r>
      <w:r>
        <w:rPr>
          <w:rFonts w:hint="eastAsia" w:ascii="宋体" w:hAnsi="宋体" w:eastAsia="宋体" w:cs="宋体"/>
          <w:snapToGrid w:val="0"/>
          <w:color w:val="auto"/>
          <w:kern w:val="0"/>
          <w:sz w:val="24"/>
          <w:szCs w:val="24"/>
          <w:highlight w:val="none"/>
        </w:rPr>
        <w:t xml:space="preserve"> 其他要求</w:t>
      </w:r>
    </w:p>
    <w:p w14:paraId="2AD84A75">
      <w:pPr>
        <w:pageBreakBefore w:val="0"/>
        <w:tabs>
          <w:tab w:val="left" w:pos="7020"/>
        </w:tabs>
        <w:wordWrap w:val="0"/>
        <w:overflowPunct/>
        <w:topLinePunct w:val="0"/>
        <w:bidi w:val="0"/>
        <w:adjustRightInd w:val="0"/>
        <w:snapToGrid w:val="0"/>
        <w:spacing w:beforeAutospacing="0" w:afterAutospacing="0" w:line="360" w:lineRule="auto"/>
        <w:ind w:left="0" w:leftChars="0" w:firstLine="480" w:firstLineChars="200"/>
        <w:rPr>
          <w:rFonts w:ascii="Times New Roman"/>
          <w:snapToGrid w:val="0"/>
          <w:color w:val="auto"/>
          <w:kern w:val="0"/>
          <w:highlight w:val="none"/>
        </w:rPr>
      </w:pPr>
      <w:r>
        <w:rPr>
          <w:rFonts w:hint="eastAsia" w:ascii="宋体" w:hAnsi="宋体" w:eastAsia="宋体" w:cs="宋体"/>
          <w:snapToGrid w:val="0"/>
          <w:color w:val="auto"/>
          <w:kern w:val="0"/>
          <w:sz w:val="24"/>
          <w:szCs w:val="24"/>
          <w:highlight w:val="none"/>
        </w:rPr>
        <w:t>省外企业须按照《广东省住房和城乡建设厅关于取消省外建筑企业和人员进粤信息备案有关工作的通知》（粤建市﹝2015﹞52号）规定在“进粤企业和人员诚信信息登记平台”录入相关信息并通过数据规范检查</w:t>
      </w:r>
      <w:r>
        <w:rPr>
          <w:rFonts w:ascii="Times New Roman"/>
          <w:snapToGrid w:val="0"/>
          <w:color w:val="auto"/>
          <w:kern w:val="0"/>
          <w:highlight w:val="none"/>
        </w:rPr>
        <w:t>。</w:t>
      </w:r>
    </w:p>
    <w:p w14:paraId="15D1F416">
      <w:pPr>
        <w:keepNext w:val="0"/>
        <w:keepLines w:val="0"/>
        <w:pageBreakBefore w:val="0"/>
        <w:wordWrap w:val="0"/>
        <w:overflowPunct/>
        <w:topLinePunct w:val="0"/>
        <w:bidi w:val="0"/>
        <w:spacing w:before="79" w:line="220" w:lineRule="auto"/>
        <w:ind w:left="715"/>
        <w:outlineLvl w:val="2"/>
        <w:rPr>
          <w:rFonts w:hint="eastAsia" w:ascii="宋体" w:hAnsi="宋体" w:eastAsia="宋体" w:cs="宋体"/>
          <w:color w:val="auto"/>
          <w:spacing w:val="0"/>
          <w:sz w:val="24"/>
          <w:szCs w:val="24"/>
          <w:highlight w:val="none"/>
        </w:rPr>
      </w:pPr>
      <w:bookmarkStart w:id="18" w:name="_Toc29340"/>
      <w:r>
        <w:rPr>
          <w:rFonts w:hint="eastAsia" w:ascii="宋体" w:hAnsi="宋体" w:eastAsia="宋体" w:cs="宋体"/>
          <w:b/>
          <w:bCs/>
          <w:color w:val="auto"/>
          <w:spacing w:val="0"/>
          <w:sz w:val="24"/>
          <w:szCs w:val="24"/>
          <w:highlight w:val="none"/>
        </w:rPr>
        <w:t>3．招标文件的获取</w:t>
      </w:r>
      <w:bookmarkEnd w:id="11"/>
      <w:bookmarkEnd w:id="18"/>
    </w:p>
    <w:p w14:paraId="062171A6">
      <w:pPr>
        <w:keepNext w:val="0"/>
        <w:keepLines w:val="0"/>
        <w:pageBreakBefore w:val="0"/>
        <w:wordWrap w:val="0"/>
        <w:overflowPunct/>
        <w:topLinePunct w:val="0"/>
        <w:bidi w:val="0"/>
        <w:spacing w:before="182" w:line="219" w:lineRule="auto"/>
        <w:ind w:left="70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3.1  </w:t>
      </w:r>
      <w:r>
        <w:rPr>
          <w:rFonts w:hint="eastAsia" w:ascii="宋体" w:hAnsi="宋体" w:eastAsia="宋体" w:cs="宋体"/>
          <w:color w:val="auto"/>
          <w:spacing w:val="0"/>
          <w:sz w:val="24"/>
          <w:szCs w:val="24"/>
          <w:highlight w:val="none"/>
        </w:rPr>
        <w:t>本次招标实行电子投标。</w:t>
      </w:r>
    </w:p>
    <w:p w14:paraId="1D01F43D">
      <w:pPr>
        <w:keepNext w:val="0"/>
        <w:keepLines w:val="0"/>
        <w:pageBreakBefore w:val="0"/>
        <w:wordWrap w:val="0"/>
        <w:overflowPunct/>
        <w:topLinePunct w:val="0"/>
        <w:bidi w:val="0"/>
        <w:spacing w:before="178" w:line="355" w:lineRule="auto"/>
        <w:ind w:left="0" w:leftChars="0" w:firstLine="481" w:firstLineChars="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本次招标实行电子投标。本项目招标文件随招标公告一并在全国公共资源交易平台（广东省 ·韶关市）（https://ygp.gdzwfw.gov.cn/ggzy-portal/#/440200/index）网站发布。招标文件一经发布，视为发送投标人，招标文件及相关附件由投标人自行在全国公共资源交易平台（广东省 ·韶关市）网站下载。请于招标文件获取期间,（见本章第二节“重要事项时间地点一览表 ”）招标文件获取期间与招标公告发布时间一致，投标人须登录全国公共资源交易平台（广东省 ·韶关市）（https://ygp.gdzwfw.gov.cn/ggzy-portal/#/440200/index），使用新建设工程交易系统进行下载招标文件及相关附件，并于电子投标截止时间（见本章第二节“重要事项时间地点一览表 ”）前完成电子投标。投标人可登录全国公共资源交易平台（广东省 ·韶关市）（https://ygp.gdzwfw.gov.cn/ggzy-portal/#/440200/index），在【服务指南】栏目中建设工程交易中下载《韶关市公共资源建设工程交易系统-投标人操作指南（电子评标）》（附件 2），了解网上获取招标文件操作流程。技术咨询电话：0751-8379671 伍先生，业务咨询电话：0751-8633211、8633071。</w:t>
      </w:r>
    </w:p>
    <w:p w14:paraId="2202A6B7">
      <w:pPr>
        <w:keepNext w:val="0"/>
        <w:keepLines w:val="0"/>
        <w:pageBreakBefore w:val="0"/>
        <w:wordWrap w:val="0"/>
        <w:overflowPunct/>
        <w:topLinePunct w:val="0"/>
        <w:bidi w:val="0"/>
        <w:spacing w:before="142" w:line="330" w:lineRule="auto"/>
        <w:ind w:left="11" w:right="105" w:firstLine="473"/>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3.2  </w:t>
      </w:r>
      <w:r>
        <w:rPr>
          <w:rFonts w:hint="eastAsia" w:ascii="宋体" w:hAnsi="宋体" w:eastAsia="宋体" w:cs="宋体"/>
          <w:color w:val="auto"/>
          <w:spacing w:val="0"/>
          <w:sz w:val="24"/>
          <w:szCs w:val="24"/>
          <w:highlight w:val="none"/>
        </w:rPr>
        <w:t>只有申领了数字证书（CA）、“粤企签 ”或 GDCA/SZCA/NETCA 等符合法律法规规定的电子印章，并在交易系统中完成企业信息数据入库的投标人，方可使用建设工程交易系统进行招标文件及附件获取和电子投标。</w:t>
      </w:r>
    </w:p>
    <w:p w14:paraId="4D07D799">
      <w:pPr>
        <w:keepNext w:val="0"/>
        <w:keepLines w:val="0"/>
        <w:pageBreakBefore w:val="0"/>
        <w:wordWrap w:val="0"/>
        <w:overflowPunct/>
        <w:topLinePunct w:val="0"/>
        <w:bidi w:val="0"/>
        <w:spacing w:before="32" w:line="332" w:lineRule="auto"/>
        <w:ind w:left="10" w:right="90" w:firstLine="48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首次在韶关市参与建设工程招标投标活动的投标人，必须在平台系统上传企业相关资料办理企业入库事宜。投标人可登录全国公共资源交易平台（广东省 ·韶关市）（</w:t>
      </w: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"https://ygp.gdzwfw.gov.cn/ggzy-portal/#/440200/index" </w:instrText>
      </w:r>
      <w:r>
        <w:rPr>
          <w:rFonts w:hint="eastAsia" w:ascii="宋体" w:hAnsi="宋体" w:eastAsia="宋体" w:cs="宋体"/>
          <w:color w:val="auto"/>
          <w:spacing w:val="0"/>
          <w:highlight w:val="none"/>
        </w:rPr>
        <w:fldChar w:fldCharType="separate"/>
      </w:r>
      <w:r>
        <w:rPr>
          <w:rFonts w:hint="eastAsia" w:ascii="宋体" w:hAnsi="宋体" w:eastAsia="宋体" w:cs="宋体"/>
          <w:color w:val="auto"/>
          <w:spacing w:val="0"/>
          <w:sz w:val="24"/>
          <w:szCs w:val="24"/>
          <w:highlight w:val="none"/>
        </w:rPr>
        <w:t>https://ygp.gdzwfw.gov.cn/ggzy-portal/#/440200/index</w:t>
      </w:r>
      <w:r>
        <w:rPr>
          <w:rFonts w:hint="eastAsia" w:ascii="宋体" w:hAnsi="宋体" w:eastAsia="宋体" w:cs="宋体"/>
          <w:color w:val="auto"/>
          <w:spacing w:val="0"/>
          <w:sz w:val="24"/>
          <w:szCs w:val="24"/>
          <w:highlight w:val="none"/>
        </w:rPr>
        <w:fldChar w:fldCharType="end"/>
      </w:r>
      <w:r>
        <w:rPr>
          <w:rFonts w:hint="eastAsia" w:ascii="宋体" w:hAnsi="宋体" w:eastAsia="宋体" w:cs="宋体"/>
          <w:color w:val="auto"/>
          <w:spacing w:val="0"/>
          <w:sz w:val="24"/>
          <w:szCs w:val="24"/>
          <w:highlight w:val="none"/>
        </w:rPr>
        <w:t>）办理企业入库、数字证书及电子印章事宜，具体请在平台查阅相应的交易指引。</w:t>
      </w:r>
    </w:p>
    <w:p w14:paraId="7D8C8C64">
      <w:pPr>
        <w:keepNext w:val="0"/>
        <w:keepLines w:val="0"/>
        <w:pageBreakBefore w:val="0"/>
        <w:wordWrap w:val="0"/>
        <w:overflowPunct/>
        <w:topLinePunct w:val="0"/>
        <w:bidi w:val="0"/>
        <w:spacing w:before="37" w:line="329" w:lineRule="auto"/>
        <w:ind w:left="9" w:right="105" w:firstLine="50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已入库企业有关信息（如单位名称、基本账号、资质、人员等）发生变化的，须及时在交易系统进行相应变更。投标人未及时变更信息而造成的损失和后果，由投标人自行承担。</w:t>
      </w:r>
    </w:p>
    <w:p w14:paraId="3E500E91">
      <w:pPr>
        <w:keepNext w:val="0"/>
        <w:keepLines w:val="0"/>
        <w:pageBreakBefore w:val="0"/>
        <w:wordWrap w:val="0"/>
        <w:overflowPunct/>
        <w:topLinePunct w:val="0"/>
        <w:bidi w:val="0"/>
        <w:spacing w:before="33" w:line="335" w:lineRule="auto"/>
        <w:ind w:left="10" w:right="105" w:firstLine="508"/>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 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25D91D7D">
      <w:pPr>
        <w:keepNext w:val="0"/>
        <w:keepLines w:val="0"/>
        <w:pageBreakBefore w:val="0"/>
        <w:wordWrap w:val="0"/>
        <w:overflowPunct/>
        <w:topLinePunct w:val="0"/>
        <w:bidi w:val="0"/>
        <w:spacing w:before="33" w:line="221" w:lineRule="auto"/>
        <w:ind w:left="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  </w:t>
      </w:r>
      <w:r>
        <w:rPr>
          <w:rFonts w:hint="eastAsia" w:ascii="宋体" w:hAnsi="宋体" w:eastAsia="宋体" w:cs="宋体"/>
          <w:color w:val="auto"/>
          <w:spacing w:val="0"/>
          <w:sz w:val="24"/>
          <w:szCs w:val="24"/>
          <w:highlight w:val="none"/>
        </w:rPr>
        <w:t>投标保证</w:t>
      </w:r>
    </w:p>
    <w:p w14:paraId="28B6DFAD">
      <w:pPr>
        <w:keepNext w:val="0"/>
        <w:keepLines w:val="0"/>
        <w:pageBreakBefore w:val="0"/>
        <w:wordWrap w:val="0"/>
        <w:overflowPunct/>
        <w:topLinePunct w:val="0"/>
        <w:bidi w:val="0"/>
        <w:spacing w:before="152" w:line="280" w:lineRule="auto"/>
        <w:ind w:left="8" w:right="105"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3.3.1  </w:t>
      </w:r>
      <w:r>
        <w:rPr>
          <w:rFonts w:hint="eastAsia" w:ascii="宋体" w:hAnsi="宋体" w:eastAsia="宋体" w:cs="宋体"/>
          <w:color w:val="auto"/>
          <w:spacing w:val="0"/>
          <w:sz w:val="24"/>
          <w:szCs w:val="24"/>
          <w:highlight w:val="none"/>
        </w:rPr>
        <w:t>投标人须缴纳金额为</w:t>
      </w:r>
      <w:r>
        <w:rPr>
          <w:rFonts w:hint="eastAsia" w:ascii="宋体" w:hAnsi="宋体" w:eastAsia="宋体" w:cs="宋体"/>
          <w:color w:val="auto"/>
          <w:spacing w:val="0"/>
          <w:sz w:val="24"/>
          <w:szCs w:val="24"/>
          <w:highlight w:val="yellow"/>
          <w:u w:val="single"/>
          <w:lang w:val="en-US" w:eastAsia="zh-CN"/>
        </w:rPr>
        <w:t>50000.00</w:t>
      </w:r>
      <w:r>
        <w:rPr>
          <w:rFonts w:hint="eastAsia" w:ascii="宋体" w:hAnsi="宋体" w:eastAsia="宋体" w:cs="宋体"/>
          <w:color w:val="auto"/>
          <w:spacing w:val="0"/>
          <w:sz w:val="24"/>
          <w:szCs w:val="24"/>
          <w:highlight w:val="none"/>
          <w:u w:val="none"/>
          <w:lang w:val="en-US" w:eastAsia="zh-CN"/>
        </w:rPr>
        <w:t>元</w:t>
      </w:r>
      <w:r>
        <w:rPr>
          <w:rFonts w:hint="eastAsia" w:ascii="宋体" w:hAnsi="宋体" w:eastAsia="宋体" w:cs="宋体"/>
          <w:color w:val="auto"/>
          <w:spacing w:val="0"/>
          <w:sz w:val="24"/>
          <w:szCs w:val="24"/>
          <w:highlight w:val="none"/>
        </w:rPr>
        <w:t>人民币的投标保证。联合体投标的，由联合体牵头人缴纳。</w:t>
      </w:r>
    </w:p>
    <w:p w14:paraId="45B9E994">
      <w:pPr>
        <w:keepNext w:val="0"/>
        <w:keepLines w:val="0"/>
        <w:pageBreakBefore w:val="0"/>
        <w:wordWrap w:val="0"/>
        <w:overflowPunct/>
        <w:topLinePunct w:val="0"/>
        <w:bidi w:val="0"/>
        <w:spacing w:before="35" w:line="325" w:lineRule="auto"/>
        <w:ind w:left="12" w:right="108" w:firstLine="471"/>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3.3.2  </w:t>
      </w:r>
      <w:r>
        <w:rPr>
          <w:rFonts w:hint="eastAsia" w:ascii="宋体" w:hAnsi="宋体" w:eastAsia="宋体" w:cs="宋体"/>
          <w:color w:val="auto"/>
          <w:spacing w:val="0"/>
          <w:sz w:val="24"/>
          <w:szCs w:val="24"/>
          <w:highlight w:val="none"/>
        </w:rPr>
        <w:t>投标保证的形式包括投标保证金、投标保证担保、投标保证保险三种，由投标人自主选择。</w:t>
      </w:r>
    </w:p>
    <w:p w14:paraId="025DD3A8">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sz w:val="24"/>
          <w:szCs w:val="24"/>
          <w:highlight w:val="none"/>
        </w:rPr>
      </w:pPr>
      <w:bookmarkStart w:id="19" w:name="bookmark117"/>
      <w:bookmarkEnd w:id="19"/>
      <w:r>
        <w:rPr>
          <w:rFonts w:hint="eastAsia" w:ascii="宋体" w:hAnsi="宋体" w:eastAsia="宋体" w:cs="宋体"/>
          <w:color w:val="auto"/>
          <w:spacing w:val="0"/>
          <w:sz w:val="24"/>
          <w:szCs w:val="24"/>
          <w:highlight w:val="none"/>
        </w:rPr>
        <w:t>（1）采用投标保证金的，投标人在建设工程交易系统获取招标文件完毕后，即可在系统申请缴纳投标保证金，获取本次招标投标保证金缴纳账号。投标人必须于投标保证金到账截止时间（见本招标文件“重要事项时间地点一览表 ”）前，从其基本账户将投标保证金转账到指定的缴纳账号。逾期到账的、从非投标人基本账户转出的，其投标无效。</w:t>
      </w:r>
    </w:p>
    <w:p w14:paraId="43708345">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3C81C690">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电子保单，电子保单的有效期不得短于投标有效期。投标人可登录全国公共资源交易平台（广东省·韶关市）（</w:t>
      </w: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"https://ygp.gdzwfw.gov.cn/ggzy-portal/#/440200/index"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color w:val="auto"/>
          <w:spacing w:val="0"/>
          <w:sz w:val="24"/>
          <w:szCs w:val="24"/>
          <w:highlight w:val="none"/>
        </w:rPr>
        <w:t>https://ygp.gdzwfw.gov.cn/ggzy-portal/#/440200/index</w:t>
      </w:r>
      <w:r>
        <w:rPr>
          <w:rFonts w:hint="eastAsia" w:ascii="宋体" w:hAnsi="宋体" w:eastAsia="宋体" w:cs="宋体"/>
          <w:color w:val="auto"/>
          <w:spacing w:val="0"/>
          <w:sz w:val="24"/>
          <w:szCs w:val="24"/>
          <w:highlight w:val="none"/>
        </w:rPr>
        <w:fldChar w:fldCharType="end"/>
      </w:r>
      <w:r>
        <w:rPr>
          <w:rFonts w:hint="eastAsia" w:ascii="宋体" w:hAnsi="宋体" w:eastAsia="宋体" w:cs="宋体"/>
          <w:color w:val="auto"/>
          <w:spacing w:val="0"/>
          <w:sz w:val="24"/>
          <w:szCs w:val="24"/>
          <w:highlight w:val="none"/>
        </w:rPr>
        <w:t>），在【服务指南】栏目中下载《建设工程网上交易系统保险保证金缴纳操作指南》，了解网上投保具体操作流程。逾期投保的，其投标无效。</w:t>
      </w:r>
    </w:p>
    <w:p w14:paraId="1E1D4FB8">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57AA98E3">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3.4 </w:t>
      </w:r>
      <w:r>
        <w:rPr>
          <w:rFonts w:hint="eastAsia" w:ascii="宋体" w:hAnsi="宋体" w:eastAsia="宋体" w:cs="宋体"/>
          <w:color w:val="auto"/>
          <w:spacing w:val="0"/>
          <w:sz w:val="24"/>
          <w:szCs w:val="24"/>
          <w:highlight w:val="none"/>
        </w:rPr>
        <w:t xml:space="preserve"> 若投标人因自身原因未能正确完成获取招标文件、电子投标、缴纳投标保证的，其投标无效。</w:t>
      </w:r>
    </w:p>
    <w:p w14:paraId="4DEB049B">
      <w:pPr>
        <w:keepNext w:val="0"/>
        <w:keepLines w:val="0"/>
        <w:pageBreakBefore w:val="0"/>
        <w:wordWrap w:val="0"/>
        <w:overflowPunct/>
        <w:topLinePunct w:val="0"/>
        <w:bidi w:val="0"/>
        <w:spacing w:before="79" w:line="221" w:lineRule="auto"/>
        <w:ind w:left="487"/>
        <w:outlineLvl w:val="2"/>
        <w:rPr>
          <w:rFonts w:hint="eastAsia" w:ascii="宋体" w:hAnsi="宋体" w:eastAsia="宋体" w:cs="宋体"/>
          <w:color w:val="auto"/>
          <w:spacing w:val="0"/>
          <w:sz w:val="24"/>
          <w:szCs w:val="24"/>
          <w:highlight w:val="none"/>
        </w:rPr>
      </w:pPr>
      <w:bookmarkStart w:id="20" w:name="bookmark78"/>
      <w:bookmarkEnd w:id="20"/>
      <w:bookmarkStart w:id="21" w:name="bookmark64"/>
      <w:bookmarkEnd w:id="21"/>
      <w:bookmarkStart w:id="22" w:name="_Toc16298"/>
      <w:bookmarkStart w:id="23" w:name="_Toc15498"/>
      <w:r>
        <w:rPr>
          <w:rFonts w:hint="eastAsia" w:ascii="宋体" w:hAnsi="宋体" w:eastAsia="宋体" w:cs="宋体"/>
          <w:b/>
          <w:bCs/>
          <w:color w:val="auto"/>
          <w:spacing w:val="0"/>
          <w:sz w:val="24"/>
          <w:szCs w:val="24"/>
          <w:highlight w:val="none"/>
        </w:rPr>
        <w:t>4</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．工期要求</w:t>
      </w:r>
      <w:bookmarkEnd w:id="22"/>
      <w:bookmarkEnd w:id="23"/>
    </w:p>
    <w:p w14:paraId="03461DC3">
      <w:pPr>
        <w:keepNext w:val="0"/>
        <w:keepLines w:val="0"/>
        <w:pageBreakBefore w:val="0"/>
        <w:wordWrap w:val="0"/>
        <w:overflowPunct/>
        <w:topLinePunct w:val="0"/>
        <w:bidi w:val="0"/>
        <w:spacing w:before="153" w:line="324" w:lineRule="auto"/>
        <w:ind w:left="30" w:right="65" w:firstLine="46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本招标项目招标工期为</w:t>
      </w:r>
      <w:r>
        <w:rPr>
          <w:rFonts w:hint="eastAsia" w:ascii="宋体" w:hAnsi="宋体" w:eastAsia="宋体" w:cs="宋体"/>
          <w:color w:val="auto"/>
          <w:spacing w:val="0"/>
          <w:sz w:val="24"/>
          <w:szCs w:val="24"/>
          <w:highlight w:val="none"/>
          <w:u w:val="single"/>
          <w:lang w:val="en-US" w:eastAsia="zh-CN"/>
        </w:rPr>
        <w:t>90个日历天</w:t>
      </w:r>
      <w:r>
        <w:rPr>
          <w:rFonts w:hint="eastAsia" w:ascii="宋体" w:hAnsi="宋体" w:eastAsia="宋体" w:cs="宋体"/>
          <w:color w:val="auto"/>
          <w:spacing w:val="0"/>
          <w:sz w:val="24"/>
          <w:szCs w:val="24"/>
          <w:highlight w:val="none"/>
        </w:rPr>
        <w:t>，中标人必须在招标工期内完成招标范围内的全部内容。</w:t>
      </w:r>
    </w:p>
    <w:p w14:paraId="474BA81B">
      <w:pPr>
        <w:keepNext w:val="0"/>
        <w:keepLines w:val="0"/>
        <w:pageBreakBefore w:val="0"/>
        <w:wordWrap w:val="0"/>
        <w:overflowPunct/>
        <w:topLinePunct w:val="0"/>
        <w:bidi w:val="0"/>
        <w:spacing w:before="78" w:line="219" w:lineRule="auto"/>
        <w:ind w:left="488"/>
        <w:outlineLvl w:val="2"/>
        <w:rPr>
          <w:rFonts w:hint="eastAsia" w:ascii="宋体" w:hAnsi="宋体" w:eastAsia="宋体" w:cs="宋体"/>
          <w:color w:val="auto"/>
          <w:spacing w:val="0"/>
          <w:sz w:val="24"/>
          <w:szCs w:val="24"/>
          <w:highlight w:val="none"/>
        </w:rPr>
      </w:pPr>
      <w:bookmarkStart w:id="24" w:name="_Toc27150"/>
      <w:bookmarkStart w:id="25" w:name="_Toc4154"/>
      <w:r>
        <w:rPr>
          <w:rFonts w:hint="eastAsia" w:ascii="宋体" w:hAnsi="宋体" w:eastAsia="宋体" w:cs="宋体"/>
          <w:b/>
          <w:bCs/>
          <w:color w:val="auto"/>
          <w:spacing w:val="0"/>
          <w:sz w:val="24"/>
          <w:szCs w:val="24"/>
          <w:highlight w:val="none"/>
        </w:rPr>
        <w:t>5</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．质量标准和材料、机械要求</w:t>
      </w:r>
      <w:bookmarkEnd w:id="24"/>
      <w:bookmarkEnd w:id="25"/>
    </w:p>
    <w:p w14:paraId="1002D977">
      <w:pPr>
        <w:keepNext w:val="0"/>
        <w:keepLines w:val="0"/>
        <w:pageBreakBefore w:val="0"/>
        <w:wordWrap w:val="0"/>
        <w:overflowPunct/>
        <w:topLinePunct w:val="0"/>
        <w:bidi w:val="0"/>
        <w:spacing w:before="154" w:line="279" w:lineRule="auto"/>
        <w:ind w:left="11" w:right="99"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5.1  </w:t>
      </w:r>
      <w:r>
        <w:rPr>
          <w:rFonts w:hint="eastAsia" w:ascii="宋体" w:hAnsi="宋体" w:eastAsia="宋体" w:cs="宋体"/>
          <w:color w:val="auto"/>
          <w:spacing w:val="0"/>
          <w:sz w:val="24"/>
          <w:szCs w:val="24"/>
          <w:highlight w:val="none"/>
        </w:rPr>
        <w:t>施工工艺严格按照国家和广东省的有关现行施工技术规范及标准执行，工程质量标准</w:t>
      </w:r>
      <w:r>
        <w:rPr>
          <w:rFonts w:hint="eastAsia" w:ascii="宋体" w:hAnsi="宋体" w:eastAsia="宋体" w:cs="宋体"/>
          <w:color w:val="auto"/>
          <w:spacing w:val="0"/>
          <w:sz w:val="24"/>
          <w:szCs w:val="24"/>
          <w:highlight w:val="none"/>
          <w:u w:val="single"/>
          <w:lang w:val="en-US" w:eastAsia="zh-CN"/>
        </w:rPr>
        <w:t>符合现行国家有关工程施工质量验收规范和标准的要求，达到验收合格标准</w:t>
      </w:r>
      <w:r>
        <w:rPr>
          <w:rFonts w:hint="eastAsia" w:ascii="宋体" w:hAnsi="宋体" w:eastAsia="宋体" w:cs="宋体"/>
          <w:color w:val="auto"/>
          <w:spacing w:val="0"/>
          <w:sz w:val="24"/>
          <w:szCs w:val="24"/>
          <w:highlight w:val="none"/>
        </w:rPr>
        <w:t>。</w:t>
      </w:r>
    </w:p>
    <w:p w14:paraId="1D66894B">
      <w:pPr>
        <w:keepNext w:val="0"/>
        <w:keepLines w:val="0"/>
        <w:pageBreakBefore w:val="0"/>
        <w:wordWrap w:val="0"/>
        <w:overflowPunct/>
        <w:topLinePunct w:val="0"/>
        <w:bidi w:val="0"/>
        <w:spacing w:before="154" w:line="279" w:lineRule="auto"/>
        <w:ind w:left="10" w:right="99"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5.2</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中标人在施工中如果工程质量不符合设计要求和有关规定，招标人或监理单位要求停工和返工的必须立即执行，并承担由此产生的各种费用，工期不予顺延。</w:t>
      </w:r>
    </w:p>
    <w:p w14:paraId="63F93060">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5.3  </w:t>
      </w:r>
      <w:r>
        <w:rPr>
          <w:rFonts w:hint="eastAsia" w:ascii="宋体" w:hAnsi="宋体" w:eastAsia="宋体" w:cs="宋体"/>
          <w:color w:val="auto"/>
          <w:spacing w:val="0"/>
          <w:sz w:val="24"/>
          <w:szCs w:val="24"/>
          <w:highlight w:val="none"/>
        </w:rPr>
        <w:t>保修期限按《建设工程质量管理条例》（中华人民共和国国务院令第 279号）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594490DA">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5.4</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根据韶关市人民政府《关于加快推进全市绿色建筑发展工作的通知》（韶府办明电〔2013〕277 号）有关规定，结合《韶关市住建管理局关于贯彻落实&lt;广东省绿色建筑条例&gt;有关工作的通知》（韶市建字〔2021〕85 号）等有关规定，</w:t>
      </w:r>
      <w:r>
        <w:rPr>
          <w:rFonts w:hint="eastAsia" w:ascii="宋体" w:hAnsi="宋体" w:eastAsia="宋体" w:cs="宋体"/>
          <w:color w:val="auto"/>
          <w:spacing w:val="0"/>
          <w:sz w:val="24"/>
          <w:szCs w:val="24"/>
          <w:highlight w:val="none"/>
        </w:rPr>
        <w:t>本招标项目</w:t>
      </w:r>
      <w:r>
        <w:rPr>
          <w:rFonts w:hint="eastAsia" w:ascii="宋体" w:hAnsi="宋体" w:eastAsia="宋体" w:cs="宋体"/>
          <w:color w:val="auto"/>
          <w:spacing w:val="0"/>
          <w:sz w:val="24"/>
          <w:szCs w:val="24"/>
          <w:highlight w:val="none"/>
          <w:lang w:val="en-US" w:eastAsia="zh-CN"/>
        </w:rPr>
        <w:t>不</w:t>
      </w:r>
      <w:r>
        <w:rPr>
          <w:rFonts w:hint="eastAsia" w:ascii="宋体" w:hAnsi="宋体" w:eastAsia="宋体" w:cs="宋体"/>
          <w:color w:val="auto"/>
          <w:spacing w:val="0"/>
          <w:sz w:val="24"/>
          <w:szCs w:val="24"/>
          <w:highlight w:val="none"/>
        </w:rPr>
        <w:t>纳入绿色建设实施范围</w:t>
      </w:r>
      <w:r>
        <w:rPr>
          <w:rFonts w:hint="eastAsia" w:ascii="宋体" w:hAnsi="宋体" w:eastAsia="宋体" w:cs="宋体"/>
          <w:color w:val="auto"/>
          <w:spacing w:val="0"/>
          <w:sz w:val="24"/>
          <w:szCs w:val="24"/>
          <w:highlight w:val="none"/>
          <w:lang w:eastAsia="zh-CN"/>
        </w:rPr>
        <w:t>。</w:t>
      </w:r>
    </w:p>
    <w:p w14:paraId="0BEB46EA">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5.5</w:t>
      </w:r>
      <w:r>
        <w:rPr>
          <w:rFonts w:hint="eastAsia" w:ascii="宋体" w:hAnsi="宋体" w:eastAsia="宋体" w:cs="宋体"/>
          <w:color w:val="auto"/>
          <w:spacing w:val="0"/>
          <w:sz w:val="24"/>
          <w:szCs w:val="24"/>
          <w:highlight w:val="none"/>
        </w:rPr>
        <w:t xml:space="preserve">  其它：</w:t>
      </w:r>
      <w:r>
        <w:rPr>
          <w:rFonts w:hint="eastAsia" w:ascii="宋体" w:hAnsi="宋体" w:eastAsia="宋体" w:cs="宋体"/>
          <w:color w:val="auto"/>
          <w:spacing w:val="0"/>
          <w:sz w:val="24"/>
          <w:szCs w:val="24"/>
          <w:highlight w:val="none"/>
          <w:lang w:eastAsia="zh-CN"/>
        </w:rPr>
        <w:t>本招标项目</w:t>
      </w:r>
      <w:r>
        <w:rPr>
          <w:rFonts w:hint="eastAsia" w:ascii="宋体" w:hAnsi="宋体" w:eastAsia="宋体" w:cs="宋体"/>
          <w:color w:val="auto"/>
          <w:spacing w:val="0"/>
          <w:sz w:val="24"/>
          <w:szCs w:val="24"/>
          <w:highlight w:val="none"/>
          <w:lang w:val="en-US" w:eastAsia="zh-CN"/>
        </w:rPr>
        <w:t>不</w:t>
      </w:r>
      <w:r>
        <w:rPr>
          <w:rFonts w:hint="eastAsia" w:ascii="宋体" w:hAnsi="宋体" w:eastAsia="宋体" w:cs="宋体"/>
          <w:color w:val="auto"/>
          <w:spacing w:val="0"/>
          <w:sz w:val="24"/>
          <w:szCs w:val="24"/>
          <w:highlight w:val="none"/>
          <w:lang w:eastAsia="zh-CN"/>
        </w:rPr>
        <w:t>纳入装配式建造建设实施范围。</w:t>
      </w:r>
    </w:p>
    <w:p w14:paraId="5EC9E7C7">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5.6</w:t>
      </w:r>
      <w:r>
        <w:rPr>
          <w:rFonts w:hint="eastAsia" w:ascii="宋体" w:hAnsi="宋体" w:eastAsia="宋体" w:cs="宋体"/>
          <w:color w:val="auto"/>
          <w:spacing w:val="0"/>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则中标人必须使用合格材料或设备。</w:t>
      </w:r>
    </w:p>
    <w:p w14:paraId="5A1434AF">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5.</w:t>
      </w:r>
      <w:r>
        <w:rPr>
          <w:rFonts w:hint="eastAsia" w:ascii="宋体" w:hAnsi="宋体" w:eastAsia="宋体" w:cs="宋体"/>
          <w:b/>
          <w:bCs/>
          <w:color w:val="auto"/>
          <w:spacing w:val="0"/>
          <w:sz w:val="24"/>
          <w:szCs w:val="24"/>
          <w:highlight w:val="none"/>
          <w:lang w:eastAsia="zh-CN"/>
        </w:rPr>
        <w:t>7</w:t>
      </w:r>
      <w:r>
        <w:rPr>
          <w:rFonts w:hint="eastAsia" w:ascii="宋体" w:hAnsi="宋体" w:eastAsia="宋体" w:cs="宋体"/>
          <w:color w:val="auto"/>
          <w:spacing w:val="0"/>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6B9F7067">
      <w:pPr>
        <w:keepNext w:val="0"/>
        <w:keepLines w:val="0"/>
        <w:pageBreakBefore w:val="0"/>
        <w:wordWrap w:val="0"/>
        <w:overflowPunct/>
        <w:topLinePunct w:val="0"/>
        <w:bidi w:val="0"/>
        <w:spacing w:before="78" w:line="220" w:lineRule="auto"/>
        <w:ind w:left="489"/>
        <w:outlineLvl w:val="2"/>
        <w:rPr>
          <w:rFonts w:hint="eastAsia" w:ascii="宋体" w:hAnsi="宋体" w:eastAsia="宋体" w:cs="宋体"/>
          <w:color w:val="auto"/>
          <w:spacing w:val="0"/>
          <w:sz w:val="24"/>
          <w:szCs w:val="24"/>
          <w:highlight w:val="none"/>
        </w:rPr>
      </w:pPr>
      <w:bookmarkStart w:id="26" w:name="_Toc24173"/>
      <w:bookmarkStart w:id="27" w:name="_Toc7763"/>
      <w:r>
        <w:rPr>
          <w:rFonts w:hint="eastAsia" w:ascii="宋体" w:hAnsi="宋体" w:eastAsia="宋体" w:cs="宋体"/>
          <w:b/>
          <w:bCs/>
          <w:color w:val="auto"/>
          <w:spacing w:val="0"/>
          <w:sz w:val="24"/>
          <w:szCs w:val="24"/>
          <w:highlight w:val="none"/>
        </w:rPr>
        <w:t>6 ．施工条件及现场踏勘</w:t>
      </w:r>
      <w:bookmarkEnd w:id="26"/>
      <w:bookmarkEnd w:id="27"/>
    </w:p>
    <w:p w14:paraId="20BA5CA5">
      <w:pPr>
        <w:keepNext w:val="0"/>
        <w:keepLines w:val="0"/>
        <w:pageBreakBefore w:val="0"/>
        <w:wordWrap w:val="0"/>
        <w:overflowPunct/>
        <w:topLinePunct w:val="0"/>
        <w:bidi w:val="0"/>
        <w:spacing w:before="155" w:line="324"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6.1  </w:t>
      </w:r>
      <w:r>
        <w:rPr>
          <w:rFonts w:hint="eastAsia" w:ascii="宋体" w:hAnsi="宋体" w:eastAsia="宋体" w:cs="宋体"/>
          <w:color w:val="auto"/>
          <w:spacing w:val="0"/>
          <w:sz w:val="24"/>
          <w:szCs w:val="24"/>
          <w:highlight w:val="none"/>
        </w:rPr>
        <w:t>招标人仅在本招标项目征地红线范围内提供场地，其他一切场地费用由中标人自行负责（含临时道路</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临时道路需要招标人要求保证但不限于保留至少一条足够行人通行的临时道路</w:t>
      </w:r>
      <w:r>
        <w:rPr>
          <w:rFonts w:hint="eastAsia" w:ascii="宋体" w:hAnsi="宋体" w:eastAsia="宋体" w:cs="宋体"/>
          <w:color w:val="auto"/>
          <w:spacing w:val="0"/>
          <w:sz w:val="24"/>
          <w:szCs w:val="24"/>
          <w:highlight w:val="none"/>
        </w:rPr>
        <w:t>）。</w:t>
      </w:r>
    </w:p>
    <w:p w14:paraId="5103988C">
      <w:pPr>
        <w:keepNext w:val="0"/>
        <w:keepLines w:val="0"/>
        <w:pageBreakBefore w:val="0"/>
        <w:wordWrap w:val="0"/>
        <w:overflowPunct/>
        <w:topLinePunct w:val="0"/>
        <w:bidi w:val="0"/>
        <w:spacing w:before="155" w:line="324" w:lineRule="auto"/>
        <w:ind w:left="12" w:right="99" w:firstLine="556"/>
        <w:rPr>
          <w:rFonts w:hint="eastAsia" w:ascii="宋体" w:hAnsi="宋体" w:eastAsia="宋体" w:cs="宋体"/>
          <w:color w:val="auto"/>
          <w:spacing w:val="0"/>
          <w:sz w:val="24"/>
          <w:szCs w:val="24"/>
          <w:highlight w:val="none"/>
        </w:rPr>
      </w:pPr>
      <w:bookmarkStart w:id="28" w:name="bookmark118"/>
      <w:bookmarkEnd w:id="28"/>
      <w:r>
        <w:rPr>
          <w:rFonts w:hint="eastAsia" w:ascii="宋体" w:hAnsi="宋体" w:eastAsia="宋体" w:cs="宋体"/>
          <w:b/>
          <w:bCs/>
          <w:color w:val="auto"/>
          <w:spacing w:val="0"/>
          <w:sz w:val="24"/>
          <w:szCs w:val="24"/>
          <w:highlight w:val="none"/>
        </w:rPr>
        <w:t>6.2</w:t>
      </w:r>
      <w:r>
        <w:rPr>
          <w:rFonts w:hint="eastAsia" w:ascii="宋体" w:hAnsi="宋体" w:eastAsia="宋体" w:cs="宋体"/>
          <w:color w:val="auto"/>
          <w:spacing w:val="0"/>
          <w:sz w:val="24"/>
          <w:szCs w:val="24"/>
          <w:highlight w:val="none"/>
        </w:rPr>
        <w:t xml:space="preserve">  施工用水：</w:t>
      </w:r>
      <w:r>
        <w:rPr>
          <w:rFonts w:hint="eastAsia" w:ascii="宋体" w:hAnsi="宋体" w:eastAsia="宋体" w:cs="宋体"/>
          <w:color w:val="auto"/>
          <w:spacing w:val="0"/>
          <w:sz w:val="24"/>
          <w:szCs w:val="24"/>
          <w:highlight w:val="none"/>
          <w:u w:val="single"/>
        </w:rPr>
        <w:t xml:space="preserve"> 由中标人自行解决，费用考虑在投标报价中</w:t>
      </w:r>
      <w:r>
        <w:rPr>
          <w:rFonts w:hint="eastAsia" w:ascii="宋体" w:hAnsi="宋体" w:eastAsia="宋体" w:cs="宋体"/>
          <w:color w:val="auto"/>
          <w:spacing w:val="0"/>
          <w:sz w:val="24"/>
          <w:szCs w:val="24"/>
          <w:highlight w:val="none"/>
        </w:rPr>
        <w:t>。</w:t>
      </w:r>
    </w:p>
    <w:p w14:paraId="733D2F92">
      <w:pPr>
        <w:keepNext w:val="0"/>
        <w:keepLines w:val="0"/>
        <w:pageBreakBefore w:val="0"/>
        <w:wordWrap w:val="0"/>
        <w:overflowPunct/>
        <w:topLinePunct w:val="0"/>
        <w:bidi w:val="0"/>
        <w:spacing w:before="155" w:line="324"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6.3</w:t>
      </w:r>
      <w:r>
        <w:rPr>
          <w:rFonts w:hint="eastAsia" w:ascii="宋体" w:hAnsi="宋体" w:eastAsia="宋体" w:cs="宋体"/>
          <w:color w:val="auto"/>
          <w:spacing w:val="0"/>
          <w:sz w:val="24"/>
          <w:szCs w:val="24"/>
          <w:highlight w:val="none"/>
        </w:rPr>
        <w:t xml:space="preserve">  施工用电：</w:t>
      </w:r>
      <w:r>
        <w:rPr>
          <w:rFonts w:hint="eastAsia" w:ascii="宋体" w:hAnsi="宋体" w:eastAsia="宋体" w:cs="宋体"/>
          <w:color w:val="auto"/>
          <w:spacing w:val="0"/>
          <w:sz w:val="24"/>
          <w:szCs w:val="24"/>
          <w:highlight w:val="none"/>
          <w:u w:val="single"/>
        </w:rPr>
        <w:t xml:space="preserve"> 由中标人自行解决，费用考虑在投标报价中</w:t>
      </w:r>
      <w:r>
        <w:rPr>
          <w:rFonts w:hint="eastAsia" w:ascii="宋体" w:hAnsi="宋体" w:eastAsia="宋体" w:cs="宋体"/>
          <w:color w:val="auto"/>
          <w:spacing w:val="0"/>
          <w:sz w:val="24"/>
          <w:szCs w:val="24"/>
          <w:highlight w:val="none"/>
        </w:rPr>
        <w:t>。</w:t>
      </w:r>
    </w:p>
    <w:p w14:paraId="44DCDA93">
      <w:pPr>
        <w:keepNext w:val="0"/>
        <w:keepLines w:val="0"/>
        <w:pageBreakBefore w:val="0"/>
        <w:wordWrap w:val="0"/>
        <w:overflowPunct/>
        <w:topLinePunct w:val="0"/>
        <w:bidi w:val="0"/>
        <w:spacing w:before="155" w:line="324"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6.4</w:t>
      </w:r>
      <w:r>
        <w:rPr>
          <w:rFonts w:hint="eastAsia" w:ascii="宋体" w:hAnsi="宋体" w:eastAsia="宋体" w:cs="宋体"/>
          <w:color w:val="auto"/>
          <w:spacing w:val="0"/>
          <w:sz w:val="24"/>
          <w:szCs w:val="24"/>
          <w:highlight w:val="none"/>
        </w:rPr>
        <w:t xml:space="preserve">  施工用水、用电各提供一驳接点到现场边缘。要求中标人单独安装水表、电表，其水、电费按项目所在地</w:t>
      </w:r>
      <w:r>
        <w:rPr>
          <w:rFonts w:hint="eastAsia" w:ascii="宋体" w:hAnsi="宋体" w:eastAsia="宋体" w:cs="宋体"/>
          <w:color w:val="auto"/>
          <w:spacing w:val="0"/>
          <w:sz w:val="24"/>
          <w:szCs w:val="24"/>
          <w:highlight w:val="none"/>
          <w:u w:val="single"/>
          <w:lang w:val="en-US" w:eastAsia="zh-CN"/>
        </w:rPr>
        <w:t>韶关市</w:t>
      </w:r>
      <w:r>
        <w:rPr>
          <w:rFonts w:hint="eastAsia" w:ascii="宋体" w:hAnsi="宋体" w:eastAsia="宋体" w:cs="宋体"/>
          <w:color w:val="auto"/>
          <w:spacing w:val="0"/>
          <w:sz w:val="24"/>
          <w:szCs w:val="24"/>
          <w:highlight w:val="none"/>
        </w:rPr>
        <w:t>基建工程水、电计费标准计算并由中标人缴纳。</w:t>
      </w:r>
    </w:p>
    <w:p w14:paraId="52ABD7ED">
      <w:pPr>
        <w:keepNext w:val="0"/>
        <w:keepLines w:val="0"/>
        <w:pageBreakBefore w:val="0"/>
        <w:wordWrap w:val="0"/>
        <w:overflowPunct/>
        <w:topLinePunct w:val="0"/>
        <w:bidi w:val="0"/>
        <w:spacing w:before="154" w:line="299"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6.5  </w:t>
      </w:r>
      <w:r>
        <w:rPr>
          <w:rFonts w:hint="eastAsia" w:ascii="宋体" w:hAnsi="宋体" w:eastAsia="宋体" w:cs="宋体"/>
          <w:color w:val="auto"/>
          <w:spacing w:val="0"/>
          <w:sz w:val="24"/>
          <w:szCs w:val="24"/>
          <w:highlight w:val="none"/>
        </w:rPr>
        <w:t>招标人不组织现场踏勘，但会在招标文件及有关设计文件中明确告知招标项目的具体位置和周边环境，并在现场设置足以识别的标识或提供足以表明招标项目具体位置的文字或图片。投标人需要了解现场情况的</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可自行进行现场踏勘。</w:t>
      </w:r>
    </w:p>
    <w:p w14:paraId="635FDD63">
      <w:pPr>
        <w:keepNext w:val="0"/>
        <w:keepLines w:val="0"/>
        <w:pageBreakBefore w:val="0"/>
        <w:wordWrap w:val="0"/>
        <w:overflowPunct/>
        <w:topLinePunct w:val="0"/>
        <w:bidi w:val="0"/>
        <w:spacing w:before="153" w:line="280"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6.6  </w:t>
      </w:r>
      <w:r>
        <w:rPr>
          <w:rFonts w:hint="eastAsia" w:ascii="宋体" w:hAnsi="宋体" w:eastAsia="宋体" w:cs="宋体"/>
          <w:color w:val="auto"/>
          <w:spacing w:val="0"/>
          <w:sz w:val="24"/>
          <w:szCs w:val="24"/>
          <w:highlight w:val="none"/>
        </w:rPr>
        <w:t>在现场踏勘过程中，投标人应确保自身安全，投标人如果发生人身伤亡、财物或其他损失，法律法规有规定的按有关规定处理，没有规定的由投标人自行负责。</w:t>
      </w:r>
    </w:p>
    <w:p w14:paraId="6D263223">
      <w:pPr>
        <w:keepNext w:val="0"/>
        <w:keepLines w:val="0"/>
        <w:pageBreakBefore w:val="0"/>
        <w:wordWrap w:val="0"/>
        <w:overflowPunct/>
        <w:topLinePunct w:val="0"/>
        <w:bidi w:val="0"/>
        <w:spacing w:before="153" w:line="220" w:lineRule="auto"/>
        <w:ind w:left="568"/>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6.7  </w:t>
      </w:r>
      <w:r>
        <w:rPr>
          <w:rFonts w:hint="eastAsia" w:ascii="宋体" w:hAnsi="宋体" w:eastAsia="宋体" w:cs="宋体"/>
          <w:color w:val="auto"/>
          <w:spacing w:val="0"/>
          <w:sz w:val="24"/>
          <w:szCs w:val="24"/>
          <w:highlight w:val="none"/>
        </w:rPr>
        <w:t>现场踏勘期间的交通、食宿由投标人自行安排，费用自理。</w:t>
      </w:r>
    </w:p>
    <w:p w14:paraId="1C338073">
      <w:pPr>
        <w:keepNext w:val="0"/>
        <w:keepLines w:val="0"/>
        <w:pageBreakBefore w:val="0"/>
        <w:wordWrap w:val="0"/>
        <w:overflowPunct/>
        <w:topLinePunct w:val="0"/>
        <w:bidi w:val="0"/>
        <w:spacing w:before="78" w:line="220" w:lineRule="auto"/>
        <w:ind w:left="488"/>
        <w:outlineLvl w:val="2"/>
        <w:rPr>
          <w:rFonts w:hint="eastAsia" w:ascii="宋体" w:hAnsi="宋体" w:eastAsia="宋体" w:cs="宋体"/>
          <w:color w:val="auto"/>
          <w:spacing w:val="0"/>
          <w:sz w:val="24"/>
          <w:szCs w:val="24"/>
          <w:highlight w:val="none"/>
        </w:rPr>
      </w:pPr>
      <w:bookmarkStart w:id="29" w:name="bookmark81"/>
      <w:bookmarkEnd w:id="29"/>
      <w:bookmarkStart w:id="30" w:name="bookmark67"/>
      <w:bookmarkEnd w:id="30"/>
      <w:bookmarkStart w:id="31" w:name="bookmark69"/>
      <w:bookmarkEnd w:id="31"/>
      <w:bookmarkStart w:id="32" w:name="_Toc28189"/>
      <w:bookmarkStart w:id="33" w:name="_Toc15543"/>
      <w:r>
        <w:rPr>
          <w:rFonts w:hint="eastAsia" w:ascii="宋体" w:hAnsi="宋体" w:eastAsia="宋体" w:cs="宋体"/>
          <w:b/>
          <w:bCs/>
          <w:color w:val="auto"/>
          <w:spacing w:val="0"/>
          <w:sz w:val="24"/>
          <w:szCs w:val="24"/>
          <w:highlight w:val="none"/>
        </w:rPr>
        <w:t>7 ．招标文件的提问和答疑</w:t>
      </w:r>
      <w:bookmarkEnd w:id="32"/>
      <w:bookmarkEnd w:id="33"/>
    </w:p>
    <w:p w14:paraId="6AF83406">
      <w:pPr>
        <w:keepNext w:val="0"/>
        <w:keepLines w:val="0"/>
        <w:pageBreakBefore w:val="0"/>
        <w:wordWrap w:val="0"/>
        <w:overflowPunct/>
        <w:topLinePunct w:val="0"/>
        <w:bidi w:val="0"/>
        <w:spacing w:before="153" w:line="299" w:lineRule="auto"/>
        <w:ind w:left="9" w:right="16" w:firstLine="47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7.1  </w:t>
      </w:r>
      <w:r>
        <w:rPr>
          <w:rFonts w:hint="eastAsia" w:ascii="宋体" w:hAnsi="宋体" w:eastAsia="宋体" w:cs="宋体"/>
          <w:color w:val="auto"/>
          <w:spacing w:val="0"/>
          <w:sz w:val="24"/>
          <w:szCs w:val="24"/>
          <w:highlight w:val="none"/>
        </w:rPr>
        <w:t>投标人若对招标文件（含施工图、招标工程量清单）有疑问，应在提问截止时间（见本章第二节“重要事项时间地点一览表 ”）前使用建设工程交易系统提出问题。未在指定时间前、未采用指定方式提出的，招标人不予受理。</w:t>
      </w:r>
    </w:p>
    <w:p w14:paraId="6DA114B8">
      <w:pPr>
        <w:keepNext w:val="0"/>
        <w:keepLines w:val="0"/>
        <w:pageBreakBefore w:val="0"/>
        <w:wordWrap w:val="0"/>
        <w:overflowPunct/>
        <w:topLinePunct w:val="0"/>
        <w:bidi w:val="0"/>
        <w:spacing w:before="154" w:line="309"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7.2  </w:t>
      </w:r>
      <w:r>
        <w:rPr>
          <w:rFonts w:hint="eastAsia" w:ascii="宋体" w:hAnsi="宋体" w:eastAsia="宋体" w:cs="宋体"/>
          <w:color w:val="auto"/>
          <w:spacing w:val="0"/>
          <w:sz w:val="24"/>
          <w:szCs w:val="24"/>
          <w:highlight w:val="none"/>
        </w:rPr>
        <w:t>招标人在提问截止时间（见本章第二节“重要事项时间地点一览表 ”）后 3 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38B4B7A2">
      <w:pPr>
        <w:keepNext w:val="0"/>
        <w:keepLines w:val="0"/>
        <w:pageBreakBefore w:val="0"/>
        <w:wordWrap w:val="0"/>
        <w:overflowPunct/>
        <w:topLinePunct w:val="0"/>
        <w:bidi w:val="0"/>
        <w:spacing w:before="152" w:line="219" w:lineRule="auto"/>
        <w:ind w:firstLine="482" w:firstLineChars="200"/>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7.3  </w:t>
      </w:r>
      <w:r>
        <w:rPr>
          <w:rFonts w:hint="eastAsia" w:ascii="宋体" w:hAnsi="宋体" w:eastAsia="宋体" w:cs="宋体"/>
          <w:color w:val="auto"/>
          <w:spacing w:val="0"/>
          <w:sz w:val="24"/>
          <w:szCs w:val="24"/>
          <w:highlight w:val="none"/>
        </w:rPr>
        <w:t>招标人对招标文件所作的答疑（或修改）公告，构成招标文件的组成部分。</w:t>
      </w:r>
    </w:p>
    <w:p w14:paraId="7D0F7DC9">
      <w:pPr>
        <w:keepNext w:val="0"/>
        <w:keepLines w:val="0"/>
        <w:pageBreakBefore w:val="0"/>
        <w:wordWrap w:val="0"/>
        <w:overflowPunct/>
        <w:topLinePunct w:val="0"/>
        <w:bidi w:val="0"/>
        <w:spacing w:before="79" w:line="219" w:lineRule="auto"/>
        <w:ind w:left="488"/>
        <w:outlineLvl w:val="2"/>
        <w:rPr>
          <w:rFonts w:hint="eastAsia" w:ascii="宋体" w:hAnsi="宋体" w:eastAsia="宋体" w:cs="宋体"/>
          <w:color w:val="auto"/>
          <w:spacing w:val="0"/>
          <w:sz w:val="24"/>
          <w:szCs w:val="24"/>
          <w:highlight w:val="none"/>
        </w:rPr>
      </w:pPr>
      <w:bookmarkStart w:id="34" w:name="_Toc6897"/>
      <w:bookmarkStart w:id="35" w:name="_Toc25170"/>
      <w:r>
        <w:rPr>
          <w:rFonts w:hint="eastAsia" w:ascii="宋体" w:hAnsi="宋体" w:eastAsia="宋体" w:cs="宋体"/>
          <w:b/>
          <w:bCs/>
          <w:color w:val="auto"/>
          <w:spacing w:val="0"/>
          <w:sz w:val="24"/>
          <w:szCs w:val="24"/>
          <w:highlight w:val="none"/>
        </w:rPr>
        <w:t>8 ．</w:t>
      </w:r>
      <w:bookmarkEnd w:id="34"/>
      <w:r>
        <w:rPr>
          <w:rFonts w:hint="eastAsia" w:ascii="宋体" w:hAnsi="宋体" w:eastAsia="宋体" w:cs="宋体"/>
          <w:b/>
          <w:bCs/>
          <w:color w:val="auto"/>
          <w:spacing w:val="0"/>
          <w:sz w:val="24"/>
          <w:szCs w:val="24"/>
          <w:highlight w:val="none"/>
          <w:lang w:val="en-US" w:eastAsia="zh-CN"/>
        </w:rPr>
        <w:t>最高投标限价</w:t>
      </w:r>
      <w:bookmarkEnd w:id="35"/>
    </w:p>
    <w:p w14:paraId="3576ADAD">
      <w:pPr>
        <w:keepNext w:val="0"/>
        <w:keepLines w:val="0"/>
        <w:pageBreakBefore w:val="0"/>
        <w:wordWrap w:val="0"/>
        <w:overflowPunct/>
        <w:topLinePunct w:val="0"/>
        <w:bidi w:val="0"/>
        <w:spacing w:before="155" w:line="219"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8.1  </w:t>
      </w:r>
      <w:r>
        <w:rPr>
          <w:rFonts w:hint="eastAsia" w:ascii="宋体" w:hAnsi="宋体" w:eastAsia="宋体" w:cs="宋体"/>
          <w:color w:val="auto"/>
          <w:spacing w:val="0"/>
          <w:sz w:val="24"/>
          <w:szCs w:val="24"/>
          <w:highlight w:val="none"/>
        </w:rPr>
        <w:t>本招标项目按照以下依据编制</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w:t>
      </w:r>
    </w:p>
    <w:p w14:paraId="65116B5F">
      <w:pPr>
        <w:keepNext w:val="0"/>
        <w:keepLines w:val="0"/>
        <w:pageBreakBefore w:val="0"/>
        <w:wordWrap w:val="0"/>
        <w:overflowPunct/>
        <w:topLinePunct w:val="0"/>
        <w:bidi w:val="0"/>
        <w:spacing w:before="157"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5E6079EC">
      <w:pPr>
        <w:keepNext w:val="0"/>
        <w:keepLines w:val="0"/>
        <w:pageBreakBefore w:val="0"/>
        <w:wordWrap w:val="0"/>
        <w:overflowPunct/>
        <w:topLinePunct w:val="0"/>
        <w:bidi w:val="0"/>
        <w:spacing w:before="153" w:line="309" w:lineRule="auto"/>
        <w:ind w:left="9" w:right="16"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54FF3A8F">
      <w:pPr>
        <w:keepNext w:val="0"/>
        <w:keepLines w:val="0"/>
        <w:pageBreakBefore w:val="0"/>
        <w:wordWrap w:val="0"/>
        <w:overflowPunct/>
        <w:topLinePunct w:val="0"/>
        <w:bidi w:val="0"/>
        <w:spacing w:before="154" w:line="221"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（3）施工图及相关资料；</w:t>
      </w:r>
    </w:p>
    <w:p w14:paraId="3458AB67">
      <w:pPr>
        <w:keepNext w:val="0"/>
        <w:keepLines w:val="0"/>
        <w:pageBreakBefore w:val="0"/>
        <w:wordWrap w:val="0"/>
        <w:overflowPunct/>
        <w:topLinePunct w:val="0"/>
        <w:bidi w:val="0"/>
        <w:spacing w:before="78" w:line="220" w:lineRule="auto"/>
        <w:ind w:left="502"/>
        <w:rPr>
          <w:rFonts w:hint="eastAsia" w:ascii="宋体" w:hAnsi="宋体" w:eastAsia="宋体" w:cs="宋体"/>
          <w:color w:val="auto"/>
          <w:spacing w:val="0"/>
          <w:sz w:val="24"/>
          <w:szCs w:val="24"/>
          <w:highlight w:val="none"/>
        </w:rPr>
      </w:pPr>
      <w:bookmarkStart w:id="36" w:name="bookmark119"/>
      <w:bookmarkEnd w:id="36"/>
      <w:r>
        <w:rPr>
          <w:rFonts w:hint="eastAsia" w:ascii="宋体" w:hAnsi="宋体" w:eastAsia="宋体" w:cs="宋体"/>
          <w:color w:val="auto"/>
          <w:spacing w:val="0"/>
          <w:sz w:val="24"/>
          <w:szCs w:val="24"/>
          <w:highlight w:val="none"/>
        </w:rPr>
        <w:t>（4）招标文件及招标工程量清单；</w:t>
      </w:r>
    </w:p>
    <w:p w14:paraId="3CD70E63">
      <w:pPr>
        <w:keepNext w:val="0"/>
        <w:keepLines w:val="0"/>
        <w:pageBreakBefore w:val="0"/>
        <w:wordWrap w:val="0"/>
        <w:overflowPunct/>
        <w:topLinePunct w:val="0"/>
        <w:bidi w:val="0"/>
        <w:spacing w:before="155" w:line="220" w:lineRule="auto"/>
        <w:ind w:left="5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（5）施工现场情况、工程特点及常规施工方案；</w:t>
      </w:r>
    </w:p>
    <w:p w14:paraId="64AAE475">
      <w:pPr>
        <w:keepNext w:val="0"/>
        <w:keepLines w:val="0"/>
        <w:pageBreakBefore w:val="0"/>
        <w:wordWrap w:val="0"/>
        <w:overflowPunct/>
        <w:topLinePunct w:val="0"/>
        <w:bidi w:val="0"/>
        <w:spacing w:before="153" w:line="278" w:lineRule="auto"/>
        <w:ind w:left="12" w:right="136"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（6）项目所在地工程造价管理机构发布的工程造价信息，工程造价信息缺项的，参照市场价格；</w:t>
      </w:r>
    </w:p>
    <w:p w14:paraId="7D623C2E">
      <w:pPr>
        <w:keepNext w:val="0"/>
        <w:keepLines w:val="0"/>
        <w:pageBreakBefore w:val="0"/>
        <w:wordWrap w:val="0"/>
        <w:overflowPunct/>
        <w:topLinePunct w:val="0"/>
        <w:bidi w:val="0"/>
        <w:spacing w:before="157" w:line="360" w:lineRule="auto"/>
        <w:ind w:left="5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（7）与建设项目相关的标准、规范、技术资料。</w:t>
      </w:r>
    </w:p>
    <w:p w14:paraId="7247673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szCs w:val="24"/>
          <w:highlight w:val="none"/>
          <w:lang w:eastAsia="zh-CN"/>
        </w:rPr>
      </w:pPr>
      <w:r>
        <w:rPr>
          <w:rFonts w:hint="eastAsia" w:ascii="宋体" w:hAnsi="宋体" w:eastAsia="宋体" w:cs="宋体"/>
          <w:b/>
          <w:bCs/>
          <w:color w:val="auto"/>
          <w:spacing w:val="0"/>
          <w:sz w:val="24"/>
          <w:szCs w:val="24"/>
          <w:highlight w:val="none"/>
        </w:rPr>
        <w:t xml:space="preserve">8.2 </w:t>
      </w:r>
      <w:r>
        <w:rPr>
          <w:rFonts w:hint="eastAsia" w:ascii="宋体" w:hAnsi="宋体" w:eastAsia="宋体" w:cs="宋体"/>
          <w:b/>
          <w:bCs/>
          <w:color w:val="auto"/>
          <w:highlight w:val="none"/>
        </w:rPr>
        <w:t>本次招标项目招标控制价为人</w:t>
      </w:r>
      <w:r>
        <w:rPr>
          <w:rFonts w:hint="eastAsia" w:ascii="宋体" w:hAnsi="宋体" w:eastAsia="宋体" w:cs="宋体"/>
          <w:b/>
          <w:bCs/>
          <w:color w:val="auto"/>
          <w:sz w:val="24"/>
          <w:szCs w:val="24"/>
          <w:highlight w:val="none"/>
        </w:rPr>
        <w:t>民币(大写)：</w:t>
      </w:r>
      <w:r>
        <w:rPr>
          <w:rStyle w:val="22"/>
          <w:rFonts w:ascii="Segoe UI" w:hAnsi="Segoe UI" w:eastAsia="Segoe UI" w:cs="Segoe UI"/>
          <w:b/>
          <w:bCs/>
          <w:i w:val="0"/>
          <w:iCs w:val="0"/>
          <w:caps w:val="0"/>
          <w:color w:val="555555"/>
          <w:spacing w:val="0"/>
          <w:sz w:val="24"/>
          <w:szCs w:val="24"/>
        </w:rPr>
        <w:t>叁佰陆拾陆万玖仟陆佰叁拾壹元肆角陆分</w:t>
      </w:r>
      <w:r>
        <w:rPr>
          <w:rFonts w:hint="eastAsia" w:ascii="宋体" w:hAnsi="宋体" w:eastAsia="宋体" w:cs="宋体"/>
          <w:b/>
          <w:bCs/>
          <w:color w:val="auto"/>
          <w:sz w:val="24"/>
          <w:szCs w:val="24"/>
          <w:highlight w:val="none"/>
          <w:u w:val="none"/>
        </w:rPr>
        <w:t>（</w:t>
      </w:r>
      <w:r>
        <w:rPr>
          <w:rFonts w:hint="eastAsia" w:ascii="宋体" w:hAnsi="宋体" w:eastAsia="宋体" w:cs="宋体"/>
          <w:b/>
          <w:bCs/>
          <w:color w:val="auto"/>
          <w:sz w:val="24"/>
          <w:szCs w:val="24"/>
          <w:highlight w:val="none"/>
          <w:u w:val="none"/>
          <w:lang w:eastAsia="zh-CN"/>
        </w:rPr>
        <w:t>￥</w:t>
      </w:r>
      <w:r>
        <w:rPr>
          <w:rFonts w:hint="eastAsia" w:ascii="宋体" w:hAnsi="宋体" w:cs="宋体"/>
          <w:b/>
          <w:bCs/>
          <w:color w:val="auto"/>
          <w:sz w:val="24"/>
          <w:szCs w:val="24"/>
          <w:highlight w:val="none"/>
          <w:u w:val="none"/>
          <w:lang w:val="en-US" w:eastAsia="zh-CN"/>
        </w:rPr>
        <w:t>3669631.46</w:t>
      </w:r>
      <w:r>
        <w:rPr>
          <w:rFonts w:hint="eastAsia" w:ascii="宋体" w:hAnsi="宋体" w:eastAsia="宋体" w:cs="宋体"/>
          <w:b/>
          <w:bCs/>
          <w:color w:val="auto"/>
          <w:sz w:val="24"/>
          <w:szCs w:val="24"/>
          <w:highlight w:val="none"/>
          <w:u w:val="none"/>
        </w:rPr>
        <w:t>元）</w:t>
      </w:r>
      <w:r>
        <w:rPr>
          <w:rFonts w:hint="eastAsia" w:ascii="宋体" w:hAnsi="宋体" w:eastAsia="宋体" w:cs="宋体"/>
          <w:b/>
          <w:bCs/>
          <w:color w:val="auto"/>
          <w:sz w:val="24"/>
          <w:szCs w:val="24"/>
          <w:highlight w:val="none"/>
        </w:rPr>
        <w:t>。其中：</w:t>
      </w:r>
      <w:r>
        <w:rPr>
          <w:rFonts w:hint="eastAsia" w:ascii="宋体" w:hAnsi="宋体" w:cs="宋体"/>
          <w:b/>
          <w:bCs/>
          <w:color w:val="auto"/>
          <w:sz w:val="24"/>
          <w:szCs w:val="24"/>
          <w:highlight w:val="none"/>
          <w:lang w:val="en-US" w:eastAsia="zh-CN"/>
        </w:rPr>
        <w:t>暂列金</w:t>
      </w:r>
      <w:r>
        <w:rPr>
          <w:rFonts w:hint="eastAsia" w:ascii="宋体" w:hAnsi="宋体" w:eastAsia="宋体" w:cs="宋体"/>
          <w:b/>
          <w:bCs/>
          <w:color w:val="auto"/>
          <w:sz w:val="24"/>
          <w:szCs w:val="24"/>
          <w:highlight w:val="none"/>
          <w:lang w:eastAsia="zh-CN"/>
        </w:rPr>
        <w:t>￥</w:t>
      </w:r>
      <w:r>
        <w:rPr>
          <w:rFonts w:hint="eastAsia" w:ascii="宋体" w:hAnsi="宋体" w:cs="宋体"/>
          <w:b/>
          <w:bCs/>
          <w:color w:val="auto"/>
          <w:sz w:val="24"/>
          <w:szCs w:val="24"/>
          <w:highlight w:val="none"/>
          <w:u w:val="single"/>
          <w:lang w:val="en-US" w:eastAsia="zh-CN"/>
        </w:rPr>
        <w:t>293409.29</w:t>
      </w:r>
      <w:r>
        <w:rPr>
          <w:rFonts w:hint="eastAsia" w:ascii="宋体" w:hAnsi="宋体" w:eastAsia="宋体" w:cs="宋体"/>
          <w:b/>
          <w:bCs/>
          <w:color w:val="auto"/>
          <w:sz w:val="24"/>
          <w:szCs w:val="24"/>
          <w:highlight w:val="none"/>
        </w:rPr>
        <w:t>元</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专业工程</w:t>
      </w:r>
      <w:r>
        <w:rPr>
          <w:rFonts w:hint="eastAsia" w:ascii="宋体" w:hAnsi="宋体" w:cs="宋体"/>
          <w:b/>
          <w:bCs/>
          <w:color w:val="auto"/>
          <w:sz w:val="24"/>
          <w:szCs w:val="24"/>
          <w:highlight w:val="none"/>
          <w:lang w:val="en-US" w:eastAsia="zh-CN"/>
        </w:rPr>
        <w:t>暂估价</w:t>
      </w:r>
      <w:r>
        <w:rPr>
          <w:rFonts w:hint="eastAsia" w:ascii="宋体" w:hAnsi="宋体" w:eastAsia="宋体" w:cs="宋体"/>
          <w:b/>
          <w:bCs/>
          <w:color w:val="auto"/>
          <w:sz w:val="24"/>
          <w:szCs w:val="24"/>
          <w:highlight w:val="none"/>
          <w:lang w:eastAsia="zh-CN"/>
        </w:rPr>
        <w:t>￥</w:t>
      </w:r>
      <w:r>
        <w:rPr>
          <w:rFonts w:hint="eastAsia" w:ascii="宋体" w:hAnsi="宋体" w:cs="宋体"/>
          <w:b/>
          <w:bCs/>
          <w:color w:val="auto"/>
          <w:sz w:val="24"/>
          <w:szCs w:val="24"/>
          <w:highlight w:val="none"/>
          <w:u w:val="single"/>
          <w:lang w:val="en-US" w:eastAsia="zh-CN"/>
        </w:rPr>
        <w:t>66630.820</w:t>
      </w:r>
      <w:r>
        <w:rPr>
          <w:rFonts w:hint="eastAsia" w:ascii="宋体" w:hAnsi="宋体" w:eastAsia="宋体" w:cs="宋体"/>
          <w:b/>
          <w:bCs/>
          <w:color w:val="auto"/>
          <w:sz w:val="24"/>
          <w:szCs w:val="24"/>
          <w:highlight w:val="none"/>
        </w:rPr>
        <w:t>元</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安全生产措施费</w:t>
      </w:r>
      <w:r>
        <w:rPr>
          <w:rFonts w:hint="eastAsia" w:ascii="宋体" w:hAnsi="宋体" w:cs="宋体"/>
          <w:b/>
          <w:bCs/>
          <w:color w:val="auto"/>
          <w:sz w:val="24"/>
          <w:szCs w:val="24"/>
          <w:highlight w:val="none"/>
          <w:lang w:val="en-US" w:eastAsia="zh-CN"/>
        </w:rPr>
        <w:t>（不得低于）</w:t>
      </w:r>
      <w:r>
        <w:rPr>
          <w:rFonts w:hint="eastAsia" w:ascii="宋体" w:hAnsi="宋体" w:eastAsia="宋体" w:cs="宋体"/>
          <w:b/>
          <w:bCs/>
          <w:color w:val="auto"/>
          <w:sz w:val="24"/>
          <w:szCs w:val="24"/>
          <w:highlight w:val="none"/>
          <w:lang w:eastAsia="zh-CN"/>
        </w:rPr>
        <w:t>￥</w:t>
      </w:r>
      <w:r>
        <w:rPr>
          <w:rFonts w:hint="eastAsia" w:ascii="宋体" w:hAnsi="宋体" w:cs="宋体"/>
          <w:b/>
          <w:bCs/>
          <w:color w:val="auto"/>
          <w:sz w:val="24"/>
          <w:szCs w:val="24"/>
          <w:highlight w:val="none"/>
          <w:u w:val="single"/>
          <w:lang w:val="en-US" w:eastAsia="zh-CN"/>
        </w:rPr>
        <w:t>115240.82</w:t>
      </w:r>
      <w:r>
        <w:rPr>
          <w:rFonts w:hint="eastAsia" w:ascii="宋体" w:hAnsi="宋体" w:eastAsia="宋体" w:cs="宋体"/>
          <w:b/>
          <w:bCs/>
          <w:color w:val="auto"/>
          <w:sz w:val="24"/>
          <w:szCs w:val="24"/>
          <w:highlight w:val="none"/>
        </w:rPr>
        <w:t>元</w:t>
      </w:r>
      <w:r>
        <w:rPr>
          <w:rFonts w:hint="eastAsia" w:ascii="宋体" w:hAnsi="宋体" w:cs="宋体"/>
          <w:b/>
          <w:bCs/>
          <w:color w:val="auto"/>
          <w:sz w:val="24"/>
          <w:szCs w:val="24"/>
          <w:highlight w:val="none"/>
          <w:lang w:eastAsia="zh-CN"/>
        </w:rPr>
        <w:t>。</w:t>
      </w:r>
    </w:p>
    <w:p w14:paraId="61CEE3F6">
      <w:pPr>
        <w:pStyle w:val="15"/>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firstLine="482"/>
        <w:textAlignment w:val="auto"/>
        <w:rPr>
          <w:rFonts w:hint="default" w:ascii="微软雅黑" w:hAnsi="微软雅黑" w:eastAsia="宋体" w:cs="微软雅黑"/>
          <w:b/>
          <w:bCs/>
          <w:i w:val="0"/>
          <w:iCs w:val="0"/>
          <w:caps w:val="0"/>
          <w:spacing w:val="0"/>
          <w:sz w:val="21"/>
          <w:szCs w:val="21"/>
          <w:lang w:val="en-US" w:eastAsia="zh-CN"/>
        </w:rPr>
      </w:pPr>
      <w:r>
        <w:rPr>
          <w:rFonts w:hint="eastAsia" w:ascii="宋体" w:hAnsi="宋体" w:eastAsia="宋体" w:cs="宋体"/>
          <w:b/>
          <w:bCs/>
          <w:i w:val="0"/>
          <w:iCs w:val="0"/>
          <w:caps w:val="0"/>
          <w:spacing w:val="0"/>
          <w:sz w:val="24"/>
          <w:szCs w:val="24"/>
          <w:shd w:val="clear" w:color="auto" w:fill="FFFFFF"/>
        </w:rPr>
        <w:t>注：本项目招标控制价由韶关市曲江区投资评审中心提供。</w:t>
      </w:r>
      <w:r>
        <w:rPr>
          <w:rFonts w:hint="eastAsia" w:ascii="宋体" w:hAnsi="宋体" w:eastAsia="宋体" w:cs="宋体"/>
          <w:b/>
          <w:bCs/>
          <w:i w:val="0"/>
          <w:iCs w:val="0"/>
          <w:caps w:val="0"/>
          <w:spacing w:val="0"/>
          <w:sz w:val="24"/>
          <w:szCs w:val="24"/>
          <w:shd w:val="clear" w:color="auto" w:fill="FFFFFF"/>
          <w:lang w:val="en-US" w:eastAsia="zh-CN"/>
        </w:rPr>
        <w:t>招标控制价已按韶曲府办【2025】8号文规定</w:t>
      </w:r>
      <w:r>
        <w:rPr>
          <w:rFonts w:hint="eastAsia" w:ascii="宋体" w:hAnsi="宋体" w:eastAsia="宋体" w:cs="宋体"/>
          <w:b/>
          <w:bCs/>
          <w:i w:val="0"/>
          <w:iCs w:val="0"/>
          <w:caps w:val="0"/>
          <w:spacing w:val="0"/>
          <w:sz w:val="24"/>
          <w:szCs w:val="24"/>
          <w:shd w:val="clear" w:color="auto" w:fill="FFFFFF"/>
        </w:rPr>
        <w:t>土建工程下浮5%</w:t>
      </w:r>
      <w:r>
        <w:rPr>
          <w:rFonts w:hint="eastAsia" w:ascii="宋体" w:hAnsi="宋体" w:eastAsia="宋体" w:cs="宋体"/>
          <w:b/>
          <w:bCs/>
          <w:i w:val="0"/>
          <w:iCs w:val="0"/>
          <w:caps w:val="0"/>
          <w:spacing w:val="0"/>
          <w:sz w:val="24"/>
          <w:szCs w:val="24"/>
          <w:shd w:val="clear" w:color="auto" w:fill="FFFFFF"/>
          <w:lang w:eastAsia="zh-CN"/>
        </w:rPr>
        <w:t>，</w:t>
      </w:r>
      <w:r>
        <w:rPr>
          <w:rFonts w:hint="eastAsia" w:ascii="宋体" w:hAnsi="宋体" w:eastAsia="宋体" w:cs="宋体"/>
          <w:b/>
          <w:bCs/>
          <w:i w:val="0"/>
          <w:iCs w:val="0"/>
          <w:caps w:val="0"/>
          <w:spacing w:val="0"/>
          <w:sz w:val="24"/>
          <w:szCs w:val="24"/>
          <w:shd w:val="clear" w:color="auto" w:fill="FFFFFF"/>
          <w:lang w:val="en-US" w:eastAsia="zh-CN"/>
        </w:rPr>
        <w:t>绿化、</w:t>
      </w:r>
      <w:r>
        <w:rPr>
          <w:rFonts w:hint="eastAsia" w:ascii="宋体" w:hAnsi="宋体" w:eastAsia="宋体" w:cs="宋体"/>
          <w:b/>
          <w:bCs/>
          <w:i w:val="0"/>
          <w:iCs w:val="0"/>
          <w:caps w:val="0"/>
          <w:spacing w:val="0"/>
          <w:sz w:val="24"/>
          <w:szCs w:val="24"/>
          <w:shd w:val="clear" w:color="auto" w:fill="FFFFFF"/>
        </w:rPr>
        <w:t>安装工程下浮8%作为本项目招标控制价，投标人自行考虑报价。</w:t>
      </w:r>
    </w:p>
    <w:p w14:paraId="26868648">
      <w:pPr>
        <w:keepNext w:val="0"/>
        <w:keepLines w:val="0"/>
        <w:pageBreakBefore w:val="0"/>
        <w:wordWrap w:val="0"/>
        <w:overflowPunct/>
        <w:topLinePunct w:val="0"/>
        <w:bidi w:val="0"/>
        <w:spacing w:before="79" w:line="333" w:lineRule="auto"/>
        <w:ind w:left="11" w:firstLine="479"/>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3</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暂估价指招标工程量清单中提供的用于支付必然发生但暂时不能确定价格的材料、工程设备的单价以及专业工程的金额；暂列金额指招标工程量清单中暂定并包括在合同价款中的一笔款项，用于工程合同签订时尚未确定或者不可预见的所需材料、工程设备、服务的采购，施工中可能发生的工程变更、合同约定调整因素出现时的合同价款调整以及发生的索赔、现场签证确认等的费用。</w:t>
      </w:r>
    </w:p>
    <w:p w14:paraId="45538B38">
      <w:pPr>
        <w:keepNext w:val="0"/>
        <w:keepLines w:val="0"/>
        <w:pageBreakBefore w:val="0"/>
        <w:wordWrap w:val="0"/>
        <w:overflowPunct/>
        <w:topLinePunct w:val="0"/>
        <w:bidi w:val="0"/>
        <w:spacing w:before="79" w:line="333" w:lineRule="auto"/>
        <w:ind w:left="11" w:firstLine="479"/>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4</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本招标项目以暂估价形式列入招标工程量清单中的材料、工程设备、专业工程（以下统称“暂估价项目”）包括：（详见招标工程量清单）具体以财政评审中心出具的《工程招标控制价审查意见》及《招标工程量清单》为准，在投标截止时间 15 天前以补充通知的形式在全国公共资源交易平台（广东省•韶关市）（https://ygp. gdzwfw.gov.cn/ggzy-portal/#/440200/index）公布。以上为招标人在工程量清单中 提供的用于支付必然发生但暂时不能确定价格的材料、工程设备的单价以及专业工程的金额。投标人必须按招标工程量清单中列出的单价、金额统一报价，其结算原则按 本招标文件相关条款执行。</w:t>
      </w:r>
    </w:p>
    <w:p w14:paraId="2E669A27">
      <w:pPr>
        <w:keepNext w:val="0"/>
        <w:keepLines w:val="0"/>
        <w:pageBreakBefore w:val="0"/>
        <w:wordWrap w:val="0"/>
        <w:overflowPunct/>
        <w:topLinePunct w:val="0"/>
        <w:bidi w:val="0"/>
        <w:spacing w:before="154" w:line="280" w:lineRule="auto"/>
        <w:ind w:left="12" w:right="200"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5</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当暂估价项目的内容、标准、要求在项目实施过程中得以深化、明确、固定后，按以下原则发包：</w:t>
      </w:r>
    </w:p>
    <w:p w14:paraId="07F7FE9F">
      <w:pPr>
        <w:keepNext w:val="0"/>
        <w:keepLines w:val="0"/>
        <w:pageBreakBefore w:val="0"/>
        <w:wordWrap w:val="0"/>
        <w:overflowPunct/>
        <w:topLinePunct w:val="0"/>
        <w:bidi w:val="0"/>
        <w:spacing w:before="153" w:line="219" w:lineRule="auto"/>
        <w:ind w:left="-3" w:leftChars="0"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（1）暂估价项目按工程、货物（指材料或工程设备，下同）的类别分类汇总的金额，达到必须招标规模标准的，由</w:t>
      </w:r>
      <w:r>
        <w:rPr>
          <w:rFonts w:hint="eastAsia" w:ascii="宋体" w:hAnsi="宋体" w:eastAsia="宋体" w:cs="宋体"/>
          <w:b/>
          <w:bCs/>
          <w:color w:val="auto"/>
          <w:spacing w:val="0"/>
          <w:sz w:val="24"/>
          <w:szCs w:val="24"/>
          <w:highlight w:val="none"/>
          <w:u w:val="single"/>
        </w:rPr>
        <w:t xml:space="preserve"> </w:t>
      </w:r>
      <w:r>
        <w:rPr>
          <w:rFonts w:hint="eastAsia" w:ascii="宋体" w:hAnsi="宋体" w:eastAsia="宋体" w:cs="宋体"/>
          <w:bCs/>
          <w:color w:val="auto"/>
          <w:spacing w:val="0"/>
          <w:sz w:val="24"/>
          <w:szCs w:val="24"/>
          <w:highlight w:val="none"/>
          <w:u w:val="single"/>
        </w:rPr>
        <w:t xml:space="preserve">中标人招标，招标人参与管理 </w:t>
      </w:r>
      <w:r>
        <w:rPr>
          <w:rFonts w:hint="eastAsia" w:ascii="宋体" w:hAnsi="宋体" w:eastAsia="宋体" w:cs="宋体"/>
          <w:bCs/>
          <w:color w:val="auto"/>
          <w:spacing w:val="0"/>
          <w:sz w:val="24"/>
          <w:szCs w:val="24"/>
          <w:highlight w:val="none"/>
        </w:rPr>
        <w:t>，</w:t>
      </w:r>
      <w:r>
        <w:rPr>
          <w:rFonts w:hint="eastAsia" w:ascii="宋体" w:hAnsi="宋体" w:eastAsia="宋体" w:cs="宋体"/>
          <w:color w:val="auto"/>
          <w:spacing w:val="0"/>
          <w:sz w:val="24"/>
          <w:szCs w:val="24"/>
          <w:highlight w:val="none"/>
        </w:rPr>
        <w:t>确定专业工程承包人（或材料、工程 设备供应商）和合同价格。</w:t>
      </w:r>
    </w:p>
    <w:p w14:paraId="1579A611">
      <w:pPr>
        <w:keepNext w:val="0"/>
        <w:keepLines w:val="0"/>
        <w:pageBreakBefore w:val="0"/>
        <w:wordWrap w:val="0"/>
        <w:overflowPunct/>
        <w:topLinePunct w:val="0"/>
        <w:bidi w:val="0"/>
        <w:spacing w:before="30" w:line="299" w:lineRule="auto"/>
        <w:ind w:left="11" w:right="65"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（2）暂估价项目按工程、货物的类别分类汇总的金额，未达到必须招标规模标准但适用政府采购规定的，按照政府采购规定确定专业工程承包人（或材料、工程设备供应商）和合同价格。</w:t>
      </w:r>
    </w:p>
    <w:p w14:paraId="4095D7CC">
      <w:pPr>
        <w:keepNext w:val="0"/>
        <w:keepLines w:val="0"/>
        <w:pageBreakBefore w:val="0"/>
        <w:wordWrap w:val="0"/>
        <w:overflowPunct/>
        <w:topLinePunct w:val="0"/>
        <w:bidi w:val="0"/>
        <w:spacing w:before="154" w:line="309" w:lineRule="auto"/>
        <w:ind w:left="11" w:right="65"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文件相关条款执行。</w:t>
      </w:r>
    </w:p>
    <w:p w14:paraId="6DAEE971">
      <w:pPr>
        <w:keepNext w:val="0"/>
        <w:keepLines w:val="0"/>
        <w:pageBreakBefore w:val="0"/>
        <w:wordWrap w:val="0"/>
        <w:overflowPunct/>
        <w:topLinePunct w:val="0"/>
        <w:bidi w:val="0"/>
        <w:spacing w:before="154" w:line="299" w:lineRule="auto"/>
        <w:ind w:left="11" w:right="65"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（4）暂估价项目按工程、货物的类别分类汇总的金额，未达到必须招标规模标准也不适用政府采购规定，中标人既不具备相应资格条件又不具备分包权的，由招标人另行发包。</w:t>
      </w:r>
    </w:p>
    <w:p w14:paraId="3B33A9BC">
      <w:pPr>
        <w:keepNext w:val="0"/>
        <w:keepLines w:val="0"/>
        <w:pageBreakBefore w:val="0"/>
        <w:wordWrap w:val="0"/>
        <w:overflowPunct/>
        <w:topLinePunct w:val="0"/>
        <w:bidi w:val="0"/>
        <w:spacing w:before="155" w:line="279" w:lineRule="auto"/>
        <w:ind w:left="9" w:right="66"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（5）暂估价项目由其他承包人承包的，纳入中标人的管理和协调范围，由其他承包人向中标人承担质量、安全、文明施工、工期责任，中标人向招标人承担责任。</w:t>
      </w:r>
    </w:p>
    <w:p w14:paraId="5DA2571A">
      <w:pPr>
        <w:keepNext w:val="0"/>
        <w:keepLines w:val="0"/>
        <w:pageBreakBefore w:val="0"/>
        <w:wordWrap w:val="0"/>
        <w:overflowPunct/>
        <w:topLinePunct w:val="0"/>
        <w:bidi w:val="0"/>
        <w:spacing w:before="155" w:line="333" w:lineRule="auto"/>
        <w:ind w:left="10" w:right="65" w:firstLine="478"/>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本招标项目以暂列金额形式列入招标工程量清单中的所需货物和服务的采购（以下统称“暂列金额项目 ”）若有发生，按照本节第 </w:t>
      </w:r>
      <w:r>
        <w:rPr>
          <w:rFonts w:hint="eastAsia" w:ascii="宋体" w:hAnsi="宋体" w:eastAsia="宋体" w:cs="宋体"/>
          <w:b/>
          <w:bCs/>
          <w:color w:val="auto"/>
          <w:spacing w:val="0"/>
          <w:sz w:val="24"/>
          <w:szCs w:val="24"/>
          <w:highlight w:val="none"/>
        </w:rPr>
        <w:t xml:space="preserve">8.5 </w:t>
      </w:r>
      <w:r>
        <w:rPr>
          <w:rFonts w:hint="eastAsia" w:ascii="宋体" w:hAnsi="宋体" w:eastAsia="宋体" w:cs="宋体"/>
          <w:color w:val="auto"/>
          <w:spacing w:val="0"/>
          <w:sz w:val="24"/>
          <w:szCs w:val="24"/>
          <w:highlight w:val="none"/>
        </w:rPr>
        <w:t>条的规定确定货物（或服务）供应商和合同价格。暂列金额项目由其他承包人承包的，纳入中标人的管理和协调范围</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由其他承包人向中标人承担质量、安全、文明施工、工期责任，中标人向招标人承担责任。</w:t>
      </w:r>
    </w:p>
    <w:p w14:paraId="01AB75DC">
      <w:pPr>
        <w:keepNext w:val="0"/>
        <w:keepLines w:val="0"/>
        <w:pageBreakBefore w:val="0"/>
        <w:wordWrap w:val="0"/>
        <w:overflowPunct/>
        <w:topLinePunct w:val="0"/>
        <w:bidi w:val="0"/>
        <w:spacing w:before="79" w:line="219" w:lineRule="auto"/>
        <w:ind w:left="487"/>
        <w:outlineLvl w:val="2"/>
        <w:rPr>
          <w:rFonts w:hint="eastAsia" w:ascii="宋体" w:hAnsi="宋体" w:eastAsia="宋体" w:cs="宋体"/>
          <w:color w:val="auto"/>
          <w:spacing w:val="0"/>
          <w:sz w:val="24"/>
          <w:szCs w:val="24"/>
          <w:highlight w:val="none"/>
        </w:rPr>
      </w:pPr>
      <w:bookmarkStart w:id="37" w:name="_Toc22978"/>
      <w:bookmarkStart w:id="38" w:name="_Toc7895"/>
      <w:r>
        <w:rPr>
          <w:rFonts w:hint="eastAsia" w:ascii="宋体" w:hAnsi="宋体" w:eastAsia="宋体" w:cs="宋体"/>
          <w:b/>
          <w:bCs/>
          <w:color w:val="auto"/>
          <w:spacing w:val="0"/>
          <w:sz w:val="24"/>
          <w:szCs w:val="24"/>
          <w:highlight w:val="none"/>
        </w:rPr>
        <w:t>9 ．投标报价</w:t>
      </w:r>
      <w:bookmarkEnd w:id="37"/>
      <w:bookmarkEnd w:id="38"/>
    </w:p>
    <w:p w14:paraId="4486FCA3">
      <w:pPr>
        <w:keepNext w:val="0"/>
        <w:keepLines w:val="0"/>
        <w:pageBreakBefore w:val="0"/>
        <w:wordWrap w:val="0"/>
        <w:overflowPunct/>
        <w:topLinePunct w:val="0"/>
        <w:bidi w:val="0"/>
        <w:spacing w:before="157" w:line="219"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9.1  </w:t>
      </w:r>
      <w:r>
        <w:rPr>
          <w:rFonts w:hint="eastAsia" w:ascii="宋体" w:hAnsi="宋体" w:eastAsia="宋体" w:cs="宋体"/>
          <w:color w:val="auto"/>
          <w:spacing w:val="0"/>
          <w:sz w:val="24"/>
          <w:szCs w:val="24"/>
          <w:highlight w:val="none"/>
        </w:rPr>
        <w:t>投标人应按照以下依据编制投标报价：</w:t>
      </w:r>
    </w:p>
    <w:p w14:paraId="24B4853A">
      <w:pPr>
        <w:keepNext w:val="0"/>
        <w:keepLines w:val="0"/>
        <w:pageBreakBefore w:val="0"/>
        <w:wordWrap w:val="0"/>
        <w:overflowPunct/>
        <w:topLinePunct w:val="0"/>
        <w:bidi w:val="0"/>
        <w:spacing w:before="155"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21850D08">
      <w:pPr>
        <w:keepNext w:val="0"/>
        <w:keepLines w:val="0"/>
        <w:pageBreakBefore w:val="0"/>
        <w:wordWrap w:val="0"/>
        <w:overflowPunct/>
        <w:topLinePunct w:val="0"/>
        <w:bidi w:val="0"/>
        <w:spacing w:before="153" w:line="309" w:lineRule="auto"/>
        <w:ind w:left="9" w:right="65"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6F4FCBC7">
      <w:pPr>
        <w:keepNext w:val="0"/>
        <w:keepLines w:val="0"/>
        <w:pageBreakBefore w:val="0"/>
        <w:wordWrap w:val="0"/>
        <w:overflowPunct/>
        <w:topLinePunct w:val="0"/>
        <w:bidi w:val="0"/>
        <w:spacing w:before="78" w:line="220" w:lineRule="auto"/>
        <w:ind w:left="501"/>
        <w:rPr>
          <w:rFonts w:hint="eastAsia" w:ascii="宋体" w:hAnsi="宋体" w:eastAsia="宋体" w:cs="宋体"/>
          <w:color w:val="auto"/>
          <w:spacing w:val="0"/>
          <w:sz w:val="24"/>
          <w:szCs w:val="24"/>
          <w:highlight w:val="none"/>
        </w:rPr>
      </w:pPr>
      <w:bookmarkStart w:id="39" w:name="bookmark120"/>
      <w:bookmarkEnd w:id="39"/>
      <w:r>
        <w:rPr>
          <w:rFonts w:hint="eastAsia" w:ascii="宋体" w:hAnsi="宋体" w:eastAsia="宋体" w:cs="宋体"/>
          <w:color w:val="auto"/>
          <w:spacing w:val="0"/>
          <w:sz w:val="24"/>
          <w:szCs w:val="24"/>
          <w:highlight w:val="none"/>
        </w:rPr>
        <w:t>（3）企业定额；</w:t>
      </w:r>
    </w:p>
    <w:p w14:paraId="48F400DD">
      <w:pPr>
        <w:keepNext w:val="0"/>
        <w:keepLines w:val="0"/>
        <w:pageBreakBefore w:val="0"/>
        <w:wordWrap w:val="0"/>
        <w:overflowPunct/>
        <w:topLinePunct w:val="0"/>
        <w:bidi w:val="0"/>
        <w:spacing w:before="155"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（4）招标文件及其答疑（或修改）公告、招标工程量清单；</w:t>
      </w:r>
    </w:p>
    <w:p w14:paraId="2500803B">
      <w:pPr>
        <w:keepNext w:val="0"/>
        <w:keepLines w:val="0"/>
        <w:pageBreakBefore w:val="0"/>
        <w:wordWrap w:val="0"/>
        <w:overflowPunct/>
        <w:topLinePunct w:val="0"/>
        <w:bidi w:val="0"/>
        <w:spacing w:before="154" w:line="221"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（5）施工图及相关资料；</w:t>
      </w:r>
    </w:p>
    <w:p w14:paraId="4349D5A0">
      <w:pPr>
        <w:keepNext w:val="0"/>
        <w:keepLines w:val="0"/>
        <w:pageBreakBefore w:val="0"/>
        <w:wordWrap w:val="0"/>
        <w:overflowPunct/>
        <w:topLinePunct w:val="0"/>
        <w:bidi w:val="0"/>
        <w:spacing w:before="152"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（6）施工现场情况、工程特点及投标时拟定的施工组织设计或施工方案；</w:t>
      </w:r>
    </w:p>
    <w:p w14:paraId="15845DDF">
      <w:pPr>
        <w:keepNext w:val="0"/>
        <w:keepLines w:val="0"/>
        <w:pageBreakBefore w:val="0"/>
        <w:wordWrap w:val="0"/>
        <w:overflowPunct/>
        <w:topLinePunct w:val="0"/>
        <w:bidi w:val="0"/>
        <w:spacing w:before="156"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（7）市场价格信息或项目所在地工程造价管理机构发布的工程造价信息；</w:t>
      </w:r>
    </w:p>
    <w:p w14:paraId="6EDB41CD">
      <w:pPr>
        <w:keepNext w:val="0"/>
        <w:keepLines w:val="0"/>
        <w:pageBreakBefore w:val="0"/>
        <w:wordWrap w:val="0"/>
        <w:overflowPunct/>
        <w:topLinePunct w:val="0"/>
        <w:bidi w:val="0"/>
        <w:spacing w:before="155"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（8）与建设项目相关的标准、规范、技术资料。</w:t>
      </w:r>
    </w:p>
    <w:p w14:paraId="1D0C2B8D">
      <w:pPr>
        <w:keepNext w:val="0"/>
        <w:keepLines w:val="0"/>
        <w:pageBreakBefore w:val="0"/>
        <w:wordWrap w:val="0"/>
        <w:overflowPunct/>
        <w:topLinePunct w:val="0"/>
        <w:bidi w:val="0"/>
        <w:spacing w:before="153" w:line="309" w:lineRule="auto"/>
        <w:ind w:left="8" w:right="150"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9.2  </w:t>
      </w:r>
      <w:r>
        <w:rPr>
          <w:rFonts w:hint="eastAsia" w:ascii="宋体" w:hAnsi="宋体" w:eastAsia="宋体" w:cs="宋体"/>
          <w:color w:val="auto"/>
          <w:spacing w:val="0"/>
          <w:sz w:val="24"/>
          <w:szCs w:val="24"/>
          <w:highlight w:val="none"/>
        </w:rPr>
        <w:t>投标人应根据招标工程量清单、工程量清单计价</w:t>
      </w:r>
      <w:r>
        <w:rPr>
          <w:rFonts w:hint="eastAsia" w:ascii="宋体" w:hAnsi="宋体" w:eastAsia="宋体" w:cs="宋体"/>
          <w:color w:val="auto"/>
          <w:spacing w:val="0"/>
          <w:sz w:val="24"/>
          <w:szCs w:val="24"/>
          <w:highlight w:val="none"/>
          <w:lang w:val="en-US" w:eastAsia="zh-CN"/>
        </w:rPr>
        <w:t>标准</w:t>
      </w:r>
      <w:r>
        <w:rPr>
          <w:rFonts w:hint="eastAsia" w:ascii="宋体" w:hAnsi="宋体" w:eastAsia="宋体" w:cs="宋体"/>
          <w:color w:val="auto"/>
          <w:spacing w:val="0"/>
          <w:sz w:val="24"/>
          <w:szCs w:val="24"/>
          <w:highlight w:val="none"/>
        </w:rPr>
        <w:t>中的工作内容、设计文件和有关要求、施工现场实际情况、投标人拟定的施工组织设计、本单位的企业定额和市场价格进行编制，自行报价，并承担一定范围内的风险费用。所谓“一定范围内的风险 ”是指合同约定的风险。</w:t>
      </w:r>
    </w:p>
    <w:p w14:paraId="0986CD58">
      <w:pPr>
        <w:keepNext w:val="0"/>
        <w:keepLines w:val="0"/>
        <w:pageBreakBefore w:val="0"/>
        <w:wordWrap w:val="0"/>
        <w:overflowPunct/>
        <w:topLinePunct w:val="0"/>
        <w:bidi w:val="0"/>
        <w:spacing w:before="152" w:line="309" w:lineRule="auto"/>
        <w:ind w:left="9" w:right="150" w:firstLine="55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9.3  </w:t>
      </w:r>
      <w:r>
        <w:rPr>
          <w:rFonts w:hint="eastAsia" w:ascii="宋体" w:hAnsi="宋体" w:eastAsia="宋体" w:cs="宋体"/>
          <w:color w:val="auto"/>
          <w:spacing w:val="0"/>
          <w:sz w:val="24"/>
          <w:szCs w:val="24"/>
          <w:highlight w:val="none"/>
        </w:rPr>
        <w:t>招标人及招标代理机构不集中组织现场踏勘，投标人需要了解现场情况的，可自行进行现场踏勘。各投标人应勘察施工现场及周围环境、地形、地貌、水文、交通等情况，以获得一切可能影响到投标的直接资料。投标人应针对现场情况编制施工组织设计，并在编制投标报价时考虑现场情况的影响。</w:t>
      </w:r>
    </w:p>
    <w:p w14:paraId="0B2C478C">
      <w:pPr>
        <w:keepNext w:val="0"/>
        <w:keepLines w:val="0"/>
        <w:pageBreakBefore w:val="0"/>
        <w:wordWrap w:val="0"/>
        <w:overflowPunct/>
        <w:topLinePunct w:val="0"/>
        <w:bidi w:val="0"/>
        <w:spacing w:before="155" w:line="279" w:lineRule="auto"/>
        <w:ind w:left="10" w:right="150"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9.4  </w:t>
      </w:r>
      <w:r>
        <w:rPr>
          <w:rFonts w:hint="eastAsia" w:ascii="宋体" w:hAnsi="宋体" w:eastAsia="宋体" w:cs="宋体"/>
          <w:color w:val="auto"/>
          <w:spacing w:val="0"/>
          <w:sz w:val="24"/>
          <w:szCs w:val="24"/>
          <w:highlight w:val="none"/>
        </w:rPr>
        <w:t>招标人向投标人提供的有关现场的数据和资料，是招标人现有的能被投标人利用的资料，招标人对投标人做出的任何推论、理解和结论均不负责任。</w:t>
      </w:r>
    </w:p>
    <w:p w14:paraId="6C93460C">
      <w:pPr>
        <w:keepNext w:val="0"/>
        <w:keepLines w:val="0"/>
        <w:pageBreakBefore w:val="0"/>
        <w:wordWrap w:val="0"/>
        <w:overflowPunct/>
        <w:topLinePunct w:val="0"/>
        <w:bidi w:val="0"/>
        <w:spacing w:before="154" w:line="299" w:lineRule="auto"/>
        <w:ind w:left="12" w:firstLine="55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9.5  </w:t>
      </w:r>
      <w:r>
        <w:rPr>
          <w:rFonts w:hint="eastAsia" w:ascii="宋体" w:hAnsi="宋体" w:eastAsia="宋体" w:cs="宋体"/>
          <w:color w:val="auto"/>
          <w:spacing w:val="0"/>
          <w:sz w:val="24"/>
          <w:szCs w:val="24"/>
          <w:highlight w:val="none"/>
        </w:rPr>
        <w:t>投标人必须按照招标工程量清单及表格填报价格。项目编码、项目名称、项目特征、计量单位、工程量必须与招标工程量清单一致。所有报价均以人民币“元 ”为单位，并保留小数点后两位。</w:t>
      </w:r>
    </w:p>
    <w:p w14:paraId="3A622CC8">
      <w:pPr>
        <w:keepNext w:val="0"/>
        <w:keepLines w:val="0"/>
        <w:pageBreakBefore w:val="0"/>
        <w:wordWrap w:val="0"/>
        <w:overflowPunct/>
        <w:topLinePunct w:val="0"/>
        <w:bidi w:val="0"/>
        <w:spacing w:before="158" w:line="314" w:lineRule="auto"/>
        <w:ind w:left="9" w:right="150" w:firstLine="55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9.6  </w:t>
      </w:r>
      <w:r>
        <w:rPr>
          <w:rFonts w:hint="eastAsia" w:ascii="宋体" w:hAnsi="宋体" w:eastAsia="宋体" w:cs="宋体"/>
          <w:color w:val="auto"/>
          <w:spacing w:val="0"/>
          <w:sz w:val="24"/>
          <w:szCs w:val="24"/>
          <w:highlight w:val="none"/>
        </w:rPr>
        <w:t>投标人只允许有一个投标总价。投标总价必须同时用大、小写表示，大、小写报价应保持一致，若不一致，以大写报价为准。招标工程量清单与计价表中列明的所有需要填写单价和合价的项目，投标人均应填写且只允许有一个报价。未填写单价和合价的项目，视为此项费用已包含在已标价工程量清单其他项目的单价和合价中，竣工结算时不得重新组价和调整。</w:t>
      </w:r>
    </w:p>
    <w:p w14:paraId="25A1C580">
      <w:pPr>
        <w:keepNext w:val="0"/>
        <w:keepLines w:val="0"/>
        <w:pageBreakBefore w:val="0"/>
        <w:wordWrap w:val="0"/>
        <w:overflowPunct/>
        <w:topLinePunct w:val="0"/>
        <w:bidi w:val="0"/>
        <w:spacing w:before="152" w:line="309" w:lineRule="auto"/>
        <w:ind w:left="7" w:right="120" w:firstLine="48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 xml:space="preserve">9.7  </w:t>
      </w:r>
      <w:r>
        <w:rPr>
          <w:rFonts w:hint="eastAsia" w:ascii="宋体" w:hAnsi="宋体" w:eastAsia="宋体" w:cs="宋体"/>
          <w:color w:val="auto"/>
          <w:spacing w:val="0"/>
          <w:sz w:val="24"/>
          <w:szCs w:val="24"/>
          <w:highlight w:val="none"/>
        </w:rPr>
        <w:t>投标人的投标总价不得高于</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，也不得低于工程成本。投标人对投标总价的所有优惠（降价、让利等），均应当反映在具体清单项目或其综合单价的报价上。</w:t>
      </w:r>
      <w:r>
        <w:rPr>
          <w:rFonts w:hint="eastAsia" w:ascii="宋体" w:hAnsi="宋体" w:eastAsia="宋体" w:cs="宋体"/>
          <w:b/>
          <w:bCs/>
          <w:color w:val="auto"/>
          <w:spacing w:val="0"/>
          <w:sz w:val="24"/>
          <w:szCs w:val="24"/>
          <w:highlight w:val="none"/>
        </w:rPr>
        <w:t>如果投标人的投标总价下浮率高于</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15%时，投标人必须在投标文件中专项作出详细合理的书面说明并提供以往类似工程详细成本分析报告供评标委员会审查。</w:t>
      </w:r>
    </w:p>
    <w:p w14:paraId="5057643D">
      <w:pPr>
        <w:keepNext w:val="0"/>
        <w:keepLines w:val="0"/>
        <w:pageBreakBefore w:val="0"/>
        <w:wordWrap w:val="0"/>
        <w:overflowPunct/>
        <w:topLinePunct w:val="0"/>
        <w:bidi w:val="0"/>
        <w:outlineLvl w:val="9"/>
        <w:rPr>
          <w:rFonts w:hint="eastAsia" w:ascii="宋体" w:hAnsi="宋体" w:eastAsia="宋体" w:cs="宋体"/>
          <w:color w:val="auto"/>
          <w:spacing w:val="0"/>
          <w:highlight w:val="none"/>
          <w:lang w:eastAsia="zh-CN"/>
        </w:rPr>
      </w:pPr>
      <w:r>
        <w:rPr>
          <w:rFonts w:hint="eastAsia" w:ascii="宋体" w:hAnsi="宋体" w:eastAsia="宋体" w:cs="宋体"/>
          <w:b/>
          <w:bCs/>
          <w:color w:val="auto"/>
          <w:spacing w:val="0"/>
          <w:sz w:val="24"/>
          <w:szCs w:val="24"/>
          <w:highlight w:val="none"/>
          <w:lang w:eastAsia="zh-CN"/>
        </w:rPr>
        <w:t>投标总价下浮率=（1-投标总价</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eastAsia="zh-CN"/>
        </w:rPr>
        <w:t>100%</w:t>
      </w:r>
    </w:p>
    <w:p w14:paraId="26893D44">
      <w:pPr>
        <w:keepNext w:val="0"/>
        <w:keepLines w:val="0"/>
        <w:pageBreakBefore w:val="0"/>
        <w:wordWrap w:val="0"/>
        <w:overflowPunct/>
        <w:topLinePunct w:val="0"/>
        <w:bidi w:val="0"/>
        <w:spacing w:before="146" w:line="325" w:lineRule="auto"/>
        <w:ind w:left="29" w:right="153" w:firstLine="458"/>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9.8  </w:t>
      </w:r>
      <w:r>
        <w:rPr>
          <w:rFonts w:hint="eastAsia" w:ascii="宋体" w:hAnsi="宋体" w:eastAsia="宋体" w:cs="宋体"/>
          <w:color w:val="auto"/>
          <w:spacing w:val="0"/>
          <w:sz w:val="24"/>
          <w:szCs w:val="24"/>
          <w:highlight w:val="none"/>
        </w:rPr>
        <w:t>投标人的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报价必须达到或超过</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中提供的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w:t>
      </w:r>
    </w:p>
    <w:p w14:paraId="53807F55">
      <w:pPr>
        <w:keepNext w:val="0"/>
        <w:keepLines w:val="0"/>
        <w:pageBreakBefore w:val="0"/>
        <w:wordWrap w:val="0"/>
        <w:overflowPunct/>
        <w:topLinePunct w:val="0"/>
        <w:bidi w:val="0"/>
        <w:spacing w:before="78" w:line="309" w:lineRule="auto"/>
        <w:ind w:right="99"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9.9  </w:t>
      </w:r>
      <w:r>
        <w:rPr>
          <w:rFonts w:hint="eastAsia" w:ascii="宋体" w:hAnsi="宋体" w:eastAsia="宋体" w:cs="宋体"/>
          <w:color w:val="auto"/>
          <w:spacing w:val="0"/>
          <w:sz w:val="24"/>
          <w:szCs w:val="24"/>
          <w:highlight w:val="none"/>
        </w:rPr>
        <w:t>投标人必须按照招标工程量清单中提供的暂列金额和暂估价统一报价。投标人应充分考虑暂估价项目（或暂列金额项目）的管理和协调所发生的费用，并将其纳入已标价工程量清单中的适当项目。招标人视该项管理和协调所发生的费用已包含在其它有价款的竞争性报价内，不再另行支付。</w:t>
      </w:r>
    </w:p>
    <w:p w14:paraId="2C55C240">
      <w:pPr>
        <w:keepNext w:val="0"/>
        <w:keepLines w:val="0"/>
        <w:pageBreakBefore w:val="0"/>
        <w:wordWrap w:val="0"/>
        <w:overflowPunct/>
        <w:topLinePunct w:val="0"/>
        <w:bidi w:val="0"/>
        <w:spacing w:before="78" w:line="220" w:lineRule="auto"/>
        <w:ind w:left="496"/>
        <w:outlineLvl w:val="2"/>
        <w:rPr>
          <w:rFonts w:hint="eastAsia" w:ascii="宋体" w:hAnsi="宋体" w:eastAsia="宋体" w:cs="宋体"/>
          <w:color w:val="auto"/>
          <w:spacing w:val="0"/>
          <w:sz w:val="24"/>
          <w:szCs w:val="24"/>
          <w:highlight w:val="none"/>
        </w:rPr>
      </w:pPr>
      <w:bookmarkStart w:id="40" w:name="_Toc21772"/>
      <w:bookmarkStart w:id="41" w:name="_Toc16322"/>
      <w:r>
        <w:rPr>
          <w:rFonts w:hint="eastAsia" w:ascii="宋体" w:hAnsi="宋体" w:eastAsia="宋体" w:cs="宋体"/>
          <w:b/>
          <w:bCs/>
          <w:color w:val="auto"/>
          <w:spacing w:val="0"/>
          <w:sz w:val="24"/>
          <w:szCs w:val="24"/>
          <w:highlight w:val="none"/>
        </w:rPr>
        <w:t>10 ．投标文件的编制要求</w:t>
      </w:r>
      <w:bookmarkEnd w:id="40"/>
      <w:bookmarkEnd w:id="41"/>
    </w:p>
    <w:p w14:paraId="1F54BDA4">
      <w:pPr>
        <w:keepNext w:val="0"/>
        <w:keepLines w:val="0"/>
        <w:pageBreakBefore w:val="0"/>
        <w:wordWrap w:val="0"/>
        <w:overflowPunct/>
        <w:topLinePunct w:val="0"/>
        <w:bidi w:val="0"/>
        <w:spacing w:before="152" w:line="222" w:lineRule="auto"/>
        <w:ind w:left="496"/>
        <w:outlineLvl w:val="3"/>
        <w:rPr>
          <w:rFonts w:hint="eastAsia" w:ascii="宋体" w:hAnsi="宋体" w:eastAsia="宋体" w:cs="宋体"/>
          <w:color w:val="auto"/>
          <w:spacing w:val="0"/>
          <w:sz w:val="24"/>
          <w:szCs w:val="24"/>
          <w:highlight w:val="none"/>
        </w:rPr>
      </w:pPr>
      <w:bookmarkStart w:id="42" w:name="_Toc20590"/>
      <w:bookmarkStart w:id="43" w:name="_Toc22937"/>
      <w:r>
        <w:rPr>
          <w:rFonts w:hint="eastAsia" w:ascii="宋体" w:hAnsi="宋体" w:eastAsia="宋体" w:cs="宋体"/>
          <w:b/>
          <w:bCs/>
          <w:color w:val="auto"/>
          <w:spacing w:val="0"/>
          <w:sz w:val="24"/>
          <w:szCs w:val="24"/>
          <w:highlight w:val="none"/>
        </w:rPr>
        <w:t xml:space="preserve">10.1  </w:t>
      </w:r>
      <w:r>
        <w:rPr>
          <w:rFonts w:hint="eastAsia" w:ascii="宋体" w:hAnsi="宋体" w:eastAsia="宋体" w:cs="宋体"/>
          <w:color w:val="auto"/>
          <w:spacing w:val="0"/>
          <w:sz w:val="24"/>
          <w:szCs w:val="24"/>
          <w:highlight w:val="none"/>
        </w:rPr>
        <w:t>一般要求</w:t>
      </w:r>
      <w:bookmarkEnd w:id="42"/>
      <w:bookmarkEnd w:id="43"/>
    </w:p>
    <w:p w14:paraId="02B08D9F">
      <w:pPr>
        <w:keepNext w:val="0"/>
        <w:keepLines w:val="0"/>
        <w:pageBreakBefore w:val="0"/>
        <w:wordWrap w:val="0"/>
        <w:overflowPunct/>
        <w:topLinePunct w:val="0"/>
        <w:bidi w:val="0"/>
        <w:spacing w:before="118" w:line="295" w:lineRule="auto"/>
        <w:ind w:left="11" w:right="99"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投标文件应按第六章投标文件格式规定的内容，投标人提交的投标文件应当使用招标文件所提供的投标文件全部格式。</w:t>
      </w:r>
    </w:p>
    <w:p w14:paraId="6C56DEED">
      <w:pPr>
        <w:keepNext w:val="0"/>
        <w:keepLines w:val="0"/>
        <w:pageBreakBefore w:val="0"/>
        <w:wordWrap w:val="0"/>
        <w:overflowPunct/>
        <w:topLinePunct w:val="0"/>
        <w:bidi w:val="0"/>
        <w:spacing w:before="68" w:line="299" w:lineRule="auto"/>
        <w:ind w:left="11" w:right="99" w:firstLine="56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10.1.1  </w:t>
      </w:r>
      <w:r>
        <w:rPr>
          <w:rFonts w:hint="eastAsia" w:ascii="宋体" w:hAnsi="宋体" w:eastAsia="宋体" w:cs="宋体"/>
          <w:color w:val="auto"/>
          <w:spacing w:val="0"/>
          <w:sz w:val="24"/>
          <w:szCs w:val="24"/>
          <w:highlight w:val="none"/>
        </w:rPr>
        <w:t>投标人必须响应招标文件，并在充分理解招标人提供的全部文件、设计图纸、资料及现场条件的基础上编制投标文件。因投标文件不符合招标文件的要求而造成的损失和后果，由投标人自行承担。</w:t>
      </w:r>
    </w:p>
    <w:p w14:paraId="3FFC15B9">
      <w:pPr>
        <w:keepNext w:val="0"/>
        <w:keepLines w:val="0"/>
        <w:pageBreakBefore w:val="0"/>
        <w:wordWrap w:val="0"/>
        <w:overflowPunct/>
        <w:topLinePunct w:val="0"/>
        <w:bidi w:val="0"/>
        <w:spacing w:before="123" w:line="290" w:lineRule="auto"/>
        <w:ind w:left="8" w:firstLine="56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10.1.2  </w:t>
      </w:r>
      <w:r>
        <w:rPr>
          <w:rFonts w:hint="eastAsia" w:ascii="宋体" w:hAnsi="宋体" w:eastAsia="宋体" w:cs="宋体"/>
          <w:color w:val="auto"/>
          <w:spacing w:val="0"/>
          <w:sz w:val="24"/>
          <w:szCs w:val="24"/>
          <w:highlight w:val="none"/>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 ·韶关市）交易指引。</w:t>
      </w:r>
    </w:p>
    <w:p w14:paraId="59ADE83A">
      <w:pPr>
        <w:keepNext w:val="0"/>
        <w:keepLines w:val="0"/>
        <w:pageBreakBefore w:val="0"/>
        <w:wordWrap w:val="0"/>
        <w:overflowPunct/>
        <w:topLinePunct w:val="0"/>
        <w:bidi w:val="0"/>
        <w:spacing w:before="1" w:line="219" w:lineRule="auto"/>
        <w:ind w:left="57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10.1.3  </w:t>
      </w:r>
      <w:r>
        <w:rPr>
          <w:rFonts w:hint="eastAsia" w:ascii="宋体" w:hAnsi="宋体" w:eastAsia="宋体" w:cs="宋体"/>
          <w:color w:val="auto"/>
          <w:spacing w:val="0"/>
          <w:sz w:val="24"/>
          <w:szCs w:val="24"/>
          <w:highlight w:val="none"/>
        </w:rPr>
        <w:t>投标文件需按以下要求签字、盖章：电子投标文件：</w:t>
      </w:r>
    </w:p>
    <w:p w14:paraId="428A1CF9">
      <w:pPr>
        <w:keepNext w:val="0"/>
        <w:keepLines w:val="0"/>
        <w:pageBreakBefore w:val="0"/>
        <w:wordWrap w:val="0"/>
        <w:overflowPunct/>
        <w:topLinePunct w:val="0"/>
        <w:bidi w:val="0"/>
        <w:spacing w:before="111" w:line="279" w:lineRule="auto"/>
        <w:ind w:right="133" w:firstLine="57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"10.1.3.1"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10.1.3.1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投标文件封面、组成内容中凡注明“签字 ”处由要求的人员签字或电子签章；凡注明“签字或盖章 ”处由要求的人员签字或盖其私章（电子印章）；凡注明 “签字并盖执业印章 ”处由要求的人员签字并盖其执业印章。</w:t>
      </w:r>
    </w:p>
    <w:p w14:paraId="70886EB7">
      <w:pPr>
        <w:keepNext w:val="0"/>
        <w:keepLines w:val="0"/>
        <w:pageBreakBefore w:val="0"/>
        <w:wordWrap w:val="0"/>
        <w:overflowPunct/>
        <w:topLinePunct w:val="0"/>
        <w:bidi w:val="0"/>
        <w:spacing w:before="112" w:line="264" w:lineRule="auto"/>
        <w:ind w:left="13" w:right="133" w:firstLine="5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"10.1.3.2"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10.1.3.2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投标文件封套、封面、组成内容中凡要求录入投标人名称且注明“盖单位章 ”处盖单位法人公章（电子印章）。</w:t>
      </w:r>
    </w:p>
    <w:p w14:paraId="1FE02488">
      <w:pPr>
        <w:keepNext w:val="0"/>
        <w:keepLines w:val="0"/>
        <w:pageBreakBefore w:val="0"/>
        <w:wordWrap w:val="0"/>
        <w:overflowPunct/>
        <w:topLinePunct w:val="0"/>
        <w:bidi w:val="0"/>
        <w:spacing w:before="146" w:line="279" w:lineRule="auto"/>
        <w:ind w:left="16" w:right="135" w:firstLine="56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"10.1.3.3"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10.1.3.3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投标文件的签字均为签字人本人亲笔署名或签章（电子印章），其余部分的复印件无须另行签字、盖章。</w:t>
      </w:r>
    </w:p>
    <w:p w14:paraId="44F21114">
      <w:pPr>
        <w:keepNext w:val="0"/>
        <w:keepLines w:val="0"/>
        <w:pageBreakBefore w:val="0"/>
        <w:wordWrap w:val="0"/>
        <w:overflowPunct/>
        <w:topLinePunct w:val="0"/>
        <w:bidi w:val="0"/>
        <w:spacing w:before="155" w:line="219" w:lineRule="auto"/>
        <w:ind w:left="0" w:leftChars="0" w:firstLine="482" w:firstLineChars="200"/>
        <w:outlineLvl w:val="3"/>
        <w:rPr>
          <w:rFonts w:hint="eastAsia" w:ascii="宋体" w:hAnsi="宋体" w:eastAsia="宋体" w:cs="宋体"/>
          <w:b w:val="0"/>
          <w:bCs w:val="0"/>
          <w:color w:val="auto"/>
          <w:spacing w:val="0"/>
          <w:sz w:val="24"/>
          <w:szCs w:val="24"/>
          <w:highlight w:val="none"/>
        </w:rPr>
      </w:pPr>
      <w:bookmarkStart w:id="44" w:name="_Toc20223"/>
      <w:bookmarkStart w:id="45" w:name="_Toc21271"/>
      <w:r>
        <w:rPr>
          <w:rFonts w:hint="eastAsia" w:ascii="宋体" w:hAnsi="宋体" w:eastAsia="宋体" w:cs="宋体"/>
          <w:b/>
          <w:bCs/>
          <w:color w:val="auto"/>
          <w:spacing w:val="0"/>
          <w:sz w:val="24"/>
          <w:szCs w:val="24"/>
          <w:highlight w:val="none"/>
        </w:rPr>
        <w:t xml:space="preserve">10.1.3.4 </w:t>
      </w:r>
      <w:r>
        <w:rPr>
          <w:rFonts w:hint="eastAsia" w:ascii="宋体" w:hAnsi="宋体" w:eastAsia="宋体" w:cs="宋体"/>
          <w:color w:val="auto"/>
          <w:spacing w:val="0"/>
          <w:sz w:val="24"/>
          <w:szCs w:val="24"/>
          <w:highlight w:val="none"/>
        </w:rPr>
        <w:t>联合体投标的，除《联合体协议书》外，由联合体牵头人按以上要求签亲笔署名或签章（电子印章）即可。</w:t>
      </w:r>
    </w:p>
    <w:p w14:paraId="712CD189">
      <w:pPr>
        <w:keepNext w:val="0"/>
        <w:keepLines w:val="0"/>
        <w:pageBreakBefore w:val="0"/>
        <w:wordWrap w:val="0"/>
        <w:overflowPunct/>
        <w:topLinePunct w:val="0"/>
        <w:bidi w:val="0"/>
        <w:spacing w:before="155" w:line="219" w:lineRule="auto"/>
        <w:ind w:left="500"/>
        <w:outlineLvl w:val="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  </w:t>
      </w:r>
      <w:r>
        <w:rPr>
          <w:rFonts w:hint="eastAsia" w:ascii="宋体" w:hAnsi="宋体" w:eastAsia="宋体" w:cs="宋体"/>
          <w:color w:val="auto"/>
          <w:spacing w:val="0"/>
          <w:sz w:val="24"/>
          <w:szCs w:val="24"/>
          <w:highlight w:val="none"/>
        </w:rPr>
        <w:t>商务标书的编制要求</w:t>
      </w:r>
      <w:bookmarkEnd w:id="44"/>
      <w:bookmarkEnd w:id="45"/>
    </w:p>
    <w:p w14:paraId="019ECCDB">
      <w:pPr>
        <w:keepNext w:val="0"/>
        <w:keepLines w:val="0"/>
        <w:pageBreakBefore w:val="0"/>
        <w:wordWrap w:val="0"/>
        <w:overflowPunct/>
        <w:topLinePunct w:val="0"/>
        <w:bidi w:val="0"/>
        <w:spacing w:before="157" w:line="219" w:lineRule="auto"/>
        <w:ind w:left="581"/>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10.2.1 </w:t>
      </w:r>
      <w:r>
        <w:rPr>
          <w:rFonts w:hint="eastAsia" w:ascii="宋体" w:hAnsi="宋体" w:eastAsia="宋体" w:cs="宋体"/>
          <w:color w:val="auto"/>
          <w:spacing w:val="0"/>
          <w:sz w:val="24"/>
          <w:szCs w:val="24"/>
          <w:highlight w:val="none"/>
        </w:rPr>
        <w:t>商务标书包括但不限于以下内容：</w:t>
      </w:r>
    </w:p>
    <w:p w14:paraId="31EB0ABF">
      <w:pPr>
        <w:keepNext w:val="0"/>
        <w:keepLines w:val="0"/>
        <w:pageBreakBefore w:val="0"/>
        <w:wordWrap w:val="0"/>
        <w:overflowPunct/>
        <w:topLinePunct w:val="0"/>
        <w:bidi w:val="0"/>
        <w:spacing w:before="154"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4A190F17">
      <w:pPr>
        <w:keepNext w:val="0"/>
        <w:keepLines w:val="0"/>
        <w:pageBreakBefore w:val="0"/>
        <w:wordWrap w:val="0"/>
        <w:overflowPunct/>
        <w:topLinePunct w:val="0"/>
        <w:bidi w:val="0"/>
        <w:spacing w:before="153" w:line="222"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目录；</w:t>
      </w:r>
    </w:p>
    <w:p w14:paraId="1F18C31C">
      <w:pPr>
        <w:keepNext w:val="0"/>
        <w:keepLines w:val="0"/>
        <w:pageBreakBefore w:val="0"/>
        <w:wordWrap w:val="0"/>
        <w:overflowPunct/>
        <w:topLinePunct w:val="0"/>
        <w:bidi w:val="0"/>
        <w:spacing w:before="153"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（3）《投标函》（格式二）；</w:t>
      </w:r>
    </w:p>
    <w:p w14:paraId="2E24DC11">
      <w:pPr>
        <w:keepNext w:val="0"/>
        <w:keepLines w:val="0"/>
        <w:pageBreakBefore w:val="0"/>
        <w:wordWrap w:val="0"/>
        <w:overflowPunct/>
        <w:topLinePunct w:val="0"/>
        <w:bidi w:val="0"/>
        <w:spacing w:before="153"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（4）《各项承诺一览表》（格式三）；</w:t>
      </w:r>
    </w:p>
    <w:p w14:paraId="54330406">
      <w:pPr>
        <w:keepNext w:val="0"/>
        <w:keepLines w:val="0"/>
        <w:pageBreakBefore w:val="0"/>
        <w:wordWrap w:val="0"/>
        <w:overflowPunct/>
        <w:topLinePunct w:val="0"/>
        <w:bidi w:val="0"/>
        <w:spacing w:before="154"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（5）《授权委托书》（格式四）；</w:t>
      </w:r>
    </w:p>
    <w:p w14:paraId="05B4FE81">
      <w:pPr>
        <w:keepNext w:val="0"/>
        <w:keepLines w:val="0"/>
        <w:pageBreakBefore w:val="0"/>
        <w:wordWrap w:val="0"/>
        <w:overflowPunct/>
        <w:topLinePunct w:val="0"/>
        <w:bidi w:val="0"/>
        <w:spacing w:before="156"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（6）《法定代表人身份证明》（格式五）；</w:t>
      </w:r>
    </w:p>
    <w:p w14:paraId="49E985F1">
      <w:pPr>
        <w:keepNext w:val="0"/>
        <w:keepLines w:val="0"/>
        <w:pageBreakBefore w:val="0"/>
        <w:wordWrap w:val="0"/>
        <w:overflowPunct/>
        <w:topLinePunct w:val="0"/>
        <w:bidi w:val="0"/>
        <w:spacing w:before="154"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（7）《联合体协议书》</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如有</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（格式六）及所附资料；</w:t>
      </w:r>
    </w:p>
    <w:p w14:paraId="37DFCCB5">
      <w:pPr>
        <w:keepNext w:val="0"/>
        <w:keepLines w:val="0"/>
        <w:pageBreakBefore w:val="0"/>
        <w:wordWrap w:val="0"/>
        <w:overflowPunct/>
        <w:topLinePunct w:val="0"/>
        <w:bidi w:val="0"/>
        <w:spacing w:before="153" w:line="309" w:lineRule="auto"/>
        <w:ind w:left="13" w:right="133"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投标保证缴纳证明（投标人采用投标保证金的，附建设工程交易系统《缴纳投标保证金通知书》页面截图和银行转账单彩色扫描件；采用投标保证担保的，附银行保函彩色扫描件；采用投标保证保险的，附电子保单和</w:t>
      </w:r>
      <w:r>
        <w:rPr>
          <w:rFonts w:hint="eastAsia" w:ascii="宋体" w:hAnsi="宋体" w:eastAsia="宋体" w:cs="宋体"/>
          <w:b/>
          <w:bCs/>
          <w:color w:val="auto"/>
          <w:spacing w:val="0"/>
          <w:sz w:val="24"/>
          <w:szCs w:val="24"/>
          <w:highlight w:val="none"/>
        </w:rPr>
        <w:t>《韶关市公共资源交易一体化平台保证金缴纳信息》页面截图</w:t>
      </w:r>
      <w:r>
        <w:rPr>
          <w:rFonts w:hint="eastAsia" w:ascii="宋体" w:hAnsi="宋体" w:eastAsia="宋体" w:cs="宋体"/>
          <w:color w:val="auto"/>
          <w:spacing w:val="0"/>
          <w:sz w:val="24"/>
          <w:szCs w:val="24"/>
          <w:highlight w:val="none"/>
        </w:rPr>
        <w:t>）；</w:t>
      </w:r>
    </w:p>
    <w:p w14:paraId="65B9BA93">
      <w:pPr>
        <w:keepNext w:val="0"/>
        <w:keepLines w:val="0"/>
        <w:pageBreakBefore w:val="0"/>
        <w:wordWrap w:val="0"/>
        <w:overflowPunct/>
        <w:topLinePunct w:val="0"/>
        <w:bidi w:val="0"/>
        <w:spacing w:before="156"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（9）《投标人基本情况表》（格式七）及所附资料；</w:t>
      </w:r>
    </w:p>
    <w:p w14:paraId="3BFA4E07">
      <w:pPr>
        <w:keepNext w:val="0"/>
        <w:keepLines w:val="0"/>
        <w:pageBreakBefore w:val="0"/>
        <w:wordWrap w:val="0"/>
        <w:overflowPunct/>
        <w:topLinePunct w:val="0"/>
        <w:bidi w:val="0"/>
        <w:spacing w:before="155"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（10）《项目经理简历表》（格式八）及所附资料；</w:t>
      </w:r>
    </w:p>
    <w:p w14:paraId="6715BECA">
      <w:pPr>
        <w:keepNext w:val="0"/>
        <w:keepLines w:val="0"/>
        <w:pageBreakBefore w:val="0"/>
        <w:wordWrap w:val="0"/>
        <w:overflowPunct/>
        <w:topLinePunct w:val="0"/>
        <w:bidi w:val="0"/>
        <w:spacing w:before="154"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（11）《项目经理任职声明》（格式九）；</w:t>
      </w:r>
    </w:p>
    <w:p w14:paraId="19251316">
      <w:pPr>
        <w:keepNext w:val="0"/>
        <w:keepLines w:val="0"/>
        <w:pageBreakBefore w:val="0"/>
        <w:wordWrap w:val="0"/>
        <w:overflowPunct/>
        <w:topLinePunct w:val="0"/>
        <w:bidi w:val="0"/>
        <w:spacing w:before="156"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（12）《项目技术负责人简历表》（格式十）及所附资料；</w:t>
      </w:r>
    </w:p>
    <w:p w14:paraId="3D769AD2">
      <w:pPr>
        <w:keepNext w:val="0"/>
        <w:keepLines w:val="0"/>
        <w:pageBreakBefore w:val="0"/>
        <w:wordWrap w:val="0"/>
        <w:overflowPunct/>
        <w:topLinePunct w:val="0"/>
        <w:bidi w:val="0"/>
        <w:spacing w:before="154"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（13）《项</w:t>
      </w:r>
      <w:bookmarkStart w:id="46" w:name="OLE_LINK7"/>
      <w:r>
        <w:rPr>
          <w:rFonts w:hint="eastAsia" w:ascii="宋体" w:hAnsi="宋体" w:eastAsia="宋体" w:cs="宋体"/>
          <w:color w:val="auto"/>
          <w:spacing w:val="0"/>
          <w:sz w:val="24"/>
          <w:szCs w:val="24"/>
          <w:highlight w:val="none"/>
        </w:rPr>
        <w:t>目管理机构组成表》（格式十一）及</w:t>
      </w:r>
      <w:bookmarkEnd w:id="46"/>
      <w:r>
        <w:rPr>
          <w:rFonts w:hint="eastAsia" w:ascii="宋体" w:hAnsi="宋体" w:eastAsia="宋体" w:cs="宋体"/>
          <w:color w:val="auto"/>
          <w:spacing w:val="0"/>
          <w:sz w:val="24"/>
          <w:szCs w:val="24"/>
          <w:highlight w:val="none"/>
        </w:rPr>
        <w:t>所附资料；</w:t>
      </w:r>
    </w:p>
    <w:p w14:paraId="72296F36">
      <w:pPr>
        <w:keepNext w:val="0"/>
        <w:keepLines w:val="0"/>
        <w:pageBreakBefore w:val="0"/>
        <w:wordWrap w:val="0"/>
        <w:overflowPunct/>
        <w:topLinePunct w:val="0"/>
        <w:bidi w:val="0"/>
        <w:spacing w:before="155"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（14）本节第 </w:t>
      </w:r>
      <w:r>
        <w:rPr>
          <w:rFonts w:hint="eastAsia" w:ascii="宋体" w:hAnsi="宋体" w:eastAsia="宋体" w:cs="宋体"/>
          <w:b/>
          <w:bCs/>
          <w:color w:val="auto"/>
          <w:spacing w:val="0"/>
          <w:sz w:val="24"/>
          <w:szCs w:val="24"/>
          <w:highlight w:val="none"/>
        </w:rPr>
        <w:t xml:space="preserve">15.5.1 </w:t>
      </w:r>
      <w:r>
        <w:rPr>
          <w:rFonts w:hint="eastAsia" w:ascii="宋体" w:hAnsi="宋体" w:eastAsia="宋体" w:cs="宋体"/>
          <w:color w:val="auto"/>
          <w:spacing w:val="0"/>
          <w:sz w:val="24"/>
          <w:szCs w:val="24"/>
          <w:highlight w:val="none"/>
        </w:rPr>
        <w:t>目“评标方法 ”要求提供的评审资料；</w:t>
      </w:r>
    </w:p>
    <w:p w14:paraId="09FFCDE8">
      <w:pPr>
        <w:keepNext w:val="0"/>
        <w:keepLines w:val="0"/>
        <w:pageBreakBefore w:val="0"/>
        <w:wordWrap w:val="0"/>
        <w:overflowPunct/>
        <w:topLinePunct w:val="0"/>
        <w:bidi w:val="0"/>
        <w:spacing w:before="78" w:line="299" w:lineRule="auto"/>
        <w:ind w:left="8" w:right="61"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（15）投标人认为有必要补充的其他资料。（例如投标人已经工商变更，但其企业资质证书、安全生产许可证或其员工执业资格注册证书上的企业名称未能在投标期间完成变更的书面说明和佐证材料等）</w:t>
      </w:r>
    </w:p>
    <w:p w14:paraId="5690752B">
      <w:pPr>
        <w:keepNext w:val="0"/>
        <w:keepLines w:val="0"/>
        <w:pageBreakBefore w:val="0"/>
        <w:wordWrap w:val="0"/>
        <w:overflowPunct/>
        <w:topLinePunct w:val="0"/>
        <w:bidi w:val="0"/>
        <w:spacing w:before="155" w:line="262" w:lineRule="auto"/>
        <w:ind w:left="9" w:right="61"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10.2.2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10.2.1  </w:t>
      </w:r>
      <w:r>
        <w:rPr>
          <w:rFonts w:hint="eastAsia" w:ascii="宋体" w:hAnsi="宋体" w:eastAsia="宋体" w:cs="宋体"/>
          <w:color w:val="auto"/>
          <w:spacing w:val="0"/>
          <w:sz w:val="24"/>
          <w:szCs w:val="24"/>
          <w:highlight w:val="none"/>
        </w:rPr>
        <w:t>目中所列出的商务标书组成内容中，第（1）至第（13）项所有投标人均应提供，</w:t>
      </w:r>
      <w:r>
        <w:rPr>
          <w:rFonts w:hint="eastAsia" w:ascii="宋体" w:hAnsi="宋体" w:eastAsia="宋体" w:cs="宋体"/>
          <w:b/>
          <w:bCs/>
          <w:color w:val="auto"/>
          <w:spacing w:val="0"/>
          <w:sz w:val="24"/>
          <w:szCs w:val="24"/>
          <w:highlight w:val="none"/>
        </w:rPr>
        <w:t>但非联合体投标的，无需提供第（7）项内容。</w:t>
      </w:r>
    </w:p>
    <w:p w14:paraId="7DCE5067">
      <w:pPr>
        <w:keepNext w:val="0"/>
        <w:keepLines w:val="0"/>
        <w:pageBreakBefore w:val="0"/>
        <w:wordWrap w:val="0"/>
        <w:overflowPunct/>
        <w:topLinePunct w:val="0"/>
        <w:bidi w:val="0"/>
        <w:spacing w:before="199" w:line="279" w:lineRule="auto"/>
        <w:ind w:right="61"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10.2.3 </w:t>
      </w:r>
      <w:r>
        <w:rPr>
          <w:rFonts w:hint="eastAsia" w:ascii="宋体" w:hAnsi="宋体" w:eastAsia="宋体" w:cs="宋体"/>
          <w:color w:val="auto"/>
          <w:spacing w:val="0"/>
          <w:sz w:val="24"/>
          <w:szCs w:val="24"/>
          <w:highlight w:val="none"/>
        </w:rPr>
        <w:t>商务标书的组成内容按本节第 10.2.1 目规定的顺序整理、编排后，逐页（页码起始从封面开始）连续标记页码。</w:t>
      </w:r>
    </w:p>
    <w:p w14:paraId="2508E257">
      <w:pPr>
        <w:pStyle w:val="8"/>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21FAC894">
      <w:pPr>
        <w:keepNext w:val="0"/>
        <w:keepLines w:val="0"/>
        <w:pageBreakBefore w:val="0"/>
        <w:wordWrap w:val="0"/>
        <w:overflowPunct/>
        <w:topLinePunct w:val="0"/>
        <w:bidi w:val="0"/>
        <w:spacing w:before="78" w:line="219" w:lineRule="auto"/>
        <w:ind w:left="496"/>
        <w:outlineLvl w:val="3"/>
        <w:rPr>
          <w:rFonts w:hint="eastAsia" w:ascii="宋体" w:hAnsi="宋体" w:eastAsia="宋体" w:cs="宋体"/>
          <w:color w:val="auto"/>
          <w:spacing w:val="0"/>
          <w:sz w:val="24"/>
          <w:szCs w:val="24"/>
          <w:highlight w:val="none"/>
        </w:rPr>
      </w:pPr>
      <w:bookmarkStart w:id="47" w:name="_Toc10602"/>
      <w:bookmarkStart w:id="48" w:name="_Toc29370"/>
      <w:r>
        <w:rPr>
          <w:rFonts w:hint="eastAsia" w:ascii="宋体" w:hAnsi="宋体" w:eastAsia="宋体" w:cs="宋体"/>
          <w:b/>
          <w:bCs/>
          <w:color w:val="auto"/>
          <w:spacing w:val="0"/>
          <w:sz w:val="24"/>
          <w:szCs w:val="24"/>
          <w:highlight w:val="none"/>
        </w:rPr>
        <w:t xml:space="preserve">10.3  </w:t>
      </w:r>
      <w:r>
        <w:rPr>
          <w:rFonts w:hint="eastAsia" w:ascii="宋体" w:hAnsi="宋体" w:eastAsia="宋体" w:cs="宋体"/>
          <w:color w:val="auto"/>
          <w:spacing w:val="0"/>
          <w:sz w:val="24"/>
          <w:szCs w:val="24"/>
          <w:highlight w:val="none"/>
        </w:rPr>
        <w:t>经济标书的编制要求</w:t>
      </w:r>
      <w:bookmarkEnd w:id="47"/>
      <w:bookmarkEnd w:id="48"/>
    </w:p>
    <w:p w14:paraId="58AE3CD4">
      <w:pPr>
        <w:keepNext w:val="0"/>
        <w:keepLines w:val="0"/>
        <w:pageBreakBefore w:val="0"/>
        <w:wordWrap w:val="0"/>
        <w:overflowPunct/>
        <w:topLinePunct w:val="0"/>
        <w:bidi w:val="0"/>
        <w:spacing w:before="154"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10.3.1  </w:t>
      </w:r>
      <w:r>
        <w:rPr>
          <w:rFonts w:hint="eastAsia" w:ascii="宋体" w:hAnsi="宋体" w:eastAsia="宋体" w:cs="宋体"/>
          <w:color w:val="auto"/>
          <w:spacing w:val="0"/>
          <w:sz w:val="24"/>
          <w:szCs w:val="24"/>
          <w:highlight w:val="none"/>
        </w:rPr>
        <w:t>经济标书包括以下内容：</w:t>
      </w:r>
    </w:p>
    <w:p w14:paraId="45B78DBA">
      <w:pPr>
        <w:keepNext w:val="0"/>
        <w:keepLines w:val="0"/>
        <w:pageBreakBefore w:val="0"/>
        <w:wordWrap w:val="0"/>
        <w:overflowPunct/>
        <w:topLinePunct w:val="0"/>
        <w:bidi w:val="0"/>
        <w:spacing w:before="156"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4F28CB15">
      <w:pPr>
        <w:keepNext w:val="0"/>
        <w:keepLines w:val="0"/>
        <w:pageBreakBefore w:val="0"/>
        <w:wordWrap w:val="0"/>
        <w:overflowPunct/>
        <w:topLinePunct w:val="0"/>
        <w:bidi w:val="0"/>
        <w:spacing w:before="153" w:line="222"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目录；</w:t>
      </w:r>
    </w:p>
    <w:p w14:paraId="0B134D18">
      <w:pPr>
        <w:keepNext w:val="0"/>
        <w:keepLines w:val="0"/>
        <w:pageBreakBefore w:val="0"/>
        <w:wordWrap w:val="0"/>
        <w:overflowPunct/>
        <w:topLinePunct w:val="0"/>
        <w:bidi w:val="0"/>
        <w:spacing w:before="150"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（3）《投标总价》；</w:t>
      </w:r>
    </w:p>
    <w:p w14:paraId="470AD640">
      <w:pPr>
        <w:keepNext w:val="0"/>
        <w:keepLines w:val="0"/>
        <w:pageBreakBefore w:val="0"/>
        <w:wordWrap w:val="0"/>
        <w:overflowPunct/>
        <w:topLinePunct w:val="0"/>
        <w:bidi w:val="0"/>
        <w:spacing w:before="155" w:line="220" w:lineRule="auto"/>
        <w:ind w:left="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说明：《投标总价》的格式按照《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》（GB/T50500-2024）执行，并应满足以下要求：</w:t>
      </w:r>
    </w:p>
    <w:p w14:paraId="1DBC1738">
      <w:pPr>
        <w:keepNext w:val="0"/>
        <w:keepLines w:val="0"/>
        <w:pageBreakBefore w:val="0"/>
        <w:wordWrap w:val="0"/>
        <w:overflowPunct/>
        <w:topLinePunct w:val="0"/>
        <w:bidi w:val="0"/>
        <w:spacing w:before="150" w:line="309" w:lineRule="auto"/>
        <w:ind w:left="8" w:firstLine="48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．《投标总价》后应附编制人的造价工程师注册证书彩色扫描件（须扫描至变更注册栏，</w:t>
      </w:r>
      <w:r>
        <w:rPr>
          <w:rFonts w:hint="eastAsia" w:ascii="宋体" w:hAnsi="宋体" w:eastAsia="宋体" w:cs="宋体"/>
          <w:b/>
          <w:bCs/>
          <w:color w:val="auto"/>
          <w:spacing w:val="0"/>
          <w:sz w:val="24"/>
          <w:szCs w:val="24"/>
          <w:highlight w:val="none"/>
        </w:rPr>
        <w:t>一级造价师或二级造价师均可提供电子证书</w:t>
      </w:r>
      <w:r>
        <w:rPr>
          <w:rFonts w:hint="eastAsia" w:ascii="宋体" w:hAnsi="宋体" w:eastAsia="宋体" w:cs="宋体"/>
          <w:color w:val="auto"/>
          <w:spacing w:val="0"/>
          <w:sz w:val="24"/>
          <w:szCs w:val="24"/>
          <w:highlight w:val="none"/>
        </w:rPr>
        <w:t>）；投标人委托造价咨询单位编制《投标总价》的，在该扉页“投标人”栏目加盖造价咨询人公章，并在该扉页后附造价咨询人的营业执照副本彩色扫描件。</w:t>
      </w:r>
    </w:p>
    <w:p w14:paraId="11E213A5">
      <w:pPr>
        <w:keepNext w:val="0"/>
        <w:keepLines w:val="0"/>
        <w:pageBreakBefore w:val="0"/>
        <w:wordWrap w:val="0"/>
        <w:overflowPunct/>
        <w:topLinePunct w:val="0"/>
        <w:bidi w:val="0"/>
        <w:spacing w:before="119" w:line="314" w:lineRule="auto"/>
        <w:ind w:left="10" w:right="6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投标人认为有必要补充的其他资料（例如关于投标总价下浮率超过 15%的书面说明和佐证材料）。</w:t>
      </w:r>
    </w:p>
    <w:p w14:paraId="18794571">
      <w:pPr>
        <w:keepNext w:val="0"/>
        <w:keepLines w:val="0"/>
        <w:pageBreakBefore w:val="0"/>
        <w:wordWrap w:val="0"/>
        <w:overflowPunct/>
        <w:topLinePunct w:val="0"/>
        <w:bidi w:val="0"/>
        <w:spacing w:before="99" w:line="280" w:lineRule="auto"/>
        <w:ind w:left="10" w:right="63"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10.3.2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10.3.1  </w:t>
      </w:r>
      <w:r>
        <w:rPr>
          <w:rFonts w:hint="eastAsia" w:ascii="宋体" w:hAnsi="宋体" w:eastAsia="宋体" w:cs="宋体"/>
          <w:color w:val="auto"/>
          <w:spacing w:val="0"/>
          <w:sz w:val="24"/>
          <w:szCs w:val="24"/>
          <w:highlight w:val="none"/>
        </w:rPr>
        <w:t>目中所列出的经济标书组成内容中，第（1）至第（3）项所有投标人均应提供。</w:t>
      </w:r>
    </w:p>
    <w:p w14:paraId="4A4F5FB9">
      <w:pPr>
        <w:keepNext w:val="0"/>
        <w:keepLines w:val="0"/>
        <w:pageBreakBefore w:val="0"/>
        <w:wordWrap w:val="0"/>
        <w:overflowPunct/>
        <w:topLinePunct w:val="0"/>
        <w:bidi w:val="0"/>
        <w:spacing w:before="155" w:line="279" w:lineRule="auto"/>
        <w:ind w:left="8" w:right="61"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10.3.3 </w:t>
      </w:r>
      <w:r>
        <w:rPr>
          <w:rFonts w:hint="eastAsia" w:ascii="宋体" w:hAnsi="宋体" w:eastAsia="宋体" w:cs="宋体"/>
          <w:color w:val="auto"/>
          <w:spacing w:val="0"/>
          <w:sz w:val="24"/>
          <w:szCs w:val="24"/>
          <w:highlight w:val="none"/>
        </w:rPr>
        <w:t>经济标书的组成内容按本节第 10.3.1 目规定的顺序整理、编排后，逐页（页码起始从封面开始）连续标记页码。</w:t>
      </w:r>
    </w:p>
    <w:p w14:paraId="264838D4">
      <w:pPr>
        <w:keepNext w:val="0"/>
        <w:keepLines w:val="0"/>
        <w:pageBreakBefore w:val="0"/>
        <w:wordWrap w:val="0"/>
        <w:overflowPunct/>
        <w:topLinePunct w:val="0"/>
        <w:bidi w:val="0"/>
        <w:spacing w:before="82" w:line="213" w:lineRule="auto"/>
        <w:ind w:left="496"/>
        <w:outlineLvl w:val="3"/>
        <w:rPr>
          <w:rFonts w:hint="eastAsia" w:ascii="宋体" w:hAnsi="宋体" w:eastAsia="宋体" w:cs="宋体"/>
          <w:color w:val="auto"/>
          <w:spacing w:val="0"/>
          <w:sz w:val="25"/>
          <w:szCs w:val="25"/>
          <w:highlight w:val="none"/>
        </w:rPr>
      </w:pPr>
      <w:r>
        <w:rPr>
          <w:rFonts w:hint="eastAsia" w:ascii="宋体" w:hAnsi="宋体" w:eastAsia="宋体" w:cs="宋体"/>
          <w:b/>
          <w:bCs/>
          <w:color w:val="auto"/>
          <w:spacing w:val="0"/>
          <w:sz w:val="24"/>
          <w:szCs w:val="24"/>
          <w:highlight w:val="none"/>
        </w:rPr>
        <w:t xml:space="preserve">10.4  </w:t>
      </w:r>
      <w:r>
        <w:rPr>
          <w:rFonts w:hint="eastAsia" w:ascii="宋体" w:hAnsi="宋体" w:eastAsia="宋体" w:cs="宋体"/>
          <w:color w:val="auto"/>
          <w:spacing w:val="0"/>
          <w:sz w:val="24"/>
          <w:szCs w:val="24"/>
          <w:highlight w:val="none"/>
        </w:rPr>
        <w:t>施工组织设计的编制要求</w:t>
      </w:r>
    </w:p>
    <w:p w14:paraId="32650AA7">
      <w:pPr>
        <w:keepNext w:val="0"/>
        <w:keepLines w:val="0"/>
        <w:pageBreakBefore w:val="0"/>
        <w:wordWrap w:val="0"/>
        <w:overflowPunct/>
        <w:topLinePunct w:val="0"/>
        <w:bidi w:val="0"/>
        <w:spacing w:before="151"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10.4.1 </w:t>
      </w:r>
      <w:r>
        <w:rPr>
          <w:rFonts w:hint="eastAsia" w:ascii="宋体" w:hAnsi="宋体" w:eastAsia="宋体" w:cs="宋体"/>
          <w:color w:val="auto"/>
          <w:spacing w:val="0"/>
          <w:sz w:val="24"/>
          <w:szCs w:val="24"/>
          <w:highlight w:val="none"/>
        </w:rPr>
        <w:t>施工组织设计的编制依据包括且不限于：</w:t>
      </w:r>
    </w:p>
    <w:p w14:paraId="2CC53D1B">
      <w:pPr>
        <w:keepNext w:val="0"/>
        <w:keepLines w:val="0"/>
        <w:pageBreakBefore w:val="0"/>
        <w:wordWrap w:val="0"/>
        <w:overflowPunct/>
        <w:topLinePunct w:val="0"/>
        <w:bidi w:val="0"/>
        <w:spacing w:before="156"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（1）招标文件及其答疑（或修改）公告；</w:t>
      </w:r>
    </w:p>
    <w:p w14:paraId="3CBC08F9">
      <w:pPr>
        <w:keepNext w:val="0"/>
        <w:keepLines w:val="0"/>
        <w:pageBreakBefore w:val="0"/>
        <w:wordWrap w:val="0"/>
        <w:overflowPunct/>
        <w:topLinePunct w:val="0"/>
        <w:bidi w:val="0"/>
        <w:spacing w:before="155" w:line="221"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（2）施工图及相关资料；</w:t>
      </w:r>
    </w:p>
    <w:p w14:paraId="1FF9E32E">
      <w:pPr>
        <w:keepNext w:val="0"/>
        <w:keepLines w:val="0"/>
        <w:pageBreakBefore w:val="0"/>
        <w:wordWrap w:val="0"/>
        <w:overflowPunct/>
        <w:topLinePunct w:val="0"/>
        <w:bidi w:val="0"/>
        <w:spacing w:before="152"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（3）施工现场情况、工程特点；</w:t>
      </w:r>
    </w:p>
    <w:p w14:paraId="1F6D01DE">
      <w:pPr>
        <w:keepNext w:val="0"/>
        <w:keepLines w:val="0"/>
        <w:pageBreakBefore w:val="0"/>
        <w:wordWrap w:val="0"/>
        <w:overflowPunct/>
        <w:topLinePunct w:val="0"/>
        <w:bidi w:val="0"/>
        <w:spacing w:before="78"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（4）相关法律、法规、规定；</w:t>
      </w:r>
    </w:p>
    <w:p w14:paraId="67890EFC">
      <w:pPr>
        <w:keepNext w:val="0"/>
        <w:keepLines w:val="0"/>
        <w:pageBreakBefore w:val="0"/>
        <w:wordWrap w:val="0"/>
        <w:overflowPunct/>
        <w:topLinePunct w:val="0"/>
        <w:bidi w:val="0"/>
        <w:spacing w:before="153" w:line="299" w:lineRule="auto"/>
        <w:ind w:left="10" w:right="21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2455FECA">
      <w:pPr>
        <w:keepNext w:val="0"/>
        <w:keepLines w:val="0"/>
        <w:pageBreakBefore w:val="0"/>
        <w:wordWrap w:val="0"/>
        <w:overflowPunct/>
        <w:topLinePunct w:val="0"/>
        <w:bidi w:val="0"/>
        <w:spacing w:before="155"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（6）企业内部标准、工法。</w:t>
      </w:r>
    </w:p>
    <w:p w14:paraId="3E0DE143">
      <w:pPr>
        <w:keepNext w:val="0"/>
        <w:keepLines w:val="0"/>
        <w:pageBreakBefore w:val="0"/>
        <w:wordWrap w:val="0"/>
        <w:overflowPunct/>
        <w:topLinePunct w:val="0"/>
        <w:bidi w:val="0"/>
        <w:spacing w:before="153"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10.4.2 </w:t>
      </w:r>
      <w:r>
        <w:rPr>
          <w:rFonts w:hint="eastAsia" w:ascii="宋体" w:hAnsi="宋体" w:eastAsia="宋体" w:cs="宋体"/>
          <w:color w:val="auto"/>
          <w:spacing w:val="0"/>
          <w:sz w:val="24"/>
          <w:szCs w:val="24"/>
          <w:highlight w:val="none"/>
        </w:rPr>
        <w:t>施工组织设计包括但不限于以下内容：</w:t>
      </w:r>
    </w:p>
    <w:p w14:paraId="0A616D39">
      <w:pPr>
        <w:keepNext w:val="0"/>
        <w:keepLines w:val="0"/>
        <w:pageBreakBefore w:val="0"/>
        <w:wordWrap w:val="0"/>
        <w:overflowPunct/>
        <w:topLinePunct w:val="0"/>
        <w:bidi w:val="0"/>
        <w:spacing w:before="153"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781D260F">
      <w:pPr>
        <w:keepNext w:val="0"/>
        <w:keepLines w:val="0"/>
        <w:pageBreakBefore w:val="0"/>
        <w:wordWrap w:val="0"/>
        <w:overflowPunct/>
        <w:topLinePunct w:val="0"/>
        <w:bidi w:val="0"/>
        <w:spacing w:before="156" w:line="222"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（2）目录；</w:t>
      </w:r>
    </w:p>
    <w:p w14:paraId="647BA50A">
      <w:pPr>
        <w:keepNext w:val="0"/>
        <w:keepLines w:val="0"/>
        <w:pageBreakBefore w:val="0"/>
        <w:wordWrap w:val="0"/>
        <w:overflowPunct/>
        <w:topLinePunct w:val="0"/>
        <w:bidi w:val="0"/>
        <w:spacing w:before="150"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（3）总体概述（包括施工程序总体设想及施工段划分等内容）；</w:t>
      </w:r>
    </w:p>
    <w:p w14:paraId="738A6B2B">
      <w:pPr>
        <w:keepNext w:val="0"/>
        <w:keepLines w:val="0"/>
        <w:pageBreakBefore w:val="0"/>
        <w:wordWrap w:val="0"/>
        <w:overflowPunct/>
        <w:topLinePunct w:val="0"/>
        <w:bidi w:val="0"/>
        <w:spacing w:before="154" w:line="299" w:lineRule="auto"/>
        <w:ind w:left="9" w:right="211"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（4）施工总进度计划及保证措施（包括进度管理目标；以横道图或标明关键线路的网络进度计划；保障进度计划需要的人、材、机需求计划及保证措施；违约责任承诺等内容）；</w:t>
      </w:r>
    </w:p>
    <w:p w14:paraId="29D24596">
      <w:pPr>
        <w:keepNext w:val="0"/>
        <w:keepLines w:val="0"/>
        <w:pageBreakBefore w:val="0"/>
        <w:wordWrap w:val="0"/>
        <w:overflowPunct/>
        <w:topLinePunct w:val="0"/>
        <w:bidi w:val="0"/>
        <w:spacing w:before="153"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（5）质量保证措施（包括质量管理目标；相应保证措施；违约责任承诺等内容</w:t>
      </w:r>
      <w:r>
        <w:rPr>
          <w:rFonts w:hint="eastAsia" w:ascii="宋体" w:hAnsi="宋体" w:eastAsia="宋体" w:cs="宋体"/>
          <w:color w:val="auto"/>
          <w:spacing w:val="0"/>
          <w:w w:val="97"/>
          <w:sz w:val="24"/>
          <w:szCs w:val="24"/>
          <w:highlight w:val="none"/>
        </w:rPr>
        <w:t>）；</w:t>
      </w:r>
    </w:p>
    <w:p w14:paraId="0C06049B">
      <w:pPr>
        <w:keepNext w:val="0"/>
        <w:keepLines w:val="0"/>
        <w:pageBreakBefore w:val="0"/>
        <w:wordWrap w:val="0"/>
        <w:overflowPunct/>
        <w:topLinePunct w:val="0"/>
        <w:bidi w:val="0"/>
        <w:spacing w:before="156" w:line="279" w:lineRule="auto"/>
        <w:ind w:left="11" w:right="21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（6）施工技术措施（包括关键施工技术、工艺及工程项目实施的重点、难点分析和解决方案；新技术应用与承诺等内容）；</w:t>
      </w:r>
    </w:p>
    <w:p w14:paraId="7DBAE162">
      <w:pPr>
        <w:keepNext w:val="0"/>
        <w:keepLines w:val="0"/>
        <w:pageBreakBefore w:val="0"/>
        <w:wordWrap w:val="0"/>
        <w:overflowPunct/>
        <w:topLinePunct w:val="0"/>
        <w:bidi w:val="0"/>
        <w:spacing w:before="118" w:line="297" w:lineRule="auto"/>
        <w:ind w:left="11" w:right="3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（7）绿色施工、安全防护、文明施工措施计划(应对建设单位组织的勘察设计等单位在施工招标文件中列出的危大工程清单(详见格式十三)进行投标文件回应，如有)；</w:t>
      </w:r>
    </w:p>
    <w:p w14:paraId="5355E3A3">
      <w:pPr>
        <w:keepNext w:val="0"/>
        <w:keepLines w:val="0"/>
        <w:pageBreakBefore w:val="0"/>
        <w:wordWrap w:val="0"/>
        <w:overflowPunct/>
        <w:topLinePunct w:val="0"/>
        <w:bidi w:val="0"/>
        <w:spacing w:before="118" w:line="297" w:lineRule="auto"/>
        <w:ind w:left="11" w:right="3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（8）施工现场总平面布置（</w:t>
      </w:r>
      <w:bookmarkStart w:id="49" w:name="OLE_LINK8"/>
      <w:r>
        <w:rPr>
          <w:rFonts w:hint="eastAsia" w:ascii="宋体" w:hAnsi="宋体" w:eastAsia="宋体" w:cs="宋体"/>
          <w:color w:val="auto"/>
          <w:spacing w:val="0"/>
          <w:sz w:val="24"/>
          <w:szCs w:val="24"/>
          <w:highlight w:val="none"/>
        </w:rPr>
        <w:t>投标人应递交一份施工现场总平面布置图，绘出现场临时设施布置图表并附文字说明，说明临时设施、加工车间、现场办公、设备及仓储、供电、供水、卫生、生活、道路、消防等设施的情况和布置</w:t>
      </w:r>
      <w:bookmarkEnd w:id="49"/>
      <w:r>
        <w:rPr>
          <w:rFonts w:hint="eastAsia" w:ascii="宋体" w:hAnsi="宋体" w:eastAsia="宋体" w:cs="宋体"/>
          <w:color w:val="auto"/>
          <w:spacing w:val="0"/>
          <w:sz w:val="24"/>
          <w:szCs w:val="24"/>
          <w:highlight w:val="none"/>
        </w:rPr>
        <w:t>）；</w:t>
      </w:r>
    </w:p>
    <w:p w14:paraId="45848756">
      <w:pPr>
        <w:keepNext w:val="0"/>
        <w:keepLines w:val="0"/>
        <w:pageBreakBefore w:val="0"/>
        <w:wordWrap w:val="0"/>
        <w:overflowPunct/>
        <w:topLinePunct w:val="0"/>
        <w:bidi w:val="0"/>
        <w:spacing w:before="155"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（9）项目管理机构。</w:t>
      </w:r>
    </w:p>
    <w:p w14:paraId="2D29EF4D">
      <w:pPr>
        <w:keepNext w:val="0"/>
        <w:keepLines w:val="0"/>
        <w:pageBreakBefore w:val="0"/>
        <w:wordWrap w:val="0"/>
        <w:overflowPunct/>
        <w:topLinePunct w:val="0"/>
        <w:bidi w:val="0"/>
        <w:spacing w:before="154" w:line="280" w:lineRule="auto"/>
        <w:ind w:right="21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（10）投标人认为有必要补充的其他内容（例如对总包管理的认识以及对专业分包工程的管理、协调、配合、服务方案）。</w:t>
      </w:r>
    </w:p>
    <w:p w14:paraId="62C6C749">
      <w:pPr>
        <w:keepNext w:val="0"/>
        <w:keepLines w:val="0"/>
        <w:pageBreakBefore w:val="0"/>
        <w:wordWrap w:val="0"/>
        <w:overflowPunct/>
        <w:topLinePunct w:val="0"/>
        <w:bidi w:val="0"/>
        <w:spacing w:before="152" w:line="279" w:lineRule="auto"/>
        <w:ind w:right="196"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10.4.3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10.4.2  </w:t>
      </w:r>
      <w:r>
        <w:rPr>
          <w:rFonts w:hint="eastAsia" w:ascii="宋体" w:hAnsi="宋体" w:eastAsia="宋体" w:cs="宋体"/>
          <w:color w:val="auto"/>
          <w:spacing w:val="0"/>
          <w:sz w:val="24"/>
          <w:szCs w:val="24"/>
          <w:highlight w:val="none"/>
        </w:rPr>
        <w:t>目中所列出的施工组织设计组成内容中，第（1）至第（9）项所有投标人均应提供。</w:t>
      </w:r>
    </w:p>
    <w:p w14:paraId="393F6AD6">
      <w:pPr>
        <w:keepNext w:val="0"/>
        <w:keepLines w:val="0"/>
        <w:pageBreakBefore w:val="0"/>
        <w:wordWrap w:val="0"/>
        <w:overflowPunct/>
        <w:topLinePunct w:val="0"/>
        <w:bidi w:val="0"/>
        <w:spacing w:before="157" w:line="279" w:lineRule="auto"/>
        <w:ind w:right="211"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10.4.4 </w:t>
      </w:r>
      <w:r>
        <w:rPr>
          <w:rFonts w:hint="eastAsia" w:ascii="宋体" w:hAnsi="宋体" w:eastAsia="宋体" w:cs="宋体"/>
          <w:color w:val="auto"/>
          <w:spacing w:val="0"/>
          <w:sz w:val="24"/>
          <w:szCs w:val="24"/>
          <w:highlight w:val="none"/>
        </w:rPr>
        <w:t>施工组织设计的组成内容按本节第 10.4.2 目规定的顺序整理、编排后，逐页（页码起始从封面开始）连续标记页码。</w:t>
      </w:r>
    </w:p>
    <w:p w14:paraId="09DCBEEA">
      <w:pPr>
        <w:keepNext w:val="0"/>
        <w:keepLines w:val="0"/>
        <w:pageBreakBefore w:val="0"/>
        <w:wordWrap w:val="0"/>
        <w:overflowPunct/>
        <w:topLinePunct w:val="0"/>
        <w:bidi w:val="0"/>
        <w:ind w:firstLine="480"/>
        <w:outlineLvl w:val="9"/>
        <w:rPr>
          <w:rFonts w:hint="eastAsia" w:ascii="宋体" w:hAnsi="宋体" w:eastAsia="宋体" w:cs="宋体"/>
          <w:color w:val="auto"/>
          <w:spacing w:val="0"/>
          <w:sz w:val="24"/>
          <w:szCs w:val="24"/>
          <w:highlight w:val="none"/>
          <w:lang w:eastAsia="zh-CN"/>
        </w:rPr>
      </w:pPr>
      <w:r>
        <w:rPr>
          <w:rFonts w:hint="eastAsia" w:ascii="宋体" w:hAnsi="宋体" w:eastAsia="宋体" w:cs="宋体"/>
          <w:b/>
          <w:bCs/>
          <w:color w:val="auto"/>
          <w:spacing w:val="0"/>
          <w:sz w:val="24"/>
          <w:szCs w:val="24"/>
          <w:highlight w:val="none"/>
        </w:rPr>
        <w:t>10.4.5</w:t>
      </w:r>
      <w:bookmarkStart w:id="50" w:name="OLE_LINK9"/>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施工组织设计的正文不得超过</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200</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页</w:t>
      </w:r>
      <w:r>
        <w:rPr>
          <w:rFonts w:hint="eastAsia" w:ascii="宋体" w:hAnsi="宋体" w:eastAsia="宋体" w:cs="宋体"/>
          <w:color w:val="auto"/>
          <w:spacing w:val="0"/>
          <w:sz w:val="24"/>
          <w:szCs w:val="24"/>
          <w:highlight w:val="none"/>
          <w:lang w:eastAsia="zh-CN"/>
        </w:rPr>
        <w:t>。</w:t>
      </w:r>
      <w:bookmarkEnd w:id="50"/>
      <w:bookmarkStart w:id="51" w:name="bookmark121"/>
      <w:bookmarkEnd w:id="51"/>
    </w:p>
    <w:p w14:paraId="1A196123">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4408858C">
      <w:pPr>
        <w:keepNext w:val="0"/>
        <w:keepLines w:val="0"/>
        <w:pageBreakBefore w:val="0"/>
        <w:wordWrap w:val="0"/>
        <w:overflowPunct/>
        <w:topLinePunct w:val="0"/>
        <w:bidi w:val="0"/>
        <w:spacing w:before="78" w:line="219" w:lineRule="auto"/>
        <w:ind w:left="496"/>
        <w:outlineLvl w:val="3"/>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10.</w:t>
      </w:r>
      <w:r>
        <w:rPr>
          <w:rFonts w:hint="eastAsia" w:ascii="宋体" w:hAnsi="宋体" w:eastAsia="宋体" w:cs="宋体"/>
          <w:b/>
          <w:bCs/>
          <w:color w:val="auto"/>
          <w:spacing w:val="0"/>
          <w:sz w:val="24"/>
          <w:szCs w:val="24"/>
          <w:highlight w:val="none"/>
          <w:lang w:val="en-US" w:eastAsia="zh-CN"/>
        </w:rPr>
        <w:t>5</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定标文件的编制要求</w:t>
      </w:r>
    </w:p>
    <w:p w14:paraId="504314F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0.5</w:t>
      </w:r>
      <w:r>
        <w:rPr>
          <w:rFonts w:hint="eastAsia" w:ascii="宋体" w:hAnsi="宋体" w:eastAsia="宋体" w:cs="宋体"/>
          <w:b w:val="0"/>
          <w:bCs w:val="0"/>
          <w:color w:val="auto"/>
          <w:sz w:val="24"/>
          <w:highlight w:val="none"/>
        </w:rPr>
        <w:t xml:space="preserve">.1 </w:t>
      </w:r>
      <w:r>
        <w:rPr>
          <w:rFonts w:hint="eastAsia" w:ascii="宋体" w:hAnsi="宋体" w:eastAsia="宋体" w:cs="宋体"/>
          <w:b w:val="0"/>
          <w:bCs w:val="0"/>
          <w:color w:val="auto"/>
          <w:sz w:val="24"/>
          <w:highlight w:val="none"/>
          <w:lang w:val="en-US" w:eastAsia="zh-CN"/>
        </w:rPr>
        <w:t>定标文件</w:t>
      </w:r>
      <w:r>
        <w:rPr>
          <w:rFonts w:hint="eastAsia" w:ascii="宋体" w:hAnsi="宋体" w:eastAsia="宋体" w:cs="宋体"/>
          <w:b w:val="0"/>
          <w:bCs w:val="0"/>
          <w:color w:val="auto"/>
          <w:sz w:val="24"/>
          <w:highlight w:val="none"/>
        </w:rPr>
        <w:t>包括以下内容</w:t>
      </w:r>
      <w:r>
        <w:rPr>
          <w:rFonts w:hint="eastAsia" w:ascii="宋体" w:hAnsi="宋体" w:eastAsia="宋体" w:cs="宋体"/>
          <w:b w:val="0"/>
          <w:bCs w:val="0"/>
          <w:color w:val="auto"/>
          <w:sz w:val="24"/>
          <w:highlight w:val="none"/>
          <w:lang w:eastAsia="zh-CN"/>
        </w:rPr>
        <w:t>（</w:t>
      </w:r>
      <w:r>
        <w:rPr>
          <w:rFonts w:hint="default" w:ascii="宋体" w:hAnsi="宋体" w:eastAsia="宋体" w:cs="宋体"/>
          <w:b w:val="0"/>
          <w:bCs w:val="0"/>
          <w:color w:val="auto"/>
          <w:sz w:val="24"/>
          <w:highlight w:val="none"/>
          <w:lang w:val="en-US" w:eastAsia="zh-CN"/>
        </w:rPr>
        <w:t>定标文件只适用于定标阶段提交给定标委员会查阅，评标委员会评标时不采用定标文件评审</w:t>
      </w:r>
      <w:r>
        <w:rPr>
          <w:rFonts w:hint="eastAsia" w:ascii="宋体" w:hAnsi="宋体" w:eastAsia="宋体" w:cs="宋体"/>
          <w:b w:val="0"/>
          <w:bCs w:val="0"/>
          <w:color w:val="auto"/>
          <w:sz w:val="24"/>
          <w:highlight w:val="none"/>
          <w:lang w:eastAsia="zh-CN"/>
        </w:rPr>
        <w:t>）</w:t>
      </w:r>
      <w:r>
        <w:rPr>
          <w:rFonts w:hint="eastAsia" w:ascii="宋体" w:hAnsi="宋体" w:eastAsia="宋体" w:cs="宋体"/>
          <w:b w:val="0"/>
          <w:bCs w:val="0"/>
          <w:color w:val="auto"/>
          <w:sz w:val="24"/>
          <w:highlight w:val="none"/>
        </w:rPr>
        <w:t>：</w:t>
      </w:r>
    </w:p>
    <w:p w14:paraId="49C08FDD">
      <w:pPr>
        <w:keepNext w:val="0"/>
        <w:keepLines w:val="0"/>
        <w:pageBreakBefore w:val="0"/>
        <w:wordWrap w:val="0"/>
        <w:overflowPunct/>
        <w:topLinePunct w:val="0"/>
        <w:bidi w:val="0"/>
        <w:spacing w:before="156"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w:t>
      </w:r>
      <w:r>
        <w:rPr>
          <w:rFonts w:hint="eastAsia" w:ascii="宋体" w:hAnsi="宋体" w:eastAsia="宋体" w:cs="宋体"/>
          <w:color w:val="auto"/>
          <w:spacing w:val="0"/>
          <w:sz w:val="24"/>
          <w:szCs w:val="24"/>
          <w:highlight w:val="none"/>
          <w:lang w:val="en-US" w:eastAsia="zh-CN"/>
        </w:rPr>
        <w:t>十六</w:t>
      </w:r>
      <w:r>
        <w:rPr>
          <w:rFonts w:hint="eastAsia" w:ascii="宋体" w:hAnsi="宋体" w:eastAsia="宋体" w:cs="宋体"/>
          <w:color w:val="auto"/>
          <w:spacing w:val="0"/>
          <w:sz w:val="24"/>
          <w:szCs w:val="24"/>
          <w:highlight w:val="none"/>
        </w:rPr>
        <w:t>）；</w:t>
      </w:r>
    </w:p>
    <w:p w14:paraId="0BE569D4">
      <w:pPr>
        <w:keepNext w:val="0"/>
        <w:keepLines w:val="0"/>
        <w:pageBreakBefore w:val="0"/>
        <w:wordWrap w:val="0"/>
        <w:overflowPunct/>
        <w:topLinePunct w:val="0"/>
        <w:bidi w:val="0"/>
        <w:spacing w:before="153" w:line="222"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目录；</w:t>
      </w:r>
    </w:p>
    <w:p w14:paraId="6615EA3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rPr>
        <w:t>）</w:t>
      </w:r>
      <w:r>
        <w:rPr>
          <w:rFonts w:hint="eastAsia" w:ascii="宋体" w:hAnsi="宋体" w:eastAsia="宋体" w:cs="宋体"/>
          <w:b w:val="0"/>
          <w:bCs w:val="0"/>
          <w:color w:val="auto"/>
          <w:sz w:val="24"/>
          <w:highlight w:val="none"/>
          <w:lang w:val="en-US" w:eastAsia="zh-CN"/>
        </w:rPr>
        <w:t xml:space="preserve"> 定标因素评审资料（格式十七）</w:t>
      </w:r>
    </w:p>
    <w:p w14:paraId="2451D94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b/>
          <w:bCs/>
          <w:highlight w:val="none"/>
        </w:rPr>
      </w:pPr>
      <w:r>
        <w:rPr>
          <w:rFonts w:hint="eastAsia" w:ascii="宋体" w:hAnsi="宋体" w:eastAsia="宋体" w:cs="宋体"/>
          <w:b/>
          <w:bCs/>
          <w:color w:val="auto"/>
          <w:sz w:val="24"/>
          <w:highlight w:val="none"/>
          <w:lang w:val="en-US" w:eastAsia="zh-CN"/>
        </w:rPr>
        <w:t>注：第10.5的定标文件按照本章节第16.5定标因素所列提供，其中第16.5.6无需提供，其余</w:t>
      </w:r>
      <w:r>
        <w:rPr>
          <w:rFonts w:hint="eastAsia" w:ascii="宋体" w:hAnsi="宋体" w:eastAsia="宋体" w:cs="宋体"/>
          <w:b/>
          <w:bCs/>
          <w:color w:val="auto"/>
          <w:sz w:val="24"/>
          <w:highlight w:val="none"/>
        </w:rPr>
        <w:t>所有投标人均应提供。</w:t>
      </w:r>
    </w:p>
    <w:p w14:paraId="1FFEADB9">
      <w:pPr>
        <w:keepNext w:val="0"/>
        <w:keepLines w:val="0"/>
        <w:pageBreakBefore w:val="0"/>
        <w:wordWrap w:val="0"/>
        <w:overflowPunct/>
        <w:topLinePunct w:val="0"/>
        <w:bidi w:val="0"/>
        <w:spacing w:before="78" w:line="221" w:lineRule="auto"/>
        <w:ind w:left="496"/>
        <w:outlineLvl w:val="2"/>
        <w:rPr>
          <w:rFonts w:hint="eastAsia" w:ascii="宋体" w:hAnsi="宋体" w:eastAsia="宋体" w:cs="宋体"/>
          <w:color w:val="auto"/>
          <w:spacing w:val="0"/>
          <w:sz w:val="24"/>
          <w:szCs w:val="24"/>
          <w:highlight w:val="none"/>
        </w:rPr>
      </w:pPr>
      <w:bookmarkStart w:id="52" w:name="_Toc2450"/>
      <w:bookmarkStart w:id="53" w:name="_Toc21936"/>
      <w:r>
        <w:rPr>
          <w:rFonts w:hint="eastAsia" w:ascii="宋体" w:hAnsi="宋体" w:eastAsia="宋体" w:cs="宋体"/>
          <w:b/>
          <w:bCs/>
          <w:color w:val="auto"/>
          <w:spacing w:val="0"/>
          <w:sz w:val="24"/>
          <w:szCs w:val="24"/>
          <w:highlight w:val="none"/>
        </w:rPr>
        <w:t xml:space="preserve">11. </w:t>
      </w:r>
      <w:r>
        <w:rPr>
          <w:rFonts w:hint="eastAsia" w:ascii="宋体" w:hAnsi="宋体" w:eastAsia="宋体" w:cs="宋体"/>
          <w:color w:val="auto"/>
          <w:spacing w:val="0"/>
          <w:sz w:val="24"/>
          <w:szCs w:val="24"/>
          <w:highlight w:val="none"/>
        </w:rPr>
        <w:t>电子投标：</w:t>
      </w:r>
      <w:bookmarkEnd w:id="52"/>
      <w:bookmarkEnd w:id="53"/>
    </w:p>
    <w:p w14:paraId="5D9575E6">
      <w:pPr>
        <w:keepNext w:val="0"/>
        <w:keepLines w:val="0"/>
        <w:pageBreakBefore w:val="0"/>
        <w:wordWrap w:val="0"/>
        <w:overflowPunct/>
        <w:topLinePunct w:val="0"/>
        <w:bidi w:val="0"/>
        <w:spacing w:before="112" w:line="295" w:lineRule="auto"/>
        <w:ind w:left="10"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11.1  </w:t>
      </w:r>
      <w:r>
        <w:rPr>
          <w:rFonts w:hint="eastAsia" w:ascii="宋体" w:hAnsi="宋体" w:eastAsia="宋体" w:cs="宋体"/>
          <w:color w:val="auto"/>
          <w:spacing w:val="0"/>
          <w:sz w:val="24"/>
          <w:szCs w:val="24"/>
          <w:highlight w:val="none"/>
        </w:rPr>
        <w:t>在建设工程交易系统上传加盖了电子印章的投标文件、录入相关信息及标书页码信息，</w:t>
      </w:r>
      <w:r>
        <w:rPr>
          <w:rFonts w:hint="eastAsia" w:ascii="宋体" w:hAnsi="宋体" w:eastAsia="宋体" w:cs="宋体"/>
          <w:b/>
          <w:bCs/>
          <w:color w:val="auto"/>
          <w:spacing w:val="0"/>
          <w:sz w:val="24"/>
          <w:szCs w:val="24"/>
          <w:highlight w:val="none"/>
        </w:rPr>
        <w:t>（页码起始从封面开始）</w:t>
      </w:r>
      <w:r>
        <w:rPr>
          <w:rFonts w:hint="eastAsia" w:ascii="宋体" w:hAnsi="宋体" w:eastAsia="宋体" w:cs="宋体"/>
          <w:color w:val="auto"/>
          <w:spacing w:val="0"/>
          <w:sz w:val="24"/>
          <w:szCs w:val="24"/>
          <w:highlight w:val="none"/>
        </w:rPr>
        <w:t>并提交投标标书。提交标书为已加密投标文件。 具体操作参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6D6B8FF1">
      <w:pPr>
        <w:keepNext w:val="0"/>
        <w:keepLines w:val="0"/>
        <w:pageBreakBefore w:val="0"/>
        <w:wordWrap w:val="0"/>
        <w:overflowPunct/>
        <w:topLinePunct w:val="0"/>
        <w:bidi w:val="0"/>
        <w:spacing w:before="115" w:line="286" w:lineRule="auto"/>
        <w:ind w:left="10" w:right="81" w:firstLine="485"/>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11.2  </w:t>
      </w:r>
      <w:r>
        <w:rPr>
          <w:rFonts w:hint="eastAsia" w:ascii="宋体" w:hAnsi="宋体" w:eastAsia="宋体" w:cs="宋体"/>
          <w:color w:val="auto"/>
          <w:spacing w:val="0"/>
          <w:sz w:val="24"/>
          <w:szCs w:val="24"/>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5E60D4C8">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before="78" w:line="286" w:lineRule="auto"/>
        <w:ind w:firstLine="482" w:firstLineChars="200"/>
        <w:textAlignment w:val="baseline"/>
        <w:outlineLvl w:val="2"/>
        <w:rPr>
          <w:rFonts w:hint="eastAsia" w:ascii="宋体" w:hAnsi="宋体" w:eastAsia="宋体" w:cs="宋体"/>
          <w:b/>
          <w:bCs/>
          <w:color w:val="auto"/>
          <w:spacing w:val="0"/>
          <w:sz w:val="24"/>
          <w:szCs w:val="24"/>
          <w:highlight w:val="none"/>
        </w:rPr>
      </w:pPr>
      <w:bookmarkStart w:id="54" w:name="_Toc22338"/>
      <w:r>
        <w:rPr>
          <w:rFonts w:hint="eastAsia" w:ascii="宋体" w:hAnsi="宋体" w:eastAsia="宋体" w:cs="宋体"/>
          <w:b/>
          <w:bCs/>
          <w:color w:val="auto"/>
          <w:spacing w:val="0"/>
          <w:sz w:val="24"/>
          <w:szCs w:val="24"/>
          <w:highlight w:val="none"/>
          <w:lang w:val="en-US" w:eastAsia="zh-CN"/>
        </w:rPr>
        <w:t>12.</w:t>
      </w:r>
      <w:r>
        <w:rPr>
          <w:rFonts w:hint="eastAsia" w:ascii="宋体" w:hAnsi="宋体" w:eastAsia="宋体" w:cs="宋体"/>
          <w:b/>
          <w:bCs/>
          <w:color w:val="auto"/>
          <w:spacing w:val="0"/>
          <w:w w:val="101"/>
          <w:sz w:val="24"/>
          <w:szCs w:val="24"/>
          <w:highlight w:val="none"/>
        </w:rPr>
        <w:t xml:space="preserve"> </w:t>
      </w:r>
      <w:bookmarkStart w:id="55" w:name="_Toc29834"/>
      <w:r>
        <w:rPr>
          <w:rFonts w:hint="eastAsia" w:ascii="宋体" w:hAnsi="宋体" w:eastAsia="宋体" w:cs="宋体"/>
          <w:b/>
          <w:bCs/>
          <w:color w:val="auto"/>
          <w:spacing w:val="0"/>
          <w:sz w:val="24"/>
          <w:szCs w:val="24"/>
          <w:highlight w:val="none"/>
        </w:rPr>
        <w:t>电子投标及投标解密失败及突发情况的补救方案</w:t>
      </w:r>
      <w:bookmarkEnd w:id="54"/>
      <w:bookmarkEnd w:id="55"/>
    </w:p>
    <w:p w14:paraId="36528AF2">
      <w:pPr>
        <w:keepNext w:val="0"/>
        <w:keepLines w:val="0"/>
        <w:pageBreakBefore w:val="0"/>
        <w:widowControl/>
        <w:kinsoku w:val="0"/>
        <w:wordWrap w:val="0"/>
        <w:overflowPunct/>
        <w:topLinePunct w:val="0"/>
        <w:autoSpaceDE w:val="0"/>
        <w:autoSpaceDN w:val="0"/>
        <w:bidi w:val="0"/>
        <w:adjustRightInd w:val="0"/>
        <w:snapToGrid w:val="0"/>
        <w:spacing w:before="78" w:line="286" w:lineRule="auto"/>
        <w:ind w:firstLine="482"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12.1 </w:t>
      </w:r>
      <w:r>
        <w:rPr>
          <w:rFonts w:hint="eastAsia" w:ascii="宋体" w:hAnsi="宋体" w:eastAsia="宋体" w:cs="宋体"/>
          <w:color w:val="auto"/>
          <w:spacing w:val="0"/>
          <w:sz w:val="24"/>
          <w:szCs w:val="24"/>
          <w:highlight w:val="none"/>
        </w:rPr>
        <w:t>按照交易平台关于全流程电子化项目的相关指南进行操作。详见：全国公共资源交易平台（广东省 ·韶关市）（https://ygp.gdzwfw.gov.cn/ggzy-portal/#/44 0200/index）服务指南栏目发布的最新版操作指引。</w:t>
      </w:r>
    </w:p>
    <w:p w14:paraId="377D15DB">
      <w:pPr>
        <w:keepNext w:val="0"/>
        <w:keepLines w:val="0"/>
        <w:pageBreakBefore w:val="0"/>
        <w:widowControl/>
        <w:kinsoku w:val="0"/>
        <w:wordWrap w:val="0"/>
        <w:overflowPunct/>
        <w:topLinePunct w:val="0"/>
        <w:autoSpaceDE w:val="0"/>
        <w:autoSpaceDN w:val="0"/>
        <w:bidi w:val="0"/>
        <w:adjustRightInd w:val="0"/>
        <w:snapToGrid w:val="0"/>
        <w:spacing w:before="113" w:line="286" w:lineRule="auto"/>
        <w:ind w:left="496"/>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  </w:t>
      </w:r>
      <w:r>
        <w:rPr>
          <w:rFonts w:hint="eastAsia" w:ascii="宋体" w:hAnsi="宋体" w:eastAsia="宋体" w:cs="宋体"/>
          <w:color w:val="auto"/>
          <w:spacing w:val="0"/>
          <w:sz w:val="24"/>
          <w:szCs w:val="24"/>
          <w:highlight w:val="none"/>
        </w:rPr>
        <w:t>补救方案：</w:t>
      </w:r>
    </w:p>
    <w:p w14:paraId="62364ED5">
      <w:pPr>
        <w:keepNext w:val="0"/>
        <w:keepLines w:val="0"/>
        <w:pageBreakBefore w:val="0"/>
        <w:wordWrap w:val="0"/>
        <w:overflowPunct/>
        <w:topLinePunct w:val="0"/>
        <w:bidi w:val="0"/>
        <w:spacing w:before="115"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12.2.1  </w:t>
      </w:r>
      <w:r>
        <w:rPr>
          <w:rFonts w:hint="eastAsia" w:ascii="宋体" w:hAnsi="宋体" w:eastAsia="宋体" w:cs="宋体"/>
          <w:color w:val="auto"/>
          <w:spacing w:val="0"/>
          <w:sz w:val="24"/>
          <w:szCs w:val="24"/>
          <w:highlight w:val="none"/>
        </w:rPr>
        <w:t>投标文件解密失败的补救方案：</w:t>
      </w:r>
    </w:p>
    <w:p w14:paraId="43612194">
      <w:pPr>
        <w:keepNext w:val="0"/>
        <w:keepLines w:val="0"/>
        <w:pageBreakBefore w:val="0"/>
        <w:wordWrap w:val="0"/>
        <w:overflowPunct/>
        <w:topLinePunct w:val="0"/>
        <w:bidi w:val="0"/>
        <w:spacing w:before="115" w:line="298" w:lineRule="auto"/>
        <w:ind w:right="8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 30 分钟内）内</w:t>
      </w:r>
      <w:bookmarkStart w:id="56" w:name="bookmark122"/>
      <w:bookmarkEnd w:id="56"/>
      <w:r>
        <w:rPr>
          <w:rFonts w:hint="eastAsia" w:ascii="宋体" w:hAnsi="宋体" w:eastAsia="宋体" w:cs="宋体"/>
          <w:color w:val="auto"/>
          <w:spacing w:val="0"/>
          <w:sz w:val="24"/>
          <w:szCs w:val="24"/>
          <w:highlight w:val="none"/>
        </w:rPr>
        <w:t>重新提交投标文件继续开标程序。</w:t>
      </w:r>
    </w:p>
    <w:p w14:paraId="701B225B">
      <w:pPr>
        <w:keepNext w:val="0"/>
        <w:keepLines w:val="0"/>
        <w:pageBreakBefore w:val="0"/>
        <w:wordWrap w:val="0"/>
        <w:overflowPunct/>
        <w:topLinePunct w:val="0"/>
        <w:bidi w:val="0"/>
        <w:spacing w:before="114"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12.2.2  </w:t>
      </w:r>
      <w:r>
        <w:rPr>
          <w:rFonts w:hint="eastAsia" w:ascii="宋体" w:hAnsi="宋体" w:eastAsia="宋体" w:cs="宋体"/>
          <w:color w:val="auto"/>
          <w:spacing w:val="0"/>
          <w:sz w:val="24"/>
          <w:szCs w:val="24"/>
          <w:highlight w:val="none"/>
        </w:rPr>
        <w:t>评标时突发情况的补救方案</w:t>
      </w:r>
    </w:p>
    <w:p w14:paraId="39E507D8">
      <w:pPr>
        <w:keepNext w:val="0"/>
        <w:keepLines w:val="0"/>
        <w:pageBreakBefore w:val="0"/>
        <w:wordWrap w:val="0"/>
        <w:overflowPunct/>
        <w:topLinePunct w:val="0"/>
        <w:bidi w:val="0"/>
        <w:spacing w:before="114" w:line="303" w:lineRule="auto"/>
        <w:ind w:right="8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在评标过程中，因主场或副场网络故障、电子设备或者评标系统故障，以及其他原因导致无法继续进行评标时，在 4 小时以内解除故障的可继续评标，超过 4 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588029FB">
      <w:pPr>
        <w:keepNext w:val="0"/>
        <w:keepLines w:val="0"/>
        <w:pageBreakBefore w:val="0"/>
        <w:wordWrap w:val="0"/>
        <w:overflowPunct/>
        <w:topLinePunct w:val="0"/>
        <w:bidi w:val="0"/>
        <w:spacing w:before="69" w:line="324" w:lineRule="auto"/>
        <w:ind w:left="11" w:right="81" w:firstLine="484"/>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12.2.3  </w:t>
      </w:r>
      <w:r>
        <w:rPr>
          <w:rFonts w:hint="eastAsia" w:ascii="宋体" w:hAnsi="宋体" w:eastAsia="宋体" w:cs="宋体"/>
          <w:color w:val="auto"/>
          <w:spacing w:val="0"/>
          <w:sz w:val="24"/>
          <w:szCs w:val="24"/>
          <w:highlight w:val="none"/>
        </w:rPr>
        <w:t>除发生上述情况外，开标评标均以投标人（联合体投标的，由联合体牵头人）通过交易平台网上递交的电子投标文件为准。</w:t>
      </w:r>
    </w:p>
    <w:p w14:paraId="4E0357A1">
      <w:pPr>
        <w:keepNext w:val="0"/>
        <w:keepLines w:val="0"/>
        <w:pageBreakBefore w:val="0"/>
        <w:wordWrap w:val="0"/>
        <w:overflowPunct/>
        <w:topLinePunct w:val="0"/>
        <w:bidi w:val="0"/>
        <w:spacing w:before="78" w:line="220" w:lineRule="auto"/>
        <w:ind w:left="496"/>
        <w:outlineLvl w:val="2"/>
        <w:rPr>
          <w:rFonts w:hint="eastAsia" w:ascii="宋体" w:hAnsi="宋体" w:eastAsia="宋体" w:cs="宋体"/>
          <w:color w:val="auto"/>
          <w:spacing w:val="0"/>
          <w:sz w:val="24"/>
          <w:szCs w:val="24"/>
          <w:highlight w:val="none"/>
        </w:rPr>
      </w:pPr>
      <w:bookmarkStart w:id="57" w:name="_Toc27195"/>
      <w:bookmarkStart w:id="58" w:name="_Toc6745"/>
      <w:r>
        <w:rPr>
          <w:rFonts w:hint="eastAsia" w:ascii="宋体" w:hAnsi="宋体" w:eastAsia="宋体" w:cs="宋体"/>
          <w:b/>
          <w:bCs/>
          <w:color w:val="auto"/>
          <w:spacing w:val="0"/>
          <w:sz w:val="24"/>
          <w:szCs w:val="24"/>
          <w:highlight w:val="none"/>
        </w:rPr>
        <w:t>13 ．投标文件的提交</w:t>
      </w:r>
      <w:bookmarkEnd w:id="57"/>
      <w:bookmarkEnd w:id="58"/>
    </w:p>
    <w:p w14:paraId="3F8D164E">
      <w:pPr>
        <w:keepNext w:val="0"/>
        <w:keepLines w:val="0"/>
        <w:pageBreakBefore w:val="0"/>
        <w:wordWrap w:val="0"/>
        <w:overflowPunct/>
        <w:topLinePunct w:val="0"/>
        <w:bidi w:val="0"/>
        <w:spacing w:before="123" w:line="278" w:lineRule="auto"/>
        <w:ind w:left="13" w:right="81" w:firstLine="48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13.1  </w:t>
      </w:r>
      <w:r>
        <w:rPr>
          <w:rFonts w:hint="eastAsia" w:ascii="宋体" w:hAnsi="宋体" w:eastAsia="宋体" w:cs="宋体"/>
          <w:color w:val="auto"/>
          <w:spacing w:val="0"/>
          <w:sz w:val="24"/>
          <w:szCs w:val="24"/>
          <w:highlight w:val="none"/>
        </w:rPr>
        <w:t>在投标文件提交截止时间前，投标人通过全国公共资源交易平台（广东省 ·韶关市）提交已加密投标文件。逾期提交的电子投标文件，全国公共资源交易平台（广东省 ·韶关市）将予以拒收。</w:t>
      </w:r>
    </w:p>
    <w:p w14:paraId="41832DDC">
      <w:pPr>
        <w:keepNext w:val="0"/>
        <w:keepLines w:val="0"/>
        <w:pageBreakBefore w:val="0"/>
        <w:wordWrap w:val="0"/>
        <w:overflowPunct/>
        <w:topLinePunct w:val="0"/>
        <w:bidi w:val="0"/>
        <w:spacing w:before="115"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13.2  </w:t>
      </w:r>
      <w:r>
        <w:rPr>
          <w:rFonts w:hint="eastAsia" w:ascii="宋体" w:hAnsi="宋体" w:eastAsia="宋体" w:cs="宋体"/>
          <w:color w:val="auto"/>
          <w:spacing w:val="0"/>
          <w:sz w:val="24"/>
          <w:szCs w:val="24"/>
          <w:highlight w:val="none"/>
        </w:rPr>
        <w:t>提交时间和地点：见本章第二节“重要事项时间地点一览表 ”</w:t>
      </w:r>
    </w:p>
    <w:p w14:paraId="51B2BDE9">
      <w:pPr>
        <w:keepNext w:val="0"/>
        <w:keepLines w:val="0"/>
        <w:pageBreakBefore w:val="0"/>
        <w:wordWrap w:val="0"/>
        <w:overflowPunct/>
        <w:topLinePunct w:val="0"/>
        <w:bidi w:val="0"/>
        <w:spacing w:before="113" w:line="279" w:lineRule="auto"/>
        <w:ind w:left="9" w:right="24"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13.3  </w:t>
      </w:r>
      <w:r>
        <w:rPr>
          <w:rFonts w:hint="eastAsia" w:ascii="宋体" w:hAnsi="宋体" w:eastAsia="宋体" w:cs="宋体"/>
          <w:color w:val="auto"/>
          <w:spacing w:val="0"/>
          <w:sz w:val="24"/>
          <w:szCs w:val="24"/>
          <w:highlight w:val="none"/>
        </w:rPr>
        <w:t>递交时间和地点：投标人如有招标文件要求提交的用于评审的证书、证件、证明原件（附一式两份清单），由投标人法定代表人或其委托代理人在指定的时间和地点递交（见“重要事项时间地点一览表 ”）。</w:t>
      </w:r>
    </w:p>
    <w:p w14:paraId="73970F50">
      <w:pPr>
        <w:keepNext w:val="0"/>
        <w:keepLines w:val="0"/>
        <w:pageBreakBefore w:val="0"/>
        <w:wordWrap w:val="0"/>
        <w:overflowPunct/>
        <w:topLinePunct w:val="0"/>
        <w:bidi w:val="0"/>
        <w:spacing w:before="112" w:line="219" w:lineRule="auto"/>
        <w:ind w:firstLine="482" w:firstLineChars="20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13.4  </w:t>
      </w:r>
      <w:r>
        <w:rPr>
          <w:rFonts w:hint="eastAsia" w:ascii="宋体" w:hAnsi="宋体" w:eastAsia="宋体" w:cs="宋体"/>
          <w:color w:val="auto"/>
          <w:spacing w:val="0"/>
          <w:sz w:val="24"/>
          <w:szCs w:val="24"/>
          <w:highlight w:val="none"/>
        </w:rPr>
        <w:t>代理机构对因不可抗力事件造成的投标文件的损坏、丢失的，不承担责任。</w:t>
      </w:r>
    </w:p>
    <w:p w14:paraId="3C8AC39F">
      <w:pPr>
        <w:keepNext w:val="0"/>
        <w:keepLines w:val="0"/>
        <w:pageBreakBefore w:val="0"/>
        <w:wordWrap w:val="0"/>
        <w:overflowPunct/>
        <w:topLinePunct w:val="0"/>
        <w:bidi w:val="0"/>
        <w:spacing w:before="116"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13.5  </w:t>
      </w:r>
      <w:r>
        <w:rPr>
          <w:rFonts w:hint="eastAsia" w:ascii="宋体" w:hAnsi="宋体" w:eastAsia="宋体" w:cs="宋体"/>
          <w:color w:val="auto"/>
          <w:spacing w:val="0"/>
          <w:sz w:val="24"/>
          <w:szCs w:val="24"/>
          <w:highlight w:val="none"/>
        </w:rPr>
        <w:t>出现下述情形之一，属于未成功提交投标文件，按无效投标处理：</w:t>
      </w:r>
    </w:p>
    <w:p w14:paraId="00C0D19A">
      <w:pPr>
        <w:keepNext w:val="0"/>
        <w:keepLines w:val="0"/>
        <w:pageBreakBefore w:val="0"/>
        <w:wordWrap w:val="0"/>
        <w:overflowPunct/>
        <w:topLinePunct w:val="0"/>
        <w:bidi w:val="0"/>
        <w:spacing w:before="115" w:line="219"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（1）至提交投标文件截止时，投标文件未完整上传及提交标书；</w:t>
      </w:r>
    </w:p>
    <w:p w14:paraId="6863FD8E">
      <w:pPr>
        <w:keepNext w:val="0"/>
        <w:keepLines w:val="0"/>
        <w:pageBreakBefore w:val="0"/>
        <w:wordWrap w:val="0"/>
        <w:overflowPunct/>
        <w:topLinePunct w:val="0"/>
        <w:bidi w:val="0"/>
        <w:spacing w:before="114" w:line="220"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（2）解密失败且在规定时间内未重新提交投标文件的；</w:t>
      </w:r>
    </w:p>
    <w:p w14:paraId="51DF1C5D">
      <w:pPr>
        <w:keepNext w:val="0"/>
        <w:keepLines w:val="0"/>
        <w:pageBreakBefore w:val="0"/>
        <w:wordWrap w:val="0"/>
        <w:overflowPunct/>
        <w:topLinePunct w:val="0"/>
        <w:bidi w:val="0"/>
        <w:spacing w:before="115" w:line="220"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（3）投标文件损坏或格式不正确的；</w:t>
      </w:r>
    </w:p>
    <w:p w14:paraId="34A7B5FF">
      <w:pPr>
        <w:keepNext w:val="0"/>
        <w:keepLines w:val="0"/>
        <w:pageBreakBefore w:val="0"/>
        <w:wordWrap w:val="0"/>
        <w:overflowPunct/>
        <w:topLinePunct w:val="0"/>
        <w:bidi w:val="0"/>
        <w:spacing w:before="115"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13.6  </w:t>
      </w:r>
      <w:r>
        <w:rPr>
          <w:rFonts w:hint="eastAsia" w:ascii="宋体" w:hAnsi="宋体" w:eastAsia="宋体" w:cs="宋体"/>
          <w:color w:val="auto"/>
          <w:spacing w:val="0"/>
          <w:sz w:val="24"/>
          <w:szCs w:val="24"/>
          <w:highlight w:val="none"/>
        </w:rPr>
        <w:t>联合体投标的，由联合体牵头人按以上要求递交相关资料。</w:t>
      </w:r>
    </w:p>
    <w:p w14:paraId="0F442067">
      <w:pPr>
        <w:keepNext w:val="0"/>
        <w:keepLines w:val="0"/>
        <w:pageBreakBefore w:val="0"/>
        <w:widowControl/>
        <w:kinsoku w:val="0"/>
        <w:wordWrap w:val="0"/>
        <w:overflowPunct/>
        <w:topLinePunct w:val="0"/>
        <w:autoSpaceDE w:val="0"/>
        <w:autoSpaceDN w:val="0"/>
        <w:bidi w:val="0"/>
        <w:adjustRightInd w:val="0"/>
        <w:snapToGrid w:val="0"/>
        <w:spacing w:before="113" w:line="286" w:lineRule="auto"/>
        <w:ind w:left="11" w:right="23"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13.7  </w:t>
      </w:r>
      <w:r>
        <w:rPr>
          <w:rFonts w:hint="eastAsia" w:ascii="宋体" w:hAnsi="宋体" w:eastAsia="宋体" w:cs="宋体"/>
          <w:color w:val="auto"/>
          <w:spacing w:val="0"/>
          <w:sz w:val="24"/>
          <w:szCs w:val="24"/>
          <w:highlight w:val="none"/>
        </w:rPr>
        <w:t>招标人或其授权的招标代理机构核对、接收投标人递交的投标相关资料后，应向投标人出具标明签收人和签收时间的凭证，并妥善保管。</w:t>
      </w:r>
    </w:p>
    <w:p w14:paraId="01ECA8D8">
      <w:pPr>
        <w:keepNext w:val="0"/>
        <w:keepLines w:val="0"/>
        <w:pageBreakBefore w:val="0"/>
        <w:wordWrap w:val="0"/>
        <w:overflowPunct/>
        <w:topLinePunct w:val="0"/>
        <w:bidi w:val="0"/>
        <w:spacing w:before="113" w:line="279" w:lineRule="auto"/>
        <w:ind w:left="9" w:right="24"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13.8 </w:t>
      </w:r>
      <w:r>
        <w:rPr>
          <w:rFonts w:hint="eastAsia" w:ascii="宋体" w:hAnsi="宋体" w:eastAsia="宋体" w:cs="宋体"/>
          <w:color w:val="auto"/>
          <w:spacing w:val="0"/>
          <w:sz w:val="24"/>
          <w:szCs w:val="24"/>
          <w:highlight w:val="none"/>
        </w:rPr>
        <w:t xml:space="preserve"> 本次招标投标有效期为</w:t>
      </w:r>
      <w:r>
        <w:rPr>
          <w:rFonts w:hint="eastAsia" w:ascii="宋体" w:hAnsi="宋体" w:eastAsia="宋体" w:cs="宋体"/>
          <w:color w:val="auto"/>
          <w:spacing w:val="0"/>
          <w:sz w:val="24"/>
          <w:szCs w:val="24"/>
          <w:highlight w:val="none"/>
          <w:u w:val="single"/>
          <w:lang w:eastAsia="zh-CN"/>
        </w:rPr>
        <w:t>90</w:t>
      </w:r>
      <w:r>
        <w:rPr>
          <w:rFonts w:hint="eastAsia" w:ascii="宋体" w:hAnsi="宋体" w:eastAsia="宋体" w:cs="宋体"/>
          <w:color w:val="auto"/>
          <w:spacing w:val="0"/>
          <w:sz w:val="24"/>
          <w:szCs w:val="24"/>
          <w:highlight w:val="none"/>
        </w:rPr>
        <w:t>个日历天，投标有效期从提交投标文件的截止之日起计算。在此期间，投标人不得撤销或修改其投标文件，否则其投标保证不予退还。</w:t>
      </w:r>
    </w:p>
    <w:p w14:paraId="7CFC1188">
      <w:pPr>
        <w:keepNext w:val="0"/>
        <w:keepLines w:val="0"/>
        <w:pageBreakBefore w:val="0"/>
        <w:wordWrap w:val="0"/>
        <w:overflowPunct/>
        <w:topLinePunct w:val="0"/>
        <w:bidi w:val="0"/>
        <w:spacing w:before="145" w:line="221" w:lineRule="auto"/>
        <w:ind w:left="496"/>
        <w:outlineLvl w:val="2"/>
        <w:rPr>
          <w:rFonts w:hint="eastAsia" w:ascii="宋体" w:hAnsi="宋体" w:eastAsia="宋体" w:cs="宋体"/>
          <w:color w:val="auto"/>
          <w:spacing w:val="0"/>
          <w:sz w:val="24"/>
          <w:szCs w:val="24"/>
          <w:highlight w:val="none"/>
        </w:rPr>
      </w:pPr>
      <w:bookmarkStart w:id="59" w:name="_Toc22047"/>
      <w:bookmarkStart w:id="60" w:name="_Toc17102"/>
      <w:r>
        <w:rPr>
          <w:rFonts w:hint="eastAsia" w:ascii="宋体" w:hAnsi="宋体" w:eastAsia="宋体" w:cs="宋体"/>
          <w:b/>
          <w:bCs/>
          <w:color w:val="auto"/>
          <w:spacing w:val="0"/>
          <w:sz w:val="24"/>
          <w:szCs w:val="24"/>
          <w:highlight w:val="none"/>
        </w:rPr>
        <w:t>14 ．开标</w:t>
      </w:r>
      <w:bookmarkEnd w:id="59"/>
      <w:bookmarkEnd w:id="60"/>
    </w:p>
    <w:p w14:paraId="4E6C0717">
      <w:pPr>
        <w:keepNext w:val="0"/>
        <w:keepLines w:val="0"/>
        <w:pageBreakBefore w:val="0"/>
        <w:wordWrap w:val="0"/>
        <w:overflowPunct/>
        <w:topLinePunct w:val="0"/>
        <w:bidi w:val="0"/>
        <w:spacing w:before="155" w:line="329" w:lineRule="auto"/>
        <w:ind w:left="10" w:right="81" w:firstLine="485"/>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  </w:t>
      </w:r>
      <w:r>
        <w:rPr>
          <w:rFonts w:hint="eastAsia" w:ascii="宋体" w:hAnsi="宋体" w:eastAsia="宋体" w:cs="宋体"/>
          <w:color w:val="auto"/>
          <w:spacing w:val="0"/>
          <w:sz w:val="24"/>
          <w:szCs w:val="24"/>
          <w:highlight w:val="none"/>
        </w:rPr>
        <w:t>招标人邀请所有正确获取招标文件、电子投标、缴纳投标保证的投标人参加开标，投标人可自主决定是否参加。投标人可登陆交易平台观看开标实况、提出异议或进行澄清、确认等操作（具体按招标文件和系统操作手册为准）。投标人不参加开</w:t>
      </w:r>
      <w:bookmarkStart w:id="61" w:name="bookmark123"/>
      <w:bookmarkEnd w:id="61"/>
      <w:r>
        <w:rPr>
          <w:rFonts w:hint="eastAsia" w:ascii="宋体" w:hAnsi="宋体" w:eastAsia="宋体" w:cs="宋体"/>
          <w:color w:val="auto"/>
          <w:spacing w:val="0"/>
          <w:sz w:val="24"/>
          <w:szCs w:val="24"/>
          <w:highlight w:val="none"/>
        </w:rPr>
        <w:t>标的，视其默认开标结果，以及放弃在开标期间见证、监督、投诉、申辩的权利。</w:t>
      </w:r>
    </w:p>
    <w:p w14:paraId="671D1BF7">
      <w:pPr>
        <w:keepNext w:val="0"/>
        <w:keepLines w:val="0"/>
        <w:pageBreakBefore w:val="0"/>
        <w:wordWrap w:val="0"/>
        <w:overflowPunct/>
        <w:topLinePunct w:val="0"/>
        <w:bidi w:val="0"/>
        <w:spacing w:before="156"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14.1.1  </w:t>
      </w:r>
      <w:r>
        <w:rPr>
          <w:rFonts w:hint="eastAsia" w:ascii="宋体" w:hAnsi="宋体" w:eastAsia="宋体" w:cs="宋体"/>
          <w:color w:val="auto"/>
          <w:spacing w:val="0"/>
          <w:sz w:val="24"/>
          <w:szCs w:val="24"/>
          <w:highlight w:val="none"/>
        </w:rPr>
        <w:t>开标时间和地点：见本章第二节“重要事项时间地点一览表 ”。</w:t>
      </w:r>
    </w:p>
    <w:p w14:paraId="23B4AB0A">
      <w:pPr>
        <w:keepNext w:val="0"/>
        <w:keepLines w:val="0"/>
        <w:pageBreakBefore w:val="0"/>
        <w:widowControl/>
        <w:kinsoku w:val="0"/>
        <w:wordWrap w:val="0"/>
        <w:overflowPunct/>
        <w:topLinePunct w:val="0"/>
        <w:autoSpaceDE w:val="0"/>
        <w:autoSpaceDN w:val="0"/>
        <w:bidi w:val="0"/>
        <w:adjustRightInd w:val="0"/>
        <w:snapToGrid w:val="0"/>
        <w:spacing w:before="153" w:line="320" w:lineRule="auto"/>
        <w:ind w:left="11"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14.1.2 </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开标前 24 小时，若建设工程交易系统显示缴纳投标保证（包括投标保证金、投标保证担保、投标保证保险）的投标人数量不足 3 个时，招标人将取消原定于次日召开的开标活动。投标人可在投标保证缴纳截止时间（见本章第二节“重要事项时间 地点一览表 ”）至电子投标截止时间（见本章第二节“重要事项时间地点一览表 ”） 期间登录全国公共资源交易平台（广东省 ·韶关市）（https://ygp.gdzwfw.gov.cn/ ggzy-portal/#/440200/index）查询是否发布了取消开标活动的相关信息。</w:t>
      </w:r>
    </w:p>
    <w:p w14:paraId="13487771">
      <w:pPr>
        <w:keepNext w:val="0"/>
        <w:keepLines w:val="0"/>
        <w:pageBreakBefore w:val="0"/>
        <w:wordWrap w:val="0"/>
        <w:overflowPunct/>
        <w:topLinePunct w:val="0"/>
        <w:bidi w:val="0"/>
        <w:spacing w:before="159" w:line="319" w:lineRule="auto"/>
        <w:ind w:left="10" w:right="80" w:firstLine="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14.1.3</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本项目实行全流程电子化招标投标，投标人在交易平台按要求上传加盖电子印章并经加密的电子投标文件，并在交易平台录入准确的页码信息即可完成在线投标</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40F3EB23">
      <w:pPr>
        <w:keepNext w:val="0"/>
        <w:keepLines w:val="0"/>
        <w:pageBreakBefore w:val="0"/>
        <w:wordWrap w:val="0"/>
        <w:overflowPunct/>
        <w:topLinePunct w:val="0"/>
        <w:bidi w:val="0"/>
        <w:spacing w:before="152" w:line="221"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14.2  </w:t>
      </w:r>
      <w:r>
        <w:rPr>
          <w:rFonts w:hint="eastAsia" w:ascii="宋体" w:hAnsi="宋体" w:eastAsia="宋体" w:cs="宋体"/>
          <w:color w:val="auto"/>
          <w:spacing w:val="0"/>
          <w:sz w:val="24"/>
          <w:szCs w:val="24"/>
          <w:highlight w:val="none"/>
        </w:rPr>
        <w:t>开标程序</w:t>
      </w:r>
    </w:p>
    <w:p w14:paraId="4481CD9D">
      <w:pPr>
        <w:keepNext w:val="0"/>
        <w:keepLines w:val="0"/>
        <w:pageBreakBefore w:val="0"/>
        <w:wordWrap w:val="0"/>
        <w:overflowPunct/>
        <w:topLinePunct w:val="0"/>
        <w:bidi w:val="0"/>
        <w:spacing w:before="42" w:line="219" w:lineRule="auto"/>
        <w:ind w:left="501"/>
        <w:outlineLvl w:val="9"/>
        <w:rPr>
          <w:rFonts w:hint="eastAsia" w:ascii="宋体" w:hAnsi="宋体" w:eastAsia="宋体" w:cs="宋体"/>
          <w:color w:val="auto"/>
          <w:spacing w:val="0"/>
          <w:sz w:val="24"/>
          <w:szCs w:val="24"/>
          <w:highlight w:val="none"/>
        </w:rPr>
      </w:pPr>
      <w:bookmarkStart w:id="62" w:name="_Toc10685"/>
      <w:bookmarkStart w:id="63" w:name="_Toc8314"/>
      <w:bookmarkStart w:id="64" w:name="_Toc10291"/>
      <w:bookmarkStart w:id="65" w:name="_Toc15587"/>
      <w:r>
        <w:rPr>
          <w:rFonts w:hint="eastAsia" w:ascii="宋体" w:hAnsi="宋体" w:eastAsia="宋体" w:cs="宋体"/>
          <w:color w:val="auto"/>
          <w:spacing w:val="0"/>
          <w:sz w:val="24"/>
          <w:szCs w:val="24"/>
          <w:highlight w:val="none"/>
        </w:rPr>
        <w:t>（1）主持人（招标人代表或招标人授权的招标代理机构人员）宣读开标纪律。</w:t>
      </w:r>
      <w:bookmarkEnd w:id="62"/>
      <w:bookmarkEnd w:id="63"/>
      <w:bookmarkEnd w:id="64"/>
      <w:bookmarkEnd w:id="65"/>
    </w:p>
    <w:p w14:paraId="22E65A61">
      <w:pPr>
        <w:keepNext w:val="0"/>
        <w:keepLines w:val="0"/>
        <w:pageBreakBefore w:val="0"/>
        <w:wordWrap w:val="0"/>
        <w:overflowPunct/>
        <w:topLinePunct w:val="0"/>
        <w:bidi w:val="0"/>
        <w:spacing w:before="181" w:line="219" w:lineRule="auto"/>
        <w:ind w:left="501"/>
        <w:outlineLvl w:val="9"/>
        <w:rPr>
          <w:rFonts w:hint="eastAsia" w:ascii="宋体" w:hAnsi="宋体" w:eastAsia="宋体" w:cs="宋体"/>
          <w:color w:val="auto"/>
          <w:spacing w:val="0"/>
          <w:sz w:val="24"/>
          <w:szCs w:val="24"/>
          <w:highlight w:val="none"/>
        </w:rPr>
      </w:pPr>
      <w:bookmarkStart w:id="66" w:name="_Toc20238"/>
      <w:bookmarkStart w:id="67" w:name="_Toc2011"/>
      <w:bookmarkStart w:id="68" w:name="_Toc16292"/>
      <w:bookmarkStart w:id="69" w:name="_Toc30853"/>
      <w:r>
        <w:rPr>
          <w:rFonts w:hint="eastAsia" w:ascii="宋体" w:hAnsi="宋体" w:eastAsia="宋体" w:cs="宋体"/>
          <w:color w:val="auto"/>
          <w:spacing w:val="0"/>
          <w:sz w:val="24"/>
          <w:szCs w:val="24"/>
          <w:highlight w:val="none"/>
        </w:rPr>
        <w:t>（2）主持人宣布唱标人、记录人、见证人、监督人等有关人员姓名。</w:t>
      </w:r>
      <w:bookmarkEnd w:id="66"/>
      <w:bookmarkEnd w:id="67"/>
      <w:bookmarkEnd w:id="68"/>
      <w:bookmarkEnd w:id="69"/>
    </w:p>
    <w:p w14:paraId="5C102337">
      <w:pPr>
        <w:keepNext w:val="0"/>
        <w:keepLines w:val="0"/>
        <w:pageBreakBefore w:val="0"/>
        <w:wordWrap w:val="0"/>
        <w:overflowPunct/>
        <w:topLinePunct w:val="0"/>
        <w:bidi w:val="0"/>
        <w:spacing w:before="183" w:line="219" w:lineRule="auto"/>
        <w:ind w:left="501"/>
        <w:outlineLvl w:val="9"/>
        <w:rPr>
          <w:rFonts w:hint="eastAsia" w:ascii="宋体" w:hAnsi="宋体" w:eastAsia="宋体" w:cs="宋体"/>
          <w:color w:val="auto"/>
          <w:spacing w:val="0"/>
          <w:sz w:val="24"/>
          <w:szCs w:val="24"/>
          <w:highlight w:val="none"/>
        </w:rPr>
      </w:pPr>
      <w:bookmarkStart w:id="70" w:name="_Toc17462"/>
      <w:bookmarkStart w:id="71" w:name="_Toc1974"/>
      <w:bookmarkStart w:id="72" w:name="_Toc31716"/>
      <w:bookmarkStart w:id="73" w:name="_Toc26494"/>
      <w:r>
        <w:rPr>
          <w:rFonts w:hint="eastAsia" w:ascii="宋体" w:hAnsi="宋体" w:eastAsia="宋体" w:cs="宋体"/>
          <w:color w:val="auto"/>
          <w:spacing w:val="0"/>
          <w:sz w:val="24"/>
          <w:szCs w:val="24"/>
          <w:highlight w:val="none"/>
        </w:rPr>
        <w:t>（3）唱标人公布在投标截止时间前进行投标文件的投标人数量和名称</w:t>
      </w:r>
      <w:bookmarkEnd w:id="70"/>
      <w:bookmarkEnd w:id="71"/>
      <w:bookmarkEnd w:id="72"/>
      <w:bookmarkEnd w:id="73"/>
    </w:p>
    <w:p w14:paraId="1FA0369B">
      <w:pPr>
        <w:keepNext w:val="0"/>
        <w:keepLines w:val="0"/>
        <w:pageBreakBefore w:val="0"/>
        <w:wordWrap w:val="0"/>
        <w:overflowPunct/>
        <w:topLinePunct w:val="0"/>
        <w:bidi w:val="0"/>
        <w:spacing w:before="181" w:line="219" w:lineRule="auto"/>
        <w:ind w:left="501"/>
        <w:outlineLvl w:val="9"/>
        <w:rPr>
          <w:rFonts w:hint="eastAsia" w:ascii="宋体" w:hAnsi="宋体" w:eastAsia="宋体" w:cs="宋体"/>
          <w:color w:val="auto"/>
          <w:spacing w:val="0"/>
          <w:sz w:val="24"/>
          <w:szCs w:val="24"/>
          <w:highlight w:val="none"/>
        </w:rPr>
      </w:pPr>
      <w:bookmarkStart w:id="74" w:name="_Toc20559"/>
      <w:bookmarkStart w:id="75" w:name="_Toc27967"/>
      <w:bookmarkStart w:id="76" w:name="_Toc15860"/>
      <w:bookmarkStart w:id="77" w:name="_Toc8179"/>
      <w:r>
        <w:rPr>
          <w:rFonts w:hint="eastAsia" w:ascii="宋体" w:hAnsi="宋体" w:eastAsia="宋体" w:cs="宋体"/>
          <w:color w:val="auto"/>
          <w:spacing w:val="0"/>
          <w:sz w:val="24"/>
          <w:szCs w:val="24"/>
          <w:highlight w:val="none"/>
        </w:rPr>
        <w:t>（4）招标代理机构会同交易场所工作人员对投标人的电子投标信息进行解密，</w:t>
      </w:r>
      <w:bookmarkEnd w:id="74"/>
      <w:bookmarkEnd w:id="75"/>
      <w:bookmarkEnd w:id="76"/>
      <w:bookmarkEnd w:id="77"/>
    </w:p>
    <w:p w14:paraId="74589B6E">
      <w:pPr>
        <w:keepNext w:val="0"/>
        <w:keepLines w:val="0"/>
        <w:pageBreakBefore w:val="0"/>
        <w:wordWrap w:val="0"/>
        <w:overflowPunct/>
        <w:topLinePunct w:val="0"/>
        <w:bidi w:val="0"/>
        <w:spacing w:before="183" w:line="220"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建设工程交易系统自动生成《投标保证缴纳情况表》和《开标一览表》。</w:t>
      </w:r>
    </w:p>
    <w:p w14:paraId="4C7816EA">
      <w:pPr>
        <w:keepNext w:val="0"/>
        <w:keepLines w:val="0"/>
        <w:pageBreakBefore w:val="0"/>
        <w:wordWrap w:val="0"/>
        <w:overflowPunct/>
        <w:topLinePunct w:val="0"/>
        <w:bidi w:val="0"/>
        <w:spacing w:before="182" w:line="360" w:lineRule="auto"/>
        <w:ind w:firstLine="482" w:firstLineChars="200"/>
        <w:outlineLvl w:val="9"/>
        <w:rPr>
          <w:rFonts w:hint="eastAsia" w:ascii="宋体" w:hAnsi="宋体" w:eastAsia="宋体" w:cs="宋体"/>
          <w:color w:val="auto"/>
          <w:spacing w:val="0"/>
          <w:sz w:val="24"/>
          <w:szCs w:val="24"/>
          <w:highlight w:val="none"/>
        </w:rPr>
      </w:pPr>
      <w:bookmarkStart w:id="78" w:name="_Toc28812"/>
      <w:bookmarkStart w:id="79" w:name="_Toc2199"/>
      <w:bookmarkStart w:id="80" w:name="_Toc28266"/>
      <w:bookmarkStart w:id="81" w:name="_Toc26216"/>
      <w:r>
        <w:rPr>
          <w:rFonts w:hint="eastAsia" w:ascii="宋体" w:hAnsi="宋体" w:eastAsia="宋体" w:cs="宋体"/>
          <w:b/>
          <w:bCs/>
          <w:color w:val="auto"/>
          <w:spacing w:val="0"/>
          <w:sz w:val="24"/>
          <w:szCs w:val="24"/>
          <w:highlight w:val="none"/>
        </w:rPr>
        <w:t>温馨提示：因本项目实行全流程电子化招标投标，投标人无须进行现场签到，可</w:t>
      </w:r>
      <w:bookmarkEnd w:id="78"/>
      <w:bookmarkEnd w:id="79"/>
      <w:bookmarkEnd w:id="80"/>
      <w:r>
        <w:rPr>
          <w:rFonts w:hint="eastAsia" w:ascii="宋体" w:hAnsi="宋体" w:eastAsia="宋体" w:cs="宋体"/>
          <w:b/>
          <w:bCs/>
          <w:color w:val="auto"/>
          <w:spacing w:val="0"/>
          <w:sz w:val="24"/>
          <w:szCs w:val="24"/>
          <w:highlight w:val="none"/>
        </w:rPr>
        <w:t>登录交易平台观看开标实况、提出异议或进行澄清、确认等操作，对开标事项的异议未在开标期间提出的，招标</w:t>
      </w:r>
      <w:r>
        <w:rPr>
          <w:rFonts w:hint="eastAsia" w:ascii="宋体" w:hAnsi="宋体" w:eastAsia="宋体" w:cs="宋体"/>
          <w:b/>
          <w:bCs/>
          <w:color w:val="auto"/>
          <w:spacing w:val="0"/>
          <w:sz w:val="24"/>
          <w:szCs w:val="24"/>
          <w:highlight w:val="none"/>
          <w:lang w:eastAsia="zh-CN"/>
        </w:rPr>
        <w:t>人不</w:t>
      </w:r>
      <w:r>
        <w:rPr>
          <w:rFonts w:hint="eastAsia" w:ascii="宋体" w:hAnsi="宋体" w:eastAsia="宋体" w:cs="宋体"/>
          <w:b/>
          <w:bCs/>
          <w:color w:val="auto"/>
          <w:spacing w:val="0"/>
          <w:sz w:val="24"/>
          <w:szCs w:val="24"/>
          <w:highlight w:val="none"/>
        </w:rPr>
        <w:t>予受理。具体按招标文件和系统操作手册为准。</w:t>
      </w:r>
      <w:bookmarkEnd w:id="81"/>
    </w:p>
    <w:p w14:paraId="324154A1">
      <w:pPr>
        <w:keepNext w:val="0"/>
        <w:keepLines w:val="0"/>
        <w:pageBreakBefore w:val="0"/>
        <w:wordWrap w:val="0"/>
        <w:overflowPunct/>
        <w:topLinePunct w:val="0"/>
        <w:bidi w:val="0"/>
        <w:spacing w:before="143" w:line="299" w:lineRule="auto"/>
        <w:ind w:left="11" w:right="80" w:firstLine="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14.3  </w:t>
      </w:r>
      <w:r>
        <w:rPr>
          <w:rFonts w:hint="eastAsia" w:ascii="宋体" w:hAnsi="宋体" w:eastAsia="宋体" w:cs="宋体"/>
          <w:color w:val="auto"/>
          <w:spacing w:val="0"/>
          <w:sz w:val="24"/>
          <w:szCs w:val="24"/>
          <w:highlight w:val="none"/>
        </w:rPr>
        <w:t>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367BD1D2">
      <w:pPr>
        <w:keepNext w:val="0"/>
        <w:keepLines w:val="0"/>
        <w:pageBreakBefore w:val="0"/>
        <w:wordWrap w:val="0"/>
        <w:overflowPunct/>
        <w:topLinePunct w:val="0"/>
        <w:bidi w:val="0"/>
        <w:spacing w:before="155" w:line="279" w:lineRule="auto"/>
        <w:ind w:left="8" w:right="82"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14.4 </w:t>
      </w:r>
      <w:r>
        <w:rPr>
          <w:rFonts w:hint="eastAsia" w:ascii="宋体" w:hAnsi="宋体" w:eastAsia="宋体" w:cs="宋体"/>
          <w:color w:val="auto"/>
          <w:spacing w:val="0"/>
          <w:sz w:val="24"/>
          <w:szCs w:val="24"/>
          <w:highlight w:val="none"/>
        </w:rPr>
        <w:t>招标代理机构将资料原件（如有）、《开标一览表》以及其他有关资料移交评标委员会。</w:t>
      </w:r>
    </w:p>
    <w:p w14:paraId="77B0C3F1">
      <w:pP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br w:type="page"/>
      </w:r>
    </w:p>
    <w:p w14:paraId="70937984">
      <w:pPr>
        <w:keepNext w:val="0"/>
        <w:keepLines w:val="0"/>
        <w:pageBreakBefore w:val="0"/>
        <w:wordWrap w:val="0"/>
        <w:overflowPunct/>
        <w:topLinePunct w:val="0"/>
        <w:bidi w:val="0"/>
        <w:spacing w:before="78" w:line="221" w:lineRule="auto"/>
        <w:ind w:left="496"/>
        <w:outlineLvl w:val="2"/>
        <w:rPr>
          <w:rFonts w:hint="eastAsia" w:ascii="宋体" w:hAnsi="宋体" w:eastAsia="宋体" w:cs="宋体"/>
          <w:color w:val="auto"/>
          <w:spacing w:val="0"/>
          <w:highlight w:val="none"/>
        </w:rPr>
      </w:pPr>
      <w:bookmarkStart w:id="82" w:name="_Toc961"/>
      <w:bookmarkStart w:id="83" w:name="_Toc20917"/>
      <w:r>
        <w:rPr>
          <w:rFonts w:hint="eastAsia" w:ascii="宋体" w:hAnsi="宋体" w:eastAsia="宋体" w:cs="宋体"/>
          <w:b/>
          <w:bCs/>
          <w:color w:val="auto"/>
          <w:spacing w:val="0"/>
          <w:sz w:val="24"/>
          <w:szCs w:val="24"/>
          <w:highlight w:val="none"/>
        </w:rPr>
        <w:t>15 ．评标</w:t>
      </w:r>
      <w:bookmarkEnd w:id="82"/>
      <w:bookmarkEnd w:id="83"/>
    </w:p>
    <w:p w14:paraId="42D28C78">
      <w:pPr>
        <w:keepNext w:val="0"/>
        <w:keepLines w:val="0"/>
        <w:pageBreakBefore w:val="0"/>
        <w:wordWrap w:val="0"/>
        <w:overflowPunct/>
        <w:topLinePunct w:val="0"/>
        <w:bidi w:val="0"/>
        <w:spacing w:before="78" w:line="331" w:lineRule="auto"/>
        <w:ind w:left="8" w:right="65" w:firstLine="480"/>
        <w:rPr>
          <w:rFonts w:hint="eastAsia" w:ascii="宋体" w:hAnsi="宋体" w:eastAsia="宋体" w:cs="宋体"/>
          <w:color w:val="auto"/>
          <w:spacing w:val="0"/>
          <w:sz w:val="24"/>
          <w:szCs w:val="24"/>
          <w:highlight w:val="none"/>
        </w:rPr>
      </w:pPr>
      <w:bookmarkStart w:id="84" w:name="bookmark124"/>
      <w:bookmarkEnd w:id="84"/>
      <w:bookmarkStart w:id="85" w:name="_Toc17375"/>
      <w:bookmarkStart w:id="86" w:name="_Toc16801"/>
      <w:bookmarkStart w:id="87" w:name="_Toc3020"/>
      <w:r>
        <w:rPr>
          <w:rFonts w:hint="eastAsia" w:ascii="宋体" w:hAnsi="宋体" w:eastAsia="宋体" w:cs="宋体"/>
          <w:color w:val="auto"/>
          <w:spacing w:val="0"/>
          <w:sz w:val="24"/>
          <w:szCs w:val="24"/>
          <w:highlight w:val="none"/>
        </w:rPr>
        <w:t>评标分为初步评审和详细评审两个阶段，由评标委员会在有关部门的监督下，严格按照本招标文件指定的评标方法，对投标人的投标文件进行审查、评审。评标委员会完成评标后，向招标人推荐</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b/>
          <w:bCs/>
          <w:color w:val="auto"/>
          <w:spacing w:val="0"/>
          <w:sz w:val="24"/>
          <w:szCs w:val="24"/>
          <w:highlight w:val="none"/>
          <w:u w:val="single"/>
          <w:lang w:val="en-US" w:eastAsia="zh-CN"/>
        </w:rPr>
        <w:t>5</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个</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标候选人</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如不足5个，则往下递减，但不可少于3个</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color w:val="auto"/>
          <w:spacing w:val="0"/>
          <w:sz w:val="24"/>
          <w:szCs w:val="24"/>
          <w:highlight w:val="none"/>
        </w:rPr>
        <w:t>，并向招标人提交由全体评标委员会成员签字的评标报告。</w:t>
      </w:r>
    </w:p>
    <w:p w14:paraId="4EA478A4">
      <w:pPr>
        <w:keepNext w:val="0"/>
        <w:keepLines w:val="0"/>
        <w:pageBreakBefore w:val="0"/>
        <w:wordWrap w:val="0"/>
        <w:overflowPunct/>
        <w:topLinePunct w:val="0"/>
        <w:bidi w:val="0"/>
        <w:spacing w:before="38"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  </w:t>
      </w:r>
      <w:r>
        <w:rPr>
          <w:rFonts w:hint="eastAsia" w:ascii="宋体" w:hAnsi="宋体" w:eastAsia="宋体" w:cs="宋体"/>
          <w:color w:val="auto"/>
          <w:spacing w:val="0"/>
          <w:sz w:val="24"/>
          <w:szCs w:val="24"/>
          <w:highlight w:val="none"/>
        </w:rPr>
        <w:t>评标委员会</w:t>
      </w:r>
    </w:p>
    <w:p w14:paraId="07FACA56">
      <w:pPr>
        <w:keepNext w:val="0"/>
        <w:keepLines w:val="0"/>
        <w:pageBreakBefore w:val="0"/>
        <w:wordWrap w:val="0"/>
        <w:overflowPunct/>
        <w:topLinePunct w:val="0"/>
        <w:bidi w:val="0"/>
        <w:spacing w:before="155" w:line="324" w:lineRule="auto"/>
        <w:ind w:left="10" w:right="65"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15.1.1 </w:t>
      </w:r>
      <w:r>
        <w:rPr>
          <w:rFonts w:hint="eastAsia" w:ascii="宋体" w:hAnsi="宋体" w:eastAsia="宋体" w:cs="宋体"/>
          <w:color w:val="auto"/>
          <w:spacing w:val="0"/>
          <w:sz w:val="24"/>
          <w:szCs w:val="24"/>
          <w:highlight w:val="none"/>
        </w:rPr>
        <w:t>评标委员会由</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5</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人组成，其中招标人代表</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0</w:t>
      </w:r>
      <w:r>
        <w:rPr>
          <w:rFonts w:hint="eastAsia" w:ascii="宋体" w:hAnsi="宋体" w:eastAsia="宋体" w:cs="宋体"/>
          <w:color w:val="auto"/>
          <w:spacing w:val="0"/>
          <w:sz w:val="24"/>
          <w:szCs w:val="24"/>
          <w:highlight w:val="none"/>
        </w:rPr>
        <w:t>人，专家</w:t>
      </w:r>
      <w:r>
        <w:rPr>
          <w:rFonts w:hint="eastAsia" w:ascii="宋体" w:hAnsi="宋体" w:eastAsia="宋体" w:cs="宋体"/>
          <w:color w:val="auto"/>
          <w:spacing w:val="0"/>
          <w:sz w:val="24"/>
          <w:szCs w:val="24"/>
          <w:highlight w:val="none"/>
          <w:u w:val="single"/>
        </w:rPr>
        <w:t xml:space="preserve"> 5 </w:t>
      </w:r>
      <w:r>
        <w:rPr>
          <w:rFonts w:hint="eastAsia" w:ascii="宋体" w:hAnsi="宋体" w:eastAsia="宋体" w:cs="宋体"/>
          <w:color w:val="auto"/>
          <w:spacing w:val="0"/>
          <w:sz w:val="24"/>
          <w:szCs w:val="24"/>
          <w:highlight w:val="none"/>
        </w:rPr>
        <w:t>人。专家从</w:t>
      </w:r>
      <w:r>
        <w:rPr>
          <w:rFonts w:hint="eastAsia" w:ascii="宋体" w:hAnsi="宋体" w:eastAsia="宋体" w:cs="宋体"/>
          <w:color w:val="auto"/>
          <w:spacing w:val="0"/>
          <w:sz w:val="24"/>
          <w:szCs w:val="24"/>
          <w:highlight w:val="none"/>
          <w:u w:val="none"/>
        </w:rPr>
        <w:t>广东省综合评标评审专家库</w:t>
      </w:r>
      <w:r>
        <w:rPr>
          <w:rFonts w:hint="eastAsia" w:ascii="宋体" w:hAnsi="宋体" w:eastAsia="宋体" w:cs="宋体"/>
          <w:color w:val="auto"/>
          <w:spacing w:val="0"/>
          <w:sz w:val="24"/>
          <w:szCs w:val="24"/>
          <w:highlight w:val="none"/>
          <w:u w:val="single"/>
          <w:lang w:eastAsia="zh-CN"/>
        </w:rPr>
        <w:t>（</w:t>
      </w:r>
      <w:r>
        <w:rPr>
          <w:rFonts w:hint="eastAsia" w:ascii="宋体" w:hAnsi="宋体" w:eastAsia="宋体" w:cs="宋体"/>
          <w:color w:val="auto"/>
          <w:spacing w:val="0"/>
          <w:sz w:val="24"/>
          <w:szCs w:val="24"/>
          <w:highlight w:val="none"/>
          <w:u w:val="single"/>
        </w:rPr>
        <w:t>韶关区域</w:t>
      </w:r>
      <w:r>
        <w:rPr>
          <w:rFonts w:hint="eastAsia" w:ascii="宋体" w:hAnsi="宋体" w:eastAsia="宋体" w:cs="宋体"/>
          <w:color w:val="auto"/>
          <w:spacing w:val="0"/>
          <w:sz w:val="24"/>
          <w:szCs w:val="24"/>
          <w:highlight w:val="none"/>
          <w:u w:val="single"/>
          <w:lang w:eastAsia="zh-CN"/>
        </w:rPr>
        <w:t>）</w:t>
      </w:r>
      <w:r>
        <w:rPr>
          <w:rFonts w:hint="eastAsia" w:ascii="宋体" w:hAnsi="宋体" w:eastAsia="宋体" w:cs="宋体"/>
          <w:color w:val="auto"/>
          <w:spacing w:val="0"/>
          <w:sz w:val="24"/>
          <w:szCs w:val="24"/>
          <w:highlight w:val="none"/>
        </w:rPr>
        <w:t>中随机抽取，其中技术类专家</w:t>
      </w:r>
      <w:r>
        <w:rPr>
          <w:rFonts w:hint="eastAsia" w:ascii="宋体" w:hAnsi="宋体" w:eastAsia="宋体" w:cs="宋体"/>
          <w:color w:val="auto"/>
          <w:spacing w:val="0"/>
          <w:sz w:val="24"/>
          <w:szCs w:val="24"/>
          <w:highlight w:val="none"/>
          <w:u w:val="single"/>
        </w:rPr>
        <w:t xml:space="preserve"> 3 </w:t>
      </w:r>
      <w:r>
        <w:rPr>
          <w:rFonts w:hint="eastAsia" w:ascii="宋体" w:hAnsi="宋体" w:eastAsia="宋体" w:cs="宋体"/>
          <w:color w:val="auto"/>
          <w:spacing w:val="0"/>
          <w:sz w:val="24"/>
          <w:szCs w:val="24"/>
          <w:highlight w:val="none"/>
        </w:rPr>
        <w:t>人，经济类专家</w:t>
      </w:r>
      <w:r>
        <w:rPr>
          <w:rFonts w:hint="eastAsia" w:ascii="宋体" w:hAnsi="宋体" w:eastAsia="宋体" w:cs="宋体"/>
          <w:color w:val="auto"/>
          <w:spacing w:val="0"/>
          <w:sz w:val="24"/>
          <w:szCs w:val="24"/>
          <w:highlight w:val="none"/>
          <w:u w:val="single"/>
        </w:rPr>
        <w:t xml:space="preserve"> 2 </w:t>
      </w:r>
      <w:r>
        <w:rPr>
          <w:rFonts w:hint="eastAsia" w:ascii="宋体" w:hAnsi="宋体" w:eastAsia="宋体" w:cs="宋体"/>
          <w:color w:val="auto"/>
          <w:spacing w:val="0"/>
          <w:sz w:val="24"/>
          <w:szCs w:val="24"/>
          <w:highlight w:val="none"/>
        </w:rPr>
        <w:t>人。评标委员会设负责人，由评标委员会成员推举产生。评标委员会负责人与评标委员会的其他成员有同等的表决权。</w:t>
      </w:r>
    </w:p>
    <w:p w14:paraId="059C36AA">
      <w:pPr>
        <w:keepNext w:val="0"/>
        <w:keepLines w:val="0"/>
        <w:pageBreakBefore w:val="0"/>
        <w:wordWrap w:val="0"/>
        <w:overflowPunct/>
        <w:topLinePunct w:val="0"/>
        <w:bidi w:val="0"/>
        <w:spacing w:before="32" w:line="280" w:lineRule="auto"/>
        <w:ind w:left="13" w:right="7" w:firstLine="561"/>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15.1.2  </w:t>
      </w:r>
      <w:r>
        <w:rPr>
          <w:rFonts w:hint="eastAsia" w:ascii="宋体" w:hAnsi="宋体" w:eastAsia="宋体" w:cs="宋体"/>
          <w:color w:val="auto"/>
          <w:spacing w:val="0"/>
          <w:sz w:val="24"/>
          <w:szCs w:val="24"/>
          <w:highlight w:val="none"/>
        </w:rPr>
        <w:t>评标委员会应认真、公正、诚实、廉洁地履行职责。有下列情形之一的，不得担任评标委员会成员：</w:t>
      </w:r>
    </w:p>
    <w:p w14:paraId="63C8129C">
      <w:pPr>
        <w:keepNext w:val="0"/>
        <w:keepLines w:val="0"/>
        <w:pageBreakBefore w:val="0"/>
        <w:wordWrap w:val="0"/>
        <w:overflowPunct/>
        <w:topLinePunct w:val="0"/>
        <w:bidi w:val="0"/>
        <w:spacing w:before="154" w:line="220"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（1）投标人或投标人主要负责人的近亲属；</w:t>
      </w:r>
    </w:p>
    <w:p w14:paraId="1EEDB855">
      <w:pPr>
        <w:keepNext w:val="0"/>
        <w:keepLines w:val="0"/>
        <w:pageBreakBefore w:val="0"/>
        <w:wordWrap w:val="0"/>
        <w:overflowPunct/>
        <w:topLinePunct w:val="0"/>
        <w:bidi w:val="0"/>
        <w:spacing w:before="153" w:line="220"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（2）项目主管部门或者行政监督部门的人员；</w:t>
      </w:r>
    </w:p>
    <w:p w14:paraId="42600ECE">
      <w:pPr>
        <w:keepNext w:val="0"/>
        <w:keepLines w:val="0"/>
        <w:pageBreakBefore w:val="0"/>
        <w:wordWrap w:val="0"/>
        <w:overflowPunct/>
        <w:topLinePunct w:val="0"/>
        <w:bidi w:val="0"/>
        <w:spacing w:before="155" w:line="221"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（3）与投标人有经济利益关系，可能影响对投标公正评审的；</w:t>
      </w:r>
    </w:p>
    <w:p w14:paraId="4E2648B8">
      <w:pPr>
        <w:keepNext w:val="0"/>
        <w:keepLines w:val="0"/>
        <w:pageBreakBefore w:val="0"/>
        <w:wordWrap w:val="0"/>
        <w:overflowPunct/>
        <w:topLinePunct w:val="0"/>
        <w:bidi w:val="0"/>
        <w:spacing w:before="153" w:line="279" w:lineRule="auto"/>
        <w:ind w:left="8" w:right="65" w:firstLine="57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（4）曾因在招标、评标以及其他与招标投标有关活动中从事违法行为而受过行政处罚或刑事处罚的。</w:t>
      </w:r>
    </w:p>
    <w:p w14:paraId="426C15BC">
      <w:pPr>
        <w:keepNext w:val="0"/>
        <w:keepLines w:val="0"/>
        <w:pageBreakBefore w:val="0"/>
        <w:wordWrap w:val="0"/>
        <w:overflowPunct/>
        <w:topLinePunct w:val="0"/>
        <w:bidi w:val="0"/>
        <w:spacing w:before="155" w:line="219" w:lineRule="auto"/>
        <w:ind w:left="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评标委员会成员有以上情形之一的，应主动提出回避。</w:t>
      </w:r>
    </w:p>
    <w:p w14:paraId="01D44039">
      <w:pPr>
        <w:keepNext w:val="0"/>
        <w:keepLines w:val="0"/>
        <w:pageBreakBefore w:val="0"/>
        <w:wordWrap w:val="0"/>
        <w:overflowPunct/>
        <w:topLinePunct w:val="0"/>
        <w:bidi w:val="0"/>
        <w:spacing w:before="154" w:line="279" w:lineRule="auto"/>
        <w:ind w:left="8" w:right="65"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15.1.3  </w:t>
      </w:r>
      <w:r>
        <w:rPr>
          <w:rFonts w:hint="eastAsia" w:ascii="宋体" w:hAnsi="宋体" w:eastAsia="宋体" w:cs="宋体"/>
          <w:color w:val="auto"/>
          <w:spacing w:val="0"/>
          <w:sz w:val="24"/>
          <w:szCs w:val="24"/>
          <w:highlight w:val="none"/>
        </w:rPr>
        <w:t>评标全过程实行封闭式管理，在中标结果公布前，禁止评标委员会成员以任何方式私下接触投标人。</w:t>
      </w:r>
    </w:p>
    <w:p w14:paraId="376321F7">
      <w:pPr>
        <w:keepNext w:val="0"/>
        <w:keepLines w:val="0"/>
        <w:pageBreakBefore w:val="0"/>
        <w:wordWrap w:val="0"/>
        <w:overflowPunct/>
        <w:topLinePunct w:val="0"/>
        <w:bidi w:val="0"/>
        <w:spacing w:before="157" w:line="298" w:lineRule="auto"/>
        <w:ind w:left="11" w:right="65" w:firstLine="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15.1.4  </w:t>
      </w:r>
      <w:r>
        <w:rPr>
          <w:rFonts w:hint="eastAsia" w:ascii="宋体" w:hAnsi="宋体" w:eastAsia="宋体" w:cs="宋体"/>
          <w:color w:val="auto"/>
          <w:spacing w:val="0"/>
          <w:sz w:val="24"/>
          <w:szCs w:val="24"/>
          <w:highlight w:val="none"/>
        </w:rPr>
        <w:t>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0CE97C21">
      <w:pPr>
        <w:keepNext w:val="0"/>
        <w:keepLines w:val="0"/>
        <w:pageBreakBefore w:val="0"/>
        <w:wordWrap w:val="0"/>
        <w:overflowPunct/>
        <w:topLinePunct w:val="0"/>
        <w:bidi w:val="0"/>
        <w:spacing w:before="156" w:line="309" w:lineRule="auto"/>
        <w:ind w:left="8" w:right="65" w:firstLine="56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15.1.5  </w:t>
      </w:r>
      <w:r>
        <w:rPr>
          <w:rFonts w:hint="eastAsia" w:ascii="宋体" w:hAnsi="宋体" w:eastAsia="宋体" w:cs="宋体"/>
          <w:color w:val="auto"/>
          <w:spacing w:val="0"/>
          <w:sz w:val="24"/>
          <w:szCs w:val="24"/>
          <w:highlight w:val="none"/>
        </w:rPr>
        <w:t>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73BFB3D1">
      <w:pPr>
        <w:keepNext w:val="0"/>
        <w:keepLines w:val="0"/>
        <w:pageBreakBefore w:val="0"/>
        <w:wordWrap w:val="0"/>
        <w:overflowPunct/>
        <w:topLinePunct w:val="0"/>
        <w:bidi w:val="0"/>
        <w:spacing w:before="79" w:line="221" w:lineRule="auto"/>
        <w:ind w:left="577"/>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15.2  </w:t>
      </w:r>
      <w:r>
        <w:rPr>
          <w:rFonts w:hint="eastAsia" w:ascii="宋体" w:hAnsi="宋体" w:eastAsia="宋体" w:cs="宋体"/>
          <w:color w:val="auto"/>
          <w:spacing w:val="0"/>
          <w:sz w:val="24"/>
          <w:szCs w:val="24"/>
          <w:highlight w:val="none"/>
        </w:rPr>
        <w:t>评标方法</w:t>
      </w:r>
    </w:p>
    <w:p w14:paraId="74A36995">
      <w:pPr>
        <w:keepNext w:val="0"/>
        <w:keepLines w:val="0"/>
        <w:pageBreakBefore w:val="0"/>
        <w:wordWrap w:val="0"/>
        <w:overflowPunct/>
        <w:topLinePunct w:val="0"/>
        <w:bidi w:val="0"/>
        <w:spacing w:before="78" w:line="326" w:lineRule="auto"/>
        <w:ind w:left="231" w:right="181" w:firstLine="560"/>
        <w:rPr>
          <w:rFonts w:hint="eastAsia" w:ascii="宋体" w:hAnsi="宋体" w:eastAsia="宋体" w:cs="宋体"/>
          <w:color w:val="auto"/>
          <w:spacing w:val="0"/>
          <w:highlight w:val="none"/>
        </w:rPr>
      </w:pPr>
      <w:bookmarkStart w:id="88" w:name="bookmark125"/>
      <w:bookmarkEnd w:id="88"/>
      <w:r>
        <w:rPr>
          <w:rFonts w:hint="eastAsia" w:ascii="宋体" w:hAnsi="宋体" w:eastAsia="宋体" w:cs="宋体"/>
          <w:color w:val="auto"/>
          <w:spacing w:val="0"/>
          <w:sz w:val="24"/>
          <w:szCs w:val="24"/>
          <w:highlight w:val="none"/>
        </w:rPr>
        <w:t>根据有关法律、法规的相关规定，结合本招标项目资金来源和规模特点，本次招标采用</w:t>
      </w:r>
      <w:r>
        <w:rPr>
          <w:rFonts w:hint="eastAsia" w:ascii="宋体" w:hAnsi="宋体" w:eastAsia="宋体" w:cs="宋体"/>
          <w:b/>
          <w:bCs/>
          <w:color w:val="auto"/>
          <w:spacing w:val="0"/>
          <w:sz w:val="24"/>
          <w:szCs w:val="24"/>
          <w:highlight w:val="none"/>
          <w:u w:val="single"/>
        </w:rPr>
        <w:t xml:space="preserve"> 综合评估法 </w:t>
      </w:r>
      <w:r>
        <w:rPr>
          <w:rFonts w:hint="eastAsia" w:ascii="宋体" w:hAnsi="宋体" w:eastAsia="宋体" w:cs="宋体"/>
          <w:color w:val="auto"/>
          <w:spacing w:val="0"/>
          <w:sz w:val="24"/>
          <w:szCs w:val="24"/>
          <w:highlight w:val="none"/>
          <w:u w:val="single"/>
        </w:rPr>
        <w:t>（</w:t>
      </w:r>
      <w:r>
        <w:rPr>
          <w:rFonts w:hint="eastAsia" w:ascii="宋体" w:hAnsi="宋体" w:eastAsia="宋体" w:cs="宋体"/>
          <w:color w:val="auto"/>
          <w:spacing w:val="0"/>
          <w:sz w:val="24"/>
          <w:szCs w:val="24"/>
          <w:highlight w:val="none"/>
        </w:rPr>
        <w:t>评标方法名称）进行评标。</w:t>
      </w:r>
    </w:p>
    <w:p w14:paraId="16F8291A">
      <w:pPr>
        <w:keepNext w:val="0"/>
        <w:keepLines w:val="0"/>
        <w:pageBreakBefore w:val="0"/>
        <w:wordWrap w:val="0"/>
        <w:overflowPunct/>
        <w:topLinePunct w:val="0"/>
        <w:bidi w:val="0"/>
        <w:spacing w:before="154" w:line="269" w:lineRule="auto"/>
        <w:ind w:left="220" w:right="33" w:firstLine="496"/>
        <w:rPr>
          <w:rFonts w:hint="eastAsia" w:ascii="宋体" w:hAnsi="宋体" w:eastAsia="宋体" w:cs="宋体"/>
          <w:color w:val="auto"/>
          <w:spacing w:val="0"/>
          <w:sz w:val="25"/>
          <w:szCs w:val="25"/>
          <w:highlight w:val="none"/>
        </w:rPr>
      </w:pPr>
      <w:r>
        <w:rPr>
          <w:rFonts w:hint="eastAsia" w:ascii="宋体" w:hAnsi="宋体" w:eastAsia="宋体" w:cs="宋体"/>
          <w:b/>
          <w:bCs/>
          <w:color w:val="auto"/>
          <w:spacing w:val="0"/>
          <w:sz w:val="24"/>
          <w:szCs w:val="24"/>
          <w:highlight w:val="none"/>
        </w:rPr>
        <w:t xml:space="preserve">15.3  </w:t>
      </w:r>
      <w:r>
        <w:rPr>
          <w:rFonts w:hint="eastAsia" w:ascii="宋体" w:hAnsi="宋体" w:eastAsia="宋体" w:cs="宋体"/>
          <w:color w:val="auto"/>
          <w:spacing w:val="0"/>
          <w:sz w:val="24"/>
          <w:szCs w:val="24"/>
          <w:highlight w:val="none"/>
        </w:rPr>
        <w:t>评审范围：评标委员会应对所有投标人的投标文件进行评审。</w:t>
      </w:r>
    </w:p>
    <w:p w14:paraId="7E7B141D">
      <w:pPr>
        <w:keepNext w:val="0"/>
        <w:keepLines w:val="0"/>
        <w:pageBreakBefore w:val="0"/>
        <w:wordWrap w:val="0"/>
        <w:overflowPunct/>
        <w:topLinePunct w:val="0"/>
        <w:bidi w:val="0"/>
        <w:spacing w:before="153" w:line="220" w:lineRule="auto"/>
        <w:ind w:left="71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15.4  </w:t>
      </w:r>
      <w:r>
        <w:rPr>
          <w:rFonts w:hint="eastAsia" w:ascii="宋体" w:hAnsi="宋体" w:eastAsia="宋体" w:cs="宋体"/>
          <w:color w:val="auto"/>
          <w:spacing w:val="0"/>
          <w:sz w:val="24"/>
          <w:szCs w:val="24"/>
          <w:highlight w:val="none"/>
        </w:rPr>
        <w:t>初步评审阶段</w:t>
      </w:r>
    </w:p>
    <w:p w14:paraId="513D8358">
      <w:pPr>
        <w:keepNext w:val="0"/>
        <w:keepLines w:val="0"/>
        <w:pageBreakBefore w:val="0"/>
        <w:wordWrap w:val="0"/>
        <w:overflowPunct/>
        <w:topLinePunct w:val="0"/>
        <w:bidi w:val="0"/>
        <w:spacing w:before="153" w:line="220" w:lineRule="auto"/>
        <w:ind w:left="70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初步评审阶段分为资格评审、形式评审和响应性评审三个环节。</w:t>
      </w:r>
    </w:p>
    <w:p w14:paraId="30E6A985">
      <w:pPr>
        <w:keepNext w:val="0"/>
        <w:keepLines w:val="0"/>
        <w:pageBreakBefore w:val="0"/>
        <w:tabs>
          <w:tab w:val="left" w:pos="3360"/>
        </w:tabs>
        <w:wordWrap w:val="0"/>
        <w:overflowPunct/>
        <w:topLinePunct w:val="0"/>
        <w:bidi w:val="0"/>
        <w:spacing w:before="155" w:line="279" w:lineRule="auto"/>
        <w:ind w:left="719" w:right="6040" w:rightChars="0" w:hanging="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15.4.1 </w:t>
      </w:r>
      <w:r>
        <w:rPr>
          <w:rFonts w:hint="eastAsia" w:ascii="宋体" w:hAnsi="宋体" w:eastAsia="宋体" w:cs="宋体"/>
          <w:color w:val="auto"/>
          <w:spacing w:val="0"/>
          <w:sz w:val="24"/>
          <w:szCs w:val="24"/>
          <w:highlight w:val="none"/>
        </w:rPr>
        <w:t xml:space="preserve"> 资格评审环节 资格评审事项</w:t>
      </w:r>
      <w:r>
        <w:rPr>
          <w:rFonts w:hint="eastAsia" w:ascii="宋体" w:hAnsi="宋体" w:eastAsia="宋体" w:cs="宋体"/>
          <w:color w:val="auto"/>
          <w:spacing w:val="0"/>
          <w:sz w:val="24"/>
          <w:szCs w:val="24"/>
          <w:highlight w:val="none"/>
          <w:lang w:val="en-US" w:eastAsia="zh-CN"/>
        </w:rPr>
        <w:t>包括</w:t>
      </w:r>
      <w:r>
        <w:rPr>
          <w:rFonts w:hint="eastAsia" w:ascii="宋体" w:hAnsi="宋体" w:eastAsia="宋体" w:cs="宋体"/>
          <w:color w:val="auto"/>
          <w:spacing w:val="0"/>
          <w:sz w:val="24"/>
          <w:szCs w:val="24"/>
          <w:highlight w:val="none"/>
        </w:rPr>
        <w:t>：</w:t>
      </w:r>
    </w:p>
    <w:p w14:paraId="02385A91">
      <w:pPr>
        <w:keepNext w:val="0"/>
        <w:keepLines w:val="0"/>
        <w:pageBreakBefore w:val="0"/>
        <w:wordWrap w:val="0"/>
        <w:overflowPunct/>
        <w:topLinePunct w:val="0"/>
        <w:bidi w:val="0"/>
        <w:spacing w:before="152" w:line="315" w:lineRule="auto"/>
        <w:ind w:left="23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（1）投标人是否符合本章第三节第 </w:t>
      </w: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条“禁止投标条款 ”规定。如果“禁止投标条款 ”包括失信惩戒的，投标人信用信息的获取采用现场实时查询的方式实施。由</w:t>
      </w:r>
      <w:r>
        <w:rPr>
          <w:rFonts w:hint="eastAsia" w:ascii="宋体" w:hAnsi="宋体" w:eastAsia="宋体" w:cs="宋体"/>
          <w:color w:val="auto"/>
          <w:spacing w:val="0"/>
          <w:sz w:val="24"/>
          <w:szCs w:val="24"/>
          <w:highlight w:val="none"/>
          <w:lang w:val="en-US" w:eastAsia="zh-CN"/>
        </w:rPr>
        <w:t>评标委员会</w:t>
      </w:r>
      <w:r>
        <w:rPr>
          <w:rFonts w:hint="eastAsia" w:ascii="宋体" w:hAnsi="宋体" w:eastAsia="宋体" w:cs="宋体"/>
          <w:color w:val="auto"/>
          <w:spacing w:val="0"/>
          <w:sz w:val="24"/>
          <w:szCs w:val="24"/>
          <w:highlight w:val="none"/>
        </w:rPr>
        <w:t xml:space="preserve">登录信用中国网站（https://www.creditchina.gov.cn），在企业查询界面下载和打印《法人和非法人组织公共信用信息报告》。 </w:t>
      </w:r>
    </w:p>
    <w:p w14:paraId="574B216F">
      <w:pPr>
        <w:keepNext w:val="0"/>
        <w:keepLines w:val="0"/>
        <w:pageBreakBefore w:val="0"/>
        <w:wordWrap w:val="0"/>
        <w:overflowPunct/>
        <w:topLinePunct w:val="0"/>
        <w:bidi w:val="0"/>
        <w:spacing w:before="155" w:line="219" w:lineRule="auto"/>
        <w:ind w:left="72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（2）投标人名称是否与营业执照、资质证书、安全生产许可证一致。</w:t>
      </w:r>
    </w:p>
    <w:p w14:paraId="06491F7F">
      <w:pPr>
        <w:keepNext w:val="0"/>
        <w:keepLines w:val="0"/>
        <w:pageBreakBefore w:val="0"/>
        <w:widowControl/>
        <w:kinsoku w:val="0"/>
        <w:wordWrap w:val="0"/>
        <w:overflowPunct/>
        <w:topLinePunct w:val="0"/>
        <w:autoSpaceDE w:val="0"/>
        <w:autoSpaceDN w:val="0"/>
        <w:bidi w:val="0"/>
        <w:adjustRightInd w:val="0"/>
        <w:snapToGrid w:val="0"/>
        <w:spacing w:before="155" w:line="286" w:lineRule="auto"/>
        <w:ind w:left="232" w:right="96"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（3）投标人的资质是否符合招标文件规定；其营业执照、资质证书、安全生产许可证（含实时网页查询页，可参考网址 https://zlaq.mohurd.gov.cn/fwmh/bjxcjgl/fwm</w:t>
      </w:r>
      <w:bookmarkStart w:id="89" w:name="bookmark126"/>
      <w:bookmarkEnd w:id="89"/>
      <w:r>
        <w:rPr>
          <w:rFonts w:hint="eastAsia" w:ascii="宋体" w:hAnsi="宋体" w:eastAsia="宋体" w:cs="宋体"/>
          <w:color w:val="auto"/>
          <w:spacing w:val="0"/>
          <w:position w:val="3"/>
          <w:sz w:val="24"/>
          <w:szCs w:val="24"/>
          <w:highlight w:val="none"/>
        </w:rPr>
        <w:t>h/pages/construction_safety/qyaqscxkz/qyaqscxkz）是否合法、有效、准确。</w:t>
      </w:r>
    </w:p>
    <w:p w14:paraId="62284951">
      <w:pPr>
        <w:keepNext w:val="0"/>
        <w:keepLines w:val="0"/>
        <w:pageBreakBefore w:val="0"/>
        <w:wordWrap w:val="0"/>
        <w:overflowPunct/>
        <w:topLinePunct w:val="0"/>
        <w:bidi w:val="0"/>
        <w:spacing w:before="144"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（4）《项目经理简历表》中拟派项目经理是否与《开标一览表》一致。</w:t>
      </w:r>
    </w:p>
    <w:p w14:paraId="077E1DF6">
      <w:pPr>
        <w:keepNext w:val="0"/>
        <w:keepLines w:val="0"/>
        <w:pageBreakBefore w:val="0"/>
        <w:wordWrap w:val="0"/>
        <w:overflowPunct/>
        <w:topLinePunct w:val="0"/>
        <w:bidi w:val="0"/>
        <w:spacing w:before="151" w:line="315" w:lineRule="auto"/>
        <w:ind w:left="1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拟派项目经理、项目技术负责人、专职安全员的条件是否符合招标文件规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65B40B4B">
      <w:pPr>
        <w:keepNext w:val="0"/>
        <w:keepLines w:val="0"/>
        <w:pageBreakBefore w:val="0"/>
        <w:wordWrap w:val="0"/>
        <w:overflowPunct/>
        <w:topLinePunct w:val="0"/>
        <w:bidi w:val="0"/>
        <w:spacing w:before="156" w:line="298" w:lineRule="auto"/>
        <w:ind w:left="9"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7874A7F2">
      <w:pPr>
        <w:keepNext w:val="0"/>
        <w:keepLines w:val="0"/>
        <w:pageBreakBefore w:val="0"/>
        <w:wordWrap w:val="0"/>
        <w:overflowPunct/>
        <w:topLinePunct w:val="0"/>
        <w:bidi w:val="0"/>
        <w:spacing w:before="155" w:line="360" w:lineRule="auto"/>
        <w:ind w:left="8" w:right="2"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（7）投标人为外省建筑企业的，是否按规定在“进粤企业和人员诚信信息登记平台 ”录入企业及其拟派人员有关信息并通过数据规范检查。</w:t>
      </w:r>
    </w:p>
    <w:p w14:paraId="3F2C05D3">
      <w:pPr>
        <w:keepNext w:val="0"/>
        <w:keepLines w:val="0"/>
        <w:pageBreakBefore w:val="0"/>
        <w:wordWrap w:val="0"/>
        <w:overflowPunct/>
        <w:topLinePunct w:val="0"/>
        <w:bidi w:val="0"/>
        <w:spacing w:before="15" w:line="360" w:lineRule="auto"/>
        <w:ind w:right="2" w:firstLine="482" w:firstLineChars="200"/>
        <w:jc w:val="both"/>
        <w:outlineLvl w:val="9"/>
        <w:rPr>
          <w:rFonts w:hint="eastAsia" w:ascii="宋体" w:hAnsi="宋体" w:eastAsia="宋体" w:cs="宋体"/>
          <w:color w:val="auto"/>
          <w:spacing w:val="0"/>
          <w:sz w:val="24"/>
          <w:szCs w:val="24"/>
          <w:highlight w:val="none"/>
        </w:rPr>
      </w:pPr>
      <w:bookmarkStart w:id="90" w:name="_Toc22778"/>
      <w:r>
        <w:rPr>
          <w:rFonts w:hint="eastAsia" w:ascii="宋体" w:hAnsi="宋体" w:eastAsia="宋体" w:cs="宋体"/>
          <w:b/>
          <w:bCs/>
          <w:color w:val="auto"/>
          <w:spacing w:val="0"/>
          <w:sz w:val="24"/>
          <w:szCs w:val="24"/>
          <w:highlight w:val="none"/>
        </w:rPr>
        <w:t xml:space="preserve">15.4.2 </w:t>
      </w:r>
      <w:r>
        <w:rPr>
          <w:rFonts w:hint="eastAsia" w:ascii="宋体" w:hAnsi="宋体" w:eastAsia="宋体" w:cs="宋体"/>
          <w:color w:val="auto"/>
          <w:spacing w:val="0"/>
          <w:sz w:val="24"/>
          <w:szCs w:val="24"/>
          <w:highlight w:val="none"/>
        </w:rPr>
        <w:t xml:space="preserve"> 形式评审环节</w:t>
      </w:r>
    </w:p>
    <w:p w14:paraId="6CA1C88A">
      <w:pPr>
        <w:keepNext w:val="0"/>
        <w:keepLines w:val="0"/>
        <w:pageBreakBefore w:val="0"/>
        <w:wordWrap w:val="0"/>
        <w:overflowPunct/>
        <w:topLinePunct w:val="0"/>
        <w:bidi w:val="0"/>
        <w:spacing w:before="15" w:line="360" w:lineRule="auto"/>
        <w:ind w:right="2" w:firstLine="480" w:firstLineChars="200"/>
        <w:jc w:val="both"/>
        <w:outlineLvl w:val="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形式评审事</w:t>
      </w:r>
      <w:r>
        <w:rPr>
          <w:rFonts w:hint="eastAsia" w:ascii="宋体" w:hAnsi="宋体" w:eastAsia="宋体" w:cs="宋体"/>
          <w:color w:val="auto"/>
          <w:spacing w:val="0"/>
          <w:sz w:val="24"/>
          <w:szCs w:val="24"/>
          <w:highlight w:val="none"/>
          <w:lang w:eastAsia="zh-CN"/>
        </w:rPr>
        <w:t>项包括</w:t>
      </w:r>
      <w:bookmarkEnd w:id="90"/>
      <w:r>
        <w:rPr>
          <w:rFonts w:hint="eastAsia" w:ascii="宋体" w:hAnsi="宋体" w:eastAsia="宋体" w:cs="宋体"/>
          <w:color w:val="auto"/>
          <w:spacing w:val="0"/>
          <w:sz w:val="24"/>
          <w:szCs w:val="24"/>
          <w:highlight w:val="none"/>
          <w:lang w:eastAsia="zh-CN"/>
        </w:rPr>
        <w:t>：</w:t>
      </w:r>
    </w:p>
    <w:p w14:paraId="290BCF8D">
      <w:pPr>
        <w:keepNext w:val="0"/>
        <w:keepLines w:val="0"/>
        <w:pageBreakBefore w:val="0"/>
        <w:wordWrap w:val="0"/>
        <w:overflowPunct/>
        <w:topLinePunct w:val="0"/>
        <w:bidi w:val="0"/>
        <w:spacing w:before="40" w:line="360" w:lineRule="auto"/>
        <w:ind w:left="501"/>
        <w:outlineLvl w:val="9"/>
        <w:rPr>
          <w:rFonts w:hint="eastAsia" w:ascii="宋体" w:hAnsi="宋体" w:eastAsia="宋体" w:cs="宋体"/>
          <w:color w:val="auto"/>
          <w:spacing w:val="0"/>
          <w:sz w:val="24"/>
          <w:szCs w:val="24"/>
          <w:highlight w:val="none"/>
        </w:rPr>
      </w:pPr>
      <w:bookmarkStart w:id="91" w:name="_Toc13304"/>
      <w:bookmarkStart w:id="92" w:name="_Toc23632"/>
      <w:bookmarkStart w:id="93" w:name="_Toc20481"/>
      <w:bookmarkStart w:id="94" w:name="_Toc4914"/>
      <w:r>
        <w:rPr>
          <w:rFonts w:hint="eastAsia" w:ascii="宋体" w:hAnsi="宋体" w:eastAsia="宋体" w:cs="宋体"/>
          <w:color w:val="auto"/>
          <w:spacing w:val="0"/>
          <w:sz w:val="24"/>
          <w:szCs w:val="24"/>
          <w:highlight w:val="none"/>
        </w:rPr>
        <w:t>（1）各分册是否按招标文件规定加盖电子印章。</w:t>
      </w:r>
      <w:bookmarkEnd w:id="91"/>
      <w:bookmarkEnd w:id="92"/>
      <w:bookmarkEnd w:id="93"/>
      <w:bookmarkEnd w:id="94"/>
    </w:p>
    <w:p w14:paraId="6A8E625A">
      <w:pPr>
        <w:keepNext w:val="0"/>
        <w:keepLines w:val="0"/>
        <w:pageBreakBefore w:val="0"/>
        <w:wordWrap w:val="0"/>
        <w:overflowPunct/>
        <w:topLinePunct w:val="0"/>
        <w:bidi w:val="0"/>
        <w:spacing w:before="15" w:line="360" w:lineRule="auto"/>
        <w:ind w:firstLine="480" w:firstLineChars="200"/>
        <w:outlineLvl w:val="9"/>
        <w:rPr>
          <w:rFonts w:hint="eastAsia" w:ascii="宋体" w:hAnsi="宋体" w:eastAsia="宋体" w:cs="宋体"/>
          <w:color w:val="auto"/>
          <w:spacing w:val="0"/>
          <w:sz w:val="24"/>
          <w:szCs w:val="24"/>
          <w:highlight w:val="none"/>
          <w:lang w:eastAsia="zh-CN"/>
        </w:rPr>
      </w:pPr>
      <w:bookmarkStart w:id="95" w:name="_Toc28409"/>
      <w:bookmarkStart w:id="96" w:name="_Toc27432"/>
      <w:bookmarkStart w:id="97" w:name="_Toc10806"/>
      <w:bookmarkStart w:id="98" w:name="_Toc12756"/>
      <w:r>
        <w:rPr>
          <w:rFonts w:hint="eastAsia" w:ascii="宋体" w:hAnsi="宋体" w:eastAsia="宋体" w:cs="宋体"/>
          <w:color w:val="auto"/>
          <w:spacing w:val="0"/>
          <w:sz w:val="24"/>
          <w:szCs w:val="24"/>
          <w:highlight w:val="none"/>
        </w:rPr>
        <w:t>（2）本节第</w:t>
      </w:r>
      <w:r>
        <w:rPr>
          <w:rFonts w:hint="eastAsia" w:ascii="宋体" w:hAnsi="宋体" w:eastAsia="宋体" w:cs="宋体"/>
          <w:b/>
          <w:bCs/>
          <w:color w:val="auto"/>
          <w:spacing w:val="0"/>
          <w:sz w:val="24"/>
          <w:szCs w:val="24"/>
          <w:highlight w:val="none"/>
        </w:rPr>
        <w:t xml:space="preserve"> 10.2.2 </w:t>
      </w:r>
      <w:r>
        <w:rPr>
          <w:rFonts w:hint="eastAsia" w:ascii="宋体" w:hAnsi="宋体" w:eastAsia="宋体" w:cs="宋体"/>
          <w:color w:val="auto"/>
          <w:spacing w:val="0"/>
          <w:sz w:val="24"/>
          <w:szCs w:val="24"/>
          <w:highlight w:val="none"/>
        </w:rPr>
        <w:t xml:space="preserve"> 目、第 </w:t>
      </w:r>
      <w:r>
        <w:rPr>
          <w:rFonts w:hint="eastAsia" w:ascii="宋体" w:hAnsi="宋体" w:eastAsia="宋体" w:cs="宋体"/>
          <w:b/>
          <w:bCs/>
          <w:color w:val="auto"/>
          <w:spacing w:val="0"/>
          <w:sz w:val="24"/>
          <w:szCs w:val="24"/>
          <w:highlight w:val="none"/>
        </w:rPr>
        <w:t xml:space="preserve">10.3.2 </w:t>
      </w:r>
      <w:r>
        <w:rPr>
          <w:rFonts w:hint="eastAsia" w:ascii="宋体" w:hAnsi="宋体" w:eastAsia="宋体" w:cs="宋体"/>
          <w:color w:val="auto"/>
          <w:spacing w:val="0"/>
          <w:sz w:val="24"/>
          <w:szCs w:val="24"/>
          <w:highlight w:val="none"/>
        </w:rPr>
        <w:t xml:space="preserve"> 目、第</w:t>
      </w:r>
      <w:r>
        <w:rPr>
          <w:rFonts w:hint="eastAsia" w:ascii="宋体" w:hAnsi="宋体" w:eastAsia="宋体" w:cs="宋体"/>
          <w:b/>
          <w:bCs/>
          <w:color w:val="auto"/>
          <w:spacing w:val="0"/>
          <w:sz w:val="24"/>
          <w:szCs w:val="24"/>
          <w:highlight w:val="none"/>
        </w:rPr>
        <w:t xml:space="preserve"> 10.4.3 </w:t>
      </w:r>
      <w:r>
        <w:rPr>
          <w:rFonts w:hint="eastAsia" w:ascii="宋体" w:hAnsi="宋体" w:eastAsia="宋体" w:cs="宋体"/>
          <w:color w:val="auto"/>
          <w:spacing w:val="0"/>
          <w:sz w:val="24"/>
          <w:szCs w:val="24"/>
          <w:highlight w:val="none"/>
        </w:rPr>
        <w:t xml:space="preserve"> 目中规定的“所有投标人均应提</w:t>
      </w:r>
      <w:bookmarkEnd w:id="95"/>
      <w:bookmarkEnd w:id="96"/>
      <w:bookmarkEnd w:id="97"/>
      <w:r>
        <w:rPr>
          <w:rFonts w:hint="eastAsia" w:ascii="宋体" w:hAnsi="宋体" w:eastAsia="宋体" w:cs="宋体"/>
          <w:color w:val="auto"/>
          <w:spacing w:val="0"/>
          <w:sz w:val="24"/>
          <w:szCs w:val="24"/>
          <w:highlight w:val="none"/>
        </w:rPr>
        <w:t>供 ”的组成内容（包括该组成内容的所附资料）是否完整、齐全</w:t>
      </w:r>
      <w:bookmarkEnd w:id="98"/>
      <w:r>
        <w:rPr>
          <w:rFonts w:hint="eastAsia" w:ascii="宋体" w:hAnsi="宋体" w:eastAsia="宋体" w:cs="宋体"/>
          <w:color w:val="auto"/>
          <w:spacing w:val="0"/>
          <w:sz w:val="24"/>
          <w:szCs w:val="24"/>
          <w:highlight w:val="none"/>
          <w:lang w:eastAsia="zh-CN"/>
        </w:rPr>
        <w:t>。</w:t>
      </w:r>
    </w:p>
    <w:p w14:paraId="438D1D33">
      <w:pPr>
        <w:keepNext w:val="0"/>
        <w:keepLines w:val="0"/>
        <w:pageBreakBefore w:val="0"/>
        <w:wordWrap w:val="0"/>
        <w:overflowPunct/>
        <w:topLinePunct w:val="0"/>
        <w:bidi w:val="0"/>
        <w:spacing w:before="15" w:line="360" w:lineRule="auto"/>
        <w:ind w:right="2" w:firstLine="480" w:firstLineChars="200"/>
        <w:jc w:val="both"/>
        <w:outlineLvl w:val="9"/>
        <w:rPr>
          <w:rFonts w:hint="eastAsia" w:ascii="宋体" w:hAnsi="宋体" w:eastAsia="宋体" w:cs="宋体"/>
          <w:color w:val="auto"/>
          <w:spacing w:val="0"/>
          <w:sz w:val="24"/>
          <w:szCs w:val="24"/>
          <w:highlight w:val="none"/>
        </w:rPr>
      </w:pPr>
      <w:bookmarkStart w:id="99" w:name="_Toc9581"/>
      <w:bookmarkStart w:id="100" w:name="_Toc17918"/>
      <w:bookmarkStart w:id="101" w:name="_Toc15678"/>
      <w:bookmarkStart w:id="102" w:name="_Toc22691"/>
      <w:r>
        <w:rPr>
          <w:rFonts w:hint="eastAsia" w:ascii="宋体" w:hAnsi="宋体" w:eastAsia="宋体" w:cs="宋体"/>
          <w:color w:val="auto"/>
          <w:spacing w:val="0"/>
          <w:sz w:val="24"/>
          <w:szCs w:val="24"/>
          <w:highlight w:val="none"/>
          <w:lang w:eastAsia="zh-CN"/>
        </w:rPr>
        <w:t>（3）</w:t>
      </w:r>
      <w:r>
        <w:rPr>
          <w:rFonts w:hint="eastAsia" w:ascii="宋体" w:hAnsi="宋体" w:eastAsia="宋体" w:cs="宋体"/>
          <w:color w:val="auto"/>
          <w:spacing w:val="0"/>
          <w:sz w:val="24"/>
          <w:szCs w:val="24"/>
          <w:highlight w:val="none"/>
        </w:rPr>
        <w:t>施工组织设计采用“暗标 ”方式进行评审的，施工组织设计的规格颜色、文字排版、正文篇幅（若有）是否符合规定；其任何部位是否出现手写以及涂改、行间插字或删除痕迹；其任何部位是否出现投标人的名称和其它可识别投标人身份的字符、徽标、人员名称以及其他特殊标记。</w:t>
      </w:r>
      <w:bookmarkEnd w:id="99"/>
      <w:bookmarkEnd w:id="100"/>
      <w:bookmarkEnd w:id="101"/>
      <w:bookmarkEnd w:id="102"/>
    </w:p>
    <w:p w14:paraId="59F478D8">
      <w:pPr>
        <w:keepNext w:val="0"/>
        <w:keepLines w:val="0"/>
        <w:pageBreakBefore w:val="0"/>
        <w:wordWrap w:val="0"/>
        <w:overflowPunct/>
        <w:topLinePunct w:val="0"/>
        <w:bidi w:val="0"/>
        <w:spacing w:before="15" w:line="360" w:lineRule="auto"/>
        <w:ind w:right="2" w:firstLine="482" w:firstLineChars="200"/>
        <w:jc w:val="both"/>
        <w:outlineLvl w:val="9"/>
        <w:rPr>
          <w:rFonts w:hint="eastAsia" w:ascii="宋体" w:hAnsi="宋体" w:eastAsia="宋体" w:cs="宋体"/>
          <w:b/>
          <w:bCs/>
          <w:color w:val="auto"/>
          <w:spacing w:val="0"/>
          <w:sz w:val="24"/>
          <w:szCs w:val="24"/>
          <w:highlight w:val="none"/>
        </w:rPr>
      </w:pPr>
      <w:bookmarkStart w:id="103" w:name="_Toc22562"/>
      <w:bookmarkStart w:id="104" w:name="_Toc22642"/>
      <w:bookmarkStart w:id="105" w:name="_Toc16645"/>
      <w:bookmarkStart w:id="106" w:name="_Toc14202"/>
    </w:p>
    <w:p w14:paraId="4C13FFD3">
      <w:pPr>
        <w:keepNext w:val="0"/>
        <w:keepLines w:val="0"/>
        <w:pageBreakBefore w:val="0"/>
        <w:wordWrap w:val="0"/>
        <w:overflowPunct/>
        <w:topLinePunct w:val="0"/>
        <w:bidi w:val="0"/>
        <w:spacing w:before="15" w:line="360" w:lineRule="auto"/>
        <w:ind w:right="2" w:firstLine="482" w:firstLineChars="200"/>
        <w:jc w:val="both"/>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15.4.3  </w:t>
      </w:r>
      <w:r>
        <w:rPr>
          <w:rFonts w:hint="eastAsia" w:ascii="宋体" w:hAnsi="宋体" w:eastAsia="宋体" w:cs="宋体"/>
          <w:color w:val="auto"/>
          <w:spacing w:val="0"/>
          <w:sz w:val="24"/>
          <w:szCs w:val="24"/>
          <w:highlight w:val="none"/>
        </w:rPr>
        <w:t xml:space="preserve">响应性评审环节 </w:t>
      </w:r>
    </w:p>
    <w:p w14:paraId="3519CDD1">
      <w:pPr>
        <w:keepNext w:val="0"/>
        <w:keepLines w:val="0"/>
        <w:pageBreakBefore w:val="0"/>
        <w:wordWrap w:val="0"/>
        <w:overflowPunct/>
        <w:topLinePunct w:val="0"/>
        <w:bidi w:val="0"/>
        <w:spacing w:before="15" w:line="360" w:lineRule="auto"/>
        <w:ind w:right="2" w:firstLine="480" w:firstLineChars="200"/>
        <w:jc w:val="both"/>
        <w:outlineLvl w:val="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响应性评项包括：</w:t>
      </w:r>
      <w:bookmarkEnd w:id="103"/>
      <w:bookmarkEnd w:id="104"/>
      <w:bookmarkEnd w:id="105"/>
      <w:bookmarkEnd w:id="106"/>
    </w:p>
    <w:p w14:paraId="3B227407">
      <w:pPr>
        <w:keepNext w:val="0"/>
        <w:keepLines w:val="0"/>
        <w:pageBreakBefore w:val="0"/>
        <w:wordWrap w:val="0"/>
        <w:overflowPunct/>
        <w:topLinePunct w:val="0"/>
        <w:bidi w:val="0"/>
        <w:spacing w:before="155" w:line="360" w:lineRule="auto"/>
        <w:ind w:left="9"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（1）投标有效期、质量标准、工期等是否响应招标文件实质性要求；是否擅自修改、遗漏《投标函》《各项承诺一览表》的实质性内容。</w:t>
      </w:r>
    </w:p>
    <w:p w14:paraId="74AB4830">
      <w:pPr>
        <w:keepNext w:val="0"/>
        <w:keepLines w:val="0"/>
        <w:pageBreakBefore w:val="0"/>
        <w:wordWrap w:val="0"/>
        <w:overflowPunct/>
        <w:topLinePunct w:val="0"/>
        <w:bidi w:val="0"/>
        <w:spacing w:before="152"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（2）编制《投标总价》的造价工程师，其注册证书是否合法、有效。</w:t>
      </w:r>
    </w:p>
    <w:p w14:paraId="52F8B469">
      <w:pPr>
        <w:keepNext w:val="0"/>
        <w:keepLines w:val="0"/>
        <w:pageBreakBefore w:val="0"/>
        <w:wordWrap w:val="0"/>
        <w:overflowPunct/>
        <w:topLinePunct w:val="0"/>
        <w:bidi w:val="0"/>
        <w:spacing w:before="158" w:line="360" w:lineRule="auto"/>
        <w:ind w:left="21" w:right="2"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（3）投标人委托造价咨询单位编制《投标总价》的，是否在《投标总价》“投标人 ”栏目加盖造价咨询人公章；是否提供造价咨询人的营业执照副本彩色扫描件；</w:t>
      </w:r>
    </w:p>
    <w:p w14:paraId="364BA91D">
      <w:pPr>
        <w:keepNext w:val="0"/>
        <w:keepLines w:val="0"/>
        <w:pageBreakBefore w:val="0"/>
        <w:wordWrap w:val="0"/>
        <w:overflowPunct/>
        <w:topLinePunct w:val="0"/>
        <w:bidi w:val="0"/>
        <w:spacing w:before="158" w:line="328" w:lineRule="auto"/>
        <w:ind w:left="9" w:firstLine="491"/>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（4）投标总价是否唯一；投标总价是否超出</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是否达到最低要求；暂列金额、暂估价是否按照招标工程量清单统一报价；投标人是否以低于成本的价格竞标。</w:t>
      </w:r>
    </w:p>
    <w:p w14:paraId="4FD03933">
      <w:pPr>
        <w:keepNext w:val="0"/>
        <w:keepLines w:val="0"/>
        <w:pageBreakBefore w:val="0"/>
        <w:wordWrap w:val="0"/>
        <w:overflowPunct/>
        <w:topLinePunct w:val="0"/>
        <w:bidi w:val="0"/>
        <w:spacing w:before="38" w:line="360" w:lineRule="auto"/>
        <w:ind w:right="2" w:firstLine="482" w:firstLineChars="200"/>
        <w:jc w:val="both"/>
        <w:rPr>
          <w:rFonts w:hint="eastAsia" w:ascii="宋体" w:hAnsi="宋体" w:eastAsia="宋体" w:cs="宋体"/>
          <w:color w:val="auto"/>
          <w:spacing w:val="0"/>
          <w:position w:val="-8"/>
          <w:sz w:val="24"/>
          <w:szCs w:val="24"/>
          <w:highlight w:val="none"/>
        </w:rPr>
      </w:pPr>
      <w:r>
        <w:rPr>
          <w:rFonts w:hint="eastAsia" w:ascii="宋体" w:hAnsi="宋体" w:eastAsia="宋体" w:cs="宋体"/>
          <w:b/>
          <w:bCs/>
          <w:color w:val="auto"/>
          <w:spacing w:val="0"/>
          <w:sz w:val="24"/>
          <w:szCs w:val="24"/>
          <w:highlight w:val="none"/>
        </w:rPr>
        <w:t>注：如果某投标人的投标总价下浮率超过</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15% ，又未提供相应书面说明和佐证</w:t>
      </w:r>
      <w:bookmarkStart w:id="107" w:name="bookmark127"/>
      <w:bookmarkEnd w:id="107"/>
      <w:r>
        <w:rPr>
          <w:rFonts w:hint="eastAsia" w:ascii="宋体" w:hAnsi="宋体" w:eastAsia="宋体" w:cs="宋体"/>
          <w:b/>
          <w:bCs/>
          <w:color w:val="auto"/>
          <w:spacing w:val="0"/>
          <w:sz w:val="24"/>
          <w:szCs w:val="24"/>
          <w:highlight w:val="none"/>
        </w:rPr>
        <w:t>材料或提供的书面说明和佐证材料不能令人信服的，评标委员会应认定其以低于成本的价格竞标，并否决其投标。评标委员会接受该投标人的投标总价而未否决其投标的，应在评标报告中说明判断理由。投标总价下浮率＝（1－投标总价÷</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rPr>
        <w:t>）×100% 。</w:t>
      </w:r>
    </w:p>
    <w:p w14:paraId="4E33E3DD">
      <w:pPr>
        <w:keepNext w:val="0"/>
        <w:keepLines w:val="0"/>
        <w:pageBreakBefore w:val="0"/>
        <w:wordWrap w:val="0"/>
        <w:overflowPunct/>
        <w:topLinePunct w:val="0"/>
        <w:bidi w:val="0"/>
        <w:spacing w:before="157" w:line="360" w:lineRule="auto"/>
        <w:ind w:left="11" w:right="114" w:firstLine="501" w:firstLineChars="209"/>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（5）施工组织设计的质量、进度保障措施是否符合国家和省市现行有关规范、规定、标准，是否能实现工程质量、进度管理目标。</w:t>
      </w:r>
    </w:p>
    <w:p w14:paraId="556B94DC">
      <w:pPr>
        <w:keepNext w:val="0"/>
        <w:keepLines w:val="0"/>
        <w:pageBreakBefore w:val="0"/>
        <w:wordWrap w:val="0"/>
        <w:overflowPunct/>
        <w:topLinePunct w:val="0"/>
        <w:bidi w:val="0"/>
        <w:spacing w:before="82" w:line="211" w:lineRule="auto"/>
        <w:ind w:left="580"/>
        <w:outlineLvl w:val="9"/>
        <w:rPr>
          <w:rFonts w:hint="eastAsia" w:ascii="宋体" w:hAnsi="宋体" w:eastAsia="宋体" w:cs="宋体"/>
          <w:color w:val="auto"/>
          <w:spacing w:val="0"/>
          <w:sz w:val="25"/>
          <w:szCs w:val="25"/>
          <w:highlight w:val="none"/>
        </w:rPr>
      </w:pPr>
      <w:bookmarkStart w:id="108" w:name="_Toc19814"/>
      <w:bookmarkStart w:id="109" w:name="_Toc32114"/>
      <w:bookmarkStart w:id="110" w:name="_Toc18204"/>
      <w:bookmarkStart w:id="111" w:name="_Toc15367"/>
      <w:r>
        <w:rPr>
          <w:rFonts w:hint="eastAsia" w:ascii="宋体" w:hAnsi="宋体" w:eastAsia="宋体" w:cs="宋体"/>
          <w:b/>
          <w:bCs/>
          <w:color w:val="auto"/>
          <w:spacing w:val="0"/>
          <w:sz w:val="24"/>
          <w:szCs w:val="24"/>
          <w:highlight w:val="none"/>
        </w:rPr>
        <w:t xml:space="preserve">15.4.4  </w:t>
      </w:r>
      <w:r>
        <w:rPr>
          <w:rFonts w:hint="eastAsia" w:ascii="宋体" w:hAnsi="宋体" w:eastAsia="宋体" w:cs="宋体"/>
          <w:color w:val="auto"/>
          <w:spacing w:val="0"/>
          <w:sz w:val="24"/>
          <w:szCs w:val="24"/>
          <w:highlight w:val="none"/>
        </w:rPr>
        <w:t>否决投标说明</w:t>
      </w:r>
      <w:bookmarkEnd w:id="108"/>
      <w:bookmarkEnd w:id="109"/>
      <w:bookmarkEnd w:id="110"/>
      <w:bookmarkEnd w:id="111"/>
    </w:p>
    <w:p w14:paraId="09D6B103">
      <w:pPr>
        <w:keepNext w:val="0"/>
        <w:keepLines w:val="0"/>
        <w:pageBreakBefore w:val="0"/>
        <w:wordWrap w:val="0"/>
        <w:overflowPunct/>
        <w:topLinePunct w:val="0"/>
        <w:bidi w:val="0"/>
        <w:spacing w:before="152" w:line="333" w:lineRule="auto"/>
        <w:ind w:left="11" w:right="175" w:firstLine="561"/>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初步评审阶段各个环节否决投标的全部条件，在本章第四节“否决投标条件 ”第</w:t>
      </w:r>
      <w:r>
        <w:rPr>
          <w:rFonts w:hint="eastAsia" w:ascii="宋体" w:hAnsi="宋体" w:eastAsia="宋体" w:cs="宋体"/>
          <w:b/>
          <w:bCs/>
          <w:color w:val="auto"/>
          <w:spacing w:val="0"/>
          <w:sz w:val="24"/>
          <w:szCs w:val="24"/>
          <w:highlight w:val="none"/>
        </w:rPr>
        <w:t xml:space="preserve">1 </w:t>
      </w:r>
      <w:r>
        <w:rPr>
          <w:rFonts w:hint="eastAsia" w:ascii="宋体" w:hAnsi="宋体" w:eastAsia="宋体" w:cs="宋体"/>
          <w:color w:val="auto"/>
          <w:spacing w:val="0"/>
          <w:sz w:val="24"/>
          <w:szCs w:val="24"/>
          <w:highlight w:val="none"/>
        </w:rPr>
        <w:t xml:space="preserve">条至第 </w:t>
      </w:r>
      <w:r>
        <w:rPr>
          <w:rFonts w:hint="eastAsia" w:ascii="宋体" w:hAnsi="宋体" w:eastAsia="宋体" w:cs="宋体"/>
          <w:b/>
          <w:bCs/>
          <w:color w:val="auto"/>
          <w:spacing w:val="0"/>
          <w:sz w:val="24"/>
          <w:szCs w:val="24"/>
          <w:highlight w:val="none"/>
        </w:rPr>
        <w:t xml:space="preserve">4 </w:t>
      </w:r>
      <w:r>
        <w:rPr>
          <w:rFonts w:hint="eastAsia" w:ascii="宋体" w:hAnsi="宋体" w:eastAsia="宋体" w:cs="宋体"/>
          <w:color w:val="auto"/>
          <w:spacing w:val="0"/>
          <w:sz w:val="24"/>
          <w:szCs w:val="24"/>
          <w:highlight w:val="none"/>
        </w:rPr>
        <w:t>条中集中列示。投标人有其中所列任何一种情形的，由评标委员会否决其投标。在初步评审阶段任何环节被否决的投标人，不进入下一环节（或阶段）评审。在初步评审阶段任何环节</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评标委员会经评审，认为所有投标都不符合招标文件要求的，可否决所有投标，项目的所有投标被否决的，招标人应依法重新组织招标。</w:t>
      </w:r>
    </w:p>
    <w:p w14:paraId="10CC8727">
      <w:pPr>
        <w:keepNext w:val="0"/>
        <w:keepLines w:val="0"/>
        <w:pageBreakBefore w:val="0"/>
        <w:wordWrap w:val="0"/>
        <w:overflowPunct/>
        <w:topLinePunct w:val="0"/>
        <w:bidi w:val="0"/>
        <w:spacing w:before="78" w:line="221" w:lineRule="auto"/>
        <w:ind w:left="5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drawing>
          <wp:anchor distT="0" distB="0" distL="114300" distR="114300" simplePos="0" relativeHeight="251669504"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8"/>
                    <a:stretch>
                      <a:fillRect/>
                    </a:stretch>
                  </pic:blipFill>
                  <pic:spPr>
                    <a:xfrm>
                      <a:off x="0" y="0"/>
                      <a:ext cx="6350" cy="279400"/>
                    </a:xfrm>
                    <a:prstGeom prst="rect">
                      <a:avLst/>
                    </a:prstGeom>
                    <a:noFill/>
                    <a:ln>
                      <a:noFill/>
                    </a:ln>
                  </pic:spPr>
                </pic:pic>
              </a:graphicData>
            </a:graphic>
          </wp:anchor>
        </w:drawing>
      </w:r>
      <w:bookmarkStart w:id="112" w:name="bookmark128"/>
      <w:bookmarkEnd w:id="112"/>
      <w:r>
        <w:rPr>
          <w:rFonts w:hint="eastAsia" w:ascii="宋体" w:hAnsi="宋体" w:eastAsia="宋体" w:cs="宋体"/>
          <w:b/>
          <w:bCs/>
          <w:color w:val="auto"/>
          <w:spacing w:val="0"/>
          <w:sz w:val="24"/>
          <w:szCs w:val="24"/>
          <w:highlight w:val="none"/>
        </w:rPr>
        <w:t xml:space="preserve">15.5  </w:t>
      </w:r>
      <w:r>
        <w:rPr>
          <w:rFonts w:hint="eastAsia" w:ascii="宋体" w:hAnsi="宋体" w:eastAsia="宋体" w:cs="宋体"/>
          <w:color w:val="auto"/>
          <w:spacing w:val="0"/>
          <w:sz w:val="24"/>
          <w:szCs w:val="24"/>
          <w:highlight w:val="none"/>
        </w:rPr>
        <w:t>详细评审阶段</w:t>
      </w:r>
    </w:p>
    <w:p w14:paraId="269EBC2C">
      <w:pPr>
        <w:keepNext w:val="0"/>
        <w:keepLines w:val="0"/>
        <w:pageBreakBefore w:val="0"/>
        <w:wordWrap w:val="0"/>
        <w:overflowPunct/>
        <w:topLinePunct w:val="0"/>
        <w:bidi w:val="0"/>
        <w:spacing w:before="81" w:line="211" w:lineRule="auto"/>
        <w:ind w:left="498"/>
        <w:outlineLvl w:val="9"/>
        <w:rPr>
          <w:rFonts w:hint="eastAsia" w:ascii="宋体" w:hAnsi="宋体" w:eastAsia="宋体" w:cs="宋体"/>
          <w:color w:val="auto"/>
          <w:spacing w:val="0"/>
          <w:sz w:val="25"/>
          <w:szCs w:val="25"/>
          <w:highlight w:val="none"/>
        </w:rPr>
      </w:pPr>
      <w:bookmarkStart w:id="113" w:name="_Toc10503"/>
      <w:bookmarkStart w:id="114" w:name="_Toc4119"/>
      <w:bookmarkStart w:id="115" w:name="_Toc28572"/>
      <w:bookmarkStart w:id="116" w:name="_Toc14991"/>
      <w:r>
        <w:rPr>
          <w:rFonts w:hint="eastAsia" w:ascii="宋体" w:hAnsi="宋体" w:eastAsia="宋体" w:cs="宋体"/>
          <w:b/>
          <w:bCs/>
          <w:color w:val="auto"/>
          <w:spacing w:val="0"/>
          <w:sz w:val="24"/>
          <w:szCs w:val="24"/>
          <w:highlight w:val="none"/>
        </w:rPr>
        <w:t xml:space="preserve">15.5.1  </w:t>
      </w:r>
      <w:r>
        <w:rPr>
          <w:rFonts w:hint="eastAsia" w:ascii="宋体" w:hAnsi="宋体" w:eastAsia="宋体" w:cs="宋体"/>
          <w:color w:val="auto"/>
          <w:spacing w:val="0"/>
          <w:sz w:val="24"/>
          <w:szCs w:val="24"/>
          <w:highlight w:val="none"/>
        </w:rPr>
        <w:t>“综合评估法 ”评审程序</w:t>
      </w:r>
      <w:bookmarkEnd w:id="113"/>
      <w:bookmarkEnd w:id="114"/>
      <w:bookmarkEnd w:id="115"/>
      <w:bookmarkEnd w:id="116"/>
    </w:p>
    <w:p w14:paraId="40207E1F">
      <w:pPr>
        <w:keepNext w:val="0"/>
        <w:keepLines w:val="0"/>
        <w:pageBreakBefore w:val="0"/>
        <w:wordWrap w:val="0"/>
        <w:overflowPunct/>
        <w:topLinePunct w:val="0"/>
        <w:bidi w:val="0"/>
        <w:spacing w:before="152" w:line="329" w:lineRule="auto"/>
        <w:ind w:left="14" w:right="81"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评审内容分为商务技术和投标报价两大部分。其中，商务技术合计满分</w:t>
      </w:r>
      <w:r>
        <w:rPr>
          <w:rFonts w:hint="eastAsia" w:ascii="宋体" w:hAnsi="宋体" w:eastAsia="宋体" w:cs="宋体"/>
          <w:color w:val="auto"/>
          <w:spacing w:val="0"/>
          <w:sz w:val="24"/>
          <w:szCs w:val="24"/>
          <w:highlight w:val="none"/>
          <w:lang w:eastAsia="zh-CN"/>
        </w:rPr>
        <w:t>100</w:t>
      </w:r>
      <w:r>
        <w:rPr>
          <w:rFonts w:hint="eastAsia" w:ascii="宋体" w:hAnsi="宋体" w:eastAsia="宋体" w:cs="宋体"/>
          <w:color w:val="auto"/>
          <w:spacing w:val="0"/>
          <w:sz w:val="24"/>
          <w:szCs w:val="24"/>
          <w:highlight w:val="none"/>
        </w:rPr>
        <w:t>分，权重为</w:t>
      </w:r>
      <w:r>
        <w:rPr>
          <w:rFonts w:hint="eastAsia" w:ascii="宋体" w:hAnsi="宋体" w:eastAsia="宋体" w:cs="宋体"/>
          <w:color w:val="auto"/>
          <w:spacing w:val="0"/>
          <w:sz w:val="24"/>
          <w:szCs w:val="24"/>
          <w:highlight w:val="none"/>
          <w:lang w:eastAsia="zh-CN"/>
        </w:rPr>
        <w:t>40</w:t>
      </w:r>
      <w:r>
        <w:rPr>
          <w:rFonts w:hint="eastAsia" w:ascii="宋体" w:hAnsi="宋体" w:eastAsia="宋体" w:cs="宋体"/>
          <w:color w:val="auto"/>
          <w:spacing w:val="0"/>
          <w:sz w:val="24"/>
          <w:szCs w:val="24"/>
          <w:highlight w:val="none"/>
        </w:rPr>
        <w:t>%；投标报价满分 100 分，权重为</w:t>
      </w:r>
      <w:r>
        <w:rPr>
          <w:rFonts w:hint="eastAsia" w:ascii="宋体" w:hAnsi="宋体" w:eastAsia="宋体" w:cs="宋体"/>
          <w:color w:val="auto"/>
          <w:spacing w:val="0"/>
          <w:sz w:val="24"/>
          <w:szCs w:val="24"/>
          <w:highlight w:val="none"/>
          <w:lang w:eastAsia="zh-CN"/>
        </w:rPr>
        <w:t>60</w:t>
      </w:r>
      <w:r>
        <w:rPr>
          <w:rFonts w:hint="eastAsia" w:ascii="宋体" w:hAnsi="宋体" w:eastAsia="宋体" w:cs="宋体"/>
          <w:color w:val="auto"/>
          <w:spacing w:val="0"/>
          <w:sz w:val="24"/>
          <w:szCs w:val="24"/>
          <w:highlight w:val="none"/>
        </w:rPr>
        <w:t>% 。两大部分权重之和应为 100%。</w:t>
      </w:r>
    </w:p>
    <w:p w14:paraId="17D2E71D">
      <w:pPr>
        <w:keepNext w:val="0"/>
        <w:keepLines w:val="0"/>
        <w:pageBreakBefore w:val="0"/>
        <w:wordWrap w:val="0"/>
        <w:overflowPunct/>
        <w:topLinePunct w:val="0"/>
        <w:bidi w:val="0"/>
        <w:spacing w:before="153" w:line="324" w:lineRule="auto"/>
        <w:ind w:left="14" w:right="81"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除特别注明外，综合得分以及商务技术得分、投标报价得分的中间过程计算值和最终值，均按“ 四舍五入 ”原则精确到两位小数。</w:t>
      </w:r>
    </w:p>
    <w:p w14:paraId="6D824175">
      <w:pPr>
        <w:keepNext w:val="0"/>
        <w:keepLines w:val="0"/>
        <w:pageBreakBefore w:val="0"/>
        <w:wordWrap w:val="0"/>
        <w:overflowPunct/>
        <w:topLinePunct w:val="0"/>
        <w:bidi w:val="0"/>
        <w:spacing w:before="38" w:line="220" w:lineRule="auto"/>
        <w:ind w:left="503"/>
        <w:outlineLvl w:val="9"/>
        <w:rPr>
          <w:rFonts w:hint="eastAsia" w:ascii="宋体" w:hAnsi="宋体" w:eastAsia="宋体" w:cs="宋体"/>
          <w:color w:val="auto"/>
          <w:spacing w:val="0"/>
          <w:sz w:val="24"/>
          <w:szCs w:val="24"/>
          <w:highlight w:val="none"/>
        </w:rPr>
      </w:pPr>
      <w:bookmarkStart w:id="117" w:name="_Toc17510"/>
      <w:bookmarkStart w:id="118" w:name="_Toc10398"/>
      <w:bookmarkStart w:id="119" w:name="_Toc18029"/>
      <w:bookmarkStart w:id="120" w:name="_Toc22949"/>
      <w:r>
        <w:rPr>
          <w:rFonts w:hint="eastAsia" w:ascii="宋体" w:hAnsi="宋体" w:eastAsia="宋体" w:cs="宋体"/>
          <w:color w:val="auto"/>
          <w:spacing w:val="0"/>
          <w:sz w:val="24"/>
          <w:szCs w:val="24"/>
          <w:highlight w:val="none"/>
        </w:rPr>
        <w:t>（1）商务技术得分 M</w:t>
      </w:r>
      <w:bookmarkEnd w:id="117"/>
      <w:bookmarkEnd w:id="118"/>
      <w:bookmarkEnd w:id="119"/>
      <w:bookmarkEnd w:id="120"/>
    </w:p>
    <w:p w14:paraId="120A17FE">
      <w:pPr>
        <w:keepNext w:val="0"/>
        <w:keepLines w:val="0"/>
        <w:pageBreakBefore w:val="0"/>
        <w:wordWrap w:val="0"/>
        <w:overflowPunct/>
        <w:topLinePunct w:val="0"/>
        <w:bidi w:val="0"/>
        <w:spacing w:before="153" w:line="279" w:lineRule="auto"/>
        <w:ind w:left="15" w:right="81"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．评标委员会按照《综合评分表》商务部分指定的评分标准对各评分因素进行打分。各评分因素得分之和即为某投标人的商务得分 M</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sz w:val="24"/>
          <w:szCs w:val="24"/>
          <w:highlight w:val="none"/>
        </w:rPr>
        <w:t>。</w:t>
      </w:r>
    </w:p>
    <w:p w14:paraId="1339ADCB">
      <w:pPr>
        <w:keepNext w:val="0"/>
        <w:keepLines w:val="0"/>
        <w:pageBreakBefore w:val="0"/>
        <w:wordWrap w:val="0"/>
        <w:overflowPunct/>
        <w:topLinePunct w:val="0"/>
        <w:bidi w:val="0"/>
        <w:spacing w:before="154" w:line="299" w:lineRule="auto"/>
        <w:ind w:left="12" w:right="8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评标委员会各成员独立按照《综合评分表》技术部分（施工组织设计）指定的评分标准对各评分因素进行打分，累加后得出技术评分。将评标委员会所有成员的技术评分去掉最高分和最低分后，取算术平均值，即为某投标人的技术得分 M</w:t>
      </w:r>
      <w:r>
        <w:rPr>
          <w:rFonts w:hint="eastAsia" w:ascii="宋体" w:hAnsi="宋体" w:eastAsia="宋体" w:cs="宋体"/>
          <w:color w:val="auto"/>
          <w:spacing w:val="0"/>
          <w:position w:val="-1"/>
          <w:sz w:val="15"/>
          <w:szCs w:val="15"/>
          <w:highlight w:val="none"/>
        </w:rPr>
        <w:t>2</w:t>
      </w:r>
      <w:r>
        <w:rPr>
          <w:rFonts w:hint="eastAsia" w:ascii="宋体" w:hAnsi="宋体" w:eastAsia="宋体" w:cs="宋体"/>
          <w:color w:val="auto"/>
          <w:spacing w:val="0"/>
          <w:sz w:val="24"/>
          <w:szCs w:val="24"/>
          <w:highlight w:val="none"/>
        </w:rPr>
        <w:t>。</w:t>
      </w:r>
    </w:p>
    <w:p w14:paraId="0BBD9A29">
      <w:pPr>
        <w:keepNext w:val="0"/>
        <w:keepLines w:val="0"/>
        <w:pageBreakBefore w:val="0"/>
        <w:wordWrap w:val="0"/>
        <w:overflowPunct/>
        <w:topLinePunct w:val="0"/>
        <w:bidi w:val="0"/>
        <w:spacing w:before="155" w:line="231" w:lineRule="auto"/>
        <w:ind w:left="491"/>
        <w:rPr>
          <w:rFonts w:hint="eastAsia" w:ascii="宋体" w:hAnsi="宋体" w:eastAsia="宋体" w:cs="宋体"/>
          <w:color w:val="auto"/>
          <w:spacing w:val="0"/>
          <w:sz w:val="15"/>
          <w:szCs w:val="15"/>
          <w:highlight w:val="none"/>
        </w:rPr>
      </w:pPr>
      <w:r>
        <w:rPr>
          <w:rFonts w:hint="eastAsia" w:ascii="宋体" w:hAnsi="宋体" w:eastAsia="宋体" w:cs="宋体"/>
          <w:b/>
          <w:bCs/>
          <w:color w:val="auto"/>
          <w:spacing w:val="0"/>
          <w:sz w:val="24"/>
          <w:szCs w:val="24"/>
          <w:highlight w:val="none"/>
        </w:rPr>
        <w:t xml:space="preserve">c </w:t>
      </w:r>
      <w:r>
        <w:rPr>
          <w:rFonts w:hint="eastAsia" w:ascii="宋体" w:hAnsi="宋体" w:eastAsia="宋体" w:cs="宋体"/>
          <w:color w:val="auto"/>
          <w:spacing w:val="0"/>
          <w:sz w:val="24"/>
          <w:szCs w:val="24"/>
          <w:highlight w:val="none"/>
        </w:rPr>
        <w:t>．M ＝M</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sz w:val="24"/>
          <w:szCs w:val="24"/>
          <w:highlight w:val="none"/>
        </w:rPr>
        <w:t>＋M</w:t>
      </w:r>
      <w:r>
        <w:rPr>
          <w:rFonts w:hint="eastAsia" w:ascii="宋体" w:hAnsi="宋体" w:eastAsia="宋体" w:cs="宋体"/>
          <w:color w:val="auto"/>
          <w:spacing w:val="0"/>
          <w:position w:val="-1"/>
          <w:sz w:val="15"/>
          <w:szCs w:val="15"/>
          <w:highlight w:val="none"/>
        </w:rPr>
        <w:t>2</w:t>
      </w:r>
    </w:p>
    <w:p w14:paraId="77066CCD">
      <w:pPr>
        <w:keepNext w:val="0"/>
        <w:keepLines w:val="0"/>
        <w:pageBreakBefore w:val="0"/>
        <w:wordWrap w:val="0"/>
        <w:overflowPunct/>
        <w:topLinePunct w:val="0"/>
        <w:bidi w:val="0"/>
        <w:spacing w:before="139"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式中：M</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为某投标人的商务得分，M</w:t>
      </w:r>
      <w:r>
        <w:rPr>
          <w:rFonts w:hint="eastAsia" w:ascii="宋体" w:hAnsi="宋体" w:eastAsia="宋体" w:cs="宋体"/>
          <w:color w:val="auto"/>
          <w:spacing w:val="0"/>
          <w:position w:val="-1"/>
          <w:sz w:val="15"/>
          <w:szCs w:val="15"/>
          <w:highlight w:val="none"/>
        </w:rPr>
        <w:t xml:space="preserve">2 </w:t>
      </w:r>
      <w:r>
        <w:rPr>
          <w:rFonts w:hint="eastAsia" w:ascii="宋体" w:hAnsi="宋体" w:eastAsia="宋体" w:cs="宋体"/>
          <w:color w:val="auto"/>
          <w:spacing w:val="0"/>
          <w:sz w:val="24"/>
          <w:szCs w:val="24"/>
          <w:highlight w:val="none"/>
        </w:rPr>
        <w:t>为某投标人的技术得分。</w:t>
      </w:r>
    </w:p>
    <w:p w14:paraId="741F8731">
      <w:pPr>
        <w:keepNext w:val="0"/>
        <w:keepLines w:val="0"/>
        <w:pageBreakBefore w:val="0"/>
        <w:wordWrap w:val="0"/>
        <w:overflowPunct/>
        <w:topLinePunct w:val="0"/>
        <w:bidi w:val="0"/>
        <w:spacing w:before="153" w:line="219" w:lineRule="auto"/>
        <w:ind w:left="503"/>
        <w:outlineLvl w:val="9"/>
        <w:rPr>
          <w:rFonts w:hint="eastAsia" w:ascii="宋体" w:hAnsi="宋体" w:eastAsia="宋体" w:cs="宋体"/>
          <w:color w:val="auto"/>
          <w:spacing w:val="0"/>
          <w:sz w:val="24"/>
          <w:szCs w:val="24"/>
          <w:highlight w:val="none"/>
        </w:rPr>
      </w:pPr>
      <w:bookmarkStart w:id="121" w:name="_Toc27609"/>
      <w:bookmarkStart w:id="122" w:name="_Toc3958"/>
      <w:bookmarkStart w:id="123" w:name="_Toc16136"/>
      <w:bookmarkStart w:id="124" w:name="_Toc14059"/>
      <w:r>
        <w:rPr>
          <w:rFonts w:hint="eastAsia" w:ascii="宋体" w:hAnsi="宋体" w:eastAsia="宋体" w:cs="宋体"/>
          <w:color w:val="auto"/>
          <w:spacing w:val="0"/>
          <w:sz w:val="24"/>
          <w:szCs w:val="24"/>
          <w:highlight w:val="none"/>
        </w:rPr>
        <w:t>（2）投标报价得分 N</w:t>
      </w:r>
      <w:bookmarkEnd w:id="121"/>
      <w:bookmarkEnd w:id="122"/>
      <w:bookmarkEnd w:id="123"/>
      <w:bookmarkEnd w:id="124"/>
    </w:p>
    <w:p w14:paraId="786741F9">
      <w:pPr>
        <w:keepNext w:val="0"/>
        <w:keepLines w:val="0"/>
        <w:pageBreakBefore w:val="0"/>
        <w:wordWrap w:val="0"/>
        <w:overflowPunct/>
        <w:topLinePunct w:val="0"/>
        <w:bidi w:val="0"/>
        <w:spacing w:before="157" w:line="219" w:lineRule="auto"/>
        <w:ind w:firstLine="482" w:firstLineChars="20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．评标委员会按照《综合评分表》投标报价部分指定的方法计算评标基准价 D。</w:t>
      </w:r>
    </w:p>
    <w:p w14:paraId="4AA96151">
      <w:pPr>
        <w:keepNext w:val="0"/>
        <w:keepLines w:val="0"/>
        <w:pageBreakBefore w:val="0"/>
        <w:wordWrap w:val="0"/>
        <w:overflowPunct/>
        <w:topLinePunct w:val="0"/>
        <w:bidi w:val="0"/>
        <w:spacing w:before="155" w:line="299" w:lineRule="auto"/>
        <w:ind w:left="12" w:right="83"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 xml:space="preserve">．采用内插法计算某投标人的投标报价得分 N ，即当投标人的投标总价等于评标基准价时得 100 分，每高于评标基准价一个百分点扣 </w:t>
      </w:r>
      <w:r>
        <w:rPr>
          <w:rFonts w:hint="eastAsia" w:ascii="宋体" w:hAnsi="宋体" w:eastAsia="宋体" w:cs="宋体"/>
          <w:b/>
          <w:bCs/>
          <w:color w:val="auto"/>
          <w:spacing w:val="0"/>
          <w:sz w:val="24"/>
          <w:szCs w:val="24"/>
          <w:highlight w:val="none"/>
        </w:rPr>
        <w:t xml:space="preserve">1 分, </w:t>
      </w:r>
      <w:r>
        <w:rPr>
          <w:rFonts w:hint="eastAsia" w:ascii="宋体" w:hAnsi="宋体" w:eastAsia="宋体" w:cs="宋体"/>
          <w:color w:val="auto"/>
          <w:spacing w:val="0"/>
          <w:sz w:val="24"/>
          <w:szCs w:val="24"/>
          <w:highlight w:val="none"/>
        </w:rPr>
        <w:t xml:space="preserve">每低于评标基准价一个百分点扣 </w:t>
      </w:r>
      <w:r>
        <w:rPr>
          <w:rFonts w:hint="eastAsia" w:ascii="宋体" w:hAnsi="宋体" w:eastAsia="宋体" w:cs="宋体"/>
          <w:b/>
          <w:bCs/>
          <w:color w:val="auto"/>
          <w:spacing w:val="0"/>
          <w:sz w:val="24"/>
          <w:szCs w:val="24"/>
          <w:highlight w:val="none"/>
        </w:rPr>
        <w:t>0.5 分</w:t>
      </w:r>
      <w:r>
        <w:rPr>
          <w:rFonts w:hint="eastAsia" w:ascii="宋体" w:hAnsi="宋体" w:eastAsia="宋体" w:cs="宋体"/>
          <w:color w:val="auto"/>
          <w:spacing w:val="0"/>
          <w:sz w:val="24"/>
          <w:szCs w:val="24"/>
          <w:highlight w:val="none"/>
        </w:rPr>
        <w:t>，扣完为止。公式如下：</w:t>
      </w:r>
    </w:p>
    <w:p w14:paraId="26BB5A3A">
      <w:pPr>
        <w:keepNext w:val="0"/>
        <w:keepLines w:val="0"/>
        <w:pageBreakBefore w:val="0"/>
        <w:wordWrap w:val="0"/>
        <w:overflowPunct/>
        <w:topLinePunct w:val="0"/>
        <w:bidi w:val="0"/>
        <w:spacing w:before="118" w:line="333" w:lineRule="exact"/>
        <w:ind w:left="241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N ＝100－（| Di－D | ÷D） × 100×E</w:t>
      </w:r>
    </w:p>
    <w:p w14:paraId="3CCB328A">
      <w:pPr>
        <w:keepNext w:val="0"/>
        <w:keepLines w:val="0"/>
        <w:pageBreakBefore w:val="0"/>
        <w:wordWrap w:val="0"/>
        <w:overflowPunct/>
        <w:topLinePunct w:val="0"/>
        <w:bidi w:val="0"/>
        <w:spacing w:before="106" w:line="316" w:lineRule="auto"/>
        <w:ind w:left="7" w:right="17"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式中：D 为评标基准价；Di为某投标人的投标总价；E 为扣分因子，当 Di＞D时，E ＝</w:t>
      </w:r>
      <w:r>
        <w:rPr>
          <w:rFonts w:hint="eastAsia" w:ascii="宋体" w:hAnsi="宋体" w:eastAsia="宋体" w:cs="宋体"/>
          <w:b/>
          <w:bCs/>
          <w:color w:val="auto"/>
          <w:spacing w:val="0"/>
          <w:sz w:val="24"/>
          <w:szCs w:val="24"/>
          <w:highlight w:val="none"/>
        </w:rPr>
        <w:t>1 ；</w:t>
      </w:r>
      <w:r>
        <w:rPr>
          <w:rFonts w:hint="eastAsia" w:ascii="宋体" w:hAnsi="宋体" w:eastAsia="宋体" w:cs="宋体"/>
          <w:color w:val="auto"/>
          <w:spacing w:val="0"/>
          <w:sz w:val="24"/>
          <w:szCs w:val="24"/>
          <w:highlight w:val="none"/>
        </w:rPr>
        <w:t>当 Di＜D</w:t>
      </w:r>
      <w:r>
        <w:rPr>
          <w:rFonts w:hint="eastAsia" w:ascii="宋体" w:hAnsi="宋体" w:eastAsia="宋体" w:cs="宋体"/>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 xml:space="preserve">时，E </w:t>
      </w:r>
      <w:r>
        <w:rPr>
          <w:rFonts w:hint="eastAsia" w:ascii="宋体" w:hAnsi="宋体" w:eastAsia="宋体" w:cs="宋体"/>
          <w:b/>
          <w:bCs/>
          <w:color w:val="auto"/>
          <w:spacing w:val="0"/>
          <w:sz w:val="24"/>
          <w:szCs w:val="24"/>
          <w:highlight w:val="none"/>
        </w:rPr>
        <w:t>＝0.5</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w:t>
      </w:r>
    </w:p>
    <w:p w14:paraId="43895868">
      <w:pPr>
        <w:keepNext w:val="0"/>
        <w:keepLines w:val="0"/>
        <w:pageBreakBefore w:val="0"/>
        <w:wordWrap w:val="0"/>
        <w:overflowPunct/>
        <w:topLinePunct w:val="0"/>
        <w:bidi w:val="0"/>
        <w:spacing w:before="95" w:line="220" w:lineRule="auto"/>
        <w:ind w:left="503"/>
        <w:outlineLvl w:val="9"/>
        <w:rPr>
          <w:rFonts w:hint="eastAsia" w:ascii="宋体" w:hAnsi="宋体" w:eastAsia="宋体" w:cs="宋体"/>
          <w:color w:val="auto"/>
          <w:spacing w:val="0"/>
          <w:sz w:val="24"/>
          <w:szCs w:val="24"/>
          <w:highlight w:val="none"/>
        </w:rPr>
      </w:pPr>
      <w:bookmarkStart w:id="125" w:name="_Toc3861"/>
      <w:bookmarkStart w:id="126" w:name="_Toc4990"/>
      <w:bookmarkStart w:id="127" w:name="_Toc7915"/>
      <w:bookmarkStart w:id="128" w:name="_Toc576"/>
      <w:r>
        <w:rPr>
          <w:rFonts w:hint="eastAsia" w:ascii="宋体" w:hAnsi="宋体" w:eastAsia="宋体" w:cs="宋体"/>
          <w:color w:val="auto"/>
          <w:spacing w:val="0"/>
          <w:sz w:val="24"/>
          <w:szCs w:val="24"/>
          <w:highlight w:val="none"/>
        </w:rPr>
        <w:t>（3）综合得分</w:t>
      </w:r>
      <w:bookmarkEnd w:id="125"/>
      <w:bookmarkEnd w:id="126"/>
      <w:bookmarkEnd w:id="127"/>
      <w:bookmarkEnd w:id="128"/>
    </w:p>
    <w:p w14:paraId="13D70E4A">
      <w:pPr>
        <w:keepNext w:val="0"/>
        <w:keepLines w:val="0"/>
        <w:pageBreakBefore w:val="0"/>
        <w:wordWrap w:val="0"/>
        <w:overflowPunct/>
        <w:topLinePunct w:val="0"/>
        <w:bidi w:val="0"/>
        <w:spacing w:before="153" w:line="220" w:lineRule="auto"/>
        <w:ind w:left="49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综合得分换算为百分制，满分 100 分，公式如下：</w:t>
      </w:r>
    </w:p>
    <w:p w14:paraId="2B96078E">
      <w:pPr>
        <w:keepNext w:val="0"/>
        <w:keepLines w:val="0"/>
        <w:pageBreakBefore w:val="0"/>
        <w:wordWrap w:val="0"/>
        <w:overflowPunct/>
        <w:topLinePunct w:val="0"/>
        <w:bidi w:val="0"/>
        <w:spacing w:before="155" w:line="324" w:lineRule="auto"/>
        <w:ind w:left="496" w:right="532" w:hanging="3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综合得分＝M÷商务技术合计满分×100×商务技术权重＋N×投标报价权重</w:t>
      </w:r>
    </w:p>
    <w:p w14:paraId="15423E52">
      <w:pPr>
        <w:keepNext w:val="0"/>
        <w:keepLines w:val="0"/>
        <w:pageBreakBefore w:val="0"/>
        <w:wordWrap w:val="0"/>
        <w:overflowPunct/>
        <w:topLinePunct w:val="0"/>
        <w:bidi w:val="0"/>
        <w:spacing w:before="155" w:line="324" w:lineRule="auto"/>
        <w:ind w:left="496" w:right="532" w:hanging="3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式中：M 为商务技术得分，N 为投标报价得分。</w:t>
      </w:r>
    </w:p>
    <w:p w14:paraId="2F23EBA4">
      <w:pPr>
        <w:keepNext w:val="0"/>
        <w:keepLines w:val="0"/>
        <w:pageBreakBefore w:val="0"/>
        <w:wordWrap w:val="0"/>
        <w:overflowPunct/>
        <w:topLinePunct w:val="0"/>
        <w:bidi w:val="0"/>
        <w:spacing w:before="78" w:line="329" w:lineRule="auto"/>
        <w:ind w:left="276" w:right="263" w:hanging="1"/>
        <w:jc w:val="both"/>
        <w:rPr>
          <w:rFonts w:hint="default"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15.</w:t>
      </w:r>
      <w:r>
        <w:rPr>
          <w:rFonts w:hint="eastAsia" w:ascii="宋体" w:hAnsi="宋体" w:eastAsia="宋体" w:cs="宋体"/>
          <w:b/>
          <w:bCs/>
          <w:color w:val="auto"/>
          <w:spacing w:val="0"/>
          <w:sz w:val="24"/>
          <w:szCs w:val="24"/>
          <w:highlight w:val="none"/>
          <w:lang w:val="en-US" w:eastAsia="zh-CN"/>
        </w:rPr>
        <w:t>6 推荐定标候选人</w:t>
      </w:r>
    </w:p>
    <w:p w14:paraId="71B54385">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评标委员会按照</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评审综合总得分</w:t>
      </w:r>
      <w:r>
        <w:rPr>
          <w:rFonts w:hint="eastAsia" w:ascii="宋体" w:hAnsi="宋体" w:eastAsia="宋体" w:cs="宋体"/>
          <w:color w:val="auto"/>
          <w:sz w:val="24"/>
          <w:highlight w:val="none"/>
          <w:lang w:eastAsia="zh-CN"/>
        </w:rPr>
        <w:t>由</w:t>
      </w:r>
      <w:r>
        <w:rPr>
          <w:rFonts w:hint="eastAsia" w:ascii="宋体" w:hAnsi="宋体" w:eastAsia="宋体" w:cs="宋体"/>
          <w:color w:val="auto"/>
          <w:sz w:val="24"/>
          <w:highlight w:val="none"/>
        </w:rPr>
        <w:t>高</w:t>
      </w:r>
      <w:r>
        <w:rPr>
          <w:rFonts w:hint="eastAsia" w:ascii="宋体" w:hAnsi="宋体" w:eastAsia="宋体" w:cs="宋体"/>
          <w:color w:val="auto"/>
          <w:sz w:val="24"/>
          <w:highlight w:val="none"/>
          <w:lang w:eastAsia="zh-CN"/>
        </w:rPr>
        <w:t>到</w:t>
      </w:r>
      <w:r>
        <w:rPr>
          <w:rFonts w:hint="eastAsia" w:ascii="宋体" w:hAnsi="宋体" w:eastAsia="宋体" w:cs="宋体"/>
          <w:color w:val="auto"/>
          <w:sz w:val="24"/>
          <w:highlight w:val="none"/>
        </w:rPr>
        <w:t>低的</w:t>
      </w:r>
      <w:r>
        <w:rPr>
          <w:rFonts w:hint="eastAsia" w:ascii="宋体" w:hAnsi="宋体" w:eastAsia="宋体" w:cs="宋体"/>
          <w:color w:val="auto"/>
          <w:sz w:val="24"/>
          <w:highlight w:val="none"/>
          <w:lang w:eastAsia="zh-CN"/>
        </w:rPr>
        <w:t>原则</w:t>
      </w:r>
      <w:r>
        <w:rPr>
          <w:rFonts w:hint="eastAsia" w:ascii="宋体" w:hAnsi="宋体" w:eastAsia="宋体" w:cs="宋体"/>
          <w:color w:val="auto"/>
          <w:sz w:val="24"/>
          <w:highlight w:val="none"/>
        </w:rPr>
        <w:t>,向招标人推荐</w:t>
      </w:r>
      <w:r>
        <w:rPr>
          <w:rFonts w:hint="eastAsia" w:ascii="宋体" w:hAnsi="宋体" w:eastAsia="宋体" w:cs="宋体"/>
          <w:color w:val="auto"/>
          <w:sz w:val="24"/>
          <w:highlight w:val="none"/>
          <w:lang w:val="en-US" w:eastAsia="zh-CN"/>
        </w:rPr>
        <w:t>已明确的</w:t>
      </w:r>
      <w:r>
        <w:rPr>
          <w:rFonts w:hint="eastAsia" w:ascii="宋体" w:hAnsi="宋体" w:eastAsia="宋体" w:cs="宋体"/>
          <w:color w:val="auto"/>
          <w:sz w:val="24"/>
          <w:highlight w:val="none"/>
        </w:rPr>
        <w:t>定标候选人</w:t>
      </w:r>
      <w:r>
        <w:rPr>
          <w:rFonts w:hint="eastAsia" w:ascii="宋体" w:hAnsi="宋体" w:eastAsia="宋体" w:cs="宋体"/>
          <w:color w:val="auto"/>
          <w:sz w:val="24"/>
          <w:highlight w:val="none"/>
          <w:lang w:eastAsia="zh-CN"/>
        </w:rPr>
        <w:t>数量</w:t>
      </w:r>
      <w:r>
        <w:rPr>
          <w:rFonts w:hint="eastAsia" w:ascii="宋体" w:hAnsi="宋体" w:eastAsia="宋体" w:cs="宋体"/>
          <w:color w:val="auto"/>
          <w:sz w:val="24"/>
          <w:highlight w:val="none"/>
        </w:rPr>
        <w:t>（不</w:t>
      </w:r>
      <w:r>
        <w:rPr>
          <w:rFonts w:hint="eastAsia" w:ascii="宋体" w:hAnsi="宋体" w:eastAsia="宋体" w:cs="宋体"/>
          <w:color w:val="auto"/>
          <w:sz w:val="24"/>
          <w:highlight w:val="none"/>
          <w:lang w:val="en-US" w:eastAsia="zh-CN"/>
        </w:rPr>
        <w:t>标明</w:t>
      </w:r>
      <w:r>
        <w:rPr>
          <w:rFonts w:hint="eastAsia" w:ascii="宋体" w:hAnsi="宋体" w:eastAsia="宋体" w:cs="宋体"/>
          <w:color w:val="auto"/>
          <w:sz w:val="24"/>
          <w:highlight w:val="none"/>
        </w:rPr>
        <w:t>排序）</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评标委员会推荐定标候选人后，</w:t>
      </w:r>
      <w:r>
        <w:rPr>
          <w:rFonts w:hint="eastAsia" w:ascii="宋体" w:hAnsi="宋体" w:eastAsia="宋体" w:cs="宋体"/>
          <w:color w:val="auto"/>
          <w:sz w:val="24"/>
          <w:highlight w:val="none"/>
        </w:rPr>
        <w:t>招标人应</w:t>
      </w:r>
      <w:r>
        <w:rPr>
          <w:rFonts w:hint="eastAsia" w:ascii="宋体" w:hAnsi="宋体" w:eastAsia="宋体" w:cs="宋体"/>
          <w:color w:val="auto"/>
          <w:sz w:val="24"/>
          <w:highlight w:val="none"/>
          <w:lang w:eastAsia="zh-CN"/>
        </w:rPr>
        <w:t>于评标会结束后</w:t>
      </w:r>
      <w:r>
        <w:rPr>
          <w:rFonts w:hint="eastAsia" w:ascii="宋体" w:hAnsi="宋体" w:eastAsia="宋体" w:cs="宋体"/>
          <w:color w:val="auto"/>
          <w:sz w:val="24"/>
          <w:highlight w:val="none"/>
          <w:lang w:val="en-US" w:eastAsia="zh-CN"/>
        </w:rPr>
        <w:t>3个工作日内将</w:t>
      </w:r>
      <w:r>
        <w:rPr>
          <w:rFonts w:hint="eastAsia" w:ascii="宋体" w:hAnsi="宋体" w:eastAsia="宋体" w:cs="宋体"/>
          <w:color w:val="auto"/>
          <w:sz w:val="24"/>
          <w:highlight w:val="none"/>
          <w:lang w:eastAsia="zh-CN"/>
        </w:rPr>
        <w:t>定</w:t>
      </w:r>
      <w:r>
        <w:rPr>
          <w:rFonts w:hint="eastAsia" w:ascii="宋体" w:hAnsi="宋体" w:eastAsia="宋体" w:cs="宋体"/>
          <w:color w:val="auto"/>
          <w:sz w:val="24"/>
          <w:highlight w:val="none"/>
        </w:rPr>
        <w:t>标候选</w:t>
      </w:r>
      <w:r>
        <w:rPr>
          <w:rFonts w:hint="eastAsia" w:ascii="宋体" w:hAnsi="宋体" w:eastAsia="宋体" w:cs="宋体"/>
          <w:color w:val="auto"/>
          <w:sz w:val="24"/>
          <w:highlight w:val="none"/>
          <w:lang w:eastAsia="zh-CN"/>
        </w:rPr>
        <w:t>人和评标情况</w:t>
      </w:r>
      <w:r>
        <w:rPr>
          <w:rFonts w:hint="eastAsia" w:ascii="宋体" w:hAnsi="宋体" w:eastAsia="宋体" w:cs="宋体"/>
          <w:color w:val="auto"/>
          <w:sz w:val="24"/>
          <w:highlight w:val="none"/>
          <w:lang w:val="en-US" w:eastAsia="zh-CN"/>
        </w:rPr>
        <w:t>在广东省招标投标监管网和</w:t>
      </w:r>
      <w:r>
        <w:rPr>
          <w:rFonts w:hint="eastAsia" w:ascii="宋体" w:hAnsi="宋体" w:eastAsia="宋体" w:cs="宋体"/>
          <w:color w:val="auto"/>
          <w:sz w:val="24"/>
          <w:highlight w:val="none"/>
        </w:rPr>
        <w:t>韶关市公共资源交易中心</w:t>
      </w:r>
      <w:r>
        <w:rPr>
          <w:rFonts w:hint="eastAsia" w:ascii="宋体" w:hAnsi="宋体" w:eastAsia="宋体" w:cs="宋体"/>
          <w:color w:val="auto"/>
          <w:sz w:val="24"/>
          <w:highlight w:val="none"/>
          <w:lang w:eastAsia="zh-CN"/>
        </w:rPr>
        <w:t>建设工程交易系统</w:t>
      </w:r>
      <w:r>
        <w:rPr>
          <w:rFonts w:hint="eastAsia" w:ascii="宋体" w:hAnsi="宋体" w:eastAsia="宋体" w:cs="宋体"/>
          <w:color w:val="auto"/>
          <w:sz w:val="24"/>
          <w:highlight w:val="none"/>
          <w:lang w:val="en-US" w:eastAsia="zh-CN"/>
        </w:rPr>
        <w:t>上</w:t>
      </w:r>
      <w:r>
        <w:rPr>
          <w:rFonts w:hint="eastAsia" w:ascii="宋体" w:hAnsi="宋体" w:eastAsia="宋体" w:cs="宋体"/>
          <w:color w:val="auto"/>
          <w:sz w:val="24"/>
          <w:highlight w:val="none"/>
        </w:rPr>
        <w:t>公示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公示时间不少于3个工作日。</w:t>
      </w:r>
      <w:r>
        <w:rPr>
          <w:rFonts w:hint="eastAsia" w:ascii="宋体" w:hAnsi="宋体" w:eastAsia="宋体" w:cs="宋体"/>
          <w:color w:val="auto"/>
          <w:kern w:val="0"/>
          <w:sz w:val="24"/>
          <w:szCs w:val="24"/>
          <w:highlight w:val="none"/>
          <w:u w:val="none" w:color="auto"/>
          <w:lang w:eastAsia="zh-CN"/>
        </w:rPr>
        <w:t>公示主要内容包括：（</w:t>
      </w:r>
      <w:r>
        <w:rPr>
          <w:rFonts w:hint="eastAsia" w:ascii="宋体" w:hAnsi="宋体" w:eastAsia="宋体" w:cs="宋体"/>
          <w:b w:val="0"/>
          <w:bCs w:val="0"/>
          <w:color w:val="auto"/>
          <w:spacing w:val="0"/>
          <w:position w:val="0"/>
          <w:sz w:val="24"/>
          <w:szCs w:val="24"/>
          <w:highlight w:val="none"/>
          <w:u w:val="none" w:color="auto"/>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0E2DF559">
      <w:pPr>
        <w:keepNext w:val="0"/>
        <w:keepLines w:val="0"/>
        <w:pageBreakBefore w:val="0"/>
        <w:widowControl/>
        <w:kinsoku w:val="0"/>
        <w:wordWrap w:val="0"/>
        <w:overflowPunct/>
        <w:topLinePunct w:val="0"/>
        <w:autoSpaceDE w:val="0"/>
        <w:autoSpaceDN w:val="0"/>
        <w:bidi w:val="0"/>
        <w:adjustRightInd w:val="0"/>
        <w:snapToGrid w:val="0"/>
        <w:spacing w:before="153" w:line="360" w:lineRule="auto"/>
        <w:ind w:left="493" w:firstLine="602" w:firstLineChars="200"/>
        <w:textAlignment w:val="baseline"/>
        <w:rPr>
          <w:rFonts w:hint="eastAsia" w:ascii="宋体" w:hAnsi="宋体" w:eastAsia="宋体" w:cs="宋体"/>
          <w:b/>
          <w:bCs/>
          <w:color w:val="auto"/>
          <w:spacing w:val="0"/>
          <w:sz w:val="30"/>
          <w:szCs w:val="30"/>
          <w:highlight w:val="none"/>
        </w:rPr>
      </w:pPr>
      <w:r>
        <w:rPr>
          <w:rFonts w:hint="eastAsia" w:ascii="宋体" w:hAnsi="宋体" w:eastAsia="宋体" w:cs="宋体"/>
          <w:b/>
          <w:bCs/>
          <w:color w:val="auto"/>
          <w:spacing w:val="0"/>
          <w:sz w:val="30"/>
          <w:szCs w:val="30"/>
          <w:highlight w:val="none"/>
        </w:rPr>
        <w:br w:type="page"/>
      </w:r>
    </w:p>
    <w:p w14:paraId="6C62DB67">
      <w:pPr>
        <w:keepNext w:val="0"/>
        <w:keepLines w:val="0"/>
        <w:pageBreakBefore w:val="0"/>
        <w:wordWrap w:val="0"/>
        <w:overflowPunct/>
        <w:topLinePunct w:val="0"/>
        <w:bidi w:val="0"/>
        <w:spacing w:before="98" w:line="221" w:lineRule="auto"/>
        <w:ind w:left="4248"/>
        <w:outlineLvl w:val="9"/>
        <w:rPr>
          <w:rFonts w:hint="eastAsia" w:ascii="宋体" w:hAnsi="宋体" w:eastAsia="宋体" w:cs="宋体"/>
          <w:b/>
          <w:bCs/>
          <w:color w:val="auto"/>
          <w:spacing w:val="0"/>
          <w:sz w:val="30"/>
          <w:szCs w:val="30"/>
          <w:highlight w:val="none"/>
        </w:rPr>
      </w:pPr>
      <w:r>
        <w:rPr>
          <w:rFonts w:hint="eastAsia" w:ascii="宋体" w:hAnsi="宋体" w:eastAsia="宋体" w:cs="宋体"/>
          <w:b/>
          <w:bCs/>
          <w:color w:val="auto"/>
          <w:spacing w:val="0"/>
          <w:sz w:val="30"/>
          <w:szCs w:val="30"/>
          <w:highlight w:val="none"/>
        </w:rPr>
        <w:t>综合评分表</w:t>
      </w:r>
      <w:bookmarkEnd w:id="85"/>
      <w:bookmarkEnd w:id="86"/>
      <w:bookmarkEnd w:id="87"/>
    </w:p>
    <w:tbl>
      <w:tblPr>
        <w:tblStyle w:val="17"/>
        <w:tblW w:w="10307" w:type="dxa"/>
        <w:jc w:val="center"/>
        <w:tblLayout w:type="fixed"/>
        <w:tblCellMar>
          <w:top w:w="0" w:type="dxa"/>
          <w:left w:w="108" w:type="dxa"/>
          <w:bottom w:w="0" w:type="dxa"/>
          <w:right w:w="108" w:type="dxa"/>
        </w:tblCellMar>
      </w:tblPr>
      <w:tblGrid>
        <w:gridCol w:w="1216"/>
        <w:gridCol w:w="3733"/>
        <w:gridCol w:w="5358"/>
      </w:tblGrid>
      <w:tr w14:paraId="3A11EBAA">
        <w:tblPrEx>
          <w:tblCellMar>
            <w:top w:w="0" w:type="dxa"/>
            <w:left w:w="108" w:type="dxa"/>
            <w:bottom w:w="0" w:type="dxa"/>
            <w:right w:w="108" w:type="dxa"/>
          </w:tblCellMar>
        </w:tblPrEx>
        <w:trPr>
          <w:trHeight w:val="587" w:hRule="exact"/>
          <w:jc w:val="center"/>
        </w:trPr>
        <w:tc>
          <w:tcPr>
            <w:tcW w:w="10307"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14:paraId="28B1DA57">
            <w:pPr>
              <w:widowControl w:val="0"/>
              <w:tabs>
                <w:tab w:val="left" w:pos="1354"/>
                <w:tab w:val="left" w:pos="1459"/>
                <w:tab w:val="center" w:pos="3902"/>
                <w:tab w:val="right" w:pos="7805"/>
              </w:tabs>
              <w:wordWrap w:val="0"/>
              <w:spacing w:after="0" w:line="240" w:lineRule="auto"/>
              <w:jc w:val="both"/>
              <w:rPr>
                <w:rFonts w:hint="eastAsia" w:asciiTheme="minorEastAsia" w:hAnsiTheme="minorEastAsia" w:eastAsiaTheme="minorEastAsia" w:cstheme="minorEastAsia"/>
                <w:snapToGrid w:val="0"/>
                <w:kern w:val="0"/>
                <w:sz w:val="21"/>
                <w:szCs w:val="21"/>
                <w:highlight w:val="none"/>
                <w:lang w:val="en-US" w:eastAsia="zh-CN" w:bidi="ar-SA"/>
              </w:rPr>
            </w:pPr>
            <w:r>
              <w:rPr>
                <w:rFonts w:hint="eastAsia" w:asciiTheme="minorEastAsia" w:hAnsiTheme="minorEastAsia" w:eastAsiaTheme="minorEastAsia" w:cstheme="minorEastAsia"/>
                <w:b/>
                <w:bCs/>
                <w:snapToGrid w:val="0"/>
                <w:kern w:val="0"/>
                <w:sz w:val="24"/>
                <w:szCs w:val="24"/>
                <w:highlight w:val="none"/>
                <w:lang w:val="en-US" w:eastAsia="zh-CN" w:bidi="ar-SA"/>
              </w:rPr>
              <w:t>商务部分，满分：</w:t>
            </w:r>
            <w:r>
              <w:rPr>
                <w:rFonts w:hint="eastAsia" w:asciiTheme="minorEastAsia" w:hAnsiTheme="minorEastAsia" w:eastAsiaTheme="minorEastAsia" w:cstheme="minorEastAsia"/>
                <w:b/>
                <w:bCs/>
                <w:snapToGrid w:val="0"/>
                <w:kern w:val="0"/>
                <w:sz w:val="24"/>
                <w:szCs w:val="24"/>
                <w:highlight w:val="none"/>
                <w:u w:val="single"/>
                <w:lang w:val="en-US" w:eastAsia="zh-CN" w:bidi="ar-SA"/>
              </w:rPr>
              <w:t xml:space="preserve">  80  </w:t>
            </w:r>
            <w:r>
              <w:rPr>
                <w:rFonts w:hint="eastAsia" w:asciiTheme="minorEastAsia" w:hAnsiTheme="minorEastAsia" w:eastAsiaTheme="minorEastAsia" w:cstheme="minorEastAsia"/>
                <w:b/>
                <w:bCs/>
                <w:snapToGrid w:val="0"/>
                <w:kern w:val="0"/>
                <w:sz w:val="24"/>
                <w:szCs w:val="24"/>
                <w:highlight w:val="none"/>
                <w:lang w:val="en-US" w:eastAsia="zh-CN" w:bidi="ar-SA"/>
              </w:rPr>
              <w:t>分。</w:t>
            </w:r>
          </w:p>
        </w:tc>
      </w:tr>
      <w:tr w14:paraId="12372085">
        <w:tblPrEx>
          <w:tblCellMar>
            <w:top w:w="0" w:type="dxa"/>
            <w:left w:w="108" w:type="dxa"/>
            <w:bottom w:w="0" w:type="dxa"/>
            <w:right w:w="108" w:type="dxa"/>
          </w:tblCellMar>
        </w:tblPrEx>
        <w:trPr>
          <w:trHeight w:val="583"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1630ABC1">
            <w:pPr>
              <w:widowControl w:val="0"/>
              <w:tabs>
                <w:tab w:val="left" w:pos="1354"/>
                <w:tab w:val="left" w:pos="1459"/>
                <w:tab w:val="center" w:pos="3902"/>
                <w:tab w:val="right" w:pos="7805"/>
              </w:tabs>
              <w:wordWrap w:val="0"/>
              <w:adjustRightInd w:val="0"/>
              <w:spacing w:after="0" w:line="240" w:lineRule="auto"/>
              <w:jc w:val="center"/>
              <w:rPr>
                <w:rFonts w:hint="eastAsia" w:asciiTheme="minorEastAsia" w:hAnsiTheme="minorEastAsia" w:eastAsiaTheme="minorEastAsia" w:cstheme="minorEastAsia"/>
                <w:snapToGrid w:val="0"/>
                <w:kern w:val="0"/>
                <w:sz w:val="21"/>
                <w:szCs w:val="21"/>
                <w:highlight w:val="none"/>
                <w:lang w:val="en-US" w:eastAsia="zh-CN" w:bidi="ar-SA"/>
              </w:rPr>
            </w:pPr>
            <w:r>
              <w:rPr>
                <w:rFonts w:hint="eastAsia" w:asciiTheme="minorEastAsia" w:hAnsiTheme="minorEastAsia" w:eastAsiaTheme="minorEastAsia" w:cstheme="minorEastAsia"/>
                <w:snapToGrid w:val="0"/>
                <w:kern w:val="0"/>
                <w:sz w:val="21"/>
                <w:szCs w:val="21"/>
                <w:highlight w:val="none"/>
                <w:lang w:val="en-US" w:eastAsia="zh-CN" w:bidi="ar-SA"/>
              </w:rPr>
              <w:t>评分因素</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6B1D403E">
            <w:pPr>
              <w:widowControl w:val="0"/>
              <w:tabs>
                <w:tab w:val="left" w:pos="1354"/>
                <w:tab w:val="left" w:pos="1459"/>
                <w:tab w:val="center" w:pos="3902"/>
                <w:tab w:val="right" w:pos="7805"/>
              </w:tabs>
              <w:wordWrap w:val="0"/>
              <w:adjustRightInd w:val="0"/>
              <w:spacing w:after="0" w:line="240" w:lineRule="auto"/>
              <w:jc w:val="center"/>
              <w:rPr>
                <w:rFonts w:hint="eastAsia" w:asciiTheme="minorEastAsia" w:hAnsiTheme="minorEastAsia" w:eastAsiaTheme="minorEastAsia" w:cstheme="minorEastAsia"/>
                <w:snapToGrid w:val="0"/>
                <w:kern w:val="0"/>
                <w:sz w:val="21"/>
                <w:szCs w:val="21"/>
                <w:highlight w:val="none"/>
                <w:lang w:val="en-US" w:eastAsia="zh-CN" w:bidi="ar-SA"/>
              </w:rPr>
            </w:pPr>
            <w:r>
              <w:rPr>
                <w:rFonts w:hint="eastAsia" w:asciiTheme="minorEastAsia" w:hAnsiTheme="minorEastAsia" w:eastAsiaTheme="minorEastAsia" w:cstheme="minorEastAsia"/>
                <w:snapToGrid w:val="0"/>
                <w:kern w:val="0"/>
                <w:sz w:val="21"/>
                <w:szCs w:val="21"/>
                <w:highlight w:val="none"/>
                <w:lang w:val="en-US" w:eastAsia="zh-CN" w:bidi="ar-SA"/>
              </w:rPr>
              <w:t>评分标准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5BCE2DCE">
            <w:pPr>
              <w:widowControl w:val="0"/>
              <w:tabs>
                <w:tab w:val="left" w:pos="1354"/>
                <w:tab w:val="left" w:pos="1459"/>
                <w:tab w:val="center" w:pos="3902"/>
                <w:tab w:val="right" w:pos="7805"/>
              </w:tabs>
              <w:wordWrap w:val="0"/>
              <w:adjustRightInd w:val="0"/>
              <w:spacing w:after="0" w:line="240" w:lineRule="auto"/>
              <w:jc w:val="center"/>
              <w:rPr>
                <w:rFonts w:hint="eastAsia" w:asciiTheme="minorEastAsia" w:hAnsiTheme="minorEastAsia" w:eastAsiaTheme="minorEastAsia" w:cstheme="minorEastAsia"/>
                <w:snapToGrid w:val="0"/>
                <w:kern w:val="0"/>
                <w:sz w:val="21"/>
                <w:szCs w:val="21"/>
                <w:highlight w:val="none"/>
                <w:lang w:val="en-US" w:eastAsia="zh-CN" w:bidi="ar-SA"/>
              </w:rPr>
            </w:pPr>
            <w:r>
              <w:rPr>
                <w:rFonts w:hint="eastAsia" w:asciiTheme="minorEastAsia" w:hAnsiTheme="minorEastAsia" w:eastAsiaTheme="minorEastAsia" w:cstheme="minorEastAsia"/>
                <w:snapToGrid w:val="0"/>
                <w:kern w:val="0"/>
                <w:sz w:val="21"/>
                <w:szCs w:val="21"/>
                <w:highlight w:val="none"/>
                <w:lang w:val="en-US" w:eastAsia="zh-CN" w:bidi="ar-SA"/>
              </w:rPr>
              <w:t>备注</w:t>
            </w:r>
          </w:p>
        </w:tc>
      </w:tr>
      <w:tr w14:paraId="55F368F5">
        <w:tblPrEx>
          <w:tblCellMar>
            <w:top w:w="0" w:type="dxa"/>
            <w:left w:w="108" w:type="dxa"/>
            <w:bottom w:w="0" w:type="dxa"/>
            <w:right w:w="108" w:type="dxa"/>
          </w:tblCellMar>
        </w:tblPrEx>
        <w:trPr>
          <w:trHeight w:val="8334"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B07DA46">
            <w:pPr>
              <w:pStyle w:val="8"/>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企业奖项 (10分)</w:t>
            </w:r>
          </w:p>
          <w:p w14:paraId="55C58B16">
            <w:pPr>
              <w:pStyle w:val="8"/>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b/>
                <w:bCs/>
                <w:caps w:val="0"/>
                <w:smallCaps w:val="0"/>
                <w:snapToGrid w:val="0"/>
                <w:color w:val="auto"/>
                <w:spacing w:val="0"/>
                <w:kern w:val="0"/>
                <w:sz w:val="24"/>
                <w:szCs w:val="24"/>
                <w:highlight w:val="none"/>
                <w:lang w:val="en-US" w:eastAsia="zh-CN"/>
              </w:rPr>
              <w:t>（联合体任意一方提供）</w:t>
            </w:r>
          </w:p>
          <w:p w14:paraId="34BB37CB">
            <w:pPr>
              <w:pStyle w:val="8"/>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Theme="minorEastAsia" w:hAnsiTheme="minorEastAsia" w:eastAsiaTheme="minorEastAsia" w:cstheme="minorEastAsia"/>
                <w:snapToGrid w:val="0"/>
                <w:color w:val="auto"/>
                <w:kern w:val="0"/>
                <w:sz w:val="21"/>
                <w:szCs w:val="21"/>
                <w:highlight w:val="none"/>
                <w:lang w:eastAsia="zh-CN"/>
              </w:rPr>
            </w:pPr>
          </w:p>
        </w:tc>
        <w:tc>
          <w:tcPr>
            <w:tcW w:w="3733" w:type="dxa"/>
            <w:tcBorders>
              <w:top w:val="single" w:color="auto" w:sz="4" w:space="0"/>
              <w:left w:val="single" w:color="auto" w:sz="4" w:space="0"/>
              <w:bottom w:val="single" w:color="auto" w:sz="4" w:space="0"/>
              <w:right w:val="single" w:color="auto" w:sz="4" w:space="0"/>
            </w:tcBorders>
            <w:noWrap w:val="0"/>
            <w:vAlign w:val="center"/>
          </w:tcPr>
          <w:p w14:paraId="77E697FA">
            <w:pPr>
              <w:pStyle w:val="8"/>
              <w:wordWrap w:val="0"/>
              <w:spacing w:before="0" w:beforeAutospacing="0" w:after="0" w:line="4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highlight w:val="none"/>
              </w:rPr>
              <w:t>企业近年来（</w:t>
            </w:r>
            <w:r>
              <w:rPr>
                <w:rFonts w:hint="eastAsia" w:ascii="宋体" w:hAnsi="宋体" w:eastAsia="宋体" w:cs="宋体"/>
                <w:color w:val="auto"/>
                <w:kern w:val="0"/>
                <w:sz w:val="24"/>
                <w:szCs w:val="24"/>
                <w:highlight w:val="none"/>
                <w:lang w:val="en-US" w:eastAsia="zh-CN"/>
              </w:rPr>
              <w:t>2022</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日至</w:t>
            </w:r>
            <w:r>
              <w:rPr>
                <w:rFonts w:hint="eastAsia" w:ascii="宋体" w:hAnsi="宋体" w:eastAsia="宋体" w:cs="宋体"/>
                <w:color w:val="auto"/>
                <w:kern w:val="0"/>
                <w:sz w:val="24"/>
                <w:szCs w:val="24"/>
                <w:highlight w:val="none"/>
                <w:lang w:val="en-US" w:eastAsia="zh-CN"/>
              </w:rPr>
              <w:t>今</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rPr>
              <w:t>获得</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u w:val="single"/>
                <w:lang w:val="en-US" w:eastAsia="zh-CN"/>
              </w:rPr>
              <w:t>市政</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工程类奖项情况：      </w:t>
            </w:r>
          </w:p>
          <w:p w14:paraId="7BAF5633">
            <w:pPr>
              <w:pStyle w:val="8"/>
              <w:wordWrap w:val="0"/>
              <w:spacing w:before="0" w:beforeAutospacing="0" w:after="0" w:line="4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1．获得国家级奖项的，每个得</w:t>
            </w:r>
            <w:r>
              <w:rPr>
                <w:rFonts w:hint="eastAsia" w:ascii="宋体" w:hAnsi="宋体" w:eastAsia="宋体" w:cs="宋体"/>
                <w:color w:val="auto"/>
                <w:kern w:val="0"/>
                <w:sz w:val="24"/>
                <w:szCs w:val="24"/>
                <w:u w:val="single"/>
              </w:rPr>
              <w:t xml:space="preserve"> 8 </w:t>
            </w:r>
            <w:r>
              <w:rPr>
                <w:rFonts w:hint="eastAsia" w:ascii="宋体" w:hAnsi="宋体" w:eastAsia="宋体" w:cs="宋体"/>
                <w:color w:val="auto"/>
                <w:kern w:val="0"/>
                <w:sz w:val="24"/>
                <w:szCs w:val="24"/>
              </w:rPr>
              <w:t>分。</w:t>
            </w:r>
          </w:p>
          <w:p w14:paraId="2375D154">
            <w:pPr>
              <w:pStyle w:val="8"/>
              <w:wordWrap w:val="0"/>
              <w:spacing w:before="0" w:beforeAutospacing="0" w:after="0" w:line="4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2．获得省级奖项的，每</w:t>
            </w:r>
            <w:r>
              <w:rPr>
                <w:rFonts w:hint="eastAsia" w:ascii="宋体" w:hAnsi="宋体" w:eastAsia="宋体" w:cs="宋体"/>
                <w:color w:val="auto"/>
                <w:kern w:val="0"/>
                <w:sz w:val="24"/>
                <w:szCs w:val="24"/>
                <w:u w:val="single"/>
              </w:rPr>
              <w:t xml:space="preserve">个得 </w:t>
            </w:r>
            <w:r>
              <w:rPr>
                <w:rFonts w:hint="eastAsia" w:ascii="宋体" w:hAnsi="宋体" w:eastAsia="宋体" w:cs="宋体"/>
                <w:color w:val="auto"/>
                <w:kern w:val="0"/>
                <w:sz w:val="24"/>
                <w:szCs w:val="24"/>
                <w:u w:val="single"/>
                <w:lang w:val="en-US" w:eastAsia="zh-CN"/>
              </w:rPr>
              <w:t>6</w:t>
            </w:r>
            <w:r>
              <w:rPr>
                <w:rFonts w:hint="eastAsia" w:ascii="宋体" w:hAnsi="宋体" w:eastAsia="宋体" w:cs="宋体"/>
                <w:color w:val="auto"/>
                <w:kern w:val="0"/>
                <w:sz w:val="24"/>
                <w:szCs w:val="24"/>
                <w:u w:val="single"/>
              </w:rPr>
              <w:t xml:space="preserve"> 分</w:t>
            </w:r>
            <w:r>
              <w:rPr>
                <w:rFonts w:hint="eastAsia" w:ascii="宋体" w:hAnsi="宋体" w:eastAsia="宋体" w:cs="宋体"/>
                <w:color w:val="auto"/>
                <w:kern w:val="0"/>
                <w:sz w:val="24"/>
                <w:szCs w:val="24"/>
              </w:rPr>
              <w:t>。</w:t>
            </w:r>
          </w:p>
          <w:p w14:paraId="3BAC022C">
            <w:pPr>
              <w:pStyle w:val="8"/>
              <w:wordWrap w:val="0"/>
              <w:spacing w:before="0" w:beforeAutospacing="0" w:after="0" w:line="4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3．获得地市级奖项的，每个</w:t>
            </w:r>
            <w:r>
              <w:rPr>
                <w:rFonts w:hint="eastAsia" w:ascii="宋体" w:hAnsi="宋体" w:eastAsia="宋体" w:cs="宋体"/>
                <w:color w:val="auto"/>
                <w:kern w:val="0"/>
                <w:sz w:val="24"/>
                <w:szCs w:val="24"/>
                <w:u w:val="single"/>
              </w:rPr>
              <w:t>得</w:t>
            </w:r>
            <w:r>
              <w:rPr>
                <w:rFonts w:hint="eastAsia" w:ascii="宋体" w:hAnsi="宋体" w:eastAsia="宋体" w:cs="宋体"/>
                <w:color w:val="auto"/>
                <w:kern w:val="0"/>
                <w:sz w:val="24"/>
                <w:szCs w:val="24"/>
                <w:u w:val="single"/>
                <w:lang w:val="en-US" w:eastAsia="zh-CN"/>
              </w:rPr>
              <w:t xml:space="preserve"> 4</w:t>
            </w:r>
            <w:r>
              <w:rPr>
                <w:rFonts w:hint="eastAsia" w:ascii="宋体" w:hAnsi="宋体" w:eastAsia="宋体" w:cs="宋体"/>
                <w:color w:val="auto"/>
                <w:kern w:val="0"/>
                <w:sz w:val="24"/>
                <w:szCs w:val="24"/>
                <w:u w:val="single"/>
              </w:rPr>
              <w:t xml:space="preserve"> 分</w:t>
            </w:r>
            <w:r>
              <w:rPr>
                <w:rFonts w:hint="eastAsia" w:ascii="宋体" w:hAnsi="宋体" w:eastAsia="宋体" w:cs="宋体"/>
                <w:color w:val="auto"/>
                <w:kern w:val="0"/>
                <w:sz w:val="24"/>
                <w:szCs w:val="24"/>
              </w:rPr>
              <w:t>。</w:t>
            </w:r>
          </w:p>
          <w:p w14:paraId="5BAD2BE0">
            <w:pPr>
              <w:pStyle w:val="8"/>
              <w:wordWrap w:val="0"/>
              <w:spacing w:before="0" w:beforeAutospacing="0" w:after="0" w:line="4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4．以上奖项均未获得的，不予计分。</w:t>
            </w:r>
          </w:p>
          <w:p w14:paraId="3D8B3F16">
            <w:pPr>
              <w:pStyle w:val="8"/>
              <w:wordWrap w:val="0"/>
              <w:spacing w:before="0" w:beforeAutospacing="0" w:after="0" w:line="4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5．本项最高得10分。</w:t>
            </w:r>
          </w:p>
          <w:p w14:paraId="7C01FC0D">
            <w:pPr>
              <w:pStyle w:val="8"/>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宋体" w:hAnsi="宋体" w:eastAsia="宋体" w:cs="宋体"/>
                <w:snapToGrid w:val="0"/>
                <w:color w:val="auto"/>
                <w:kern w:val="0"/>
                <w:sz w:val="24"/>
                <w:szCs w:val="24"/>
                <w:highlight w:val="none"/>
                <w:lang w:eastAsia="zh-CN"/>
              </w:rPr>
            </w:pPr>
          </w:p>
        </w:tc>
        <w:tc>
          <w:tcPr>
            <w:tcW w:w="5358" w:type="dxa"/>
            <w:tcBorders>
              <w:top w:val="single" w:color="auto" w:sz="4" w:space="0"/>
              <w:left w:val="single" w:color="auto" w:sz="4" w:space="0"/>
              <w:bottom w:val="single" w:color="auto" w:sz="4" w:space="0"/>
              <w:right w:val="single" w:color="auto" w:sz="4" w:space="0"/>
            </w:tcBorders>
            <w:noWrap w:val="0"/>
            <w:vAlign w:val="center"/>
          </w:tcPr>
          <w:p w14:paraId="558E1C34">
            <w:pPr>
              <w:widowControl/>
              <w:spacing w:beforeAutospacing="0" w:after="0" w:afterAutospacing="0"/>
              <w:ind w:lef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kern w:val="0"/>
                <w:sz w:val="24"/>
                <w:szCs w:val="24"/>
                <w:highlight w:val="none"/>
                <w:u w:val="none"/>
                <w:lang w:val="en-US" w:eastAsia="zh-CN" w:bidi="ar"/>
              </w:rPr>
              <w:t>1.允许投标人提交多个业绩，但同一业绩只按最高级别奖项计分一次。</w:t>
            </w:r>
          </w:p>
          <w:p w14:paraId="78315A60">
            <w:pPr>
              <w:widowControl/>
              <w:spacing w:beforeAutospacing="0" w:after="0" w:afterAutospacing="0"/>
              <w:ind w:lef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kern w:val="0"/>
                <w:sz w:val="24"/>
                <w:szCs w:val="24"/>
                <w:highlight w:val="none"/>
                <w:u w:val="none"/>
                <w:lang w:val="en-US" w:eastAsia="zh-CN" w:bidi="ar"/>
              </w:rPr>
              <w:t>2.需附有关奖项证明扫描件，</w:t>
            </w:r>
            <w:r>
              <w:rPr>
                <w:rFonts w:hint="eastAsia" w:ascii="宋体" w:hAnsi="宋体" w:eastAsia="宋体" w:cs="宋体"/>
                <w:b/>
                <w:i w:val="0"/>
                <w:caps w:val="0"/>
                <w:color w:val="auto"/>
                <w:spacing w:val="0"/>
                <w:kern w:val="0"/>
                <w:sz w:val="24"/>
                <w:szCs w:val="24"/>
                <w:highlight w:val="none"/>
                <w:u w:val="none"/>
                <w:lang w:val="en-US" w:eastAsia="zh-CN" w:bidi="ar"/>
              </w:rPr>
              <w:t>同时提供原件核查。</w:t>
            </w:r>
          </w:p>
          <w:p w14:paraId="1084D69D">
            <w:pPr>
              <w:widowControl/>
              <w:spacing w:beforeAutospacing="0" w:after="0" w:afterAutospacing="0"/>
              <w:ind w:lef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kern w:val="0"/>
                <w:sz w:val="24"/>
                <w:szCs w:val="24"/>
                <w:highlight w:val="none"/>
                <w:u w:val="none"/>
                <w:lang w:val="en-US" w:eastAsia="zh-CN" w:bidi="ar"/>
              </w:rPr>
              <w:t>3.颁发机构限定以下范围：</w:t>
            </w:r>
          </w:p>
          <w:p w14:paraId="0E6AAB8B">
            <w:pPr>
              <w:pStyle w:val="15"/>
              <w:widowControl/>
              <w:spacing w:beforeAutospacing="0" w:after="90" w:afterAutospacing="0" w:line="216" w:lineRule="atLeast"/>
              <w:ind w:left="0" w:righ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sz w:val="24"/>
                <w:szCs w:val="24"/>
                <w:highlight w:val="none"/>
                <w:u w:val="none"/>
              </w:rPr>
              <w:t>①国家级奖项：</w:t>
            </w:r>
            <w:r>
              <w:rPr>
                <w:rFonts w:hint="eastAsia" w:ascii="宋体" w:hAnsi="宋体" w:eastAsia="宋体" w:cs="宋体"/>
                <w:i w:val="0"/>
                <w:caps w:val="0"/>
                <w:color w:val="auto"/>
                <w:spacing w:val="0"/>
                <w:sz w:val="24"/>
                <w:szCs w:val="24"/>
                <w:highlight w:val="none"/>
                <w:u w:val="single"/>
              </w:rPr>
              <w:t>国务院、住建部、国家级建筑行业协会、国家级市政类行业协会；（相关协会需经民政部门备案）；</w:t>
            </w:r>
          </w:p>
          <w:p w14:paraId="2FFC06E5">
            <w:pPr>
              <w:pStyle w:val="15"/>
              <w:widowControl/>
              <w:spacing w:beforeAutospacing="0" w:after="90" w:afterAutospacing="0" w:line="216" w:lineRule="atLeast"/>
              <w:ind w:left="0" w:righ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sz w:val="24"/>
                <w:szCs w:val="24"/>
                <w:highlight w:val="none"/>
                <w:u w:val="none"/>
              </w:rPr>
              <w:t>②省级奖项：</w:t>
            </w:r>
            <w:r>
              <w:rPr>
                <w:rFonts w:hint="eastAsia" w:ascii="宋体" w:hAnsi="宋体" w:eastAsia="宋体" w:cs="宋体"/>
                <w:i w:val="0"/>
                <w:caps w:val="0"/>
                <w:color w:val="auto"/>
                <w:spacing w:val="0"/>
                <w:sz w:val="24"/>
                <w:szCs w:val="24"/>
                <w:highlight w:val="none"/>
                <w:u w:val="single"/>
              </w:rPr>
              <w:t>省级人民政府、省级住建部门、省级建筑行业协会、省级市政类行业协会；（相关协会需经民政部门备案）；</w:t>
            </w:r>
          </w:p>
          <w:p w14:paraId="7FC33AEE">
            <w:pPr>
              <w:pStyle w:val="15"/>
              <w:widowControl/>
              <w:spacing w:beforeAutospacing="0" w:after="90" w:afterAutospacing="0" w:line="216" w:lineRule="atLeast"/>
              <w:ind w:left="0" w:righ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sz w:val="24"/>
                <w:szCs w:val="24"/>
                <w:highlight w:val="none"/>
                <w:u w:val="none"/>
              </w:rPr>
              <w:t>③地市级奖项：</w:t>
            </w:r>
            <w:r>
              <w:rPr>
                <w:rFonts w:hint="eastAsia" w:ascii="宋体" w:hAnsi="宋体" w:eastAsia="宋体" w:cs="宋体"/>
                <w:i w:val="0"/>
                <w:caps w:val="0"/>
                <w:color w:val="auto"/>
                <w:spacing w:val="0"/>
                <w:sz w:val="24"/>
                <w:szCs w:val="24"/>
                <w:highlight w:val="none"/>
                <w:u w:val="single"/>
              </w:rPr>
              <w:t>地市级人民政府、地市级住建部门、市级建筑行业协会、市级市政类行业协会。（相关协会需经民政部门备案）。</w:t>
            </w:r>
          </w:p>
          <w:p w14:paraId="0E9B74B9">
            <w:pPr>
              <w:widowControl/>
              <w:spacing w:beforeAutospacing="0" w:after="0" w:afterAutospacing="0"/>
              <w:ind w:lef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kern w:val="0"/>
                <w:sz w:val="24"/>
                <w:szCs w:val="24"/>
                <w:highlight w:val="none"/>
                <w:u w:val="none"/>
                <w:lang w:val="en-US" w:eastAsia="zh-CN" w:bidi="ar"/>
              </w:rPr>
              <w:t>4.获奖时间以奖项证明的落款日期为准。</w:t>
            </w:r>
          </w:p>
          <w:p w14:paraId="42F17670">
            <w:pPr>
              <w:pStyle w:val="15"/>
              <w:widowControl/>
              <w:spacing w:beforeAutospacing="0" w:after="0" w:afterAutospacing="0" w:line="216" w:lineRule="atLeast"/>
              <w:ind w:left="0" w:righ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sz w:val="24"/>
                <w:szCs w:val="24"/>
                <w:highlight w:val="none"/>
                <w:u w:val="none"/>
              </w:rPr>
              <w:t>5．任一奖项有以下情形之一的，该奖项视为无效，不予计分：</w:t>
            </w:r>
          </w:p>
          <w:p w14:paraId="1257DD4A">
            <w:pPr>
              <w:pStyle w:val="15"/>
              <w:widowControl/>
              <w:spacing w:beforeAutospacing="0" w:after="0" w:afterAutospacing="0" w:line="216" w:lineRule="atLeast"/>
              <w:ind w:left="0" w:righ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sz w:val="24"/>
                <w:szCs w:val="24"/>
                <w:highlight w:val="none"/>
                <w:u w:val="none"/>
              </w:rPr>
              <w:t>①奖项不属于指定类别的；</w:t>
            </w:r>
          </w:p>
          <w:p w14:paraId="264731BA">
            <w:pPr>
              <w:pStyle w:val="15"/>
              <w:widowControl/>
              <w:spacing w:beforeAutospacing="0" w:after="0" w:afterAutospacing="0" w:line="216" w:lineRule="atLeast"/>
              <w:ind w:left="0" w:righ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sz w:val="24"/>
                <w:szCs w:val="24"/>
                <w:highlight w:val="none"/>
                <w:u w:val="none"/>
              </w:rPr>
              <w:t>②颁发机构不符合要求的；</w:t>
            </w:r>
          </w:p>
          <w:p w14:paraId="51CA13DD">
            <w:pPr>
              <w:pStyle w:val="15"/>
              <w:widowControl/>
              <w:spacing w:beforeAutospacing="0" w:after="0" w:afterAutospacing="0" w:line="216" w:lineRule="atLeast"/>
              <w:ind w:left="0" w:righ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sz w:val="24"/>
                <w:szCs w:val="24"/>
                <w:highlight w:val="none"/>
                <w:u w:val="none"/>
              </w:rPr>
              <w:t>③获奖时间不符合要求的；</w:t>
            </w:r>
          </w:p>
          <w:p w14:paraId="454530E0">
            <w:pPr>
              <w:pStyle w:val="15"/>
              <w:widowControl/>
              <w:spacing w:beforeAutospacing="0" w:after="0" w:afterAutospacing="0" w:line="216" w:lineRule="atLeast"/>
              <w:ind w:left="0" w:righ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sz w:val="24"/>
                <w:szCs w:val="24"/>
                <w:highlight w:val="none"/>
                <w:u w:val="none"/>
              </w:rPr>
              <w:t>④未提供奖项证明材料原件的。</w:t>
            </w:r>
          </w:p>
          <w:p w14:paraId="15711772">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Autospacing="0" w:line="400" w:lineRule="exact"/>
              <w:ind w:left="0" w:leftChars="0" w:right="0" w:rightChars="0"/>
              <w:jc w:val="both"/>
              <w:textAlignment w:val="auto"/>
              <w:rPr>
                <w:rFonts w:hint="eastAsia" w:ascii="宋体" w:hAnsi="宋体" w:eastAsia="宋体" w:cs="宋体"/>
                <w:b/>
                <w:bCs/>
                <w:snapToGrid w:val="0"/>
                <w:color w:val="auto"/>
                <w:kern w:val="0"/>
                <w:sz w:val="24"/>
                <w:szCs w:val="24"/>
                <w:highlight w:val="none"/>
                <w:lang w:eastAsia="zh-CN"/>
              </w:rPr>
            </w:pPr>
          </w:p>
        </w:tc>
      </w:tr>
      <w:tr w14:paraId="2069B978">
        <w:tblPrEx>
          <w:tblCellMar>
            <w:top w:w="0" w:type="dxa"/>
            <w:left w:w="108" w:type="dxa"/>
            <w:bottom w:w="0" w:type="dxa"/>
            <w:right w:w="108" w:type="dxa"/>
          </w:tblCellMar>
        </w:tblPrEx>
        <w:trPr>
          <w:trHeight w:val="3901"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7C883546">
            <w:pPr>
              <w:pStyle w:val="8"/>
              <w:keepNext w:val="0"/>
              <w:keepLines w:val="0"/>
              <w:pageBreakBefore w:val="0"/>
              <w:kinsoku/>
              <w:wordWrap w:val="0"/>
              <w:overflowPunct/>
              <w:topLinePunct w:val="0"/>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项目经理</w:t>
            </w:r>
          </w:p>
          <w:p w14:paraId="2849C443">
            <w:pPr>
              <w:pStyle w:val="8"/>
              <w:keepNext w:val="0"/>
              <w:keepLines w:val="0"/>
              <w:pageBreakBefore w:val="0"/>
              <w:kinsoku/>
              <w:wordWrap w:val="0"/>
              <w:overflowPunct/>
              <w:topLinePunct w:val="0"/>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综合素质</w:t>
            </w:r>
          </w:p>
          <w:p w14:paraId="3215C138">
            <w:pPr>
              <w:pStyle w:val="8"/>
              <w:keepNext w:val="0"/>
              <w:keepLines w:val="0"/>
              <w:pageBreakBefore w:val="0"/>
              <w:kinsoku/>
              <w:wordWrap w:val="0"/>
              <w:overflowPunct/>
              <w:topLinePunct w:val="0"/>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分）</w:t>
            </w:r>
          </w:p>
          <w:p w14:paraId="41EF3207">
            <w:pPr>
              <w:pStyle w:val="8"/>
              <w:keepNext w:val="0"/>
              <w:keepLines w:val="0"/>
              <w:pageBreakBefore w:val="0"/>
              <w:kinsoku/>
              <w:wordWrap w:val="0"/>
              <w:overflowPunct/>
              <w:topLinePunct w:val="0"/>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val="en-US" w:eastAsia="zh-CN"/>
              </w:rPr>
              <w:t>（联合牵头人提供）</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49D0D025">
            <w:pPr>
              <w:pStyle w:val="8"/>
              <w:keepNext w:val="0"/>
              <w:keepLines w:val="0"/>
              <w:pageBreakBefore w:val="0"/>
              <w:kinsoku/>
              <w:wordWrap w:val="0"/>
              <w:overflowPunct/>
              <w:topLinePunct w:val="0"/>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项目经理工程类技术职称情况：</w:t>
            </w:r>
          </w:p>
          <w:p w14:paraId="61A29185">
            <w:pPr>
              <w:pStyle w:val="8"/>
              <w:keepNext w:val="0"/>
              <w:keepLines w:val="0"/>
              <w:pageBreakBefore w:val="0"/>
              <w:kinsoku/>
              <w:wordWrap w:val="0"/>
              <w:overflowPunct/>
              <w:topLinePunct w:val="0"/>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具备</w:t>
            </w:r>
            <w:r>
              <w:rPr>
                <w:rFonts w:hint="eastAsia" w:ascii="宋体" w:hAnsi="宋体" w:eastAsia="宋体" w:cs="宋体"/>
                <w:snapToGrid w:val="0"/>
                <w:color w:val="auto"/>
                <w:kern w:val="0"/>
                <w:sz w:val="24"/>
                <w:szCs w:val="24"/>
                <w:highlight w:val="none"/>
                <w:lang w:val="en-US" w:eastAsia="zh-CN"/>
              </w:rPr>
              <w:t>工程师或以上职称的，</w:t>
            </w:r>
            <w:r>
              <w:rPr>
                <w:rFonts w:hint="eastAsia" w:ascii="宋体" w:hAnsi="宋体" w:eastAsia="宋体" w:cs="宋体"/>
                <w:snapToGrid w:val="0"/>
                <w:color w:val="auto"/>
                <w:kern w:val="0"/>
                <w:sz w:val="24"/>
                <w:szCs w:val="24"/>
                <w:highlight w:val="none"/>
              </w:rPr>
              <w:t>得</w:t>
            </w:r>
            <w:r>
              <w:rPr>
                <w:rFonts w:hint="eastAsia" w:ascii="宋体" w:hAnsi="宋体" w:eastAsia="宋体" w:cs="宋体"/>
                <w:snapToGrid w:val="0"/>
                <w:color w:val="auto"/>
                <w:kern w:val="0"/>
                <w:sz w:val="24"/>
                <w:szCs w:val="24"/>
                <w:highlight w:val="none"/>
                <w:u w:val="single"/>
                <w:lang w:val="en-US" w:eastAsia="zh-CN"/>
              </w:rPr>
              <w:t>10</w:t>
            </w:r>
            <w:r>
              <w:rPr>
                <w:rFonts w:hint="eastAsia" w:ascii="宋体" w:hAnsi="宋体" w:eastAsia="宋体" w:cs="宋体"/>
                <w:snapToGrid w:val="0"/>
                <w:color w:val="auto"/>
                <w:kern w:val="0"/>
                <w:sz w:val="24"/>
                <w:szCs w:val="24"/>
                <w:highlight w:val="none"/>
              </w:rPr>
              <w:t>分。</w:t>
            </w:r>
          </w:p>
          <w:p w14:paraId="0614E915">
            <w:pPr>
              <w:pStyle w:val="8"/>
              <w:keepNext w:val="0"/>
              <w:keepLines w:val="0"/>
              <w:pageBreakBefore w:val="0"/>
              <w:kinsoku/>
              <w:wordWrap w:val="0"/>
              <w:overflowPunct/>
              <w:topLinePunct w:val="0"/>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2.具备助理工程师</w:t>
            </w:r>
            <w:r>
              <w:rPr>
                <w:rFonts w:hint="eastAsia" w:ascii="宋体" w:hAnsi="宋体" w:eastAsia="宋体" w:cs="宋体"/>
                <w:snapToGrid w:val="0"/>
                <w:color w:val="auto"/>
                <w:kern w:val="0"/>
                <w:sz w:val="24"/>
                <w:szCs w:val="24"/>
                <w:highlight w:val="none"/>
              </w:rPr>
              <w:t>职称的，</w:t>
            </w:r>
            <w:r>
              <w:rPr>
                <w:rFonts w:hint="eastAsia" w:ascii="宋体" w:hAnsi="宋体" w:eastAsia="宋体" w:cs="宋体"/>
                <w:snapToGrid w:val="0"/>
                <w:color w:val="auto"/>
                <w:kern w:val="0"/>
                <w:sz w:val="24"/>
                <w:szCs w:val="24"/>
                <w:highlight w:val="none"/>
                <w:lang w:val="en-US" w:eastAsia="zh-CN"/>
              </w:rPr>
              <w:t>得</w:t>
            </w:r>
            <w:r>
              <w:rPr>
                <w:rFonts w:hint="eastAsia" w:ascii="宋体" w:hAnsi="宋体" w:eastAsia="宋体" w:cs="宋体"/>
                <w:snapToGrid w:val="0"/>
                <w:color w:val="auto"/>
                <w:kern w:val="0"/>
                <w:sz w:val="24"/>
                <w:szCs w:val="24"/>
                <w:highlight w:val="none"/>
                <w:u w:val="single"/>
                <w:lang w:val="en-US" w:eastAsia="zh-CN"/>
              </w:rPr>
              <w:t xml:space="preserve"> 5 </w:t>
            </w:r>
            <w:r>
              <w:rPr>
                <w:rFonts w:hint="eastAsia" w:ascii="宋体" w:hAnsi="宋体" w:eastAsia="宋体" w:cs="宋体"/>
                <w:snapToGrid w:val="0"/>
                <w:color w:val="auto"/>
                <w:kern w:val="0"/>
                <w:sz w:val="24"/>
                <w:szCs w:val="24"/>
                <w:highlight w:val="none"/>
                <w:lang w:val="en-US" w:eastAsia="zh-CN"/>
              </w:rPr>
              <w:t>分。</w:t>
            </w:r>
          </w:p>
          <w:p w14:paraId="1827C9FC">
            <w:pPr>
              <w:pStyle w:val="8"/>
              <w:keepNext w:val="0"/>
              <w:keepLines w:val="0"/>
              <w:pageBreakBefore w:val="0"/>
              <w:kinsoku/>
              <w:wordWrap w:val="0"/>
              <w:overflowPunct/>
              <w:topLinePunct w:val="0"/>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不具备以上职称的不予计分。</w:t>
            </w:r>
          </w:p>
          <w:p w14:paraId="6706874D">
            <w:pPr>
              <w:pStyle w:val="8"/>
              <w:keepNext w:val="0"/>
              <w:keepLines w:val="0"/>
              <w:pageBreakBefore w:val="0"/>
              <w:kinsoku/>
              <w:wordWrap w:val="0"/>
              <w:overflowPunct/>
              <w:topLinePunct w:val="0"/>
              <w:autoSpaceDE/>
              <w:autoSpaceDN/>
              <w:bidi w:val="0"/>
              <w:adjustRightInd w:val="0"/>
              <w:snapToGrid w:val="0"/>
              <w:spacing w:after="0" w:line="360" w:lineRule="exact"/>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val="0"/>
                <w:color w:val="auto"/>
                <w:kern w:val="0"/>
                <w:sz w:val="24"/>
                <w:szCs w:val="24"/>
                <w:highlight w:val="none"/>
                <w:lang w:eastAsia="zh-CN"/>
              </w:rPr>
              <w:t>本项</w:t>
            </w:r>
            <w:r>
              <w:rPr>
                <w:rFonts w:hint="eastAsia" w:ascii="宋体" w:hAnsi="宋体" w:eastAsia="宋体" w:cs="宋体"/>
                <w:snapToGrid w:val="0"/>
                <w:color w:val="auto"/>
                <w:kern w:val="0"/>
                <w:sz w:val="24"/>
                <w:szCs w:val="24"/>
                <w:highlight w:val="none"/>
              </w:rPr>
              <w:t>最高得</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76208134">
            <w:pPr>
              <w:pStyle w:val="8"/>
              <w:wordWrap w:val="0"/>
              <w:adjustRightInd w:val="0"/>
              <w:snapToGrid w:val="0"/>
              <w:spacing w:after="0" w:line="400" w:lineRule="exac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需附职称证</w:t>
            </w:r>
            <w:r>
              <w:rPr>
                <w:rFonts w:hint="eastAsia" w:ascii="宋体" w:hAnsi="宋体" w:eastAsia="宋体" w:cs="宋体"/>
                <w:caps w:val="0"/>
                <w:smallCaps w:val="0"/>
                <w:snapToGrid w:val="0"/>
                <w:color w:val="auto"/>
                <w:spacing w:val="0"/>
                <w:kern w:val="0"/>
                <w:sz w:val="24"/>
                <w:szCs w:val="24"/>
                <w:highlight w:val="none"/>
                <w:lang w:val="en-US" w:eastAsia="zh-CN"/>
              </w:rPr>
              <w:t>彩色扫描件，</w:t>
            </w:r>
            <w:r>
              <w:rPr>
                <w:rFonts w:hint="eastAsia" w:ascii="宋体" w:hAnsi="宋体" w:eastAsia="宋体" w:cs="宋体"/>
                <w:b/>
                <w:bCs/>
                <w:snapToGrid w:val="0"/>
                <w:color w:val="auto"/>
                <w:kern w:val="0"/>
                <w:sz w:val="24"/>
                <w:szCs w:val="24"/>
                <w:highlight w:val="none"/>
              </w:rPr>
              <w:t>同时提供原件供核对（职称证为电子证书打印件的除外）</w:t>
            </w:r>
            <w:r>
              <w:rPr>
                <w:rFonts w:hint="eastAsia" w:ascii="宋体" w:hAnsi="宋体" w:eastAsia="宋体" w:cs="宋体"/>
                <w:snapToGrid w:val="0"/>
                <w:color w:val="auto"/>
                <w:kern w:val="0"/>
                <w:sz w:val="24"/>
                <w:szCs w:val="24"/>
                <w:highlight w:val="none"/>
              </w:rPr>
              <w:t>。</w:t>
            </w:r>
          </w:p>
          <w:p w14:paraId="034AC716">
            <w:pPr>
              <w:pStyle w:val="8"/>
              <w:keepNext w:val="0"/>
              <w:keepLines w:val="0"/>
              <w:pageBreakBefore w:val="0"/>
              <w:kinsoku/>
              <w:wordWrap w:val="0"/>
              <w:overflowPunct/>
              <w:topLinePunct w:val="0"/>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eastAsia="zh-CN"/>
              </w:rPr>
            </w:pPr>
          </w:p>
        </w:tc>
      </w:tr>
      <w:tr w14:paraId="4D3FFDC1">
        <w:tblPrEx>
          <w:tblCellMar>
            <w:top w:w="0" w:type="dxa"/>
            <w:left w:w="108" w:type="dxa"/>
            <w:bottom w:w="0" w:type="dxa"/>
            <w:right w:w="108" w:type="dxa"/>
          </w:tblCellMar>
        </w:tblPrEx>
        <w:trPr>
          <w:trHeight w:val="5268"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19897654">
            <w:pPr>
              <w:pStyle w:val="8"/>
              <w:pageBreakBefore w:val="0"/>
              <w:kinsoku/>
              <w:wordWrap w:val="0"/>
              <w:overflowPunct/>
              <w:topLinePunct w:val="0"/>
              <w:bidi w:val="0"/>
              <w:adjustRightInd w:val="0"/>
              <w:snapToGrid w:val="0"/>
              <w:spacing w:after="0" w:afterLines="0"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企业业绩</w:t>
            </w:r>
          </w:p>
          <w:p w14:paraId="3867ABDB">
            <w:pPr>
              <w:pStyle w:val="8"/>
              <w:keepNext w:val="0"/>
              <w:keepLines w:val="0"/>
              <w:pageBreakBefore w:val="0"/>
              <w:kinsoku/>
              <w:wordWrap w:val="0"/>
              <w:overflowPunct/>
              <w:topLinePunct w:val="0"/>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分）</w:t>
            </w:r>
          </w:p>
          <w:p w14:paraId="0F18D884">
            <w:pPr>
              <w:pStyle w:val="8"/>
              <w:keepNext w:val="0"/>
              <w:keepLines w:val="0"/>
              <w:pageBreakBefore w:val="0"/>
              <w:kinsoku/>
              <w:wordWrap w:val="0"/>
              <w:overflowPunct/>
              <w:topLinePunct w:val="0"/>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val="en-US" w:eastAsia="zh-CN"/>
              </w:rPr>
              <w:t>（联合体任意一方提供）</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3A6B63CB">
            <w:pPr>
              <w:pageBreakBefore w:val="0"/>
              <w:kinsoku/>
              <w:overflowPunct/>
              <w:topLinePunct w:val="0"/>
              <w:bidi w:val="0"/>
              <w:snapToGrid w:val="0"/>
              <w:spacing w:line="360" w:lineRule="auto"/>
              <w:ind w:firstLine="240" w:firstLineChars="100"/>
              <w:jc w:val="both"/>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企业近年来（</w:t>
            </w:r>
            <w:r>
              <w:rPr>
                <w:rFonts w:hint="eastAsia" w:ascii="宋体" w:hAnsi="宋体" w:eastAsia="宋体" w:cs="宋体"/>
                <w:color w:val="auto"/>
                <w:kern w:val="0"/>
                <w:sz w:val="24"/>
                <w:szCs w:val="24"/>
                <w:highlight w:val="none"/>
                <w:lang w:val="en-US" w:eastAsia="zh-CN"/>
              </w:rPr>
              <w:t>2022</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日至</w:t>
            </w:r>
            <w:r>
              <w:rPr>
                <w:rFonts w:hint="eastAsia" w:ascii="宋体" w:hAnsi="宋体" w:eastAsia="宋体" w:cs="宋体"/>
                <w:color w:val="auto"/>
                <w:kern w:val="0"/>
                <w:sz w:val="24"/>
                <w:szCs w:val="24"/>
                <w:highlight w:val="none"/>
                <w:lang w:val="en-US" w:eastAsia="zh-CN"/>
              </w:rPr>
              <w:t>今）业绩情况：</w:t>
            </w:r>
          </w:p>
          <w:p w14:paraId="5202C8CE">
            <w:pPr>
              <w:pageBreakBefore w:val="0"/>
              <w:kinsoku/>
              <w:overflowPunct/>
              <w:topLinePunct w:val="0"/>
              <w:bidi w:val="0"/>
              <w:snapToGrid w:val="0"/>
              <w:spacing w:line="360" w:lineRule="auto"/>
              <w:ind w:firstLine="240" w:firstLineChars="100"/>
              <w:jc w:val="both"/>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 承接 过类似工程的，每个得 5分。</w:t>
            </w:r>
          </w:p>
          <w:p w14:paraId="2BE1FFB4">
            <w:pPr>
              <w:pageBreakBefore w:val="0"/>
              <w:kinsoku/>
              <w:overflowPunct/>
              <w:topLinePunct w:val="0"/>
              <w:bidi w:val="0"/>
              <w:snapToGrid w:val="0"/>
              <w:spacing w:line="360" w:lineRule="auto"/>
              <w:ind w:firstLine="240" w:firstLineChars="100"/>
              <w:jc w:val="both"/>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2．未 承接 过类似工程的，不予计分。</w:t>
            </w:r>
          </w:p>
          <w:p w14:paraId="213500F3">
            <w:pPr>
              <w:pageBreakBefore w:val="0"/>
              <w:kinsoku/>
              <w:overflowPunct/>
              <w:topLinePunct w:val="0"/>
              <w:bidi w:val="0"/>
              <w:snapToGrid w:val="0"/>
              <w:spacing w:line="360" w:lineRule="auto"/>
              <w:ind w:firstLine="240" w:firstLineChars="100"/>
              <w:jc w:val="both"/>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3．本项最高得10分。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34EBA321">
            <w:pPr>
              <w:spacing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1.类似工程指：</w:t>
            </w:r>
            <w:r>
              <w:rPr>
                <w:rFonts w:hint="eastAsia" w:ascii="宋体" w:hAnsi="宋体" w:cs="宋体"/>
                <w:color w:val="auto"/>
                <w:kern w:val="0"/>
                <w:sz w:val="24"/>
                <w:szCs w:val="24"/>
                <w:u w:val="single"/>
                <w:lang w:val="en-US" w:eastAsia="zh-CN"/>
              </w:rPr>
              <w:t>市政</w:t>
            </w:r>
            <w:r>
              <w:rPr>
                <w:rFonts w:hint="eastAsia" w:ascii="宋体" w:hAnsi="宋体" w:eastAsia="宋体" w:cs="宋体"/>
                <w:snapToGrid w:val="0"/>
                <w:color w:val="auto"/>
                <w:kern w:val="0"/>
                <w:sz w:val="24"/>
                <w:szCs w:val="24"/>
                <w:highlight w:val="none"/>
                <w:u w:val="single"/>
                <w:lang w:val="en-US" w:eastAsia="zh-CN"/>
              </w:rPr>
              <w:t>工程</w:t>
            </w:r>
            <w:r>
              <w:rPr>
                <w:rFonts w:hint="eastAsia" w:hAnsi="宋体" w:cs="宋体"/>
                <w:color w:val="auto"/>
                <w:kern w:val="0"/>
                <w:sz w:val="24"/>
                <w:szCs w:val="24"/>
                <w:u w:val="single"/>
                <w:lang w:val="en-US" w:eastAsia="zh-CN"/>
              </w:rPr>
              <w:t>类</w:t>
            </w:r>
            <w:r>
              <w:rPr>
                <w:rFonts w:hint="eastAsia" w:ascii="宋体" w:hAnsi="宋体" w:eastAsia="宋体" w:cs="宋体"/>
                <w:snapToGrid w:val="0"/>
                <w:color w:val="auto"/>
                <w:kern w:val="0"/>
                <w:sz w:val="24"/>
                <w:szCs w:val="24"/>
                <w:highlight w:val="none"/>
                <w:u w:val="single"/>
                <w:lang w:val="en-US" w:eastAsia="zh-CN"/>
              </w:rPr>
              <w:t>项目。</w:t>
            </w:r>
          </w:p>
          <w:p w14:paraId="56B5145F">
            <w:pPr>
              <w:pStyle w:val="8"/>
              <w:wordWrap w:val="0"/>
              <w:adjustRightInd w:val="0"/>
              <w:snapToGrid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需附</w:t>
            </w:r>
            <w:r>
              <w:rPr>
                <w:rFonts w:hint="eastAsia" w:ascii="宋体" w:hAnsi="宋体" w:eastAsia="宋体" w:cs="宋体"/>
                <w:color w:val="auto"/>
                <w:sz w:val="24"/>
                <w:szCs w:val="24"/>
                <w:highlight w:val="none"/>
                <w:lang w:val="en-US" w:eastAsia="zh-CN"/>
              </w:rPr>
              <w:t>有关业绩</w:t>
            </w:r>
            <w:r>
              <w:rPr>
                <w:rFonts w:hint="eastAsia" w:ascii="宋体" w:hAnsi="宋体" w:eastAsia="宋体" w:cs="宋体"/>
                <w:snapToGrid w:val="0"/>
                <w:color w:val="auto"/>
                <w:kern w:val="0"/>
                <w:sz w:val="24"/>
                <w:szCs w:val="24"/>
                <w:highlight w:val="none"/>
              </w:rPr>
              <w:t>（仅限于</w:t>
            </w:r>
            <w:r>
              <w:rPr>
                <w:rFonts w:hint="eastAsia" w:ascii="宋体" w:hAnsi="宋体" w:eastAsia="宋体" w:cs="宋体"/>
                <w:snapToGrid w:val="0"/>
                <w:color w:val="auto"/>
                <w:kern w:val="0"/>
                <w:sz w:val="24"/>
                <w:szCs w:val="24"/>
                <w:highlight w:val="none"/>
                <w:lang w:val="en-US" w:eastAsia="zh-CN"/>
              </w:rPr>
              <w:t>以</w:t>
            </w:r>
            <w:r>
              <w:rPr>
                <w:rFonts w:hint="eastAsia" w:ascii="宋体" w:hAnsi="宋体" w:eastAsia="宋体" w:cs="宋体"/>
                <w:snapToGrid w:val="0"/>
                <w:color w:val="auto"/>
                <w:kern w:val="0"/>
                <w:sz w:val="24"/>
                <w:szCs w:val="24"/>
                <w:highlight w:val="none"/>
              </w:rPr>
              <w:t>施工</w:t>
            </w:r>
            <w:r>
              <w:rPr>
                <w:rFonts w:hint="eastAsia" w:ascii="宋体" w:hAnsi="宋体" w:eastAsia="宋体" w:cs="宋体"/>
                <w:snapToGrid w:val="0"/>
                <w:color w:val="auto"/>
                <w:kern w:val="0"/>
                <w:sz w:val="24"/>
                <w:szCs w:val="24"/>
                <w:highlight w:val="none"/>
                <w:u w:val="single"/>
              </w:rPr>
              <w:t xml:space="preserve"> 总承包单位 </w:t>
            </w:r>
            <w:r>
              <w:rPr>
                <w:rFonts w:hint="eastAsia" w:ascii="宋体" w:hAnsi="宋体" w:eastAsia="宋体" w:cs="宋体"/>
                <w:snapToGrid w:val="0"/>
                <w:color w:val="auto"/>
                <w:kern w:val="0"/>
                <w:sz w:val="24"/>
                <w:szCs w:val="24"/>
                <w:highlight w:val="none"/>
              </w:rPr>
              <w:t>身份</w:t>
            </w:r>
            <w:r>
              <w:rPr>
                <w:rFonts w:hint="eastAsia" w:ascii="宋体" w:hAnsi="宋体" w:eastAsia="宋体" w:cs="宋体"/>
                <w:snapToGrid w:val="0"/>
                <w:color w:val="auto"/>
                <w:kern w:val="0"/>
                <w:sz w:val="24"/>
                <w:szCs w:val="24"/>
                <w:highlight w:val="none"/>
                <w:lang w:val="en-US" w:eastAsia="zh-CN"/>
              </w:rPr>
              <w:t>承</w:t>
            </w:r>
            <w:r>
              <w:rPr>
                <w:rFonts w:hint="eastAsia" w:ascii="宋体" w:hAnsi="宋体" w:eastAsia="宋体" w:cs="宋体"/>
                <w:snapToGrid w:val="0"/>
                <w:color w:val="auto"/>
                <w:kern w:val="0"/>
                <w:sz w:val="24"/>
                <w:szCs w:val="24"/>
                <w:highlight w:val="none"/>
              </w:rPr>
              <w:t>建的项目）</w:t>
            </w:r>
            <w:r>
              <w:rPr>
                <w:rFonts w:hint="eastAsia" w:ascii="宋体" w:hAnsi="宋体" w:eastAsia="宋体" w:cs="宋体"/>
                <w:color w:val="auto"/>
                <w:sz w:val="24"/>
                <w:szCs w:val="24"/>
                <w:highlight w:val="none"/>
                <w:lang w:val="en-US" w:eastAsia="zh-CN"/>
              </w:rPr>
              <w:t>中标通知书或</w:t>
            </w:r>
            <w:r>
              <w:rPr>
                <w:rFonts w:hint="eastAsia" w:ascii="宋体" w:hAnsi="宋体" w:eastAsia="宋体" w:cs="宋体"/>
                <w:color w:val="auto"/>
                <w:sz w:val="24"/>
                <w:szCs w:val="24"/>
                <w:highlight w:val="none"/>
              </w:rPr>
              <w:t>合同</w:t>
            </w:r>
            <w:r>
              <w:rPr>
                <w:rFonts w:hint="eastAsia" w:ascii="宋体" w:hAnsi="宋体" w:eastAsia="宋体" w:cs="宋体"/>
                <w:color w:val="auto"/>
                <w:sz w:val="24"/>
                <w:szCs w:val="24"/>
                <w:highlight w:val="none"/>
                <w:lang w:val="en-US" w:eastAsia="zh-CN"/>
              </w:rPr>
              <w:t>协议书</w:t>
            </w:r>
            <w:r>
              <w:rPr>
                <w:rFonts w:hint="eastAsia" w:ascii="宋体" w:hAnsi="宋体" w:eastAsia="宋体" w:cs="宋体"/>
                <w:color w:val="auto"/>
                <w:sz w:val="24"/>
                <w:szCs w:val="24"/>
                <w:highlight w:val="none"/>
              </w:rPr>
              <w:t>关键页</w:t>
            </w:r>
            <w:r>
              <w:rPr>
                <w:rFonts w:hint="eastAsia" w:ascii="宋体" w:hAnsi="宋体" w:eastAsia="宋体" w:cs="宋体"/>
                <w:color w:val="auto"/>
                <w:sz w:val="24"/>
                <w:szCs w:val="24"/>
                <w:highlight w:val="none"/>
                <w:lang w:val="en-US" w:eastAsia="zh-CN"/>
              </w:rPr>
              <w:t>的彩色扫描件（或打印件）</w:t>
            </w:r>
            <w:r>
              <w:rPr>
                <w:rFonts w:hint="eastAsia" w:ascii="宋体" w:hAnsi="宋体" w:eastAsia="宋体" w:cs="宋体"/>
                <w:snapToGrid w:val="0"/>
                <w:color w:val="auto"/>
                <w:kern w:val="0"/>
                <w:sz w:val="24"/>
                <w:szCs w:val="24"/>
                <w:highlight w:val="none"/>
              </w:rPr>
              <w:t>，</w:t>
            </w:r>
            <w:r>
              <w:rPr>
                <w:rFonts w:hint="eastAsia" w:ascii="宋体" w:hAnsi="宋体" w:eastAsia="宋体" w:cs="宋体"/>
                <w:b/>
                <w:bCs/>
                <w:snapToGrid w:val="0"/>
                <w:color w:val="auto"/>
                <w:kern w:val="0"/>
                <w:sz w:val="24"/>
                <w:szCs w:val="24"/>
                <w:highlight w:val="none"/>
              </w:rPr>
              <w:t>同时提供原件供核对</w:t>
            </w:r>
            <w:r>
              <w:rPr>
                <w:rFonts w:hint="eastAsia" w:ascii="宋体" w:hAnsi="宋体" w:eastAsia="宋体" w:cs="宋体"/>
                <w:snapToGrid w:val="0"/>
                <w:color w:val="auto"/>
                <w:kern w:val="0"/>
                <w:sz w:val="24"/>
                <w:szCs w:val="24"/>
                <w:highlight w:val="none"/>
              </w:rPr>
              <w:t>。</w:t>
            </w:r>
          </w:p>
          <w:p w14:paraId="09A0107F">
            <w:pPr>
              <w:pageBreakBefore w:val="0"/>
              <w:numPr>
                <w:ilvl w:val="0"/>
                <w:numId w:val="0"/>
              </w:numPr>
              <w:kinsoku/>
              <w:overflowPunct/>
              <w:topLinePunct w:val="0"/>
              <w:bidi w:val="0"/>
              <w:snapToGrid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3.业绩</w:t>
            </w:r>
            <w:r>
              <w:rPr>
                <w:rFonts w:hint="eastAsia" w:ascii="宋体" w:hAnsi="宋体" w:eastAsia="宋体" w:cs="宋体"/>
                <w:color w:val="auto"/>
                <w:sz w:val="24"/>
                <w:szCs w:val="24"/>
                <w:highlight w:val="none"/>
              </w:rPr>
              <w:t>时间以</w:t>
            </w:r>
            <w:r>
              <w:rPr>
                <w:rFonts w:hint="eastAsia" w:ascii="宋体" w:hAnsi="宋体" w:eastAsia="宋体" w:cs="宋体"/>
                <w:color w:val="auto"/>
                <w:sz w:val="24"/>
                <w:szCs w:val="24"/>
                <w:highlight w:val="none"/>
                <w:lang w:val="en-US" w:eastAsia="zh-CN"/>
              </w:rPr>
              <w:t>中标通知书颁发或合同签署日期</w:t>
            </w:r>
            <w:r>
              <w:rPr>
                <w:rFonts w:hint="eastAsia" w:ascii="宋体" w:hAnsi="宋体" w:eastAsia="宋体" w:cs="宋体"/>
                <w:color w:val="auto"/>
                <w:sz w:val="24"/>
                <w:szCs w:val="24"/>
                <w:highlight w:val="none"/>
              </w:rPr>
              <w:t>为准。</w:t>
            </w:r>
          </w:p>
          <w:p w14:paraId="0D73C6E1">
            <w:pPr>
              <w:pStyle w:val="8"/>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val="en-US" w:eastAsia="zh-CN"/>
              </w:rPr>
              <w:t>4.任一业绩有以下情形之一的，该业绩视为无效，不予计分</w:t>
            </w:r>
            <w:r>
              <w:rPr>
                <w:rFonts w:hint="eastAsia" w:ascii="宋体" w:hAnsi="宋体" w:eastAsia="宋体" w:cs="宋体"/>
                <w:caps w:val="0"/>
                <w:smallCaps w:val="0"/>
                <w:snapToGrid w:val="0"/>
                <w:color w:val="auto"/>
                <w:spacing w:val="0"/>
                <w:kern w:val="0"/>
                <w:sz w:val="24"/>
                <w:szCs w:val="24"/>
                <w:highlight w:val="none"/>
                <w:lang w:eastAsia="zh-CN"/>
              </w:rPr>
              <w:t>：</w:t>
            </w:r>
          </w:p>
          <w:p w14:paraId="0FCE231B">
            <w:pPr>
              <w:pStyle w:val="8"/>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eastAsia="zh-CN"/>
              </w:rPr>
              <w:t>①业绩不属于类似工程的；</w:t>
            </w:r>
          </w:p>
          <w:p w14:paraId="469EB6BE">
            <w:pPr>
              <w:pStyle w:val="8"/>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eastAsia="zh-CN"/>
              </w:rPr>
              <w:t>②</w:t>
            </w:r>
            <w:r>
              <w:rPr>
                <w:rFonts w:hint="eastAsia" w:ascii="宋体" w:hAnsi="宋体" w:eastAsia="宋体" w:cs="宋体"/>
                <w:snapToGrid w:val="0"/>
                <w:color w:val="auto"/>
                <w:kern w:val="0"/>
                <w:sz w:val="24"/>
                <w:szCs w:val="24"/>
                <w:highlight w:val="none"/>
              </w:rPr>
              <w:t>不是以指定身份参建的</w:t>
            </w:r>
            <w:r>
              <w:rPr>
                <w:rFonts w:hint="eastAsia" w:ascii="宋体" w:hAnsi="宋体" w:eastAsia="宋体" w:cs="宋体"/>
                <w:caps w:val="0"/>
                <w:smallCaps w:val="0"/>
                <w:snapToGrid w:val="0"/>
                <w:color w:val="auto"/>
                <w:spacing w:val="0"/>
                <w:kern w:val="0"/>
                <w:sz w:val="24"/>
                <w:szCs w:val="24"/>
                <w:highlight w:val="none"/>
                <w:lang w:eastAsia="zh-CN"/>
              </w:rPr>
              <w:t>；</w:t>
            </w:r>
          </w:p>
          <w:p w14:paraId="4434E082">
            <w:pPr>
              <w:pStyle w:val="8"/>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eastAsia="zh-CN"/>
              </w:rPr>
              <w:t>③</w:t>
            </w:r>
            <w:r>
              <w:rPr>
                <w:rFonts w:hint="eastAsia" w:ascii="宋体" w:hAnsi="宋体" w:eastAsia="宋体" w:cs="宋体"/>
                <w:caps w:val="0"/>
                <w:smallCaps w:val="0"/>
                <w:snapToGrid w:val="0"/>
                <w:color w:val="auto"/>
                <w:spacing w:val="0"/>
                <w:kern w:val="0"/>
                <w:sz w:val="24"/>
                <w:szCs w:val="24"/>
                <w:highlight w:val="none"/>
                <w:lang w:val="en-US" w:eastAsia="zh-CN"/>
              </w:rPr>
              <w:t>业绩时间不符合要求的。</w:t>
            </w:r>
          </w:p>
        </w:tc>
      </w:tr>
      <w:tr w14:paraId="0B330CD4">
        <w:tblPrEx>
          <w:tblCellMar>
            <w:top w:w="0" w:type="dxa"/>
            <w:left w:w="108" w:type="dxa"/>
            <w:bottom w:w="0" w:type="dxa"/>
            <w:right w:w="108" w:type="dxa"/>
          </w:tblCellMar>
        </w:tblPrEx>
        <w:trPr>
          <w:trHeight w:val="4832"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4A648FD8">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企业银行</w:t>
            </w:r>
          </w:p>
          <w:p w14:paraId="7665FFC0">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资信评级</w:t>
            </w:r>
          </w:p>
          <w:p w14:paraId="7C5948BC">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（5分）</w:t>
            </w:r>
          </w:p>
          <w:p w14:paraId="48724BCC">
            <w:pPr>
              <w:pStyle w:val="2"/>
              <w:rPr>
                <w:rFonts w:hint="eastAsia"/>
                <w:color w:val="auto"/>
                <w:lang w:eastAsia="zh-CN"/>
              </w:rPr>
            </w:pPr>
            <w:r>
              <w:rPr>
                <w:rFonts w:hint="eastAsia" w:ascii="宋体" w:hAnsi="宋体" w:eastAsia="宋体" w:cs="宋体"/>
                <w:b/>
                <w:bCs/>
                <w:caps w:val="0"/>
                <w:smallCaps w:val="0"/>
                <w:snapToGrid w:val="0"/>
                <w:color w:val="auto"/>
                <w:spacing w:val="0"/>
                <w:kern w:val="0"/>
                <w:sz w:val="24"/>
                <w:szCs w:val="24"/>
                <w:highlight w:val="none"/>
                <w:lang w:val="en-US" w:eastAsia="zh-CN"/>
              </w:rPr>
              <w:t>（联合体任意一方提供）</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71862C5D">
            <w:pPr>
              <w:pStyle w:val="8"/>
              <w:wordWrap w:val="0"/>
              <w:spacing w:before="0" w:beforeAutospacing="0" w:after="0" w:line="4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1．银行资信评级</w:t>
            </w:r>
            <w:r>
              <w:rPr>
                <w:rFonts w:hint="eastAsia" w:ascii="宋体" w:hAnsi="宋体" w:eastAsia="宋体" w:cs="宋体"/>
                <w:color w:val="auto"/>
                <w:kern w:val="0"/>
                <w:sz w:val="24"/>
                <w:szCs w:val="24"/>
                <w:u w:val="single"/>
              </w:rPr>
              <w:t>AAA</w:t>
            </w:r>
            <w:r>
              <w:rPr>
                <w:rFonts w:hint="eastAsia" w:ascii="宋体" w:hAnsi="宋体" w:eastAsia="宋体" w:cs="宋体"/>
                <w:color w:val="auto"/>
                <w:kern w:val="0"/>
                <w:sz w:val="24"/>
                <w:szCs w:val="24"/>
              </w:rPr>
              <w:t>的，得</w:t>
            </w:r>
            <w:r>
              <w:rPr>
                <w:rFonts w:hint="eastAsia" w:ascii="宋体" w:hAnsi="宋体" w:eastAsia="宋体" w:cs="宋体"/>
                <w:color w:val="auto"/>
                <w:kern w:val="0"/>
                <w:sz w:val="24"/>
                <w:szCs w:val="24"/>
                <w:u w:val="single"/>
              </w:rPr>
              <w:t xml:space="preserve"> 5 </w:t>
            </w:r>
            <w:r>
              <w:rPr>
                <w:rFonts w:hint="eastAsia" w:ascii="宋体" w:hAnsi="宋体" w:eastAsia="宋体" w:cs="宋体"/>
                <w:color w:val="auto"/>
                <w:kern w:val="0"/>
                <w:sz w:val="24"/>
                <w:szCs w:val="24"/>
              </w:rPr>
              <w:t>分；</w:t>
            </w:r>
          </w:p>
          <w:p w14:paraId="2947D502">
            <w:pPr>
              <w:pStyle w:val="8"/>
              <w:wordWrap w:val="0"/>
              <w:spacing w:before="0" w:beforeAutospacing="0" w:after="0" w:line="4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2．银行资信评级AA（含AA＋、AA－）的，得</w:t>
            </w:r>
            <w:r>
              <w:rPr>
                <w:rFonts w:hint="eastAsia" w:ascii="宋体" w:hAnsi="宋体" w:eastAsia="宋体" w:cs="宋体"/>
                <w:color w:val="auto"/>
                <w:kern w:val="0"/>
                <w:sz w:val="24"/>
                <w:szCs w:val="24"/>
                <w:u w:val="single"/>
              </w:rPr>
              <w:t>4</w:t>
            </w:r>
            <w:r>
              <w:rPr>
                <w:rFonts w:hint="eastAsia" w:ascii="宋体" w:hAnsi="宋体" w:eastAsia="宋体" w:cs="宋体"/>
                <w:color w:val="auto"/>
                <w:kern w:val="0"/>
                <w:sz w:val="24"/>
                <w:szCs w:val="24"/>
              </w:rPr>
              <w:t>分。</w:t>
            </w:r>
          </w:p>
          <w:p w14:paraId="4B940736">
            <w:pPr>
              <w:pStyle w:val="8"/>
              <w:wordWrap w:val="0"/>
              <w:spacing w:before="0" w:beforeAutospacing="0" w:after="0" w:line="4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3．银行资信评级A（含A＋、A－）的，得</w:t>
            </w:r>
            <w:r>
              <w:rPr>
                <w:rFonts w:hint="eastAsia" w:ascii="宋体" w:hAnsi="宋体" w:eastAsia="宋体" w:cs="宋体"/>
                <w:color w:val="auto"/>
                <w:kern w:val="0"/>
                <w:sz w:val="24"/>
                <w:szCs w:val="24"/>
                <w:u w:val="single"/>
              </w:rPr>
              <w:t>3</w:t>
            </w:r>
            <w:r>
              <w:rPr>
                <w:rFonts w:hint="eastAsia" w:ascii="宋体" w:hAnsi="宋体" w:eastAsia="宋体" w:cs="宋体"/>
                <w:color w:val="auto"/>
                <w:kern w:val="0"/>
                <w:sz w:val="24"/>
                <w:szCs w:val="24"/>
              </w:rPr>
              <w:t>分。</w:t>
            </w:r>
          </w:p>
          <w:p w14:paraId="1BB8A85E">
            <w:pPr>
              <w:pStyle w:val="8"/>
              <w:wordWrap w:val="0"/>
              <w:spacing w:before="0" w:beforeAutospacing="0" w:after="0" w:line="400" w:lineRule="exact"/>
              <w:rPr>
                <w:rFonts w:hint="eastAsia" w:asciiTheme="minorEastAsia" w:hAnsiTheme="minorEastAsia" w:eastAsiaTheme="minorEastAsia" w:cstheme="minorEastAsia"/>
                <w:snapToGrid/>
                <w:color w:val="auto"/>
                <w:kern w:val="2"/>
                <w:sz w:val="24"/>
                <w:szCs w:val="24"/>
                <w:highlight w:val="none"/>
                <w:lang w:eastAsia="zh-CN"/>
              </w:rPr>
            </w:pPr>
            <w:r>
              <w:rPr>
                <w:rFonts w:hint="eastAsia" w:ascii="宋体" w:hAnsi="宋体" w:eastAsia="宋体" w:cs="宋体"/>
                <w:color w:val="auto"/>
                <w:kern w:val="0"/>
                <w:sz w:val="24"/>
                <w:szCs w:val="24"/>
              </w:rPr>
              <w:t>4．未获得过以上评级的，或评级证书无效的，不予计分。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35DF594E">
            <w:pPr>
              <w:pStyle w:val="8"/>
              <w:wordWrap w:val="0"/>
              <w:spacing w:before="0" w:beforeAutospacing="0" w:after="0" w:line="4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1．需附在有效期内的资信评级证书（证明）彩色扫描件，</w:t>
            </w:r>
            <w:r>
              <w:rPr>
                <w:rFonts w:hint="eastAsia" w:ascii="宋体" w:hAnsi="宋体" w:eastAsia="宋体" w:cs="宋体"/>
                <w:b/>
                <w:bCs/>
                <w:color w:val="auto"/>
                <w:kern w:val="0"/>
                <w:sz w:val="24"/>
                <w:szCs w:val="24"/>
              </w:rPr>
              <w:t>同时提供原件供核对</w:t>
            </w:r>
            <w:r>
              <w:rPr>
                <w:rFonts w:hint="eastAsia" w:ascii="宋体" w:hAnsi="宋体" w:eastAsia="宋体" w:cs="宋体"/>
                <w:color w:val="auto"/>
                <w:kern w:val="0"/>
                <w:sz w:val="24"/>
                <w:szCs w:val="24"/>
              </w:rPr>
              <w:t>。</w:t>
            </w:r>
          </w:p>
          <w:p w14:paraId="023E3EB0">
            <w:pPr>
              <w:pStyle w:val="8"/>
              <w:wordWrap w:val="0"/>
              <w:spacing w:before="0" w:beforeAutospacing="0" w:after="0" w:line="4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2．评级证书（证明）须由企业基本账户开户银行/市级或以上金融机构/市级或以上国有银行/金融机构出具。</w:t>
            </w:r>
          </w:p>
          <w:p w14:paraId="46BA6E98">
            <w:pPr>
              <w:pStyle w:val="8"/>
              <w:wordWrap w:val="0"/>
              <w:spacing w:before="0" w:beforeAutospacing="0" w:after="0" w:line="4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3．评级证书（证明）有以下情形之一的，视为无效：</w:t>
            </w:r>
          </w:p>
          <w:p w14:paraId="69A50938">
            <w:pPr>
              <w:pStyle w:val="8"/>
              <w:wordWrap w:val="0"/>
              <w:spacing w:before="0" w:beforeAutospacing="0" w:after="0" w:line="4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①未提供评级证书（证明）原件的；</w:t>
            </w:r>
          </w:p>
          <w:p w14:paraId="52E3F537">
            <w:pPr>
              <w:pStyle w:val="8"/>
              <w:wordWrap w:val="0"/>
              <w:spacing w:before="0" w:beforeAutospacing="0" w:after="0" w:line="400" w:lineRule="exac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②评级证书（证明）不在有效期内的；</w:t>
            </w:r>
          </w:p>
          <w:p w14:paraId="4EA20D68">
            <w:pPr>
              <w:pStyle w:val="8"/>
              <w:wordWrap w:val="0"/>
              <w:spacing w:before="0" w:beforeAutospacing="0" w:after="0" w:line="400" w:lineRule="exac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color w:val="auto"/>
                <w:kern w:val="0"/>
                <w:sz w:val="24"/>
                <w:szCs w:val="24"/>
              </w:rPr>
              <w:t>③出具机构不符合要求的。</w:t>
            </w:r>
          </w:p>
        </w:tc>
      </w:tr>
      <w:tr w14:paraId="008689E8">
        <w:tblPrEx>
          <w:tblCellMar>
            <w:top w:w="0" w:type="dxa"/>
            <w:left w:w="108" w:type="dxa"/>
            <w:bottom w:w="0" w:type="dxa"/>
            <w:right w:w="108" w:type="dxa"/>
          </w:tblCellMar>
        </w:tblPrEx>
        <w:trPr>
          <w:trHeight w:val="3461"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5ACFAD5B">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企业管理</w:t>
            </w:r>
          </w:p>
          <w:p w14:paraId="101E07B3">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体系认证</w:t>
            </w:r>
          </w:p>
          <w:p w14:paraId="3BBBDE32">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p w14:paraId="2F791B9E">
            <w:pPr>
              <w:pStyle w:val="2"/>
              <w:rPr>
                <w:rFonts w:hint="eastAsia"/>
                <w:color w:val="auto"/>
                <w:lang w:eastAsia="zh-CN"/>
              </w:rPr>
            </w:pPr>
            <w:r>
              <w:rPr>
                <w:rFonts w:hint="eastAsia" w:ascii="宋体" w:hAnsi="宋体" w:eastAsia="宋体" w:cs="宋体"/>
                <w:b/>
                <w:bCs/>
                <w:caps w:val="0"/>
                <w:smallCaps w:val="0"/>
                <w:snapToGrid w:val="0"/>
                <w:color w:val="auto"/>
                <w:spacing w:val="0"/>
                <w:kern w:val="0"/>
                <w:sz w:val="24"/>
                <w:szCs w:val="24"/>
                <w:highlight w:val="none"/>
                <w:lang w:val="en-US" w:eastAsia="zh-CN"/>
              </w:rPr>
              <w:t>（联合体任意一方提供）</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19D83608">
            <w:pPr>
              <w:keepNext w:val="0"/>
              <w:keepLines w:val="0"/>
              <w:pageBreakBefore w:val="0"/>
              <w:widowControl w:val="0"/>
              <w:kinsoku/>
              <w:overflowPunct/>
              <w:topLinePunct w:val="0"/>
              <w:autoSpaceDE/>
              <w:autoSpaceDN/>
              <w:bidi w:val="0"/>
              <w:snapToGrid/>
              <w:spacing w:line="3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质量管理体系认证、职业健康安全管理体系认证、环境管理体系认证</w:t>
            </w:r>
            <w:r>
              <w:rPr>
                <w:rFonts w:hint="eastAsia" w:ascii="宋体" w:hAnsi="宋体" w:eastAsia="宋体" w:cs="宋体"/>
                <w:color w:val="auto"/>
                <w:sz w:val="24"/>
                <w:szCs w:val="24"/>
                <w:highlight w:val="none"/>
                <w:lang w:val="en-US" w:eastAsia="zh-CN"/>
              </w:rPr>
              <w:t>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每</w:t>
            </w:r>
            <w:r>
              <w:rPr>
                <w:rFonts w:hint="eastAsia" w:ascii="宋体" w:hAnsi="宋体" w:eastAsia="宋体" w:cs="宋体"/>
                <w:color w:val="auto"/>
                <w:sz w:val="24"/>
                <w:szCs w:val="24"/>
                <w:highlight w:val="none"/>
                <w:lang w:eastAsia="zh-CN"/>
              </w:rPr>
              <w:t>获得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项认证</w:t>
            </w:r>
            <w:r>
              <w:rPr>
                <w:rFonts w:hint="eastAsia"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；最高得</w:t>
            </w:r>
            <w:r>
              <w:rPr>
                <w:rFonts w:hint="eastAsia" w:ascii="宋体" w:hAnsi="宋体" w:eastAsia="宋体" w:cs="宋体"/>
                <w:color w:val="auto"/>
                <w:sz w:val="24"/>
                <w:szCs w:val="24"/>
                <w:highlight w:val="none"/>
                <w:lang w:val="en-US" w:eastAsia="zh-CN"/>
              </w:rPr>
              <w:t>6分。</w:t>
            </w:r>
          </w:p>
          <w:p w14:paraId="3A8579B7">
            <w:pPr>
              <w:keepNext w:val="0"/>
              <w:keepLines w:val="0"/>
              <w:pageBreakBefore w:val="0"/>
              <w:widowControl w:val="0"/>
              <w:kinsoku/>
              <w:overflowPunct/>
              <w:topLinePunct w:val="0"/>
              <w:autoSpaceDE/>
              <w:autoSpaceDN/>
              <w:bidi w:val="0"/>
              <w:snapToGrid/>
              <w:spacing w:line="360" w:lineRule="exact"/>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color w:val="auto"/>
                <w:sz w:val="24"/>
                <w:szCs w:val="24"/>
                <w:highlight w:val="none"/>
                <w:lang w:val="en-US" w:eastAsia="zh-CN"/>
              </w:rPr>
              <w:t>2.未获得以上认证的，不予计分。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16FCF0A9">
            <w:pPr>
              <w:keepNext w:val="0"/>
              <w:keepLines w:val="0"/>
              <w:pageBreakBefore w:val="0"/>
              <w:widowControl w:val="0"/>
              <w:kinsoku/>
              <w:overflowPunct/>
              <w:topLinePunct w:val="0"/>
              <w:autoSpaceDE/>
              <w:autoSpaceDN/>
              <w:bidi w:val="0"/>
              <w:snapToGrid/>
              <w:spacing w:line="3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需附在有效期内的认证证书</w:t>
            </w:r>
            <w:r>
              <w:rPr>
                <w:rFonts w:hint="eastAsia" w:ascii="宋体" w:hAnsi="宋体" w:eastAsia="宋体" w:cs="宋体"/>
                <w:color w:val="auto"/>
                <w:sz w:val="24"/>
                <w:szCs w:val="24"/>
                <w:highlight w:val="none"/>
                <w:lang w:eastAsia="zh-CN"/>
              </w:rPr>
              <w:t>彩色扫描件</w:t>
            </w:r>
            <w:r>
              <w:rPr>
                <w:rFonts w:hint="eastAsia" w:ascii="宋体" w:hAnsi="宋体" w:eastAsia="宋体" w:cs="宋体"/>
                <w:color w:val="auto"/>
                <w:sz w:val="24"/>
                <w:szCs w:val="24"/>
                <w:highlight w:val="none"/>
              </w:rPr>
              <w:t>，同时提供原件供核对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证书为电子证书的除外）</w:t>
            </w:r>
            <w:r>
              <w:rPr>
                <w:rFonts w:hint="eastAsia" w:ascii="宋体" w:hAnsi="宋体" w:eastAsia="宋体" w:cs="宋体"/>
                <w:color w:val="auto"/>
                <w:sz w:val="24"/>
                <w:szCs w:val="24"/>
                <w:highlight w:val="none"/>
              </w:rPr>
              <w:t>。</w:t>
            </w:r>
          </w:p>
          <w:p w14:paraId="06DB6BD2">
            <w:pPr>
              <w:keepNext w:val="0"/>
              <w:keepLines w:val="0"/>
              <w:pageBreakBefore w:val="0"/>
              <w:widowControl w:val="0"/>
              <w:kinsoku/>
              <w:overflowPunct/>
              <w:topLinePunct w:val="0"/>
              <w:autoSpaceDE/>
              <w:autoSpaceDN/>
              <w:bidi w:val="0"/>
              <w:snapToGrid/>
              <w:spacing w:line="3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任一认证证书有以下情形之一的，该认证证书视为无效，不予计分：</w:t>
            </w:r>
          </w:p>
          <w:p w14:paraId="1B159C10">
            <w:pPr>
              <w:keepNext w:val="0"/>
              <w:keepLines w:val="0"/>
              <w:pageBreakBefore w:val="0"/>
              <w:widowControl w:val="0"/>
              <w:kinsoku/>
              <w:overflowPunct/>
              <w:topLinePunct w:val="0"/>
              <w:autoSpaceDE/>
              <w:autoSpaceDN/>
              <w:bidi w:val="0"/>
              <w:snapToGrid/>
              <w:spacing w:line="3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①未提供认证证书原件的；</w:t>
            </w:r>
          </w:p>
          <w:p w14:paraId="1D60CC40">
            <w:pPr>
              <w:keepNext w:val="0"/>
              <w:keepLines w:val="0"/>
              <w:pageBreakBefore w:val="0"/>
              <w:widowControl w:val="0"/>
              <w:kinsoku/>
              <w:overflowPunct/>
              <w:topLinePunct w:val="0"/>
              <w:autoSpaceDE/>
              <w:autoSpaceDN/>
              <w:bidi w:val="0"/>
              <w:snapToGrid/>
              <w:spacing w:line="360" w:lineRule="exact"/>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color w:val="auto"/>
                <w:sz w:val="24"/>
                <w:szCs w:val="24"/>
                <w:highlight w:val="none"/>
              </w:rPr>
              <w:t>②认证证书不在有效期内的。</w:t>
            </w:r>
          </w:p>
        </w:tc>
      </w:tr>
      <w:tr w14:paraId="71EE4CF0">
        <w:tblPrEx>
          <w:tblCellMar>
            <w:top w:w="0" w:type="dxa"/>
            <w:left w:w="108" w:type="dxa"/>
            <w:bottom w:w="0" w:type="dxa"/>
            <w:right w:w="108" w:type="dxa"/>
          </w:tblCellMar>
        </w:tblPrEx>
        <w:trPr>
          <w:trHeight w:val="552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77AF47D1">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w:t>
            </w:r>
          </w:p>
          <w:p w14:paraId="496FF8C5">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财务状况</w:t>
            </w:r>
          </w:p>
          <w:p w14:paraId="5C8A95B6">
            <w:pPr>
              <w:keepNext w:val="0"/>
              <w:keepLines w:val="0"/>
              <w:pageBreakBefore w:val="0"/>
              <w:widowControl w:val="0"/>
              <w:kinsoku/>
              <w:overflowPunct/>
              <w:topLinePunct w:val="0"/>
              <w:autoSpaceDE/>
              <w:autoSpaceDN/>
              <w:bidi w:val="0"/>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分）</w:t>
            </w:r>
          </w:p>
          <w:p w14:paraId="06AFFCCB">
            <w:pPr>
              <w:pStyle w:val="2"/>
              <w:rPr>
                <w:rFonts w:hint="eastAsia"/>
                <w:color w:val="auto"/>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val="en-US" w:eastAsia="zh-CN"/>
              </w:rPr>
              <w:t>（联合体任意一方提供）</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13C39731">
            <w:pPr>
              <w:pStyle w:val="8"/>
              <w:keepNext w:val="0"/>
              <w:keepLines w:val="0"/>
              <w:pageBreakBefore w:val="0"/>
              <w:widowControl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1.提供不少于</w:t>
            </w:r>
            <w:r>
              <w:rPr>
                <w:rFonts w:hint="eastAsia" w:ascii="宋体" w:hAnsi="宋体" w:eastAsia="宋体" w:cs="宋体"/>
                <w:snapToGrid w:val="0"/>
                <w:color w:val="auto"/>
                <w:kern w:val="0"/>
                <w:sz w:val="24"/>
                <w:szCs w:val="24"/>
                <w:highlight w:val="none"/>
                <w:u w:val="single"/>
                <w:lang w:val="en-US" w:eastAsia="zh-CN" w:bidi="ar-SA"/>
              </w:rPr>
              <w:t>50</w:t>
            </w:r>
            <w:r>
              <w:rPr>
                <w:rFonts w:hint="eastAsia" w:ascii="宋体" w:hAnsi="宋体" w:eastAsia="宋体" w:cs="宋体"/>
                <w:snapToGrid w:val="0"/>
                <w:color w:val="auto"/>
                <w:kern w:val="0"/>
                <w:sz w:val="24"/>
                <w:szCs w:val="24"/>
                <w:highlight w:val="none"/>
                <w:lang w:val="en-US" w:eastAsia="zh-CN" w:bidi="ar-SA"/>
              </w:rPr>
              <w:t>万元银行授信证明的，得</w:t>
            </w:r>
            <w:r>
              <w:rPr>
                <w:rFonts w:hint="eastAsia" w:ascii="宋体" w:hAnsi="宋体" w:eastAsia="宋体" w:cs="宋体"/>
                <w:snapToGrid w:val="0"/>
                <w:color w:val="auto"/>
                <w:kern w:val="0"/>
                <w:sz w:val="24"/>
                <w:szCs w:val="24"/>
                <w:highlight w:val="none"/>
                <w:u w:val="single"/>
                <w:lang w:val="en-US" w:eastAsia="zh-CN" w:bidi="ar-SA"/>
              </w:rPr>
              <w:t xml:space="preserve"> 4 </w:t>
            </w:r>
            <w:r>
              <w:rPr>
                <w:rFonts w:hint="eastAsia" w:ascii="宋体" w:hAnsi="宋体" w:eastAsia="宋体" w:cs="宋体"/>
                <w:snapToGrid w:val="0"/>
                <w:color w:val="auto"/>
                <w:kern w:val="0"/>
                <w:sz w:val="24"/>
                <w:szCs w:val="24"/>
                <w:highlight w:val="none"/>
                <w:lang w:val="en-US" w:eastAsia="zh-CN" w:bidi="ar-SA"/>
              </w:rPr>
              <w:t>分。</w:t>
            </w:r>
          </w:p>
          <w:p w14:paraId="0E63BF2D">
            <w:pPr>
              <w:pStyle w:val="8"/>
              <w:keepNext w:val="0"/>
              <w:keepLines w:val="0"/>
              <w:pageBreakBefore w:val="0"/>
              <w:widowControl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2.提供投标人基本账户在本项目招标公告发布之日起至投标截止时间期间出现过至少连续3日不少于</w:t>
            </w:r>
            <w:r>
              <w:rPr>
                <w:rFonts w:hint="eastAsia" w:ascii="宋体" w:hAnsi="宋体" w:eastAsia="宋体" w:cs="宋体"/>
                <w:snapToGrid w:val="0"/>
                <w:color w:val="auto"/>
                <w:kern w:val="0"/>
                <w:sz w:val="24"/>
                <w:szCs w:val="24"/>
                <w:highlight w:val="none"/>
                <w:u w:val="single"/>
                <w:lang w:val="en-US" w:eastAsia="zh-CN" w:bidi="ar-SA"/>
              </w:rPr>
              <w:t>50</w:t>
            </w:r>
            <w:r>
              <w:rPr>
                <w:rFonts w:hint="eastAsia" w:ascii="宋体" w:hAnsi="宋体" w:eastAsia="宋体" w:cs="宋体"/>
                <w:snapToGrid w:val="0"/>
                <w:color w:val="auto"/>
                <w:kern w:val="0"/>
                <w:sz w:val="24"/>
                <w:szCs w:val="24"/>
                <w:highlight w:val="none"/>
                <w:lang w:val="en-US" w:eastAsia="zh-CN" w:bidi="ar-SA"/>
              </w:rPr>
              <w:t>万元存款余额资金流水证明的，得</w:t>
            </w:r>
            <w:r>
              <w:rPr>
                <w:rFonts w:hint="eastAsia" w:ascii="宋体" w:hAnsi="宋体" w:eastAsia="宋体" w:cs="宋体"/>
                <w:snapToGrid w:val="0"/>
                <w:color w:val="auto"/>
                <w:kern w:val="0"/>
                <w:sz w:val="24"/>
                <w:szCs w:val="24"/>
                <w:highlight w:val="none"/>
                <w:u w:val="single"/>
                <w:lang w:val="en-US" w:eastAsia="zh-CN" w:bidi="ar-SA"/>
              </w:rPr>
              <w:t>5</w:t>
            </w:r>
            <w:r>
              <w:rPr>
                <w:rFonts w:hint="eastAsia" w:ascii="宋体" w:hAnsi="宋体" w:eastAsia="宋体" w:cs="宋体"/>
                <w:snapToGrid w:val="0"/>
                <w:color w:val="auto"/>
                <w:kern w:val="0"/>
                <w:sz w:val="24"/>
                <w:szCs w:val="24"/>
                <w:highlight w:val="none"/>
                <w:lang w:val="en-US" w:eastAsia="zh-CN" w:bidi="ar-SA"/>
              </w:rPr>
              <w:t>分。</w:t>
            </w:r>
          </w:p>
          <w:p w14:paraId="1AC89C39">
            <w:pPr>
              <w:pStyle w:val="8"/>
              <w:keepNext w:val="0"/>
              <w:keepLines w:val="0"/>
              <w:pageBreakBefore w:val="0"/>
              <w:widowControl w:val="0"/>
              <w:kinsoku/>
              <w:wordWrap w:val="0"/>
              <w:overflowPunct/>
              <w:topLinePunct w:val="0"/>
              <w:autoSpaceDE/>
              <w:autoSpaceDN/>
              <w:bidi w:val="0"/>
              <w:adjustRightInd w:val="0"/>
              <w:snapToGrid w:val="0"/>
              <w:spacing w:after="0" w:afterLines="0" w:line="400" w:lineRule="exact"/>
              <w:textAlignment w:val="auto"/>
              <w:rPr>
                <w:rFonts w:hint="eastAsia" w:asciiTheme="minorEastAsia" w:hAnsiTheme="minorEastAsia" w:eastAsiaTheme="minorEastAsia" w:cstheme="minorEastAsia"/>
                <w:snapToGrid/>
                <w:color w:val="auto"/>
                <w:kern w:val="2"/>
                <w:sz w:val="24"/>
                <w:szCs w:val="24"/>
                <w:highlight w:val="none"/>
                <w:lang w:eastAsia="zh-CN"/>
              </w:rPr>
            </w:pPr>
          </w:p>
        </w:tc>
        <w:tc>
          <w:tcPr>
            <w:tcW w:w="5358" w:type="dxa"/>
            <w:tcBorders>
              <w:top w:val="single" w:color="auto" w:sz="4" w:space="0"/>
              <w:left w:val="single" w:color="auto" w:sz="4" w:space="0"/>
              <w:bottom w:val="single" w:color="auto" w:sz="4" w:space="0"/>
              <w:right w:val="single" w:color="auto" w:sz="4" w:space="0"/>
            </w:tcBorders>
            <w:noWrap w:val="0"/>
            <w:vAlign w:val="center"/>
          </w:tcPr>
          <w:p w14:paraId="5A0CDFCD">
            <w:pPr>
              <w:pStyle w:val="8"/>
              <w:wordWrap w:val="0"/>
              <w:spacing w:before="0" w:beforeAutospacing="0" w:after="0" w:line="400" w:lineRule="exact"/>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1．需附在有效期内的有关证明扫描件，</w:t>
            </w:r>
            <w:r>
              <w:rPr>
                <w:rFonts w:hint="eastAsia" w:ascii="宋体" w:hAnsi="宋体" w:eastAsia="宋体" w:cs="宋体"/>
                <w:b/>
                <w:bCs/>
                <w:color w:val="auto"/>
                <w:kern w:val="0"/>
                <w:sz w:val="24"/>
                <w:szCs w:val="24"/>
                <w:highlight w:val="none"/>
              </w:rPr>
              <w:t>同时提供原件供核对</w:t>
            </w:r>
            <w:r>
              <w:rPr>
                <w:rFonts w:hint="eastAsia" w:ascii="宋体" w:hAnsi="宋体" w:eastAsia="宋体" w:cs="宋体"/>
                <w:color w:val="auto"/>
                <w:kern w:val="0"/>
                <w:sz w:val="24"/>
                <w:szCs w:val="24"/>
                <w:highlight w:val="none"/>
              </w:rPr>
              <w:t>。</w:t>
            </w:r>
          </w:p>
          <w:p w14:paraId="71B3527F">
            <w:pPr>
              <w:pStyle w:val="8"/>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val="en-US" w:eastAsia="zh-CN"/>
              </w:rPr>
              <w:t>2．</w:t>
            </w:r>
            <w:r>
              <w:rPr>
                <w:rFonts w:hint="eastAsia" w:ascii="宋体" w:hAnsi="宋体" w:eastAsia="宋体" w:cs="宋体"/>
                <w:caps w:val="0"/>
                <w:smallCaps w:val="0"/>
                <w:snapToGrid w:val="0"/>
                <w:color w:val="auto"/>
                <w:spacing w:val="0"/>
                <w:kern w:val="0"/>
                <w:sz w:val="24"/>
                <w:szCs w:val="24"/>
                <w:highlight w:val="none"/>
                <w:lang w:val="en-US" w:eastAsia="zh-CN" w:bidi="ar-SA"/>
              </w:rPr>
              <w:t>银行授信证明</w:t>
            </w:r>
            <w:r>
              <w:rPr>
                <w:rFonts w:hint="eastAsia" w:ascii="宋体" w:hAnsi="宋体" w:eastAsia="宋体" w:cs="宋体"/>
                <w:caps w:val="0"/>
                <w:smallCaps w:val="0"/>
                <w:snapToGrid w:val="0"/>
                <w:color w:val="auto"/>
                <w:spacing w:val="0"/>
                <w:kern w:val="0"/>
                <w:sz w:val="24"/>
                <w:szCs w:val="24"/>
                <w:highlight w:val="none"/>
                <w:lang w:val="en-US" w:eastAsia="zh-CN"/>
              </w:rPr>
              <w:t>有以下情形之一的，视为无效，不予计分</w:t>
            </w:r>
            <w:r>
              <w:rPr>
                <w:rFonts w:hint="eastAsia" w:ascii="宋体" w:hAnsi="宋体" w:eastAsia="宋体" w:cs="宋体"/>
                <w:caps w:val="0"/>
                <w:smallCaps w:val="0"/>
                <w:snapToGrid w:val="0"/>
                <w:color w:val="auto"/>
                <w:spacing w:val="0"/>
                <w:kern w:val="0"/>
                <w:sz w:val="24"/>
                <w:szCs w:val="24"/>
                <w:highlight w:val="none"/>
                <w:lang w:eastAsia="zh-CN"/>
              </w:rPr>
              <w:t>：</w:t>
            </w:r>
          </w:p>
          <w:p w14:paraId="496775D4">
            <w:pPr>
              <w:pStyle w:val="8"/>
              <w:wordWrap w:val="0"/>
              <w:spacing w:before="0" w:beforeAutospacing="0" w:after="0"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kern w:val="0"/>
                <w:sz w:val="24"/>
                <w:szCs w:val="24"/>
                <w:highlight w:val="none"/>
              </w:rPr>
              <w:t>①未提供授信证明原件的；</w:t>
            </w:r>
          </w:p>
          <w:p w14:paraId="08E0E760">
            <w:pPr>
              <w:pStyle w:val="8"/>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②授信证明不在有效期内的；</w:t>
            </w:r>
          </w:p>
          <w:p w14:paraId="599772F2">
            <w:pPr>
              <w:pStyle w:val="8"/>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rPr>
              <w:t>③</w:t>
            </w:r>
            <w:r>
              <w:rPr>
                <w:rFonts w:hint="eastAsia" w:ascii="宋体" w:hAnsi="宋体" w:eastAsia="宋体" w:cs="宋体"/>
                <w:caps w:val="0"/>
                <w:smallCaps w:val="0"/>
                <w:snapToGrid w:val="0"/>
                <w:color w:val="auto"/>
                <w:spacing w:val="0"/>
                <w:kern w:val="0"/>
                <w:sz w:val="24"/>
                <w:szCs w:val="24"/>
                <w:highlight w:val="none"/>
                <w:lang w:val="en-US" w:eastAsia="zh-CN" w:bidi="ar-SA"/>
              </w:rPr>
              <w:t>授信额度不符合要求的；</w:t>
            </w:r>
          </w:p>
          <w:p w14:paraId="002D2900">
            <w:pPr>
              <w:pStyle w:val="8"/>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3.存款余额资金流水证明有以下情形之一的，视为无效，不予计分。</w:t>
            </w:r>
          </w:p>
          <w:p w14:paraId="259A1A75">
            <w:pPr>
              <w:pStyle w:val="8"/>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①未提供存款证明原件的；</w:t>
            </w:r>
          </w:p>
          <w:p w14:paraId="75C2E467">
            <w:pPr>
              <w:pStyle w:val="8"/>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②存款账户不是基本账户的；</w:t>
            </w:r>
          </w:p>
          <w:p w14:paraId="7D5C6C51">
            <w:pPr>
              <w:pStyle w:val="8"/>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rPr>
              <w:t>③</w:t>
            </w:r>
            <w:r>
              <w:rPr>
                <w:rFonts w:hint="eastAsia" w:ascii="宋体" w:hAnsi="宋体" w:eastAsia="宋体" w:cs="宋体"/>
                <w:caps w:val="0"/>
                <w:smallCaps w:val="0"/>
                <w:snapToGrid w:val="0"/>
                <w:color w:val="auto"/>
                <w:spacing w:val="0"/>
                <w:kern w:val="0"/>
                <w:sz w:val="24"/>
                <w:szCs w:val="24"/>
                <w:highlight w:val="none"/>
                <w:lang w:val="en-US" w:eastAsia="zh-CN" w:bidi="ar-SA"/>
              </w:rPr>
              <w:t>存款时间不符合要求的；</w:t>
            </w:r>
          </w:p>
          <w:p w14:paraId="531CF22D">
            <w:pPr>
              <w:pStyle w:val="8"/>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textAlignment w:val="auto"/>
              <w:outlineLvl w:val="9"/>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val="en-US" w:eastAsia="zh-CN"/>
              </w:rPr>
              <w:t>④</w:t>
            </w:r>
            <w:r>
              <w:rPr>
                <w:rFonts w:hint="eastAsia" w:ascii="宋体" w:hAnsi="宋体" w:eastAsia="宋体" w:cs="宋体"/>
                <w:caps w:val="0"/>
                <w:smallCaps w:val="0"/>
                <w:snapToGrid w:val="0"/>
                <w:color w:val="auto"/>
                <w:spacing w:val="0"/>
                <w:kern w:val="0"/>
                <w:sz w:val="24"/>
                <w:szCs w:val="24"/>
                <w:highlight w:val="none"/>
                <w:lang w:val="en-US" w:eastAsia="zh-CN" w:bidi="ar-SA"/>
              </w:rPr>
              <w:t>存款额度不符合要求</w:t>
            </w:r>
            <w:r>
              <w:rPr>
                <w:rFonts w:hint="eastAsia" w:ascii="宋体" w:hAnsi="宋体" w:eastAsia="宋体" w:cs="宋体"/>
                <w:caps w:val="0"/>
                <w:smallCaps w:val="0"/>
                <w:snapToGrid w:val="0"/>
                <w:color w:val="auto"/>
                <w:spacing w:val="0"/>
                <w:kern w:val="0"/>
                <w:sz w:val="24"/>
                <w:szCs w:val="24"/>
                <w:highlight w:val="none"/>
                <w:lang w:val="en-US" w:eastAsia="zh-CN"/>
              </w:rPr>
              <w:t>的。</w:t>
            </w:r>
          </w:p>
        </w:tc>
      </w:tr>
      <w:tr w14:paraId="6CB6C465">
        <w:tblPrEx>
          <w:tblCellMar>
            <w:top w:w="0" w:type="dxa"/>
            <w:left w:w="108" w:type="dxa"/>
            <w:bottom w:w="0" w:type="dxa"/>
            <w:right w:w="108" w:type="dxa"/>
          </w:tblCellMar>
        </w:tblPrEx>
        <w:trPr>
          <w:trHeight w:val="1289" w:hRule="atLeast"/>
          <w:jc w:val="center"/>
        </w:trPr>
        <w:tc>
          <w:tcPr>
            <w:tcW w:w="1216" w:type="dxa"/>
            <w:vMerge w:val="restart"/>
            <w:tcBorders>
              <w:top w:val="single" w:color="auto" w:sz="4" w:space="0"/>
              <w:left w:val="single" w:color="auto" w:sz="4" w:space="0"/>
              <w:bottom w:val="single" w:color="auto" w:sz="4" w:space="0"/>
              <w:right w:val="single" w:color="auto" w:sz="4" w:space="0"/>
            </w:tcBorders>
            <w:noWrap w:val="0"/>
            <w:vAlign w:val="center"/>
          </w:tcPr>
          <w:p w14:paraId="1FB68D44">
            <w:pPr>
              <w:pStyle w:val="8"/>
              <w:keepNext w:val="0"/>
              <w:keepLines w:val="0"/>
              <w:pageBreakBefore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w:t>
            </w:r>
          </w:p>
          <w:p w14:paraId="34731F0C">
            <w:pPr>
              <w:pStyle w:val="8"/>
              <w:keepNext w:val="0"/>
              <w:keepLines w:val="0"/>
              <w:pageBreakBefore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自</w:t>
            </w:r>
            <w:r>
              <w:rPr>
                <w:rFonts w:hint="eastAsia" w:ascii="宋体" w:hAnsi="宋体" w:eastAsia="宋体" w:cs="宋体"/>
                <w:snapToGrid w:val="0"/>
                <w:color w:val="auto"/>
                <w:kern w:val="0"/>
                <w:sz w:val="24"/>
                <w:szCs w:val="24"/>
                <w:highlight w:val="none"/>
                <w:lang w:eastAsia="zh-CN"/>
              </w:rPr>
              <w:t>选</w:t>
            </w:r>
            <w:r>
              <w:rPr>
                <w:rFonts w:hint="eastAsia" w:ascii="宋体" w:hAnsi="宋体" w:eastAsia="宋体" w:cs="宋体"/>
                <w:snapToGrid w:val="0"/>
                <w:color w:val="auto"/>
                <w:kern w:val="0"/>
                <w:sz w:val="24"/>
                <w:szCs w:val="24"/>
                <w:highlight w:val="none"/>
              </w:rPr>
              <w:t>项</w:t>
            </w:r>
          </w:p>
          <w:p w14:paraId="40E310CC">
            <w:pPr>
              <w:pStyle w:val="8"/>
              <w:keepNext w:val="0"/>
              <w:keepLines w:val="0"/>
              <w:pageBreakBefore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0分）</w:t>
            </w:r>
          </w:p>
          <w:p w14:paraId="5B5A1C11">
            <w:pPr>
              <w:pStyle w:val="8"/>
              <w:keepNext w:val="0"/>
              <w:keepLines w:val="0"/>
              <w:pageBreakBefore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val="en-US" w:eastAsia="zh-CN"/>
              </w:rPr>
              <w:t>（联合牵头人提供）</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484E52C0">
            <w:pPr>
              <w:pStyle w:val="48"/>
              <w:wordWrap w:val="0"/>
              <w:spacing w:line="360" w:lineRule="exact"/>
              <w:ind w:firstLine="480" w:firstLineChars="200"/>
              <w:jc w:val="left"/>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1.企业近年来（2022年度~至今）连续3年获得省级或以上商业联合会颁发的诚信兴商企业证书的得5分；</w:t>
            </w:r>
          </w:p>
          <w:p w14:paraId="3C3E7A15">
            <w:pPr>
              <w:pStyle w:val="8"/>
              <w:wordWrap w:val="0"/>
              <w:spacing w:after="0" w:line="360" w:lineRule="exact"/>
              <w:ind w:firstLine="480" w:firstLineChars="200"/>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bidi="ar"/>
              </w:rPr>
              <w:t>2.其他情形的，不予计分。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23EB67BE">
            <w:pPr>
              <w:pStyle w:val="8"/>
              <w:wordWrap w:val="0"/>
              <w:spacing w:after="0" w:line="360" w:lineRule="exact"/>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1．须提供有关证书彩色扫描件，同时提供原件核对。</w:t>
            </w:r>
          </w:p>
          <w:p w14:paraId="41791BF6">
            <w:pPr>
              <w:keepNext w:val="0"/>
              <w:keepLines w:val="0"/>
              <w:widowControl/>
              <w:suppressLineNumbers w:val="0"/>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bidi="ar"/>
              </w:rPr>
              <w:t>2．未提供原件的，颁发机构不符合要求的，按第2项标准处理。</w:t>
            </w:r>
          </w:p>
        </w:tc>
      </w:tr>
      <w:tr w14:paraId="27669AAE">
        <w:tblPrEx>
          <w:tblCellMar>
            <w:top w:w="0" w:type="dxa"/>
            <w:left w:w="108" w:type="dxa"/>
            <w:bottom w:w="0" w:type="dxa"/>
            <w:right w:w="108" w:type="dxa"/>
          </w:tblCellMar>
        </w:tblPrEx>
        <w:trPr>
          <w:trHeight w:val="2177"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1289DFE8">
            <w:pPr>
              <w:pStyle w:val="8"/>
              <w:keepNext w:val="0"/>
              <w:keepLines w:val="0"/>
              <w:pageBreakBefore w:val="0"/>
              <w:kinsoku/>
              <w:wordWrap w:val="0"/>
              <w:overflowPunct/>
              <w:topLinePunct w:val="0"/>
              <w:autoSpaceDE/>
              <w:autoSpaceDN/>
              <w:bidi w:val="0"/>
              <w:adjustRightInd w:val="0"/>
              <w:snapToGrid w:val="0"/>
              <w:spacing w:after="0" w:afterLines="0" w:line="360" w:lineRule="exact"/>
              <w:jc w:val="center"/>
              <w:textAlignment w:val="auto"/>
              <w:rPr>
                <w:rFonts w:hint="eastAsia" w:asciiTheme="minorEastAsia" w:hAnsiTheme="minorEastAsia" w:eastAsiaTheme="minorEastAsia" w:cstheme="minorEastAsia"/>
                <w:b/>
                <w:bCs/>
                <w:snapToGrid/>
                <w:color w:val="auto"/>
                <w:kern w:val="0"/>
                <w:sz w:val="21"/>
                <w:szCs w:val="21"/>
                <w:highlight w:val="none"/>
                <w:lang w:eastAsia="zh-CN" w:bidi="ar"/>
              </w:rPr>
            </w:pPr>
          </w:p>
        </w:tc>
        <w:tc>
          <w:tcPr>
            <w:tcW w:w="3733" w:type="dxa"/>
            <w:tcBorders>
              <w:top w:val="single" w:color="auto" w:sz="4" w:space="0"/>
              <w:left w:val="single" w:color="auto" w:sz="4" w:space="0"/>
              <w:bottom w:val="single" w:color="auto" w:sz="4" w:space="0"/>
              <w:right w:val="single" w:color="auto" w:sz="4" w:space="0"/>
            </w:tcBorders>
            <w:noWrap w:val="0"/>
            <w:vAlign w:val="center"/>
          </w:tcPr>
          <w:p w14:paraId="16D77893">
            <w:pPr>
              <w:pStyle w:val="48"/>
              <w:numPr>
                <w:ilvl w:val="0"/>
                <w:numId w:val="0"/>
              </w:num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1.企业近年来（2022年度~至今）</w:t>
            </w:r>
            <w:r>
              <w:rPr>
                <w:rFonts w:hint="eastAsia" w:ascii="宋体" w:hAnsi="宋体" w:eastAsia="宋体" w:cs="宋体"/>
                <w:snapToGrid w:val="0"/>
                <w:color w:val="auto"/>
                <w:kern w:val="0"/>
                <w:sz w:val="24"/>
                <w:szCs w:val="24"/>
                <w:highlight w:val="none"/>
              </w:rPr>
              <w:t>获得过行政部门颁发的城市“绿美”荣誉证书的得</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分；</w:t>
            </w:r>
          </w:p>
          <w:p w14:paraId="39560E44">
            <w:pPr>
              <w:pStyle w:val="48"/>
              <w:numPr>
                <w:ilvl w:val="0"/>
                <w:numId w:val="0"/>
              </w:numPr>
              <w:wordWrap w:val="0"/>
              <w:adjustRightInd w:val="0"/>
              <w:snapToGrid w:val="0"/>
              <w:spacing w:line="360" w:lineRule="auto"/>
              <w:ind w:left="0" w:leftChars="0" w:firstLine="480" w:firstLineChars="200"/>
              <w:jc w:val="left"/>
              <w:rPr>
                <w:rFonts w:hint="eastAsia" w:asciiTheme="minorEastAsia" w:hAnsiTheme="minorEastAsia" w:eastAsiaTheme="minorEastAsia" w:cstheme="minorEastAsia"/>
                <w:snapToGrid/>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2.其他情形的不予计分。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7214F6C4">
            <w:pPr>
              <w:pStyle w:val="8"/>
              <w:keepNext w:val="0"/>
              <w:keepLines w:val="0"/>
              <w:pageBreakBefore w:val="0"/>
              <w:widowControl/>
              <w:wordWrap w:val="0"/>
              <w:overflowPunct/>
              <w:topLinePunct w:val="0"/>
              <w:bidi w:val="0"/>
              <w:adjustRightInd w:val="0"/>
              <w:snapToGrid w:val="0"/>
              <w:spacing w:line="312" w:lineRule="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1.证书由市级或以上行政部门颁发，须提供有关证书彩色扫描件，同时提供原件核对。</w:t>
            </w:r>
          </w:p>
        </w:tc>
      </w:tr>
      <w:tr w14:paraId="153314B6">
        <w:tblPrEx>
          <w:tblCellMar>
            <w:top w:w="0" w:type="dxa"/>
            <w:left w:w="108" w:type="dxa"/>
            <w:bottom w:w="0" w:type="dxa"/>
            <w:right w:w="108" w:type="dxa"/>
          </w:tblCellMar>
        </w:tblPrEx>
        <w:trPr>
          <w:trHeight w:val="90"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22DE6E5E">
            <w:pPr>
              <w:pStyle w:val="8"/>
              <w:keepNext w:val="0"/>
              <w:keepLines w:val="0"/>
              <w:pageBreakBefore w:val="0"/>
              <w:kinsoku/>
              <w:wordWrap w:val="0"/>
              <w:overflowPunct/>
              <w:topLinePunct w:val="0"/>
              <w:autoSpaceDE/>
              <w:autoSpaceDN/>
              <w:bidi w:val="0"/>
              <w:adjustRightInd w:val="0"/>
              <w:snapToGrid w:val="0"/>
              <w:spacing w:after="0" w:afterLines="0" w:line="360" w:lineRule="exact"/>
              <w:jc w:val="center"/>
              <w:textAlignment w:val="auto"/>
              <w:rPr>
                <w:rFonts w:hint="eastAsia" w:asciiTheme="minorEastAsia" w:hAnsiTheme="minorEastAsia" w:eastAsiaTheme="minorEastAsia" w:cstheme="minorEastAsia"/>
                <w:b/>
                <w:bCs/>
                <w:snapToGrid/>
                <w:color w:val="auto"/>
                <w:kern w:val="0"/>
                <w:sz w:val="21"/>
                <w:szCs w:val="21"/>
                <w:highlight w:val="none"/>
                <w:lang w:eastAsia="zh-CN" w:bidi="ar"/>
              </w:rPr>
            </w:pPr>
          </w:p>
        </w:tc>
        <w:tc>
          <w:tcPr>
            <w:tcW w:w="3733" w:type="dxa"/>
            <w:tcBorders>
              <w:top w:val="single" w:color="auto" w:sz="4" w:space="0"/>
              <w:left w:val="single" w:color="auto" w:sz="4" w:space="0"/>
              <w:bottom w:val="single" w:color="auto" w:sz="4" w:space="0"/>
              <w:right w:val="single" w:color="auto" w:sz="4" w:space="0"/>
            </w:tcBorders>
            <w:noWrap w:val="0"/>
            <w:vAlign w:val="center"/>
          </w:tcPr>
          <w:p w14:paraId="1AFE8894">
            <w:pPr>
              <w:pStyle w:val="8"/>
              <w:wordWrap w:val="0"/>
              <w:spacing w:after="0" w:line="360" w:lineRule="exact"/>
              <w:ind w:firstLine="480" w:firstLineChars="200"/>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1.企业近年来（2022年度~至今）连续2年以上（含2年）获得地级市及以上建筑协会颁发的“优秀典型施工企业”，得5分。</w:t>
            </w:r>
          </w:p>
          <w:p w14:paraId="02430A41">
            <w:pPr>
              <w:pStyle w:val="9"/>
              <w:ind w:firstLine="480" w:firstLineChars="200"/>
              <w:rPr>
                <w:rFonts w:hint="eastAsia" w:asciiTheme="minorEastAsia" w:hAnsiTheme="minorEastAsia" w:eastAsiaTheme="minorEastAsia" w:cstheme="minorEastAsia"/>
                <w:snapToGrid/>
                <w:color w:val="auto"/>
                <w:kern w:val="2"/>
                <w:sz w:val="24"/>
                <w:szCs w:val="24"/>
                <w:highlight w:val="none"/>
                <w:lang w:eastAsia="zh-CN"/>
              </w:rPr>
            </w:pPr>
            <w:r>
              <w:rPr>
                <w:rFonts w:hint="eastAsia" w:ascii="宋体" w:hAnsi="宋体" w:eastAsia="宋体" w:cs="宋体"/>
                <w:snapToGrid w:val="0"/>
                <w:color w:val="auto"/>
                <w:kern w:val="0"/>
                <w:sz w:val="24"/>
                <w:szCs w:val="24"/>
                <w:highlight w:val="none"/>
                <w:lang w:val="en-US" w:eastAsia="zh-CN" w:bidi="ar"/>
              </w:rPr>
              <w:t>2.其他情形的，不予计分。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489AAEBB">
            <w:pPr>
              <w:pStyle w:val="8"/>
              <w:wordWrap w:val="0"/>
              <w:spacing w:after="0" w:line="360" w:lineRule="exact"/>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1.需提供证书彩色扫描件，同时提供证书原件供核对（证书为电子证书的除外）,否则不得分。</w:t>
            </w:r>
          </w:p>
          <w:p w14:paraId="72127D46">
            <w:pPr>
              <w:pStyle w:val="8"/>
              <w:wordWrap w:val="0"/>
              <w:spacing w:after="0" w:line="360" w:lineRule="exact"/>
              <w:rPr>
                <w:rFonts w:hint="eastAsia" w:asciiTheme="minorEastAsia" w:hAnsiTheme="minorEastAsia" w:eastAsiaTheme="minorEastAsia" w:cstheme="minorEastAsia"/>
                <w:b w:val="0"/>
                <w:bCs w:val="0"/>
                <w:snapToGrid/>
                <w:color w:val="auto"/>
                <w:kern w:val="0"/>
                <w:sz w:val="24"/>
                <w:szCs w:val="24"/>
                <w:highlight w:val="none"/>
                <w:lang w:eastAsia="zh-CN" w:bidi="ar"/>
              </w:rPr>
            </w:pPr>
            <w:r>
              <w:rPr>
                <w:rFonts w:hint="eastAsia" w:ascii="宋体" w:hAnsi="宋体" w:eastAsia="宋体" w:cs="宋体"/>
                <w:snapToGrid w:val="0"/>
                <w:color w:val="auto"/>
                <w:kern w:val="0"/>
                <w:sz w:val="24"/>
                <w:szCs w:val="24"/>
                <w:highlight w:val="none"/>
                <w:lang w:val="en-US" w:eastAsia="zh-CN" w:bidi="ar"/>
              </w:rPr>
              <w:t>2.需提供地级市及以上建设行政主管部门或地级市及以上建筑协会网站截图打印页,否则不得分。（相关协会需经民政部门备案）</w:t>
            </w:r>
          </w:p>
        </w:tc>
      </w:tr>
      <w:tr w14:paraId="49F0998F">
        <w:tblPrEx>
          <w:tblCellMar>
            <w:top w:w="0" w:type="dxa"/>
            <w:left w:w="108" w:type="dxa"/>
            <w:bottom w:w="0" w:type="dxa"/>
            <w:right w:w="108" w:type="dxa"/>
          </w:tblCellMar>
        </w:tblPrEx>
        <w:trPr>
          <w:trHeight w:val="2055"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417C9A58">
            <w:pPr>
              <w:pStyle w:val="8"/>
              <w:keepNext w:val="0"/>
              <w:keepLines w:val="0"/>
              <w:pageBreakBefore w:val="0"/>
              <w:kinsoku/>
              <w:wordWrap w:val="0"/>
              <w:overflowPunct/>
              <w:topLinePunct w:val="0"/>
              <w:autoSpaceDE/>
              <w:autoSpaceDN/>
              <w:bidi w:val="0"/>
              <w:adjustRightInd w:val="0"/>
              <w:snapToGrid w:val="0"/>
              <w:spacing w:after="0" w:afterLines="0" w:line="360" w:lineRule="exact"/>
              <w:jc w:val="center"/>
              <w:textAlignment w:val="auto"/>
              <w:rPr>
                <w:rFonts w:hint="eastAsia" w:asciiTheme="minorEastAsia" w:hAnsiTheme="minorEastAsia" w:eastAsiaTheme="minorEastAsia" w:cstheme="minorEastAsia"/>
                <w:b/>
                <w:bCs/>
                <w:snapToGrid/>
                <w:color w:val="auto"/>
                <w:kern w:val="0"/>
                <w:sz w:val="21"/>
                <w:szCs w:val="21"/>
                <w:highlight w:val="none"/>
                <w:lang w:eastAsia="zh-CN" w:bidi="ar"/>
              </w:rPr>
            </w:pPr>
          </w:p>
        </w:tc>
        <w:tc>
          <w:tcPr>
            <w:tcW w:w="3733" w:type="dxa"/>
            <w:tcBorders>
              <w:top w:val="single" w:color="auto" w:sz="4" w:space="0"/>
              <w:left w:val="single" w:color="auto" w:sz="4" w:space="0"/>
              <w:bottom w:val="single" w:color="auto" w:sz="4" w:space="0"/>
              <w:right w:val="single" w:color="auto" w:sz="4" w:space="0"/>
            </w:tcBorders>
            <w:noWrap w:val="0"/>
            <w:vAlign w:val="center"/>
          </w:tcPr>
          <w:p w14:paraId="090DBEAA">
            <w:pPr>
              <w:pStyle w:val="48"/>
              <w:numPr>
                <w:ilvl w:val="0"/>
                <w:numId w:val="0"/>
              </w:numPr>
              <w:wordWrap w:val="0"/>
              <w:adjustRightInd w:val="0"/>
              <w:snapToGrid w:val="0"/>
              <w:spacing w:line="360" w:lineRule="auto"/>
              <w:ind w:firstLine="480" w:firstLineChars="200"/>
              <w:jc w:val="left"/>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1.</w:t>
            </w:r>
            <w:r>
              <w:rPr>
                <w:rFonts w:hint="eastAsia" w:ascii="宋体" w:hAnsi="宋体" w:eastAsia="宋体" w:cs="宋体"/>
                <w:snapToGrid w:val="0"/>
                <w:color w:val="auto"/>
                <w:kern w:val="0"/>
                <w:sz w:val="24"/>
                <w:szCs w:val="24"/>
                <w:highlight w:val="none"/>
                <w:lang w:val="en-US" w:eastAsia="zh-CN" w:bidi="ar"/>
              </w:rPr>
              <w:t>企业近年来（2022年度~至今）连续2年以上（含2年）</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获得过“用户满意企业”的，得 5 分。</w:t>
            </w:r>
          </w:p>
          <w:p w14:paraId="128402E3">
            <w:pPr>
              <w:pStyle w:val="48"/>
              <w:numPr>
                <w:ilvl w:val="0"/>
                <w:numId w:val="0"/>
              </w:numPr>
              <w:wordWrap w:val="0"/>
              <w:adjustRightInd w:val="0"/>
              <w:snapToGrid w:val="0"/>
              <w:spacing w:line="360" w:lineRule="auto"/>
              <w:ind w:left="0" w:leftChars="0" w:firstLine="480" w:firstLineChars="200"/>
              <w:jc w:val="left"/>
              <w:rPr>
                <w:rFonts w:hint="eastAsia" w:asciiTheme="minorEastAsia" w:hAnsiTheme="minorEastAsia" w:eastAsiaTheme="minorEastAsia" w:cstheme="minorEastAsia"/>
                <w:b/>
                <w:bCs/>
                <w:snapToGrid w:val="0"/>
                <w:color w:val="auto"/>
                <w:kern w:val="0"/>
                <w:sz w:val="24"/>
                <w:szCs w:val="24"/>
                <w:highlight w:val="none"/>
                <w:lang w:val="en-US" w:eastAsia="zh-CN"/>
              </w:rPr>
            </w:pPr>
            <w:r>
              <w:rPr>
                <w:rFonts w:hint="eastAsia" w:ascii="宋体" w:hAnsi="宋体" w:eastAsia="宋体" w:cs="宋体"/>
                <w:b w:val="0"/>
                <w:bCs w:val="0"/>
                <w:i w:val="0"/>
                <w:iCs w:val="0"/>
                <w:snapToGrid w:val="0"/>
                <w:color w:val="auto"/>
                <w:kern w:val="0"/>
                <w:sz w:val="24"/>
                <w:szCs w:val="24"/>
                <w:highlight w:val="none"/>
                <w:lang w:val="en-US" w:eastAsia="zh-CN"/>
              </w:rPr>
              <w:t>2.</w:t>
            </w:r>
            <w:r>
              <w:rPr>
                <w:rFonts w:hint="eastAsia" w:ascii="宋体" w:hAnsi="宋体" w:eastAsia="宋体" w:cs="宋体"/>
                <w:b w:val="0"/>
                <w:bCs w:val="0"/>
                <w:i w:val="0"/>
                <w:iCs w:val="0"/>
                <w:snapToGrid w:val="0"/>
                <w:color w:val="auto"/>
                <w:kern w:val="0"/>
                <w:sz w:val="24"/>
                <w:szCs w:val="24"/>
                <w:highlight w:val="none"/>
              </w:rPr>
              <w:t>其他情形的，不予计分。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4E03B299">
            <w:pPr>
              <w:pStyle w:val="8"/>
              <w:wordWrap w:val="0"/>
              <w:adjustRightInd w:val="0"/>
              <w:snapToGrid w:val="0"/>
              <w:spacing w:after="0" w:line="360" w:lineRule="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1．需附证书彩色扫描件及相关网页截图及网址供查询，同时提供原件供核对。</w:t>
            </w:r>
          </w:p>
          <w:p w14:paraId="173E509B">
            <w:pPr>
              <w:pStyle w:val="8"/>
              <w:wordWrap w:val="0"/>
              <w:adjustRightInd w:val="0"/>
              <w:snapToGrid w:val="0"/>
              <w:spacing w:after="0" w:line="360" w:lineRule="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2．证书须由省级/国级质量协会颁发。</w:t>
            </w:r>
          </w:p>
          <w:p w14:paraId="44EF729F">
            <w:pPr>
              <w:pStyle w:val="8"/>
              <w:wordWrap w:val="0"/>
              <w:adjustRightInd w:val="0"/>
              <w:snapToGrid w:val="0"/>
              <w:spacing w:after="0" w:line="360" w:lineRule="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3．未提供原件的；颁发机构、获奖时间不符合评分标准和备注规定的，不予得分。</w:t>
            </w:r>
          </w:p>
        </w:tc>
      </w:tr>
      <w:tr w14:paraId="047331B0">
        <w:tblPrEx>
          <w:tblCellMar>
            <w:top w:w="0" w:type="dxa"/>
            <w:left w:w="108" w:type="dxa"/>
            <w:bottom w:w="0" w:type="dxa"/>
            <w:right w:w="108" w:type="dxa"/>
          </w:tblCellMar>
        </w:tblPrEx>
        <w:trPr>
          <w:trHeight w:val="2055"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6EFC2F21">
            <w:pPr>
              <w:pStyle w:val="8"/>
              <w:keepNext w:val="0"/>
              <w:keepLines w:val="0"/>
              <w:pageBreakBefore w:val="0"/>
              <w:kinsoku/>
              <w:wordWrap w:val="0"/>
              <w:overflowPunct/>
              <w:topLinePunct w:val="0"/>
              <w:autoSpaceDE/>
              <w:autoSpaceDN/>
              <w:bidi w:val="0"/>
              <w:adjustRightInd w:val="0"/>
              <w:snapToGrid w:val="0"/>
              <w:spacing w:after="0" w:afterLines="0" w:line="360" w:lineRule="exact"/>
              <w:jc w:val="center"/>
              <w:textAlignment w:val="auto"/>
              <w:rPr>
                <w:rFonts w:hint="eastAsia" w:asciiTheme="minorEastAsia" w:hAnsiTheme="minorEastAsia" w:eastAsiaTheme="minorEastAsia" w:cstheme="minorEastAsia"/>
                <w:b/>
                <w:bCs/>
                <w:snapToGrid/>
                <w:color w:val="auto"/>
                <w:kern w:val="0"/>
                <w:sz w:val="21"/>
                <w:szCs w:val="21"/>
                <w:highlight w:val="none"/>
                <w:lang w:eastAsia="zh-CN" w:bidi="ar"/>
              </w:rPr>
            </w:pPr>
          </w:p>
        </w:tc>
        <w:tc>
          <w:tcPr>
            <w:tcW w:w="3733" w:type="dxa"/>
            <w:tcBorders>
              <w:top w:val="single" w:color="auto" w:sz="4" w:space="0"/>
              <w:left w:val="single" w:color="auto" w:sz="4" w:space="0"/>
              <w:bottom w:val="single" w:color="auto" w:sz="4" w:space="0"/>
              <w:right w:val="single" w:color="auto" w:sz="4" w:space="0"/>
            </w:tcBorders>
            <w:noWrap w:val="0"/>
            <w:vAlign w:val="center"/>
          </w:tcPr>
          <w:p w14:paraId="72D42D6F">
            <w:pPr>
              <w:pStyle w:val="8"/>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lang w:val="en-US" w:eastAsia="zh-CN" w:bidi="ar"/>
              </w:rPr>
              <w:t>企业近年来（2022年度~至今）</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获得过</w:t>
            </w:r>
            <w:r>
              <w:rPr>
                <w:rFonts w:hint="eastAsia" w:ascii="宋体" w:hAnsi="宋体" w:eastAsia="宋体" w:cs="宋体"/>
                <w:snapToGrid w:val="0"/>
                <w:color w:val="auto"/>
                <w:kern w:val="0"/>
                <w:sz w:val="24"/>
                <w:szCs w:val="24"/>
                <w:highlight w:val="none"/>
                <w:lang w:val="en-US" w:eastAsia="zh-CN"/>
              </w:rPr>
              <w:t>中国市政工程协会颁发的企业信用等级AAA级证书的，得5分。</w:t>
            </w:r>
          </w:p>
          <w:p w14:paraId="1290ECDF">
            <w:pPr>
              <w:ind w:firstLine="480" w:firstLineChars="200"/>
              <w:rPr>
                <w:rFonts w:hint="eastAsia" w:asciiTheme="minorEastAsia" w:hAnsiTheme="minorEastAsia" w:eastAsiaTheme="minorEastAsia" w:cstheme="minorEastAsia"/>
                <w:b/>
                <w:bCs/>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2.其他情形的，不予计分。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4EC7FB12">
            <w:pPr>
              <w:pStyle w:val="8"/>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1.证书由“中国市政工程协会”颁发，须提供有关证书彩色扫描件。</w:t>
            </w:r>
          </w:p>
          <w:p w14:paraId="3D2C1C11">
            <w:pPr>
              <w:pStyle w:val="8"/>
              <w:wordWrap w:val="0"/>
              <w:adjustRightInd w:val="0"/>
              <w:snapToGrid w:val="0"/>
              <w:spacing w:line="400" w:lineRule="exac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颁发机构不符合要求的，按第2项标准处理。</w:t>
            </w:r>
          </w:p>
        </w:tc>
      </w:tr>
      <w:tr w14:paraId="5C21B6FE">
        <w:tblPrEx>
          <w:tblCellMar>
            <w:top w:w="0" w:type="dxa"/>
            <w:left w:w="108" w:type="dxa"/>
            <w:bottom w:w="0" w:type="dxa"/>
            <w:right w:w="108" w:type="dxa"/>
          </w:tblCellMar>
        </w:tblPrEx>
        <w:trPr>
          <w:trHeight w:val="438"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37B740FC">
            <w:pPr>
              <w:pStyle w:val="8"/>
              <w:keepNext w:val="0"/>
              <w:keepLines w:val="0"/>
              <w:pageBreakBefore w:val="0"/>
              <w:kinsoku/>
              <w:wordWrap w:val="0"/>
              <w:overflowPunct/>
              <w:topLinePunct w:val="0"/>
              <w:autoSpaceDE/>
              <w:autoSpaceDN/>
              <w:bidi w:val="0"/>
              <w:adjustRightInd w:val="0"/>
              <w:snapToGrid w:val="0"/>
              <w:spacing w:after="0" w:afterLines="0" w:line="36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bidi="ar"/>
              </w:rPr>
            </w:pPr>
          </w:p>
        </w:tc>
        <w:tc>
          <w:tcPr>
            <w:tcW w:w="3733" w:type="dxa"/>
            <w:tcBorders>
              <w:top w:val="single" w:color="auto" w:sz="4" w:space="0"/>
              <w:left w:val="single" w:color="auto" w:sz="4" w:space="0"/>
              <w:bottom w:val="single" w:color="auto" w:sz="4" w:space="0"/>
              <w:right w:val="single" w:color="auto" w:sz="4" w:space="0"/>
            </w:tcBorders>
            <w:noWrap w:val="0"/>
            <w:vAlign w:val="center"/>
          </w:tcPr>
          <w:p w14:paraId="29030740">
            <w:pPr>
              <w:pStyle w:val="48"/>
              <w:numPr>
                <w:ilvl w:val="0"/>
                <w:numId w:val="0"/>
              </w:numPr>
              <w:wordWrap w:val="0"/>
              <w:ind w:leftChars="0" w:firstLine="480" w:firstLineChars="200"/>
              <w:jc w:val="left"/>
              <w:rPr>
                <w:rFonts w:hint="eastAsia" w:ascii="宋体" w:hAnsi="宋体" w:eastAsia="宋体" w:cs="宋体"/>
                <w:color w:val="auto"/>
                <w:kern w:val="0"/>
                <w:sz w:val="24"/>
                <w:szCs w:val="24"/>
              </w:rPr>
            </w:pPr>
            <w:r>
              <w:rPr>
                <w:rFonts w:hint="eastAsia" w:ascii="宋体" w:hAnsi="宋体" w:eastAsia="宋体" w:cs="宋体"/>
                <w:snapToGrid w:val="0"/>
                <w:color w:val="auto"/>
                <w:kern w:val="0"/>
                <w:sz w:val="24"/>
                <w:szCs w:val="24"/>
                <w:highlight w:val="none"/>
                <w:lang w:val="en-US" w:eastAsia="zh-CN" w:bidi="ar"/>
              </w:rPr>
              <w:t>1.企业近年来（2022年度~至今）</w:t>
            </w:r>
            <w:r>
              <w:rPr>
                <w:rFonts w:hint="eastAsia" w:ascii="宋体" w:hAnsi="宋体" w:eastAsia="宋体" w:cs="宋体"/>
                <w:color w:val="auto"/>
                <w:kern w:val="0"/>
                <w:sz w:val="24"/>
                <w:szCs w:val="24"/>
              </w:rPr>
              <w:t>获得过县（市、区）级行政主管部门或以上人民政府、人民武装部颁发的“民兵建设先进企业”证书的得</w:t>
            </w: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分；</w:t>
            </w:r>
          </w:p>
          <w:p w14:paraId="0A82375B">
            <w:pPr>
              <w:pStyle w:val="8"/>
              <w:spacing w:before="0" w:beforeAutospacing="0" w:after="0" w:line="400" w:lineRule="exact"/>
              <w:ind w:firstLine="480" w:firstLineChars="200"/>
              <w:jc w:val="left"/>
              <w:rPr>
                <w:rFonts w:hint="eastAsia" w:asciiTheme="minorEastAsia" w:hAnsiTheme="minorEastAsia" w:eastAsiaTheme="minorEastAsia" w:cstheme="minorEastAsia"/>
                <w:snapToGrid/>
                <w:color w:val="auto"/>
                <w:kern w:val="0"/>
                <w:sz w:val="24"/>
                <w:szCs w:val="24"/>
                <w:highlight w:val="none"/>
                <w:lang w:eastAsia="zh-CN"/>
              </w:rPr>
            </w:pPr>
            <w:r>
              <w:rPr>
                <w:rFonts w:hint="eastAsia" w:ascii="宋体" w:hAnsi="宋体" w:eastAsia="宋体" w:cs="宋体"/>
                <w:b w:val="0"/>
                <w:bCs w:val="0"/>
                <w:i w:val="0"/>
                <w:iCs w:val="0"/>
                <w:snapToGrid w:val="0"/>
                <w:color w:val="auto"/>
                <w:kern w:val="0"/>
                <w:sz w:val="24"/>
                <w:szCs w:val="24"/>
                <w:highlight w:val="none"/>
                <w:lang w:val="en-US" w:eastAsia="zh-CN"/>
              </w:rPr>
              <w:t>2.</w:t>
            </w:r>
            <w:r>
              <w:rPr>
                <w:rFonts w:hint="eastAsia" w:ascii="宋体" w:hAnsi="宋体" w:eastAsia="宋体" w:cs="宋体"/>
                <w:b w:val="0"/>
                <w:bCs w:val="0"/>
                <w:i w:val="0"/>
                <w:iCs w:val="0"/>
                <w:snapToGrid w:val="0"/>
                <w:color w:val="auto"/>
                <w:kern w:val="0"/>
                <w:sz w:val="24"/>
                <w:szCs w:val="24"/>
                <w:highlight w:val="none"/>
              </w:rPr>
              <w:t>其他情形的，不予计分。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0856D794">
            <w:pPr>
              <w:pStyle w:val="8"/>
              <w:wordWrap w:val="0"/>
              <w:spacing w:after="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1．须提供有关证书彩色扫描件，同时提供原件供核对。（证书为电子证书的除外）</w:t>
            </w:r>
          </w:p>
          <w:p w14:paraId="15FF17A6">
            <w:pPr>
              <w:pStyle w:val="8"/>
              <w:wordWrap w:val="0"/>
              <w:spacing w:after="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2．未提供原件的，颁发机构、时间不符合要求的，按第2项标准处理。</w:t>
            </w:r>
          </w:p>
          <w:p w14:paraId="6FBF4145">
            <w:pPr>
              <w:pStyle w:val="15"/>
              <w:spacing w:before="0" w:beforeAutospacing="0"/>
              <w:rPr>
                <w:rFonts w:hint="eastAsia" w:asciiTheme="minorEastAsia" w:hAnsiTheme="minorEastAsia" w:eastAsiaTheme="minorEastAsia" w:cstheme="minorEastAsia"/>
                <w:snapToGrid w:val="0"/>
                <w:color w:val="auto"/>
                <w:kern w:val="0"/>
                <w:sz w:val="24"/>
                <w:szCs w:val="24"/>
                <w:highlight w:val="none"/>
                <w:lang w:val="en-US" w:eastAsia="zh-CN"/>
              </w:rPr>
            </w:pPr>
          </w:p>
        </w:tc>
      </w:tr>
      <w:tr w14:paraId="4CF3F82A">
        <w:tblPrEx>
          <w:tblCellMar>
            <w:top w:w="0" w:type="dxa"/>
            <w:left w:w="108" w:type="dxa"/>
            <w:bottom w:w="0" w:type="dxa"/>
            <w:right w:w="108" w:type="dxa"/>
          </w:tblCellMar>
        </w:tblPrEx>
        <w:trPr>
          <w:trHeight w:val="567" w:hRule="exact"/>
          <w:jc w:val="center"/>
        </w:trPr>
        <w:tc>
          <w:tcPr>
            <w:tcW w:w="10307"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08818D0D">
            <w:pPr>
              <w:widowControl w:val="0"/>
              <w:wordWrap w:val="0"/>
              <w:adjustRightInd w:val="0"/>
              <w:snapToGrid w:val="0"/>
              <w:spacing w:after="0" w:line="440" w:lineRule="exact"/>
              <w:jc w:val="left"/>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b/>
                <w:bCs/>
                <w:color w:val="auto"/>
                <w:kern w:val="0"/>
                <w:sz w:val="24"/>
                <w:szCs w:val="24"/>
                <w:highlight w:val="none"/>
                <w:lang w:val="en-US" w:eastAsia="zh-CN" w:bidi="ar-SA"/>
              </w:rPr>
              <w:t>技术部分（施工组织设计），满分：</w:t>
            </w:r>
            <w:r>
              <w:rPr>
                <w:rFonts w:hint="eastAsia" w:asciiTheme="minorEastAsia" w:hAnsiTheme="minorEastAsia" w:eastAsiaTheme="minorEastAsia" w:cstheme="minorEastAsia"/>
                <w:b/>
                <w:bCs/>
                <w:color w:val="auto"/>
                <w:kern w:val="0"/>
                <w:sz w:val="24"/>
                <w:szCs w:val="24"/>
                <w:highlight w:val="none"/>
                <w:u w:val="single"/>
                <w:lang w:val="en-US" w:eastAsia="zh-CN" w:bidi="ar-SA"/>
              </w:rPr>
              <w:t xml:space="preserve">  20  </w:t>
            </w:r>
            <w:r>
              <w:rPr>
                <w:rFonts w:hint="eastAsia" w:asciiTheme="minorEastAsia" w:hAnsiTheme="minorEastAsia" w:eastAsiaTheme="minorEastAsia" w:cstheme="minorEastAsia"/>
                <w:b/>
                <w:bCs/>
                <w:color w:val="auto"/>
                <w:kern w:val="0"/>
                <w:sz w:val="24"/>
                <w:szCs w:val="24"/>
                <w:highlight w:val="none"/>
                <w:lang w:val="en-US" w:eastAsia="zh-CN" w:bidi="ar-SA"/>
              </w:rPr>
              <w:t>分。</w:t>
            </w:r>
          </w:p>
        </w:tc>
      </w:tr>
      <w:tr w14:paraId="4B66BDA5">
        <w:tblPrEx>
          <w:tblCellMar>
            <w:top w:w="0" w:type="dxa"/>
            <w:left w:w="108" w:type="dxa"/>
            <w:bottom w:w="0" w:type="dxa"/>
            <w:right w:w="108" w:type="dxa"/>
          </w:tblCellMar>
        </w:tblPrEx>
        <w:trPr>
          <w:trHeight w:val="680"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DB8F929">
            <w:pPr>
              <w:widowControl w:val="0"/>
              <w:wordWrap w:val="0"/>
              <w:adjustRightInd w:val="0"/>
              <w:snapToGrid w:val="0"/>
              <w:spacing w:after="0" w:line="4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SA"/>
              </w:rPr>
              <w:t>评分因素</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03398D18">
            <w:pPr>
              <w:widowControl w:val="0"/>
              <w:wordWrap w:val="0"/>
              <w:adjustRightInd w:val="0"/>
              <w:snapToGrid w:val="0"/>
              <w:spacing w:after="0" w:line="4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SA"/>
              </w:rPr>
              <w:t>评分标准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4B742C69">
            <w:pPr>
              <w:widowControl w:val="0"/>
              <w:wordWrap w:val="0"/>
              <w:adjustRightInd w:val="0"/>
              <w:snapToGrid w:val="0"/>
              <w:spacing w:after="0" w:line="4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SA"/>
              </w:rPr>
              <w:t>备注</w:t>
            </w:r>
          </w:p>
        </w:tc>
      </w:tr>
      <w:tr w14:paraId="0A9DFC21">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EEE0D3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 总体概述</w:t>
            </w:r>
          </w:p>
          <w:p w14:paraId="6105431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 3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3650D14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36B2B92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722A250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7A5D4422">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1A2DDC8D">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【优】对项目总体有深刻认识，表述清晰、完整、严谨、合理，措施先进、具体、有效、成熟，采用了新技术、新工艺、新材料、新设备；施工段划分呼应总体表述，划分清晰、合理，符合规范要求。</w:t>
            </w:r>
          </w:p>
          <w:p w14:paraId="0F9DBA93">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【良】对项目总体有一定认识，表述清晰、完整，措施具体有效；施工段划分呼应总体表述，划分清晰，符合规范要求。</w:t>
            </w:r>
          </w:p>
          <w:p w14:paraId="2DF4D804">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【中】对项目总体有认识，有一定的措施但部分不具体；施工段划分较合理，符合规范要求。</w:t>
            </w:r>
          </w:p>
          <w:p w14:paraId="7AB15B10">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【差】对项目认识不足，表述不清晰，措施不具体；施工段划分不合理。</w:t>
            </w:r>
          </w:p>
        </w:tc>
      </w:tr>
      <w:tr w14:paraId="4566FD7B">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1E965F5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施工总进</w:t>
            </w:r>
          </w:p>
          <w:p w14:paraId="1F0C67D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度计划及</w:t>
            </w:r>
          </w:p>
          <w:p w14:paraId="754D65D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保证措施</w:t>
            </w:r>
          </w:p>
          <w:p w14:paraId="2C0A1F6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3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65497DE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33A9466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3B0C729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07B838C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721E2E9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Theme="minorEastAsia" w:hAnsiTheme="minorEastAsia" w:eastAsiaTheme="minorEastAsia" w:cstheme="minorEastAsia"/>
                <w:b/>
                <w:bCs/>
                <w:snapToGrid w:val="0"/>
                <w:color w:val="auto"/>
                <w:kern w:val="0"/>
                <w:sz w:val="21"/>
                <w:szCs w:val="21"/>
                <w:highlight w:val="none"/>
                <w:lang w:eastAsia="zh-CN"/>
              </w:rPr>
              <w:t>经济赔偿合理。</w:t>
            </w:r>
          </w:p>
          <w:p w14:paraId="19C1FB4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Theme="minorEastAsia" w:hAnsiTheme="minorEastAsia" w:eastAsiaTheme="minorEastAsia" w:cstheme="minorEastAsia"/>
                <w:b/>
                <w:bCs/>
                <w:snapToGrid w:val="0"/>
                <w:color w:val="auto"/>
                <w:kern w:val="0"/>
                <w:sz w:val="21"/>
                <w:szCs w:val="21"/>
                <w:highlight w:val="none"/>
                <w:lang w:eastAsia="zh-CN"/>
              </w:rPr>
              <w:t>经济赔偿较合理。</w:t>
            </w:r>
          </w:p>
          <w:p w14:paraId="0EE5FB5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【中】关键线路基本准确，计划编制基本合理。关键节点的控制措施基本可行。人、材、机需求和进场计划与进度计划相呼应，基本满足施工需要，调配投入计划基本合理。进度违约责任承诺具体。</w:t>
            </w:r>
          </w:p>
          <w:p w14:paraId="63E8EF0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【差】关键线路不准确，计划编制不合理。关键节点的控制不可行。人、材、机需求和进场计划与进度计划不相呼应，不能满足施工需要。没有违约责任承诺。</w:t>
            </w:r>
          </w:p>
        </w:tc>
      </w:tr>
      <w:tr w14:paraId="5199214C">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009F87D">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质量</w:t>
            </w:r>
          </w:p>
          <w:p w14:paraId="4F89884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保证措施</w:t>
            </w:r>
          </w:p>
          <w:p w14:paraId="388AF86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（4</w:t>
            </w:r>
            <w:r>
              <w:rPr>
                <w:rFonts w:hint="eastAsia" w:asciiTheme="minorEastAsia" w:hAnsiTheme="minorEastAsia" w:eastAsiaTheme="minorEastAsia" w:cstheme="minorEastAsia"/>
                <w:b/>
                <w:bCs/>
                <w:snapToGrid w:val="0"/>
                <w:kern w:val="0"/>
                <w:sz w:val="21"/>
                <w:szCs w:val="21"/>
                <w:highlight w:val="none"/>
                <w:u w:val="single"/>
                <w:lang w:eastAsia="zh-CN"/>
              </w:rPr>
              <w:t xml:space="preserve"> </w:t>
            </w:r>
            <w:r>
              <w:rPr>
                <w:rFonts w:hint="eastAsia" w:asciiTheme="minorEastAsia" w:hAnsiTheme="minorEastAsia" w:eastAsiaTheme="minorEastAsia" w:cstheme="minorEastAsia"/>
                <w:b/>
                <w:bCs/>
                <w:snapToGrid w:val="0"/>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32E1534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【优】得该项评分因素分值的90%～100%（含90%）。</w:t>
            </w:r>
          </w:p>
          <w:p w14:paraId="583686F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【良】得该项评分因素分值的80%～90%（含80%）。</w:t>
            </w:r>
          </w:p>
          <w:p w14:paraId="00AE193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【中】得该项评分因素分值的70%～80%（含70%）。</w:t>
            </w:r>
          </w:p>
          <w:p w14:paraId="3C44AEB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1B9CFCF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【优】应用新技术、新工艺、新材料、新设备，针对项目实际提出先进、可行、具体的保证措施。超过招标文件的质量要求。</w:t>
            </w:r>
          </w:p>
          <w:p w14:paraId="08993DC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【良】针对项目实际提出先进、可行、具体的保证措施。满足招标文件的质量要求。</w:t>
            </w:r>
          </w:p>
          <w:p w14:paraId="351AD0B1">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【中】具体措施可行。满足招标文件的质量要求。</w:t>
            </w:r>
          </w:p>
          <w:p w14:paraId="37BC574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【差】措施不可行，没有质量违约责任承诺。</w:t>
            </w:r>
          </w:p>
        </w:tc>
      </w:tr>
      <w:tr w14:paraId="30A926CA">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15B9AA1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施工</w:t>
            </w:r>
          </w:p>
          <w:p w14:paraId="550948C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技术措施</w:t>
            </w:r>
          </w:p>
          <w:p w14:paraId="611D30F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w:t>
            </w:r>
            <w:r>
              <w:rPr>
                <w:rFonts w:hint="eastAsia" w:asciiTheme="minorEastAsia" w:hAnsiTheme="minorEastAsia" w:eastAsiaTheme="minorEastAsia" w:cstheme="minorEastAsia"/>
                <w:b/>
                <w:bCs/>
                <w:snapToGrid w:val="0"/>
                <w:kern w:val="0"/>
                <w:sz w:val="21"/>
                <w:szCs w:val="21"/>
                <w:highlight w:val="none"/>
                <w:u w:val="single"/>
                <w:lang w:eastAsia="zh-CN"/>
              </w:rPr>
              <w:t xml:space="preserve"> 2 </w:t>
            </w:r>
            <w:r>
              <w:rPr>
                <w:rFonts w:hint="eastAsia" w:asciiTheme="minorEastAsia" w:hAnsiTheme="minorEastAsia" w:eastAsiaTheme="minorEastAsia" w:cstheme="minorEastAsia"/>
                <w:b/>
                <w:bCs/>
                <w:snapToGrid w:val="0"/>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5316F20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【优】得该项评分因素分值的90%～100%（含90%）。</w:t>
            </w:r>
          </w:p>
          <w:p w14:paraId="1549636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【良】得该项评分因素分值的80%～90%（含80%）。</w:t>
            </w:r>
          </w:p>
          <w:p w14:paraId="6438807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【中】得该项评分因素分值的70%～80%（含70%）。</w:t>
            </w:r>
          </w:p>
          <w:p w14:paraId="6488DCA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71C08F8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Theme="minorEastAsia" w:hAnsiTheme="minorEastAsia" w:eastAsiaTheme="minorEastAsia" w:cstheme="minorEastAsia"/>
                <w:b/>
                <w:bCs/>
                <w:snapToGrid w:val="0"/>
                <w:kern w:val="0"/>
                <w:sz w:val="21"/>
                <w:szCs w:val="21"/>
                <w:highlight w:val="none"/>
                <w:lang w:eastAsia="zh-CN"/>
              </w:rPr>
              <w:t>经济赔偿合理。</w:t>
            </w:r>
          </w:p>
          <w:p w14:paraId="3FE56E5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Theme="minorEastAsia" w:hAnsiTheme="minorEastAsia" w:eastAsiaTheme="minorEastAsia" w:cstheme="minorEastAsia"/>
                <w:b/>
                <w:bCs/>
                <w:snapToGrid w:val="0"/>
                <w:kern w:val="0"/>
                <w:sz w:val="21"/>
                <w:szCs w:val="21"/>
                <w:highlight w:val="none"/>
                <w:lang w:eastAsia="zh-CN"/>
              </w:rPr>
              <w:t>经济赔偿较合理。</w:t>
            </w:r>
          </w:p>
          <w:p w14:paraId="589B379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3A6F76C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【差】对项目关键技术有表述，对重点、难点有建议，解决方案不可行。采用的新技术针对性不强或验证材料不可靠，对节约投资、工期没有具体收益。无违约责任承诺。</w:t>
            </w:r>
          </w:p>
        </w:tc>
      </w:tr>
      <w:tr w14:paraId="472B5554">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23672BAD">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绿色施工、</w:t>
            </w:r>
          </w:p>
          <w:p w14:paraId="5D8F7C5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安全防护、</w:t>
            </w:r>
          </w:p>
          <w:p w14:paraId="72B5CBB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文明施工</w:t>
            </w:r>
          </w:p>
          <w:p w14:paraId="203F93D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措施计划</w:t>
            </w:r>
          </w:p>
          <w:p w14:paraId="7754528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w:t>
            </w:r>
            <w:r>
              <w:rPr>
                <w:rFonts w:hint="eastAsia" w:asciiTheme="minorEastAsia" w:hAnsiTheme="minorEastAsia" w:eastAsiaTheme="minorEastAsia" w:cstheme="minorEastAsia"/>
                <w:b/>
                <w:bCs/>
                <w:snapToGrid w:val="0"/>
                <w:kern w:val="0"/>
                <w:sz w:val="21"/>
                <w:szCs w:val="21"/>
                <w:highlight w:val="none"/>
                <w:u w:val="single"/>
                <w:lang w:eastAsia="zh-CN"/>
              </w:rPr>
              <w:t xml:space="preserve"> 3 </w:t>
            </w:r>
            <w:r>
              <w:rPr>
                <w:rFonts w:hint="eastAsia" w:asciiTheme="minorEastAsia" w:hAnsiTheme="minorEastAsia" w:eastAsiaTheme="minorEastAsia" w:cstheme="minorEastAsia"/>
                <w:b/>
                <w:bCs/>
                <w:snapToGrid w:val="0"/>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59CDE7B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【优】得该项评分因素分值的90%～100%（含90%）。</w:t>
            </w:r>
          </w:p>
          <w:p w14:paraId="2191867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【良】得该项评分因素分值的80%～90%（含80%）。</w:t>
            </w:r>
          </w:p>
          <w:p w14:paraId="2E5C72B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【中】得该项评分因素分值的70%～80%（含70%）。</w:t>
            </w:r>
          </w:p>
          <w:p w14:paraId="1792058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7B2C4E0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【优】针对项目实际情况，有先进、具体、完整、可行的措施，采用规范准确、清晰。</w:t>
            </w:r>
          </w:p>
          <w:p w14:paraId="16146B0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【良】针对项目实际情况，有合理的措施且具体、完整，采用规范准确。</w:t>
            </w:r>
          </w:p>
          <w:p w14:paraId="1D6C023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【中】有基本合理的措施，采用规范准确。</w:t>
            </w:r>
          </w:p>
          <w:p w14:paraId="62A08F0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【差】措施不力，采用规范不正确。</w:t>
            </w:r>
          </w:p>
        </w:tc>
      </w:tr>
      <w:tr w14:paraId="14298529">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7194A0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施工平面</w:t>
            </w:r>
          </w:p>
          <w:p w14:paraId="4DBB0C1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布置和临时设施布置</w:t>
            </w:r>
          </w:p>
          <w:p w14:paraId="4384538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w:t>
            </w:r>
            <w:r>
              <w:rPr>
                <w:rFonts w:hint="eastAsia" w:asciiTheme="minorEastAsia" w:hAnsiTheme="minorEastAsia" w:eastAsiaTheme="minorEastAsia" w:cstheme="minorEastAsia"/>
                <w:b/>
                <w:bCs/>
                <w:snapToGrid w:val="0"/>
                <w:kern w:val="0"/>
                <w:sz w:val="21"/>
                <w:szCs w:val="21"/>
                <w:highlight w:val="none"/>
                <w:u w:val="single"/>
                <w:lang w:eastAsia="zh-CN"/>
              </w:rPr>
              <w:t xml:space="preserve"> 2 </w:t>
            </w:r>
            <w:r>
              <w:rPr>
                <w:rFonts w:hint="eastAsia" w:asciiTheme="minorEastAsia" w:hAnsiTheme="minorEastAsia" w:eastAsiaTheme="minorEastAsia" w:cstheme="minorEastAsia"/>
                <w:b/>
                <w:bCs/>
                <w:snapToGrid w:val="0"/>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22DA81A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【优】得该项评分因素分值的90%～100%（含90%）。</w:t>
            </w:r>
          </w:p>
          <w:p w14:paraId="7EE10BF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【良】得该项评分因素分值的80%～90%（含80%）。</w:t>
            </w:r>
          </w:p>
          <w:p w14:paraId="33C82DB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【中】得该项评分因素分值的70%～80%（含70%）。</w:t>
            </w:r>
          </w:p>
          <w:p w14:paraId="2FA5008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208E838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【优】总体布置有针对性、合理，较好满足施工需要，符合绿色施工、安全防护、文明施工要求。</w:t>
            </w:r>
          </w:p>
          <w:p w14:paraId="4C2E618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【良】总体布置合理，能满足施工需要，基本符合绿色施工、安全防护、文明施工要求。</w:t>
            </w:r>
          </w:p>
          <w:p w14:paraId="7E4A1B7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【中】总体布置基本合理，基本满足施工需要。</w:t>
            </w:r>
          </w:p>
          <w:p w14:paraId="61A9298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【差】总体布置不合理，不符合绿色施工、安全防护、文明施工要求。</w:t>
            </w:r>
          </w:p>
        </w:tc>
      </w:tr>
      <w:tr w14:paraId="30544851">
        <w:tblPrEx>
          <w:tblCellMar>
            <w:top w:w="0" w:type="dxa"/>
            <w:left w:w="108" w:type="dxa"/>
            <w:bottom w:w="0" w:type="dxa"/>
            <w:right w:w="108" w:type="dxa"/>
          </w:tblCellMar>
        </w:tblPrEx>
        <w:trPr>
          <w:trHeight w:val="7090"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3309513">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项目</w:t>
            </w:r>
          </w:p>
          <w:p w14:paraId="794CB4A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管理机构</w:t>
            </w:r>
          </w:p>
          <w:p w14:paraId="05265A3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w:t>
            </w:r>
            <w:r>
              <w:rPr>
                <w:rFonts w:hint="eastAsia" w:asciiTheme="minorEastAsia" w:hAnsiTheme="minorEastAsia" w:eastAsiaTheme="minorEastAsia" w:cstheme="minorEastAsia"/>
                <w:b/>
                <w:bCs/>
                <w:snapToGrid w:val="0"/>
                <w:kern w:val="0"/>
                <w:sz w:val="21"/>
                <w:szCs w:val="21"/>
                <w:highlight w:val="none"/>
                <w:u w:val="single"/>
                <w:lang w:eastAsia="zh-CN"/>
              </w:rPr>
              <w:t xml:space="preserve"> 3 </w:t>
            </w:r>
            <w:r>
              <w:rPr>
                <w:rFonts w:hint="eastAsia" w:asciiTheme="minorEastAsia" w:hAnsiTheme="minorEastAsia" w:eastAsiaTheme="minorEastAsia" w:cstheme="minorEastAsia"/>
                <w:b/>
                <w:bCs/>
                <w:snapToGrid w:val="0"/>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5FAE949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【优】得该项评分因素分值的90%～100%（含90%）。</w:t>
            </w:r>
          </w:p>
          <w:p w14:paraId="57897A8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【良】得该项评分因素分值的80%～90%（含80%）。</w:t>
            </w:r>
          </w:p>
          <w:p w14:paraId="1C8A769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【中】得该项评分因素分值的70%～80%（含70%）。</w:t>
            </w:r>
          </w:p>
          <w:p w14:paraId="16361E1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7583BBE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【优】组织机构形式合理，有完善的指挥系统，生产及质量、绿色施工、安全、文明施工、创优达标监控系统、联络协调系统，项目管理人员内高级职称人员20%（含20%）以上、中级职称人员</w:t>
            </w:r>
            <w:r>
              <w:rPr>
                <w:rFonts w:hint="eastAsia" w:asciiTheme="minorEastAsia" w:hAnsiTheme="minorEastAsia" w:eastAsiaTheme="minorEastAsia" w:cstheme="minorEastAsia"/>
                <w:b/>
                <w:bCs/>
                <w:snapToGrid w:val="0"/>
                <w:kern w:val="0"/>
                <w:sz w:val="21"/>
                <w:szCs w:val="21"/>
                <w:highlight w:val="none"/>
                <w:lang w:eastAsia="zh-CN"/>
              </w:rPr>
              <w:t>及以上职称</w:t>
            </w:r>
            <w:r>
              <w:rPr>
                <w:rFonts w:hint="eastAsia" w:asciiTheme="minorEastAsia" w:hAnsiTheme="minorEastAsia" w:eastAsiaTheme="minorEastAsia" w:cstheme="minorEastAsia"/>
                <w:snapToGrid w:val="0"/>
                <w:kern w:val="0"/>
                <w:sz w:val="21"/>
                <w:szCs w:val="21"/>
                <w:highlight w:val="none"/>
                <w:lang w:eastAsia="zh-CN"/>
              </w:rPr>
              <w:t>60%（含60%）以上。</w:t>
            </w:r>
          </w:p>
          <w:p w14:paraId="32B87F3A">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【良】组织机构形式合理，指挥系统，生产及质量、绿色施工、安全、文明施工、创优达标监控系统、联络协调系统齐全，项目管理人员内高级职称人员15%～20%（含15%）、中级职称</w:t>
            </w:r>
            <w:r>
              <w:rPr>
                <w:rFonts w:hint="eastAsia" w:asciiTheme="minorEastAsia" w:hAnsiTheme="minorEastAsia" w:eastAsiaTheme="minorEastAsia" w:cstheme="minorEastAsia"/>
                <w:b/>
                <w:bCs/>
                <w:snapToGrid w:val="0"/>
                <w:kern w:val="0"/>
                <w:sz w:val="21"/>
                <w:szCs w:val="21"/>
                <w:highlight w:val="none"/>
                <w:lang w:eastAsia="zh-CN"/>
              </w:rPr>
              <w:t>及以上职称</w:t>
            </w:r>
            <w:r>
              <w:rPr>
                <w:rFonts w:hint="eastAsia" w:asciiTheme="minorEastAsia" w:hAnsiTheme="minorEastAsia" w:eastAsiaTheme="minorEastAsia" w:cstheme="minorEastAsia"/>
                <w:snapToGrid w:val="0"/>
                <w:kern w:val="0"/>
                <w:sz w:val="21"/>
                <w:szCs w:val="21"/>
                <w:highlight w:val="none"/>
                <w:lang w:eastAsia="zh-CN"/>
              </w:rPr>
              <w:t>人员50%～60%（含50%）。</w:t>
            </w:r>
          </w:p>
          <w:p w14:paraId="54429B21">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【中】组织机构形式基本合理，有指挥系统，生产及质量、绿色施工、安全、文明施工、创优达标监控系统、联络协调系统，项目管理人员内高级职称人员10%～15%（含10%）、中级职称人员</w:t>
            </w:r>
            <w:r>
              <w:rPr>
                <w:rFonts w:hint="eastAsia" w:asciiTheme="minorEastAsia" w:hAnsiTheme="minorEastAsia" w:eastAsiaTheme="minorEastAsia" w:cstheme="minorEastAsia"/>
                <w:b/>
                <w:bCs/>
                <w:snapToGrid w:val="0"/>
                <w:kern w:val="0"/>
                <w:sz w:val="21"/>
                <w:szCs w:val="21"/>
                <w:highlight w:val="none"/>
                <w:lang w:eastAsia="zh-CN"/>
              </w:rPr>
              <w:t>及以上职称</w:t>
            </w:r>
            <w:r>
              <w:rPr>
                <w:rFonts w:hint="eastAsia" w:asciiTheme="minorEastAsia" w:hAnsiTheme="minorEastAsia" w:eastAsiaTheme="minorEastAsia" w:cstheme="minorEastAsia"/>
                <w:snapToGrid w:val="0"/>
                <w:kern w:val="0"/>
                <w:sz w:val="21"/>
                <w:szCs w:val="21"/>
                <w:highlight w:val="none"/>
                <w:lang w:eastAsia="zh-CN"/>
              </w:rPr>
              <w:t>40%～50%（含40%）。</w:t>
            </w:r>
          </w:p>
          <w:p w14:paraId="6DAB4E5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【差】组织机构形式合理，指挥系统，生产及质量、绿色施工、安全、文明施工、创优达标监控系统、联络协调系统不齐全，项目管理人员内高级职称人员10%以下、中级职称人员</w:t>
            </w:r>
            <w:r>
              <w:rPr>
                <w:rFonts w:hint="eastAsia" w:asciiTheme="minorEastAsia" w:hAnsiTheme="minorEastAsia" w:eastAsiaTheme="minorEastAsia" w:cstheme="minorEastAsia"/>
                <w:b/>
                <w:bCs/>
                <w:snapToGrid w:val="0"/>
                <w:kern w:val="0"/>
                <w:sz w:val="21"/>
                <w:szCs w:val="21"/>
                <w:highlight w:val="none"/>
                <w:lang w:eastAsia="zh-CN"/>
              </w:rPr>
              <w:t>及以上职称</w:t>
            </w:r>
            <w:r>
              <w:rPr>
                <w:rFonts w:hint="eastAsia" w:asciiTheme="minorEastAsia" w:hAnsiTheme="minorEastAsia" w:eastAsiaTheme="minorEastAsia" w:cstheme="minorEastAsia"/>
                <w:snapToGrid w:val="0"/>
                <w:kern w:val="0"/>
                <w:sz w:val="21"/>
                <w:szCs w:val="21"/>
                <w:highlight w:val="none"/>
                <w:lang w:eastAsia="zh-CN"/>
              </w:rPr>
              <w:t>40%以下。</w:t>
            </w:r>
          </w:p>
        </w:tc>
      </w:tr>
      <w:tr w14:paraId="61D74F99">
        <w:tblPrEx>
          <w:tblCellMar>
            <w:top w:w="0" w:type="dxa"/>
            <w:left w:w="108" w:type="dxa"/>
            <w:bottom w:w="0" w:type="dxa"/>
            <w:right w:w="108" w:type="dxa"/>
          </w:tblCellMar>
        </w:tblPrEx>
        <w:trPr>
          <w:trHeight w:val="554" w:hRule="exact"/>
          <w:jc w:val="center"/>
        </w:trPr>
        <w:tc>
          <w:tcPr>
            <w:tcW w:w="10307"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2B57F38F">
            <w:pPr>
              <w:widowControl w:val="0"/>
              <w:wordWrap w:val="0"/>
              <w:adjustRightInd w:val="0"/>
              <w:snapToGrid w:val="0"/>
              <w:spacing w:line="400" w:lineRule="exact"/>
              <w:jc w:val="both"/>
              <w:rPr>
                <w:rFonts w:hint="eastAsia" w:asciiTheme="minorEastAsia" w:hAnsiTheme="minorEastAsia" w:eastAsiaTheme="minorEastAsia" w:cstheme="minorEastAsia"/>
                <w:snapToGrid w:val="0"/>
                <w:kern w:val="0"/>
                <w:sz w:val="21"/>
                <w:szCs w:val="21"/>
                <w:highlight w:val="none"/>
                <w:lang w:val="en-US" w:eastAsia="zh-CN" w:bidi="ar-SA"/>
              </w:rPr>
            </w:pPr>
            <w:r>
              <w:rPr>
                <w:rFonts w:hint="eastAsia" w:asciiTheme="minorEastAsia" w:hAnsiTheme="minorEastAsia" w:eastAsiaTheme="minorEastAsia" w:cstheme="minorEastAsia"/>
                <w:b/>
                <w:bCs/>
                <w:snapToGrid w:val="0"/>
                <w:kern w:val="0"/>
                <w:sz w:val="24"/>
                <w:szCs w:val="24"/>
                <w:highlight w:val="none"/>
                <w:lang w:val="en-US" w:eastAsia="zh-CN" w:bidi="ar-SA"/>
              </w:rPr>
              <w:t>投标报价部分，满分：100分。</w:t>
            </w:r>
          </w:p>
        </w:tc>
      </w:tr>
      <w:tr w14:paraId="158278BC">
        <w:tblPrEx>
          <w:tblCellMar>
            <w:top w:w="0" w:type="dxa"/>
            <w:left w:w="108" w:type="dxa"/>
            <w:bottom w:w="0" w:type="dxa"/>
            <w:right w:w="108" w:type="dxa"/>
          </w:tblCellMar>
        </w:tblPrEx>
        <w:trPr>
          <w:trHeight w:val="451"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29EEAEA5">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评分事项</w:t>
            </w:r>
          </w:p>
        </w:tc>
        <w:tc>
          <w:tcPr>
            <w:tcW w:w="9091" w:type="dxa"/>
            <w:gridSpan w:val="2"/>
            <w:tcBorders>
              <w:top w:val="single" w:color="auto" w:sz="4" w:space="0"/>
              <w:left w:val="single" w:color="auto" w:sz="4" w:space="0"/>
              <w:bottom w:val="single" w:color="auto" w:sz="4" w:space="0"/>
              <w:right w:val="single" w:color="auto" w:sz="4" w:space="0"/>
            </w:tcBorders>
            <w:noWrap w:val="0"/>
            <w:vAlign w:val="center"/>
          </w:tcPr>
          <w:p w14:paraId="40B053FD">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评分方法</w:t>
            </w:r>
          </w:p>
        </w:tc>
      </w:tr>
      <w:tr w14:paraId="7C84A66C">
        <w:tblPrEx>
          <w:tblCellMar>
            <w:top w:w="0" w:type="dxa"/>
            <w:left w:w="108" w:type="dxa"/>
            <w:bottom w:w="0" w:type="dxa"/>
            <w:right w:w="108" w:type="dxa"/>
          </w:tblCellMar>
        </w:tblPrEx>
        <w:trPr>
          <w:trHeight w:val="632"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3517D891">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评标基准价D</w:t>
            </w:r>
          </w:p>
        </w:tc>
        <w:tc>
          <w:tcPr>
            <w:tcW w:w="9091" w:type="dxa"/>
            <w:gridSpan w:val="2"/>
            <w:tcBorders>
              <w:top w:val="single" w:color="auto" w:sz="4" w:space="0"/>
              <w:left w:val="single" w:color="auto" w:sz="4" w:space="0"/>
              <w:bottom w:val="single" w:color="auto" w:sz="4" w:space="0"/>
              <w:right w:val="single" w:color="auto" w:sz="4" w:space="0"/>
            </w:tcBorders>
            <w:noWrap w:val="0"/>
            <w:vAlign w:val="center"/>
          </w:tcPr>
          <w:p w14:paraId="18C1D6FE">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（1）确定</w:t>
            </w:r>
            <w:r>
              <w:rPr>
                <w:rFonts w:hint="eastAsia" w:asciiTheme="minorEastAsia" w:hAnsiTheme="minorEastAsia" w:eastAsiaTheme="minorEastAsia" w:cstheme="minorEastAsia"/>
                <w:snapToGrid/>
                <w:kern w:val="0"/>
                <w:sz w:val="21"/>
                <w:szCs w:val="21"/>
                <w:highlight w:val="none"/>
                <w:lang w:val="en-US" w:eastAsia="zh-CN"/>
              </w:rPr>
              <w:t>最高投标限价</w:t>
            </w:r>
            <w:r>
              <w:rPr>
                <w:rFonts w:hint="eastAsia" w:asciiTheme="minorEastAsia" w:hAnsiTheme="minorEastAsia" w:eastAsiaTheme="minorEastAsia" w:cstheme="minorEastAsia"/>
                <w:snapToGrid/>
                <w:kern w:val="0"/>
                <w:sz w:val="21"/>
                <w:szCs w:val="21"/>
                <w:highlight w:val="none"/>
                <w:lang w:eastAsia="zh-CN"/>
              </w:rPr>
              <w:t>下浮系数n：用1～21号球分别代表一个下浮系数，由评委代表从这21个号码中随机抽取 3 次，每次抽取1个号码，抽出的号球不参与下次抽取。所抽取的3个号码对应下浮系数的算术平均值作为</w:t>
            </w:r>
            <w:r>
              <w:rPr>
                <w:rFonts w:hint="eastAsia" w:asciiTheme="minorEastAsia" w:hAnsiTheme="minorEastAsia" w:eastAsiaTheme="minorEastAsia" w:cstheme="minorEastAsia"/>
                <w:snapToGrid/>
                <w:kern w:val="0"/>
                <w:sz w:val="21"/>
                <w:szCs w:val="21"/>
                <w:highlight w:val="none"/>
                <w:lang w:val="en-US" w:eastAsia="zh-CN"/>
              </w:rPr>
              <w:t>最高投标限价</w:t>
            </w:r>
            <w:r>
              <w:rPr>
                <w:rFonts w:hint="eastAsia" w:asciiTheme="minorEastAsia" w:hAnsiTheme="minorEastAsia" w:eastAsiaTheme="minorEastAsia" w:cstheme="minorEastAsia"/>
                <w:snapToGrid/>
                <w:kern w:val="0"/>
                <w:sz w:val="21"/>
                <w:szCs w:val="21"/>
                <w:highlight w:val="none"/>
                <w:lang w:eastAsia="zh-CN"/>
              </w:rPr>
              <w:t>下浮系数n。具体号码对应的下浮系数见下表。</w:t>
            </w:r>
          </w:p>
          <w:tbl>
            <w:tblPr>
              <w:tblStyle w:val="17"/>
              <w:tblW w:w="0" w:type="auto"/>
              <w:tblInd w:w="113" w:type="dxa"/>
              <w:tblLayout w:type="fixed"/>
              <w:tblCellMar>
                <w:top w:w="0" w:type="dxa"/>
                <w:left w:w="108" w:type="dxa"/>
                <w:bottom w:w="0" w:type="dxa"/>
                <w:right w:w="108" w:type="dxa"/>
              </w:tblCellMar>
            </w:tblPr>
            <w:tblGrid>
              <w:gridCol w:w="1731"/>
              <w:gridCol w:w="938"/>
              <w:gridCol w:w="1100"/>
              <w:gridCol w:w="1050"/>
              <w:gridCol w:w="987"/>
              <w:gridCol w:w="1038"/>
              <w:gridCol w:w="925"/>
              <w:gridCol w:w="850"/>
            </w:tblGrid>
            <w:tr w14:paraId="191B2DE9">
              <w:tblPrEx>
                <w:tblCellMar>
                  <w:top w:w="0" w:type="dxa"/>
                  <w:left w:w="108" w:type="dxa"/>
                  <w:bottom w:w="0" w:type="dxa"/>
                  <w:right w:w="108" w:type="dxa"/>
                </w:tblCellMar>
              </w:tblPrEx>
              <w:trPr>
                <w:trHeight w:val="446"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33B3354F">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号球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7A2D15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6C040223">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A41C67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3</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3EA2E5A0">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4</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4275DAA5">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5</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58E7C29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6</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5C76CFF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7</w:t>
                  </w:r>
                </w:p>
              </w:tc>
            </w:tr>
            <w:tr w14:paraId="06C62F3C">
              <w:tblPrEx>
                <w:tblCellMar>
                  <w:top w:w="0" w:type="dxa"/>
                  <w:left w:w="108" w:type="dxa"/>
                  <w:bottom w:w="0" w:type="dxa"/>
                  <w:right w:w="108" w:type="dxa"/>
                </w:tblCellMar>
              </w:tblPrEx>
              <w:trPr>
                <w:trHeight w:val="637"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16208630">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下浮系数（%）</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ED74803">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1.0</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78F2A23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1.1</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79FE41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1.2</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0706024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1.3</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502DB1F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1.4</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053B4A6D">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1.5</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2F28A58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1.6</w:t>
                  </w:r>
                </w:p>
              </w:tc>
            </w:tr>
            <w:tr w14:paraId="4BED358B">
              <w:tblPrEx>
                <w:tblCellMar>
                  <w:top w:w="0" w:type="dxa"/>
                  <w:left w:w="108" w:type="dxa"/>
                  <w:bottom w:w="0" w:type="dxa"/>
                  <w:right w:w="108" w:type="dxa"/>
                </w:tblCellMar>
              </w:tblPrEx>
              <w:trPr>
                <w:trHeight w:val="571"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4F5B9A23">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号球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8DFE12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8</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3927AB8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9</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A93D8A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10</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2F2EAD36">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11</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37D1069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12</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61DB84C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13</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3A02131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14</w:t>
                  </w:r>
                </w:p>
              </w:tc>
            </w:tr>
            <w:tr w14:paraId="4245F957">
              <w:tblPrEx>
                <w:tblCellMar>
                  <w:top w:w="0" w:type="dxa"/>
                  <w:left w:w="108" w:type="dxa"/>
                  <w:bottom w:w="0" w:type="dxa"/>
                  <w:right w:w="108" w:type="dxa"/>
                </w:tblCellMar>
              </w:tblPrEx>
              <w:trPr>
                <w:trHeight w:val="571"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52D38D3E">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下浮系数（%）</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76C407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1.7</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5519A4D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1.8</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B74A72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1.9</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67CD743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2.0</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59742E1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2.1</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6EF5DFE5">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2.2</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6E38BC3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2.3</w:t>
                  </w:r>
                </w:p>
              </w:tc>
            </w:tr>
            <w:tr w14:paraId="063A84B1">
              <w:tblPrEx>
                <w:tblCellMar>
                  <w:top w:w="0" w:type="dxa"/>
                  <w:left w:w="108" w:type="dxa"/>
                  <w:bottom w:w="0" w:type="dxa"/>
                  <w:right w:w="108" w:type="dxa"/>
                </w:tblCellMar>
              </w:tblPrEx>
              <w:trPr>
                <w:trHeight w:val="522"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2771BA6E">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号球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5CF1976">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15</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7A65808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16</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DCDD72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17</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6A3B7B4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18</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60BC042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19</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602A819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20</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458FDC2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21</w:t>
                  </w:r>
                </w:p>
              </w:tc>
            </w:tr>
            <w:tr w14:paraId="583A524D">
              <w:tblPrEx>
                <w:tblCellMar>
                  <w:top w:w="0" w:type="dxa"/>
                  <w:left w:w="108" w:type="dxa"/>
                  <w:bottom w:w="0" w:type="dxa"/>
                  <w:right w:w="108" w:type="dxa"/>
                </w:tblCellMar>
              </w:tblPrEx>
              <w:trPr>
                <w:trHeight w:val="675"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790E2A4E">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下浮系数（%）</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0C7451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2.4</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3922E613">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2.5</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90D992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2.6</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6A6CFC5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2.7</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3CB0FD5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2.8</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1AD22F2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2.9</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271F0BF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3.0</w:t>
                  </w:r>
                </w:p>
              </w:tc>
            </w:tr>
          </w:tbl>
          <w:p w14:paraId="604F1991">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（2）评标基准价D＝</w:t>
            </w:r>
            <w:r>
              <w:rPr>
                <w:rFonts w:hint="eastAsia" w:asciiTheme="minorEastAsia" w:hAnsiTheme="minorEastAsia" w:eastAsiaTheme="minorEastAsia" w:cstheme="minorEastAsia"/>
                <w:snapToGrid/>
                <w:kern w:val="0"/>
                <w:sz w:val="21"/>
                <w:szCs w:val="21"/>
                <w:highlight w:val="none"/>
                <w:lang w:val="en-US" w:eastAsia="zh-CN"/>
              </w:rPr>
              <w:t>最高投标限价</w:t>
            </w:r>
            <w:r>
              <w:rPr>
                <w:rFonts w:hint="eastAsia" w:asciiTheme="minorEastAsia" w:hAnsiTheme="minorEastAsia" w:eastAsiaTheme="minorEastAsia" w:cstheme="minorEastAsia"/>
                <w:snapToGrid/>
                <w:kern w:val="0"/>
                <w:sz w:val="21"/>
                <w:szCs w:val="21"/>
                <w:highlight w:val="none"/>
                <w:lang w:eastAsia="zh-CN"/>
              </w:rPr>
              <w:t>×（1－n）</w:t>
            </w:r>
          </w:p>
        </w:tc>
      </w:tr>
      <w:tr w14:paraId="601E7FAF">
        <w:tblPrEx>
          <w:tblCellMar>
            <w:top w:w="0" w:type="dxa"/>
            <w:left w:w="108" w:type="dxa"/>
            <w:bottom w:w="0" w:type="dxa"/>
            <w:right w:w="108" w:type="dxa"/>
          </w:tblCellMar>
        </w:tblPrEx>
        <w:trPr>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20E2DAA5">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投标报价</w:t>
            </w:r>
          </w:p>
          <w:p w14:paraId="67DA4203">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得分N</w:t>
            </w:r>
          </w:p>
        </w:tc>
        <w:tc>
          <w:tcPr>
            <w:tcW w:w="9091" w:type="dxa"/>
            <w:gridSpan w:val="2"/>
            <w:tcBorders>
              <w:top w:val="single" w:color="auto" w:sz="4" w:space="0"/>
              <w:left w:val="single" w:color="auto" w:sz="4" w:space="0"/>
              <w:bottom w:val="single" w:color="auto" w:sz="4" w:space="0"/>
              <w:right w:val="single" w:color="auto" w:sz="4" w:space="0"/>
            </w:tcBorders>
            <w:noWrap w:val="0"/>
            <w:vAlign w:val="center"/>
          </w:tcPr>
          <w:p w14:paraId="5CC7694C">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采用内插法计算某投标人的投标报价得分N，即当投标人的投标总价等于评标基准价时得100分，每高于评标基准价一个百分点扣</w:t>
            </w:r>
            <w:r>
              <w:rPr>
                <w:rFonts w:hint="eastAsia" w:asciiTheme="minorEastAsia" w:hAnsiTheme="minorEastAsia" w:eastAsiaTheme="minorEastAsia" w:cstheme="minorEastAsia"/>
                <w:b/>
                <w:bCs/>
                <w:snapToGrid/>
                <w:kern w:val="0"/>
                <w:sz w:val="21"/>
                <w:szCs w:val="21"/>
                <w:highlight w:val="none"/>
                <w:lang w:eastAsia="zh-CN"/>
              </w:rPr>
              <w:t>1分</w:t>
            </w:r>
            <w:r>
              <w:rPr>
                <w:rFonts w:hint="eastAsia" w:asciiTheme="minorEastAsia" w:hAnsiTheme="minorEastAsia" w:eastAsiaTheme="minorEastAsia" w:cstheme="minorEastAsia"/>
                <w:snapToGrid/>
                <w:kern w:val="0"/>
                <w:sz w:val="21"/>
                <w:szCs w:val="21"/>
                <w:highlight w:val="none"/>
                <w:lang w:eastAsia="zh-CN"/>
              </w:rPr>
              <w:t>, 每低于评标基准价一个百分点扣</w:t>
            </w:r>
            <w:r>
              <w:rPr>
                <w:rFonts w:hint="eastAsia" w:asciiTheme="minorEastAsia" w:hAnsiTheme="minorEastAsia" w:eastAsiaTheme="minorEastAsia" w:cstheme="minorEastAsia"/>
                <w:b/>
                <w:bCs/>
                <w:snapToGrid/>
                <w:kern w:val="0"/>
                <w:sz w:val="21"/>
                <w:szCs w:val="21"/>
                <w:highlight w:val="none"/>
                <w:lang w:eastAsia="zh-CN"/>
              </w:rPr>
              <w:t>0.5分</w:t>
            </w:r>
            <w:r>
              <w:rPr>
                <w:rFonts w:hint="eastAsia" w:asciiTheme="minorEastAsia" w:hAnsiTheme="minorEastAsia" w:eastAsiaTheme="minorEastAsia" w:cstheme="minorEastAsia"/>
                <w:snapToGrid/>
                <w:kern w:val="0"/>
                <w:sz w:val="21"/>
                <w:szCs w:val="21"/>
                <w:highlight w:val="none"/>
                <w:lang w:eastAsia="zh-CN"/>
              </w:rPr>
              <w:t>，扣完为止。公式如下：</w:t>
            </w:r>
          </w:p>
          <w:p w14:paraId="56931477">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N＝100－（| Di－D | ÷D）×100×E</w:t>
            </w:r>
          </w:p>
          <w:p w14:paraId="398AFD9E">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式中：D为评标基准价；Di为某投标人的投标总价；E为扣分因子，当Di＞D时，E＝</w:t>
            </w:r>
            <w:r>
              <w:rPr>
                <w:rFonts w:hint="eastAsia" w:asciiTheme="minorEastAsia" w:hAnsiTheme="minorEastAsia" w:eastAsiaTheme="minorEastAsia" w:cstheme="minorEastAsia"/>
                <w:b/>
                <w:bCs/>
                <w:snapToGrid/>
                <w:kern w:val="0"/>
                <w:sz w:val="21"/>
                <w:szCs w:val="21"/>
                <w:highlight w:val="none"/>
                <w:lang w:eastAsia="zh-CN"/>
              </w:rPr>
              <w:t>1</w:t>
            </w:r>
            <w:r>
              <w:rPr>
                <w:rFonts w:hint="eastAsia" w:asciiTheme="minorEastAsia" w:hAnsiTheme="minorEastAsia" w:eastAsiaTheme="minorEastAsia" w:cstheme="minorEastAsia"/>
                <w:snapToGrid/>
                <w:kern w:val="0"/>
                <w:sz w:val="21"/>
                <w:szCs w:val="21"/>
                <w:highlight w:val="none"/>
                <w:lang w:eastAsia="zh-CN"/>
              </w:rPr>
              <w:t xml:space="preserve"> ；当Di＜D时，E＝</w:t>
            </w:r>
            <w:r>
              <w:rPr>
                <w:rFonts w:hint="eastAsia" w:asciiTheme="minorEastAsia" w:hAnsiTheme="minorEastAsia" w:eastAsiaTheme="minorEastAsia" w:cstheme="minorEastAsia"/>
                <w:b/>
                <w:bCs/>
                <w:snapToGrid/>
                <w:kern w:val="0"/>
                <w:sz w:val="21"/>
                <w:szCs w:val="21"/>
                <w:highlight w:val="none"/>
                <w:lang w:eastAsia="zh-CN"/>
              </w:rPr>
              <w:t>0.5</w:t>
            </w:r>
            <w:r>
              <w:rPr>
                <w:rFonts w:hint="eastAsia" w:asciiTheme="minorEastAsia" w:hAnsiTheme="minorEastAsia" w:eastAsiaTheme="minorEastAsia" w:cstheme="minorEastAsia"/>
                <w:snapToGrid/>
                <w:kern w:val="0"/>
                <w:sz w:val="21"/>
                <w:szCs w:val="21"/>
                <w:highlight w:val="none"/>
                <w:lang w:eastAsia="zh-CN"/>
              </w:rPr>
              <w:t>。</w:t>
            </w:r>
          </w:p>
        </w:tc>
      </w:tr>
    </w:tbl>
    <w:p w14:paraId="676070EE">
      <w:pPr>
        <w:pStyle w:val="27"/>
        <w:jc w:val="both"/>
        <w:rPr>
          <w:rFonts w:hint="eastAsia"/>
          <w:highlight w:val="none"/>
        </w:rPr>
      </w:pPr>
    </w:p>
    <w:p w14:paraId="1121F9B5">
      <w:pPr>
        <w:keepNext w:val="0"/>
        <w:keepLines w:val="0"/>
        <w:pageBreakBefore w:val="0"/>
        <w:wordWrap w:val="0"/>
        <w:overflowPunct/>
        <w:topLinePunct w:val="0"/>
        <w:bidi w:val="0"/>
        <w:spacing w:before="98" w:line="221" w:lineRule="auto"/>
        <w:ind w:left="4248"/>
        <w:outlineLvl w:val="9"/>
        <w:rPr>
          <w:rFonts w:hint="eastAsia" w:ascii="宋体" w:hAnsi="宋体" w:eastAsia="宋体" w:cs="宋体"/>
          <w:color w:val="auto"/>
          <w:spacing w:val="0"/>
          <w:sz w:val="30"/>
          <w:szCs w:val="30"/>
          <w:highlight w:val="none"/>
        </w:rPr>
      </w:pPr>
    </w:p>
    <w:p w14:paraId="1C0C5678">
      <w:pPr>
        <w:keepNext w:val="0"/>
        <w:keepLines w:val="0"/>
        <w:pageBreakBefore w:val="0"/>
        <w:wordWrap w:val="0"/>
        <w:overflowPunct/>
        <w:topLinePunct w:val="0"/>
        <w:bidi w:val="0"/>
        <w:spacing w:before="5"/>
        <w:rPr>
          <w:rFonts w:hint="eastAsia" w:ascii="宋体" w:hAnsi="宋体" w:eastAsia="宋体" w:cs="宋体"/>
          <w:color w:val="auto"/>
          <w:spacing w:val="0"/>
          <w:highlight w:val="none"/>
        </w:rPr>
      </w:pPr>
    </w:p>
    <w:p w14:paraId="008A750B">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bookmarkStart w:id="129" w:name="_Toc31744"/>
      <w:bookmarkStart w:id="130" w:name="_Toc9725"/>
      <w:bookmarkStart w:id="131" w:name="_Toc17436"/>
      <w:bookmarkStart w:id="132" w:name="_Toc5769"/>
      <w:r>
        <w:rPr>
          <w:rFonts w:hint="eastAsia" w:ascii="宋体" w:hAnsi="宋体" w:eastAsia="宋体" w:cs="宋体"/>
          <w:b/>
          <w:bCs/>
          <w:color w:val="auto"/>
          <w:spacing w:val="0"/>
          <w:sz w:val="24"/>
          <w:szCs w:val="24"/>
          <w:highlight w:val="none"/>
        </w:rPr>
        <w:br w:type="page"/>
      </w:r>
    </w:p>
    <w:bookmarkEnd w:id="129"/>
    <w:bookmarkEnd w:id="130"/>
    <w:bookmarkEnd w:id="131"/>
    <w:bookmarkEnd w:id="132"/>
    <w:p w14:paraId="4C2E53D2">
      <w:pPr>
        <w:keepNext w:val="0"/>
        <w:keepLines w:val="0"/>
        <w:pageBreakBefore w:val="0"/>
        <w:wordWrap w:val="0"/>
        <w:overflowPunct/>
        <w:topLinePunct w:val="0"/>
        <w:bidi w:val="0"/>
        <w:spacing w:before="155" w:line="211" w:lineRule="auto"/>
        <w:ind w:firstLine="482" w:firstLineChars="200"/>
        <w:outlineLvl w:val="9"/>
        <w:rPr>
          <w:rFonts w:hint="eastAsia" w:ascii="宋体" w:hAnsi="宋体" w:eastAsia="宋体" w:cs="宋体"/>
          <w:color w:val="auto"/>
          <w:spacing w:val="0"/>
          <w:sz w:val="25"/>
          <w:szCs w:val="25"/>
          <w:highlight w:val="none"/>
        </w:rPr>
      </w:pPr>
      <w:bookmarkStart w:id="133" w:name="bookmark137"/>
      <w:bookmarkEnd w:id="133"/>
      <w:bookmarkStart w:id="134" w:name="bookmark138"/>
      <w:bookmarkEnd w:id="134"/>
      <w:r>
        <w:rPr>
          <w:rFonts w:hint="eastAsia" w:ascii="宋体" w:hAnsi="宋体" w:eastAsia="宋体" w:cs="宋体"/>
          <w:b/>
          <w:bCs/>
          <w:color w:val="auto"/>
          <w:spacing w:val="0"/>
          <w:sz w:val="24"/>
          <w:szCs w:val="24"/>
          <w:highlight w:val="none"/>
        </w:rPr>
        <w:t xml:space="preserve">15.5.2  </w:t>
      </w:r>
      <w:r>
        <w:rPr>
          <w:rFonts w:hint="eastAsia" w:ascii="宋体" w:hAnsi="宋体" w:eastAsia="宋体" w:cs="宋体"/>
          <w:color w:val="auto"/>
          <w:spacing w:val="0"/>
          <w:sz w:val="24"/>
          <w:szCs w:val="24"/>
          <w:highlight w:val="none"/>
        </w:rPr>
        <w:t>否决投标说明</w:t>
      </w:r>
    </w:p>
    <w:p w14:paraId="1C3B22D9">
      <w:pPr>
        <w:keepNext w:val="0"/>
        <w:keepLines w:val="0"/>
        <w:pageBreakBefore w:val="0"/>
        <w:wordWrap w:val="0"/>
        <w:overflowPunct/>
        <w:topLinePunct w:val="0"/>
        <w:bidi w:val="0"/>
        <w:spacing w:before="150" w:line="332" w:lineRule="auto"/>
        <w:ind w:left="10" w:right="195" w:firstLine="5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详细评审阶段否决投标的全部条件，在本章第四节“否决投标条件 ”第 4 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4B1E3531">
      <w:pPr>
        <w:keepNext w:val="0"/>
        <w:keepLines w:val="0"/>
        <w:pageBreakBefore w:val="0"/>
        <w:wordWrap w:val="0"/>
        <w:overflowPunct/>
        <w:topLinePunct w:val="0"/>
        <w:bidi w:val="0"/>
        <w:spacing w:before="59" w:line="330" w:lineRule="auto"/>
        <w:ind w:left="10" w:right="195" w:firstLine="48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lang w:val="en-US" w:eastAsia="zh-CN"/>
        </w:rPr>
        <w:t>温馨提示</w:t>
      </w:r>
      <w:r>
        <w:rPr>
          <w:rFonts w:hint="eastAsia" w:ascii="宋体" w:hAnsi="宋体" w:eastAsia="宋体" w:cs="宋体"/>
          <w:b/>
          <w:bCs/>
          <w:color w:val="auto"/>
          <w:spacing w:val="0"/>
          <w:sz w:val="24"/>
          <w:szCs w:val="24"/>
          <w:highlight w:val="none"/>
        </w:rPr>
        <w:t>：投标人在详细评审阶段根据评分方法提供的佐证材料，其合法性、有效性和准确性不符合要求的，有关量化因素（或评分因素）的折算、调整（或评分）按相应量化标准（或评分标准）处理，但不否决投标。</w:t>
      </w:r>
    </w:p>
    <w:p w14:paraId="69E9356F">
      <w:pPr>
        <w:keepNext w:val="0"/>
        <w:keepLines w:val="0"/>
        <w:pageBreakBefore w:val="0"/>
        <w:wordWrap w:val="0"/>
        <w:overflowPunct/>
        <w:topLinePunct w:val="0"/>
        <w:bidi w:val="0"/>
        <w:spacing w:before="78" w:line="220" w:lineRule="auto"/>
        <w:ind w:left="496"/>
        <w:outlineLvl w:val="2"/>
        <w:rPr>
          <w:rFonts w:hint="eastAsia" w:ascii="宋体" w:hAnsi="宋体" w:eastAsia="宋体" w:cs="宋体"/>
          <w:color w:val="auto"/>
          <w:spacing w:val="0"/>
          <w:sz w:val="24"/>
          <w:szCs w:val="24"/>
          <w:highlight w:val="none"/>
          <w:lang w:eastAsia="zh-CN"/>
        </w:rPr>
      </w:pPr>
      <w:bookmarkStart w:id="135" w:name="_Toc13278"/>
      <w:bookmarkStart w:id="136" w:name="_Toc6322"/>
      <w:bookmarkStart w:id="137" w:name="_Toc16384"/>
      <w:r>
        <w:rPr>
          <w:rFonts w:hint="eastAsia" w:ascii="宋体" w:hAnsi="宋体" w:eastAsia="宋体" w:cs="宋体"/>
          <w:b/>
          <w:bCs/>
          <w:color w:val="auto"/>
          <w:spacing w:val="0"/>
          <w:sz w:val="24"/>
          <w:szCs w:val="24"/>
          <w:highlight w:val="none"/>
        </w:rPr>
        <w:t>16 ．</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w:t>
      </w:r>
      <w:bookmarkEnd w:id="135"/>
      <w:bookmarkEnd w:id="136"/>
      <w:bookmarkEnd w:id="137"/>
    </w:p>
    <w:p w14:paraId="6E4542A3">
      <w:pPr>
        <w:keepNext w:val="0"/>
        <w:keepLines w:val="0"/>
        <w:pageBreakBefore w:val="0"/>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16.</w:t>
      </w:r>
      <w:r>
        <w:rPr>
          <w:rFonts w:hint="eastAsia" w:ascii="宋体" w:hAnsi="宋体" w:eastAsia="宋体" w:cs="宋体"/>
          <w:b/>
          <w:bCs/>
          <w:color w:val="auto"/>
          <w:spacing w:val="0"/>
          <w:sz w:val="24"/>
          <w:szCs w:val="24"/>
          <w:highlight w:val="none"/>
          <w:lang w:val="en-US" w:eastAsia="zh-CN"/>
        </w:rPr>
        <w:t>1</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定标办法</w:t>
      </w:r>
    </w:p>
    <w:p w14:paraId="63682938">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strike w:val="0"/>
          <w:dstrike w:val="0"/>
          <w:color w:val="auto"/>
          <w:kern w:val="2"/>
          <w:sz w:val="24"/>
          <w:szCs w:val="24"/>
          <w:highlight w:val="none"/>
          <w:u w:val="none"/>
          <w:lang w:val="en-US" w:eastAsia="zh-CN" w:bidi="ar-SA"/>
        </w:rPr>
      </w:pPr>
      <w:r>
        <w:rPr>
          <w:rFonts w:hint="eastAsia" w:ascii="宋体" w:hAnsi="宋体" w:eastAsia="宋体" w:cs="宋体"/>
          <w:strike w:val="0"/>
          <w:dstrike w:val="0"/>
          <w:color w:val="auto"/>
          <w:kern w:val="2"/>
          <w:sz w:val="24"/>
          <w:szCs w:val="24"/>
          <w:highlight w:val="none"/>
          <w:u w:val="none"/>
          <w:lang w:val="en-US" w:eastAsia="zh-CN" w:bidi="ar-SA"/>
        </w:rPr>
        <w:t>本项目定标办法由招标人按本投标人须知前附表的规定确定。</w:t>
      </w:r>
    </w:p>
    <w:p w14:paraId="53903B96">
      <w:pPr>
        <w:pStyle w:val="15"/>
        <w:keepNext w:val="0"/>
        <w:keepLines w:val="0"/>
        <w:pageBreakBefore w:val="0"/>
        <w:widowControl w:val="0"/>
        <w:kinsoku/>
        <w:wordWrap/>
        <w:overflowPunct/>
        <w:topLinePunct w:val="0"/>
        <w:autoSpaceDE/>
        <w:autoSpaceDN w:val="0"/>
        <w:bidi w:val="0"/>
        <w:adjustRightInd/>
        <w:snapToGrid/>
        <w:spacing w:before="0" w:beforeLines="0" w:beforeAutospacing="0" w:after="0" w:afterLines="0" w:afterAutospacing="0" w:line="360" w:lineRule="auto"/>
        <w:ind w:left="0" w:leftChars="0" w:right="0" w:rightChars="0" w:firstLine="482" w:firstLineChars="200"/>
        <w:jc w:val="both"/>
        <w:textAlignment w:val="auto"/>
        <w:outlineLvl w:val="9"/>
        <w:rPr>
          <w:rFonts w:hint="eastAsia" w:ascii="宋体" w:hAnsi="宋体" w:eastAsia="宋体" w:cs="宋体"/>
          <w:b/>
          <w:color w:val="auto"/>
          <w:highlight w:val="none"/>
        </w:rPr>
      </w:pPr>
      <w:r>
        <w:rPr>
          <w:rFonts w:hint="eastAsia" w:ascii="宋体" w:hAnsi="宋体" w:eastAsia="宋体" w:cs="宋体"/>
          <w:b/>
          <w:bCs/>
          <w:color w:val="auto"/>
          <w:spacing w:val="0"/>
          <w:sz w:val="24"/>
          <w:szCs w:val="24"/>
          <w:highlight w:val="none"/>
        </w:rPr>
        <w:t>1</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2</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定标依据：</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（1）现行的法律、法规、规章、规范性文件及国家、省、市各级政府部门工作文件规定；</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（2）招标文件及其他补充通知和补充资料；</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（3）评标报告以及定标候选人推荐名单；</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（4）定标候选人的投标文件；</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（5）开、评标全过程资料；</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（6）对定标候选人的考察评价资料（如有）；</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（7）关于本工程的其他相关资料。</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1</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2</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定标监督小组：</w:t>
      </w:r>
      <w:r>
        <w:rPr>
          <w:rFonts w:hint="eastAsia" w:ascii="宋体" w:hAnsi="宋体" w:eastAsia="宋体" w:cs="宋体"/>
          <w:b/>
          <w:bCs/>
          <w:color w:val="auto"/>
          <w:spacing w:val="0"/>
          <w:sz w:val="24"/>
          <w:szCs w:val="24"/>
          <w:highlight w:val="none"/>
          <w:lang w:val="en-US" w:eastAsia="zh-CN"/>
        </w:rPr>
        <w:br w:type="textWrapping"/>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strike w:val="0"/>
          <w:dstrike w:val="0"/>
          <w:color w:val="auto"/>
          <w:kern w:val="2"/>
          <w:sz w:val="24"/>
          <w:szCs w:val="24"/>
          <w:highlight w:val="none"/>
          <w:u w:val="none"/>
          <w:lang w:val="en-US" w:eastAsia="zh-CN"/>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531CF4E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1</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3</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定标委员会：</w:t>
      </w:r>
      <w:r>
        <w:rPr>
          <w:rFonts w:hint="eastAsia" w:ascii="宋体" w:hAnsi="宋体" w:eastAsia="宋体" w:cs="宋体"/>
          <w:b/>
          <w:bCs/>
          <w:color w:val="auto"/>
          <w:spacing w:val="0"/>
          <w:sz w:val="24"/>
          <w:szCs w:val="24"/>
          <w:highlight w:val="none"/>
          <w:lang w:val="en-US" w:eastAsia="zh-CN"/>
        </w:rPr>
        <w:br w:type="textWrapping"/>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val="0"/>
          <w:bCs w:val="0"/>
          <w:color w:val="auto"/>
          <w:sz w:val="24"/>
          <w:szCs w:val="24"/>
          <w:highlight w:val="none"/>
          <w:u w:val="none"/>
          <w:lang w:val="en-US" w:eastAsia="zh-CN"/>
        </w:rPr>
        <w:t>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51E7D2BB">
      <w:pPr>
        <w:keepNext w:val="0"/>
        <w:keepLines w:val="0"/>
        <w:pageBreakBefore w:val="0"/>
        <w:widowControl/>
        <w:kinsoku w:val="0"/>
        <w:wordWrap w:val="0"/>
        <w:overflowPunct/>
        <w:topLinePunct w:val="0"/>
        <w:autoSpaceDE w:val="0"/>
        <w:autoSpaceDN w:val="0"/>
        <w:bidi w:val="0"/>
        <w:adjustRightInd w:val="0"/>
        <w:snapToGrid w:val="0"/>
        <w:spacing w:before="0" w:beforeLines="100" w:line="360" w:lineRule="auto"/>
        <w:ind w:left="239" w:leftChars="114" w:right="0" w:firstLine="241" w:firstLineChars="100"/>
        <w:jc w:val="left"/>
        <w:textAlignment w:val="baseline"/>
        <w:rPr>
          <w:rFonts w:hint="default" w:ascii="宋体" w:hAnsi="宋体" w:eastAsia="宋体" w:cs="宋体"/>
          <w:color w:val="auto"/>
          <w:spacing w:val="0"/>
          <w:sz w:val="24"/>
          <w:szCs w:val="24"/>
          <w:highlight w:val="none"/>
          <w:lang w:val="en-US"/>
        </w:rPr>
      </w:pPr>
      <w:r>
        <w:rPr>
          <w:rFonts w:hint="eastAsia" w:ascii="宋体" w:hAnsi="宋体" w:eastAsia="宋体" w:cs="宋体"/>
          <w:b/>
          <w:bCs/>
          <w:color w:val="auto"/>
          <w:spacing w:val="0"/>
          <w:sz w:val="24"/>
          <w:szCs w:val="24"/>
          <w:highlight w:val="none"/>
          <w:lang w:val="en-US" w:eastAsia="zh-CN"/>
        </w:rPr>
        <w:t>16.4</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w:t>
      </w:r>
      <w:r>
        <w:rPr>
          <w:rFonts w:hint="eastAsia" w:ascii="宋体" w:hAnsi="宋体" w:eastAsia="宋体" w:cs="宋体"/>
          <w:b/>
          <w:bCs/>
          <w:color w:val="auto"/>
          <w:spacing w:val="0"/>
          <w:sz w:val="24"/>
          <w:szCs w:val="24"/>
          <w:highlight w:val="none"/>
          <w:lang w:val="en-US" w:eastAsia="zh-CN"/>
        </w:rPr>
        <w:t>细则</w:t>
      </w:r>
    </w:p>
    <w:p w14:paraId="36FC19F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本项目采用票决数量法定标。</w:t>
      </w:r>
    </w:p>
    <w:p w14:paraId="3CAC4D2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16.4.1票决数量法程序</w:t>
      </w:r>
    </w:p>
    <w:p w14:paraId="63AA323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14:paraId="17640A5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16.4.2</w:t>
      </w:r>
      <w:r>
        <w:rPr>
          <w:rFonts w:hint="eastAsia" w:ascii="宋体" w:hAnsi="宋体" w:eastAsia="宋体" w:cs="宋体"/>
          <w:b/>
          <w:bCs/>
          <w:color w:val="auto"/>
          <w:sz w:val="24"/>
          <w:szCs w:val="24"/>
          <w:highlight w:val="none"/>
          <w:u w:val="none"/>
          <w:shd w:val="clear" w:color="auto" w:fill="FFFFFF"/>
        </w:rPr>
        <w:t>项目情况介绍</w:t>
      </w:r>
    </w:p>
    <w:p w14:paraId="360C77C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165E1CA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16.4.3</w:t>
      </w:r>
      <w:r>
        <w:rPr>
          <w:rFonts w:hint="eastAsia" w:ascii="宋体" w:hAnsi="宋体" w:eastAsia="宋体" w:cs="宋体"/>
          <w:b/>
          <w:bCs/>
          <w:color w:val="auto"/>
          <w:sz w:val="24"/>
          <w:szCs w:val="24"/>
          <w:highlight w:val="none"/>
          <w:u w:val="none"/>
          <w:shd w:val="clear" w:color="auto" w:fill="FFFFFF"/>
        </w:rPr>
        <w:t>审阅定标资料</w:t>
      </w:r>
    </w:p>
    <w:p w14:paraId="62F8DEB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31A79E1D">
      <w:pPr>
        <w:pStyle w:val="15"/>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Chars="228"/>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16.4.4</w:t>
      </w:r>
      <w:r>
        <w:rPr>
          <w:rFonts w:hint="eastAsia" w:ascii="宋体" w:hAnsi="宋体" w:eastAsia="宋体" w:cs="宋体"/>
          <w:b/>
          <w:bCs/>
          <w:color w:val="auto"/>
          <w:sz w:val="24"/>
          <w:szCs w:val="24"/>
          <w:highlight w:val="none"/>
          <w:u w:val="none"/>
          <w:shd w:val="clear" w:color="auto" w:fill="FFFFFF"/>
        </w:rPr>
        <w:t>疑问澄清</w:t>
      </w:r>
    </w:p>
    <w:p w14:paraId="6B4CFD5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B6C0BD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16.4.5投票，收票，点票和汇总</w:t>
      </w:r>
    </w:p>
    <w:p w14:paraId="5858F55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4497B4D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16.4.6公布结果和出具定标报告</w:t>
      </w:r>
    </w:p>
    <w:p w14:paraId="50825FA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04452160">
      <w:pPr>
        <w:pStyle w:val="15"/>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16.4.7</w:t>
      </w:r>
      <w:r>
        <w:rPr>
          <w:rFonts w:hint="eastAsia" w:ascii="宋体" w:hAnsi="宋体" w:eastAsia="宋体" w:cs="宋体"/>
          <w:b/>
          <w:bCs/>
          <w:color w:val="auto"/>
          <w:sz w:val="24"/>
          <w:szCs w:val="24"/>
          <w:highlight w:val="none"/>
          <w:u w:val="none"/>
          <w:shd w:val="clear" w:color="auto" w:fill="FFFFFF"/>
        </w:rPr>
        <w:t>全程监督</w:t>
      </w:r>
    </w:p>
    <w:p w14:paraId="1437427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招标监督小组对集体议定的全过程进行监督，确保程序合规、讨论充分、记录完整，结论形成过程公正、透明。</w:t>
      </w:r>
    </w:p>
    <w:p w14:paraId="5FC8400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16.5定标因素</w:t>
      </w:r>
    </w:p>
    <w:p w14:paraId="6856A3D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在同等条件下，择优的定标因素和相对标准有以下几个方面：</w:t>
      </w:r>
    </w:p>
    <w:p w14:paraId="06B0003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16.5.1</w:t>
      </w:r>
      <w:r>
        <w:rPr>
          <w:rFonts w:hint="eastAsia" w:ascii="宋体" w:hAnsi="宋体" w:eastAsia="宋体" w:cs="宋体"/>
          <w:b w:val="0"/>
          <w:bCs w:val="0"/>
          <w:color w:val="auto"/>
          <w:spacing w:val="0"/>
          <w:position w:val="0"/>
          <w:sz w:val="24"/>
          <w:szCs w:val="24"/>
          <w:highlight w:val="none"/>
          <w:u w:val="none" w:color="auto"/>
          <w:lang w:val="en-US" w:eastAsia="zh-CN"/>
        </w:rPr>
        <w:t>拟派团队管理能力与水平（履约能力）</w:t>
      </w:r>
    </w:p>
    <w:p w14:paraId="0B1A86A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25717E0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16.5.2</w:t>
      </w:r>
      <w:r>
        <w:rPr>
          <w:rFonts w:hint="eastAsia" w:ascii="宋体" w:hAnsi="宋体" w:eastAsia="宋体" w:cs="宋体"/>
          <w:b w:val="0"/>
          <w:bCs w:val="0"/>
          <w:color w:val="auto"/>
          <w:spacing w:val="0"/>
          <w:position w:val="0"/>
          <w:sz w:val="24"/>
          <w:szCs w:val="24"/>
          <w:highlight w:val="none"/>
          <w:u w:val="none" w:color="auto"/>
          <w:lang w:val="en-US" w:eastAsia="zh-CN"/>
        </w:rPr>
        <w:t>企业信誉</w:t>
      </w:r>
    </w:p>
    <w:p w14:paraId="6C40639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63B51B7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16.5.3</w:t>
      </w:r>
      <w:r>
        <w:rPr>
          <w:rFonts w:hint="eastAsia" w:ascii="宋体" w:hAnsi="宋体" w:eastAsia="宋体" w:cs="宋体"/>
          <w:b w:val="0"/>
          <w:bCs w:val="0"/>
          <w:color w:val="auto"/>
          <w:spacing w:val="0"/>
          <w:position w:val="0"/>
          <w:sz w:val="24"/>
          <w:szCs w:val="24"/>
          <w:highlight w:val="none"/>
          <w:u w:val="none" w:color="auto"/>
          <w:lang w:val="en-US" w:eastAsia="zh-CN"/>
        </w:rPr>
        <w:t>农民工工资保障情况</w:t>
      </w:r>
    </w:p>
    <w:p w14:paraId="715526B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default"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相对标准：农民工工资保障情况好的定标候选人优于农民工工资保障情况差的定标候选人（结合定标候选人提交的证明材料和招标人查询的材料进行评审）。</w:t>
      </w:r>
    </w:p>
    <w:p w14:paraId="796C44E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default"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16.5.4</w:t>
      </w:r>
      <w:r>
        <w:rPr>
          <w:rFonts w:hint="eastAsia" w:ascii="宋体" w:hAnsi="宋体" w:eastAsia="宋体" w:cs="宋体"/>
          <w:b w:val="0"/>
          <w:bCs w:val="0"/>
          <w:color w:val="auto"/>
          <w:spacing w:val="0"/>
          <w:position w:val="0"/>
          <w:sz w:val="24"/>
          <w:szCs w:val="24"/>
          <w:highlight w:val="none"/>
          <w:u w:val="none" w:color="auto"/>
          <w:lang w:val="en-US" w:eastAsia="zh-CN"/>
        </w:rPr>
        <w:t>企业实力</w:t>
      </w:r>
    </w:p>
    <w:p w14:paraId="189FE33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实力包括企业规模较大、行业主管部门的行业排名比较靠前（如有）、资质等级较高、专业技术人员规模较大、过往业绩（含业绩影响力、难易程度）等方面较多、按时按质完成项目的能力较强、施工期间现场服务及时性较强的定标候选人优于企业实力包括企业规模较小、行业主管部门的行业排名比较靠后（如有）、资质等级较低、专业技术人员规模较小、过往业绩（含业绩影响力、难易程度）等方面较少、按时按质完成项目的能力较弱、施工期间现场服务及时性较弱的定标候选人。</w:t>
      </w:r>
    </w:p>
    <w:p w14:paraId="4067738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16.5.5</w:t>
      </w:r>
      <w:r>
        <w:rPr>
          <w:rFonts w:hint="eastAsia" w:ascii="宋体" w:hAnsi="宋体" w:eastAsia="宋体" w:cs="宋体"/>
          <w:b w:val="0"/>
          <w:bCs w:val="0"/>
          <w:color w:val="auto"/>
          <w:spacing w:val="0"/>
          <w:position w:val="0"/>
          <w:sz w:val="24"/>
          <w:szCs w:val="24"/>
          <w:highlight w:val="none"/>
          <w:u w:val="none" w:color="auto"/>
          <w:lang w:val="en-US" w:eastAsia="zh-CN"/>
        </w:rPr>
        <w:t>技术方案</w:t>
      </w:r>
    </w:p>
    <w:p w14:paraId="5C2F976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技术方案的定标候选人优于技术方案一般的定标候选人。（技术方案对保证措施、施工计划和技术、工艺及工程项目实施的重点、难点分析和解决方案、安全文明施工措施、新技术应用、质量保证和违约责任承诺等的充分考虑，技术方案合理性、科学性、表述清晰、完整、具体、有效并实施可行。）</w:t>
      </w:r>
    </w:p>
    <w:p w14:paraId="78EC39E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16.5.6</w:t>
      </w:r>
      <w:r>
        <w:rPr>
          <w:rFonts w:hint="eastAsia" w:ascii="宋体" w:hAnsi="宋体" w:eastAsia="宋体" w:cs="宋体"/>
          <w:b w:val="0"/>
          <w:bCs w:val="0"/>
          <w:color w:val="auto"/>
          <w:spacing w:val="0"/>
          <w:position w:val="0"/>
          <w:sz w:val="24"/>
          <w:szCs w:val="24"/>
          <w:highlight w:val="none"/>
          <w:u w:val="none" w:color="auto"/>
          <w:lang w:val="en-US" w:eastAsia="zh-CN"/>
        </w:rPr>
        <w:t>评标报告</w:t>
      </w:r>
    </w:p>
    <w:p w14:paraId="00EA2B2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低</w:t>
      </w:r>
      <w:r>
        <w:rPr>
          <w:rFonts w:hint="eastAsia" w:ascii="宋体" w:hAnsi="宋体" w:eastAsia="宋体" w:cs="宋体"/>
          <w:b w:val="0"/>
          <w:bCs w:val="0"/>
          <w:color w:val="auto"/>
          <w:spacing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高</w:t>
      </w:r>
      <w:r>
        <w:rPr>
          <w:rFonts w:hint="eastAsia" w:ascii="宋体" w:hAnsi="宋体" w:eastAsia="宋体" w:cs="宋体"/>
          <w:b w:val="0"/>
          <w:bCs w:val="0"/>
          <w:color w:val="auto"/>
          <w:spacing w:val="0"/>
          <w:position w:val="0"/>
          <w:sz w:val="24"/>
          <w:szCs w:val="24"/>
          <w:highlight w:val="none"/>
          <w:u w:val="none" w:color="auto"/>
          <w:lang w:val="en-US" w:eastAsia="zh-CN"/>
        </w:rPr>
        <w:t>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sz w:val="24"/>
          <w:szCs w:val="24"/>
          <w:highlight w:val="none"/>
        </w:rPr>
        <w:t>的优势、风险等评审情况</w:t>
      </w:r>
      <w:r>
        <w:rPr>
          <w:rFonts w:hint="eastAsia" w:ascii="宋体" w:hAnsi="宋体" w:eastAsia="宋体" w:cs="宋体"/>
          <w:b w:val="0"/>
          <w:bCs w:val="0"/>
          <w:color w:val="auto"/>
          <w:spacing w:val="0"/>
          <w:position w:val="0"/>
          <w:sz w:val="24"/>
          <w:szCs w:val="24"/>
          <w:highlight w:val="none"/>
          <w:u w:val="none" w:color="auto"/>
          <w:lang w:val="en-US" w:eastAsia="zh-CN"/>
        </w:rPr>
        <w:t>进行评审比较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w:t>
      </w:r>
    </w:p>
    <w:p w14:paraId="722502B1">
      <w:pPr>
        <w:keepNext w:val="0"/>
        <w:keepLines w:val="0"/>
        <w:pageBreakBefore w:val="0"/>
        <w:wordWrap w:val="0"/>
        <w:overflowPunct/>
        <w:topLinePunct w:val="0"/>
        <w:bidi w:val="0"/>
        <w:spacing w:before="78" w:line="220" w:lineRule="auto"/>
        <w:ind w:left="496"/>
        <w:outlineLvl w:val="2"/>
        <w:rPr>
          <w:rFonts w:hint="eastAsia" w:ascii="宋体" w:hAnsi="宋体" w:eastAsia="宋体" w:cs="宋体"/>
          <w:b/>
          <w:bCs/>
          <w:color w:val="auto"/>
          <w:spacing w:val="0"/>
          <w:sz w:val="24"/>
          <w:szCs w:val="24"/>
          <w:highlight w:val="none"/>
        </w:rPr>
      </w:pPr>
      <w:bookmarkStart w:id="138" w:name="_Toc10682"/>
      <w:r>
        <w:rPr>
          <w:rFonts w:hint="eastAsia" w:ascii="宋体" w:hAnsi="宋体" w:eastAsia="宋体" w:cs="宋体"/>
          <w:b/>
          <w:bCs/>
          <w:color w:val="auto"/>
          <w:spacing w:val="0"/>
          <w:sz w:val="24"/>
          <w:szCs w:val="24"/>
          <w:highlight w:val="none"/>
          <w:lang w:val="en-US" w:eastAsia="zh-CN"/>
        </w:rPr>
        <w:t>17</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w:t>
      </w:r>
      <w:r>
        <w:rPr>
          <w:rFonts w:hint="eastAsia" w:ascii="宋体" w:hAnsi="宋体" w:eastAsia="宋体" w:cs="宋体"/>
          <w:b/>
          <w:bCs/>
          <w:color w:val="auto"/>
          <w:spacing w:val="0"/>
          <w:sz w:val="24"/>
          <w:szCs w:val="24"/>
          <w:highlight w:val="none"/>
          <w:lang w:val="en-US" w:eastAsia="zh-CN"/>
        </w:rPr>
        <w:t>结果</w:t>
      </w:r>
      <w:r>
        <w:rPr>
          <w:rFonts w:hint="eastAsia" w:ascii="宋体" w:hAnsi="宋体" w:eastAsia="宋体" w:cs="宋体"/>
          <w:b/>
          <w:bCs/>
          <w:color w:val="auto"/>
          <w:spacing w:val="0"/>
          <w:sz w:val="24"/>
          <w:szCs w:val="24"/>
          <w:highlight w:val="none"/>
        </w:rPr>
        <w:t>公示</w:t>
      </w:r>
      <w:bookmarkEnd w:id="138"/>
    </w:p>
    <w:p w14:paraId="7351A8F5">
      <w:pPr>
        <w:keepNext w:val="0"/>
        <w:keepLines w:val="0"/>
        <w:pageBreakBefore w:val="0"/>
        <w:widowControl/>
        <w:kinsoku w:val="0"/>
        <w:wordWrap w:val="0"/>
        <w:overflowPunct/>
        <w:topLinePunct w:val="0"/>
        <w:autoSpaceDE w:val="0"/>
        <w:autoSpaceDN w:val="0"/>
        <w:bidi w:val="0"/>
        <w:adjustRightInd w:val="0"/>
        <w:snapToGrid w:val="0"/>
        <w:spacing w:before="60" w:line="360" w:lineRule="auto"/>
        <w:ind w:left="567" w:right="108" w:firstLine="49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strike w:val="0"/>
          <w:dstrike w:val="0"/>
          <w:color w:val="auto"/>
          <w:kern w:val="2"/>
          <w:sz w:val="24"/>
          <w:szCs w:val="24"/>
          <w:highlight w:val="none"/>
          <w:u w:val="none"/>
          <w:lang w:val="en-US" w:eastAsia="zh-CN" w:bidi="ar-SA"/>
        </w:rPr>
        <w:t>定标委员会完成定标后，招标人应于定标会结束后3日内将中标候选人和定标情况在</w:t>
      </w:r>
      <w:r>
        <w:rPr>
          <w:rFonts w:hint="eastAsia" w:ascii="宋体" w:hAnsi="宋体" w:eastAsia="宋体" w:cs="宋体"/>
          <w:color w:val="auto"/>
          <w:spacing w:val="0"/>
          <w:sz w:val="24"/>
          <w:szCs w:val="24"/>
          <w:highlight w:val="none"/>
        </w:rPr>
        <w:t>广东省招标投标监管网（http://zbtb.gd.gov.cn）、全国公共资源交易平台（广东省 ·韶关市）（https://ygp.gdzwfw.gov.cn/ggzy-portal/#/440200/index）进行公示。</w:t>
      </w:r>
    </w:p>
    <w:p w14:paraId="6806CAA5">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4BE61F7A">
      <w:pPr>
        <w:keepNext w:val="0"/>
        <w:keepLines w:val="0"/>
        <w:pageBreakBefore w:val="0"/>
        <w:wordWrap w:val="0"/>
        <w:overflowPunct/>
        <w:topLinePunct w:val="0"/>
        <w:bidi w:val="0"/>
        <w:spacing w:before="78" w:line="220" w:lineRule="auto"/>
        <w:ind w:left="9"/>
        <w:jc w:val="center"/>
        <w:outlineLvl w:val="1"/>
        <w:rPr>
          <w:rFonts w:hint="eastAsia" w:ascii="宋体" w:hAnsi="宋体" w:eastAsia="宋体" w:cs="宋体"/>
          <w:color w:val="auto"/>
          <w:spacing w:val="0"/>
          <w:sz w:val="24"/>
          <w:szCs w:val="24"/>
          <w:highlight w:val="none"/>
        </w:rPr>
      </w:pPr>
      <w:bookmarkStart w:id="139" w:name="_Toc22607"/>
      <w:r>
        <w:rPr>
          <w:rFonts w:hint="eastAsia" w:ascii="宋体" w:hAnsi="宋体" w:eastAsia="宋体" w:cs="宋体"/>
          <w:b/>
          <w:bCs/>
          <w:color w:val="auto"/>
          <w:spacing w:val="0"/>
          <w:sz w:val="24"/>
          <w:szCs w:val="24"/>
          <w:highlight w:val="none"/>
        </w:rPr>
        <w:t>第四节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否决投标条件</w:t>
      </w:r>
      <w:bookmarkEnd w:id="139"/>
    </w:p>
    <w:p w14:paraId="3301580C">
      <w:pPr>
        <w:pStyle w:val="8"/>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5AA9DA86">
      <w:pPr>
        <w:keepNext w:val="0"/>
        <w:keepLines w:val="0"/>
        <w:pageBreakBefore w:val="0"/>
        <w:wordWrap w:val="0"/>
        <w:overflowPunct/>
        <w:topLinePunct w:val="0"/>
        <w:bidi w:val="0"/>
        <w:spacing w:before="78" w:line="330" w:lineRule="auto"/>
        <w:ind w:left="10" w:right="65"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本节所集中列示的否决投标条件，是本章第三节“投标人须知正文 ”的组成部分，是对本章第三节所规定的否决投标条件的总结和补充。</w:t>
      </w:r>
      <w:r>
        <w:rPr>
          <w:rFonts w:hint="eastAsia" w:ascii="宋体" w:hAnsi="宋体" w:eastAsia="宋体" w:cs="宋体"/>
          <w:b/>
          <w:bCs/>
          <w:color w:val="auto"/>
          <w:spacing w:val="0"/>
          <w:sz w:val="24"/>
          <w:szCs w:val="24"/>
          <w:highlight w:val="none"/>
        </w:rPr>
        <w:t>投标人未有列入本节情形的，评标时一律不得否决其投标。</w:t>
      </w:r>
      <w:r>
        <w:rPr>
          <w:rFonts w:hint="eastAsia" w:ascii="宋体" w:hAnsi="宋体" w:eastAsia="宋体" w:cs="宋体"/>
          <w:color w:val="auto"/>
          <w:spacing w:val="0"/>
          <w:sz w:val="24"/>
          <w:szCs w:val="24"/>
          <w:highlight w:val="none"/>
        </w:rPr>
        <w:t>本节所称“规定 ”均指招标文件的规定。</w:t>
      </w:r>
    </w:p>
    <w:p w14:paraId="1BAA8A6A">
      <w:pPr>
        <w:keepNext w:val="0"/>
        <w:keepLines w:val="0"/>
        <w:pageBreakBefore w:val="0"/>
        <w:wordWrap w:val="0"/>
        <w:overflowPunct/>
        <w:topLinePunct w:val="0"/>
        <w:bidi w:val="0"/>
        <w:spacing w:before="34" w:line="220" w:lineRule="auto"/>
        <w:ind w:left="495"/>
        <w:outlineLvl w:val="2"/>
        <w:rPr>
          <w:rFonts w:hint="eastAsia" w:ascii="宋体" w:hAnsi="宋体" w:eastAsia="宋体" w:cs="宋体"/>
          <w:color w:val="auto"/>
          <w:spacing w:val="0"/>
          <w:sz w:val="24"/>
          <w:szCs w:val="24"/>
          <w:highlight w:val="none"/>
        </w:rPr>
      </w:pPr>
      <w:bookmarkStart w:id="140" w:name="_Toc11394"/>
      <w:r>
        <w:rPr>
          <w:rFonts w:hint="eastAsia" w:ascii="宋体" w:hAnsi="宋体" w:eastAsia="宋体" w:cs="宋体"/>
          <w:b/>
          <w:bCs/>
          <w:color w:val="auto"/>
          <w:spacing w:val="0"/>
          <w:sz w:val="24"/>
          <w:szCs w:val="24"/>
          <w:highlight w:val="none"/>
        </w:rPr>
        <w:t>1 ．资格评审环节</w:t>
      </w:r>
      <w:bookmarkEnd w:id="140"/>
    </w:p>
    <w:p w14:paraId="5FDBADCB">
      <w:pPr>
        <w:keepNext w:val="0"/>
        <w:keepLines w:val="0"/>
        <w:pageBreakBefore w:val="0"/>
        <w:wordWrap w:val="0"/>
        <w:overflowPunct/>
        <w:topLinePunct w:val="0"/>
        <w:bidi w:val="0"/>
        <w:spacing w:before="152" w:line="327" w:lineRule="auto"/>
        <w:ind w:left="13" w:right="65" w:firstLine="47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投标人有下列情形之一的，评标委员会应否决其投标。被否决的投标人，不进入形式评审环节。</w:t>
      </w:r>
    </w:p>
    <w:p w14:paraId="6224D28D">
      <w:pPr>
        <w:keepNext w:val="0"/>
        <w:keepLines w:val="0"/>
        <w:pageBreakBefore w:val="0"/>
        <w:wordWrap w:val="0"/>
        <w:overflowPunct/>
        <w:topLinePunct w:val="0"/>
        <w:bidi w:val="0"/>
        <w:spacing w:before="32" w:line="219" w:lineRule="auto"/>
        <w:ind w:left="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（1）有本章第三节第 </w:t>
      </w: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条“禁止投标条款 ”规定的任何一种情形；</w:t>
      </w:r>
    </w:p>
    <w:p w14:paraId="5A8A84D3">
      <w:pPr>
        <w:keepNext w:val="0"/>
        <w:keepLines w:val="0"/>
        <w:pageBreakBefore w:val="0"/>
        <w:wordWrap w:val="0"/>
        <w:overflowPunct/>
        <w:topLinePunct w:val="0"/>
        <w:bidi w:val="0"/>
        <w:spacing w:before="154" w:line="220" w:lineRule="auto"/>
        <w:ind w:left="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（2）投标人资质不符合规定的；</w:t>
      </w:r>
    </w:p>
    <w:p w14:paraId="2EEF5389">
      <w:pPr>
        <w:keepNext w:val="0"/>
        <w:keepLines w:val="0"/>
        <w:pageBreakBefore w:val="0"/>
        <w:wordWrap w:val="0"/>
        <w:overflowPunct/>
        <w:topLinePunct w:val="0"/>
        <w:bidi w:val="0"/>
        <w:spacing w:before="153" w:line="315" w:lineRule="auto"/>
        <w:ind w:right="57" w:firstLine="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5957D489">
      <w:pPr>
        <w:keepNext w:val="0"/>
        <w:keepLines w:val="0"/>
        <w:pageBreakBefore w:val="0"/>
        <w:wordWrap w:val="0"/>
        <w:overflowPunct/>
        <w:topLinePunct w:val="0"/>
        <w:bidi w:val="0"/>
        <w:spacing w:before="153" w:line="330" w:lineRule="auto"/>
        <w:ind w:left="9" w:right="66" w:firstLine="48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47D8899C">
      <w:pPr>
        <w:keepNext w:val="0"/>
        <w:keepLines w:val="0"/>
        <w:pageBreakBefore w:val="0"/>
        <w:wordWrap w:val="0"/>
        <w:overflowPunct/>
        <w:topLinePunct w:val="0"/>
        <w:bidi w:val="0"/>
        <w:spacing w:before="32" w:line="325" w:lineRule="auto"/>
        <w:ind w:left="10" w:right="65" w:firstLine="49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（4）拟派项目经理、项目技术负责人、专职安全员的条件不符合规定的；拟派专职安全员数量不符合规定的；项目技术负责人未在投标文件《项目技术负责人简历表》中签</w:t>
      </w:r>
      <w:r>
        <w:rPr>
          <w:rFonts w:hint="eastAsia" w:ascii="宋体" w:hAnsi="宋体" w:eastAsia="宋体" w:cs="宋体"/>
          <w:color w:val="auto"/>
          <w:spacing w:val="0"/>
          <w:sz w:val="24"/>
          <w:szCs w:val="24"/>
          <w:highlight w:val="none"/>
          <w:lang w:eastAsia="zh-CN"/>
        </w:rPr>
        <w:t>字确认。</w:t>
      </w:r>
    </w:p>
    <w:p w14:paraId="45D2AAF1">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温馨提示：建造师打印电子证书后，应在个人签名处手写本人签名，未手写签名或与签名图像笔迹不一致的，该电子证书无效。</w:t>
      </w:r>
    </w:p>
    <w:p w14:paraId="47B1AA25">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项目经理简历表》中拟派项目经理与《开标一览表》不一致的；拟派的项目经理未在投标文件《项目经理简历表》中签字确认；一级建造师的注册证书不是国家住建部颁发的；建造师的注册单位与投标人不一致的；项目管理班子组成人员的各类证书、证件、证明不在有效期内的（</w:t>
      </w:r>
      <w:r>
        <w:rPr>
          <w:rFonts w:hint="eastAsia" w:ascii="宋体" w:hAnsi="宋体" w:eastAsia="宋体" w:cs="宋体"/>
          <w:b/>
          <w:bCs/>
          <w:color w:val="auto"/>
          <w:spacing w:val="0"/>
          <w:sz w:val="24"/>
          <w:szCs w:val="24"/>
          <w:highlight w:val="none"/>
        </w:rPr>
        <w:t>建造师注册证书不在使用有效期内的</w:t>
      </w:r>
      <w:r>
        <w:rPr>
          <w:rFonts w:hint="eastAsia" w:ascii="宋体" w:hAnsi="宋体" w:eastAsia="宋体" w:cs="宋体"/>
          <w:color w:val="auto"/>
          <w:spacing w:val="0"/>
          <w:sz w:val="24"/>
          <w:szCs w:val="24"/>
          <w:highlight w:val="none"/>
        </w:rPr>
        <w:t>）；擅自修改、遗漏《项目经理任职声明》实质性内容的；</w:t>
      </w:r>
    </w:p>
    <w:p w14:paraId="0512EB6D">
      <w:pPr>
        <w:keepNext w:val="0"/>
        <w:keepLines w:val="0"/>
        <w:pageBreakBefore w:val="0"/>
        <w:wordWrap w:val="0"/>
        <w:overflowPunct/>
        <w:topLinePunct w:val="0"/>
        <w:bidi w:val="0"/>
        <w:spacing w:before="1" w:line="293" w:lineRule="auto"/>
        <w:ind w:left="28" w:right="66" w:firstLine="46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注：投标人已经工商变更，但其员工执业资格注册证书的注册单位名称未完成变更的，不得否决其投标。</w:t>
      </w:r>
    </w:p>
    <w:p w14:paraId="574B858F">
      <w:pPr>
        <w:keepNext w:val="0"/>
        <w:keepLines w:val="0"/>
        <w:pageBreakBefore w:val="0"/>
        <w:wordWrap w:val="0"/>
        <w:overflowPunct/>
        <w:topLinePunct w:val="0"/>
        <w:bidi w:val="0"/>
        <w:spacing w:before="153" w:line="330" w:lineRule="auto"/>
        <w:ind w:left="9" w:right="66" w:firstLine="480"/>
        <w:jc w:val="both"/>
        <w:rPr>
          <w:rFonts w:hint="eastAsia" w:ascii="宋体" w:hAnsi="宋体" w:eastAsia="宋体" w:cs="宋体"/>
          <w:b/>
          <w:bCs/>
          <w:color w:val="auto"/>
          <w:spacing w:val="0"/>
          <w:sz w:val="24"/>
          <w:szCs w:val="24"/>
          <w:highlight w:val="none"/>
        </w:rPr>
      </w:pPr>
      <w:bookmarkStart w:id="141" w:name="OLE_LINK27"/>
      <w:r>
        <w:rPr>
          <w:rFonts w:hint="eastAsia" w:ascii="宋体" w:hAnsi="宋体" w:eastAsia="宋体" w:cs="宋体"/>
          <w:b/>
          <w:bCs/>
          <w:color w:val="auto"/>
          <w:spacing w:val="0"/>
          <w:sz w:val="24"/>
          <w:szCs w:val="24"/>
          <w:highlight w:val="none"/>
        </w:rPr>
        <w:t>鉴于目前继续教育开展的实际情况，建筑和市政工程施工现场专业人员（例如：施</w:t>
      </w:r>
      <w:bookmarkStart w:id="142" w:name="bookmark139"/>
      <w:bookmarkEnd w:id="142"/>
      <w:r>
        <w:rPr>
          <w:rFonts w:hint="eastAsia" w:ascii="宋体" w:hAnsi="宋体" w:eastAsia="宋体" w:cs="宋体"/>
          <w:b/>
          <w:bCs/>
          <w:color w:val="auto"/>
          <w:spacing w:val="0"/>
          <w:sz w:val="24"/>
          <w:szCs w:val="24"/>
          <w:highlight w:val="none"/>
        </w:rPr>
        <w:t>工员、质量员、材料员、资料员）的岗位证书或培训证书不审查其证书的有效期。</w:t>
      </w:r>
      <w:bookmarkEnd w:id="141"/>
    </w:p>
    <w:p w14:paraId="6DA43A0A">
      <w:pPr>
        <w:keepNext w:val="0"/>
        <w:keepLines w:val="0"/>
        <w:pageBreakBefore w:val="0"/>
        <w:wordWrap w:val="0"/>
        <w:overflowPunct/>
        <w:topLinePunct w:val="0"/>
        <w:bidi w:val="0"/>
        <w:spacing w:before="146" w:line="220" w:lineRule="auto"/>
        <w:ind w:left="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（6）招标文件规定不接受联合体投标，但以联合体投标的；</w:t>
      </w:r>
    </w:p>
    <w:p w14:paraId="5EA3DA37">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（7）联合体投标，未提交《联合体协议书》的；擅自修改、遗漏《联合体协议书》实质性内容的；联合体成员的数量、资质不符合规定的；联合体成员同时以自己名义单独投标或者参加其他联合体投标的；</w:t>
      </w:r>
    </w:p>
    <w:p w14:paraId="546A374E">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8</w:t>
      </w:r>
      <w:r>
        <w:rPr>
          <w:rFonts w:hint="eastAsia" w:ascii="宋体" w:hAnsi="宋体" w:eastAsia="宋体" w:cs="宋体"/>
          <w:color w:val="auto"/>
          <w:spacing w:val="0"/>
          <w:sz w:val="24"/>
          <w:szCs w:val="24"/>
          <w:highlight w:val="none"/>
        </w:rPr>
        <w:t>）投标人为外省建筑企业，但未提供“进粤企业和人员诚信信息登记平台 ”企业和拟派人员信息情况打印页或网页截图的。</w:t>
      </w:r>
    </w:p>
    <w:p w14:paraId="47B412EA">
      <w:pPr>
        <w:keepNext w:val="0"/>
        <w:keepLines w:val="0"/>
        <w:pageBreakBefore w:val="0"/>
        <w:wordWrap w:val="0"/>
        <w:overflowPunct/>
        <w:topLinePunct w:val="0"/>
        <w:bidi w:val="0"/>
        <w:spacing w:before="154" w:line="221" w:lineRule="auto"/>
        <w:ind w:left="477"/>
        <w:outlineLvl w:val="2"/>
        <w:rPr>
          <w:rFonts w:hint="eastAsia" w:ascii="宋体" w:hAnsi="宋体" w:eastAsia="宋体" w:cs="宋体"/>
          <w:color w:val="auto"/>
          <w:spacing w:val="0"/>
          <w:sz w:val="24"/>
          <w:szCs w:val="24"/>
          <w:highlight w:val="none"/>
        </w:rPr>
      </w:pPr>
      <w:bookmarkStart w:id="143" w:name="_Toc7870"/>
      <w:r>
        <w:rPr>
          <w:rFonts w:hint="eastAsia" w:ascii="宋体" w:hAnsi="宋体" w:eastAsia="宋体" w:cs="宋体"/>
          <w:b/>
          <w:bCs/>
          <w:color w:val="auto"/>
          <w:spacing w:val="0"/>
          <w:sz w:val="24"/>
          <w:szCs w:val="24"/>
          <w:highlight w:val="none"/>
        </w:rPr>
        <w:t>2 ．形式评审环节</w:t>
      </w:r>
      <w:bookmarkEnd w:id="143"/>
    </w:p>
    <w:p w14:paraId="4C071E88">
      <w:pPr>
        <w:keepNext w:val="0"/>
        <w:keepLines w:val="0"/>
        <w:pageBreakBefore w:val="0"/>
        <w:wordWrap w:val="0"/>
        <w:overflowPunct/>
        <w:topLinePunct w:val="0"/>
        <w:bidi w:val="0"/>
        <w:spacing w:before="151" w:line="327" w:lineRule="auto"/>
        <w:ind w:right="200" w:firstLine="48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投标人有下列情形之一的，评标委员会应否决其投标。被否决的投标人，不进入响应性评审环节。</w:t>
      </w:r>
    </w:p>
    <w:p w14:paraId="2CCA6807">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（1）各分册没按招标文件规定加盖电子印章；</w:t>
      </w:r>
    </w:p>
    <w:p w14:paraId="3016EC44">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（2）本章第三节第 </w:t>
      </w:r>
      <w:r>
        <w:rPr>
          <w:rFonts w:hint="eastAsia" w:ascii="宋体" w:hAnsi="宋体" w:eastAsia="宋体" w:cs="宋体"/>
          <w:b/>
          <w:bCs/>
          <w:color w:val="auto"/>
          <w:spacing w:val="0"/>
          <w:sz w:val="24"/>
          <w:szCs w:val="24"/>
          <w:highlight w:val="none"/>
        </w:rPr>
        <w:t>10.2.2</w:t>
      </w:r>
      <w:r>
        <w:rPr>
          <w:rFonts w:hint="eastAsia" w:ascii="宋体" w:hAnsi="宋体" w:eastAsia="宋体" w:cs="宋体"/>
          <w:color w:val="auto"/>
          <w:spacing w:val="0"/>
          <w:sz w:val="24"/>
          <w:szCs w:val="24"/>
          <w:highlight w:val="none"/>
        </w:rPr>
        <w:t xml:space="preserve"> 目、第 </w:t>
      </w:r>
      <w:r>
        <w:rPr>
          <w:rFonts w:hint="eastAsia" w:ascii="宋体" w:hAnsi="宋体" w:eastAsia="宋体" w:cs="宋体"/>
          <w:b/>
          <w:bCs/>
          <w:color w:val="auto"/>
          <w:spacing w:val="0"/>
          <w:sz w:val="24"/>
          <w:szCs w:val="24"/>
          <w:highlight w:val="none"/>
        </w:rPr>
        <w:t>10.3.2</w:t>
      </w:r>
      <w:r>
        <w:rPr>
          <w:rFonts w:hint="eastAsia" w:ascii="宋体" w:hAnsi="宋体" w:eastAsia="宋体" w:cs="宋体"/>
          <w:color w:val="auto"/>
          <w:spacing w:val="0"/>
          <w:sz w:val="24"/>
          <w:szCs w:val="24"/>
          <w:highlight w:val="none"/>
        </w:rPr>
        <w:t xml:space="preserve"> 目、第 </w:t>
      </w:r>
      <w:r>
        <w:rPr>
          <w:rFonts w:hint="eastAsia" w:ascii="宋体" w:hAnsi="宋体" w:eastAsia="宋体" w:cs="宋体"/>
          <w:b/>
          <w:bCs/>
          <w:color w:val="auto"/>
          <w:spacing w:val="0"/>
          <w:sz w:val="24"/>
          <w:szCs w:val="24"/>
          <w:highlight w:val="none"/>
        </w:rPr>
        <w:t>10.4.3</w:t>
      </w:r>
      <w:r>
        <w:rPr>
          <w:rFonts w:hint="eastAsia" w:ascii="宋体" w:hAnsi="宋体" w:eastAsia="宋体" w:cs="宋体"/>
          <w:color w:val="auto"/>
          <w:spacing w:val="0"/>
          <w:sz w:val="24"/>
          <w:szCs w:val="24"/>
          <w:highlight w:val="none"/>
        </w:rPr>
        <w:t xml:space="preserve"> 目中规定的“所有投标人均应提供 ”的组成内容（包括该组成内容的所附资料）中，任何一项有缺漏的；</w:t>
      </w:r>
    </w:p>
    <w:p w14:paraId="32F511BC">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关键字迹模糊、无法辨认，且该种过错将导致评标委员会无法判断投标文件是否响应招标文件实质性要求的；有涂改、行间插字或删除，但未加盖单位章或由投标人的法定代表人或其委托代理人签字确认的；</w:t>
      </w:r>
    </w:p>
    <w:p w14:paraId="2562D028">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（4）投标文件未按规定签字、盖章的。</w:t>
      </w:r>
    </w:p>
    <w:p w14:paraId="2863A91E">
      <w:pPr>
        <w:wordWrap w:val="0"/>
        <w:adjustRightInd w:val="0"/>
        <w:snapToGrid w:val="0"/>
        <w:spacing w:line="440" w:lineRule="exact"/>
        <w:ind w:firstLine="480"/>
        <w:rPr>
          <w:rFonts w:hint="eastAsia" w:ascii="Times New Roman"/>
          <w:b/>
          <w:bCs/>
          <w:snapToGrid w:val="0"/>
          <w:color w:val="auto"/>
          <w:kern w:val="0"/>
          <w:highlight w:val="none"/>
        </w:rPr>
      </w:pPr>
      <w:r>
        <w:rPr>
          <w:rFonts w:hint="eastAsia" w:ascii="宋体" w:hAnsi="宋体" w:eastAsia="宋体" w:cs="宋体"/>
          <w:color w:val="auto"/>
          <w:spacing w:val="0"/>
          <w:sz w:val="24"/>
          <w:szCs w:val="24"/>
          <w:highlight w:val="none"/>
        </w:rPr>
        <w:t>（5）招标文件规定施工组织设计采用“暗标 ”方式进行评审，但施工组织设计的规格颜色、文字排版、正文篇幅（若有）不符合规定的；其任何部位出现手写以及涂改、 行间插字或删除痕迹的；其任何部位出现投标人的名称和其它可识别投标人身份的字符、徽标、人员名称以及其他特殊标记的。</w:t>
      </w:r>
      <w:r>
        <w:rPr>
          <w:rFonts w:hint="eastAsia" w:ascii="宋体" w:hAnsi="宋体" w:eastAsia="宋体" w:cs="宋体"/>
          <w:color w:val="auto"/>
          <w:spacing w:val="0"/>
          <w:sz w:val="24"/>
          <w:szCs w:val="24"/>
          <w:highlight w:val="none"/>
        </w:rPr>
        <w:br w:type="textWrapping"/>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不同投标人通过同一IP地址上传投标文件。</w:t>
      </w:r>
    </w:p>
    <w:p w14:paraId="5756AE48">
      <w:pPr>
        <w:keepNext w:val="0"/>
        <w:keepLines w:val="0"/>
        <w:pageBreakBefore w:val="0"/>
        <w:wordWrap w:val="0"/>
        <w:overflowPunct/>
        <w:topLinePunct w:val="0"/>
        <w:bidi w:val="0"/>
        <w:spacing w:before="227" w:line="221" w:lineRule="auto"/>
        <w:ind w:left="475"/>
        <w:outlineLvl w:val="2"/>
        <w:rPr>
          <w:rFonts w:hint="eastAsia" w:ascii="宋体" w:hAnsi="宋体" w:eastAsia="宋体" w:cs="宋体"/>
          <w:color w:val="auto"/>
          <w:spacing w:val="0"/>
          <w:sz w:val="24"/>
          <w:szCs w:val="24"/>
          <w:highlight w:val="none"/>
        </w:rPr>
      </w:pPr>
      <w:bookmarkStart w:id="144" w:name="_Toc3966"/>
      <w:r>
        <w:rPr>
          <w:rFonts w:hint="eastAsia" w:ascii="宋体" w:hAnsi="宋体" w:eastAsia="宋体" w:cs="宋体"/>
          <w:b/>
          <w:bCs/>
          <w:color w:val="auto"/>
          <w:spacing w:val="0"/>
          <w:sz w:val="24"/>
          <w:szCs w:val="24"/>
          <w:highlight w:val="none"/>
        </w:rPr>
        <w:t>3 ．响应性评审环节</w:t>
      </w:r>
      <w:bookmarkEnd w:id="144"/>
    </w:p>
    <w:p w14:paraId="24A371D1">
      <w:pPr>
        <w:keepNext w:val="0"/>
        <w:keepLines w:val="0"/>
        <w:pageBreakBefore w:val="0"/>
        <w:wordWrap w:val="0"/>
        <w:overflowPunct/>
        <w:topLinePunct w:val="0"/>
        <w:bidi w:val="0"/>
        <w:spacing w:before="151" w:line="327" w:lineRule="auto"/>
        <w:ind w:left="1" w:right="200"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投标人有下列情形之一的，评标委员会应否决其投标。被否决的投标人，不进入详细评审阶段。</w:t>
      </w:r>
    </w:p>
    <w:p w14:paraId="328C80CC">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（1）承诺的投标有效期短于规定的；质量标准低于规定的；工期超出规定的；擅自修改、遗漏《投标函》《各项承诺一览表》实质性内容的；</w:t>
      </w:r>
    </w:p>
    <w:p w14:paraId="51AA35F9">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（2）编制《投标总价》的造价工程师，其注册证书不是</w:t>
      </w:r>
      <w:r>
        <w:rPr>
          <w:rFonts w:hint="eastAsia" w:ascii="宋体" w:hAnsi="宋体" w:eastAsia="宋体" w:cs="宋体"/>
          <w:b/>
          <w:bCs/>
          <w:color w:val="auto"/>
          <w:spacing w:val="0"/>
          <w:sz w:val="24"/>
          <w:szCs w:val="24"/>
          <w:highlight w:val="none"/>
        </w:rPr>
        <w:t>住建部门</w:t>
      </w:r>
      <w:r>
        <w:rPr>
          <w:rFonts w:hint="eastAsia" w:ascii="宋体" w:hAnsi="宋体" w:eastAsia="宋体" w:cs="宋体"/>
          <w:color w:val="auto"/>
          <w:spacing w:val="0"/>
          <w:sz w:val="24"/>
          <w:szCs w:val="24"/>
          <w:highlight w:val="none"/>
        </w:rPr>
        <w:t>颁发的；其注册单位与投标人（或造价咨询人）不一致的；其注册证书不在有效期内的。</w:t>
      </w:r>
    </w:p>
    <w:p w14:paraId="57DA17C2">
      <w:pPr>
        <w:keepNext w:val="0"/>
        <w:keepLines w:val="0"/>
        <w:pageBreakBefore w:val="0"/>
        <w:wordWrap w:val="0"/>
        <w:overflowPunct/>
        <w:topLinePunct w:val="0"/>
        <w:bidi w:val="0"/>
        <w:spacing w:before="156" w:line="329" w:lineRule="auto"/>
        <w:ind w:right="200" w:firstLine="480"/>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注：投标人（或造价咨询人）已经工商变更，但其员工的执业资格注册证书的注册单位名称未完成变更的，不得否决其投标。</w:t>
      </w:r>
    </w:p>
    <w:p w14:paraId="1C0F15DB">
      <w:pPr>
        <w:keepNext w:val="0"/>
        <w:keepLines w:val="0"/>
        <w:pageBreakBefore w:val="0"/>
        <w:wordWrap w:val="0"/>
        <w:overflowPunct/>
        <w:topLinePunct w:val="0"/>
        <w:bidi w:val="0"/>
        <w:spacing w:before="78" w:line="299" w:lineRule="auto"/>
        <w:ind w:left="2" w:right="81"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（3）投标人委托造价咨询单位编制《投标总价》，但未在《投标总价扉页》（即扉—3）“投标人 ”栏目加盖造价咨询人公章的；未提供造价咨询人的营业执照副本彩色扫描件；</w:t>
      </w:r>
    </w:p>
    <w:p w14:paraId="28A4F595">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（4）出现两个或两个以上投标总价的（同一个投标总价大、小写不一致的除外）； 投标总价超出</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少于规定的；暂列金额、暂估价未按照招标工程量清单统一报价的；投标总价下浮率超过 15%，又未提供相应书面说明和佐证材料或提供的书面说明和佐证材料不能令人信服，被评标委员会认定以低于成本报价竞标的；擅自修改、增减招标工程量清单项目（包括措施项目）的；</w:t>
      </w:r>
    </w:p>
    <w:p w14:paraId="0C1C1D63">
      <w:pPr>
        <w:keepNext w:val="0"/>
        <w:keepLines w:val="0"/>
        <w:pageBreakBefore w:val="0"/>
        <w:wordWrap w:val="0"/>
        <w:overflowPunct/>
        <w:topLinePunct w:val="0"/>
        <w:bidi w:val="0"/>
        <w:spacing w:before="156" w:line="299" w:lineRule="auto"/>
        <w:ind w:right="8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（5）在施工组织设计评审中，评标委员会认定质量、进度保障措施与国家和省市现行有关规范、规定、标准有重大偏差，</w:t>
      </w:r>
      <w:r>
        <w:rPr>
          <w:rFonts w:hint="eastAsia" w:ascii="宋体" w:hAnsi="宋体" w:eastAsia="宋体" w:cs="宋体"/>
          <w:b/>
          <w:bCs/>
          <w:color w:val="auto"/>
          <w:spacing w:val="0"/>
          <w:sz w:val="24"/>
          <w:szCs w:val="24"/>
          <w:highlight w:val="none"/>
        </w:rPr>
        <w:t>且该种过错将导致工程质量、进度管理目标无法实现的</w:t>
      </w:r>
      <w:r>
        <w:rPr>
          <w:rFonts w:hint="eastAsia" w:ascii="宋体" w:hAnsi="宋体" w:eastAsia="宋体" w:cs="宋体"/>
          <w:color w:val="auto"/>
          <w:spacing w:val="0"/>
          <w:sz w:val="24"/>
          <w:szCs w:val="24"/>
          <w:highlight w:val="none"/>
        </w:rPr>
        <w:t>。</w:t>
      </w:r>
    </w:p>
    <w:p w14:paraId="7278F5C7">
      <w:pPr>
        <w:keepNext w:val="0"/>
        <w:keepLines w:val="0"/>
        <w:pageBreakBefore w:val="0"/>
        <w:wordWrap w:val="0"/>
        <w:overflowPunct/>
        <w:topLinePunct w:val="0"/>
        <w:bidi w:val="0"/>
        <w:spacing w:before="151" w:line="221" w:lineRule="auto"/>
        <w:ind w:left="476"/>
        <w:outlineLvl w:val="2"/>
        <w:rPr>
          <w:rFonts w:hint="eastAsia" w:ascii="宋体" w:hAnsi="宋体" w:eastAsia="宋体" w:cs="宋体"/>
          <w:color w:val="auto"/>
          <w:spacing w:val="0"/>
          <w:sz w:val="24"/>
          <w:szCs w:val="24"/>
          <w:highlight w:val="none"/>
        </w:rPr>
      </w:pPr>
      <w:bookmarkStart w:id="145" w:name="_Toc27412"/>
      <w:r>
        <w:rPr>
          <w:rFonts w:hint="eastAsia" w:ascii="宋体" w:hAnsi="宋体" w:eastAsia="宋体" w:cs="宋体"/>
          <w:b/>
          <w:bCs/>
          <w:color w:val="auto"/>
          <w:spacing w:val="0"/>
          <w:sz w:val="24"/>
          <w:szCs w:val="24"/>
          <w:highlight w:val="none"/>
        </w:rPr>
        <w:t>4 ．其他</w:t>
      </w:r>
      <w:bookmarkEnd w:id="145"/>
    </w:p>
    <w:p w14:paraId="478ECE44">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在任何评标环节（或阶段），投标人有下列情形之一的，评标委员会应否决其投标。 被否决的投标人，不进入下一环节（或阶段）。</w:t>
      </w:r>
    </w:p>
    <w:p w14:paraId="32C969EB">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（1）不按评标委员会要求澄清、说明或补正的；</w:t>
      </w:r>
    </w:p>
    <w:p w14:paraId="2BC3CEAA">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（2）有下列情形之一，被评标委员会认定属于串通投标的：</w:t>
      </w:r>
    </w:p>
    <w:p w14:paraId="5E130F1E">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①不同投标人的投标文件两处以上（含两处）错、漏一致；</w:t>
      </w:r>
    </w:p>
    <w:p w14:paraId="7FECEC65">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②不同投标人的投标总价相近且各分项报价、综合单价分析表内容混乱不能相互对应、乱调乱压或乱抬的，而在询标时没有合理的解释或者不能提供计算依据和报价依据；</w:t>
      </w:r>
    </w:p>
    <w:p w14:paraId="2559209F">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③不同投标人的投标各项报价存在异常一致或者呈规律性变化；</w:t>
      </w:r>
    </w:p>
    <w:p w14:paraId="21D10FEB">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④不同投标人的投标文件由同一单位或者同一个人编制；</w:t>
      </w:r>
    </w:p>
    <w:p w14:paraId="5CE4BEF8">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⑤不同投标人的投标文件中投标资料（包括电子资料）相互混装或项目班子成员出现同一人；</w:t>
      </w:r>
    </w:p>
    <w:p w14:paraId="6AC7075C">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⑥不同投标人的投标文件由同一电脑编制或同一台附属设备打印，或投标报价用同一个预算编制软件密码锁制作或出自同一电子文档；</w:t>
      </w:r>
    </w:p>
    <w:p w14:paraId="5863A9E8">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⑦不同投标人的投标保证由同一企业或同一账户资金缴纳；</w:t>
      </w:r>
    </w:p>
    <w:p w14:paraId="61AFEE12">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⑧不同投标人委托同一个人或注册在同一家企业的注册人员或同一家企业为其投标提供投标咨询、商务报价、技术咨询（招标项目本身要求采用专有技术的除外）等服务。</w:t>
      </w:r>
    </w:p>
    <w:p w14:paraId="62C31967">
      <w:pPr>
        <w:pStyle w:val="27"/>
        <w:keepNext w:val="0"/>
        <w:keepLines w:val="0"/>
        <w:pageBreakBefore w:val="0"/>
        <w:wordWrap w:val="0"/>
        <w:overflowPunct/>
        <w:topLinePunct w:val="0"/>
        <w:bidi w:val="0"/>
        <w:rPr>
          <w:rFonts w:hint="eastAsia"/>
          <w:spacing w:val="0"/>
          <w:highlight w:val="none"/>
        </w:rPr>
      </w:pPr>
    </w:p>
    <w:p w14:paraId="3A4CDC3A">
      <w:pPr>
        <w:keepNext w:val="0"/>
        <w:keepLines w:val="0"/>
        <w:pageBreakBefore w:val="0"/>
        <w:wordWrap w:val="0"/>
        <w:overflowPunct/>
        <w:topLinePunct w:val="0"/>
        <w:bidi w:val="0"/>
        <w:spacing w:line="299" w:lineRule="auto"/>
        <w:rPr>
          <w:rFonts w:hint="eastAsia" w:ascii="宋体" w:hAnsi="宋体" w:eastAsia="宋体" w:cs="宋体"/>
          <w:color w:val="auto"/>
          <w:spacing w:val="0"/>
          <w:sz w:val="24"/>
          <w:szCs w:val="24"/>
          <w:highlight w:val="none"/>
        </w:rPr>
        <w:sectPr>
          <w:headerReference r:id="rId8" w:type="default"/>
          <w:footerReference r:id="rId9"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D73093E">
      <w:pPr>
        <w:keepNext w:val="0"/>
        <w:keepLines w:val="0"/>
        <w:pageBreakBefore w:val="0"/>
        <w:wordWrap w:val="0"/>
        <w:overflowPunct/>
        <w:topLinePunct w:val="0"/>
        <w:bidi w:val="0"/>
        <w:spacing w:before="78" w:line="219" w:lineRule="auto"/>
        <w:ind w:left="3525"/>
        <w:outlineLvl w:val="0"/>
        <w:rPr>
          <w:rFonts w:hint="eastAsia" w:ascii="宋体" w:hAnsi="宋体" w:eastAsia="宋体" w:cs="宋体"/>
          <w:color w:val="auto"/>
          <w:spacing w:val="0"/>
          <w:sz w:val="24"/>
          <w:szCs w:val="24"/>
          <w:highlight w:val="none"/>
        </w:rPr>
      </w:pPr>
      <w:bookmarkStart w:id="146" w:name="bookmark57"/>
      <w:bookmarkEnd w:id="146"/>
      <w:bookmarkStart w:id="147" w:name="_Toc575"/>
      <w:r>
        <w:rPr>
          <w:rFonts w:hint="eastAsia" w:ascii="宋体" w:hAnsi="宋体" w:eastAsia="宋体" w:cs="宋体"/>
          <w:b/>
          <w:bCs/>
          <w:color w:val="auto"/>
          <w:spacing w:val="0"/>
          <w:sz w:val="24"/>
          <w:szCs w:val="24"/>
          <w:highlight w:val="none"/>
        </w:rPr>
        <w:t>第二章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中标人须知</w:t>
      </w:r>
      <w:bookmarkEnd w:id="147"/>
    </w:p>
    <w:p w14:paraId="7366BAAD">
      <w:pPr>
        <w:keepNext w:val="0"/>
        <w:keepLines w:val="0"/>
        <w:pageBreakBefore w:val="0"/>
        <w:wordWrap w:val="0"/>
        <w:overflowPunct/>
        <w:topLinePunct w:val="0"/>
        <w:bidi w:val="0"/>
        <w:spacing w:before="78" w:line="219" w:lineRule="auto"/>
        <w:ind w:left="582"/>
        <w:outlineLvl w:val="2"/>
        <w:rPr>
          <w:rFonts w:hint="eastAsia" w:ascii="宋体" w:hAnsi="宋体" w:eastAsia="宋体" w:cs="宋体"/>
          <w:color w:val="auto"/>
          <w:spacing w:val="0"/>
          <w:sz w:val="24"/>
          <w:szCs w:val="24"/>
          <w:highlight w:val="none"/>
        </w:rPr>
      </w:pPr>
      <w:bookmarkStart w:id="148" w:name="_Toc25766"/>
      <w:r>
        <w:rPr>
          <w:rFonts w:hint="eastAsia" w:ascii="宋体" w:hAnsi="宋体" w:eastAsia="宋体" w:cs="宋体"/>
          <w:b/>
          <w:bCs/>
          <w:color w:val="auto"/>
          <w:spacing w:val="0"/>
          <w:sz w:val="24"/>
          <w:szCs w:val="24"/>
          <w:highlight w:val="none"/>
        </w:rPr>
        <w:t>1 ．中标通知书</w:t>
      </w:r>
      <w:bookmarkEnd w:id="148"/>
    </w:p>
    <w:p w14:paraId="360F6602">
      <w:pPr>
        <w:keepNext w:val="0"/>
        <w:keepLines w:val="0"/>
        <w:pageBreakBefore w:val="0"/>
        <w:wordWrap w:val="0"/>
        <w:overflowPunct/>
        <w:topLinePunct w:val="0"/>
        <w:bidi w:val="0"/>
        <w:spacing w:before="152" w:line="332" w:lineRule="auto"/>
        <w:ind w:left="17" w:firstLine="559"/>
        <w:jc w:val="both"/>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招标人确定</w:t>
      </w:r>
      <w:r>
        <w:rPr>
          <w:rFonts w:hint="eastAsia" w:ascii="宋体" w:hAnsi="宋体" w:eastAsia="宋体" w:cs="宋体"/>
          <w:color w:val="auto"/>
          <w:spacing w:val="0"/>
          <w:sz w:val="24"/>
          <w:szCs w:val="24"/>
          <w:highlight w:val="none"/>
          <w:lang w:val="en-US" w:eastAsia="zh-CN"/>
        </w:rPr>
        <w:t>定</w:t>
      </w:r>
      <w:r>
        <w:rPr>
          <w:rFonts w:hint="eastAsia" w:ascii="宋体" w:hAnsi="宋体" w:eastAsia="宋体" w:cs="宋体"/>
          <w:color w:val="auto"/>
          <w:spacing w:val="0"/>
          <w:sz w:val="24"/>
          <w:szCs w:val="24"/>
          <w:highlight w:val="none"/>
        </w:rPr>
        <w:t>标人为中标人</w:t>
      </w:r>
      <w:r>
        <w:rPr>
          <w:rFonts w:hint="eastAsia" w:ascii="宋体" w:hAnsi="宋体" w:eastAsia="宋体" w:cs="宋体"/>
          <w:color w:val="auto"/>
          <w:spacing w:val="0"/>
          <w:sz w:val="24"/>
          <w:szCs w:val="24"/>
          <w:highlight w:val="none"/>
          <w:lang w:val="en-US" w:eastAsia="zh-CN"/>
        </w:rPr>
        <w:t>后</w:t>
      </w:r>
      <w:r>
        <w:rPr>
          <w:rFonts w:hint="eastAsia" w:ascii="宋体" w:hAnsi="宋体" w:eastAsia="宋体" w:cs="宋体"/>
          <w:color w:val="auto"/>
          <w:spacing w:val="0"/>
          <w:sz w:val="24"/>
          <w:szCs w:val="24"/>
          <w:highlight w:val="none"/>
        </w:rPr>
        <w:t xml:space="preserve"> 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7D88EBA6">
      <w:pPr>
        <w:keepNext w:val="0"/>
        <w:keepLines w:val="0"/>
        <w:pageBreakBefore w:val="0"/>
        <w:wordWrap w:val="0"/>
        <w:overflowPunct/>
        <w:topLinePunct w:val="0"/>
        <w:bidi w:val="0"/>
        <w:spacing w:before="78" w:line="221" w:lineRule="auto"/>
        <w:ind w:left="572"/>
        <w:outlineLvl w:val="2"/>
        <w:rPr>
          <w:rFonts w:hint="eastAsia" w:ascii="宋体" w:hAnsi="宋体" w:eastAsia="宋体" w:cs="宋体"/>
          <w:color w:val="auto"/>
          <w:spacing w:val="0"/>
          <w:sz w:val="24"/>
          <w:szCs w:val="24"/>
          <w:highlight w:val="none"/>
        </w:rPr>
      </w:pPr>
      <w:bookmarkStart w:id="149" w:name="_Toc5291"/>
      <w:r>
        <w:rPr>
          <w:rFonts w:hint="eastAsia" w:ascii="宋体" w:hAnsi="宋体" w:eastAsia="宋体" w:cs="宋体"/>
          <w:b/>
          <w:bCs/>
          <w:color w:val="auto"/>
          <w:spacing w:val="0"/>
          <w:sz w:val="24"/>
          <w:szCs w:val="24"/>
          <w:highlight w:val="none"/>
        </w:rPr>
        <w:t>2 ．中结果公示</w:t>
      </w:r>
      <w:bookmarkEnd w:id="149"/>
    </w:p>
    <w:p w14:paraId="1D49581A">
      <w:pPr>
        <w:keepNext w:val="0"/>
        <w:keepLines w:val="0"/>
        <w:pageBreakBefore w:val="0"/>
        <w:wordWrap w:val="0"/>
        <w:overflowPunct/>
        <w:topLinePunct w:val="0"/>
        <w:bidi w:val="0"/>
        <w:spacing w:before="115" w:line="316" w:lineRule="auto"/>
        <w:ind w:left="2" w:right="203" w:firstLine="595"/>
        <w:jc w:val="both"/>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中标通知书发出后 15</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日内，招标人应将中标结果在广东省招标投标监管网（http://zbtb.gd.gov.cn）、全国公共资源交易平台（广东省 ·韶关市）（https://ygp.gdzwfw.gov.cn/ggzy-portal/#/440200/index）进行公示。</w:t>
      </w:r>
    </w:p>
    <w:p w14:paraId="49003951">
      <w:pPr>
        <w:keepNext w:val="0"/>
        <w:keepLines w:val="0"/>
        <w:pageBreakBefore w:val="0"/>
        <w:wordWrap w:val="0"/>
        <w:overflowPunct/>
        <w:topLinePunct w:val="0"/>
        <w:bidi w:val="0"/>
        <w:spacing w:before="79" w:line="221" w:lineRule="auto"/>
        <w:ind w:left="570"/>
        <w:outlineLvl w:val="2"/>
        <w:rPr>
          <w:rFonts w:hint="eastAsia" w:ascii="宋体" w:hAnsi="宋体" w:eastAsia="宋体" w:cs="宋体"/>
          <w:color w:val="auto"/>
          <w:spacing w:val="0"/>
          <w:sz w:val="24"/>
          <w:szCs w:val="24"/>
          <w:highlight w:val="none"/>
        </w:rPr>
      </w:pPr>
      <w:bookmarkStart w:id="150" w:name="_Toc21021"/>
      <w:r>
        <w:rPr>
          <w:rFonts w:hint="eastAsia" w:ascii="宋体" w:hAnsi="宋体" w:eastAsia="宋体" w:cs="宋体"/>
          <w:b/>
          <w:bCs/>
          <w:color w:val="auto"/>
          <w:spacing w:val="0"/>
          <w:sz w:val="24"/>
          <w:szCs w:val="24"/>
          <w:highlight w:val="none"/>
        </w:rPr>
        <w:t>3 ．履约保证</w:t>
      </w:r>
      <w:bookmarkEnd w:id="150"/>
    </w:p>
    <w:p w14:paraId="7A78E0ED">
      <w:pPr>
        <w:keepNext w:val="0"/>
        <w:keepLines w:val="0"/>
        <w:pageBreakBefore w:val="0"/>
        <w:widowControl/>
        <w:kinsoku w:val="0"/>
        <w:wordWrap w:val="0"/>
        <w:overflowPunct/>
        <w:topLinePunct w:val="0"/>
        <w:autoSpaceDE w:val="0"/>
        <w:autoSpaceDN w:val="0"/>
        <w:bidi w:val="0"/>
        <w:adjustRightInd w:val="0"/>
        <w:snapToGrid w:val="0"/>
        <w:spacing w:before="153" w:line="312" w:lineRule="auto"/>
        <w:ind w:firstLine="482"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3.1  </w:t>
      </w:r>
      <w:r>
        <w:rPr>
          <w:rFonts w:hint="eastAsia" w:ascii="宋体" w:hAnsi="宋体" w:eastAsia="宋体" w:cs="宋体"/>
          <w:color w:val="auto"/>
          <w:spacing w:val="0"/>
          <w:sz w:val="24"/>
          <w:szCs w:val="24"/>
          <w:highlight w:val="none"/>
        </w:rPr>
        <w:t>中标人须在领取中标通知书之日起</w:t>
      </w:r>
      <w:r>
        <w:rPr>
          <w:rFonts w:hint="eastAsia" w:ascii="宋体" w:hAnsi="宋体" w:eastAsia="宋体" w:cs="宋体"/>
          <w:color w:val="auto"/>
          <w:spacing w:val="0"/>
          <w:sz w:val="24"/>
          <w:szCs w:val="24"/>
          <w:highlight w:val="none"/>
          <w:u w:val="single"/>
          <w:lang w:val="en-US" w:eastAsia="zh-CN"/>
        </w:rPr>
        <w:t xml:space="preserve"> 10 </w:t>
      </w:r>
      <w:r>
        <w:rPr>
          <w:rFonts w:hint="eastAsia" w:ascii="宋体" w:hAnsi="宋体" w:eastAsia="宋体" w:cs="宋体"/>
          <w:color w:val="auto"/>
          <w:spacing w:val="0"/>
          <w:sz w:val="24"/>
          <w:szCs w:val="24"/>
          <w:highlight w:val="none"/>
        </w:rPr>
        <w:t>个工作日内、签订合同前向招标人提交金额</w:t>
      </w:r>
      <w:r>
        <w:rPr>
          <w:rFonts w:hint="eastAsia" w:ascii="宋体" w:hAnsi="宋体" w:eastAsia="宋体" w:cs="宋体"/>
          <w:color w:val="auto"/>
          <w:spacing w:val="0"/>
          <w:position w:val="2"/>
          <w:sz w:val="24"/>
          <w:szCs w:val="24"/>
          <w:highlight w:val="none"/>
        </w:rPr>
        <w:t>为中标价</w:t>
      </w:r>
      <w:r>
        <w:rPr>
          <w:rFonts w:hint="eastAsia" w:ascii="宋体" w:hAnsi="宋体" w:eastAsia="宋体" w:cs="宋体"/>
          <w:color w:val="auto"/>
          <w:spacing w:val="0"/>
          <w:position w:val="2"/>
          <w:sz w:val="24"/>
          <w:szCs w:val="24"/>
          <w:highlight w:val="none"/>
          <w:u w:val="single"/>
          <w:lang w:val="en-US" w:eastAsia="zh-CN"/>
        </w:rPr>
        <w:t xml:space="preserve"> 5</w:t>
      </w:r>
      <w:r>
        <w:rPr>
          <w:rFonts w:hint="eastAsia" w:ascii="宋体" w:hAnsi="宋体" w:eastAsia="宋体" w:cs="宋体"/>
          <w:color w:val="auto"/>
          <w:spacing w:val="0"/>
          <w:position w:val="2"/>
          <w:sz w:val="24"/>
          <w:szCs w:val="24"/>
          <w:highlight w:val="none"/>
          <w:u w:val="single"/>
        </w:rPr>
        <w:t xml:space="preserve">%  </w:t>
      </w:r>
      <w:r>
        <w:rPr>
          <w:rFonts w:hint="eastAsia" w:ascii="宋体" w:hAnsi="宋体" w:eastAsia="宋体" w:cs="宋体"/>
          <w:color w:val="auto"/>
          <w:spacing w:val="0"/>
          <w:position w:val="2"/>
          <w:sz w:val="24"/>
          <w:szCs w:val="24"/>
          <w:highlight w:val="none"/>
        </w:rPr>
        <w:t>的履约保证。联合体中标的，由联合体牵头人提交。</w:t>
      </w:r>
    </w:p>
    <w:p w14:paraId="0BF7859C">
      <w:pPr>
        <w:keepNext w:val="0"/>
        <w:keepLines w:val="0"/>
        <w:pageBreakBefore w:val="0"/>
        <w:wordWrap w:val="0"/>
        <w:overflowPunct/>
        <w:topLinePunct w:val="0"/>
        <w:bidi w:val="0"/>
        <w:spacing w:before="89" w:line="286" w:lineRule="auto"/>
        <w:ind w:left="12" w:right="108"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3.2</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0"/>
          <w:sz w:val="24"/>
          <w:szCs w:val="24"/>
          <w:highlight w:val="none"/>
        </w:rPr>
        <w:t>。商业保函、银行保函或保险合同（或保险单）的有效期应当自合同生效之日起至项目通过竣工验收之日后 28 天止。</w:t>
      </w:r>
    </w:p>
    <w:p w14:paraId="30ED910B">
      <w:pPr>
        <w:keepNext w:val="0"/>
        <w:keepLines w:val="0"/>
        <w:pageBreakBefore w:val="0"/>
        <w:wordWrap w:val="0"/>
        <w:overflowPunct/>
        <w:topLinePunct w:val="0"/>
        <w:bidi w:val="0"/>
        <w:spacing w:line="440" w:lineRule="exact"/>
        <w:ind w:firstLine="562"/>
        <w:rPr>
          <w:rFonts w:hint="eastAsia" w:ascii="宋体" w:hAnsi="宋体" w:eastAsia="宋体" w:cs="宋体"/>
          <w:color w:val="auto"/>
          <w:spacing w:val="0"/>
          <w:highlight w:val="none"/>
          <w:lang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4BE9E304">
      <w:pPr>
        <w:keepNext w:val="0"/>
        <w:keepLines w:val="0"/>
        <w:pageBreakBefore w:val="0"/>
        <w:wordWrap w:val="0"/>
        <w:overflowPunct/>
        <w:topLinePunct w:val="0"/>
        <w:bidi w:val="0"/>
        <w:spacing w:before="145" w:line="319" w:lineRule="auto"/>
        <w:ind w:left="12" w:right="108"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  </w:t>
      </w:r>
      <w:r>
        <w:rPr>
          <w:rFonts w:hint="eastAsia" w:ascii="宋体" w:hAnsi="宋体" w:eastAsia="宋体" w:cs="宋体"/>
          <w:color w:val="auto"/>
          <w:spacing w:val="0"/>
          <w:sz w:val="24"/>
          <w:szCs w:val="24"/>
          <w:highlight w:val="none"/>
        </w:rPr>
        <w:t>中标人在领取中标通知书之日起 10 个工作日内仍未提交履约保证的，招标人发出第一次提醒函；在领取中标通知书之日起 15 个工作日内仍未提交的，招标人发出第二次提醒函；在领取中标通知书之日起 20个工作日内仍未提交的，视其放弃中标。并由招标人通报建设行政管理部门。如采用商业保函、银行保函或保险合同方式缴纳履约保证金，在保函或保险合同到期前一个月，中标人须主动办理续期手续或提交新的商业保函、银行保函或保险合同。</w:t>
      </w:r>
    </w:p>
    <w:p w14:paraId="39B39D75">
      <w:pPr>
        <w:keepNext w:val="0"/>
        <w:keepLines w:val="0"/>
        <w:pageBreakBefore w:val="0"/>
        <w:wordWrap w:val="0"/>
        <w:overflowPunct/>
        <w:topLinePunct w:val="0"/>
        <w:bidi w:val="0"/>
        <w:spacing w:before="152" w:line="299" w:lineRule="auto"/>
        <w:ind w:left="12" w:right="108"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3.4  </w:t>
      </w:r>
      <w:r>
        <w:rPr>
          <w:rFonts w:hint="eastAsia" w:ascii="宋体" w:hAnsi="宋体" w:eastAsia="宋体" w:cs="宋体"/>
          <w:color w:val="auto"/>
          <w:spacing w:val="0"/>
          <w:sz w:val="24"/>
          <w:szCs w:val="24"/>
          <w:highlight w:val="none"/>
        </w:rPr>
        <w:t>在工程实施过程中，如果承包人（即招标阶段的中标人，下同）由于自身的资金、技术、质量、非不可抗力等原因给发包人（即招标阶段的招标人，下同）造成经济损失，发包人有权扣划相应金额的履约保证。</w:t>
      </w:r>
    </w:p>
    <w:p w14:paraId="4B781F83">
      <w:pPr>
        <w:keepNext w:val="0"/>
        <w:keepLines w:val="0"/>
        <w:pageBreakBefore w:val="0"/>
        <w:wordWrap w:val="0"/>
        <w:overflowPunct/>
        <w:topLinePunct w:val="0"/>
        <w:bidi w:val="0"/>
        <w:spacing w:before="154" w:line="220" w:lineRule="auto"/>
        <w:ind w:left="486"/>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3.5  </w:t>
      </w:r>
      <w:r>
        <w:rPr>
          <w:rFonts w:hint="eastAsia" w:ascii="宋体" w:hAnsi="宋体" w:eastAsia="宋体" w:cs="宋体"/>
          <w:color w:val="auto"/>
          <w:spacing w:val="0"/>
          <w:sz w:val="24"/>
          <w:szCs w:val="24"/>
          <w:highlight w:val="none"/>
        </w:rPr>
        <w:t>项目通过竣工验收之日后 28 天内，发包人将履约保证退还给承包人。</w:t>
      </w:r>
    </w:p>
    <w:p w14:paraId="1C3E0C01">
      <w:pPr>
        <w:pStyle w:val="8"/>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0701BAE5">
      <w:pPr>
        <w:keepNext w:val="0"/>
        <w:keepLines w:val="0"/>
        <w:pageBreakBefore w:val="0"/>
        <w:wordWrap w:val="0"/>
        <w:overflowPunct/>
        <w:topLinePunct w:val="0"/>
        <w:bidi w:val="0"/>
        <w:spacing w:before="78" w:line="222" w:lineRule="auto"/>
        <w:ind w:left="488"/>
        <w:outlineLvl w:val="2"/>
        <w:rPr>
          <w:rFonts w:hint="eastAsia" w:ascii="宋体" w:hAnsi="宋体" w:eastAsia="宋体" w:cs="宋体"/>
          <w:color w:val="auto"/>
          <w:spacing w:val="0"/>
          <w:sz w:val="24"/>
          <w:szCs w:val="24"/>
          <w:highlight w:val="none"/>
        </w:rPr>
      </w:pPr>
      <w:bookmarkStart w:id="151" w:name="_Toc30650"/>
      <w:r>
        <w:rPr>
          <w:rFonts w:hint="eastAsia" w:ascii="宋体" w:hAnsi="宋体" w:eastAsia="宋体" w:cs="宋体"/>
          <w:b/>
          <w:bCs/>
          <w:color w:val="auto"/>
          <w:spacing w:val="0"/>
          <w:sz w:val="24"/>
          <w:szCs w:val="24"/>
          <w:highlight w:val="none"/>
        </w:rPr>
        <w:t>4 ．合同订立</w:t>
      </w:r>
      <w:bookmarkEnd w:id="151"/>
    </w:p>
    <w:p w14:paraId="066A10F5">
      <w:pPr>
        <w:keepNext w:val="0"/>
        <w:keepLines w:val="0"/>
        <w:pageBreakBefore w:val="0"/>
        <w:widowControl/>
        <w:kinsoku w:val="0"/>
        <w:wordWrap w:val="0"/>
        <w:overflowPunct/>
        <w:topLinePunct w:val="0"/>
        <w:autoSpaceDE w:val="0"/>
        <w:autoSpaceDN w:val="0"/>
        <w:bidi w:val="0"/>
        <w:adjustRightInd w:val="0"/>
        <w:snapToGrid w:val="0"/>
        <w:spacing w:before="150" w:line="300" w:lineRule="auto"/>
        <w:ind w:left="11" w:right="108" w:firstLine="476"/>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4.1  </w:t>
      </w:r>
      <w:r>
        <w:rPr>
          <w:rFonts w:hint="eastAsia" w:ascii="宋体" w:hAnsi="宋体" w:eastAsia="宋体" w:cs="宋体"/>
          <w:color w:val="auto"/>
          <w:spacing w:val="0"/>
          <w:sz w:val="24"/>
          <w:szCs w:val="24"/>
          <w:highlight w:val="none"/>
        </w:rPr>
        <w:t>招标人应当自中标通知书发出之日起</w:t>
      </w:r>
      <w:r>
        <w:rPr>
          <w:rFonts w:hint="eastAsia" w:ascii="宋体" w:hAnsi="宋体" w:eastAsia="宋体" w:cs="宋体"/>
          <w:color w:val="auto"/>
          <w:spacing w:val="0"/>
          <w:sz w:val="24"/>
          <w:szCs w:val="24"/>
          <w:highlight w:val="none"/>
          <w:u w:val="single"/>
          <w:lang w:val="en-US" w:eastAsia="zh-CN"/>
        </w:rPr>
        <w:t xml:space="preserve"> 三十 </w:t>
      </w:r>
      <w:r>
        <w:rPr>
          <w:rFonts w:hint="eastAsia" w:ascii="宋体" w:hAnsi="宋体" w:eastAsia="宋体" w:cs="宋体"/>
          <w:color w:val="auto"/>
          <w:spacing w:val="0"/>
          <w:sz w:val="24"/>
          <w:szCs w:val="24"/>
          <w:highlight w:val="none"/>
        </w:rPr>
        <w:t>日内，按照招标文件、中标人的投标文件与中标人订立书面合同。</w:t>
      </w:r>
    </w:p>
    <w:p w14:paraId="4E36450D">
      <w:pPr>
        <w:keepNext w:val="0"/>
        <w:keepLines w:val="0"/>
        <w:pageBreakBefore w:val="0"/>
        <w:wordWrap w:val="0"/>
        <w:overflowPunct/>
        <w:topLinePunct w:val="0"/>
        <w:bidi w:val="0"/>
        <w:spacing w:before="156" w:line="219"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  </w:t>
      </w:r>
      <w:r>
        <w:rPr>
          <w:rFonts w:hint="eastAsia" w:ascii="宋体" w:hAnsi="宋体" w:eastAsia="宋体" w:cs="宋体"/>
          <w:color w:val="auto"/>
          <w:spacing w:val="0"/>
          <w:sz w:val="24"/>
          <w:szCs w:val="24"/>
          <w:highlight w:val="none"/>
        </w:rPr>
        <w:t>不正常报价的梳理和确认</w:t>
      </w:r>
    </w:p>
    <w:p w14:paraId="3CC76246">
      <w:pPr>
        <w:keepNext w:val="0"/>
        <w:keepLines w:val="0"/>
        <w:pageBreakBefore w:val="0"/>
        <w:wordWrap w:val="0"/>
        <w:overflowPunct/>
        <w:topLinePunct w:val="0"/>
        <w:bidi w:val="0"/>
        <w:spacing w:before="154" w:line="299" w:lineRule="auto"/>
        <w:ind w:left="14" w:right="64"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4.2.1 合同订立期间，在不改变中标人的投标总价的前提下，招标人应对中标人的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0"/>
          <w:sz w:val="24"/>
          <w:szCs w:val="24"/>
          <w:highlight w:val="none"/>
        </w:rPr>
        <w:t>招标人不具备以上能力的，可授权编制本项目</w:t>
      </w:r>
      <w:r>
        <w:rPr>
          <w:rFonts w:hint="eastAsia" w:ascii="宋体" w:hAnsi="宋体" w:eastAsia="宋体" w:cs="宋体"/>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的造价咨询单位实施。</w:t>
      </w:r>
    </w:p>
    <w:p w14:paraId="2AA70AFF">
      <w:pPr>
        <w:keepNext w:val="0"/>
        <w:keepLines w:val="0"/>
        <w:pageBreakBefore w:val="0"/>
        <w:wordWrap w:val="0"/>
        <w:overflowPunct/>
        <w:topLinePunct w:val="0"/>
        <w:bidi w:val="0"/>
        <w:spacing w:before="121" w:line="309" w:lineRule="auto"/>
        <w:ind w:left="14" w:right="65"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4.2.2  </w:t>
      </w:r>
      <w:r>
        <w:rPr>
          <w:rFonts w:hint="eastAsia" w:ascii="宋体" w:hAnsi="宋体" w:eastAsia="宋体" w:cs="宋体"/>
          <w:color w:val="auto"/>
          <w:spacing w:val="0"/>
          <w:sz w:val="24"/>
          <w:szCs w:val="24"/>
          <w:highlight w:val="none"/>
        </w:rPr>
        <w:t>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14:paraId="68A939CE">
      <w:pPr>
        <w:keepNext w:val="0"/>
        <w:keepLines w:val="0"/>
        <w:pageBreakBefore w:val="0"/>
        <w:wordWrap w:val="0"/>
        <w:overflowPunct/>
        <w:topLinePunct w:val="0"/>
        <w:bidi w:val="0"/>
        <w:spacing w:before="157" w:line="279" w:lineRule="auto"/>
        <w:ind w:left="12" w:right="66"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4.2.3  </w:t>
      </w:r>
      <w:r>
        <w:rPr>
          <w:rFonts w:hint="eastAsia" w:ascii="宋体" w:hAnsi="宋体" w:eastAsia="宋体" w:cs="宋体"/>
          <w:color w:val="auto"/>
          <w:spacing w:val="0"/>
          <w:sz w:val="24"/>
          <w:szCs w:val="24"/>
          <w:highlight w:val="none"/>
        </w:rPr>
        <w:t>错漏项的认定。中标人已标价工程量清单中，任一清单项目未填报价格或价格为零的，视为错漏项。</w:t>
      </w:r>
    </w:p>
    <w:p w14:paraId="77C9B6F1">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u w:val="single"/>
        </w:rPr>
      </w:pPr>
      <w:r>
        <w:rPr>
          <w:rFonts w:hint="eastAsia" w:ascii="宋体" w:hAnsi="宋体" w:eastAsia="宋体" w:cs="宋体"/>
          <w:b/>
          <w:bCs/>
          <w:snapToGrid w:val="0"/>
          <w:color w:val="000000"/>
          <w:kern w:val="0"/>
          <w:sz w:val="24"/>
          <w:szCs w:val="24"/>
          <w:highlight w:val="none"/>
        </w:rPr>
        <w:t>4.2.4</w:t>
      </w:r>
      <w:r>
        <w:rPr>
          <w:rFonts w:hint="eastAsia" w:ascii="宋体" w:hAnsi="宋体" w:eastAsia="宋体" w:cs="宋体"/>
          <w:snapToGrid w:val="0"/>
          <w:color w:val="000000"/>
          <w:kern w:val="0"/>
          <w:sz w:val="24"/>
          <w:szCs w:val="24"/>
          <w:highlight w:val="none"/>
        </w:rPr>
        <w:t xml:space="preserve"> 不平衡报价的认定。经修正算术性错误后的中标人已标价工程量清单中，</w:t>
      </w:r>
      <w:r>
        <w:rPr>
          <w:rFonts w:hint="eastAsia" w:ascii="宋体" w:hAnsi="宋体" w:eastAsia="宋体" w:cs="宋体"/>
          <w:snapToGrid w:val="0"/>
          <w:color w:val="000000"/>
          <w:kern w:val="0"/>
          <w:sz w:val="24"/>
          <w:szCs w:val="24"/>
          <w:highlight w:val="none"/>
          <w:u w:val="single"/>
        </w:rPr>
        <w:t>中标人投标价清单项目填报的综合单价（P0）与招标人招标控制价相应清单项目的综合单价（P1）偏差超过一定幅度时，即当 P0＜P1×（1-L）×(1-15%)或 P0＞P1×（1+15%）时（L 为中标下浮率，按照第三章“拟签订合同的主要条款”第 2.3 条规定计算；以上 P0、P1、L 的定义适用于招标文件）</w:t>
      </w:r>
      <w:r>
        <w:rPr>
          <w:rFonts w:hint="eastAsia" w:ascii="宋体" w:hAnsi="宋体" w:eastAsia="宋体" w:cs="宋体"/>
          <w:snapToGrid w:val="0"/>
          <w:color w:val="000000"/>
          <w:kern w:val="0"/>
          <w:sz w:val="24"/>
          <w:szCs w:val="24"/>
          <w:highlight w:val="none"/>
        </w:rPr>
        <w:t>的清单项目，视为不平衡报价项目。</w:t>
      </w:r>
    </w:p>
    <w:p w14:paraId="6EC5D772">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4.2.5</w:t>
      </w:r>
      <w:r>
        <w:rPr>
          <w:rFonts w:hint="eastAsia" w:ascii="宋体" w:hAnsi="宋体" w:eastAsia="宋体" w:cs="宋体"/>
          <w:snapToGrid w:val="0"/>
          <w:color w:val="000000"/>
          <w:kern w:val="0"/>
          <w:sz w:val="24"/>
          <w:szCs w:val="24"/>
          <w:highlight w:val="none"/>
        </w:rPr>
        <w:t xml:space="preserve"> 招标人或其授权的造价咨询单位应就发现的以上所有不正常报价分类整理、汇总，形成《不正常报价清单》，并交中标人复核和确认。经招标人和中标人共同签字、盖章确认的《不正常报价清单》，构成施工合同的组成部分。</w:t>
      </w:r>
    </w:p>
    <w:p w14:paraId="141FAC8A">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4.2.6</w:t>
      </w:r>
      <w:r>
        <w:rPr>
          <w:rFonts w:hint="eastAsia" w:ascii="宋体" w:hAnsi="宋体" w:eastAsia="宋体" w:cs="宋体"/>
          <w:snapToGrid w:val="0"/>
          <w:color w:val="000000"/>
          <w:kern w:val="0"/>
          <w:sz w:val="24"/>
          <w:szCs w:val="24"/>
          <w:highlight w:val="none"/>
        </w:rPr>
        <w:t xml:space="preserve"> </w:t>
      </w:r>
      <w:r>
        <w:rPr>
          <w:rFonts w:hint="eastAsia" w:ascii="宋体" w:hAnsi="宋体" w:eastAsia="宋体" w:cs="宋体"/>
          <w:b/>
          <w:bCs/>
          <w:snapToGrid w:val="0"/>
          <w:color w:val="000000"/>
          <w:kern w:val="0"/>
          <w:sz w:val="24"/>
          <w:szCs w:val="24"/>
          <w:highlight w:val="none"/>
        </w:rPr>
        <w:t>合同履行过程中，被认定为错漏项的清单项目，结算时按照第三章“拟签订合同的主要条款”第2.6条规定处理。</w:t>
      </w:r>
    </w:p>
    <w:p w14:paraId="732D1DE2">
      <w:pPr>
        <w:wordWrap w:val="0"/>
        <w:adjustRightInd w:val="0"/>
        <w:snapToGrid w:val="0"/>
        <w:spacing w:line="360" w:lineRule="auto"/>
        <w:ind w:firstLine="482" w:firstLineChars="20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4.2.7 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按照第三章“拟签订合同的主要条款”第2.3条的有关规定调整合同价款。</w:t>
      </w:r>
    </w:p>
    <w:p w14:paraId="06159DC0">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 xml:space="preserve">4.3 </w:t>
      </w:r>
      <w:r>
        <w:rPr>
          <w:rFonts w:hint="eastAsia" w:ascii="宋体" w:hAnsi="宋体" w:eastAsia="宋体" w:cs="宋体"/>
          <w:snapToGrid w:val="0"/>
          <w:color w:val="000000"/>
          <w:kern w:val="0"/>
          <w:sz w:val="24"/>
          <w:szCs w:val="24"/>
          <w:highlight w:val="none"/>
        </w:rPr>
        <w:t>本招标项目合同计价方式为：</w:t>
      </w:r>
      <w:r>
        <w:rPr>
          <w:rFonts w:hint="eastAsia" w:ascii="宋体" w:hAnsi="宋体" w:eastAsia="宋体" w:cs="宋体"/>
          <w:snapToGrid w:val="0"/>
          <w:color w:val="000000"/>
          <w:kern w:val="0"/>
          <w:sz w:val="24"/>
          <w:szCs w:val="24"/>
          <w:highlight w:val="none"/>
          <w:u w:val="single"/>
        </w:rPr>
        <w:t xml:space="preserve"> 单价 </w:t>
      </w:r>
      <w:r>
        <w:rPr>
          <w:rFonts w:hint="eastAsia" w:ascii="宋体" w:hAnsi="宋体" w:eastAsia="宋体" w:cs="宋体"/>
          <w:snapToGrid w:val="0"/>
          <w:color w:val="000000"/>
          <w:kern w:val="0"/>
          <w:sz w:val="24"/>
          <w:szCs w:val="24"/>
          <w:highlight w:val="none"/>
        </w:rPr>
        <w:t>合同。</w:t>
      </w:r>
    </w:p>
    <w:p w14:paraId="23DFC241">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4.4</w:t>
      </w:r>
      <w:r>
        <w:rPr>
          <w:rFonts w:hint="eastAsia" w:ascii="宋体" w:hAnsi="宋体" w:eastAsia="宋体" w:cs="宋体"/>
          <w:snapToGrid w:val="0"/>
          <w:color w:val="000000"/>
          <w:kern w:val="0"/>
          <w:sz w:val="24"/>
          <w:szCs w:val="24"/>
          <w:highlight w:val="none"/>
        </w:rPr>
        <w:t xml:space="preserve"> 合同的标的、质量、履行期限条款和合同的价款、单价、比例条款等主要条款，应当与招标文件、中标人的投标文件的内容一致。中标人在签订合同时不得向招标人提出附加条件。</w:t>
      </w:r>
    </w:p>
    <w:p w14:paraId="57DFA08E">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4.5</w:t>
      </w:r>
      <w:r>
        <w:rPr>
          <w:rFonts w:hint="eastAsia" w:ascii="宋体" w:hAnsi="宋体" w:eastAsia="宋体" w:cs="宋体"/>
          <w:snapToGrid w:val="0"/>
          <w:color w:val="000000"/>
          <w:kern w:val="0"/>
          <w:sz w:val="24"/>
          <w:szCs w:val="24"/>
          <w:highlight w:val="none"/>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2C058498">
      <w:pPr>
        <w:wordWrap w:val="0"/>
        <w:adjustRightInd w:val="0"/>
        <w:snapToGrid w:val="0"/>
        <w:spacing w:line="360" w:lineRule="auto"/>
        <w:ind w:firstLine="482" w:firstLineChars="20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4.6</w:t>
      </w:r>
      <w:r>
        <w:rPr>
          <w:rFonts w:hint="eastAsia" w:ascii="宋体" w:hAnsi="宋体" w:eastAsia="宋体" w:cs="宋体"/>
          <w:snapToGrid w:val="0"/>
          <w:color w:val="000000"/>
          <w:kern w:val="0"/>
          <w:sz w:val="24"/>
          <w:szCs w:val="24"/>
          <w:highlight w:val="none"/>
        </w:rPr>
        <w:t xml:space="preserve"> 在书面合同订立之日起2个工作日内，由中标人将合同上传至建设工程交易系统，并发起退还投标保证的申请。韶关市公共资源交易中心在收到申请之日起3个工作日内，将投标保证金（或银行保函）退还给中标人和其他中标候选人。</w:t>
      </w:r>
    </w:p>
    <w:p w14:paraId="18397800">
      <w:pPr>
        <w:wordWrap w:val="0"/>
        <w:adjustRightInd w:val="0"/>
        <w:snapToGrid w:val="0"/>
        <w:spacing w:line="360" w:lineRule="auto"/>
        <w:ind w:firstLine="482" w:firstLineChars="20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5．放弃中标的处理</w:t>
      </w:r>
    </w:p>
    <w:p w14:paraId="5B2D0438">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5.1</w:t>
      </w:r>
      <w:r>
        <w:rPr>
          <w:rFonts w:hint="eastAsia" w:ascii="宋体" w:hAnsi="宋体" w:eastAsia="宋体" w:cs="宋体"/>
          <w:snapToGrid w:val="0"/>
          <w:color w:val="000000"/>
          <w:kern w:val="0"/>
          <w:sz w:val="24"/>
          <w:szCs w:val="24"/>
          <w:highlight w:val="none"/>
        </w:rPr>
        <w:t xml:space="preserve"> 中标人</w:t>
      </w:r>
      <w:r>
        <w:rPr>
          <w:rFonts w:hint="eastAsia" w:ascii="宋体" w:hAnsi="宋体" w:eastAsia="宋体" w:cs="宋体"/>
          <w:snapToGrid w:val="0"/>
          <w:color w:val="000000"/>
          <w:sz w:val="24"/>
          <w:szCs w:val="24"/>
          <w:highlight w:val="none"/>
        </w:rPr>
        <w:t>无正当理由放弃中标的，</w:t>
      </w:r>
      <w:r>
        <w:rPr>
          <w:rFonts w:hint="eastAsia" w:ascii="宋体" w:hAnsi="宋体" w:eastAsia="宋体" w:cs="宋体"/>
          <w:snapToGrid w:val="0"/>
          <w:color w:val="000000"/>
          <w:kern w:val="0"/>
          <w:sz w:val="24"/>
          <w:szCs w:val="24"/>
          <w:highlight w:val="none"/>
        </w:rPr>
        <w:t>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w:t>
      </w:r>
      <w:r>
        <w:rPr>
          <w:rFonts w:hint="eastAsia" w:ascii="宋体" w:hAnsi="宋体" w:eastAsia="宋体" w:cs="宋体"/>
          <w:bCs/>
          <w:snapToGrid w:val="0"/>
          <w:color w:val="000000"/>
          <w:kern w:val="0"/>
          <w:sz w:val="24"/>
          <w:szCs w:val="24"/>
          <w:highlight w:val="none"/>
        </w:rPr>
        <w:t>因此种情况造成招标人重新招标的</w:t>
      </w:r>
      <w:r>
        <w:rPr>
          <w:rFonts w:hint="eastAsia" w:ascii="宋体" w:hAnsi="宋体" w:eastAsia="宋体" w:cs="宋体"/>
          <w:snapToGrid w:val="0"/>
          <w:color w:val="000000"/>
          <w:kern w:val="0"/>
          <w:sz w:val="24"/>
          <w:szCs w:val="24"/>
          <w:highlight w:val="none"/>
        </w:rPr>
        <w:t>，招标人可不接受该弃标人再次投标。同时，招标人应将该弃标人的失信行为向行政监督部门报告。</w:t>
      </w:r>
    </w:p>
    <w:p w14:paraId="6D92FD65">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5.2</w:t>
      </w:r>
      <w:r>
        <w:rPr>
          <w:rFonts w:hint="eastAsia" w:ascii="宋体" w:hAnsi="宋体" w:eastAsia="宋体" w:cs="宋体"/>
          <w:snapToGrid w:val="0"/>
          <w:color w:val="000000"/>
          <w:kern w:val="0"/>
          <w:sz w:val="24"/>
          <w:szCs w:val="24"/>
          <w:highlight w:val="none"/>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65B11479">
      <w:pPr>
        <w:wordWrap w:val="0"/>
        <w:adjustRightInd w:val="0"/>
        <w:snapToGrid w:val="0"/>
        <w:spacing w:line="360" w:lineRule="auto"/>
        <w:ind w:firstLine="482" w:firstLineChars="20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6．专业工程分包</w:t>
      </w:r>
    </w:p>
    <w:p w14:paraId="235C66C1">
      <w:pPr>
        <w:wordWrap w:val="0"/>
        <w:adjustRightInd w:val="0"/>
        <w:snapToGrid w:val="0"/>
        <w:spacing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14:paraId="5099C753">
      <w:pPr>
        <w:wordWrap w:val="0"/>
        <w:adjustRightInd w:val="0"/>
        <w:snapToGrid w:val="0"/>
        <w:spacing w:line="360" w:lineRule="auto"/>
        <w:ind w:firstLine="482" w:firstLineChars="20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7．工人工资支付专用账户</w:t>
      </w:r>
    </w:p>
    <w:p w14:paraId="46FA2D74">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7.1</w:t>
      </w:r>
      <w:r>
        <w:rPr>
          <w:rFonts w:hint="eastAsia" w:ascii="宋体" w:hAnsi="宋体" w:eastAsia="宋体" w:cs="宋体"/>
          <w:snapToGrid w:val="0"/>
          <w:color w:val="000000"/>
          <w:kern w:val="0"/>
          <w:sz w:val="24"/>
          <w:szCs w:val="24"/>
          <w:highlight w:val="none"/>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14:paraId="569E53AE">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7.2</w:t>
      </w:r>
      <w:r>
        <w:rPr>
          <w:rFonts w:hint="eastAsia" w:ascii="宋体" w:hAnsi="宋体" w:eastAsia="宋体" w:cs="宋体"/>
          <w:snapToGrid w:val="0"/>
          <w:color w:val="000000"/>
          <w:kern w:val="0"/>
          <w:sz w:val="24"/>
          <w:szCs w:val="24"/>
          <w:highlight w:val="none"/>
        </w:rPr>
        <w:t xml:space="preserve"> 承包人必须在项目开工前，在项目所在地银行设立工资专户，并在作业工人进场前按照相关规定完成实名管理登记及作业工人工资卡开办。承包人应在工资专户开立后2个工作日内，将开户银行及其账号、开户协议等资料提交给发包人。</w:t>
      </w:r>
    </w:p>
    <w:p w14:paraId="428CC129">
      <w:pPr>
        <w:wordWrap w:val="0"/>
        <w:adjustRightInd w:val="0"/>
        <w:snapToGrid w:val="0"/>
        <w:spacing w:line="360" w:lineRule="auto"/>
        <w:ind w:firstLine="482" w:firstLineChars="20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7.3</w:t>
      </w:r>
      <w:r>
        <w:rPr>
          <w:rFonts w:hint="eastAsia" w:ascii="宋体" w:hAnsi="宋体" w:eastAsia="宋体" w:cs="宋体"/>
          <w:snapToGrid w:val="0"/>
          <w:color w:val="000000"/>
          <w:kern w:val="0"/>
          <w:sz w:val="24"/>
          <w:szCs w:val="24"/>
          <w:highlight w:val="none"/>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14:paraId="318B9417">
      <w:pPr>
        <w:wordWrap w:val="0"/>
        <w:adjustRightInd w:val="0"/>
        <w:snapToGrid w:val="0"/>
        <w:spacing w:line="360" w:lineRule="auto"/>
        <w:ind w:firstLine="482" w:firstLineChars="20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rPr>
        <w:t>8</w:t>
      </w:r>
      <w:r>
        <w:rPr>
          <w:rFonts w:hint="eastAsia" w:ascii="宋体" w:hAnsi="宋体" w:eastAsia="宋体" w:cs="宋体"/>
          <w:b/>
          <w:bCs/>
          <w:snapToGrid w:val="0"/>
          <w:color w:val="000000"/>
          <w:kern w:val="0"/>
          <w:sz w:val="24"/>
          <w:szCs w:val="24"/>
          <w:highlight w:val="none"/>
        </w:rPr>
        <w:t>．工期进度</w:t>
      </w:r>
    </w:p>
    <w:p w14:paraId="6C39C6F4">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rPr>
        <w:t>8</w:t>
      </w: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snapToGrid w:val="0"/>
          <w:color w:val="000000"/>
          <w:kern w:val="0"/>
          <w:sz w:val="24"/>
          <w:szCs w:val="24"/>
          <w:highlight w:val="none"/>
        </w:rPr>
        <w:t>本工程施工招标工期为</w:t>
      </w:r>
      <w:r>
        <w:rPr>
          <w:rFonts w:hint="eastAsia" w:ascii="宋体" w:hAnsi="宋体" w:eastAsia="宋体" w:cs="宋体"/>
          <w:snapToGrid w:val="0"/>
          <w:color w:val="000000"/>
          <w:kern w:val="0"/>
          <w:sz w:val="24"/>
          <w:szCs w:val="24"/>
          <w:highlight w:val="none"/>
          <w:lang w:val="en-US" w:eastAsia="zh-CN"/>
        </w:rPr>
        <w:t>570个日历天</w:t>
      </w:r>
      <w:r>
        <w:rPr>
          <w:rFonts w:hint="eastAsia" w:ascii="宋体" w:hAnsi="宋体" w:eastAsia="宋体" w:cs="宋体"/>
          <w:snapToGrid w:val="0"/>
          <w:color w:val="000000"/>
          <w:kern w:val="0"/>
          <w:sz w:val="24"/>
          <w:szCs w:val="24"/>
          <w:highlight w:val="none"/>
        </w:rPr>
        <w:t>。承包人必须在招标工期内完成</w:t>
      </w:r>
      <w:r>
        <w:rPr>
          <w:rFonts w:hint="eastAsia" w:ascii="宋体" w:hAnsi="宋体" w:eastAsia="宋体" w:cs="宋体"/>
          <w:color w:val="000000"/>
          <w:sz w:val="24"/>
          <w:szCs w:val="24"/>
          <w:highlight w:val="none"/>
        </w:rPr>
        <w:t>招标范围内</w:t>
      </w:r>
      <w:r>
        <w:rPr>
          <w:rFonts w:hint="eastAsia" w:ascii="宋体" w:hAnsi="宋体" w:eastAsia="宋体" w:cs="宋体"/>
          <w:snapToGrid w:val="0"/>
          <w:color w:val="000000"/>
          <w:kern w:val="0"/>
          <w:sz w:val="24"/>
          <w:szCs w:val="24"/>
          <w:highlight w:val="none"/>
        </w:rPr>
        <w:t>的全部内容。</w:t>
      </w:r>
    </w:p>
    <w:p w14:paraId="30F3C772">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rPr>
        <w:t>8</w:t>
      </w:r>
      <w:r>
        <w:rPr>
          <w:rFonts w:hint="eastAsia" w:ascii="宋体" w:hAnsi="宋体" w:eastAsia="宋体" w:cs="宋体"/>
          <w:b/>
          <w:bCs/>
          <w:snapToGrid w:val="0"/>
          <w:color w:val="000000"/>
          <w:kern w:val="0"/>
          <w:sz w:val="24"/>
          <w:szCs w:val="24"/>
          <w:highlight w:val="none"/>
        </w:rPr>
        <w:t>.2</w:t>
      </w:r>
      <w:r>
        <w:rPr>
          <w:rFonts w:hint="eastAsia" w:ascii="宋体" w:hAnsi="宋体" w:eastAsia="宋体" w:cs="宋体"/>
          <w:snapToGrid w:val="0"/>
          <w:color w:val="000000"/>
          <w:kern w:val="0"/>
          <w:sz w:val="24"/>
          <w:szCs w:val="24"/>
          <w:highlight w:val="none"/>
        </w:rPr>
        <w:t xml:space="preserve"> 施工工期从承包人收到监理单位签发的开工令之日起计，至竣工验收合格之日止。</w:t>
      </w:r>
    </w:p>
    <w:p w14:paraId="3389C4F3">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rPr>
        <w:t>8</w:t>
      </w:r>
      <w:r>
        <w:rPr>
          <w:rFonts w:hint="eastAsia" w:ascii="宋体" w:hAnsi="宋体" w:eastAsia="宋体" w:cs="宋体"/>
          <w:b/>
          <w:bCs/>
          <w:snapToGrid w:val="0"/>
          <w:color w:val="000000"/>
          <w:kern w:val="0"/>
          <w:sz w:val="24"/>
          <w:szCs w:val="24"/>
          <w:highlight w:val="none"/>
        </w:rPr>
        <w:t>.3</w:t>
      </w:r>
      <w:r>
        <w:rPr>
          <w:rFonts w:hint="eastAsia" w:ascii="宋体" w:hAnsi="宋体" w:eastAsia="宋体" w:cs="宋体"/>
          <w:snapToGrid w:val="0"/>
          <w:color w:val="000000"/>
          <w:kern w:val="0"/>
          <w:sz w:val="24"/>
          <w:szCs w:val="24"/>
          <w:highlight w:val="none"/>
        </w:rPr>
        <w:t>由于承包人原因造成工期延误的，承包人须在逾期第壹天起每天按合同价的</w:t>
      </w:r>
      <w:r>
        <w:rPr>
          <w:rFonts w:hint="eastAsia" w:ascii="宋体" w:hAnsi="宋体" w:eastAsia="宋体" w:cs="宋体"/>
          <w:snapToGrid w:val="0"/>
          <w:color w:val="000000"/>
          <w:kern w:val="0"/>
          <w:sz w:val="24"/>
          <w:szCs w:val="24"/>
          <w:highlight w:val="none"/>
          <w:u w:val="single"/>
        </w:rPr>
        <w:t xml:space="preserve">1 ‰ </w:t>
      </w:r>
      <w:r>
        <w:rPr>
          <w:rFonts w:hint="eastAsia" w:ascii="宋体" w:hAnsi="宋体" w:eastAsia="宋体" w:cs="宋体"/>
          <w:snapToGrid w:val="0"/>
          <w:color w:val="000000"/>
          <w:kern w:val="0"/>
          <w:sz w:val="24"/>
          <w:szCs w:val="24"/>
          <w:highlight w:val="none"/>
        </w:rPr>
        <w:t>向招标人返纳逾期竣工违约金。逾期竣工违约金的最高限额为人民币（大写）：</w:t>
      </w:r>
      <w:r>
        <w:rPr>
          <w:rFonts w:hint="eastAsia" w:ascii="宋体" w:hAnsi="宋体" w:eastAsia="宋体" w:cs="宋体"/>
          <w:snapToGrid w:val="0"/>
          <w:color w:val="000000"/>
          <w:kern w:val="0"/>
          <w:sz w:val="24"/>
          <w:szCs w:val="24"/>
          <w:highlight w:val="none"/>
          <w:u w:val="single"/>
        </w:rPr>
        <w:t xml:space="preserve"> 合同总价5% </w:t>
      </w:r>
      <w:r>
        <w:rPr>
          <w:rFonts w:hint="eastAsia" w:ascii="宋体" w:hAnsi="宋体" w:eastAsia="宋体" w:cs="宋体"/>
          <w:snapToGrid w:val="0"/>
          <w:color w:val="000000"/>
          <w:kern w:val="0"/>
          <w:sz w:val="24"/>
          <w:szCs w:val="24"/>
          <w:highlight w:val="none"/>
        </w:rPr>
        <w:t>。</w:t>
      </w:r>
    </w:p>
    <w:p w14:paraId="65DCA364">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rPr>
        <w:t>9</w:t>
      </w:r>
      <w:r>
        <w:rPr>
          <w:rFonts w:hint="eastAsia" w:ascii="宋体" w:hAnsi="宋体" w:eastAsia="宋体" w:cs="宋体"/>
          <w:b/>
          <w:bCs/>
          <w:snapToGrid w:val="0"/>
          <w:color w:val="000000"/>
          <w:kern w:val="0"/>
          <w:sz w:val="24"/>
          <w:szCs w:val="24"/>
          <w:highlight w:val="none"/>
        </w:rPr>
        <w:t>．项目管理机构</w:t>
      </w:r>
    </w:p>
    <w:p w14:paraId="38265DC2">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rPr>
        <w:t>9</w:t>
      </w: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snapToGrid w:val="0"/>
          <w:color w:val="000000"/>
          <w:kern w:val="0"/>
          <w:sz w:val="24"/>
          <w:szCs w:val="24"/>
          <w:highlight w:val="none"/>
        </w:rPr>
        <w:t xml:space="preserve"> 承包人派驻的项目管理班子成员必须为其投标文件确定的人员，否则发包人有权终止合同。</w:t>
      </w:r>
    </w:p>
    <w:p w14:paraId="4845A665">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rPr>
        <w:t>9</w:t>
      </w:r>
      <w:r>
        <w:rPr>
          <w:rFonts w:hint="eastAsia" w:ascii="宋体" w:hAnsi="宋体" w:eastAsia="宋体" w:cs="宋体"/>
          <w:b/>
          <w:bCs/>
          <w:snapToGrid w:val="0"/>
          <w:color w:val="000000"/>
          <w:kern w:val="0"/>
          <w:sz w:val="24"/>
          <w:szCs w:val="24"/>
          <w:highlight w:val="none"/>
        </w:rPr>
        <w:t>.2</w:t>
      </w:r>
      <w:r>
        <w:rPr>
          <w:rFonts w:hint="eastAsia" w:ascii="宋体" w:hAnsi="宋体" w:eastAsia="宋体" w:cs="宋体"/>
          <w:snapToGrid w:val="0"/>
          <w:color w:val="000000"/>
          <w:kern w:val="0"/>
          <w:sz w:val="24"/>
          <w:szCs w:val="24"/>
          <w:highlight w:val="none"/>
        </w:rPr>
        <w:t xml:space="preserve"> 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14:paraId="7898D782">
      <w:pPr>
        <w:wordWrap w:val="0"/>
        <w:adjustRightInd w:val="0"/>
        <w:snapToGrid w:val="0"/>
        <w:spacing w:line="360" w:lineRule="auto"/>
        <w:ind w:firstLine="482" w:firstLineChars="200"/>
        <w:rPr>
          <w:rFonts w:hint="eastAsia" w:ascii="宋体" w:hAnsi="宋体" w:eastAsia="宋体" w:cs="宋体"/>
          <w:strike/>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1</w:t>
      </w:r>
      <w:r>
        <w:rPr>
          <w:rFonts w:hint="eastAsia" w:ascii="宋体" w:hAnsi="宋体" w:eastAsia="宋体" w:cs="宋体"/>
          <w:b/>
          <w:snapToGrid w:val="0"/>
          <w:color w:val="000000"/>
          <w:kern w:val="0"/>
          <w:sz w:val="24"/>
          <w:szCs w:val="24"/>
          <w:highlight w:val="none"/>
          <w:lang w:val="en-US" w:eastAsia="zh-CN"/>
        </w:rPr>
        <w:t>0</w:t>
      </w:r>
      <w:r>
        <w:rPr>
          <w:rFonts w:hint="eastAsia" w:ascii="宋体" w:hAnsi="宋体" w:eastAsia="宋体" w:cs="宋体"/>
          <w:b/>
          <w:snapToGrid w:val="0"/>
          <w:color w:val="000000"/>
          <w:kern w:val="0"/>
          <w:sz w:val="24"/>
          <w:szCs w:val="24"/>
          <w:highlight w:val="none"/>
        </w:rPr>
        <w:t>．现场管理</w:t>
      </w:r>
    </w:p>
    <w:p w14:paraId="60238A13">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0</w:t>
      </w: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snapToGrid w:val="0"/>
          <w:color w:val="000000"/>
          <w:kern w:val="0"/>
          <w:sz w:val="24"/>
          <w:szCs w:val="24"/>
          <w:highlight w:val="none"/>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w:t>
      </w:r>
    </w:p>
    <w:p w14:paraId="567B79E1">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0</w:t>
      </w:r>
      <w:r>
        <w:rPr>
          <w:rFonts w:hint="eastAsia" w:ascii="宋体" w:hAnsi="宋体" w:eastAsia="宋体" w:cs="宋体"/>
          <w:b/>
          <w:bCs/>
          <w:snapToGrid w:val="0"/>
          <w:color w:val="000000"/>
          <w:kern w:val="0"/>
          <w:sz w:val="24"/>
          <w:szCs w:val="24"/>
          <w:highlight w:val="none"/>
        </w:rPr>
        <w:t>.2</w:t>
      </w:r>
      <w:r>
        <w:rPr>
          <w:rFonts w:hint="eastAsia" w:ascii="宋体" w:hAnsi="宋体" w:eastAsia="宋体" w:cs="宋体"/>
          <w:snapToGrid w:val="0"/>
          <w:color w:val="000000"/>
          <w:kern w:val="0"/>
          <w:sz w:val="24"/>
          <w:szCs w:val="24"/>
          <w:highlight w:val="none"/>
        </w:rPr>
        <w:t xml:space="preserve"> 承包人应按安全施工有关规定，采取严格、科学的安全防护措施，确保施工和人员（包括第三者）的安全，承担由于自身安全防护措施不力所造成的安全事故责任和发生的费用。</w:t>
      </w:r>
    </w:p>
    <w:p w14:paraId="536F0C08">
      <w:pPr>
        <w:wordWrap w:val="0"/>
        <w:adjustRightInd w:val="0"/>
        <w:snapToGrid w:val="0"/>
        <w:spacing w:line="360" w:lineRule="auto"/>
        <w:ind w:firstLine="482" w:firstLineChars="200"/>
        <w:rPr>
          <w:rFonts w:hint="eastAsia" w:ascii="宋体" w:hAnsi="宋体" w:eastAsia="宋体" w:cs="宋体"/>
          <w:b/>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0</w:t>
      </w:r>
      <w:r>
        <w:rPr>
          <w:rFonts w:hint="eastAsia" w:ascii="宋体" w:hAnsi="宋体" w:eastAsia="宋体" w:cs="宋体"/>
          <w:b/>
          <w:bCs/>
          <w:snapToGrid w:val="0"/>
          <w:color w:val="000000"/>
          <w:kern w:val="0"/>
          <w:sz w:val="24"/>
          <w:szCs w:val="24"/>
          <w:highlight w:val="none"/>
        </w:rPr>
        <w:t>.3</w:t>
      </w:r>
      <w:r>
        <w:rPr>
          <w:rFonts w:hint="eastAsia" w:ascii="宋体" w:hAnsi="宋体" w:eastAsia="宋体" w:cs="宋体"/>
          <w:snapToGrid w:val="0"/>
          <w:color w:val="000000"/>
          <w:kern w:val="0"/>
          <w:sz w:val="24"/>
          <w:szCs w:val="24"/>
          <w:highlight w:val="none"/>
        </w:rPr>
        <w:t xml:space="preserve"> 为保证施工现场的环境卫生，承包人在本招标项目施工过程中，所有的车辆必须按发包人规定的行车路线行驶。</w:t>
      </w:r>
    </w:p>
    <w:p w14:paraId="5534DAB4">
      <w:pPr>
        <w:wordWrap w:val="0"/>
        <w:adjustRightInd w:val="0"/>
        <w:snapToGrid w:val="0"/>
        <w:spacing w:line="360" w:lineRule="auto"/>
        <w:ind w:firstLine="482" w:firstLineChars="200"/>
        <w:rPr>
          <w:rFonts w:hint="eastAsia" w:ascii="宋体" w:hAnsi="宋体" w:eastAsia="宋体" w:cs="宋体"/>
          <w:strike/>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1</w:t>
      </w:r>
      <w:r>
        <w:rPr>
          <w:rFonts w:hint="eastAsia" w:ascii="宋体" w:hAnsi="宋体" w:eastAsia="宋体" w:cs="宋体"/>
          <w:b/>
          <w:snapToGrid w:val="0"/>
          <w:color w:val="000000"/>
          <w:kern w:val="0"/>
          <w:sz w:val="24"/>
          <w:szCs w:val="24"/>
          <w:highlight w:val="none"/>
          <w:lang w:val="en-US" w:eastAsia="zh-CN"/>
        </w:rPr>
        <w:t>1</w:t>
      </w:r>
      <w:r>
        <w:rPr>
          <w:rFonts w:hint="eastAsia" w:ascii="宋体" w:hAnsi="宋体" w:eastAsia="宋体" w:cs="宋体"/>
          <w:b/>
          <w:snapToGrid w:val="0"/>
          <w:color w:val="000000"/>
          <w:kern w:val="0"/>
          <w:sz w:val="24"/>
          <w:szCs w:val="24"/>
          <w:highlight w:val="none"/>
        </w:rPr>
        <w:t>．监督实施</w:t>
      </w:r>
    </w:p>
    <w:p w14:paraId="57C0FE9B">
      <w:pPr>
        <w:wordWrap w:val="0"/>
        <w:adjustRightInd w:val="0"/>
        <w:snapToGrid w:val="0"/>
        <w:spacing w:line="360" w:lineRule="auto"/>
        <w:ind w:firstLine="560"/>
        <w:rPr>
          <w:rFonts w:hint="eastAsia" w:ascii="宋体" w:hAnsi="宋体" w:eastAsia="宋体" w:cs="宋体"/>
          <w:b/>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14:paraId="2DB15DF5">
      <w:pPr>
        <w:wordWrap w:val="0"/>
        <w:adjustRightInd w:val="0"/>
        <w:snapToGrid w:val="0"/>
        <w:spacing w:line="360" w:lineRule="auto"/>
        <w:ind w:firstLine="560"/>
        <w:rPr>
          <w:rFonts w:hint="eastAsia" w:ascii="宋体" w:hAnsi="宋体" w:eastAsia="宋体" w:cs="宋体"/>
          <w:b/>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1</w:t>
      </w:r>
      <w:r>
        <w:rPr>
          <w:rFonts w:hint="eastAsia" w:ascii="宋体" w:hAnsi="宋体" w:eastAsia="宋体" w:cs="宋体"/>
          <w:b/>
          <w:snapToGrid w:val="0"/>
          <w:color w:val="000000"/>
          <w:kern w:val="0"/>
          <w:sz w:val="24"/>
          <w:szCs w:val="24"/>
          <w:highlight w:val="none"/>
          <w:lang w:val="en-US" w:eastAsia="zh-CN"/>
        </w:rPr>
        <w:t>2</w:t>
      </w:r>
      <w:r>
        <w:rPr>
          <w:rFonts w:hint="eastAsia" w:ascii="宋体" w:hAnsi="宋体" w:eastAsia="宋体" w:cs="宋体"/>
          <w:b/>
          <w:snapToGrid w:val="0"/>
          <w:color w:val="000000"/>
          <w:kern w:val="0"/>
          <w:sz w:val="24"/>
          <w:szCs w:val="24"/>
          <w:highlight w:val="none"/>
        </w:rPr>
        <w:t>．主材的采购和使用</w:t>
      </w:r>
    </w:p>
    <w:p w14:paraId="01DC98FE">
      <w:pPr>
        <w:wordWrap w:val="0"/>
        <w:adjustRightInd w:val="0"/>
        <w:snapToGrid w:val="0"/>
        <w:spacing w:line="360" w:lineRule="auto"/>
        <w:ind w:firstLine="560"/>
        <w:rPr>
          <w:rFonts w:hint="eastAsia" w:ascii="宋体" w:hAnsi="宋体" w:eastAsia="宋体" w:cs="宋体"/>
          <w:bCs/>
          <w:snapToGrid w:val="0"/>
          <w:color w:val="000000"/>
          <w:kern w:val="0"/>
          <w:sz w:val="24"/>
          <w:szCs w:val="24"/>
          <w:highlight w:val="none"/>
        </w:rPr>
      </w:pPr>
      <w:r>
        <w:rPr>
          <w:rFonts w:hint="eastAsia" w:ascii="宋体" w:hAnsi="宋体" w:eastAsia="宋体" w:cs="宋体"/>
          <w:bCs/>
          <w:snapToGrid w:val="0"/>
          <w:color w:val="000000"/>
          <w:kern w:val="0"/>
          <w:sz w:val="24"/>
          <w:szCs w:val="24"/>
          <w:highlight w:val="none"/>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14:paraId="58FB00E9">
      <w:pPr>
        <w:wordWrap w:val="0"/>
        <w:adjustRightInd w:val="0"/>
        <w:snapToGrid w:val="0"/>
        <w:spacing w:line="360" w:lineRule="auto"/>
        <w:ind w:firstLine="560"/>
        <w:rPr>
          <w:rFonts w:hint="eastAsia" w:ascii="宋体" w:hAnsi="宋体" w:eastAsia="宋体" w:cs="宋体"/>
          <w:bCs/>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1</w:t>
      </w:r>
      <w:r>
        <w:rPr>
          <w:rFonts w:hint="eastAsia" w:ascii="宋体" w:hAnsi="宋体" w:eastAsia="宋体" w:cs="宋体"/>
          <w:b/>
          <w:snapToGrid w:val="0"/>
          <w:color w:val="000000"/>
          <w:kern w:val="0"/>
          <w:sz w:val="24"/>
          <w:szCs w:val="24"/>
          <w:highlight w:val="none"/>
          <w:lang w:val="en-US" w:eastAsia="zh-CN"/>
        </w:rPr>
        <w:t>3</w:t>
      </w:r>
      <w:r>
        <w:rPr>
          <w:rFonts w:hint="eastAsia" w:ascii="宋体" w:hAnsi="宋体" w:eastAsia="宋体" w:cs="宋体"/>
          <w:b/>
          <w:snapToGrid w:val="0"/>
          <w:color w:val="000000"/>
          <w:kern w:val="0"/>
          <w:sz w:val="24"/>
          <w:szCs w:val="24"/>
          <w:highlight w:val="none"/>
        </w:rPr>
        <w:t>．竣工资料移交</w:t>
      </w:r>
    </w:p>
    <w:p w14:paraId="4CE2AEEC">
      <w:pPr>
        <w:wordWrap w:val="0"/>
        <w:adjustRightInd w:val="0"/>
        <w:snapToGrid w:val="0"/>
        <w:spacing w:line="360" w:lineRule="auto"/>
        <w:ind w:firstLine="560"/>
        <w:rPr>
          <w:rFonts w:hint="eastAsia" w:ascii="宋体" w:hAnsi="宋体" w:eastAsia="宋体" w:cs="宋体"/>
          <w:b/>
          <w:snapToGrid w:val="0"/>
          <w:color w:val="000000"/>
          <w:kern w:val="0"/>
          <w:sz w:val="24"/>
          <w:szCs w:val="24"/>
          <w:highlight w:val="none"/>
        </w:rPr>
      </w:pPr>
      <w:r>
        <w:rPr>
          <w:rFonts w:hint="eastAsia" w:ascii="宋体" w:hAnsi="宋体" w:eastAsia="宋体" w:cs="宋体"/>
          <w:bCs/>
          <w:snapToGrid w:val="0"/>
          <w:color w:val="000000"/>
          <w:kern w:val="0"/>
          <w:sz w:val="24"/>
          <w:szCs w:val="24"/>
          <w:highlight w:val="none"/>
        </w:rPr>
        <w:t>工程竣工验收时，</w:t>
      </w:r>
      <w:r>
        <w:rPr>
          <w:rFonts w:hint="eastAsia" w:ascii="宋体" w:hAnsi="宋体" w:eastAsia="宋体" w:cs="宋体"/>
          <w:snapToGrid w:val="0"/>
          <w:color w:val="000000"/>
          <w:kern w:val="0"/>
          <w:sz w:val="24"/>
          <w:szCs w:val="24"/>
          <w:highlight w:val="none"/>
        </w:rPr>
        <w:t>承包</w:t>
      </w:r>
      <w:r>
        <w:rPr>
          <w:rFonts w:hint="eastAsia" w:ascii="宋体" w:hAnsi="宋体" w:eastAsia="宋体" w:cs="宋体"/>
          <w:bCs/>
          <w:snapToGrid w:val="0"/>
          <w:color w:val="000000"/>
          <w:kern w:val="0"/>
          <w:sz w:val="24"/>
          <w:szCs w:val="24"/>
          <w:highlight w:val="none"/>
        </w:rPr>
        <w:t>人应向监理单位和</w:t>
      </w:r>
      <w:r>
        <w:rPr>
          <w:rFonts w:hint="eastAsia" w:ascii="宋体" w:hAnsi="宋体" w:eastAsia="宋体" w:cs="宋体"/>
          <w:snapToGrid w:val="0"/>
          <w:color w:val="000000"/>
          <w:kern w:val="0"/>
          <w:sz w:val="24"/>
          <w:szCs w:val="24"/>
          <w:highlight w:val="none"/>
        </w:rPr>
        <w:t>发包</w:t>
      </w:r>
      <w:r>
        <w:rPr>
          <w:rFonts w:hint="eastAsia" w:ascii="宋体" w:hAnsi="宋体" w:eastAsia="宋体" w:cs="宋体"/>
          <w:bCs/>
          <w:snapToGrid w:val="0"/>
          <w:color w:val="000000"/>
          <w:kern w:val="0"/>
          <w:sz w:val="24"/>
          <w:szCs w:val="24"/>
          <w:highlight w:val="none"/>
        </w:rPr>
        <w:t>人提供符合国家档案部门备案要求的，编制成册的竣工图及有关的技术档案资料（含声像档案）一式</w:t>
      </w:r>
      <w:r>
        <w:rPr>
          <w:rFonts w:hint="eastAsia" w:ascii="宋体" w:hAnsi="宋体" w:eastAsia="宋体" w:cs="宋体"/>
          <w:bCs/>
          <w:snapToGrid w:val="0"/>
          <w:color w:val="000000"/>
          <w:kern w:val="0"/>
          <w:sz w:val="24"/>
          <w:szCs w:val="24"/>
          <w:highlight w:val="none"/>
          <w:u w:val="single"/>
        </w:rPr>
        <w:t>捌</w:t>
      </w:r>
      <w:r>
        <w:rPr>
          <w:rFonts w:hint="eastAsia" w:ascii="宋体" w:hAnsi="宋体" w:eastAsia="宋体" w:cs="宋体"/>
          <w:bCs/>
          <w:snapToGrid w:val="0"/>
          <w:color w:val="000000"/>
          <w:kern w:val="0"/>
          <w:sz w:val="24"/>
          <w:szCs w:val="24"/>
          <w:highlight w:val="none"/>
        </w:rPr>
        <w:t>份，所有档案资料的制作费用由承包人承担。</w:t>
      </w:r>
    </w:p>
    <w:p w14:paraId="450539E6">
      <w:pPr>
        <w:wordWrap w:val="0"/>
        <w:adjustRightInd w:val="0"/>
        <w:snapToGrid w:val="0"/>
        <w:spacing w:line="360" w:lineRule="auto"/>
        <w:ind w:firstLine="560"/>
        <w:rPr>
          <w:rFonts w:hint="eastAsia" w:ascii="宋体" w:hAnsi="宋体" w:eastAsia="宋体" w:cs="宋体"/>
          <w:bCs/>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1</w:t>
      </w:r>
      <w:r>
        <w:rPr>
          <w:rFonts w:hint="eastAsia" w:ascii="宋体" w:hAnsi="宋体" w:eastAsia="宋体" w:cs="宋体"/>
          <w:b/>
          <w:snapToGrid w:val="0"/>
          <w:color w:val="000000"/>
          <w:kern w:val="0"/>
          <w:sz w:val="24"/>
          <w:szCs w:val="24"/>
          <w:highlight w:val="none"/>
          <w:lang w:val="en-US" w:eastAsia="zh-CN"/>
        </w:rPr>
        <w:t>4</w:t>
      </w:r>
      <w:r>
        <w:rPr>
          <w:rFonts w:hint="eastAsia" w:ascii="宋体" w:hAnsi="宋体" w:eastAsia="宋体" w:cs="宋体"/>
          <w:b/>
          <w:snapToGrid w:val="0"/>
          <w:color w:val="000000"/>
          <w:kern w:val="0"/>
          <w:sz w:val="24"/>
          <w:szCs w:val="24"/>
          <w:highlight w:val="none"/>
        </w:rPr>
        <w:t>．质量保证</w:t>
      </w:r>
    </w:p>
    <w:p w14:paraId="778A4A09">
      <w:pPr>
        <w:wordWrap w:val="0"/>
        <w:adjustRightInd w:val="0"/>
        <w:snapToGrid w:val="0"/>
        <w:spacing w:line="360" w:lineRule="auto"/>
        <w:ind w:firstLine="560"/>
        <w:rPr>
          <w:rFonts w:hint="eastAsia" w:ascii="宋体" w:hAnsi="宋体" w:eastAsia="宋体" w:cs="宋体"/>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4</w:t>
      </w: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Cs/>
          <w:snapToGrid w:val="0"/>
          <w:color w:val="000000"/>
          <w:kern w:val="0"/>
          <w:sz w:val="24"/>
          <w:szCs w:val="24"/>
          <w:highlight w:val="none"/>
        </w:rPr>
        <w:t xml:space="preserve"> </w:t>
      </w:r>
      <w:r>
        <w:rPr>
          <w:rFonts w:hint="eastAsia" w:ascii="宋体" w:hAnsi="宋体" w:eastAsia="宋体" w:cs="宋体"/>
          <w:snapToGrid w:val="0"/>
          <w:color w:val="000000"/>
          <w:kern w:val="0"/>
          <w:sz w:val="24"/>
          <w:szCs w:val="24"/>
          <w:highlight w:val="none"/>
        </w:rPr>
        <w:t>本招标项目</w:t>
      </w:r>
      <w:r>
        <w:rPr>
          <w:rFonts w:hint="eastAsia" w:ascii="宋体" w:hAnsi="宋体" w:eastAsia="宋体" w:cs="宋体"/>
          <w:bCs/>
          <w:snapToGrid w:val="0"/>
          <w:color w:val="000000"/>
          <w:kern w:val="0"/>
          <w:sz w:val="24"/>
          <w:szCs w:val="24"/>
          <w:highlight w:val="none"/>
        </w:rPr>
        <w:t>缺陷责任期为</w:t>
      </w:r>
      <w:r>
        <w:rPr>
          <w:rFonts w:hint="eastAsia" w:ascii="宋体" w:hAnsi="宋体" w:eastAsia="宋体" w:cs="宋体"/>
          <w:bCs/>
          <w:snapToGrid w:val="0"/>
          <w:color w:val="000000"/>
          <w:kern w:val="0"/>
          <w:sz w:val="24"/>
          <w:szCs w:val="24"/>
          <w:highlight w:val="none"/>
          <w:u w:val="single"/>
        </w:rPr>
        <w:t>2</w:t>
      </w:r>
      <w:r>
        <w:rPr>
          <w:rFonts w:hint="eastAsia" w:ascii="宋体" w:hAnsi="宋体" w:eastAsia="宋体" w:cs="宋体"/>
          <w:bCs/>
          <w:snapToGrid w:val="0"/>
          <w:color w:val="000000"/>
          <w:kern w:val="0"/>
          <w:sz w:val="24"/>
          <w:szCs w:val="24"/>
          <w:highlight w:val="none"/>
        </w:rPr>
        <w:t>年（自通过竣工验收之日起计），在此期间预留金额为结算价</w:t>
      </w:r>
      <w:r>
        <w:rPr>
          <w:rFonts w:hint="eastAsia" w:ascii="宋体" w:hAnsi="宋体" w:eastAsia="宋体" w:cs="宋体"/>
          <w:bCs/>
          <w:snapToGrid w:val="0"/>
          <w:color w:val="000000"/>
          <w:kern w:val="0"/>
          <w:sz w:val="24"/>
          <w:szCs w:val="24"/>
          <w:highlight w:val="none"/>
          <w:u w:val="single"/>
        </w:rPr>
        <w:t xml:space="preserve">3% </w:t>
      </w:r>
      <w:r>
        <w:rPr>
          <w:rFonts w:hint="eastAsia" w:ascii="宋体" w:hAnsi="宋体" w:eastAsia="宋体" w:cs="宋体"/>
          <w:bCs/>
          <w:snapToGrid w:val="0"/>
          <w:color w:val="000000"/>
          <w:kern w:val="0"/>
          <w:sz w:val="24"/>
          <w:szCs w:val="24"/>
          <w:highlight w:val="none"/>
        </w:rPr>
        <w:t>的质量保证。</w:t>
      </w:r>
    </w:p>
    <w:p w14:paraId="1E600A1A">
      <w:pPr>
        <w:wordWrap w:val="0"/>
        <w:adjustRightInd w:val="0"/>
        <w:snapToGrid w:val="0"/>
        <w:spacing w:line="360" w:lineRule="auto"/>
        <w:ind w:firstLine="560"/>
        <w:rPr>
          <w:rFonts w:hint="eastAsia" w:ascii="宋体" w:hAnsi="宋体" w:eastAsia="宋体" w:cs="宋体"/>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4</w:t>
      </w:r>
      <w:r>
        <w:rPr>
          <w:rFonts w:hint="eastAsia" w:ascii="宋体" w:hAnsi="宋体" w:eastAsia="宋体" w:cs="宋体"/>
          <w:b/>
          <w:bCs/>
          <w:snapToGrid w:val="0"/>
          <w:color w:val="000000"/>
          <w:kern w:val="0"/>
          <w:sz w:val="24"/>
          <w:szCs w:val="24"/>
          <w:highlight w:val="none"/>
        </w:rPr>
        <w:t>.2</w:t>
      </w:r>
      <w:r>
        <w:rPr>
          <w:rFonts w:hint="eastAsia" w:ascii="宋体" w:hAnsi="宋体" w:eastAsia="宋体" w:cs="宋体"/>
          <w:bCs/>
          <w:snapToGrid w:val="0"/>
          <w:color w:val="000000"/>
          <w:kern w:val="0"/>
          <w:sz w:val="24"/>
          <w:szCs w:val="24"/>
          <w:highlight w:val="none"/>
        </w:rPr>
        <w:t xml:space="preserve"> 质量保证的形式包括质量保证金、质量保证担保、质量保证保险三种，由承包人自主选择。</w:t>
      </w:r>
    </w:p>
    <w:p w14:paraId="087AE080">
      <w:pPr>
        <w:wordWrap w:val="0"/>
        <w:adjustRightInd w:val="0"/>
        <w:snapToGrid w:val="0"/>
        <w:spacing w:line="360" w:lineRule="auto"/>
        <w:ind w:firstLine="560"/>
        <w:rPr>
          <w:rFonts w:hint="eastAsia" w:ascii="宋体" w:hAnsi="宋体" w:eastAsia="宋体" w:cs="宋体"/>
          <w:bCs/>
          <w:snapToGrid w:val="0"/>
          <w:color w:val="000000"/>
          <w:kern w:val="0"/>
          <w:sz w:val="24"/>
          <w:szCs w:val="24"/>
          <w:highlight w:val="none"/>
        </w:rPr>
      </w:pPr>
      <w:r>
        <w:rPr>
          <w:rFonts w:hint="eastAsia" w:ascii="宋体" w:hAnsi="宋体" w:eastAsia="宋体" w:cs="宋体"/>
          <w:bCs/>
          <w:snapToGrid w:val="0"/>
          <w:color w:val="000000"/>
          <w:kern w:val="0"/>
          <w:sz w:val="24"/>
          <w:szCs w:val="24"/>
          <w:highlight w:val="none"/>
        </w:rPr>
        <w:t>（1）采用质量保证金形式的，在结清审定总造价时一次性扣留相应金额作为质量保证金。</w:t>
      </w:r>
    </w:p>
    <w:p w14:paraId="1B039D6A">
      <w:pPr>
        <w:wordWrap w:val="0"/>
        <w:adjustRightInd w:val="0"/>
        <w:snapToGrid w:val="0"/>
        <w:spacing w:line="360" w:lineRule="auto"/>
        <w:ind w:firstLine="560"/>
        <w:rPr>
          <w:rFonts w:hint="eastAsia" w:ascii="宋体" w:hAnsi="宋体" w:eastAsia="宋体" w:cs="宋体"/>
          <w:bCs/>
          <w:snapToGrid w:val="0"/>
          <w:color w:val="000000"/>
          <w:kern w:val="0"/>
          <w:sz w:val="24"/>
          <w:szCs w:val="24"/>
          <w:highlight w:val="none"/>
        </w:rPr>
      </w:pPr>
      <w:r>
        <w:rPr>
          <w:rFonts w:hint="eastAsia" w:ascii="宋体" w:hAnsi="宋体" w:eastAsia="宋体" w:cs="宋体"/>
          <w:bCs/>
          <w:snapToGrid w:val="0"/>
          <w:color w:val="000000"/>
          <w:kern w:val="0"/>
          <w:sz w:val="24"/>
          <w:szCs w:val="24"/>
          <w:highlight w:val="none"/>
        </w:rPr>
        <w:t>（2）采用质量保证担保或质量保证保险的，承包人应在竣工验收时向发包人提交有效的银行保函或保险合同（或保险单）原件，银行保函或保险合同（或保险单）的有效期不得短于缺陷责任期。</w:t>
      </w:r>
    </w:p>
    <w:p w14:paraId="446DA286">
      <w:pPr>
        <w:wordWrap w:val="0"/>
        <w:adjustRightInd w:val="0"/>
        <w:snapToGrid w:val="0"/>
        <w:spacing w:line="360" w:lineRule="auto"/>
        <w:ind w:firstLine="560"/>
        <w:rPr>
          <w:rFonts w:hint="eastAsia" w:ascii="宋体" w:hAnsi="宋体" w:eastAsia="宋体" w:cs="宋体"/>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4</w:t>
      </w:r>
      <w:r>
        <w:rPr>
          <w:rFonts w:hint="eastAsia" w:ascii="宋体" w:hAnsi="宋体" w:eastAsia="宋体" w:cs="宋体"/>
          <w:b/>
          <w:bCs/>
          <w:snapToGrid w:val="0"/>
          <w:color w:val="000000"/>
          <w:kern w:val="0"/>
          <w:sz w:val="24"/>
          <w:szCs w:val="24"/>
          <w:highlight w:val="none"/>
        </w:rPr>
        <w:t>.3</w:t>
      </w:r>
      <w:r>
        <w:rPr>
          <w:rFonts w:hint="eastAsia" w:ascii="宋体" w:hAnsi="宋体" w:eastAsia="宋体" w:cs="宋体"/>
          <w:bCs/>
          <w:snapToGrid w:val="0"/>
          <w:color w:val="000000"/>
          <w:kern w:val="0"/>
          <w:sz w:val="24"/>
          <w:szCs w:val="24"/>
          <w:highlight w:val="none"/>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217BFB9E">
      <w:pPr>
        <w:wordWrap w:val="0"/>
        <w:adjustRightInd w:val="0"/>
        <w:snapToGrid w:val="0"/>
        <w:spacing w:line="360" w:lineRule="auto"/>
        <w:ind w:firstLine="560"/>
        <w:rPr>
          <w:rFonts w:hint="eastAsia" w:ascii="宋体" w:hAnsi="宋体" w:eastAsia="宋体" w:cs="宋体"/>
          <w:bCs/>
          <w:snapToGrid w:val="0"/>
          <w:color w:val="000000"/>
          <w:kern w:val="0"/>
          <w:sz w:val="24"/>
          <w:szCs w:val="24"/>
          <w:highlight w:val="none"/>
        </w:rPr>
      </w:pPr>
      <w:r>
        <w:rPr>
          <w:rFonts w:hint="eastAsia" w:ascii="宋体" w:hAnsi="宋体" w:eastAsia="宋体" w:cs="宋体"/>
          <w:bCs/>
          <w:snapToGrid w:val="0"/>
          <w:color w:val="000000"/>
          <w:kern w:val="0"/>
          <w:sz w:val="24"/>
          <w:szCs w:val="24"/>
          <w:highlight w:val="none"/>
        </w:rPr>
        <w:t>由他人原因造成的缺陷，发包人负责组织维修，承包人不承担费用，且发包人不得从质量保证中扣除费用。</w:t>
      </w:r>
    </w:p>
    <w:p w14:paraId="58CB0BD9">
      <w:pPr>
        <w:wordWrap w:val="0"/>
        <w:adjustRightInd w:val="0"/>
        <w:snapToGrid w:val="0"/>
        <w:spacing w:line="360" w:lineRule="auto"/>
        <w:ind w:firstLine="56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4</w:t>
      </w:r>
      <w:r>
        <w:rPr>
          <w:rFonts w:hint="eastAsia" w:ascii="宋体" w:hAnsi="宋体" w:eastAsia="宋体" w:cs="宋体"/>
          <w:b/>
          <w:bCs/>
          <w:snapToGrid w:val="0"/>
          <w:color w:val="000000"/>
          <w:kern w:val="0"/>
          <w:sz w:val="24"/>
          <w:szCs w:val="24"/>
          <w:highlight w:val="none"/>
        </w:rPr>
        <w:t>.4</w:t>
      </w:r>
      <w:r>
        <w:rPr>
          <w:rFonts w:hint="eastAsia" w:ascii="宋体" w:hAnsi="宋体" w:eastAsia="宋体" w:cs="宋体"/>
          <w:bCs/>
          <w:snapToGrid w:val="0"/>
          <w:color w:val="000000"/>
          <w:kern w:val="0"/>
          <w:sz w:val="24"/>
          <w:szCs w:val="24"/>
          <w:highlight w:val="none"/>
        </w:rPr>
        <w:t xml:space="preserve"> 缺陷责任期内，承包人应认真履行合同约定的责任。缺陷责任期到期后，承包人向发包人申请退还质量保证，发包人应按照《建设工程质量保证金管理办法》有关规定将质量保证退还给承包人。</w:t>
      </w:r>
    </w:p>
    <w:p w14:paraId="054C6ECA">
      <w:pPr>
        <w:wordWrap w:val="0"/>
        <w:adjustRightInd w:val="0"/>
        <w:snapToGrid w:val="0"/>
        <w:spacing w:line="360" w:lineRule="auto"/>
        <w:ind w:firstLine="560"/>
        <w:rPr>
          <w:rFonts w:hint="eastAsia" w:ascii="宋体" w:hAnsi="宋体" w:eastAsia="宋体" w:cs="宋体"/>
          <w:strike/>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5</w:t>
      </w:r>
      <w:r>
        <w:rPr>
          <w:rFonts w:hint="eastAsia" w:ascii="宋体" w:hAnsi="宋体" w:eastAsia="宋体" w:cs="宋体"/>
          <w:b/>
          <w:snapToGrid w:val="0"/>
          <w:color w:val="000000"/>
          <w:kern w:val="0"/>
          <w:sz w:val="24"/>
          <w:szCs w:val="24"/>
          <w:highlight w:val="none"/>
        </w:rPr>
        <w:t>．不良行为处理</w:t>
      </w:r>
    </w:p>
    <w:p w14:paraId="4400BCC9">
      <w:pPr>
        <w:pStyle w:val="59"/>
        <w:wordWrap w:val="0"/>
        <w:adjustRightInd w:val="0"/>
        <w:snapToGrid w:val="0"/>
        <w:spacing w:line="360" w:lineRule="auto"/>
        <w:ind w:firstLine="480" w:firstLineChars="200"/>
        <w:jc w:val="left"/>
        <w:rPr>
          <w:rFonts w:hint="eastAsia" w:ascii="宋体" w:hAnsi="宋体" w:eastAsia="宋体" w:cs="宋体"/>
          <w:snapToGrid w:val="0"/>
          <w:color w:val="000000"/>
          <w:kern w:val="0"/>
          <w:sz w:val="24"/>
          <w:szCs w:val="24"/>
          <w:highlight w:val="none"/>
        </w:rPr>
      </w:pPr>
      <w:r>
        <w:rPr>
          <w:rStyle w:val="30"/>
          <w:rFonts w:hint="eastAsia" w:ascii="宋体" w:hAnsi="宋体" w:eastAsia="宋体" w:cs="宋体"/>
          <w:color w:val="000000"/>
          <w:kern w:val="0"/>
          <w:sz w:val="24"/>
          <w:szCs w:val="24"/>
          <w:highlight w:val="none"/>
        </w:rPr>
        <w:t>承包人及其有关人员有下列行为之一的，发包人应及时向建设行政主管部门报告</w:t>
      </w:r>
      <w:r>
        <w:rPr>
          <w:rFonts w:hint="eastAsia" w:ascii="宋体" w:hAnsi="宋体" w:eastAsia="宋体" w:cs="宋体"/>
          <w:snapToGrid w:val="0"/>
          <w:color w:val="000000"/>
          <w:kern w:val="0"/>
          <w:sz w:val="24"/>
          <w:szCs w:val="24"/>
          <w:highlight w:val="none"/>
        </w:rPr>
        <w:t>。</w:t>
      </w:r>
    </w:p>
    <w:p w14:paraId="7B1A5EE8">
      <w:pPr>
        <w:pStyle w:val="59"/>
        <w:wordWrap w:val="0"/>
        <w:adjustRightInd w:val="0"/>
        <w:snapToGrid w:val="0"/>
        <w:spacing w:line="360" w:lineRule="auto"/>
        <w:ind w:firstLine="480" w:firstLineChars="200"/>
        <w:jc w:val="lef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（1）转包、违法分包或违反投标承诺分包工程的；</w:t>
      </w:r>
    </w:p>
    <w:p w14:paraId="13B5F553">
      <w:pPr>
        <w:pStyle w:val="59"/>
        <w:wordWrap w:val="0"/>
        <w:adjustRightInd w:val="0"/>
        <w:snapToGrid w:val="0"/>
        <w:spacing w:line="360" w:lineRule="auto"/>
        <w:ind w:firstLine="480" w:firstLineChars="200"/>
        <w:jc w:val="lef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（2）非原参加投标中标的项目经理负责组织施工或在实施过程中擅自更换项目经理的、项目的其他主要管理人员与中标文件确定的人员不相符的；</w:t>
      </w:r>
    </w:p>
    <w:p w14:paraId="1D4E86E1">
      <w:pPr>
        <w:pStyle w:val="59"/>
        <w:wordWrap w:val="0"/>
        <w:adjustRightInd w:val="0"/>
        <w:snapToGrid w:val="0"/>
        <w:spacing w:line="360" w:lineRule="auto"/>
        <w:ind w:firstLine="480" w:firstLineChars="200"/>
        <w:jc w:val="lef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（3）投标文件确定的大型机械设备没有进入施工现场的；</w:t>
      </w:r>
    </w:p>
    <w:p w14:paraId="7B6238D4">
      <w:pPr>
        <w:pStyle w:val="59"/>
        <w:wordWrap w:val="0"/>
        <w:adjustRightInd w:val="0"/>
        <w:snapToGrid w:val="0"/>
        <w:spacing w:line="360" w:lineRule="auto"/>
        <w:ind w:firstLine="480" w:firstLineChars="200"/>
        <w:jc w:val="lef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（4）与建设单位、监理单位串通，签认虚假工程量或工程造价的；</w:t>
      </w:r>
    </w:p>
    <w:p w14:paraId="30DC5708">
      <w:pPr>
        <w:pStyle w:val="59"/>
        <w:wordWrap w:val="0"/>
        <w:adjustRightInd w:val="0"/>
        <w:snapToGrid w:val="0"/>
        <w:spacing w:line="360" w:lineRule="auto"/>
        <w:ind w:firstLine="480" w:firstLineChars="200"/>
        <w:jc w:val="lef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（5）项目经理施工现场管理不到位的；</w:t>
      </w:r>
    </w:p>
    <w:p w14:paraId="6FB09A9C">
      <w:pPr>
        <w:pStyle w:val="59"/>
        <w:wordWrap w:val="0"/>
        <w:adjustRightInd w:val="0"/>
        <w:snapToGrid w:val="0"/>
        <w:spacing w:line="360" w:lineRule="auto"/>
        <w:ind w:firstLine="480" w:firstLineChars="200"/>
        <w:jc w:val="lef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（6）项目经理在非本人资格证书注册单位从事工程项目施工管理的；</w:t>
      </w:r>
    </w:p>
    <w:p w14:paraId="7404983C">
      <w:pPr>
        <w:pStyle w:val="59"/>
        <w:wordWrap w:val="0"/>
        <w:adjustRightInd w:val="0"/>
        <w:snapToGrid w:val="0"/>
        <w:spacing w:line="360" w:lineRule="auto"/>
        <w:ind w:firstLine="480" w:firstLineChars="200"/>
        <w:jc w:val="lef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（7）项目经理同时承担超过一项工程项目的；</w:t>
      </w:r>
    </w:p>
    <w:p w14:paraId="32116B94">
      <w:pPr>
        <w:pStyle w:val="59"/>
        <w:wordWrap w:val="0"/>
        <w:adjustRightInd w:val="0"/>
        <w:snapToGrid w:val="0"/>
        <w:spacing w:line="360" w:lineRule="auto"/>
        <w:ind w:firstLine="480" w:firstLineChars="200"/>
        <w:jc w:val="left"/>
        <w:rPr>
          <w:rFonts w:hint="eastAsia" w:ascii="宋体" w:hAnsi="宋体" w:eastAsia="宋体" w:cs="宋体"/>
          <w:b/>
          <w:bCs/>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（8）违反有关法律、法规、规章规定的其它行为。</w:t>
      </w:r>
    </w:p>
    <w:p w14:paraId="21BFDD7A">
      <w:pPr>
        <w:pStyle w:val="59"/>
        <w:wordWrap w:val="0"/>
        <w:adjustRightInd w:val="0"/>
        <w:snapToGrid w:val="0"/>
        <w:spacing w:line="360" w:lineRule="auto"/>
        <w:ind w:firstLine="482" w:firstLineChars="200"/>
        <w:jc w:val="left"/>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6</w:t>
      </w:r>
      <w:r>
        <w:rPr>
          <w:rFonts w:hint="eastAsia" w:ascii="宋体" w:hAnsi="宋体" w:eastAsia="宋体" w:cs="宋体"/>
          <w:b/>
          <w:snapToGrid w:val="0"/>
          <w:color w:val="000000"/>
          <w:kern w:val="0"/>
          <w:sz w:val="24"/>
          <w:szCs w:val="24"/>
          <w:highlight w:val="none"/>
        </w:rPr>
        <w:t>．</w:t>
      </w:r>
      <w:r>
        <w:rPr>
          <w:rFonts w:hint="eastAsia" w:ascii="宋体" w:hAnsi="宋体" w:eastAsia="宋体" w:cs="宋体"/>
          <w:b/>
          <w:bCs/>
          <w:snapToGrid w:val="0"/>
          <w:color w:val="000000"/>
          <w:kern w:val="0"/>
          <w:sz w:val="24"/>
          <w:szCs w:val="24"/>
          <w:highlight w:val="none"/>
        </w:rPr>
        <w:t>信用评价条款内容</w:t>
      </w:r>
    </w:p>
    <w:p w14:paraId="518509F3">
      <w:pPr>
        <w:pStyle w:val="44"/>
        <w:wordWrap w:val="0"/>
        <w:adjustRightInd w:val="0"/>
        <w:snapToGrid w:val="0"/>
        <w:spacing w:line="360" w:lineRule="auto"/>
        <w:ind w:firstLine="56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由招标人决定是否对施工单位的履约情况进行信用评价。若进行信用评价，评价条款由招标人自拟，条款内容可参考人员到位情况、服务配合程度、服务成果质量、项目后期服务及信用评价结果的运用等。</w:t>
      </w:r>
    </w:p>
    <w:p w14:paraId="087663A7">
      <w:pPr>
        <w:keepNext w:val="0"/>
        <w:keepLines w:val="0"/>
        <w:widowControl/>
        <w:suppressLineNumbers w:val="0"/>
        <w:spacing w:line="360" w:lineRule="auto"/>
        <w:ind w:firstLine="482" w:firstLineChars="200"/>
        <w:jc w:val="left"/>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w:t>
      </w:r>
      <w:r>
        <w:rPr>
          <w:rFonts w:hint="eastAsia" w:ascii="宋体" w:hAnsi="宋体" w:eastAsia="宋体" w:cs="宋体"/>
          <w:b/>
          <w:bCs/>
          <w:snapToGrid w:val="0"/>
          <w:color w:val="000000"/>
          <w:kern w:val="0"/>
          <w:sz w:val="24"/>
          <w:szCs w:val="24"/>
          <w:highlight w:val="none"/>
          <w:lang w:val="en-US" w:eastAsia="zh-CN"/>
        </w:rPr>
        <w:t>7</w:t>
      </w:r>
      <w:r>
        <w:rPr>
          <w:rFonts w:hint="eastAsia" w:ascii="宋体" w:hAnsi="宋体" w:eastAsia="宋体" w:cs="宋体"/>
          <w:b/>
          <w:bCs/>
          <w:snapToGrid w:val="0"/>
          <w:color w:val="000000"/>
          <w:kern w:val="0"/>
          <w:sz w:val="24"/>
          <w:szCs w:val="24"/>
          <w:highlight w:val="none"/>
        </w:rPr>
        <w:t>.</w:t>
      </w:r>
      <w:r>
        <w:rPr>
          <w:rFonts w:hint="eastAsia" w:ascii="宋体" w:hAnsi="宋体" w:eastAsia="宋体" w:cs="宋体"/>
          <w:b/>
          <w:bCs/>
          <w:snapToGrid w:val="0"/>
          <w:color w:val="000000"/>
          <w:kern w:val="0"/>
          <w:sz w:val="24"/>
          <w:szCs w:val="24"/>
          <w:highlight w:val="none"/>
          <w:lang w:val="en-US" w:eastAsia="zh-CN"/>
        </w:rPr>
        <w:t>其他事项</w:t>
      </w:r>
    </w:p>
    <w:p w14:paraId="5191903E">
      <w:pPr>
        <w:keepNext w:val="0"/>
        <w:keepLines w:val="0"/>
        <w:widowControl/>
        <w:suppressLineNumbers w:val="0"/>
        <w:spacing w:line="360" w:lineRule="auto"/>
        <w:ind w:firstLine="482" w:firstLineChars="200"/>
        <w:jc w:val="left"/>
        <w:rPr>
          <w:rFonts w:hint="eastAsia" w:ascii="宋体" w:hAnsi="宋体" w:eastAsia="宋体" w:cs="宋体"/>
          <w:b/>
          <w:bCs/>
          <w:snapToGrid w:val="0"/>
          <w:color w:val="000000"/>
          <w:kern w:val="0"/>
          <w:sz w:val="24"/>
          <w:szCs w:val="24"/>
          <w:highlight w:val="none"/>
        </w:rPr>
      </w:pPr>
    </w:p>
    <w:p w14:paraId="75C49660">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b/>
          <w:bCs/>
          <w:color w:val="000000"/>
          <w:kern w:val="0"/>
          <w:sz w:val="24"/>
          <w:szCs w:val="24"/>
          <w:highlight w:val="none"/>
          <w:lang w:val="en-US" w:eastAsia="zh-CN" w:bidi="ar"/>
        </w:rPr>
        <w:t xml:space="preserve">17.1 </w:t>
      </w:r>
      <w:r>
        <w:rPr>
          <w:rFonts w:hint="eastAsia" w:ascii="宋体" w:hAnsi="宋体" w:eastAsia="宋体" w:cs="宋体"/>
          <w:color w:val="000000"/>
          <w:kern w:val="0"/>
          <w:sz w:val="24"/>
          <w:szCs w:val="24"/>
          <w:highlight w:val="none"/>
          <w:lang w:val="en-US" w:eastAsia="zh-CN" w:bidi="ar"/>
        </w:rPr>
        <w:t xml:space="preserve">危险性较大的分部分项工程安全管理约定。中标人应对建设单位组织的勘察、设计等单位在施工招标文件中列出的危大工程清单进行投标文件回应。对危险性较大的工程必须按《危险性较大的分部分项工程安全管理规定》（中华人民共和国住房和城乡建设部令第 37 号）的规定编制专项施工方案。同时，中标人必须按照《危险性较大的分部分项工程安全管理规定》的规定和经审批的专项施工方案履行安全职责，严格执行国家、地方政府有关施工安全管理方面的法律、法规及规章制度，同时严 </w:t>
      </w:r>
    </w:p>
    <w:p w14:paraId="6572F4B8">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格执行招标人制订的本项目安全生产管理方面的规章制度、安全检查程序及施工安全管理要求，以及监理人有关安全工作的指令。中标人应根据《危险性较大的分部分项工程安全管理规定》（住房城乡建设部令第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w:t>
      </w:r>
    </w:p>
    <w:p w14:paraId="6C1B9CAF">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b/>
          <w:bCs/>
          <w:color w:val="000000"/>
          <w:kern w:val="0"/>
          <w:sz w:val="24"/>
          <w:szCs w:val="24"/>
          <w:highlight w:val="none"/>
          <w:lang w:val="en-US" w:eastAsia="zh-CN" w:bidi="ar"/>
        </w:rPr>
        <w:t xml:space="preserve">17.2 </w:t>
      </w:r>
      <w:r>
        <w:rPr>
          <w:rFonts w:hint="eastAsia" w:ascii="宋体" w:hAnsi="宋体" w:eastAsia="宋体" w:cs="宋体"/>
          <w:color w:val="000000"/>
          <w:kern w:val="0"/>
          <w:sz w:val="24"/>
          <w:szCs w:val="24"/>
          <w:highlight w:val="none"/>
          <w:lang w:val="en-US" w:eastAsia="zh-CN" w:bidi="ar"/>
        </w:rPr>
        <w:t xml:space="preserve">中标人在工程实施过程中，按照国家、省、市的相关规定制定相关的专项安全施工方案（如高支模、基坑支护、沉井等），编制专项施工方案报监理人、招标人审批后方可开展专项工程的施工。 </w:t>
      </w:r>
    </w:p>
    <w:p w14:paraId="5784326E">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 xml:space="preserve">17.3 </w:t>
      </w:r>
      <w:r>
        <w:rPr>
          <w:rFonts w:hint="eastAsia" w:ascii="宋体" w:hAnsi="宋体" w:eastAsia="宋体" w:cs="宋体"/>
          <w:color w:val="000000"/>
          <w:kern w:val="0"/>
          <w:sz w:val="24"/>
          <w:szCs w:val="24"/>
          <w:highlight w:val="none"/>
          <w:lang w:val="en-US" w:eastAsia="zh-CN" w:bidi="ar"/>
        </w:rPr>
        <w:t>中标人须按照《韶关市建筑垃圾管理条例》（2021 年 5 月 1 日起施行），将弃土运至经韶关市政府有关规定核准使用的建筑垃圾消纳场，否则招标人有权要求中标人无条件将弃土从违约弃土点运至经韶关市政府有关规定核准使用的建筑垃圾消纳场并扣除违约金 3 万元人民币/次。中标人对建筑垃圾须按《韶关市建筑垃圾管理条例》（2021 年 5 月 1 日起 施行）的相关规定进行排放和运输，投标人在投标报价时综合考虑在报价内。中标人应在施工现场建立洗车槽和临时排水系统等确保外运车辆（土方运输车辆应符合韶关市相关规定）不带泥上路，投标人在投标报价时综合考虑在报价内，招标人不另行支付该部分费用）。建设单位、施工单位应当在施工工地出入口显著位置公示建筑垃圾处理方案主要信息，包括建设工程垃圾种类、产生量、外运处置去向等信息及各相关单位名称、联系人及联系电话等。</w:t>
      </w:r>
    </w:p>
    <w:p w14:paraId="34D4C4A6">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17.4 工程竣工验收后 15 日内，中标人应按市城建档案馆的要求（质量、数量），将编制成册的施工档案资料（含声像档案和电子档案）提供给招标人、市城建档案馆、市住建管理局、管养单位及监理单位，并承担档案涉及的所有费用（制作标准和相关要求按市城建档案馆的有关规定执行）。中标人提交符合城建档案馆要求的竣工资料经招标人确认签收后，即可办理工程结算手续。</w:t>
      </w:r>
    </w:p>
    <w:p w14:paraId="2D1FCA2B">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17.5 根据《韶关市工程建设领域农民工工资保证金管理实施细则》（韶人社规〔2023〕 </w:t>
      </w:r>
    </w:p>
    <w:p w14:paraId="55145E28">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 号）文件规定，中标人应当自工程取得施工许可证（开工报告批复、开工备案）之日起 20 个工作日内按承包合同工程造价 3%的比例（不超过 500 万元）一次性将工人工资保证金存入银行专用存款账户。逾期未交纳的，招标人将扣留与本项目工人工资保证金等额的工程款（工人工资除外），直至中标人按《韶关市工程建设领域农民工工资保证金管理实施细则》相关文件要求缴纳工人工资保证金。在中标人未按要求缴纳工人工资保证金期间，招标人扣留的工程款将作为工人工资保证金的预备资金，招标人有权将该部分资金用于处理该项目工人工资拖欠等情况的问题。如发生中标人拖欠民工工资并且向政府或招标人索要中标人拖欠工资的，招标人有权使用工人工资保证金或在剩余进度款范围内代中标人向民工支付工资，中标人对招标人垫付工资的人员范围和工资数额均不得提异议。招标人代支的工资除了从当期工程款内直接扣除外,并按招标文件相关约定缴纳违约金。</w:t>
      </w:r>
    </w:p>
    <w:p w14:paraId="1992D592">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（一）用人单位应当在工程施工合同签订之日起 30 日内，在建设项目所在地的银行业金融机构设立工人工资支付专用账户,发包人支付工程款时，将按工程款（不含工人工资）和工人工资两部分分开支付，工人工资支付至专用账户。 </w:t>
      </w:r>
    </w:p>
    <w:p w14:paraId="1C7B8A1B">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（二）用人单位应当在用工之日起 15 日内在专用账户绑定农民工本人具有金融功能的社会保障卡或银行卡实行一人一卡、本人持卡。 </w:t>
      </w:r>
    </w:p>
    <w:p w14:paraId="5CD00E8B">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（三）用人单位应当指定专人负责建设项目施工现场台账管理，真实、准确记录工人名册、劳务合同、劳动合同、工程进度、工时台账、劳务承包款和工人工资支付等信息，并保存两年以上备查。 </w:t>
      </w:r>
    </w:p>
    <w:p w14:paraId="4D01F59F">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四）用人单位应当按照“及时支付，按实结算”的原则，在规定日期前通过银行工人工资支付专用账户将工人工资直接支付到工人的个人银行账户，并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花名册及身份证复印件；（4）劳动合同；（5）委托书（写明委托代发工资情况）；（6）缴纳保证金的凭证；（7）总包企业或承包企业设立工资专用账户的凭证；（8）维权信息告示牌情况。</w:t>
      </w:r>
    </w:p>
    <w:p w14:paraId="1404F3AD">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用人单位未建立、保存用工管理台账，或者伪造相关台账的，按照《广东省劳动保障监察条例》的规定，由人力资源社会保障部门责令改正，并可处以 2000 元以上 20000 元以下的人民币罚款。 </w:t>
      </w:r>
    </w:p>
    <w:p w14:paraId="5F0DBCE6">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（五）每次申请工程进度款需提供上期工人工资发放明细表、上期工人工资发放公示等材料。</w:t>
      </w:r>
    </w:p>
    <w:p w14:paraId="644E736B">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（六）中标人应按韶关市住房和城乡建设管理局、韶关市人力资源和社会保障局等职能部门对用工实名制的相关规定,落实工人及相关软硬件设施要求。</w:t>
      </w:r>
    </w:p>
    <w:p w14:paraId="31AD1A4F">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17.6 中标人在收到中标通知书后须积极配合招标人完成施工许可证的办理。</w:t>
      </w:r>
    </w:p>
    <w:p w14:paraId="2987D877">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17.7 中标人中标后须响应招标人组织的廉政履约会议，项目经理、法人代表或其授权委托人须参加会议。</w:t>
      </w:r>
    </w:p>
    <w:p w14:paraId="785E4EBC">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17.8 中标人在施工期间应严格遵守国家、省、市有关防火和施工安全以及文明施工、夜间施工、环卫城管等规定，建立规章制度和防护措施。否则，由此造成的经济损失和法律责任，均由中标人负责。中标人应按安全施工的要求，采取严格科学的安全措施，确保施工安全和第三者的安全，承担由于自身安全措施不力所造成的事故责任和发生的费用。</w:t>
      </w:r>
    </w:p>
    <w:p w14:paraId="6BEAC3EC">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17.9 中标人必须做好施工场地地下、地上管线、构筑物和邻近建筑物、构筑物（包括文物保护建筑）、名树名木（如有）的保护工作。 </w:t>
      </w:r>
    </w:p>
    <w:p w14:paraId="0FF73645">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17.10 中标人需按相关规定要求，设置本工程符合相关要求的永久性标牌及规划公示牌，投标人在投标报价时综合考虑在报价内，招标人不另行支付该部分费用。</w:t>
      </w:r>
    </w:p>
    <w:p w14:paraId="56E0BDD3">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17.11 中标人须为招标人、全过程造价咨询单位提供现场办公管理的便利。按工程需要 配置办公室、会议室及办公家具、生活设施，配备满足工作需要的办公设备（电脑、打印机、复印机、传真机、办公用品等）。相关费用由中标人负责，招标人不另行支付。</w:t>
      </w:r>
    </w:p>
    <w:p w14:paraId="28AD7251">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17.12 中标人负责受施工影响道路的环境卫生、交通组织维护及受损修复，相关费用由中标人负责，招标人不另行支付。</w:t>
      </w:r>
    </w:p>
    <w:p w14:paraId="4ECC43F6">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17.13 本工程施工时中标人的施工视频监控系统必须符合韶关市相关规定，并在投标报价中综合考虑，招标人不另行支付该部分费用。 </w:t>
      </w:r>
    </w:p>
    <w:p w14:paraId="4CEFC0F6">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17.14 中标人应已详细了解本项目的前期工作（包括征地拆迁），同时也应已勘察施工现场、周围环境、地形、地貌、水文、交通等情况。中标人投标报价应已充分考虑在施工中由于招标人原因造成停工或工期延误等因素所产生的相关费用，招标人不予另计费；中标人不得以不完全了解项目的前期工作（包括征地拆迁）及现场情况为理由，提出因外界因素造成停工或工期延误的额外付款要求；对此类要求，招标人不作任何考虑及答复。非中标人原因，工程不能按期开工，或开工后全部停滞，工期按相关规定予以顺延。停工发生后，若可复工时，中标人应在收到招标人发出的复工通知书后 3 日内开始复工。</w:t>
      </w:r>
    </w:p>
    <w:p w14:paraId="1258748E">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17.15 承包人应充分考虑施工对接情况，为本项目的其他参建单位提供工作便利、配合及服务（如水源、电源接口等），并有针对性地组织施工；承包人与为本项目的其他参建单位就协调、配合、服务等不能达成一致的，由监理工程师协调，并遵照监理工程师指令执行；承包人应负责统筹安排本项目范围内的各项工程的协调与配合，确保工程建设有序进行。承包人由此增加的费用应认为已包括在承包人的投标报价之中，发包人不另行支付。</w:t>
      </w:r>
    </w:p>
    <w:p w14:paraId="180EEF8B">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17.16 中标人应做好周边设施（含军用光缆、燃气、供电、供水、排水、排污、人行道、路灯、治安监控、交通电警等）的成品保护并及时与周边设施的权属单位协调解决，如因中标人原因导致上述设施发生损坏，中标人无条件按招标人规定的期限内修复，涉及成品保护费、索赔等一切费用全部由中标人自行解决。 </w:t>
      </w:r>
    </w:p>
    <w:p w14:paraId="62A93847">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17.17 招标人有权根据本项目建设的实际情况调整建设规模或减少建设内容，如出现因特殊原因取消某子项目的建设，则该子项目未完成的工作内容及费用相应扣减，中标人应在投标报价中综合考虑该因素，中标后不得因此向招标人提出额外的费用补偿或索赔，并且必须按调整后的规模及内容完成工程建设。 </w:t>
      </w:r>
    </w:p>
    <w:p w14:paraId="25E2A513">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17.18 根据市政府办相关批复要求，本项目的供水管道施工完成后，清洗、消毒、检测必须按城市供水部门的要求完成，并由中标人缴纳接驳等相关费用，招标人不另行支付该部分费用。 </w:t>
      </w:r>
    </w:p>
    <w:p w14:paraId="23E4A06E">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17.19 中标人工程变更的程序和管理按《关于加强市本级政府投资项目财政投资评审监督管理的实施意见》(韶府办发函〔2021〕32 号)意见精神执行，凡不符合本实施意见要求的变更均为无效变更。如项目实施过程中发生了工程变更及工程签证，中标人需根据招标人的《工程变更管理办法》和《工程签证管理办法》完善工程变更签证相关程序。工程变更及工程签证须在发包人确认、会议确定或出具变更图纸后 28 日内，将相关预算报及相关报批表报发包人审批，若超时未申报，视为默认由发包人或委托第三方造价咨询单位出具的预算执行。</w:t>
      </w:r>
    </w:p>
    <w:p w14:paraId="64680DA6">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17.20 垂直运输设备基础及围护等配套设施、现场围挡、临时出入口及临时道路等不形成工程实体的临时设施费用，中标人应在投标报价中综合考虑，中标后不得因此向招标人提出额外的费用补偿或索赔。</w:t>
      </w:r>
    </w:p>
    <w:p w14:paraId="48BBD451">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17.21 中标人应按照《建设工程质量管理条例》《建设工程质量检测管理办法》和有关技术标准等规定和要求，进行自检和送检工作。在办理施工许可证前提交项目竣工验收备案所需的工程质量检测报告文件事项清单及送检计划。中标人自检所发生的检测费用由中标人自行负责。中标人委托的自检检测机构不得与建设单位委托的检测机构为同一家、存在隶属关系和其他利害关系。 </w:t>
      </w:r>
    </w:p>
    <w:p w14:paraId="09A89ABD">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17.22 工程质量保修期按《中华人民共和国建筑法》《建设工程质量管理条例》等相关规定实施。 </w:t>
      </w:r>
    </w:p>
    <w:p w14:paraId="710B230C">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17.23 如采用银行保函方式缴纳履约保证金，在保函到期前一个月，中标人须主动办理续期手续或提交新的银行保函；如中标人未及时主动办理续期手续或提交新的银行保函，招标人有权按履约保证金金额扣留进度款（工人工资除外）作为履约保证金，直至中标人提交新的银行保函或达到履约保证金退还条件。 </w:t>
      </w:r>
    </w:p>
    <w:p w14:paraId="3DFCAF79">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17.24 中标人需在签订合同后 5 个工作日内向招标人免费提交与电子投标文件一致的纸质版投标文件伍份。 </w:t>
      </w:r>
    </w:p>
    <w:p w14:paraId="54A663ED">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17.25 该项目需要消防验收，中标人需自行委托有资质的第三方消防检测单位进行消防自检并在消防验收时提供该单位检测报告，所需费用由中标人在投标时综合考虑，招标人不再另行增加费用。 </w:t>
      </w:r>
    </w:p>
    <w:p w14:paraId="5E735B74">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17.26 工程完工后，为了本项目整体竣工验收的需要，中标人必须在招标人的统筹安排下，与为本项目其他工程服务的单位进行协同配合，做好竣工验收的各项工作，交付的工程必须符合各专业工程的相关要求。 </w:t>
      </w:r>
    </w:p>
    <w:p w14:paraId="4EA8A35C">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17.27 对中标人违反《关于加强市本级政府投资项目财政投资评审监督管理的实施意见》(韶府办发函〔2021〕32 号)，造成项目投资失控或浪费的，建设行政主管部门将在市场诚信管理、市场准入、资质管理等方面，依法对其进行相应处理，并责成项目招标人按合同约定予以相应处罚。  </w:t>
      </w:r>
    </w:p>
    <w:p w14:paraId="529953DB">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17.28 中标人如响应招标文件自愿助力百千万工程公益性项目承诺，中标后自愿公益捐建（捐赠或配建）专项用于招标人指定或双方协商一致的、与广东省“百千万工程”相关的公益项目，招标人不支付任何费用。</w:t>
      </w:r>
    </w:p>
    <w:p w14:paraId="33915F43">
      <w:pPr>
        <w:pStyle w:val="16"/>
        <w:keepNext w:val="0"/>
        <w:keepLines w:val="0"/>
        <w:pageBreakBefore w:val="0"/>
        <w:wordWrap w:val="0"/>
        <w:overflowPunct/>
        <w:topLinePunct w:val="0"/>
        <w:bidi w:val="0"/>
        <w:rPr>
          <w:rFonts w:hint="eastAsia" w:ascii="宋体" w:hAnsi="宋体" w:eastAsia="宋体" w:cs="宋体"/>
          <w:color w:val="auto"/>
          <w:spacing w:val="0"/>
          <w:highlight w:val="none"/>
        </w:rPr>
      </w:pPr>
    </w:p>
    <w:p w14:paraId="519218EC">
      <w:pPr>
        <w:pStyle w:val="16"/>
        <w:keepNext w:val="0"/>
        <w:keepLines w:val="0"/>
        <w:pageBreakBefore w:val="0"/>
        <w:wordWrap w:val="0"/>
        <w:overflowPunct/>
        <w:topLinePunct w:val="0"/>
        <w:bidi w:val="0"/>
        <w:rPr>
          <w:rFonts w:hint="eastAsia" w:ascii="宋体" w:hAnsi="宋体" w:eastAsia="宋体" w:cs="宋体"/>
          <w:color w:val="auto"/>
          <w:spacing w:val="0"/>
          <w:highlight w:val="none"/>
        </w:rPr>
        <w:sectPr>
          <w:footerReference r:id="rId10"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4044D15A">
      <w:pPr>
        <w:keepNext w:val="0"/>
        <w:keepLines w:val="0"/>
        <w:pageBreakBefore w:val="0"/>
        <w:wordWrap w:val="0"/>
        <w:overflowPunct/>
        <w:topLinePunct w:val="0"/>
        <w:bidi w:val="0"/>
        <w:spacing w:before="78" w:line="219" w:lineRule="auto"/>
        <w:ind w:left="2923"/>
        <w:outlineLvl w:val="0"/>
        <w:rPr>
          <w:rFonts w:hint="eastAsia" w:ascii="宋体" w:hAnsi="宋体" w:eastAsia="宋体" w:cs="宋体"/>
          <w:color w:val="auto"/>
          <w:spacing w:val="0"/>
          <w:sz w:val="24"/>
          <w:szCs w:val="24"/>
          <w:highlight w:val="none"/>
        </w:rPr>
      </w:pPr>
      <w:bookmarkStart w:id="152" w:name="bookmark86"/>
      <w:bookmarkEnd w:id="152"/>
      <w:bookmarkStart w:id="153" w:name="_Toc22969"/>
      <w:r>
        <w:rPr>
          <w:rFonts w:hint="eastAsia" w:ascii="宋体" w:hAnsi="宋体" w:eastAsia="宋体" w:cs="宋体"/>
          <w:b/>
          <w:bCs/>
          <w:color w:val="auto"/>
          <w:spacing w:val="0"/>
          <w:sz w:val="24"/>
          <w:szCs w:val="24"/>
          <w:highlight w:val="none"/>
        </w:rPr>
        <w:t>第三章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拟签订合同的主要条款</w:t>
      </w:r>
      <w:bookmarkEnd w:id="153"/>
    </w:p>
    <w:p w14:paraId="59E2DAE6">
      <w:pPr>
        <w:pStyle w:val="8"/>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0D630A56">
      <w:pPr>
        <w:pStyle w:val="8"/>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7F55B533">
      <w:pPr>
        <w:pStyle w:val="4"/>
        <w:wordWrap w:val="0"/>
        <w:autoSpaceDE/>
        <w:autoSpaceDN/>
        <w:snapToGrid w:val="0"/>
        <w:spacing w:line="360" w:lineRule="auto"/>
        <w:jc w:val="both"/>
        <w:rPr>
          <w:rFonts w:hint="eastAsia" w:ascii="宋体" w:hAnsi="宋体" w:eastAsia="宋体" w:cs="宋体"/>
          <w:b/>
          <w:snapToGrid w:val="0"/>
          <w:color w:val="000000"/>
          <w:sz w:val="24"/>
          <w:szCs w:val="24"/>
          <w:highlight w:val="none"/>
        </w:rPr>
      </w:pPr>
      <w:bookmarkStart w:id="154" w:name="_Toc31948"/>
      <w:bookmarkStart w:id="155" w:name="_Toc16306"/>
      <w:bookmarkStart w:id="156" w:name="_Toc30819"/>
      <w:bookmarkStart w:id="157" w:name="_Toc13610"/>
      <w:bookmarkStart w:id="158" w:name="_Toc20638"/>
      <w:r>
        <w:rPr>
          <w:rFonts w:hint="eastAsia" w:ascii="宋体" w:hAnsi="宋体" w:eastAsia="宋体" w:cs="宋体"/>
          <w:b/>
          <w:snapToGrid w:val="0"/>
          <w:color w:val="000000"/>
          <w:sz w:val="24"/>
          <w:szCs w:val="24"/>
          <w:highlight w:val="none"/>
        </w:rPr>
        <w:t>1．工程承包方式</w:t>
      </w:r>
      <w:bookmarkEnd w:id="154"/>
      <w:bookmarkEnd w:id="155"/>
      <w:bookmarkEnd w:id="156"/>
      <w:bookmarkEnd w:id="157"/>
      <w:bookmarkEnd w:id="158"/>
    </w:p>
    <w:p w14:paraId="60EFB696">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1.1</w:t>
      </w:r>
      <w:r>
        <w:rPr>
          <w:rFonts w:hint="eastAsia" w:ascii="宋体" w:hAnsi="宋体" w:eastAsia="宋体" w:cs="宋体"/>
          <w:snapToGrid w:val="0"/>
          <w:color w:val="000000"/>
          <w:kern w:val="0"/>
          <w:sz w:val="24"/>
          <w:szCs w:val="24"/>
          <w:highlight w:val="none"/>
        </w:rPr>
        <w:t xml:space="preserve"> 承包人以中标价按包工包料、包质量、包安全包文明施工、包工期方式总承包施工，不允许转包和违法分包，如果确需分包须与发包人协商，在得到发包人和监理单位同意后报建设行政主管部门备案。</w:t>
      </w:r>
    </w:p>
    <w:p w14:paraId="2293E259">
      <w:pPr>
        <w:wordWrap w:val="0"/>
        <w:adjustRightInd w:val="0"/>
        <w:snapToGrid w:val="0"/>
        <w:spacing w:line="360" w:lineRule="auto"/>
        <w:ind w:firstLine="56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1.1.1</w:t>
      </w:r>
      <w:r>
        <w:rPr>
          <w:rFonts w:hint="eastAsia" w:ascii="宋体" w:hAnsi="宋体" w:eastAsia="宋体" w:cs="宋体"/>
          <w:snapToGrid w:val="0"/>
          <w:color w:val="000000"/>
          <w:kern w:val="0"/>
          <w:sz w:val="24"/>
          <w:szCs w:val="24"/>
          <w:highlight w:val="none"/>
        </w:rPr>
        <w:t xml:space="preserve"> 包工包料：材料符合招标文件要求并报验使用；办理用工保险。</w:t>
      </w:r>
    </w:p>
    <w:p w14:paraId="6E93891E">
      <w:pPr>
        <w:wordWrap w:val="0"/>
        <w:adjustRightInd w:val="0"/>
        <w:snapToGrid w:val="0"/>
        <w:spacing w:line="360" w:lineRule="auto"/>
        <w:ind w:firstLine="56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1.1.2</w:t>
      </w:r>
      <w:r>
        <w:rPr>
          <w:rFonts w:hint="eastAsia" w:ascii="宋体" w:hAnsi="宋体" w:eastAsia="宋体" w:cs="宋体"/>
          <w:snapToGrid w:val="0"/>
          <w:color w:val="000000"/>
          <w:kern w:val="0"/>
          <w:sz w:val="24"/>
          <w:szCs w:val="24"/>
          <w:highlight w:val="none"/>
        </w:rPr>
        <w:t xml:space="preserve"> 包质量：符合招标文件要求。</w:t>
      </w:r>
    </w:p>
    <w:p w14:paraId="77CBC951">
      <w:pPr>
        <w:wordWrap w:val="0"/>
        <w:adjustRightInd w:val="0"/>
        <w:snapToGrid w:val="0"/>
        <w:spacing w:line="360" w:lineRule="auto"/>
        <w:ind w:firstLine="56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1.1.3</w:t>
      </w:r>
      <w:r>
        <w:rPr>
          <w:rFonts w:hint="eastAsia" w:ascii="宋体" w:hAnsi="宋体" w:eastAsia="宋体" w:cs="宋体"/>
          <w:snapToGrid w:val="0"/>
          <w:color w:val="000000"/>
          <w:kern w:val="0"/>
          <w:sz w:val="24"/>
          <w:szCs w:val="24"/>
          <w:highlight w:val="none"/>
        </w:rPr>
        <w:t xml:space="preserve"> 包安全包文明施工：符合招标文件要求。</w:t>
      </w:r>
    </w:p>
    <w:p w14:paraId="236752E9">
      <w:pPr>
        <w:wordWrap w:val="0"/>
        <w:adjustRightInd w:val="0"/>
        <w:snapToGrid w:val="0"/>
        <w:spacing w:line="360" w:lineRule="auto"/>
        <w:ind w:firstLine="56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 xml:space="preserve">1.1.4 </w:t>
      </w:r>
      <w:r>
        <w:rPr>
          <w:rFonts w:hint="eastAsia" w:ascii="宋体" w:hAnsi="宋体" w:eastAsia="宋体" w:cs="宋体"/>
          <w:snapToGrid w:val="0"/>
          <w:color w:val="000000"/>
          <w:kern w:val="0"/>
          <w:sz w:val="24"/>
          <w:szCs w:val="24"/>
          <w:highlight w:val="none"/>
        </w:rPr>
        <w:t>包工期：本招标项目施工必须在招标工期内完成。</w:t>
      </w:r>
    </w:p>
    <w:p w14:paraId="79602AFB">
      <w:pPr>
        <w:pStyle w:val="4"/>
        <w:wordWrap w:val="0"/>
        <w:autoSpaceDE/>
        <w:autoSpaceDN/>
        <w:snapToGrid w:val="0"/>
        <w:spacing w:line="360" w:lineRule="auto"/>
        <w:jc w:val="both"/>
        <w:rPr>
          <w:rFonts w:hint="eastAsia" w:ascii="宋体" w:hAnsi="宋体" w:eastAsia="宋体" w:cs="宋体"/>
          <w:b/>
          <w:snapToGrid w:val="0"/>
          <w:color w:val="000000"/>
          <w:sz w:val="24"/>
          <w:szCs w:val="24"/>
          <w:highlight w:val="none"/>
        </w:rPr>
      </w:pPr>
      <w:bookmarkStart w:id="159" w:name="_Toc5555"/>
      <w:bookmarkStart w:id="160" w:name="_Toc28857"/>
      <w:bookmarkStart w:id="161" w:name="_Toc14656"/>
      <w:bookmarkStart w:id="162" w:name="_Toc16130"/>
      <w:bookmarkStart w:id="163" w:name="_Toc10246"/>
      <w:bookmarkStart w:id="164" w:name="_Toc4363"/>
      <w:bookmarkStart w:id="165" w:name="_Toc14079373"/>
      <w:r>
        <w:rPr>
          <w:rFonts w:hint="eastAsia" w:ascii="宋体" w:hAnsi="宋体" w:eastAsia="宋体" w:cs="宋体"/>
          <w:b/>
          <w:snapToGrid w:val="0"/>
          <w:color w:val="000000"/>
          <w:sz w:val="24"/>
          <w:szCs w:val="24"/>
          <w:highlight w:val="none"/>
        </w:rPr>
        <w:t>2．工程结算原则</w:t>
      </w:r>
      <w:bookmarkEnd w:id="159"/>
      <w:bookmarkEnd w:id="160"/>
      <w:bookmarkEnd w:id="161"/>
      <w:bookmarkEnd w:id="162"/>
      <w:bookmarkEnd w:id="163"/>
    </w:p>
    <w:p w14:paraId="2DDB44DA">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2.1</w:t>
      </w:r>
      <w:r>
        <w:rPr>
          <w:rFonts w:hint="eastAsia" w:ascii="宋体" w:hAnsi="宋体" w:eastAsia="宋体" w:cs="宋体"/>
          <w:snapToGrid w:val="0"/>
          <w:color w:val="000000"/>
          <w:kern w:val="0"/>
          <w:sz w:val="24"/>
          <w:szCs w:val="24"/>
          <w:highlight w:val="none"/>
        </w:rPr>
        <w:t xml:space="preserve"> 承包人的投标总价为中标价，即为签约合同价。</w:t>
      </w:r>
    </w:p>
    <w:p w14:paraId="650B9589">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2.2</w:t>
      </w:r>
      <w:r>
        <w:rPr>
          <w:rFonts w:hint="eastAsia" w:ascii="宋体" w:hAnsi="宋体" w:eastAsia="宋体" w:cs="宋体"/>
          <w:snapToGrid w:val="0"/>
          <w:color w:val="000000"/>
          <w:kern w:val="0"/>
          <w:sz w:val="24"/>
          <w:szCs w:val="24"/>
          <w:highlight w:val="none"/>
        </w:rPr>
        <w:t xml:space="preserve"> 招标工程量清单标明的工程量是投标人投标报价的共同基础，竣工结算的工程量按</w:t>
      </w:r>
      <w:r>
        <w:rPr>
          <w:rFonts w:hint="eastAsia" w:ascii="宋体" w:hAnsi="宋体" w:eastAsia="宋体" w:cs="宋体"/>
          <w:snapToGrid w:val="0"/>
          <w:color w:val="000000"/>
          <w:kern w:val="0"/>
          <w:sz w:val="24"/>
          <w:szCs w:val="24"/>
          <w:highlight w:val="none"/>
          <w:lang w:eastAsia="zh-CN"/>
        </w:rPr>
        <w:t>《建设工程工程量清单计价标准》（GB/T50500—2024）</w:t>
      </w:r>
      <w:r>
        <w:rPr>
          <w:rFonts w:hint="eastAsia" w:ascii="宋体" w:hAnsi="宋体" w:eastAsia="宋体" w:cs="宋体"/>
          <w:snapToGrid w:val="0"/>
          <w:color w:val="000000"/>
          <w:kern w:val="0"/>
          <w:sz w:val="24"/>
          <w:szCs w:val="24"/>
          <w:highlight w:val="none"/>
        </w:rPr>
        <w:t>对工程计量的规定进行计量，必须以承包人完成合同工程应予计量的工程量确定。施工中进行工程计量，当发现招标工程量清单中出现缺项、工程量偏差、或因工程变更引起工程量增减时，应按承包人在履行合同义务中完成的工程量计算。因承包人原因造成的超出合同工程范围施工或返工的工程量，发包人不予计量。</w:t>
      </w:r>
    </w:p>
    <w:p w14:paraId="60FD0811">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w:t>
      </w:r>
      <w:r>
        <w:rPr>
          <w:rFonts w:hint="eastAsia" w:ascii="宋体" w:hAnsi="宋体" w:eastAsia="宋体" w:cs="宋体"/>
          <w:snapToGrid w:val="0"/>
          <w:color w:val="000000"/>
          <w:kern w:val="0"/>
          <w:sz w:val="24"/>
          <w:szCs w:val="24"/>
          <w:highlight w:val="none"/>
        </w:rPr>
        <w:t xml:space="preserve"> 施工合同履行期间，若出现下列情形的，发、承包双方应当按照以下规定调整合同价款：</w:t>
      </w:r>
    </w:p>
    <w:p w14:paraId="46149C60">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2.3.1</w:t>
      </w:r>
      <w:r>
        <w:rPr>
          <w:rFonts w:hint="eastAsia" w:ascii="宋体" w:hAnsi="宋体" w:eastAsia="宋体" w:cs="宋体"/>
          <w:snapToGrid w:val="0"/>
          <w:color w:val="000000"/>
          <w:kern w:val="0"/>
          <w:sz w:val="24"/>
          <w:szCs w:val="24"/>
          <w:highlight w:val="none"/>
        </w:rPr>
        <w:t xml:space="preserve"> 法律法规变化</w:t>
      </w:r>
    </w:p>
    <w:p w14:paraId="263545EA">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2.3.1.1</w:t>
      </w:r>
      <w:r>
        <w:rPr>
          <w:rFonts w:hint="eastAsia" w:ascii="宋体" w:hAnsi="宋体" w:eastAsia="宋体" w:cs="宋体"/>
          <w:snapToGrid w:val="0"/>
          <w:color w:val="000000"/>
          <w:kern w:val="0"/>
          <w:sz w:val="24"/>
          <w:szCs w:val="24"/>
          <w:highlight w:val="none"/>
        </w:rPr>
        <w:t xml:space="preserve"> 基准日之后，因国家法律、法规、规章和政策发生变化引起工程造价增减变化时，发、承包双方应按照省级建设主管部门（或省级行业主管部门）或其授权的工程造价管理机构据此发布的最新规定调整合同价款。</w:t>
      </w:r>
    </w:p>
    <w:p w14:paraId="3E23614E">
      <w:pPr>
        <w:wordWrap w:val="0"/>
        <w:adjustRightInd w:val="0"/>
        <w:snapToGrid w:val="0"/>
        <w:spacing w:line="360" w:lineRule="auto"/>
        <w:ind w:firstLine="48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注：本招标文件所称“基准日”，均指投标文件递交截止时间（见第一章第二节“重要事项时间地点一览表”）前28天。</w:t>
      </w:r>
      <w:r>
        <w:rPr>
          <w:rFonts w:hint="eastAsia" w:ascii="宋体" w:hAnsi="宋体" w:eastAsia="宋体" w:cs="宋体"/>
          <w:b/>
          <w:bCs/>
          <w:snapToGrid w:val="0"/>
          <w:color w:val="000000"/>
          <w:kern w:val="0"/>
          <w:sz w:val="24"/>
          <w:szCs w:val="24"/>
          <w:highlight w:val="none"/>
          <w:lang w:val="en-US" w:eastAsia="zh-CN"/>
        </w:rPr>
        <w:t>本项目最高投标限价材料价格计取基期按照2026年2月执行。</w:t>
      </w:r>
    </w:p>
    <w:p w14:paraId="01BD4913">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2.3.1.2</w:t>
      </w:r>
      <w:r>
        <w:rPr>
          <w:rFonts w:hint="eastAsia" w:ascii="宋体" w:hAnsi="宋体" w:eastAsia="宋体" w:cs="宋体"/>
          <w:snapToGrid w:val="0"/>
          <w:color w:val="000000"/>
          <w:kern w:val="0"/>
          <w:sz w:val="24"/>
          <w:szCs w:val="24"/>
          <w:highlight w:val="none"/>
        </w:rPr>
        <w:t xml:space="preserve"> 因承包人原因导致工程延误，本章第</w:t>
      </w:r>
      <w:r>
        <w:rPr>
          <w:rFonts w:hint="eastAsia" w:ascii="宋体" w:hAnsi="宋体" w:eastAsia="宋体" w:cs="宋体"/>
          <w:b/>
          <w:bCs/>
          <w:snapToGrid w:val="0"/>
          <w:color w:val="000000"/>
          <w:kern w:val="0"/>
          <w:sz w:val="24"/>
          <w:szCs w:val="24"/>
          <w:highlight w:val="none"/>
        </w:rPr>
        <w:t>2.3.1.1</w:t>
      </w:r>
      <w:r>
        <w:rPr>
          <w:rFonts w:hint="eastAsia" w:ascii="宋体" w:hAnsi="宋体" w:eastAsia="宋体" w:cs="宋体"/>
          <w:snapToGrid w:val="0"/>
          <w:color w:val="000000"/>
          <w:kern w:val="0"/>
          <w:sz w:val="24"/>
          <w:szCs w:val="24"/>
          <w:highlight w:val="none"/>
        </w:rPr>
        <w:t>子目中的法定机构根据国家法律法规变化发布新规的时间在合同工程原定竣工时间之后的，合同价款调增的不予调整，合同价款调减的予以调整。</w:t>
      </w:r>
    </w:p>
    <w:p w14:paraId="3279C732">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2.3.2</w:t>
      </w:r>
      <w:r>
        <w:rPr>
          <w:rFonts w:hint="eastAsia" w:ascii="宋体" w:hAnsi="宋体" w:eastAsia="宋体" w:cs="宋体"/>
          <w:snapToGrid w:val="0"/>
          <w:color w:val="000000"/>
          <w:kern w:val="0"/>
          <w:sz w:val="24"/>
          <w:szCs w:val="24"/>
          <w:highlight w:val="none"/>
        </w:rPr>
        <w:t xml:space="preserve"> 工程量偏差或变化</w:t>
      </w:r>
    </w:p>
    <w:p w14:paraId="153E1A42">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lang w:val="en-US" w:eastAsia="zh-CN"/>
        </w:rPr>
      </w:pPr>
      <w:r>
        <w:rPr>
          <w:rFonts w:hint="eastAsia" w:ascii="宋体" w:hAnsi="宋体" w:eastAsia="宋体" w:cs="宋体"/>
          <w:b/>
          <w:bCs/>
          <w:snapToGrid w:val="0"/>
          <w:color w:val="000000"/>
          <w:kern w:val="0"/>
          <w:sz w:val="24"/>
          <w:szCs w:val="24"/>
          <w:highlight w:val="none"/>
        </w:rPr>
        <w:t>2.3.2.1</w:t>
      </w:r>
      <w:r>
        <w:rPr>
          <w:rFonts w:hint="eastAsia" w:ascii="宋体" w:hAnsi="宋体" w:eastAsia="宋体" w:cs="宋体"/>
          <w:snapToGrid w:val="0"/>
          <w:color w:val="000000"/>
          <w:kern w:val="0"/>
          <w:sz w:val="24"/>
          <w:szCs w:val="24"/>
          <w:highlight w:val="none"/>
        </w:rPr>
        <w:t xml:space="preserve"> </w:t>
      </w:r>
      <w:r>
        <w:rPr>
          <w:rFonts w:hint="eastAsia" w:ascii="宋体" w:hAnsi="宋体" w:eastAsia="宋体" w:cs="宋体"/>
          <w:snapToGrid w:val="0"/>
          <w:color w:val="000000"/>
          <w:kern w:val="0"/>
          <w:sz w:val="24"/>
          <w:szCs w:val="24"/>
          <w:highlight w:val="none"/>
          <w:lang w:val="en-US" w:eastAsia="zh-CN"/>
        </w:rPr>
        <w:t>合同履行期间，当应予计算的实际工程量与招标工程量清单出现偏差或因其他工程变更引起已标价工程量清单项目的工程数量发生变化时，综合单价应予调整，</w:t>
      </w:r>
      <w:r>
        <w:rPr>
          <w:rFonts w:hint="eastAsia" w:ascii="宋体" w:hAnsi="宋体" w:eastAsia="宋体" w:cs="宋体"/>
          <w:b/>
          <w:bCs/>
          <w:snapToGrid w:val="0"/>
          <w:color w:val="000000"/>
          <w:kern w:val="0"/>
          <w:sz w:val="24"/>
          <w:szCs w:val="24"/>
          <w:highlight w:val="none"/>
          <w:lang w:val="en-US" w:eastAsia="zh-CN"/>
        </w:rPr>
        <w:t>调整后的综合单价为计算结算价的依据，综合单价和工程量计算方式按照以下规定调整：</w:t>
      </w:r>
    </w:p>
    <w:p w14:paraId="64FEC0AB">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（一）属于合理报价的清单项目：①工程量偏差或变化在 15%以内（含 15%）的，按承包人的综合单价不予调整。②工程量偏差或变化超过 15%的，工程量增加超出 15%的部分，其综合单价以该分部分项工程量清单项目承包人投标的综合单价为基价调低 3 %；工程量减少15%以上时，减少后剩余部分的工程量的综合单价以该分部分项工程量清单项目承包人投标的综合单价为基价调高 3 %。</w:t>
      </w:r>
    </w:p>
    <w:p w14:paraId="47B66956">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（二）属于不平衡报价的清单项目：①工程量偏差或变化造成增加的工程量，当 P0＜P1×（1-L）×（1-15%）时，综合单价按照 P1×（1-L）×（1-15%）调整；当 P0＞P1×（1+15%）时，综合单价按照 P1×（1+15%）调整。②工程量偏差或变化造成工程量减少时，减少后剩余部分的工程量的综合单价按承包人的综合单价不予调整。（以上 P0、P1、L 的定义按第二章 中标人须知 4.2.4 不平衡报价的认定条款）</w:t>
      </w:r>
    </w:p>
    <w:p w14:paraId="1D1E730A">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2.3.2.2</w:t>
      </w:r>
      <w:r>
        <w:rPr>
          <w:rFonts w:hint="eastAsia" w:ascii="宋体" w:hAnsi="宋体" w:eastAsia="宋体" w:cs="宋体"/>
          <w:snapToGrid w:val="0"/>
          <w:color w:val="000000"/>
          <w:kern w:val="0"/>
          <w:sz w:val="24"/>
          <w:szCs w:val="24"/>
          <w:highlight w:val="none"/>
        </w:rPr>
        <w:t xml:space="preserve"> 如果工程量出现本章第</w:t>
      </w:r>
      <w:r>
        <w:rPr>
          <w:rFonts w:hint="eastAsia" w:ascii="宋体" w:hAnsi="宋体" w:eastAsia="宋体" w:cs="宋体"/>
          <w:b/>
          <w:bCs/>
          <w:snapToGrid w:val="0"/>
          <w:color w:val="000000"/>
          <w:kern w:val="0"/>
          <w:sz w:val="24"/>
          <w:szCs w:val="24"/>
          <w:highlight w:val="none"/>
        </w:rPr>
        <w:t>2.3.2.1</w:t>
      </w:r>
      <w:r>
        <w:rPr>
          <w:rFonts w:hint="eastAsia" w:ascii="宋体" w:hAnsi="宋体" w:eastAsia="宋体" w:cs="宋体"/>
          <w:snapToGrid w:val="0"/>
          <w:color w:val="000000"/>
          <w:kern w:val="0"/>
          <w:sz w:val="24"/>
          <w:szCs w:val="24"/>
          <w:highlight w:val="none"/>
        </w:rPr>
        <w:t>子目的变化，且该变化引起相关措施项目相应发生变化时，按系数或单一总价方式计价的，工程量增加的措施项目费调增，工程量减少的措施项目费调减。</w:t>
      </w:r>
    </w:p>
    <w:p w14:paraId="3B3D9012">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2.3.3</w:t>
      </w:r>
      <w:r>
        <w:rPr>
          <w:rFonts w:hint="eastAsia" w:ascii="宋体" w:hAnsi="宋体" w:eastAsia="宋体" w:cs="宋体"/>
          <w:snapToGrid w:val="0"/>
          <w:color w:val="000000"/>
          <w:kern w:val="0"/>
          <w:sz w:val="24"/>
          <w:szCs w:val="24"/>
          <w:highlight w:val="none"/>
        </w:rPr>
        <w:t xml:space="preserve"> 工程变更</w:t>
      </w:r>
    </w:p>
    <w:p w14:paraId="5AFB43E0">
      <w:pPr>
        <w:keepNext w:val="0"/>
        <w:keepLines w:val="0"/>
        <w:widowControl/>
        <w:suppressLineNumbers w:val="0"/>
        <w:spacing w:line="360" w:lineRule="auto"/>
        <w:ind w:firstLine="482" w:firstLineChars="200"/>
        <w:jc w:val="left"/>
        <w:rPr>
          <w:rFonts w:hint="eastAsia" w:ascii="宋体" w:hAnsi="宋体" w:eastAsia="宋体" w:cs="宋体"/>
          <w:color w:val="000000"/>
          <w:sz w:val="24"/>
          <w:szCs w:val="24"/>
          <w:highlight w:val="none"/>
        </w:rPr>
      </w:pPr>
      <w:r>
        <w:rPr>
          <w:rFonts w:hint="eastAsia" w:ascii="宋体" w:hAnsi="宋体" w:eastAsia="宋体" w:cs="宋体"/>
          <w:b/>
          <w:bCs/>
          <w:snapToGrid w:val="0"/>
          <w:color w:val="000000"/>
          <w:kern w:val="0"/>
          <w:sz w:val="24"/>
          <w:szCs w:val="24"/>
          <w:highlight w:val="none"/>
          <w:lang w:val="en-US" w:eastAsia="zh-CN" w:bidi="ar"/>
        </w:rPr>
        <w:t xml:space="preserve">2.3.3.1 </w:t>
      </w:r>
      <w:r>
        <w:rPr>
          <w:rFonts w:hint="eastAsia" w:ascii="宋体" w:hAnsi="宋体" w:eastAsia="宋体" w:cs="宋体"/>
          <w:color w:val="000000"/>
          <w:kern w:val="0"/>
          <w:sz w:val="24"/>
          <w:szCs w:val="24"/>
          <w:highlight w:val="none"/>
          <w:lang w:val="en-US" w:eastAsia="zh-CN" w:bidi="ar"/>
        </w:rPr>
        <w:t xml:space="preserve">合同履行期间，因工程变更引起已标价工程量清单项目发生变化时，在总价不变的情况下，按照以下规定调整： </w:t>
      </w:r>
    </w:p>
    <w:p w14:paraId="4B98C14A">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（1）已标价工程量清单中有适用于变更工程项目的：①属于合理报价的清单项目，采用承包人的综合单价。②属于不平衡报价的清单项目：当 P0＜P1×（1-L）×（1-15%）时，该类项目的综合单价按照 P1×（1-L）×（1-15%）调整；当 P0＞P1×（1+15%）时，该类项目的综合单价按照 P1×（1+15%）调整。（以上 P0、P1、L 的定义按第二章 中标人须知 4.2.4 不平衡报价的认定条款） </w:t>
      </w:r>
    </w:p>
    <w:p w14:paraId="750C9A74">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（2）已标价工程量清单中没有适用但有类似于变更工程项目的，可在合理范围内参照类似项目的单价。但如果被参考的类似项目属于不平衡报价的清单项目：当 P0＜P1×（1-L）×（1-15%）时，该类项目的综合单价按照 P1×（1-L）×（1-15%）调整；当 P0＞P1×（1+ 15%）时，该类项目的综合单价按照 P1×（1+15%）调整。（以上 P0、P1、L 的定义按第二章中标人须知 4.2.4 不平衡报价的认定条款） </w:t>
      </w:r>
    </w:p>
    <w:p w14:paraId="31EFD196">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3）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中标下浮率的计算公式如下： </w:t>
      </w:r>
    </w:p>
    <w:p w14:paraId="6C009DF8">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b/>
          <w:bCs/>
          <w:color w:val="000000"/>
          <w:kern w:val="0"/>
          <w:sz w:val="24"/>
          <w:szCs w:val="24"/>
          <w:highlight w:val="none"/>
          <w:lang w:val="en-US" w:eastAsia="zh-CN" w:bidi="ar"/>
        </w:rPr>
        <w:t xml:space="preserve">中标下浮率=【1-(中标价-报价含税安全生产措施费-固定报价)÷(最高投标限价-最高投标限价含税安全生产措施费-固定报价)】×100% </w:t>
      </w:r>
    </w:p>
    <w:p w14:paraId="670C9CF4">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4）已标价工程量清单中没有适用也没有类似于变更工程项目，且施工当月项目所在地工程造价管理机构发布的价格信息缺项的，由承包人根据变更工程资料、计量规则、计价办法和通过依次参考清远、肇庆、佛山、广州、东莞等广东省内地区信息价、厂商询价、市场调查等取得有合法依据的市场价格提出变更工程项目的单价，报发包人确认后调整（采用同等四类地区信息价的不下浮，若同等四类城市均没有信息价需采用其他城市信息价、厂商询价或市场调查的则按 80%执行）。 </w:t>
      </w:r>
    </w:p>
    <w:p w14:paraId="2FD9E992">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2.3.3.2</w:t>
      </w:r>
      <w:r>
        <w:rPr>
          <w:rFonts w:hint="eastAsia" w:ascii="宋体" w:hAnsi="宋体" w:eastAsia="宋体" w:cs="宋体"/>
          <w:color w:val="000000"/>
          <w:kern w:val="0"/>
          <w:sz w:val="24"/>
          <w:szCs w:val="24"/>
          <w:highlight w:val="none"/>
          <w:lang w:val="en-US" w:eastAsia="zh-CN" w:bidi="ar"/>
        </w:rPr>
        <w:t xml:space="preserve"> 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 </w:t>
      </w:r>
    </w:p>
    <w:p w14:paraId="3446B4C9">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由于工程变更引起的措施项目变化，应按发包人批准的承包人专为工程变更拟定的实施方案或实际发生内容，计算其因工程变更而需要增加投入的施工管理人员、增加搭设的临时设施及其他增加的施工措施工程（工作)量。 </w:t>
      </w:r>
    </w:p>
    <w:p w14:paraId="3319C71D">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2）措施项目费用采用总价包干方式，投标人投标的措施方案被视为是合理可行的，其报价被视为已包含履行合同责任和义务、全面完成招标工程所需发生的全部措施项目费用。中标后措施项目费不因总价合同的暂定数量清单项目价款调整、单价合同的工程量清单缺陷修正而调整，实施过程中不因投标人原因导致的措施方案不合理不可行、措施项目错漏与偏差、工作内容增减、物价波动而调整，结算时仅在非承包人原因导致措施项目实质性变化引起费用增减而相应调整，调整方式按《建设工程工程量清单计价标准》（GB/T50500-2024）执行。 </w:t>
      </w:r>
    </w:p>
    <w:p w14:paraId="08380A16">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（3）采用单价计算的措施项目费，应按照实际发生变化的措施项目，按本章第2.3.3.1 </w:t>
      </w:r>
    </w:p>
    <w:p w14:paraId="6A4373B4">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子目的规定确定单价。 </w:t>
      </w:r>
    </w:p>
    <w:p w14:paraId="5A508412">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（4）按总价或系数计算的措施项目费，应按照实际发生变化的措施项目费调整并考虑中标下浮率因素，即调整金额＝按照实际变化调整后的金额×（1-中标下浮率）。 </w:t>
      </w:r>
    </w:p>
    <w:p w14:paraId="43FCE1BE">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如果承包人未事先将拟实施的方案提交发包人确认，视为工程变更不引起措施项目费的调整或承包人放弃调整措施项目费的权利。 </w:t>
      </w:r>
    </w:p>
    <w:p w14:paraId="78147BA5">
      <w:pPr>
        <w:keepNext w:val="0"/>
        <w:keepLines w:val="0"/>
        <w:widowControl/>
        <w:suppressLineNumbers w:val="0"/>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 xml:space="preserve">2.3.3.3 </w:t>
      </w:r>
      <w:r>
        <w:rPr>
          <w:rFonts w:hint="eastAsia" w:ascii="宋体" w:hAnsi="宋体" w:eastAsia="宋体" w:cs="宋体"/>
          <w:color w:val="000000"/>
          <w:kern w:val="0"/>
          <w:sz w:val="24"/>
          <w:szCs w:val="24"/>
          <w:highlight w:val="none"/>
          <w:lang w:val="en-US" w:eastAsia="zh-CN" w:bidi="ar"/>
        </w:rPr>
        <w:t>招标人有权根据本项目建设的实际情况调整建设规模或变更、减少建设内容，如出现因特殊原因取消某子项目的建设，则该子项目未完成的工作内容及费用相应扣减，中标人应在投标报价中综合考虑该因素，中标后不得因此向招标人提出额外的费用补偿或索赔。</w:t>
      </w:r>
    </w:p>
    <w:p w14:paraId="76BEBC2E">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2.3.4</w:t>
      </w:r>
      <w:r>
        <w:rPr>
          <w:rFonts w:hint="eastAsia" w:ascii="宋体" w:hAnsi="宋体" w:eastAsia="宋体" w:cs="宋体"/>
          <w:snapToGrid w:val="0"/>
          <w:color w:val="000000"/>
          <w:kern w:val="0"/>
          <w:sz w:val="24"/>
          <w:szCs w:val="24"/>
          <w:highlight w:val="none"/>
        </w:rPr>
        <w:t xml:space="preserve"> 项目特征不符</w:t>
      </w:r>
    </w:p>
    <w:p w14:paraId="11D2876A">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w:t>
      </w:r>
      <w:r>
        <w:rPr>
          <w:rFonts w:hint="eastAsia" w:ascii="宋体" w:hAnsi="宋体" w:eastAsia="宋体" w:cs="宋体"/>
          <w:b/>
          <w:bCs/>
          <w:snapToGrid w:val="0"/>
          <w:color w:val="000000"/>
          <w:kern w:val="0"/>
          <w:sz w:val="24"/>
          <w:szCs w:val="24"/>
          <w:highlight w:val="none"/>
        </w:rPr>
        <w:t>2.3.3</w:t>
      </w:r>
      <w:r>
        <w:rPr>
          <w:rFonts w:hint="eastAsia" w:ascii="宋体" w:hAnsi="宋体" w:eastAsia="宋体" w:cs="宋体"/>
          <w:snapToGrid w:val="0"/>
          <w:color w:val="000000"/>
          <w:kern w:val="0"/>
          <w:sz w:val="24"/>
          <w:szCs w:val="24"/>
          <w:highlight w:val="none"/>
        </w:rPr>
        <w:t>目相关条款的规定重新确定相应工程量清单项目的综合单价，并调整合同价款。</w:t>
      </w:r>
    </w:p>
    <w:p w14:paraId="29A6E48E">
      <w:pPr>
        <w:wordWrap w:val="0"/>
        <w:adjustRightInd w:val="0"/>
        <w:snapToGrid w:val="0"/>
        <w:spacing w:line="360" w:lineRule="auto"/>
        <w:ind w:firstLine="48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2.3.5 招标工程量清单缺项</w:t>
      </w:r>
    </w:p>
    <w:p w14:paraId="3B31E467">
      <w:pPr>
        <w:keepNext w:val="0"/>
        <w:keepLines w:val="0"/>
        <w:widowControl/>
        <w:suppressLineNumbers w:val="0"/>
        <w:wordWrap w:val="0"/>
        <w:adjustRightInd w:val="0"/>
        <w:snapToGrid w:val="0"/>
        <w:spacing w:line="360" w:lineRule="auto"/>
        <w:ind w:firstLine="480"/>
        <w:jc w:val="left"/>
        <w:rPr>
          <w:rFonts w:hint="eastAsia" w:ascii="宋体" w:hAnsi="宋体" w:eastAsia="宋体" w:cs="宋体"/>
          <w:b w:val="0"/>
          <w:bCs w:val="0"/>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bidi="ar"/>
        </w:rPr>
        <w:t xml:space="preserve">2.3.5.1 </w:t>
      </w:r>
      <w:r>
        <w:rPr>
          <w:rFonts w:hint="eastAsia" w:ascii="宋体" w:hAnsi="宋体" w:eastAsia="宋体" w:cs="宋体"/>
          <w:b w:val="0"/>
          <w:bCs w:val="0"/>
          <w:snapToGrid w:val="0"/>
          <w:color w:val="000000"/>
          <w:kern w:val="0"/>
          <w:sz w:val="24"/>
          <w:szCs w:val="24"/>
          <w:highlight w:val="none"/>
          <w:lang w:val="en-US" w:eastAsia="zh-CN" w:bidi="ar"/>
        </w:rPr>
        <w:t xml:space="preserve">合同履行期间，由于招标工程量清单中缺项，新增分部分项工程清单项目，应按照本章第 </w:t>
      </w:r>
      <w:r>
        <w:rPr>
          <w:rFonts w:hint="eastAsia" w:ascii="宋体" w:hAnsi="宋体" w:eastAsia="宋体" w:cs="宋体"/>
          <w:b/>
          <w:bCs/>
          <w:snapToGrid w:val="0"/>
          <w:color w:val="000000"/>
          <w:kern w:val="0"/>
          <w:sz w:val="24"/>
          <w:szCs w:val="24"/>
          <w:highlight w:val="none"/>
          <w:lang w:val="en-US" w:eastAsia="zh-CN" w:bidi="ar"/>
        </w:rPr>
        <w:t>2.3.3.1</w:t>
      </w:r>
      <w:r>
        <w:rPr>
          <w:rFonts w:hint="eastAsia" w:ascii="宋体" w:hAnsi="宋体" w:eastAsia="宋体" w:cs="宋体"/>
          <w:b w:val="0"/>
          <w:bCs w:val="0"/>
          <w:snapToGrid w:val="0"/>
          <w:color w:val="000000"/>
          <w:kern w:val="0"/>
          <w:sz w:val="24"/>
          <w:szCs w:val="24"/>
          <w:highlight w:val="none"/>
          <w:lang w:val="en-US" w:eastAsia="zh-CN" w:bidi="ar"/>
        </w:rPr>
        <w:t xml:space="preserve"> 子目的规定确定单价，并调整合同价款。 </w:t>
      </w:r>
    </w:p>
    <w:p w14:paraId="065DFDF3">
      <w:pPr>
        <w:keepNext w:val="0"/>
        <w:keepLines w:val="0"/>
        <w:widowControl/>
        <w:suppressLineNumbers w:val="0"/>
        <w:wordWrap w:val="0"/>
        <w:adjustRightInd w:val="0"/>
        <w:snapToGrid w:val="0"/>
        <w:spacing w:line="360" w:lineRule="auto"/>
        <w:ind w:firstLine="480"/>
        <w:jc w:val="left"/>
        <w:rPr>
          <w:rFonts w:hint="eastAsia" w:ascii="宋体" w:hAnsi="宋体" w:eastAsia="宋体" w:cs="宋体"/>
          <w:b w:val="0"/>
          <w:bCs w:val="0"/>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bidi="ar"/>
        </w:rPr>
        <w:t xml:space="preserve">2.3.5.2 </w:t>
      </w:r>
      <w:r>
        <w:rPr>
          <w:rFonts w:hint="eastAsia" w:ascii="宋体" w:hAnsi="宋体" w:eastAsia="宋体" w:cs="宋体"/>
          <w:b w:val="0"/>
          <w:bCs w:val="0"/>
          <w:snapToGrid w:val="0"/>
          <w:color w:val="000000"/>
          <w:kern w:val="0"/>
          <w:sz w:val="24"/>
          <w:szCs w:val="24"/>
          <w:highlight w:val="none"/>
          <w:lang w:val="en-US" w:eastAsia="zh-CN" w:bidi="ar"/>
        </w:rPr>
        <w:t xml:space="preserve">新增分部分项工程清单项目后，引起措施项目发生变化的，应按照本章第 </w:t>
      </w:r>
      <w:r>
        <w:rPr>
          <w:rFonts w:hint="eastAsia" w:ascii="宋体" w:hAnsi="宋体" w:eastAsia="宋体" w:cs="宋体"/>
          <w:b/>
          <w:bCs/>
          <w:snapToGrid w:val="0"/>
          <w:color w:val="000000"/>
          <w:kern w:val="0"/>
          <w:sz w:val="24"/>
          <w:szCs w:val="24"/>
          <w:highlight w:val="none"/>
          <w:lang w:val="en-US" w:eastAsia="zh-CN" w:bidi="ar"/>
        </w:rPr>
        <w:t>2.3.3.2</w:t>
      </w:r>
      <w:r>
        <w:rPr>
          <w:rFonts w:hint="eastAsia" w:ascii="宋体" w:hAnsi="宋体" w:eastAsia="宋体" w:cs="宋体"/>
          <w:b w:val="0"/>
          <w:bCs w:val="0"/>
          <w:snapToGrid w:val="0"/>
          <w:color w:val="000000"/>
          <w:kern w:val="0"/>
          <w:sz w:val="24"/>
          <w:szCs w:val="24"/>
          <w:highlight w:val="none"/>
          <w:lang w:val="en-US" w:eastAsia="zh-CN" w:bidi="ar"/>
        </w:rPr>
        <w:t xml:space="preserve"> 子目的规定，在承包人提交的实施方案被发包人批准后调整合同价款。 </w:t>
      </w:r>
    </w:p>
    <w:p w14:paraId="07FB310B">
      <w:pPr>
        <w:keepNext w:val="0"/>
        <w:keepLines w:val="0"/>
        <w:widowControl/>
        <w:suppressLineNumbers w:val="0"/>
        <w:wordWrap w:val="0"/>
        <w:adjustRightInd w:val="0"/>
        <w:snapToGrid w:val="0"/>
        <w:spacing w:line="360" w:lineRule="auto"/>
        <w:ind w:firstLine="480"/>
        <w:jc w:val="left"/>
        <w:rPr>
          <w:rFonts w:hint="eastAsia" w:ascii="宋体" w:hAnsi="宋体" w:eastAsia="宋体" w:cs="宋体"/>
          <w:b w:val="0"/>
          <w:bCs w:val="0"/>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bidi="ar"/>
        </w:rPr>
        <w:t xml:space="preserve">2.3.5.3 </w:t>
      </w:r>
      <w:r>
        <w:rPr>
          <w:rFonts w:hint="eastAsia" w:ascii="宋体" w:hAnsi="宋体" w:eastAsia="宋体" w:cs="宋体"/>
          <w:b w:val="0"/>
          <w:bCs w:val="0"/>
          <w:snapToGrid w:val="0"/>
          <w:color w:val="000000"/>
          <w:kern w:val="0"/>
          <w:sz w:val="24"/>
          <w:szCs w:val="24"/>
          <w:highlight w:val="none"/>
          <w:lang w:val="en-US" w:eastAsia="zh-CN" w:bidi="ar"/>
        </w:rPr>
        <w:t>由于清单缺项引起措施项目变化或措施项目缺项的措施项目调整：除安全生产措施项目及以综合单价形式计价、在分部分项工程项目清单中所列属于措施项目的模板等工程及合同约定应予计量的其他措施项目,合同清单的措施项目清单及合同工期均不应予调整。</w:t>
      </w:r>
    </w:p>
    <w:p w14:paraId="1AE19214">
      <w:pPr>
        <w:wordWrap w:val="0"/>
        <w:adjustRightInd w:val="0"/>
        <w:snapToGrid w:val="0"/>
        <w:spacing w:line="360" w:lineRule="auto"/>
        <w:ind w:firstLine="482" w:firstLineChars="200"/>
        <w:rPr>
          <w:rFonts w:hint="eastAsia" w:ascii="宋体" w:hAnsi="宋体" w:eastAsia="宋体" w:cs="宋体"/>
          <w:bCs/>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2.3.6</w:t>
      </w:r>
      <w:r>
        <w:rPr>
          <w:rFonts w:hint="eastAsia" w:ascii="宋体" w:hAnsi="宋体" w:eastAsia="宋体" w:cs="宋体"/>
          <w:bCs/>
          <w:snapToGrid w:val="0"/>
          <w:color w:val="000000"/>
          <w:kern w:val="0"/>
          <w:sz w:val="24"/>
          <w:szCs w:val="24"/>
          <w:highlight w:val="none"/>
        </w:rPr>
        <w:t xml:space="preserve"> 物价变化</w:t>
      </w:r>
    </w:p>
    <w:p w14:paraId="4C55A8AC">
      <w:pPr>
        <w:wordWrap w:val="0"/>
        <w:adjustRightInd w:val="0"/>
        <w:snapToGrid w:val="0"/>
        <w:spacing w:line="360" w:lineRule="auto"/>
        <w:ind w:firstLine="482" w:firstLineChars="200"/>
        <w:rPr>
          <w:rFonts w:hint="eastAsia" w:ascii="宋体" w:hAnsi="宋体" w:eastAsia="宋体" w:cs="宋体"/>
          <w:bCs/>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2.3.6.1</w:t>
      </w:r>
      <w:r>
        <w:rPr>
          <w:rFonts w:hint="eastAsia" w:ascii="宋体" w:hAnsi="宋体" w:eastAsia="宋体" w:cs="宋体"/>
          <w:bCs/>
          <w:snapToGrid w:val="0"/>
          <w:color w:val="000000"/>
          <w:kern w:val="0"/>
          <w:sz w:val="24"/>
          <w:szCs w:val="24"/>
          <w:highlight w:val="none"/>
        </w:rPr>
        <w:t xml:space="preserve"> 合同履行期间，项目所在地工程造价管理机构发布的动态人工调整系数发生变化时，如果承包人投标报价中人工费（</w:t>
      </w:r>
      <w:r>
        <w:rPr>
          <w:rFonts w:hint="eastAsia" w:ascii="宋体" w:hAnsi="宋体" w:eastAsia="宋体" w:cs="宋体"/>
          <w:snapToGrid w:val="0"/>
          <w:color w:val="000000"/>
          <w:kern w:val="0"/>
          <w:sz w:val="24"/>
          <w:szCs w:val="24"/>
          <w:highlight w:val="none"/>
        </w:rPr>
        <w:t>以下简称“中标人工费”</w:t>
      </w:r>
      <w:r>
        <w:rPr>
          <w:rFonts w:hint="eastAsia" w:ascii="宋体" w:hAnsi="宋体" w:eastAsia="宋体" w:cs="宋体"/>
          <w:bCs/>
          <w:snapToGrid w:val="0"/>
          <w:color w:val="000000"/>
          <w:kern w:val="0"/>
          <w:sz w:val="24"/>
          <w:szCs w:val="24"/>
          <w:highlight w:val="none"/>
        </w:rPr>
        <w:t>）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14:paraId="55A2F422">
      <w:pPr>
        <w:wordWrap w:val="0"/>
        <w:adjustRightInd w:val="0"/>
        <w:snapToGrid w:val="0"/>
        <w:spacing w:line="360" w:lineRule="auto"/>
        <w:ind w:firstLine="480" w:firstLineChars="200"/>
        <w:rPr>
          <w:rFonts w:hint="eastAsia" w:ascii="宋体" w:hAnsi="宋体" w:eastAsia="宋体" w:cs="宋体"/>
          <w:bCs/>
          <w:snapToGrid w:val="0"/>
          <w:color w:val="000000"/>
          <w:kern w:val="0"/>
          <w:sz w:val="24"/>
          <w:szCs w:val="24"/>
          <w:highlight w:val="none"/>
        </w:rPr>
      </w:pPr>
      <w:r>
        <w:rPr>
          <w:rFonts w:hint="eastAsia" w:ascii="宋体" w:hAnsi="宋体" w:eastAsia="宋体" w:cs="宋体"/>
          <w:bCs/>
          <w:snapToGrid w:val="0"/>
          <w:color w:val="000000"/>
          <w:kern w:val="0"/>
          <w:sz w:val="24"/>
          <w:szCs w:val="24"/>
          <w:highlight w:val="none"/>
        </w:rPr>
        <w:t>结算人工费＝中标人工费×F</w:t>
      </w:r>
      <w:r>
        <w:rPr>
          <w:rFonts w:hint="eastAsia" w:ascii="宋体" w:hAnsi="宋体" w:eastAsia="宋体" w:cs="宋体"/>
          <w:bCs/>
          <w:snapToGrid w:val="0"/>
          <w:color w:val="000000"/>
          <w:kern w:val="0"/>
          <w:sz w:val="24"/>
          <w:szCs w:val="24"/>
          <w:highlight w:val="none"/>
          <w:vertAlign w:val="subscript"/>
        </w:rPr>
        <w:t>1</w:t>
      </w:r>
    </w:p>
    <w:p w14:paraId="7C7416C0">
      <w:pPr>
        <w:wordWrap w:val="0"/>
        <w:adjustRightInd w:val="0"/>
        <w:snapToGrid w:val="0"/>
        <w:spacing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Cs/>
          <w:snapToGrid w:val="0"/>
          <w:color w:val="000000"/>
          <w:kern w:val="0"/>
          <w:sz w:val="24"/>
          <w:szCs w:val="24"/>
          <w:highlight w:val="none"/>
        </w:rPr>
        <w:t>式中，F</w:t>
      </w:r>
      <w:r>
        <w:rPr>
          <w:rFonts w:hint="eastAsia" w:ascii="宋体" w:hAnsi="宋体" w:eastAsia="宋体" w:cs="宋体"/>
          <w:bCs/>
          <w:snapToGrid w:val="0"/>
          <w:color w:val="000000"/>
          <w:kern w:val="0"/>
          <w:sz w:val="24"/>
          <w:szCs w:val="24"/>
          <w:highlight w:val="none"/>
          <w:vertAlign w:val="subscript"/>
        </w:rPr>
        <w:t>1</w:t>
      </w:r>
      <w:r>
        <w:rPr>
          <w:rFonts w:hint="eastAsia" w:ascii="宋体" w:hAnsi="宋体" w:eastAsia="宋体" w:cs="宋体"/>
          <w:bCs/>
          <w:snapToGrid w:val="0"/>
          <w:color w:val="000000"/>
          <w:kern w:val="0"/>
          <w:sz w:val="24"/>
          <w:szCs w:val="24"/>
          <w:highlight w:val="none"/>
        </w:rPr>
        <w:t>为施工当月项目所在地工程造价管理机构发布的动态人工调整系数。</w:t>
      </w:r>
    </w:p>
    <w:p w14:paraId="63E48287">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2.3.6.2</w:t>
      </w:r>
      <w:r>
        <w:rPr>
          <w:rFonts w:hint="eastAsia" w:ascii="宋体" w:hAnsi="宋体" w:eastAsia="宋体" w:cs="宋体"/>
          <w:snapToGrid w:val="0"/>
          <w:color w:val="000000"/>
          <w:kern w:val="0"/>
          <w:sz w:val="24"/>
          <w:szCs w:val="24"/>
          <w:highlight w:val="none"/>
        </w:rPr>
        <w:t xml:space="preserve"> 本招标项目约定，材料、工程设备单价涨跌风险幅度值A为</w:t>
      </w:r>
      <w:r>
        <w:rPr>
          <w:rFonts w:hint="eastAsia" w:ascii="宋体" w:hAnsi="宋体" w:eastAsia="宋体" w:cs="宋体"/>
          <w:snapToGrid w:val="0"/>
          <w:color w:val="000000"/>
          <w:kern w:val="0"/>
          <w:sz w:val="24"/>
          <w:szCs w:val="24"/>
          <w:highlight w:val="none"/>
          <w:u w:val="single"/>
        </w:rPr>
        <w:t xml:space="preserve"> 5% </w:t>
      </w:r>
      <w:r>
        <w:rPr>
          <w:rFonts w:hint="eastAsia" w:ascii="宋体" w:hAnsi="宋体" w:eastAsia="宋体" w:cs="宋体"/>
          <w:snapToGrid w:val="0"/>
          <w:color w:val="000000"/>
          <w:kern w:val="0"/>
          <w:sz w:val="24"/>
          <w:szCs w:val="24"/>
          <w:highlight w:val="none"/>
        </w:rPr>
        <w:t>。合同履行期间，当《</w:t>
      </w:r>
      <w:r>
        <w:rPr>
          <w:rFonts w:hint="eastAsia" w:ascii="宋体" w:hAnsi="宋体" w:eastAsia="宋体" w:cs="宋体"/>
          <w:snapToGrid w:val="0"/>
          <w:color w:val="000000"/>
          <w:kern w:val="0"/>
          <w:sz w:val="24"/>
          <w:szCs w:val="24"/>
          <w:highlight w:val="none"/>
          <w:lang w:val="en-US" w:eastAsia="zh-CN"/>
        </w:rPr>
        <w:t>承包人提供可调价主要材料表一</w:t>
      </w:r>
      <w:r>
        <w:rPr>
          <w:rFonts w:hint="eastAsia" w:ascii="宋体" w:hAnsi="宋体" w:eastAsia="宋体" w:cs="宋体"/>
          <w:snapToGrid w:val="0"/>
          <w:color w:val="000000"/>
          <w:kern w:val="0"/>
          <w:sz w:val="24"/>
          <w:szCs w:val="24"/>
          <w:highlight w:val="none"/>
        </w:rPr>
        <w:t>》（详见招标工程量清单）中的材料、工程设备单价涨跌幅度等于或低于A值时，该材料、工程设备单价不予调整；超过A值时，其超过部分可以调整。相关费用按有关规定进行相应调整。</w:t>
      </w:r>
    </w:p>
    <w:p w14:paraId="7ABBBE5D">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a</w:t>
      </w:r>
      <w:r>
        <w:rPr>
          <w:rFonts w:hint="eastAsia" w:ascii="宋体" w:hAnsi="宋体" w:eastAsia="宋体" w:cs="宋体"/>
          <w:snapToGrid w:val="0"/>
          <w:color w:val="000000"/>
          <w:kern w:val="0"/>
          <w:sz w:val="24"/>
          <w:szCs w:val="24"/>
          <w:highlight w:val="none"/>
        </w:rPr>
        <w:t>．如果承包人投标报价中材料、工程设备单价（以下简称“中标单价”）低于基准日当月项目所在地工程造价管理机构发布的对应材料、工程设备单价（以下简称“基准单价”），该材料、工程设备的结算单价调整公式为：</w:t>
      </w:r>
    </w:p>
    <w:p w14:paraId="39F7D8CF">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涨价时，</w:t>
      </w:r>
      <w:r>
        <w:rPr>
          <w:rFonts w:hint="eastAsia" w:ascii="宋体" w:hAnsi="宋体" w:eastAsia="宋体" w:cs="宋体"/>
          <w:snapToGrid w:val="0"/>
          <w:color w:val="000000"/>
          <w:kern w:val="0"/>
          <w:position w:val="-30"/>
          <w:sz w:val="24"/>
          <w:szCs w:val="24"/>
          <w:highlight w:val="none"/>
        </w:rPr>
        <w:object>
          <v:shape id="_x0000_i1025" o:spt="75" type="#_x0000_t75" style="height:33.95pt;width:200.95pt;" o:ole="t" filled="f" stroked="f" coordsize="21600,21600">
            <v:path/>
            <v:fill on="f" focussize="0,0"/>
            <v:stroke on="f"/>
            <v:imagedata r:id="rId30" o:title=""/>
            <o:lock v:ext="edit" grouping="f" rotation="f" text="f" aspectratio="t"/>
            <w10:wrap type="none"/>
            <w10:anchorlock/>
          </v:shape>
          <o:OLEObject Type="Embed" ProgID="Equation.KSEE3" ShapeID="_x0000_i1025" DrawAspect="Content" ObjectID="_1468075725" r:id="rId29">
            <o:LockedField>false</o:LockedField>
          </o:OLEObject>
        </w:object>
      </w:r>
    </w:p>
    <w:p w14:paraId="5907E1E5">
      <w:pPr>
        <w:wordWrap w:val="0"/>
        <w:adjustRightIn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跌价时，</w:t>
      </w:r>
      <w:r>
        <w:rPr>
          <w:rFonts w:hint="eastAsia" w:ascii="宋体" w:hAnsi="宋体" w:eastAsia="宋体" w:cs="宋体"/>
          <w:snapToGrid w:val="0"/>
          <w:color w:val="000000"/>
          <w:kern w:val="0"/>
          <w:position w:val="-30"/>
          <w:sz w:val="24"/>
          <w:szCs w:val="24"/>
          <w:highlight w:val="none"/>
        </w:rPr>
        <w:object>
          <v:shape id="_x0000_i1026" o:spt="75" type="#_x0000_t75" style="height:33.95pt;width:198.95pt;" o:ole="t" filled="f" stroked="f" coordsize="21600,21600">
            <v:path/>
            <v:fill on="f" focussize="0,0"/>
            <v:stroke on="f"/>
            <v:imagedata r:id="rId32" o:title=""/>
            <o:lock v:ext="edit" grouping="f" rotation="f" text="f" aspectratio="t"/>
            <w10:wrap type="none"/>
            <w10:anchorlock/>
          </v:shape>
          <o:OLEObject Type="Embed" ProgID="Equation.KSEE3" ShapeID="_x0000_i1026" DrawAspect="Content" ObjectID="_1468075726" r:id="rId31">
            <o:LockedField>false</o:LockedField>
          </o:OLEObject>
        </w:object>
      </w:r>
    </w:p>
    <w:p w14:paraId="5A245CA6">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b</w:t>
      </w:r>
      <w:r>
        <w:rPr>
          <w:rFonts w:hint="eastAsia" w:ascii="宋体" w:hAnsi="宋体" w:eastAsia="宋体" w:cs="宋体"/>
          <w:snapToGrid w:val="0"/>
          <w:color w:val="000000"/>
          <w:kern w:val="0"/>
          <w:sz w:val="24"/>
          <w:szCs w:val="24"/>
          <w:highlight w:val="none"/>
        </w:rPr>
        <w:t>．如果中标单价高于基准单价，该材料、工程设备的结算单价调整公式为：</w:t>
      </w:r>
    </w:p>
    <w:p w14:paraId="1404541A">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涨价时，</w:t>
      </w:r>
      <w:r>
        <w:rPr>
          <w:rFonts w:hint="eastAsia" w:ascii="宋体" w:hAnsi="宋体" w:eastAsia="宋体" w:cs="宋体"/>
          <w:snapToGrid w:val="0"/>
          <w:color w:val="000000"/>
          <w:kern w:val="0"/>
          <w:position w:val="-30"/>
          <w:sz w:val="24"/>
          <w:szCs w:val="24"/>
          <w:highlight w:val="none"/>
        </w:rPr>
        <w:object>
          <v:shape id="_x0000_i1027" o:spt="75" type="#_x0000_t75" style="height:33.95pt;width:198.95pt;" o:ole="t" filled="f" stroked="f" coordsize="21600,21600">
            <v:path/>
            <v:fill on="f" focussize="0,0"/>
            <v:stroke on="f"/>
            <v:imagedata r:id="rId34" o:title=""/>
            <o:lock v:ext="edit" grouping="f" rotation="f" text="f" aspectratio="t"/>
            <w10:wrap type="none"/>
            <w10:anchorlock/>
          </v:shape>
          <o:OLEObject Type="Embed" ProgID="Equation.KSEE3" ShapeID="_x0000_i1027" DrawAspect="Content" ObjectID="_1468075727" r:id="rId33">
            <o:LockedField>false</o:LockedField>
          </o:OLEObject>
        </w:object>
      </w:r>
    </w:p>
    <w:p w14:paraId="2F0D12EE">
      <w:pPr>
        <w:wordWrap w:val="0"/>
        <w:adjustRightIn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跌价时，</w:t>
      </w:r>
      <w:r>
        <w:rPr>
          <w:rFonts w:hint="eastAsia" w:ascii="宋体" w:hAnsi="宋体" w:eastAsia="宋体" w:cs="宋体"/>
          <w:snapToGrid w:val="0"/>
          <w:color w:val="000000"/>
          <w:kern w:val="0"/>
          <w:position w:val="-30"/>
          <w:sz w:val="24"/>
          <w:szCs w:val="24"/>
          <w:highlight w:val="none"/>
        </w:rPr>
        <w:object>
          <v:shape id="_x0000_i1028" o:spt="75" type="#_x0000_t75" style="height:33.95pt;width:200.95pt;" o:ole="t" filled="f" stroked="f" coordsize="21600,21600">
            <v:path/>
            <v:fill on="f" focussize="0,0"/>
            <v:stroke on="f"/>
            <v:imagedata r:id="rId36" o:title=""/>
            <o:lock v:ext="edit" grouping="f" rotation="f" text="f" aspectratio="t"/>
            <w10:wrap type="none"/>
            <w10:anchorlock/>
          </v:shape>
          <o:OLEObject Type="Embed" ProgID="Equation.KSEE3" ShapeID="_x0000_i1028" DrawAspect="Content" ObjectID="_1468075728" r:id="rId35">
            <o:LockedField>false</o:LockedField>
          </o:OLEObject>
        </w:object>
      </w:r>
    </w:p>
    <w:p w14:paraId="2B6BE3EB">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c</w:t>
      </w:r>
      <w:r>
        <w:rPr>
          <w:rFonts w:hint="eastAsia" w:ascii="宋体" w:hAnsi="宋体" w:eastAsia="宋体" w:cs="宋体"/>
          <w:snapToGrid w:val="0"/>
          <w:color w:val="000000"/>
          <w:kern w:val="0"/>
          <w:sz w:val="24"/>
          <w:szCs w:val="24"/>
          <w:highlight w:val="none"/>
        </w:rPr>
        <w:t>．如果中标单价等于基准单价，该材料、工程设备的结算单价调整公式为：</w:t>
      </w:r>
    </w:p>
    <w:p w14:paraId="0E833F58">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涨价时，</w:t>
      </w:r>
      <w:r>
        <w:rPr>
          <w:rFonts w:hint="eastAsia" w:ascii="宋体" w:hAnsi="宋体" w:eastAsia="宋体" w:cs="宋体"/>
          <w:snapToGrid w:val="0"/>
          <w:color w:val="000000"/>
          <w:kern w:val="0"/>
          <w:position w:val="-30"/>
          <w:sz w:val="24"/>
          <w:szCs w:val="24"/>
          <w:highlight w:val="none"/>
        </w:rPr>
        <w:object>
          <v:shape id="_x0000_i1029" o:spt="75" type="#_x0000_t75" style="height:33.95pt;width:200.95pt;" o:ole="t" filled="f" stroked="f" coordsize="21600,21600">
            <v:path/>
            <v:fill on="f" focussize="0,0"/>
            <v:stroke on="f"/>
            <v:imagedata r:id="rId38" o:title=""/>
            <o:lock v:ext="edit" grouping="f" rotation="f" text="f" aspectratio="t"/>
            <w10:wrap type="none"/>
            <w10:anchorlock/>
          </v:shape>
          <o:OLEObject Type="Embed" ProgID="Equation.KSEE3" ShapeID="_x0000_i1029" DrawAspect="Content" ObjectID="_1468075729" r:id="rId37">
            <o:LockedField>false</o:LockedField>
          </o:OLEObject>
        </w:object>
      </w:r>
    </w:p>
    <w:p w14:paraId="438E2306">
      <w:pPr>
        <w:wordWrap w:val="0"/>
        <w:adjustRightIn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跌价时，</w:t>
      </w:r>
      <w:r>
        <w:rPr>
          <w:rFonts w:hint="eastAsia" w:ascii="宋体" w:hAnsi="宋体" w:eastAsia="宋体" w:cs="宋体"/>
          <w:snapToGrid w:val="0"/>
          <w:color w:val="000000"/>
          <w:kern w:val="0"/>
          <w:position w:val="-30"/>
          <w:sz w:val="24"/>
          <w:szCs w:val="24"/>
          <w:highlight w:val="none"/>
        </w:rPr>
        <w:object>
          <v:shape id="_x0000_i1030" o:spt="75" type="#_x0000_t75" style="height:33.95pt;width:200.95pt;" o:ole="t" filled="f" o:preferrelative="t" stroked="f" coordsize="21600,21600">
            <v:path/>
            <v:fill on="f" focussize="0,0"/>
            <v:stroke on="f"/>
            <v:imagedata r:id="rId40" o:title=""/>
            <o:lock v:ext="edit" grouping="f" rotation="f" text="f" aspectratio="t"/>
            <w10:wrap type="none"/>
            <w10:anchorlock/>
          </v:shape>
          <o:OLEObject Type="Embed" ProgID="Equation.KSEE3" ShapeID="_x0000_i1030" DrawAspect="Content" ObjectID="_1468075730" r:id="rId39">
            <o:LockedField>false</o:LockedField>
          </o:OLEObject>
        </w:object>
      </w:r>
    </w:p>
    <w:p w14:paraId="5896CADE">
      <w:pPr>
        <w:wordWrap w:val="0"/>
        <w:adjustRightInd w:val="0"/>
        <w:snapToGrid w:val="0"/>
        <w:spacing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以上公式中，F1为中标单价；F0为基准单价、指项目所在地工程造价管理机构</w:t>
      </w:r>
      <w:r>
        <w:rPr>
          <w:rFonts w:hint="eastAsia" w:ascii="宋体" w:hAnsi="宋体" w:eastAsia="宋体" w:cs="宋体"/>
          <w:snapToGrid w:val="0"/>
          <w:color w:val="000000"/>
          <w:kern w:val="0"/>
          <w:sz w:val="24"/>
          <w:szCs w:val="24"/>
          <w:highlight w:val="none"/>
          <w:lang w:eastAsia="zh-CN"/>
        </w:rPr>
        <w:t>最高投标限价</w:t>
      </w:r>
      <w:r>
        <w:rPr>
          <w:rFonts w:hint="eastAsia" w:ascii="宋体" w:hAnsi="宋体" w:eastAsia="宋体" w:cs="宋体"/>
          <w:snapToGrid w:val="0"/>
          <w:color w:val="000000"/>
          <w:kern w:val="0"/>
          <w:sz w:val="24"/>
          <w:szCs w:val="24"/>
          <w:highlight w:val="none"/>
        </w:rPr>
        <w:t>审定当月发布的材料、工程设备单价； F2为施工当月项目所在地工程造价管理机构发布的材料、工程设备单价；A为合同约定的材料、工程设备单价涨跌风险幅度值。</w:t>
      </w:r>
    </w:p>
    <w:p w14:paraId="70B126B8">
      <w:pPr>
        <w:wordWrap w:val="0"/>
        <w:adjustRightInd w:val="0"/>
        <w:snapToGrid w:val="0"/>
        <w:spacing w:line="360" w:lineRule="auto"/>
        <w:ind w:firstLine="482" w:firstLineChars="200"/>
        <w:rPr>
          <w:rFonts w:hint="eastAsia" w:ascii="宋体" w:hAnsi="宋体" w:eastAsia="宋体" w:cs="宋体"/>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2.3.6.3</w:t>
      </w:r>
      <w:r>
        <w:rPr>
          <w:rFonts w:hint="eastAsia" w:ascii="宋体" w:hAnsi="宋体" w:eastAsia="宋体" w:cs="宋体"/>
          <w:snapToGrid w:val="0"/>
          <w:color w:val="000000"/>
          <w:kern w:val="0"/>
          <w:sz w:val="24"/>
          <w:szCs w:val="24"/>
          <w:highlight w:val="none"/>
        </w:rPr>
        <w:t xml:space="preserve"> 合同履行期间，当《</w:t>
      </w:r>
      <w:r>
        <w:rPr>
          <w:rFonts w:hint="default" w:ascii="宋体" w:hAnsi="宋体" w:eastAsia="宋体" w:cs="宋体"/>
          <w:snapToGrid w:val="0"/>
          <w:color w:val="000000"/>
          <w:kern w:val="0"/>
          <w:sz w:val="24"/>
          <w:szCs w:val="24"/>
          <w:highlight w:val="none"/>
        </w:rPr>
        <w:t>承包人提供可调价主要材料表一</w:t>
      </w:r>
      <w:r>
        <w:rPr>
          <w:rFonts w:hint="eastAsia" w:ascii="宋体" w:hAnsi="宋体" w:eastAsia="宋体" w:cs="宋体"/>
          <w:snapToGrid w:val="0"/>
          <w:color w:val="000000"/>
          <w:kern w:val="0"/>
          <w:sz w:val="24"/>
          <w:szCs w:val="24"/>
          <w:highlight w:val="none"/>
        </w:rPr>
        <w:t>》中的材料、工程设备单价发生变化时，由发包人按照实际变化调整，并列入合同价款。（</w:t>
      </w:r>
      <w:r>
        <w:rPr>
          <w:rFonts w:hint="eastAsia" w:ascii="宋体" w:hAnsi="宋体" w:eastAsia="宋体" w:cs="宋体"/>
          <w:snapToGrid w:val="0"/>
          <w:color w:val="000000"/>
          <w:kern w:val="0"/>
          <w:sz w:val="24"/>
          <w:szCs w:val="24"/>
          <w:highlight w:val="none"/>
          <w:lang w:eastAsia="zh-CN"/>
        </w:rPr>
        <w:t>本项目招标人不提供发包材料</w:t>
      </w:r>
      <w:r>
        <w:rPr>
          <w:rFonts w:hint="eastAsia" w:ascii="宋体" w:hAnsi="宋体" w:eastAsia="宋体" w:cs="宋体"/>
          <w:snapToGrid w:val="0"/>
          <w:color w:val="000000"/>
          <w:kern w:val="0"/>
          <w:sz w:val="24"/>
          <w:szCs w:val="24"/>
          <w:highlight w:val="none"/>
        </w:rPr>
        <w:t>）</w:t>
      </w:r>
    </w:p>
    <w:p w14:paraId="3CAD8627">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2.3.6.4</w:t>
      </w:r>
      <w:r>
        <w:rPr>
          <w:rFonts w:hint="eastAsia" w:ascii="宋体" w:hAnsi="宋体" w:eastAsia="宋体" w:cs="宋体"/>
          <w:snapToGrid w:val="0"/>
          <w:color w:val="000000"/>
          <w:kern w:val="0"/>
          <w:sz w:val="24"/>
          <w:szCs w:val="24"/>
          <w:highlight w:val="none"/>
        </w:rPr>
        <w:t xml:space="preserve"> 本招标项目约定，施工机具台班单价涨跌风险幅度值B为</w:t>
      </w:r>
      <w:r>
        <w:rPr>
          <w:rFonts w:hint="eastAsia" w:ascii="宋体" w:hAnsi="宋体" w:eastAsia="宋体" w:cs="宋体"/>
          <w:snapToGrid w:val="0"/>
          <w:color w:val="000000"/>
          <w:kern w:val="0"/>
          <w:sz w:val="24"/>
          <w:szCs w:val="24"/>
          <w:highlight w:val="none"/>
          <w:u w:val="single"/>
        </w:rPr>
        <w:t xml:space="preserve"> 10% </w:t>
      </w:r>
      <w:r>
        <w:rPr>
          <w:rFonts w:hint="eastAsia" w:ascii="宋体" w:hAnsi="宋体" w:eastAsia="宋体" w:cs="宋体"/>
          <w:snapToGrid w:val="0"/>
          <w:color w:val="000000"/>
          <w:kern w:val="0"/>
          <w:sz w:val="24"/>
          <w:szCs w:val="24"/>
          <w:highlight w:val="none"/>
        </w:rPr>
        <w:t>。合同履行期间，当施工机具台班单价涨跌幅度等于或低于B值时，该施工机具台班单价不予调整；超过B值时，其超过部分可以调整。相关费用按有关规定进行相应调整。</w:t>
      </w:r>
    </w:p>
    <w:p w14:paraId="1403BC43">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a</w:t>
      </w:r>
      <w:r>
        <w:rPr>
          <w:rFonts w:hint="eastAsia" w:ascii="宋体" w:hAnsi="宋体" w:eastAsia="宋体" w:cs="宋体"/>
          <w:snapToGrid w:val="0"/>
          <w:color w:val="000000"/>
          <w:kern w:val="0"/>
          <w:sz w:val="24"/>
          <w:szCs w:val="24"/>
          <w:highlight w:val="none"/>
        </w:rPr>
        <w:t>．如果承包人投标报价中施工机具台班单价（以下简称“中标单价”）低于基准日当月项目所在地工程造价管理机构发布的对应施工机具台班单价（以下简称“基准单价”），该施工机具台班的结算单价调整公式为：</w:t>
      </w:r>
    </w:p>
    <w:p w14:paraId="04F0B2E0">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涨价时，</w:t>
      </w:r>
      <w:r>
        <w:rPr>
          <w:rFonts w:hint="eastAsia" w:ascii="宋体" w:hAnsi="宋体" w:eastAsia="宋体" w:cs="宋体"/>
          <w:snapToGrid w:val="0"/>
          <w:color w:val="000000"/>
          <w:kern w:val="0"/>
          <w:position w:val="-30"/>
          <w:sz w:val="24"/>
          <w:szCs w:val="24"/>
          <w:highlight w:val="none"/>
        </w:rPr>
        <w:object>
          <v:shape id="_x0000_i1031" o:spt="75" type="#_x0000_t75" style="height:33.95pt;width:200.95pt;" o:ole="t" filled="f" o:preferrelative="t" stroked="f" coordsize="21600,21600">
            <v:path/>
            <v:fill on="f" focussize="0,0"/>
            <v:stroke on="f"/>
            <v:imagedata r:id="rId42" o:title=""/>
            <o:lock v:ext="edit" grouping="f" rotation="f" text="f" aspectratio="t"/>
            <w10:wrap type="none"/>
            <w10:anchorlock/>
          </v:shape>
          <o:OLEObject Type="Embed" ProgID="Equation.KSEE3" ShapeID="_x0000_i1031" DrawAspect="Content" ObjectID="_1468075731" r:id="rId41">
            <o:LockedField>false</o:LockedField>
          </o:OLEObject>
        </w:object>
      </w:r>
    </w:p>
    <w:p w14:paraId="537FE89C">
      <w:pPr>
        <w:wordWrap w:val="0"/>
        <w:adjustRightIn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跌价时，</w:t>
      </w:r>
      <w:r>
        <w:rPr>
          <w:rFonts w:hint="eastAsia" w:ascii="宋体" w:hAnsi="宋体" w:eastAsia="宋体" w:cs="宋体"/>
          <w:snapToGrid w:val="0"/>
          <w:color w:val="000000"/>
          <w:kern w:val="0"/>
          <w:position w:val="-30"/>
          <w:sz w:val="24"/>
          <w:szCs w:val="24"/>
          <w:highlight w:val="none"/>
        </w:rPr>
        <w:object>
          <v:shape id="_x0000_i1032" o:spt="75" type="#_x0000_t75" style="height:33.95pt;width:198pt;" o:ole="t" filled="f" o:preferrelative="t" stroked="f" coordsize="21600,21600">
            <v:path/>
            <v:fill on="f" focussize="0,0"/>
            <v:stroke on="f"/>
            <v:imagedata r:id="rId44" o:title=""/>
            <o:lock v:ext="edit" grouping="f" rotation="f" text="f" aspectratio="t"/>
            <w10:wrap type="none"/>
            <w10:anchorlock/>
          </v:shape>
          <o:OLEObject Type="Embed" ProgID="Equation.KSEE3" ShapeID="_x0000_i1032" DrawAspect="Content" ObjectID="_1468075732" r:id="rId43">
            <o:LockedField>false</o:LockedField>
          </o:OLEObject>
        </w:object>
      </w:r>
    </w:p>
    <w:p w14:paraId="6C28F08B">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b</w:t>
      </w:r>
      <w:r>
        <w:rPr>
          <w:rFonts w:hint="eastAsia" w:ascii="宋体" w:hAnsi="宋体" w:eastAsia="宋体" w:cs="宋体"/>
          <w:snapToGrid w:val="0"/>
          <w:color w:val="000000"/>
          <w:kern w:val="0"/>
          <w:sz w:val="24"/>
          <w:szCs w:val="24"/>
          <w:highlight w:val="none"/>
        </w:rPr>
        <w:t>．如果中标单价高于基准单价，该施工机具台班的结算单价调整公式为：</w:t>
      </w:r>
    </w:p>
    <w:p w14:paraId="70B8B9F7">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涨价时，</w:t>
      </w:r>
      <w:r>
        <w:rPr>
          <w:rFonts w:hint="eastAsia" w:ascii="宋体" w:hAnsi="宋体" w:eastAsia="宋体" w:cs="宋体"/>
          <w:snapToGrid w:val="0"/>
          <w:color w:val="000000"/>
          <w:kern w:val="0"/>
          <w:position w:val="-30"/>
          <w:sz w:val="24"/>
          <w:szCs w:val="24"/>
          <w:highlight w:val="none"/>
        </w:rPr>
        <w:object>
          <v:shape id="_x0000_i1033" o:spt="75" type="#_x0000_t75" style="height:33.95pt;width:198pt;" o:ole="t" filled="f" o:preferrelative="t" stroked="f" coordsize="21600,21600">
            <v:path/>
            <v:fill on="f" focussize="0,0"/>
            <v:stroke on="f"/>
            <v:imagedata r:id="rId46" o:title=""/>
            <o:lock v:ext="edit" grouping="f" rotation="f" text="f" aspectratio="t"/>
            <w10:wrap type="none"/>
            <w10:anchorlock/>
          </v:shape>
          <o:OLEObject Type="Embed" ProgID="Equation.KSEE3" ShapeID="_x0000_i1033" DrawAspect="Content" ObjectID="_1468075733" r:id="rId45">
            <o:LockedField>false</o:LockedField>
          </o:OLEObject>
        </w:object>
      </w:r>
    </w:p>
    <w:p w14:paraId="4C446C88">
      <w:pPr>
        <w:wordWrap w:val="0"/>
        <w:adjustRightIn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跌价时，</w:t>
      </w:r>
      <w:r>
        <w:rPr>
          <w:rFonts w:hint="eastAsia" w:ascii="宋体" w:hAnsi="宋体" w:eastAsia="宋体" w:cs="宋体"/>
          <w:snapToGrid w:val="0"/>
          <w:color w:val="000000"/>
          <w:kern w:val="0"/>
          <w:position w:val="-30"/>
          <w:sz w:val="24"/>
          <w:szCs w:val="24"/>
          <w:highlight w:val="none"/>
        </w:rPr>
        <w:object>
          <v:shape id="_x0000_i1034" o:spt="75" type="#_x0000_t75" style="height:33.95pt;width:200.95pt;" o:ole="t" filled="f" o:preferrelative="t" stroked="f" coordsize="21600,21600">
            <v:path/>
            <v:fill on="f" focussize="0,0"/>
            <v:stroke on="f"/>
            <v:imagedata r:id="rId48" o:title=""/>
            <o:lock v:ext="edit" grouping="f" rotation="f" text="f" aspectratio="t"/>
            <w10:wrap type="none"/>
            <w10:anchorlock/>
          </v:shape>
          <o:OLEObject Type="Embed" ProgID="Equation.KSEE3" ShapeID="_x0000_i1034" DrawAspect="Content" ObjectID="_1468075734" r:id="rId47">
            <o:LockedField>false</o:LockedField>
          </o:OLEObject>
        </w:object>
      </w:r>
    </w:p>
    <w:p w14:paraId="1937AAC5">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c</w:t>
      </w:r>
      <w:r>
        <w:rPr>
          <w:rFonts w:hint="eastAsia" w:ascii="宋体" w:hAnsi="宋体" w:eastAsia="宋体" w:cs="宋体"/>
          <w:snapToGrid w:val="0"/>
          <w:color w:val="000000"/>
          <w:kern w:val="0"/>
          <w:sz w:val="24"/>
          <w:szCs w:val="24"/>
          <w:highlight w:val="none"/>
        </w:rPr>
        <w:t>．如果中标单价等于基准单价，该施工机具台班的结算单价调整公式为：</w:t>
      </w:r>
    </w:p>
    <w:p w14:paraId="16BEAD86">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涨价时，</w:t>
      </w:r>
      <w:r>
        <w:rPr>
          <w:rFonts w:hint="eastAsia" w:ascii="宋体" w:hAnsi="宋体" w:eastAsia="宋体" w:cs="宋体"/>
          <w:snapToGrid w:val="0"/>
          <w:color w:val="000000"/>
          <w:kern w:val="0"/>
          <w:position w:val="-30"/>
          <w:sz w:val="24"/>
          <w:szCs w:val="24"/>
          <w:highlight w:val="none"/>
        </w:rPr>
        <w:object>
          <v:shape id="_x0000_i1035" o:spt="75" type="#_x0000_t75" style="height:33.95pt;width:200.95pt;" o:ole="t" filled="f" o:preferrelative="t" stroked="f" coordsize="21600,21600">
            <v:path/>
            <v:fill on="f" focussize="0,0"/>
            <v:stroke on="f"/>
            <v:imagedata r:id="rId50" o:title=""/>
            <o:lock v:ext="edit" grouping="f" rotation="f" text="f" aspectratio="t"/>
            <w10:wrap type="none"/>
            <w10:anchorlock/>
          </v:shape>
          <o:OLEObject Type="Embed" ProgID="Equation.KSEE3" ShapeID="_x0000_i1035" DrawAspect="Content" ObjectID="_1468075735" r:id="rId49">
            <o:LockedField>false</o:LockedField>
          </o:OLEObject>
        </w:object>
      </w:r>
    </w:p>
    <w:p w14:paraId="6CDCCD3E">
      <w:pPr>
        <w:wordWrap w:val="0"/>
        <w:adjustRightInd w:val="0"/>
        <w:spacing w:before="360" w:beforeLines="150" w:after="240" w:afterLines="100" w:line="360" w:lineRule="auto"/>
        <w:ind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跌价时，</w:t>
      </w:r>
      <w:r>
        <w:rPr>
          <w:rFonts w:hint="eastAsia" w:ascii="宋体" w:hAnsi="宋体" w:eastAsia="宋体" w:cs="宋体"/>
          <w:snapToGrid w:val="0"/>
          <w:color w:val="000000"/>
          <w:kern w:val="0"/>
          <w:position w:val="-30"/>
          <w:sz w:val="24"/>
          <w:szCs w:val="24"/>
          <w:highlight w:val="none"/>
        </w:rPr>
        <w:object>
          <v:shape id="_x0000_i1036" o:spt="75" type="#_x0000_t75" style="height:33.95pt;width:200.95pt;" o:ole="t" filled="f" o:preferrelative="t" stroked="f" coordsize="21600,21600">
            <v:path/>
            <v:fill on="f" focussize="0,0"/>
            <v:stroke on="f"/>
            <v:imagedata r:id="rId52" o:title=""/>
            <o:lock v:ext="edit" grouping="f" rotation="f" text="f" aspectratio="t"/>
            <w10:wrap type="none"/>
            <w10:anchorlock/>
          </v:shape>
          <o:OLEObject Type="Embed" ProgID="Equation.KSEE3" ShapeID="_x0000_i1036" DrawAspect="Content" ObjectID="_1468075736" r:id="rId51">
            <o:LockedField>false</o:LockedField>
          </o:OLEObject>
        </w:object>
      </w:r>
    </w:p>
    <w:p w14:paraId="2E3B4F6C">
      <w:pPr>
        <w:wordWrap w:val="0"/>
        <w:adjustRightInd w:val="0"/>
        <w:snapToGrid w:val="0"/>
        <w:spacing w:line="360" w:lineRule="auto"/>
        <w:ind w:firstLine="480" w:firstLineChars="200"/>
        <w:rPr>
          <w:rFonts w:hint="default" w:ascii="宋体" w:hAnsi="宋体" w:eastAsia="宋体" w:cs="宋体"/>
          <w:snapToGrid w:val="0"/>
          <w:color w:val="000000"/>
          <w:kern w:val="0"/>
          <w:sz w:val="24"/>
          <w:szCs w:val="24"/>
          <w:highlight w:val="none"/>
          <w:lang w:val="en-US" w:eastAsia="zh-CN"/>
        </w:rPr>
      </w:pPr>
      <w:r>
        <w:rPr>
          <w:rFonts w:hint="default" w:ascii="宋体" w:hAnsi="宋体" w:eastAsia="宋体" w:cs="宋体"/>
          <w:snapToGrid w:val="0"/>
          <w:color w:val="000000"/>
          <w:kern w:val="0"/>
          <w:sz w:val="24"/>
          <w:szCs w:val="24"/>
          <w:highlight w:val="none"/>
          <w:lang w:val="en-US" w:eastAsia="zh-CN"/>
        </w:rPr>
        <w:t>以上公式中，F1为中标单价；F0为基准单价；F2为施工当月项目所在地工程造价管理机构发布的施工机具台班单价；B为合同约定的施工机具台班单价涨跌风险幅度值。</w:t>
      </w:r>
    </w:p>
    <w:p w14:paraId="7E1D3623">
      <w:pPr>
        <w:wordWrap w:val="0"/>
        <w:adjustRightInd w:val="0"/>
        <w:snapToGrid w:val="0"/>
        <w:spacing w:line="360" w:lineRule="auto"/>
        <w:ind w:firstLine="482" w:firstLineChars="200"/>
        <w:rPr>
          <w:rFonts w:hint="eastAsia" w:ascii="宋体" w:hAnsi="宋体" w:eastAsia="宋体" w:cs="宋体"/>
          <w:bCs/>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2.3.7</w:t>
      </w:r>
      <w:r>
        <w:rPr>
          <w:rFonts w:hint="eastAsia" w:ascii="宋体" w:hAnsi="宋体" w:eastAsia="宋体" w:cs="宋体"/>
          <w:bCs/>
          <w:snapToGrid w:val="0"/>
          <w:color w:val="000000"/>
          <w:kern w:val="0"/>
          <w:sz w:val="24"/>
          <w:szCs w:val="24"/>
          <w:highlight w:val="none"/>
        </w:rPr>
        <w:t xml:space="preserve"> 暂估价和暂列金额</w:t>
      </w:r>
    </w:p>
    <w:p w14:paraId="6DA2829A">
      <w:pPr>
        <w:keepNext w:val="0"/>
        <w:keepLines w:val="0"/>
        <w:widowControl/>
        <w:suppressLineNumbers w:val="0"/>
        <w:spacing w:line="360" w:lineRule="auto"/>
        <w:ind w:firstLine="482" w:firstLineChars="200"/>
        <w:jc w:val="left"/>
        <w:rPr>
          <w:rFonts w:hint="eastAsia" w:ascii="宋体" w:hAnsi="宋体" w:eastAsia="宋体" w:cs="宋体"/>
          <w:color w:val="000000"/>
          <w:sz w:val="24"/>
          <w:szCs w:val="24"/>
          <w:highlight w:val="none"/>
        </w:rPr>
      </w:pPr>
      <w:r>
        <w:rPr>
          <w:rFonts w:hint="eastAsia" w:ascii="宋体" w:hAnsi="宋体" w:eastAsia="宋体" w:cs="宋体"/>
          <w:b/>
          <w:bCs/>
          <w:color w:val="000000"/>
          <w:kern w:val="0"/>
          <w:sz w:val="24"/>
          <w:szCs w:val="24"/>
          <w:highlight w:val="none"/>
          <w:lang w:val="en-US" w:eastAsia="zh-CN" w:bidi="ar"/>
        </w:rPr>
        <w:t xml:space="preserve">2.3.7.1 </w:t>
      </w:r>
      <w:r>
        <w:rPr>
          <w:rFonts w:hint="eastAsia" w:ascii="宋体" w:hAnsi="宋体" w:eastAsia="宋体" w:cs="宋体"/>
          <w:color w:val="000000"/>
          <w:kern w:val="0"/>
          <w:sz w:val="24"/>
          <w:szCs w:val="24"/>
          <w:highlight w:val="none"/>
          <w:lang w:val="en-US" w:eastAsia="zh-CN" w:bidi="ar"/>
        </w:rPr>
        <w:t xml:space="preserve">暂估价项目按第一章第三节“投标人须知正文”第 </w:t>
      </w:r>
      <w:r>
        <w:rPr>
          <w:rFonts w:hint="eastAsia" w:ascii="宋体" w:hAnsi="宋体" w:eastAsia="宋体" w:cs="宋体"/>
          <w:b/>
          <w:bCs/>
          <w:color w:val="000000"/>
          <w:kern w:val="0"/>
          <w:sz w:val="24"/>
          <w:szCs w:val="24"/>
          <w:highlight w:val="none"/>
          <w:lang w:val="en-US" w:eastAsia="zh-CN" w:bidi="ar"/>
        </w:rPr>
        <w:t xml:space="preserve">8.5 </w:t>
      </w:r>
      <w:r>
        <w:rPr>
          <w:rFonts w:hint="eastAsia" w:ascii="宋体" w:hAnsi="宋体" w:eastAsia="宋体" w:cs="宋体"/>
          <w:color w:val="000000"/>
          <w:kern w:val="0"/>
          <w:sz w:val="24"/>
          <w:szCs w:val="24"/>
          <w:highlight w:val="none"/>
          <w:lang w:val="en-US" w:eastAsia="zh-CN" w:bidi="ar"/>
        </w:rPr>
        <w:t xml:space="preserve">条的规定确定专业工程承包人（或材料供应商、工程设备供应商）后，将专业工程合同价款（或材料单价、工程设备单价）取代相应暂估价，并调整合同价款。 </w:t>
      </w:r>
    </w:p>
    <w:p w14:paraId="346ECDC9">
      <w:pPr>
        <w:keepNext w:val="0"/>
        <w:keepLines w:val="0"/>
        <w:widowControl/>
        <w:suppressLineNumbers w:val="0"/>
        <w:spacing w:line="360" w:lineRule="auto"/>
        <w:jc w:val="left"/>
        <w:rPr>
          <w:rFonts w:hint="default" w:ascii="宋体" w:hAnsi="宋体" w:eastAsia="宋体" w:cs="宋体"/>
          <w:b/>
          <w:bCs/>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结算时暂估价（若有）中所列的材料（设备）数量按实际发生数量计算；承包人须提供材料（设备）的发票及购销合同，并提供详细的图纸、工程量计算式、施工图片、现场记录、转账记录等佐证作为结算依据，以实际采购单价为结算价，但不得高于本次招标工程量清单中的材料（设备）单价。 </w:t>
      </w:r>
    </w:p>
    <w:p w14:paraId="3E94AFF6">
      <w:pPr>
        <w:keepNext w:val="0"/>
        <w:keepLines w:val="0"/>
        <w:widowControl/>
        <w:suppressLineNumbers w:val="0"/>
        <w:spacing w:line="360" w:lineRule="auto"/>
        <w:ind w:firstLine="723" w:firstLineChars="300"/>
        <w:jc w:val="left"/>
        <w:rPr>
          <w:rFonts w:hint="eastAsia" w:ascii="宋体" w:hAnsi="宋体" w:eastAsia="宋体" w:cs="宋体"/>
          <w:color w:val="000000"/>
          <w:sz w:val="24"/>
          <w:szCs w:val="24"/>
          <w:highlight w:val="none"/>
        </w:rPr>
      </w:pPr>
      <w:r>
        <w:rPr>
          <w:rFonts w:hint="eastAsia" w:ascii="宋体" w:hAnsi="宋体" w:eastAsia="宋体" w:cs="宋体"/>
          <w:b/>
          <w:bCs/>
          <w:color w:val="000000"/>
          <w:kern w:val="0"/>
          <w:sz w:val="24"/>
          <w:szCs w:val="24"/>
          <w:highlight w:val="none"/>
          <w:lang w:val="en-US" w:eastAsia="zh-CN" w:bidi="ar"/>
        </w:rPr>
        <w:t xml:space="preserve">2.3.7.2 </w:t>
      </w:r>
      <w:r>
        <w:rPr>
          <w:rFonts w:hint="eastAsia" w:ascii="宋体" w:hAnsi="宋体" w:eastAsia="宋体" w:cs="宋体"/>
          <w:color w:val="000000"/>
          <w:kern w:val="0"/>
          <w:sz w:val="24"/>
          <w:szCs w:val="24"/>
          <w:highlight w:val="none"/>
          <w:lang w:val="en-US" w:eastAsia="zh-CN" w:bidi="ar"/>
        </w:rPr>
        <w:t xml:space="preserve">暂列金额由发包人掌握和使用。暂列金额项目若有发生，按第一章第三节“投标人须知正文”第 </w:t>
      </w:r>
      <w:r>
        <w:rPr>
          <w:rFonts w:hint="eastAsia" w:ascii="宋体" w:hAnsi="宋体" w:eastAsia="宋体" w:cs="宋体"/>
          <w:b/>
          <w:bCs/>
          <w:color w:val="000000"/>
          <w:kern w:val="0"/>
          <w:sz w:val="24"/>
          <w:szCs w:val="24"/>
          <w:highlight w:val="none"/>
          <w:lang w:val="en-US" w:eastAsia="zh-CN" w:bidi="ar"/>
        </w:rPr>
        <w:t xml:space="preserve">8.6 </w:t>
      </w:r>
      <w:r>
        <w:rPr>
          <w:rFonts w:hint="eastAsia" w:ascii="宋体" w:hAnsi="宋体" w:eastAsia="宋体" w:cs="宋体"/>
          <w:color w:val="000000"/>
          <w:kern w:val="0"/>
          <w:sz w:val="24"/>
          <w:szCs w:val="24"/>
          <w:highlight w:val="none"/>
          <w:lang w:val="en-US" w:eastAsia="zh-CN" w:bidi="ar"/>
        </w:rPr>
        <w:t xml:space="preserve">条的规定确定材料供应商（或工程设备供应商、服务供应商）后，材料（或工程设备、服务）的合同价款从暂列金额中支付。暂列金额扣除已发生的暂列金额项目合同价款、已发生的合同约定调整因素出现时的调整价款、已发生的索赔以及现场签证确认等的费用后，余额（若有）归发包人所有。暂列金额用于以下情形：（1）施工合同签订时尚未确定或者不可预见的所需材料、设备、服务的采购，施工中可能发生的工程变更、合同约定调整因素出现时的工程价款调整以及发生的索赔、现场签证确认等的费用。（2）国家政策性人工价差调整。（3）当合同履行期间， </w:t>
      </w:r>
    </w:p>
    <w:p w14:paraId="400FF2CA">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因人工、材料、工程设备、机械台班价格波动影响合同价款时，引起工程所在地工程造价管理机构发布的价格信息中材料、工程设备价格（仅限于钢筋、商品砼、水泥、砂、石、商品砂浆、电缆）变化超过 5%或施工机械使用费变化超过 10%时，发包人或承包人材料价格可调整 5%以外的部分、施工机械使用费可调整 10%以外的部分。（4）征拆后地表以下构筑物清运费用，预算未包含相关费用，结算时根据实际工程量在暂列金额中计算。（5）前期土方工程中的垃圾消纳处理费（若有）结算时提供签证、发票等作为依据。（6）施工合同签订时尚未确定或者不可预见的所需材料、设备、服务的采购。结算时按实际发生根据本章“3．工程付款办法”有关条款进行结算。</w:t>
      </w:r>
    </w:p>
    <w:p w14:paraId="10341222">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b/>
          <w:bCs/>
          <w:color w:val="000000"/>
          <w:kern w:val="0"/>
          <w:sz w:val="24"/>
          <w:szCs w:val="24"/>
          <w:highlight w:val="none"/>
          <w:lang w:val="en-US" w:eastAsia="zh-CN" w:bidi="ar"/>
        </w:rPr>
        <w:t xml:space="preserve">2.3.8 </w:t>
      </w:r>
      <w:r>
        <w:rPr>
          <w:rFonts w:hint="eastAsia" w:ascii="宋体" w:hAnsi="宋体" w:eastAsia="宋体" w:cs="宋体"/>
          <w:color w:val="000000"/>
          <w:kern w:val="0"/>
          <w:sz w:val="24"/>
          <w:szCs w:val="24"/>
          <w:highlight w:val="none"/>
          <w:lang w:val="en-US" w:eastAsia="zh-CN" w:bidi="ar"/>
        </w:rPr>
        <w:t xml:space="preserve">预算包干费按相关规定计算，本招标项目的预算包干费内容包括： </w:t>
      </w:r>
    </w:p>
    <w:p w14:paraId="6F8F255E">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（1）土建与装饰装修工程预算包干费按分部分项的人工费与施工机具费之和的 7%计算，施工雨水、污水的排除；因地形影响造成的场内料具二次运输；20 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米以内挖土方的塌方；日间照明施工增加费(不包括地下室和特殊工程)；完工清场后的垃圾外运等。</w:t>
      </w:r>
    </w:p>
    <w:p w14:paraId="77143DFE">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（2）市政工程预算包干费按分部分项的人工费与施工机具费之和的 6%计算，预算包干包括：施工雨(污)水的排除、因地形影响造成的场内料具二次运输、施工材料堆放场地的整理、施工中的临时停水停电、基础埋深 2m 以内挖土方的塌方、日间照明施工增加费(不包括地下室和特殊工程)、完工清场后的垃圾外运、地上(地下)设施，建筑物的临时保护设施费和二次加工基地设施费、雨季施工增加费、己完工程及设备保护等，包干的内容不再依据方案或签证计算费用。 </w:t>
      </w:r>
    </w:p>
    <w:p w14:paraId="6E31B10E">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（3）园林绿化工程预算包干费按分部分项的人工费与施工机具费之和的 6%计算，预算包干内容包括：施工雨(污)水的排除；场内料具二次运输；树穴内的泥浆清除；工程用水加压措施；施工材料堆放场地的整理；工程成品的保护；施工中的临时停水停电；日间施工照明增加费；完工后的场地清理。 </w:t>
      </w:r>
    </w:p>
    <w:p w14:paraId="74F3236D">
      <w:pPr>
        <w:keepNext w:val="0"/>
        <w:keepLines w:val="0"/>
        <w:widowControl/>
        <w:suppressLineNumbers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（4）安装工程预算包干费按分部分项的人工费与施工机具费之和的 10%计算，预算包干内容包括：施工雨(污)水的排除、因地形影响造成的场内料具二次运输、20m 高以下的工程用水加压措施、施工材料堆放场地的整理、机电安装后的补洞(槽)工料费、工程成品保护费、施工中的临时停水停电、基础埋深 2m 以内挖土方的塌方、日间照明施工增加费(不包括地下室和特殊工程)、完工清场后的垃圾外运等。对于以上预算包干内容，承包人不得提出额外付款或延长工期等要求。对此类要求，发包人不作任何考虑及答复。</w:t>
      </w:r>
    </w:p>
    <w:p w14:paraId="47F1892B">
      <w:pPr>
        <w:wordWrap w:val="0"/>
        <w:adjustRightInd w:val="0"/>
        <w:snapToGrid w:val="0"/>
        <w:spacing w:line="360" w:lineRule="auto"/>
        <w:ind w:firstLine="602" w:firstLineChars="250"/>
        <w:rPr>
          <w:rFonts w:hint="eastAsia" w:ascii="宋体" w:hAnsi="宋体" w:eastAsia="宋体" w:cs="宋体"/>
          <w:bCs/>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2.3.9</w:t>
      </w:r>
      <w:r>
        <w:rPr>
          <w:rFonts w:hint="eastAsia" w:ascii="宋体" w:hAnsi="宋体" w:eastAsia="宋体" w:cs="宋体"/>
          <w:bCs/>
          <w:snapToGrid w:val="0"/>
          <w:color w:val="000000"/>
          <w:kern w:val="0"/>
          <w:sz w:val="24"/>
          <w:szCs w:val="24"/>
          <w:highlight w:val="none"/>
        </w:rPr>
        <w:t xml:space="preserve"> 其余事项（如不可抗力、索赔、现场签证等）的调整原则按照</w:t>
      </w:r>
      <w:r>
        <w:rPr>
          <w:rFonts w:hint="eastAsia" w:ascii="宋体" w:hAnsi="宋体" w:eastAsia="宋体" w:cs="宋体"/>
          <w:bCs/>
          <w:snapToGrid w:val="0"/>
          <w:color w:val="000000"/>
          <w:kern w:val="0"/>
          <w:sz w:val="24"/>
          <w:szCs w:val="24"/>
          <w:highlight w:val="none"/>
          <w:lang w:eastAsia="zh-CN"/>
        </w:rPr>
        <w:t>《建设工程工程量清单计价标准》（GB/T50500—2024）</w:t>
      </w:r>
      <w:r>
        <w:rPr>
          <w:rFonts w:hint="eastAsia" w:ascii="宋体" w:hAnsi="宋体" w:eastAsia="宋体" w:cs="宋体"/>
          <w:bCs/>
          <w:snapToGrid w:val="0"/>
          <w:color w:val="000000"/>
          <w:kern w:val="0"/>
          <w:sz w:val="24"/>
          <w:szCs w:val="24"/>
          <w:highlight w:val="none"/>
        </w:rPr>
        <w:t>有关规定执行。</w:t>
      </w:r>
    </w:p>
    <w:p w14:paraId="6CC3D554">
      <w:pPr>
        <w:wordWrap w:val="0"/>
        <w:adjustRightInd w:val="0"/>
        <w:snapToGrid w:val="0"/>
        <w:spacing w:line="360" w:lineRule="auto"/>
        <w:ind w:firstLine="602" w:firstLineChars="250"/>
        <w:rPr>
          <w:rFonts w:hint="eastAsia" w:ascii="宋体" w:hAnsi="宋体" w:eastAsia="宋体" w:cs="宋体"/>
          <w:b/>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2.4</w:t>
      </w:r>
      <w:r>
        <w:rPr>
          <w:rFonts w:hint="eastAsia" w:ascii="宋体" w:hAnsi="宋体" w:eastAsia="宋体" w:cs="宋体"/>
          <w:snapToGrid w:val="0"/>
          <w:color w:val="000000"/>
          <w:kern w:val="0"/>
          <w:sz w:val="24"/>
          <w:szCs w:val="24"/>
          <w:highlight w:val="none"/>
        </w:rPr>
        <w:t xml:space="preserve"> 凡将引起合同价款调增的事项，承包人必须于拟实施14天前，将详细的报价书（含拟实施项目名称、变更部位、理由、预计造价等）报监理单位审核和发包人批准后方可实施。</w:t>
      </w:r>
    </w:p>
    <w:p w14:paraId="44CF7DFC">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2.5</w:t>
      </w:r>
      <w:r>
        <w:rPr>
          <w:rFonts w:hint="eastAsia" w:ascii="宋体" w:hAnsi="宋体" w:eastAsia="宋体" w:cs="宋体"/>
          <w:snapToGrid w:val="0"/>
          <w:color w:val="000000"/>
          <w:kern w:val="0"/>
          <w:sz w:val="24"/>
          <w:szCs w:val="24"/>
          <w:highlight w:val="none"/>
        </w:rPr>
        <w:t xml:space="preserve"> 承包人不得以不完全了解现场情况为理由，提出额外付款或延长工期等要求。对此类要求，发包人不作任何考虑及答复。</w:t>
      </w:r>
    </w:p>
    <w:p w14:paraId="468851E8">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2.6</w:t>
      </w:r>
      <w:r>
        <w:rPr>
          <w:rFonts w:hint="eastAsia" w:ascii="宋体" w:hAnsi="宋体" w:eastAsia="宋体" w:cs="宋体"/>
          <w:snapToGrid w:val="0"/>
          <w:color w:val="000000"/>
          <w:kern w:val="0"/>
          <w:sz w:val="24"/>
          <w:szCs w:val="24"/>
          <w:highlight w:val="none"/>
        </w:rPr>
        <w:t xml:space="preserve"> 承包人已标价工程量清单中漏报、错报或少报的清单项目，其价格均视为已经包含在其它清单项目中，竣工结算时不得重新组价和调整。</w:t>
      </w:r>
    </w:p>
    <w:p w14:paraId="0E5E161D">
      <w:pPr>
        <w:wordWrap w:val="0"/>
        <w:adjustRightInd w:val="0"/>
        <w:snapToGrid w:val="0"/>
        <w:spacing w:line="360" w:lineRule="auto"/>
        <w:ind w:firstLine="48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2.7</w:t>
      </w:r>
      <w:r>
        <w:rPr>
          <w:rFonts w:hint="eastAsia" w:ascii="宋体" w:hAnsi="宋体" w:eastAsia="宋体" w:cs="宋体"/>
          <w:snapToGrid w:val="0"/>
          <w:color w:val="000000"/>
          <w:kern w:val="0"/>
          <w:sz w:val="24"/>
          <w:szCs w:val="24"/>
          <w:highlight w:val="none"/>
        </w:rPr>
        <w:t xml:space="preserve"> 项目完工后，发、承包双方和受其委托具备相应资质的工程造价咨询单位必须按照</w:t>
      </w:r>
      <w:r>
        <w:rPr>
          <w:rFonts w:hint="eastAsia" w:ascii="宋体" w:hAnsi="宋体" w:eastAsia="宋体" w:cs="宋体"/>
          <w:snapToGrid w:val="0"/>
          <w:color w:val="000000"/>
          <w:kern w:val="0"/>
          <w:sz w:val="24"/>
          <w:szCs w:val="24"/>
          <w:highlight w:val="none"/>
          <w:lang w:eastAsia="zh-CN"/>
        </w:rPr>
        <w:t>《建设工程工程量清单计价标准》（GB/T50500—2024）</w:t>
      </w:r>
      <w:r>
        <w:rPr>
          <w:rFonts w:hint="eastAsia" w:ascii="宋体" w:hAnsi="宋体" w:eastAsia="宋体" w:cs="宋体"/>
          <w:snapToGrid w:val="0"/>
          <w:color w:val="000000"/>
          <w:kern w:val="0"/>
          <w:sz w:val="24"/>
          <w:szCs w:val="24"/>
          <w:highlight w:val="none"/>
        </w:rPr>
        <w:t>和国家、省、市的有关规定办理竣工结算。</w:t>
      </w:r>
    </w:p>
    <w:p w14:paraId="7475C8D8">
      <w:pPr>
        <w:wordWrap w:val="0"/>
        <w:adjustRightInd w:val="0"/>
        <w:snapToGrid w:val="0"/>
        <w:spacing w:line="360" w:lineRule="auto"/>
        <w:ind w:firstLine="56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2.8</w:t>
      </w:r>
      <w:r>
        <w:rPr>
          <w:rFonts w:hint="eastAsia" w:ascii="宋体" w:hAnsi="宋体" w:eastAsia="宋体" w:cs="宋体"/>
          <w:snapToGrid w:val="0"/>
          <w:color w:val="000000"/>
          <w:kern w:val="0"/>
          <w:sz w:val="24"/>
          <w:szCs w:val="24"/>
          <w:highlight w:val="none"/>
        </w:rPr>
        <w:t xml:space="preserve"> 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求承包人立即进行更换。更换后的材料（或工程设备）应再次进行检查和检验。由此增加的费用和（或）工期延误由承包人承担。</w:t>
      </w:r>
    </w:p>
    <w:p w14:paraId="5F863F0C">
      <w:pPr>
        <w:pStyle w:val="8"/>
        <w:spacing w:before="155" w:line="360" w:lineRule="auto"/>
        <w:ind w:left="1" w:right="80" w:firstLine="473"/>
        <w:rPr>
          <w:rFonts w:hint="eastAsia" w:ascii="宋体" w:hAnsi="宋体" w:eastAsia="宋体" w:cs="宋体"/>
          <w:spacing w:val="-1"/>
          <w:sz w:val="24"/>
          <w:szCs w:val="24"/>
          <w:highlight w:val="none"/>
          <w:u w:val="single"/>
        </w:rPr>
      </w:pPr>
      <w:r>
        <w:rPr>
          <w:rFonts w:hint="eastAsia" w:ascii="宋体" w:hAnsi="宋体" w:eastAsia="宋体" w:cs="宋体"/>
          <w:b/>
          <w:bCs/>
          <w:snapToGrid w:val="0"/>
          <w:color w:val="000000"/>
          <w:kern w:val="0"/>
          <w:sz w:val="24"/>
          <w:szCs w:val="24"/>
          <w:highlight w:val="none"/>
        </w:rPr>
        <w:t xml:space="preserve">2.9 </w:t>
      </w:r>
      <w:r>
        <w:rPr>
          <w:rFonts w:hint="eastAsia" w:ascii="宋体" w:hAnsi="宋体" w:eastAsia="宋体" w:cs="宋体"/>
          <w:snapToGrid w:val="0"/>
          <w:color w:val="000000"/>
          <w:kern w:val="0"/>
          <w:sz w:val="24"/>
          <w:szCs w:val="24"/>
          <w:highlight w:val="none"/>
        </w:rPr>
        <w:t>暂估价的结算原则：</w:t>
      </w:r>
      <w:r>
        <w:rPr>
          <w:rFonts w:hint="eastAsia" w:ascii="宋体" w:hAnsi="宋体" w:eastAsia="宋体" w:cs="宋体"/>
          <w:spacing w:val="-1"/>
          <w:sz w:val="24"/>
          <w:szCs w:val="24"/>
          <w:highlight w:val="none"/>
          <w:u w:val="single"/>
        </w:rPr>
        <w:t>暂列金额</w:t>
      </w:r>
      <w:r>
        <w:rPr>
          <w:rFonts w:hint="eastAsia" w:ascii="宋体" w:hAnsi="宋体" w:eastAsia="宋体" w:cs="宋体"/>
          <w:spacing w:val="-1"/>
          <w:sz w:val="24"/>
          <w:szCs w:val="24"/>
          <w:highlight w:val="none"/>
          <w:u w:val="single"/>
          <w:lang w:val="en-US" w:eastAsia="zh-CN"/>
        </w:rPr>
        <w:t>的计算方式</w:t>
      </w:r>
      <w:r>
        <w:rPr>
          <w:rFonts w:hint="eastAsia" w:ascii="宋体" w:hAnsi="宋体" w:eastAsia="宋体" w:cs="宋体"/>
          <w:spacing w:val="-1"/>
          <w:sz w:val="24"/>
          <w:szCs w:val="24"/>
          <w:highlight w:val="none"/>
          <w:u w:val="single"/>
        </w:rPr>
        <w:t>按实际发生在结算审核完成后支付</w:t>
      </w:r>
      <w:r>
        <w:rPr>
          <w:rFonts w:hint="eastAsia" w:ascii="宋体" w:hAnsi="宋体" w:eastAsia="宋体" w:cs="宋体"/>
          <w:spacing w:val="-1"/>
          <w:sz w:val="24"/>
          <w:szCs w:val="24"/>
          <w:highlight w:val="none"/>
          <w:u w:val="single"/>
          <w:lang w:eastAsia="zh-CN"/>
        </w:rPr>
        <w:t>，</w:t>
      </w:r>
      <w:r>
        <w:rPr>
          <w:rFonts w:hint="eastAsia" w:ascii="宋体" w:hAnsi="宋体" w:eastAsia="宋体" w:cs="宋体"/>
          <w:spacing w:val="-1"/>
          <w:sz w:val="24"/>
          <w:szCs w:val="24"/>
          <w:highlight w:val="none"/>
          <w:u w:val="single"/>
          <w:lang w:val="en-US" w:eastAsia="zh-CN"/>
        </w:rPr>
        <w:t>原则上不得超过分部分项合计*10%</w:t>
      </w:r>
      <w:r>
        <w:rPr>
          <w:rFonts w:hint="eastAsia" w:ascii="宋体" w:hAnsi="宋体" w:eastAsia="宋体" w:cs="宋体"/>
          <w:spacing w:val="-1"/>
          <w:sz w:val="24"/>
          <w:szCs w:val="24"/>
          <w:highlight w:val="none"/>
          <w:u w:val="single"/>
        </w:rPr>
        <w:t>。</w:t>
      </w:r>
    </w:p>
    <w:p w14:paraId="75A58006">
      <w:pPr>
        <w:wordWrap w:val="0"/>
        <w:adjustRightInd w:val="0"/>
        <w:snapToGrid w:val="0"/>
        <w:spacing w:line="360" w:lineRule="auto"/>
        <w:ind w:firstLine="560"/>
        <w:rPr>
          <w:rFonts w:hint="eastAsia" w:ascii="宋体" w:hAnsi="宋体" w:eastAsia="宋体" w:cs="宋体"/>
          <w:b/>
          <w:bCs/>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本工程暂估价为招标人在工程量清单中提供的用于支付必然发生但暂时不能确定价格的材料、工程设备的单价以及专业工程的金额。材料暂估价结算时提供购买发票、转账凭证、合同等佐证依据，其结算原则按本章“2.工程结算原则”有关条款进行结算。各部分暂估价的结算价不得超过暂估价。</w:t>
      </w:r>
    </w:p>
    <w:p w14:paraId="4F6DAB01">
      <w:pPr>
        <w:wordWrap w:val="0"/>
        <w:adjustRightInd w:val="0"/>
        <w:snapToGrid w:val="0"/>
        <w:spacing w:line="360" w:lineRule="auto"/>
        <w:ind w:firstLine="56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 xml:space="preserve">2.10 </w:t>
      </w:r>
      <w:r>
        <w:rPr>
          <w:rFonts w:hint="eastAsia" w:ascii="宋体" w:hAnsi="宋体" w:eastAsia="宋体" w:cs="宋体"/>
          <w:snapToGrid w:val="0"/>
          <w:color w:val="000000"/>
          <w:kern w:val="0"/>
          <w:sz w:val="24"/>
          <w:szCs w:val="24"/>
          <w:highlight w:val="none"/>
        </w:rPr>
        <w:t>暂列金额的结算原则：暂列金额由发包人掌握使用，工程合同履行期间，由于发包人的要求（注：必须要有发包人的书面通知）导致发生设计变更或合同约定调整因素出现时的工程价款调整以及发生的索赔、现场签证等，其工程量按实调整，其造价调整按本章“2工程结算原则”有关条款进行调整。暂列金额如有余额归发包人。</w:t>
      </w:r>
    </w:p>
    <w:p w14:paraId="6E947341">
      <w:pPr>
        <w:wordWrap w:val="0"/>
        <w:adjustRightInd w:val="0"/>
        <w:snapToGrid w:val="0"/>
        <w:spacing w:line="360" w:lineRule="auto"/>
        <w:ind w:firstLine="560"/>
        <w:rPr>
          <w:rFonts w:hint="eastAsia" w:ascii="宋体" w:hAnsi="宋体" w:eastAsia="宋体" w:cs="宋体"/>
          <w:snapToGrid w:val="0"/>
          <w:color w:val="000000"/>
          <w:kern w:val="0"/>
          <w:sz w:val="24"/>
          <w:szCs w:val="24"/>
          <w:highlight w:val="none"/>
        </w:rPr>
      </w:pPr>
      <w:bookmarkStart w:id="166" w:name="_Toc8343"/>
      <w:r>
        <w:rPr>
          <w:rFonts w:hint="eastAsia" w:ascii="宋体" w:hAnsi="宋体" w:eastAsia="宋体" w:cs="宋体"/>
          <w:b/>
          <w:bCs/>
          <w:snapToGrid w:val="0"/>
          <w:color w:val="000000"/>
          <w:kern w:val="0"/>
          <w:sz w:val="24"/>
          <w:szCs w:val="24"/>
          <w:highlight w:val="none"/>
        </w:rPr>
        <w:t>2.11</w:t>
      </w:r>
      <w:r>
        <w:rPr>
          <w:rFonts w:hint="eastAsia" w:ascii="宋体" w:hAnsi="宋体" w:eastAsia="宋体" w:cs="宋体"/>
          <w:snapToGrid w:val="0"/>
          <w:color w:val="000000"/>
          <w:kern w:val="0"/>
          <w:sz w:val="24"/>
          <w:szCs w:val="24"/>
          <w:highlight w:val="none"/>
        </w:rPr>
        <w:t>结算总价在</w:t>
      </w:r>
      <w:r>
        <w:rPr>
          <w:rFonts w:hint="eastAsia" w:ascii="宋体" w:hAnsi="宋体" w:eastAsia="宋体" w:cs="宋体"/>
          <w:snapToGrid w:val="0"/>
          <w:color w:val="000000"/>
          <w:kern w:val="0"/>
          <w:sz w:val="24"/>
          <w:szCs w:val="24"/>
          <w:highlight w:val="none"/>
          <w:lang w:eastAsia="zh-CN"/>
        </w:rPr>
        <w:t>最高投标限价</w:t>
      </w:r>
      <w:r>
        <w:rPr>
          <w:rFonts w:hint="eastAsia" w:ascii="宋体" w:hAnsi="宋体" w:eastAsia="宋体" w:cs="宋体"/>
          <w:snapToGrid w:val="0"/>
          <w:color w:val="000000"/>
          <w:kern w:val="0"/>
          <w:sz w:val="24"/>
          <w:szCs w:val="24"/>
          <w:highlight w:val="none"/>
        </w:rPr>
        <w:t>范围内按实结算，结算总价不得超过本次招标的</w:t>
      </w:r>
      <w:r>
        <w:rPr>
          <w:rFonts w:hint="eastAsia" w:ascii="宋体" w:hAnsi="宋体" w:eastAsia="宋体" w:cs="宋体"/>
          <w:snapToGrid w:val="0"/>
          <w:color w:val="000000"/>
          <w:kern w:val="0"/>
          <w:sz w:val="24"/>
          <w:szCs w:val="24"/>
          <w:highlight w:val="none"/>
          <w:lang w:eastAsia="zh-CN"/>
        </w:rPr>
        <w:t>最高投标限价</w:t>
      </w:r>
      <w:r>
        <w:rPr>
          <w:rFonts w:hint="eastAsia" w:ascii="宋体" w:hAnsi="宋体" w:eastAsia="宋体" w:cs="宋体"/>
          <w:snapToGrid w:val="0"/>
          <w:color w:val="000000"/>
          <w:kern w:val="0"/>
          <w:sz w:val="24"/>
          <w:szCs w:val="24"/>
          <w:highlight w:val="none"/>
        </w:rPr>
        <w:t>。项目实施过程中涉及工程造价控制、计量、价差调整等事项，最终以</w:t>
      </w:r>
      <w:r>
        <w:rPr>
          <w:rFonts w:hint="eastAsia" w:ascii="宋体" w:hAnsi="宋体" w:eastAsia="宋体" w:cs="宋体"/>
          <w:snapToGrid w:val="0"/>
          <w:color w:val="000000"/>
          <w:kern w:val="0"/>
          <w:sz w:val="24"/>
          <w:szCs w:val="24"/>
          <w:highlight w:val="none"/>
          <w:lang w:val="en-US" w:eastAsia="zh-CN"/>
        </w:rPr>
        <w:t>区</w:t>
      </w:r>
      <w:r>
        <w:rPr>
          <w:rFonts w:hint="eastAsia" w:ascii="宋体" w:hAnsi="宋体" w:eastAsia="宋体" w:cs="宋体"/>
          <w:snapToGrid w:val="0"/>
          <w:color w:val="000000"/>
          <w:kern w:val="0"/>
          <w:sz w:val="24"/>
          <w:szCs w:val="24"/>
          <w:highlight w:val="none"/>
        </w:rPr>
        <w:t>财政投资评审中心的审核意见为准。</w:t>
      </w:r>
      <w:bookmarkEnd w:id="166"/>
    </w:p>
    <w:p w14:paraId="78B551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2.12 计日工结算原则</w:t>
      </w:r>
    </w:p>
    <w:p w14:paraId="6A91AB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本项目</w:t>
      </w:r>
      <w:r>
        <w:rPr>
          <w:rFonts w:hint="eastAsia" w:ascii="宋体" w:hAnsi="宋体" w:eastAsia="宋体" w:cs="宋体"/>
          <w:b w:val="0"/>
          <w:bCs/>
          <w:snapToGrid w:val="0"/>
          <w:color w:val="auto"/>
          <w:kern w:val="0"/>
          <w:sz w:val="24"/>
          <w:szCs w:val="24"/>
          <w:highlight w:val="none"/>
          <w:lang w:val="en-US" w:eastAsia="zh-CN"/>
        </w:rPr>
        <w:t>无计日工。</w:t>
      </w:r>
    </w:p>
    <w:p w14:paraId="04E6E3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2.12.</w:t>
      </w:r>
      <w:r>
        <w:rPr>
          <w:rFonts w:hint="default" w:ascii="宋体" w:hAnsi="宋体" w:eastAsia="宋体" w:cs="宋体"/>
          <w:b w:val="0"/>
          <w:bCs/>
          <w:snapToGrid w:val="0"/>
          <w:color w:val="auto"/>
          <w:kern w:val="0"/>
          <w:sz w:val="24"/>
          <w:szCs w:val="24"/>
          <w:highlight w:val="none"/>
          <w:lang w:val="en-US" w:eastAsia="zh-CN"/>
        </w:rPr>
        <w:t>1</w:t>
      </w:r>
      <w:r>
        <w:rPr>
          <w:rFonts w:hint="eastAsia" w:ascii="宋体" w:hAnsi="宋体" w:eastAsia="宋体" w:cs="宋体"/>
          <w:b w:val="0"/>
          <w:bCs/>
          <w:snapToGrid w:val="0"/>
          <w:color w:val="auto"/>
          <w:kern w:val="0"/>
          <w:sz w:val="24"/>
          <w:szCs w:val="24"/>
          <w:highlight w:val="none"/>
          <w:lang w:val="en-US" w:eastAsia="zh-CN"/>
        </w:rPr>
        <w:t xml:space="preserve"> </w:t>
      </w:r>
      <w:r>
        <w:rPr>
          <w:rFonts w:hint="default" w:ascii="宋体" w:hAnsi="宋体" w:eastAsia="宋体" w:cs="宋体"/>
          <w:b w:val="0"/>
          <w:bCs/>
          <w:snapToGrid w:val="0"/>
          <w:color w:val="auto"/>
          <w:kern w:val="0"/>
          <w:sz w:val="24"/>
          <w:szCs w:val="24"/>
          <w:highlight w:val="none"/>
          <w:lang w:val="en-US" w:eastAsia="zh-CN"/>
        </w:rPr>
        <w:t>计日工适用条件</w:t>
      </w:r>
    </w:p>
    <w:p w14:paraId="2EFE6D1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除合同另有约定外，仅在发生合同范围外的零星工作、应急处理、发包人或监理人书面指令的临时用工、用料、用机，且无法按工程量清单子目计价时，方可采用计日工计价。</w:t>
      </w:r>
    </w:p>
    <w:p w14:paraId="455C05A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未经发包人或监理人书面指令实施的工作，一律不按计日工结算。</w:t>
      </w:r>
    </w:p>
    <w:p w14:paraId="4E0180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2.12.</w:t>
      </w:r>
      <w:r>
        <w:rPr>
          <w:rFonts w:hint="default" w:ascii="宋体" w:hAnsi="宋体" w:eastAsia="宋体" w:cs="宋体"/>
          <w:b w:val="0"/>
          <w:bCs/>
          <w:snapToGrid w:val="0"/>
          <w:color w:val="auto"/>
          <w:kern w:val="0"/>
          <w:sz w:val="24"/>
          <w:szCs w:val="24"/>
          <w:highlight w:val="none"/>
          <w:lang w:val="en-US" w:eastAsia="zh-CN"/>
        </w:rPr>
        <w:t>2.计日工单价确定</w:t>
      </w:r>
    </w:p>
    <w:p w14:paraId="509086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（1）计日工单价以投标文件已标价工程量清单中的计日工单价为准，单价为综合单价，包含人工费、材料费、施工机具使用费、管理费、利润、风险费用等全部费用，除增值税外不再另行计取其他费用。</w:t>
      </w:r>
    </w:p>
    <w:p w14:paraId="3D4D0A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（2）清单中无对应计日工单价的，由承包人根据市场价格水平提出报价，经发包人审核确认后执行；协商不一致的，按合同变更估价原则处理。</w:t>
      </w:r>
    </w:p>
    <w:p w14:paraId="344DEE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（3）除合同约定的价格调整情形外，计日工单价不作调整。</w:t>
      </w:r>
    </w:p>
    <w:p w14:paraId="590AC7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2.12.3 </w:t>
      </w:r>
      <w:r>
        <w:rPr>
          <w:rFonts w:hint="default" w:ascii="宋体" w:hAnsi="宋体" w:eastAsia="宋体" w:cs="宋体"/>
          <w:b w:val="0"/>
          <w:bCs/>
          <w:snapToGrid w:val="0"/>
          <w:color w:val="auto"/>
          <w:kern w:val="0"/>
          <w:sz w:val="24"/>
          <w:szCs w:val="24"/>
          <w:highlight w:val="none"/>
          <w:lang w:val="en-US" w:eastAsia="zh-CN"/>
        </w:rPr>
        <w:t>现场计量与签证</w:t>
      </w:r>
    </w:p>
    <w:p w14:paraId="4580DA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（1）承包人应逐日记录计日工的人工工种及工日数、材料名称及消耗量、机械型号及台班数量，同步留存现场影像、领料、派工等资料。</w:t>
      </w:r>
    </w:p>
    <w:p w14:paraId="272F4A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（2）承包人应在每项计日工工作完成后24 小时内提交现场签证资料，经监理人核实、发包人确认后作为结算依据。</w:t>
      </w:r>
    </w:p>
    <w:p w14:paraId="6CB5888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（3）发包人、监理人逾期未审核且未提出异议的，视为认可承包人报送的计量数量；资料不全、逾期未报的，发包人有权不予计量。</w:t>
      </w:r>
    </w:p>
    <w:p w14:paraId="1F03C5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2.12.</w:t>
      </w:r>
      <w:r>
        <w:rPr>
          <w:rFonts w:hint="default" w:ascii="宋体" w:hAnsi="宋体" w:eastAsia="宋体" w:cs="宋体"/>
          <w:b w:val="0"/>
          <w:bCs/>
          <w:snapToGrid w:val="0"/>
          <w:color w:val="auto"/>
          <w:kern w:val="0"/>
          <w:sz w:val="24"/>
          <w:szCs w:val="24"/>
          <w:highlight w:val="none"/>
          <w:lang w:val="en-US" w:eastAsia="zh-CN"/>
        </w:rPr>
        <w:t>4 结算与支付</w:t>
      </w:r>
    </w:p>
    <w:p w14:paraId="4C45645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（1）计日工结算价款 = ∑（确认人工工日数量 × 人工单价）+ ∑（确认材料数量 × 材料单价）+ ∑（确认机械台班数量 × 机械台班单价）</w:t>
      </w:r>
    </w:p>
    <w:p w14:paraId="77A107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（2）增值税按国家现行税率另行计算，并入相应工程价款支付。</w:t>
      </w:r>
    </w:p>
    <w:p w14:paraId="07C5BD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（3）经确认的当期计日工费用，随工程进度款同期支付；竣工结算时，按全部有效签证文件汇总计入竣工结算总价。</w:t>
      </w:r>
    </w:p>
    <w:p w14:paraId="6888C8F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2.12.5</w:t>
      </w:r>
      <w:r>
        <w:rPr>
          <w:rFonts w:hint="default" w:ascii="宋体" w:hAnsi="宋体" w:eastAsia="宋体" w:cs="宋体"/>
          <w:b w:val="0"/>
          <w:bCs/>
          <w:snapToGrid w:val="0"/>
          <w:color w:val="auto"/>
          <w:kern w:val="0"/>
          <w:sz w:val="24"/>
          <w:szCs w:val="24"/>
          <w:highlight w:val="none"/>
          <w:lang w:val="en-US" w:eastAsia="zh-CN"/>
        </w:rPr>
        <w:t xml:space="preserve"> 其他约定</w:t>
      </w:r>
    </w:p>
    <w:p w14:paraId="62F1C4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（1）超出指令范围、擅自施工、重复计量及无有效签证的计日工工作量，发包人不予计量和支付。</w:t>
      </w:r>
    </w:p>
    <w:p w14:paraId="4617BF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rPr>
        <w:t>（2）计日工相关计量、计价争议，按本合同争议解决条款执行。</w:t>
      </w:r>
    </w:p>
    <w:p w14:paraId="6FABE39C">
      <w:pPr>
        <w:pStyle w:val="4"/>
        <w:wordWrap w:val="0"/>
        <w:autoSpaceDE/>
        <w:autoSpaceDN/>
        <w:snapToGrid w:val="0"/>
        <w:spacing w:before="120" w:beforeLines="50" w:line="360" w:lineRule="auto"/>
        <w:jc w:val="both"/>
        <w:rPr>
          <w:rFonts w:hint="eastAsia" w:ascii="宋体" w:hAnsi="宋体" w:eastAsia="宋体" w:cs="宋体"/>
          <w:b/>
          <w:snapToGrid w:val="0"/>
          <w:color w:val="000000"/>
          <w:sz w:val="24"/>
          <w:szCs w:val="24"/>
          <w:highlight w:val="none"/>
        </w:rPr>
      </w:pPr>
      <w:bookmarkStart w:id="167" w:name="_Toc10161"/>
      <w:bookmarkStart w:id="168" w:name="_Toc231"/>
      <w:bookmarkStart w:id="169" w:name="_Toc11883"/>
      <w:bookmarkStart w:id="170" w:name="_Toc7634"/>
      <w:r>
        <w:rPr>
          <w:rFonts w:hint="eastAsia" w:ascii="宋体" w:hAnsi="宋体" w:eastAsia="宋体" w:cs="宋体"/>
          <w:b/>
          <w:snapToGrid w:val="0"/>
          <w:color w:val="000000"/>
          <w:sz w:val="24"/>
          <w:szCs w:val="24"/>
          <w:highlight w:val="none"/>
        </w:rPr>
        <w:t>3．工程付款办法</w:t>
      </w:r>
      <w:bookmarkEnd w:id="167"/>
      <w:bookmarkEnd w:id="168"/>
      <w:bookmarkEnd w:id="169"/>
      <w:bookmarkEnd w:id="170"/>
    </w:p>
    <w:p w14:paraId="75FED63A">
      <w:pPr>
        <w:wordWrap w:val="0"/>
        <w:adjustRightInd w:val="0"/>
        <w:snapToGrid w:val="0"/>
        <w:spacing w:line="360" w:lineRule="auto"/>
        <w:ind w:firstLine="56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lang w:bidi="ar"/>
        </w:rPr>
        <w:t>3.1</w:t>
      </w:r>
      <w:r>
        <w:rPr>
          <w:rFonts w:hint="eastAsia" w:ascii="宋体" w:hAnsi="宋体" w:eastAsia="宋体" w:cs="宋体"/>
          <w:color w:val="000000"/>
          <w:kern w:val="0"/>
          <w:sz w:val="24"/>
          <w:szCs w:val="24"/>
          <w:highlight w:val="none"/>
          <w:lang w:bidi="ar"/>
        </w:rPr>
        <w:t xml:space="preserve"> 本招标项目</w:t>
      </w:r>
      <w:r>
        <w:rPr>
          <w:rFonts w:hint="eastAsia" w:ascii="宋体" w:hAnsi="宋体" w:eastAsia="宋体" w:cs="宋体"/>
          <w:color w:val="000000"/>
          <w:kern w:val="0"/>
          <w:sz w:val="24"/>
          <w:szCs w:val="24"/>
          <w:highlight w:val="none"/>
          <w:u w:val="single"/>
          <w:lang w:bidi="ar"/>
        </w:rPr>
        <w:t xml:space="preserve"> 支付 </w:t>
      </w:r>
      <w:r>
        <w:rPr>
          <w:rFonts w:hint="eastAsia" w:ascii="宋体" w:hAnsi="宋体" w:eastAsia="宋体" w:cs="宋体"/>
          <w:color w:val="000000"/>
          <w:kern w:val="0"/>
          <w:sz w:val="24"/>
          <w:szCs w:val="24"/>
          <w:highlight w:val="none"/>
          <w:lang w:bidi="ar"/>
        </w:rPr>
        <w:t>施工预付款。</w:t>
      </w:r>
    </w:p>
    <w:p w14:paraId="1BF6A783">
      <w:pPr>
        <w:wordWrap w:val="0"/>
        <w:adjustRightInd w:val="0"/>
        <w:snapToGrid w:val="0"/>
        <w:spacing w:line="360" w:lineRule="auto"/>
        <w:ind w:firstLine="482" w:firstLineChars="200"/>
        <w:rPr>
          <w:rFonts w:hint="eastAsia" w:ascii="宋体" w:hAnsi="宋体" w:eastAsia="宋体" w:cs="宋体"/>
          <w:color w:val="000000"/>
          <w:kern w:val="0"/>
          <w:sz w:val="24"/>
          <w:szCs w:val="24"/>
          <w:highlight w:val="none"/>
        </w:rPr>
      </w:pPr>
      <w:r>
        <w:rPr>
          <w:rFonts w:hint="eastAsia" w:ascii="宋体" w:hAnsi="宋体" w:eastAsia="宋体" w:cs="宋体"/>
          <w:b/>
          <w:bCs/>
          <w:color w:val="000000"/>
          <w:kern w:val="0"/>
          <w:sz w:val="24"/>
          <w:szCs w:val="24"/>
          <w:highlight w:val="none"/>
          <w:lang w:bidi="ar"/>
        </w:rPr>
        <w:t>3.2</w:t>
      </w:r>
      <w:r>
        <w:rPr>
          <w:rFonts w:hint="eastAsia" w:ascii="宋体" w:hAnsi="宋体" w:eastAsia="宋体" w:cs="宋体"/>
          <w:color w:val="000000"/>
          <w:kern w:val="0"/>
          <w:sz w:val="24"/>
          <w:szCs w:val="24"/>
          <w:highlight w:val="none"/>
          <w:lang w:bidi="ar"/>
        </w:rPr>
        <w:t xml:space="preserve"> 施工预付款必须专用于合同工程，并按以下原则支付和抵扣：</w:t>
      </w:r>
    </w:p>
    <w:p w14:paraId="37942612">
      <w:pPr>
        <w:wordWrap w:val="0"/>
        <w:adjustRightInd w:val="0"/>
        <w:snapToGrid w:val="0"/>
        <w:spacing w:line="360" w:lineRule="auto"/>
        <w:ind w:firstLine="482" w:firstLineChars="200"/>
        <w:rPr>
          <w:rFonts w:ascii="Times New Roman"/>
          <w:snapToGrid w:val="0"/>
          <w:color w:val="auto"/>
          <w:kern w:val="0"/>
          <w:highlight w:val="none"/>
        </w:rPr>
      </w:pPr>
      <w:r>
        <w:rPr>
          <w:rFonts w:hint="eastAsia" w:ascii="宋体" w:hAnsi="宋体" w:eastAsia="宋体" w:cs="宋体"/>
          <w:b/>
          <w:bCs/>
          <w:color w:val="000000"/>
          <w:kern w:val="0"/>
          <w:sz w:val="24"/>
          <w:szCs w:val="24"/>
          <w:highlight w:val="none"/>
          <w:lang w:bidi="ar"/>
        </w:rPr>
        <w:t>3.2.1</w:t>
      </w:r>
      <w:r>
        <w:rPr>
          <w:rFonts w:hint="eastAsia" w:ascii="宋体" w:hAnsi="宋体" w:eastAsia="宋体" w:cs="宋体"/>
          <w:color w:val="000000"/>
          <w:kern w:val="0"/>
          <w:sz w:val="24"/>
          <w:szCs w:val="24"/>
          <w:highlight w:val="none"/>
          <w:lang w:bidi="ar"/>
        </w:rPr>
        <w:t xml:space="preserve"> 施工预付款支付比例为：按施工合同价</w:t>
      </w:r>
      <w:r>
        <w:rPr>
          <w:rFonts w:hint="eastAsia" w:ascii="宋体" w:hAnsi="宋体" w:eastAsia="宋体" w:cs="宋体"/>
          <w:color w:val="000000"/>
          <w:kern w:val="0"/>
          <w:sz w:val="24"/>
          <w:szCs w:val="24"/>
          <w:highlight w:val="none"/>
          <w:lang w:eastAsia="zh-CN" w:bidi="ar"/>
        </w:rPr>
        <w:t>（暂列金</w:t>
      </w:r>
      <w:r>
        <w:rPr>
          <w:rFonts w:hint="eastAsia" w:ascii="宋体" w:hAnsi="宋体" w:eastAsia="宋体" w:cs="宋体"/>
          <w:color w:val="000000"/>
          <w:kern w:val="0"/>
          <w:sz w:val="24"/>
          <w:szCs w:val="24"/>
          <w:highlight w:val="none"/>
          <w:lang w:val="en-US" w:eastAsia="zh-CN" w:bidi="ar"/>
        </w:rPr>
        <w:t>额、专业工程暂估价、安全生产措施费除外）</w:t>
      </w:r>
      <w:r>
        <w:rPr>
          <w:rFonts w:hint="eastAsia" w:ascii="宋体" w:hAnsi="宋体" w:eastAsia="宋体" w:cs="宋体"/>
          <w:color w:val="000000"/>
          <w:kern w:val="0"/>
          <w:sz w:val="24"/>
          <w:szCs w:val="24"/>
          <w:highlight w:val="none"/>
          <w:lang w:bidi="ar"/>
        </w:rPr>
        <w:t>的</w:t>
      </w:r>
      <w:r>
        <w:rPr>
          <w:rFonts w:hint="eastAsia" w:ascii="宋体" w:hAnsi="宋体" w:eastAsia="宋体" w:cs="宋体"/>
          <w:color w:val="000000"/>
          <w:kern w:val="0"/>
          <w:sz w:val="24"/>
          <w:szCs w:val="24"/>
          <w:highlight w:val="none"/>
          <w:u w:val="single"/>
          <w:lang w:bidi="ar"/>
        </w:rPr>
        <w:t xml:space="preserve"> </w:t>
      </w:r>
      <w:r>
        <w:rPr>
          <w:rFonts w:hint="eastAsia" w:ascii="宋体" w:hAnsi="宋体" w:eastAsia="宋体" w:cs="宋体"/>
          <w:color w:val="000000"/>
          <w:kern w:val="0"/>
          <w:sz w:val="24"/>
          <w:szCs w:val="24"/>
          <w:highlight w:val="none"/>
          <w:u w:val="single"/>
          <w:lang w:val="en-US" w:eastAsia="zh-CN" w:bidi="ar"/>
        </w:rPr>
        <w:t>3</w:t>
      </w:r>
      <w:r>
        <w:rPr>
          <w:rFonts w:hint="eastAsia" w:ascii="宋体" w:hAnsi="宋体" w:eastAsia="宋体" w:cs="宋体"/>
          <w:color w:val="000000"/>
          <w:kern w:val="0"/>
          <w:sz w:val="24"/>
          <w:szCs w:val="24"/>
          <w:highlight w:val="none"/>
          <w:u w:val="single"/>
          <w:lang w:bidi="ar"/>
        </w:rPr>
        <w:t xml:space="preserve">0% </w:t>
      </w:r>
      <w:r>
        <w:rPr>
          <w:rFonts w:hint="eastAsia" w:ascii="宋体" w:hAnsi="宋体" w:eastAsia="宋体" w:cs="宋体"/>
          <w:color w:val="000000"/>
          <w:kern w:val="0"/>
          <w:sz w:val="24"/>
          <w:szCs w:val="24"/>
          <w:highlight w:val="none"/>
          <w:lang w:bidi="ar"/>
        </w:rPr>
        <w:t>支付</w:t>
      </w:r>
      <w:r>
        <w:rPr>
          <w:rFonts w:hint="eastAsia" w:ascii="宋体" w:hAnsi="宋体" w:eastAsia="宋体" w:cs="宋体"/>
          <w:color w:val="000000"/>
          <w:kern w:val="0"/>
          <w:sz w:val="24"/>
          <w:szCs w:val="24"/>
          <w:highlight w:val="none"/>
          <w:lang w:eastAsia="zh-CN" w:bidi="ar"/>
        </w:rPr>
        <w:t>，</w:t>
      </w:r>
      <w:r>
        <w:rPr>
          <w:rFonts w:hint="eastAsia" w:ascii="宋体" w:hAnsi="宋体" w:eastAsia="宋体" w:cs="宋体"/>
          <w:color w:val="000000"/>
          <w:kern w:val="0"/>
          <w:sz w:val="24"/>
          <w:szCs w:val="24"/>
          <w:highlight w:val="none"/>
          <w:lang w:val="en-US" w:eastAsia="zh-CN" w:bidi="ar"/>
        </w:rPr>
        <w:t>施工预付款中包含工人工资预付款，其中工人工资预付款比例为施工预付款的30%。</w:t>
      </w:r>
    </w:p>
    <w:p w14:paraId="0B2CBAE2">
      <w:pPr>
        <w:wordWrap w:val="0"/>
        <w:adjustRightInd w:val="0"/>
        <w:snapToGrid w:val="0"/>
        <w:spacing w:line="360" w:lineRule="auto"/>
        <w:ind w:firstLine="482" w:firstLineChars="200"/>
        <w:rPr>
          <w:rFonts w:hint="eastAsia" w:ascii="宋体" w:hAnsi="宋体" w:eastAsia="宋体" w:cs="宋体"/>
          <w:color w:val="000000"/>
          <w:kern w:val="0"/>
          <w:sz w:val="24"/>
          <w:szCs w:val="24"/>
          <w:highlight w:val="none"/>
          <w:lang w:bidi="ar"/>
        </w:rPr>
      </w:pPr>
      <w:r>
        <w:rPr>
          <w:rFonts w:hint="eastAsia" w:ascii="宋体" w:hAnsi="宋体" w:eastAsia="宋体" w:cs="宋体"/>
          <w:b/>
          <w:bCs/>
          <w:color w:val="000000"/>
          <w:kern w:val="0"/>
          <w:sz w:val="24"/>
          <w:szCs w:val="24"/>
          <w:highlight w:val="none"/>
          <w:lang w:bidi="ar"/>
        </w:rPr>
        <w:t>3.2.2</w:t>
      </w:r>
      <w:r>
        <w:rPr>
          <w:rFonts w:hint="eastAsia" w:ascii="宋体" w:hAnsi="宋体" w:eastAsia="宋体" w:cs="宋体"/>
          <w:color w:val="000000"/>
          <w:kern w:val="0"/>
          <w:sz w:val="24"/>
          <w:szCs w:val="24"/>
          <w:highlight w:val="none"/>
          <w:lang w:bidi="ar"/>
        </w:rPr>
        <w:t xml:space="preserve"> 本招标项目</w:t>
      </w:r>
      <w:r>
        <w:rPr>
          <w:rFonts w:hint="eastAsia" w:ascii="宋体" w:hAnsi="宋体" w:eastAsia="宋体" w:cs="宋体"/>
          <w:color w:val="000000"/>
          <w:kern w:val="0"/>
          <w:sz w:val="24"/>
          <w:szCs w:val="24"/>
          <w:highlight w:val="none"/>
          <w:u w:val="single"/>
          <w:lang w:bidi="ar"/>
        </w:rPr>
        <w:t xml:space="preserve"> 要求 </w:t>
      </w:r>
      <w:r>
        <w:rPr>
          <w:rFonts w:hint="eastAsia" w:ascii="宋体" w:hAnsi="宋体" w:eastAsia="宋体" w:cs="宋体"/>
          <w:color w:val="000000"/>
          <w:kern w:val="0"/>
          <w:sz w:val="24"/>
          <w:szCs w:val="24"/>
          <w:highlight w:val="none"/>
          <w:lang w:bidi="ar"/>
        </w:rPr>
        <w:t>承包人提供与预付款等额的预付款保函。</w:t>
      </w:r>
    </w:p>
    <w:p w14:paraId="18BB7DCF">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color w:val="000000"/>
          <w:kern w:val="0"/>
          <w:sz w:val="24"/>
          <w:szCs w:val="24"/>
          <w:highlight w:val="none"/>
          <w:lang w:bidi="ar"/>
        </w:rPr>
        <w:t>3.2.3</w:t>
      </w:r>
      <w:r>
        <w:rPr>
          <w:rFonts w:hint="eastAsia" w:ascii="宋体" w:hAnsi="宋体" w:eastAsia="宋体" w:cs="宋体"/>
          <w:color w:val="000000"/>
          <w:kern w:val="0"/>
          <w:sz w:val="24"/>
          <w:szCs w:val="24"/>
          <w:highlight w:val="none"/>
          <w:lang w:bidi="ar"/>
        </w:rPr>
        <w:t xml:space="preserve"> </w:t>
      </w:r>
      <w:r>
        <w:rPr>
          <w:rFonts w:hint="eastAsia" w:ascii="宋体" w:hAnsi="宋体" w:eastAsia="宋体" w:cs="宋体"/>
          <w:snapToGrid w:val="0"/>
          <w:color w:val="000000"/>
          <w:kern w:val="0"/>
          <w:sz w:val="24"/>
          <w:szCs w:val="24"/>
          <w:highlight w:val="none"/>
        </w:rPr>
        <w:t>承包人应在签订合同后，</w:t>
      </w:r>
      <w:r>
        <w:rPr>
          <w:rFonts w:hint="eastAsia" w:ascii="宋体" w:hAnsi="宋体" w:eastAsia="宋体" w:cs="宋体"/>
          <w:b/>
          <w:snapToGrid w:val="0"/>
          <w:color w:val="000000"/>
          <w:sz w:val="24"/>
          <w:szCs w:val="24"/>
          <w:highlight w:val="none"/>
        </w:rPr>
        <w:t>在提供符合要求的预付款保函或预付款保险及</w:t>
      </w:r>
      <w:r>
        <w:rPr>
          <w:rFonts w:hint="eastAsia" w:ascii="宋体" w:hAnsi="宋体" w:eastAsia="宋体" w:cs="宋体"/>
          <w:snapToGrid w:val="0"/>
          <w:color w:val="000000"/>
          <w:kern w:val="0"/>
          <w:sz w:val="24"/>
          <w:szCs w:val="24"/>
          <w:highlight w:val="none"/>
        </w:rPr>
        <w:t>在具备施工条件的前提下，向发包人提交预付款支付申请。发包人应对在收到支付申请的7天内进行核实后向承包人发出预付款支付证书，并在签发支付证书后的7天内向承包人支付预付款。凡未签订合同或不具备施工条件的工程，发包人不得预付工程款。</w:t>
      </w:r>
    </w:p>
    <w:p w14:paraId="0C954735">
      <w:pPr>
        <w:wordWrap w:val="0"/>
        <w:adjustRightInd w:val="0"/>
        <w:snapToGrid w:val="0"/>
        <w:spacing w:line="360" w:lineRule="auto"/>
        <w:ind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color w:val="000000"/>
          <w:kern w:val="0"/>
          <w:sz w:val="24"/>
          <w:szCs w:val="24"/>
          <w:highlight w:val="none"/>
          <w:lang w:bidi="ar"/>
        </w:rPr>
        <w:t>3.2.4</w:t>
      </w:r>
      <w:r>
        <w:rPr>
          <w:rFonts w:hint="eastAsia" w:ascii="宋体" w:hAnsi="宋体" w:eastAsia="宋体" w:cs="宋体"/>
          <w:color w:val="000000"/>
          <w:kern w:val="0"/>
          <w:sz w:val="24"/>
          <w:szCs w:val="24"/>
          <w:highlight w:val="none"/>
          <w:lang w:bidi="ar"/>
        </w:rPr>
        <w:t xml:space="preserve"> </w:t>
      </w:r>
      <w:r>
        <w:rPr>
          <w:rFonts w:hint="eastAsia" w:ascii="宋体" w:hAnsi="宋体" w:eastAsia="宋体" w:cs="宋体"/>
          <w:snapToGrid w:val="0"/>
          <w:color w:val="000000"/>
          <w:kern w:val="0"/>
          <w:sz w:val="24"/>
          <w:szCs w:val="24"/>
          <w:highlight w:val="none"/>
        </w:rPr>
        <w:t xml:space="preserve"> 发包人没有按时支付预付款的，承包人可催告发包人支付；发包人</w:t>
      </w:r>
      <w:r>
        <w:rPr>
          <w:rFonts w:hint="eastAsia" w:ascii="宋体" w:hAnsi="宋体" w:eastAsia="宋体" w:cs="宋体"/>
          <w:snapToGrid w:val="0"/>
          <w:color w:val="000000"/>
          <w:kern w:val="0"/>
          <w:sz w:val="24"/>
          <w:szCs w:val="24"/>
          <w:highlight w:val="none"/>
          <w:lang w:eastAsia="zh-CN"/>
        </w:rPr>
        <w:t>应配合做好支付工作，但承包人不得以此为理由暂停施工</w:t>
      </w:r>
      <w:r>
        <w:rPr>
          <w:rFonts w:hint="eastAsia" w:ascii="宋体" w:hAnsi="宋体" w:eastAsia="宋体" w:cs="宋体"/>
          <w:snapToGrid w:val="0"/>
          <w:color w:val="000000"/>
          <w:kern w:val="0"/>
          <w:sz w:val="24"/>
          <w:szCs w:val="24"/>
          <w:highlight w:val="none"/>
        </w:rPr>
        <w:t>。</w:t>
      </w:r>
    </w:p>
    <w:p w14:paraId="42E4EB26">
      <w:pPr>
        <w:wordWrap w:val="0"/>
        <w:adjustRightInd w:val="0"/>
        <w:snapToGrid w:val="0"/>
        <w:spacing w:line="360" w:lineRule="auto"/>
        <w:ind w:firstLine="482" w:firstLineChars="200"/>
        <w:rPr>
          <w:rFonts w:hint="eastAsia" w:ascii="宋体" w:hAnsi="宋体" w:eastAsia="宋体" w:cs="宋体"/>
          <w:color w:val="000000"/>
          <w:sz w:val="24"/>
          <w:szCs w:val="24"/>
          <w:highlight w:val="none"/>
        </w:rPr>
      </w:pPr>
      <w:r>
        <w:rPr>
          <w:rFonts w:hint="eastAsia" w:ascii="宋体" w:hAnsi="宋体" w:eastAsia="宋体" w:cs="宋体"/>
          <w:b/>
          <w:bCs/>
          <w:color w:val="000000"/>
          <w:kern w:val="0"/>
          <w:sz w:val="24"/>
          <w:szCs w:val="24"/>
          <w:highlight w:val="none"/>
          <w:lang w:bidi="ar"/>
        </w:rPr>
        <w:t>3.2.5</w:t>
      </w:r>
      <w:r>
        <w:rPr>
          <w:rFonts w:hint="eastAsia" w:ascii="宋体" w:hAnsi="宋体" w:eastAsia="宋体" w:cs="宋体"/>
          <w:color w:val="000000"/>
          <w:kern w:val="0"/>
          <w:sz w:val="24"/>
          <w:szCs w:val="24"/>
          <w:highlight w:val="none"/>
          <w:lang w:bidi="ar"/>
        </w:rPr>
        <w:t xml:space="preserve"> 预付款</w:t>
      </w:r>
      <w:r>
        <w:rPr>
          <w:rFonts w:hint="eastAsia" w:ascii="宋体" w:hAnsi="宋体" w:eastAsia="宋体" w:cs="宋体"/>
          <w:color w:val="000000"/>
          <w:kern w:val="0"/>
          <w:sz w:val="24"/>
          <w:szCs w:val="24"/>
          <w:highlight w:val="none"/>
          <w:u w:val="single"/>
          <w:lang w:eastAsia="zh-CN" w:bidi="ar"/>
        </w:rPr>
        <w:t>应按当期工程进度的</w:t>
      </w:r>
      <w:r>
        <w:rPr>
          <w:rFonts w:hint="eastAsia" w:ascii="宋体" w:hAnsi="宋体" w:eastAsia="宋体" w:cs="宋体"/>
          <w:color w:val="000000"/>
          <w:kern w:val="0"/>
          <w:sz w:val="24"/>
          <w:szCs w:val="24"/>
          <w:highlight w:val="none"/>
          <w:u w:val="single"/>
          <w:lang w:val="en-US" w:eastAsia="zh-CN" w:bidi="ar"/>
        </w:rPr>
        <w:t>50%进行同等比例</w:t>
      </w:r>
      <w:r>
        <w:rPr>
          <w:rFonts w:hint="eastAsia" w:ascii="宋体" w:hAnsi="宋体" w:eastAsia="宋体" w:cs="宋体"/>
          <w:color w:val="000000"/>
          <w:kern w:val="0"/>
          <w:sz w:val="24"/>
          <w:szCs w:val="24"/>
          <w:highlight w:val="none"/>
          <w:u w:val="single"/>
          <w:lang w:eastAsia="zh-CN" w:bidi="ar"/>
        </w:rPr>
        <w:t>扣回</w:t>
      </w:r>
      <w:r>
        <w:rPr>
          <w:rFonts w:hint="eastAsia" w:ascii="宋体" w:hAnsi="宋体" w:eastAsia="宋体" w:cs="宋体"/>
          <w:color w:val="000000"/>
          <w:kern w:val="0"/>
          <w:sz w:val="24"/>
          <w:szCs w:val="24"/>
          <w:highlight w:val="none"/>
          <w:lang w:val="en-US" w:eastAsia="zh-CN" w:bidi="ar"/>
        </w:rPr>
        <w:t>，直到扣回的金额达到合同约定的预付款金额为止</w:t>
      </w:r>
      <w:r>
        <w:rPr>
          <w:rFonts w:hint="eastAsia" w:ascii="宋体" w:hAnsi="宋体" w:eastAsia="宋体" w:cs="宋体"/>
          <w:snapToGrid w:val="0"/>
          <w:color w:val="000000"/>
          <w:kern w:val="0"/>
          <w:sz w:val="24"/>
          <w:szCs w:val="24"/>
          <w:highlight w:val="none"/>
        </w:rPr>
        <w:t>。</w:t>
      </w:r>
    </w:p>
    <w:p w14:paraId="5F3362F9">
      <w:pPr>
        <w:wordWrap w:val="0"/>
        <w:adjustRightInd w:val="0"/>
        <w:snapToGrid w:val="0"/>
        <w:spacing w:line="360" w:lineRule="auto"/>
        <w:ind w:firstLine="482" w:firstLineChars="200"/>
        <w:rPr>
          <w:rFonts w:hint="eastAsia" w:ascii="宋体" w:hAnsi="宋体" w:eastAsia="宋体" w:cs="宋体"/>
          <w:color w:val="000000"/>
          <w:kern w:val="0"/>
          <w:sz w:val="24"/>
          <w:szCs w:val="24"/>
          <w:highlight w:val="none"/>
        </w:rPr>
      </w:pPr>
      <w:r>
        <w:rPr>
          <w:rFonts w:hint="eastAsia" w:ascii="宋体" w:hAnsi="宋体" w:eastAsia="宋体" w:cs="宋体"/>
          <w:b/>
          <w:bCs/>
          <w:color w:val="000000"/>
          <w:kern w:val="0"/>
          <w:sz w:val="24"/>
          <w:szCs w:val="24"/>
          <w:highlight w:val="none"/>
          <w:lang w:bidi="ar"/>
        </w:rPr>
        <w:t>3.3</w:t>
      </w:r>
      <w:r>
        <w:rPr>
          <w:rFonts w:hint="eastAsia" w:ascii="宋体" w:hAnsi="宋体" w:eastAsia="宋体" w:cs="宋体"/>
          <w:color w:val="000000"/>
          <w:kern w:val="0"/>
          <w:sz w:val="24"/>
          <w:szCs w:val="24"/>
          <w:highlight w:val="none"/>
          <w:lang w:bidi="ar"/>
        </w:rPr>
        <w:t xml:space="preserve"> 施工过程中按</w:t>
      </w:r>
      <w:r>
        <w:rPr>
          <w:rFonts w:hint="eastAsia" w:ascii="宋体" w:hAnsi="宋体" w:eastAsia="宋体" w:cs="宋体"/>
          <w:color w:val="000000"/>
          <w:kern w:val="0"/>
          <w:sz w:val="24"/>
          <w:szCs w:val="24"/>
          <w:highlight w:val="none"/>
          <w:lang w:eastAsia="zh-CN" w:bidi="ar"/>
        </w:rPr>
        <w:t>60%、100%工程总进度</w:t>
      </w:r>
      <w:r>
        <w:rPr>
          <w:rFonts w:hint="eastAsia" w:ascii="宋体" w:hAnsi="宋体" w:eastAsia="宋体" w:cs="宋体"/>
          <w:color w:val="000000"/>
          <w:kern w:val="0"/>
          <w:sz w:val="24"/>
          <w:szCs w:val="24"/>
          <w:highlight w:val="none"/>
          <w:lang w:bidi="ar"/>
        </w:rPr>
        <w:t>支付工程进度款：承包人按</w:t>
      </w:r>
      <w:r>
        <w:rPr>
          <w:rFonts w:hint="eastAsia" w:ascii="宋体" w:hAnsi="宋体" w:eastAsia="宋体" w:cs="宋体"/>
          <w:color w:val="000000"/>
          <w:kern w:val="0"/>
          <w:sz w:val="24"/>
          <w:szCs w:val="24"/>
          <w:highlight w:val="none"/>
          <w:lang w:val="en-US" w:eastAsia="zh-CN" w:bidi="ar"/>
        </w:rPr>
        <w:t>60%和100%的</w:t>
      </w:r>
      <w:r>
        <w:rPr>
          <w:rFonts w:hint="eastAsia" w:ascii="宋体" w:hAnsi="宋体" w:eastAsia="宋体" w:cs="宋体"/>
          <w:color w:val="000000"/>
          <w:kern w:val="0"/>
          <w:sz w:val="24"/>
          <w:szCs w:val="24"/>
          <w:highlight w:val="none"/>
          <w:lang w:bidi="ar"/>
        </w:rPr>
        <w:t>工程实际完成工程量（含变更及增加工程）申报，承包人必须将《已完成工程量报表》和《工程付款申请书》报监理单位。经监理单位审核、发包人审定后的工程进度款（指已经按照合同约定，扣除该支付期内因承包人违约而应扣除的管理费），</w:t>
      </w:r>
      <w:r>
        <w:rPr>
          <w:rFonts w:hint="eastAsia" w:ascii="宋体" w:hAnsi="宋体" w:eastAsia="宋体" w:cs="宋体"/>
          <w:color w:val="000000"/>
          <w:kern w:val="0"/>
          <w:sz w:val="24"/>
          <w:szCs w:val="24"/>
          <w:highlight w:val="none"/>
          <w:lang w:eastAsia="zh-CN" w:bidi="ar"/>
        </w:rPr>
        <w:t>提交给发包人申请支付，累计支付金额不超过合同总价的</w:t>
      </w:r>
      <w:r>
        <w:rPr>
          <w:rFonts w:hint="eastAsia" w:ascii="宋体" w:hAnsi="宋体" w:eastAsia="宋体" w:cs="宋体"/>
          <w:color w:val="000000"/>
          <w:kern w:val="0"/>
          <w:sz w:val="24"/>
          <w:szCs w:val="24"/>
          <w:highlight w:val="none"/>
          <w:lang w:val="en-US" w:eastAsia="zh-CN" w:bidi="ar"/>
        </w:rPr>
        <w:t>80%</w:t>
      </w:r>
      <w:r>
        <w:rPr>
          <w:rFonts w:hint="eastAsia" w:ascii="宋体" w:hAnsi="宋体" w:eastAsia="宋体" w:cs="宋体"/>
          <w:color w:val="000000"/>
          <w:kern w:val="0"/>
          <w:sz w:val="24"/>
          <w:szCs w:val="24"/>
          <w:highlight w:val="none"/>
          <w:lang w:bidi="ar"/>
        </w:rPr>
        <w:t>。</w:t>
      </w:r>
    </w:p>
    <w:p w14:paraId="3A56A00B">
      <w:pPr>
        <w:wordWrap w:val="0"/>
        <w:adjustRightInd w:val="0"/>
        <w:snapToGrid w:val="0"/>
        <w:spacing w:line="360" w:lineRule="auto"/>
        <w:ind w:firstLine="482" w:firstLineChars="200"/>
        <w:rPr>
          <w:rFonts w:hint="eastAsia" w:ascii="宋体" w:hAnsi="宋体" w:eastAsia="宋体" w:cs="宋体"/>
          <w:color w:val="000000"/>
          <w:kern w:val="0"/>
          <w:sz w:val="24"/>
          <w:szCs w:val="24"/>
          <w:highlight w:val="none"/>
          <w:lang w:bidi="ar"/>
        </w:rPr>
      </w:pPr>
      <w:r>
        <w:rPr>
          <w:rFonts w:hint="eastAsia" w:ascii="宋体" w:hAnsi="宋体" w:eastAsia="宋体" w:cs="宋体"/>
          <w:b/>
          <w:bCs/>
          <w:color w:val="000000"/>
          <w:kern w:val="0"/>
          <w:sz w:val="24"/>
          <w:szCs w:val="24"/>
          <w:highlight w:val="none"/>
          <w:lang w:bidi="ar"/>
        </w:rPr>
        <w:t>3.4</w:t>
      </w:r>
      <w:r>
        <w:rPr>
          <w:rFonts w:hint="eastAsia" w:ascii="宋体" w:hAnsi="宋体" w:eastAsia="宋体" w:cs="宋体"/>
          <w:color w:val="000000"/>
          <w:kern w:val="0"/>
          <w:sz w:val="24"/>
          <w:szCs w:val="24"/>
          <w:highlight w:val="none"/>
          <w:lang w:bidi="ar"/>
        </w:rPr>
        <w:t xml:space="preserve"> 工程进度款按工程实际完成工程量</w:t>
      </w:r>
      <w:r>
        <w:rPr>
          <w:rFonts w:hint="eastAsia" w:ascii="宋体" w:hAnsi="宋体" w:eastAsia="宋体" w:cs="宋体"/>
          <w:color w:val="000000"/>
          <w:kern w:val="0"/>
          <w:sz w:val="24"/>
          <w:szCs w:val="24"/>
          <w:highlight w:val="none"/>
          <w:lang w:eastAsia="zh-CN" w:bidi="ar"/>
        </w:rPr>
        <w:t>并经第三方造价咨询单位审核后进行</w:t>
      </w:r>
      <w:r>
        <w:rPr>
          <w:rFonts w:hint="eastAsia" w:ascii="宋体" w:hAnsi="宋体" w:eastAsia="宋体" w:cs="宋体"/>
          <w:color w:val="000000"/>
          <w:kern w:val="0"/>
          <w:sz w:val="24"/>
          <w:szCs w:val="24"/>
          <w:highlight w:val="none"/>
          <w:lang w:bidi="ar"/>
        </w:rPr>
        <w:t>支付</w:t>
      </w:r>
      <w:r>
        <w:rPr>
          <w:rFonts w:hint="eastAsia" w:ascii="宋体" w:hAnsi="宋体" w:eastAsia="宋体" w:cs="宋体"/>
          <w:snapToGrid w:val="0"/>
          <w:color w:val="000000"/>
          <w:kern w:val="0"/>
          <w:sz w:val="24"/>
          <w:szCs w:val="24"/>
          <w:highlight w:val="none"/>
        </w:rPr>
        <w:t>，</w:t>
      </w:r>
      <w:r>
        <w:rPr>
          <w:rFonts w:hint="default" w:ascii="宋体" w:hAnsi="宋体" w:eastAsia="宋体" w:cs="宋体"/>
          <w:color w:val="000000"/>
          <w:kern w:val="0"/>
          <w:sz w:val="24"/>
          <w:szCs w:val="24"/>
          <w:highlight w:val="none"/>
          <w:lang w:val="en-US" w:eastAsia="zh-CN" w:bidi="ar"/>
        </w:rPr>
        <w:t>每月的工程进度款按应付金额的 80%支付,工程进度款中的作业工人工资款项暂为该月工程进度款的 30%，具体工人工资拨付金额以该月实际审核确认的为准，由发包人将该月审核确认后的作业工人工资款项单独足额拨付到承包人的工资专户</w:t>
      </w:r>
      <w:r>
        <w:rPr>
          <w:rFonts w:hint="eastAsia" w:ascii="宋体" w:hAnsi="宋体" w:eastAsia="宋体" w:cs="宋体"/>
          <w:color w:val="000000"/>
          <w:kern w:val="0"/>
          <w:sz w:val="24"/>
          <w:szCs w:val="24"/>
          <w:highlight w:val="none"/>
          <w:lang w:bidi="ar"/>
        </w:rPr>
        <w:t>。</w:t>
      </w:r>
    </w:p>
    <w:p w14:paraId="005381B5">
      <w:pPr>
        <w:wordWrap w:val="0"/>
        <w:adjustRightInd w:val="0"/>
        <w:snapToGrid w:val="0"/>
        <w:spacing w:line="360" w:lineRule="auto"/>
        <w:ind w:firstLine="482" w:firstLineChars="200"/>
        <w:rPr>
          <w:rFonts w:hint="eastAsia" w:ascii="宋体" w:hAnsi="宋体" w:eastAsia="宋体" w:cs="宋体"/>
          <w:color w:val="000000"/>
          <w:kern w:val="0"/>
          <w:sz w:val="24"/>
          <w:szCs w:val="24"/>
          <w:highlight w:val="none"/>
          <w:lang w:bidi="ar"/>
        </w:rPr>
      </w:pPr>
      <w:r>
        <w:rPr>
          <w:rFonts w:hint="eastAsia" w:ascii="宋体" w:hAnsi="宋体" w:eastAsia="宋体" w:cs="宋体"/>
          <w:b/>
          <w:bCs/>
          <w:color w:val="000000"/>
          <w:kern w:val="0"/>
          <w:sz w:val="24"/>
          <w:szCs w:val="24"/>
          <w:highlight w:val="none"/>
          <w:lang w:bidi="ar"/>
        </w:rPr>
        <w:t>3.5</w:t>
      </w:r>
      <w:r>
        <w:rPr>
          <w:rFonts w:hint="eastAsia" w:ascii="宋体" w:hAnsi="宋体" w:eastAsia="宋体" w:cs="宋体"/>
          <w:color w:val="000000"/>
          <w:kern w:val="0"/>
          <w:sz w:val="24"/>
          <w:szCs w:val="24"/>
          <w:highlight w:val="none"/>
          <w:lang w:bidi="ar"/>
        </w:rPr>
        <w:t xml:space="preserve"> </w:t>
      </w:r>
      <w:r>
        <w:rPr>
          <w:rFonts w:hint="eastAsia" w:ascii="宋体" w:hAnsi="宋体" w:eastAsia="宋体" w:cs="宋体"/>
          <w:color w:val="000000"/>
          <w:kern w:val="0"/>
          <w:sz w:val="24"/>
          <w:szCs w:val="24"/>
          <w:highlight w:val="none"/>
          <w:lang w:val="en-US" w:eastAsia="zh-CN" w:bidi="ar"/>
        </w:rPr>
        <w:t>施工预付款中包含安全生产措施费预付款。措施项目费中的“安全生产措施费”拨付按照《建设工程工程量清单计价标准》（GB/T50500—2024）执行，参照《关于印发&lt;广东省建设厅建筑工程安全防护、文明施工措施费用管理办法&gt;的通知》支付。承包人应在签订合同后，在项目开工、开通建设工程安措费专用账户、购买安全生产责任保险的前提下向发包人提交安全生产措施费申请，项目预付安全生产措施费总额的 50%，其余部分应按照提前安排的原则进行分解，并与工程进度款同期支付。发承包双方在计算应付工程进度款时，不应扣回预付款安全生产措施费，在工程结算时一次性扣回。安全生产措施费必须专款专用，并由发包人单独拨付到承包人的建设工程安全生产措施费专用账户。</w:t>
      </w:r>
    </w:p>
    <w:p w14:paraId="727E4812">
      <w:pPr>
        <w:wordWrap w:val="0"/>
        <w:adjustRightInd w:val="0"/>
        <w:snapToGrid w:val="0"/>
        <w:spacing w:line="360" w:lineRule="auto"/>
        <w:ind w:firstLine="482" w:firstLineChars="200"/>
        <w:rPr>
          <w:rFonts w:hint="eastAsia" w:ascii="宋体" w:hAnsi="宋体" w:eastAsia="宋体" w:cs="宋体"/>
          <w:color w:val="000000"/>
          <w:kern w:val="0"/>
          <w:sz w:val="24"/>
          <w:szCs w:val="24"/>
          <w:highlight w:val="none"/>
        </w:rPr>
      </w:pPr>
      <w:r>
        <w:rPr>
          <w:rFonts w:hint="eastAsia" w:ascii="宋体" w:hAnsi="宋体" w:eastAsia="宋体" w:cs="宋体"/>
          <w:b/>
          <w:bCs/>
          <w:color w:val="000000"/>
          <w:kern w:val="0"/>
          <w:sz w:val="24"/>
          <w:szCs w:val="24"/>
          <w:highlight w:val="none"/>
          <w:lang w:bidi="ar"/>
        </w:rPr>
        <w:t>3.6</w:t>
      </w:r>
      <w:r>
        <w:rPr>
          <w:rFonts w:hint="eastAsia" w:ascii="宋体" w:hAnsi="宋体" w:eastAsia="宋体" w:cs="宋体"/>
          <w:color w:val="000000"/>
          <w:kern w:val="0"/>
          <w:sz w:val="24"/>
          <w:szCs w:val="24"/>
          <w:highlight w:val="none"/>
          <w:lang w:bidi="ar"/>
        </w:rPr>
        <w:t xml:space="preserve"> 变更工程造价必须经监理单位核实，并经发包人核定后方可支付。</w:t>
      </w:r>
    </w:p>
    <w:p w14:paraId="2F90C2A3">
      <w:pPr>
        <w:wordWrap w:val="0"/>
        <w:adjustRightInd w:val="0"/>
        <w:snapToGrid w:val="0"/>
        <w:spacing w:line="360" w:lineRule="auto"/>
        <w:ind w:firstLine="482" w:firstLineChars="200"/>
        <w:rPr>
          <w:rFonts w:hint="eastAsia" w:ascii="宋体" w:hAnsi="宋体" w:eastAsia="宋体" w:cs="宋体"/>
          <w:bCs/>
          <w:snapToGrid w:val="0"/>
          <w:color w:val="000000"/>
          <w:kern w:val="0"/>
          <w:sz w:val="24"/>
          <w:szCs w:val="24"/>
          <w:highlight w:val="none"/>
        </w:rPr>
      </w:pPr>
      <w:r>
        <w:rPr>
          <w:rFonts w:hint="eastAsia" w:ascii="宋体" w:hAnsi="宋体" w:eastAsia="宋体" w:cs="宋体"/>
          <w:b/>
          <w:bCs/>
          <w:color w:val="000000"/>
          <w:kern w:val="0"/>
          <w:sz w:val="24"/>
          <w:szCs w:val="24"/>
          <w:highlight w:val="none"/>
          <w:lang w:bidi="ar"/>
        </w:rPr>
        <w:t>3.7</w:t>
      </w:r>
      <w:r>
        <w:rPr>
          <w:rFonts w:hint="eastAsia" w:ascii="宋体" w:hAnsi="宋体" w:eastAsia="宋体" w:cs="宋体"/>
          <w:color w:val="000000"/>
          <w:kern w:val="0"/>
          <w:sz w:val="24"/>
          <w:szCs w:val="24"/>
          <w:highlight w:val="none"/>
          <w:lang w:bidi="ar"/>
        </w:rPr>
        <w:t xml:space="preserve"> </w:t>
      </w:r>
      <w:r>
        <w:rPr>
          <w:rFonts w:hint="eastAsia" w:ascii="宋体" w:hAnsi="宋体" w:eastAsia="宋体" w:cs="宋体"/>
          <w:b w:val="0"/>
          <w:bCs w:val="0"/>
          <w:caps w:val="0"/>
          <w:smallCaps w:val="0"/>
          <w:snapToGrid w:val="0"/>
          <w:color w:val="000000"/>
          <w:spacing w:val="0"/>
          <w:kern w:val="0"/>
          <w:sz w:val="24"/>
          <w:szCs w:val="24"/>
          <w:highlight w:val="none"/>
          <w:lang w:eastAsia="zh-CN"/>
        </w:rPr>
        <w:t>竣工验收合格后</w:t>
      </w:r>
      <w:r>
        <w:rPr>
          <w:rFonts w:hint="eastAsia" w:ascii="宋体" w:hAnsi="宋体" w:eastAsia="宋体" w:cs="宋体"/>
          <w:b w:val="0"/>
          <w:bCs w:val="0"/>
          <w:caps w:val="0"/>
          <w:smallCaps w:val="0"/>
          <w:snapToGrid w:val="0"/>
          <w:color w:val="000000"/>
          <w:spacing w:val="0"/>
          <w:kern w:val="0"/>
          <w:sz w:val="24"/>
          <w:szCs w:val="24"/>
          <w:highlight w:val="none"/>
          <w:lang w:val="en-US" w:eastAsia="zh-CN"/>
        </w:rPr>
        <w:t>，</w:t>
      </w:r>
      <w:r>
        <w:rPr>
          <w:rFonts w:hint="eastAsia" w:ascii="宋体" w:hAnsi="宋体" w:eastAsia="宋体" w:cs="宋体"/>
          <w:b w:val="0"/>
          <w:bCs w:val="0"/>
          <w:caps w:val="0"/>
          <w:smallCaps w:val="0"/>
          <w:snapToGrid w:val="0"/>
          <w:color w:val="000000"/>
          <w:spacing w:val="0"/>
          <w:kern w:val="0"/>
          <w:sz w:val="24"/>
          <w:szCs w:val="24"/>
          <w:highlight w:val="none"/>
        </w:rPr>
        <w:t>支付</w:t>
      </w:r>
      <w:r>
        <w:rPr>
          <w:rFonts w:hint="eastAsia" w:ascii="宋体" w:hAnsi="宋体" w:eastAsia="宋体" w:cs="宋体"/>
          <w:b w:val="0"/>
          <w:bCs w:val="0"/>
          <w:caps w:val="0"/>
          <w:smallCaps w:val="0"/>
          <w:snapToGrid w:val="0"/>
          <w:color w:val="000000"/>
          <w:spacing w:val="0"/>
          <w:kern w:val="0"/>
          <w:sz w:val="24"/>
          <w:szCs w:val="24"/>
          <w:highlight w:val="none"/>
          <w:lang w:eastAsia="zh-CN"/>
        </w:rPr>
        <w:t>至合同价款的</w:t>
      </w:r>
      <w:r>
        <w:rPr>
          <w:rFonts w:hint="eastAsia" w:ascii="宋体" w:hAnsi="宋体" w:eastAsia="宋体" w:cs="宋体"/>
          <w:b w:val="0"/>
          <w:bCs w:val="0"/>
          <w:caps w:val="0"/>
          <w:smallCaps w:val="0"/>
          <w:snapToGrid w:val="0"/>
          <w:color w:val="000000"/>
          <w:spacing w:val="0"/>
          <w:kern w:val="0"/>
          <w:sz w:val="24"/>
          <w:szCs w:val="24"/>
          <w:highlight w:val="none"/>
          <w:lang w:val="en-US" w:eastAsia="zh-CN"/>
        </w:rPr>
        <w:t>90</w:t>
      </w:r>
      <w:r>
        <w:rPr>
          <w:rFonts w:hint="eastAsia" w:ascii="宋体" w:hAnsi="宋体" w:eastAsia="宋体" w:cs="宋体"/>
          <w:b w:val="0"/>
          <w:bCs w:val="0"/>
          <w:caps w:val="0"/>
          <w:smallCaps w:val="0"/>
          <w:snapToGrid w:val="0"/>
          <w:color w:val="000000"/>
          <w:spacing w:val="0"/>
          <w:kern w:val="0"/>
          <w:sz w:val="24"/>
          <w:szCs w:val="24"/>
          <w:highlight w:val="none"/>
        </w:rPr>
        <w:t>%</w:t>
      </w:r>
      <w:r>
        <w:rPr>
          <w:rFonts w:hint="eastAsia" w:ascii="宋体" w:hAnsi="宋体" w:eastAsia="宋体" w:cs="宋体"/>
          <w:b w:val="0"/>
          <w:bCs w:val="0"/>
          <w:caps w:val="0"/>
          <w:smallCaps w:val="0"/>
          <w:snapToGrid w:val="0"/>
          <w:color w:val="000000"/>
          <w:spacing w:val="0"/>
          <w:kern w:val="0"/>
          <w:sz w:val="24"/>
          <w:szCs w:val="24"/>
          <w:highlight w:val="none"/>
          <w:lang w:eastAsia="zh-CN"/>
        </w:rPr>
        <w:t>（不计息）；</w:t>
      </w:r>
      <w:r>
        <w:rPr>
          <w:rFonts w:hint="eastAsia" w:ascii="宋体" w:hAnsi="宋体" w:eastAsia="宋体" w:cs="宋体"/>
          <w:b w:val="0"/>
          <w:bCs w:val="0"/>
          <w:caps w:val="0"/>
          <w:smallCaps w:val="0"/>
          <w:snapToGrid w:val="0"/>
          <w:color w:val="000000"/>
          <w:spacing w:val="0"/>
          <w:kern w:val="0"/>
          <w:sz w:val="24"/>
          <w:szCs w:val="24"/>
          <w:highlight w:val="none"/>
        </w:rPr>
        <w:t>结算审核完成后，于次月支付</w:t>
      </w:r>
      <w:r>
        <w:rPr>
          <w:rFonts w:hint="eastAsia" w:ascii="宋体" w:hAnsi="宋体" w:eastAsia="宋体" w:cs="宋体"/>
          <w:b w:val="0"/>
          <w:bCs w:val="0"/>
          <w:caps w:val="0"/>
          <w:smallCaps w:val="0"/>
          <w:snapToGrid w:val="0"/>
          <w:color w:val="000000"/>
          <w:spacing w:val="0"/>
          <w:kern w:val="0"/>
          <w:sz w:val="24"/>
          <w:szCs w:val="24"/>
          <w:highlight w:val="none"/>
          <w:lang w:eastAsia="zh-CN"/>
        </w:rPr>
        <w:t>至合同价格</w:t>
      </w:r>
      <w:r>
        <w:rPr>
          <w:rFonts w:hint="eastAsia" w:ascii="宋体" w:hAnsi="宋体" w:eastAsia="宋体" w:cs="宋体"/>
          <w:b w:val="0"/>
          <w:bCs w:val="0"/>
          <w:caps w:val="0"/>
          <w:smallCaps w:val="0"/>
          <w:snapToGrid w:val="0"/>
          <w:color w:val="000000"/>
          <w:spacing w:val="0"/>
          <w:kern w:val="0"/>
          <w:sz w:val="24"/>
          <w:szCs w:val="24"/>
          <w:highlight w:val="none"/>
        </w:rPr>
        <w:t>的97%</w:t>
      </w:r>
      <w:r>
        <w:rPr>
          <w:rFonts w:hint="eastAsia" w:ascii="宋体" w:hAnsi="宋体" w:eastAsia="宋体" w:cs="宋体"/>
          <w:b w:val="0"/>
          <w:bCs w:val="0"/>
          <w:caps w:val="0"/>
          <w:smallCaps w:val="0"/>
          <w:snapToGrid w:val="0"/>
          <w:color w:val="000000"/>
          <w:spacing w:val="0"/>
          <w:kern w:val="0"/>
          <w:sz w:val="24"/>
          <w:szCs w:val="24"/>
          <w:highlight w:val="none"/>
          <w:lang w:eastAsia="zh-CN"/>
        </w:rPr>
        <w:t>（支付时间以当地财政实际支出时间为准），</w:t>
      </w:r>
      <w:r>
        <w:rPr>
          <w:rFonts w:hint="eastAsia" w:ascii="宋体" w:hAnsi="宋体" w:eastAsia="宋体" w:cs="宋体"/>
          <w:b w:val="0"/>
          <w:bCs w:val="0"/>
          <w:caps w:val="0"/>
          <w:smallCaps w:val="0"/>
          <w:snapToGrid w:val="0"/>
          <w:color w:val="000000"/>
          <w:spacing w:val="0"/>
          <w:kern w:val="0"/>
          <w:sz w:val="24"/>
          <w:szCs w:val="24"/>
          <w:highlight w:val="none"/>
        </w:rPr>
        <w:t>剩余3%</w:t>
      </w:r>
      <w:r>
        <w:rPr>
          <w:rFonts w:hint="eastAsia" w:ascii="宋体" w:hAnsi="宋体" w:eastAsia="宋体" w:cs="宋体"/>
          <w:b w:val="0"/>
          <w:bCs w:val="0"/>
          <w:caps w:val="0"/>
          <w:smallCaps w:val="0"/>
          <w:snapToGrid w:val="0"/>
          <w:color w:val="000000"/>
          <w:spacing w:val="0"/>
          <w:kern w:val="0"/>
          <w:sz w:val="24"/>
          <w:szCs w:val="24"/>
          <w:highlight w:val="none"/>
          <w:lang w:eastAsia="zh-CN"/>
        </w:rPr>
        <w:t>转</w:t>
      </w:r>
      <w:r>
        <w:rPr>
          <w:rFonts w:hint="eastAsia" w:ascii="宋体" w:hAnsi="宋体" w:eastAsia="宋体" w:cs="宋体"/>
          <w:b w:val="0"/>
          <w:bCs w:val="0"/>
          <w:caps w:val="0"/>
          <w:smallCaps w:val="0"/>
          <w:snapToGrid w:val="0"/>
          <w:color w:val="000000"/>
          <w:spacing w:val="0"/>
          <w:kern w:val="0"/>
          <w:sz w:val="24"/>
          <w:szCs w:val="24"/>
          <w:highlight w:val="none"/>
        </w:rPr>
        <w:t>为质量保证金</w:t>
      </w:r>
      <w:r>
        <w:rPr>
          <w:rFonts w:hint="eastAsia" w:ascii="宋体" w:hAnsi="宋体" w:eastAsia="宋体" w:cs="宋体"/>
          <w:b w:val="0"/>
          <w:bCs w:val="0"/>
          <w:caps w:val="0"/>
          <w:smallCaps w:val="0"/>
          <w:snapToGrid w:val="0"/>
          <w:color w:val="000000"/>
          <w:spacing w:val="0"/>
          <w:kern w:val="0"/>
          <w:sz w:val="24"/>
          <w:szCs w:val="24"/>
          <w:highlight w:val="none"/>
          <w:lang w:eastAsia="zh-CN"/>
        </w:rPr>
        <w:t>；承包人提交了等额</w:t>
      </w:r>
      <w:r>
        <w:rPr>
          <w:rFonts w:hint="eastAsia" w:ascii="宋体" w:hAnsi="宋体" w:eastAsia="宋体" w:cs="宋体"/>
          <w:b w:val="0"/>
          <w:bCs w:val="0"/>
          <w:caps w:val="0"/>
          <w:smallCaps w:val="0"/>
          <w:snapToGrid w:val="0"/>
          <w:color w:val="000000"/>
          <w:spacing w:val="0"/>
          <w:kern w:val="0"/>
          <w:sz w:val="24"/>
          <w:szCs w:val="24"/>
          <w:highlight w:val="none"/>
          <w:lang w:val="en-US" w:eastAsia="zh-CN"/>
        </w:rPr>
        <w:t>质量保证担保或质量保证保险的，于次月一次性结清合同价格</w:t>
      </w:r>
      <w:r>
        <w:rPr>
          <w:rFonts w:hint="eastAsia" w:ascii="宋体" w:hAnsi="宋体" w:eastAsia="宋体" w:cs="宋体"/>
          <w:bCs/>
          <w:snapToGrid w:val="0"/>
          <w:color w:val="000000"/>
          <w:kern w:val="0"/>
          <w:sz w:val="24"/>
          <w:szCs w:val="24"/>
          <w:highlight w:val="none"/>
        </w:rPr>
        <w:t>。</w:t>
      </w:r>
    </w:p>
    <w:p w14:paraId="70DB5292">
      <w:pPr>
        <w:wordWrap w:val="0"/>
        <w:adjustRightInd w:val="0"/>
        <w:snapToGrid w:val="0"/>
        <w:spacing w:line="360" w:lineRule="auto"/>
        <w:ind w:firstLine="482" w:firstLineChars="200"/>
        <w:rPr>
          <w:rFonts w:hint="eastAsia" w:ascii="宋体" w:hAnsi="宋体" w:eastAsia="宋体" w:cs="宋体"/>
          <w:color w:val="000000"/>
          <w:kern w:val="0"/>
          <w:sz w:val="24"/>
          <w:szCs w:val="24"/>
          <w:highlight w:val="none"/>
        </w:rPr>
      </w:pPr>
      <w:r>
        <w:rPr>
          <w:rFonts w:hint="eastAsia" w:ascii="宋体" w:hAnsi="宋体" w:eastAsia="宋体" w:cs="宋体"/>
          <w:b/>
          <w:color w:val="000000"/>
          <w:kern w:val="0"/>
          <w:sz w:val="24"/>
          <w:szCs w:val="24"/>
          <w:highlight w:val="none"/>
          <w:lang w:bidi="ar"/>
        </w:rPr>
        <w:t>3.8</w:t>
      </w:r>
      <w:r>
        <w:rPr>
          <w:rFonts w:hint="eastAsia" w:ascii="宋体" w:hAnsi="宋体" w:eastAsia="宋体" w:cs="宋体"/>
          <w:bCs/>
          <w:color w:val="000000"/>
          <w:kern w:val="0"/>
          <w:sz w:val="24"/>
          <w:szCs w:val="24"/>
          <w:highlight w:val="none"/>
          <w:lang w:bidi="ar"/>
        </w:rPr>
        <w:t xml:space="preserve"> 本招标项目缺陷责任期为</w:t>
      </w:r>
      <w:r>
        <w:rPr>
          <w:rFonts w:hint="eastAsia" w:ascii="宋体" w:hAnsi="宋体" w:eastAsia="宋体" w:cs="宋体"/>
          <w:bCs/>
          <w:color w:val="000000"/>
          <w:kern w:val="0"/>
          <w:sz w:val="24"/>
          <w:szCs w:val="24"/>
          <w:highlight w:val="none"/>
          <w:u w:val="single"/>
          <w:lang w:val="en-US" w:eastAsia="zh-CN" w:bidi="ar"/>
        </w:rPr>
        <w:t>2</w:t>
      </w:r>
      <w:r>
        <w:rPr>
          <w:rFonts w:hint="eastAsia" w:ascii="宋体" w:hAnsi="宋体" w:eastAsia="宋体" w:cs="宋体"/>
          <w:bCs/>
          <w:color w:val="000000"/>
          <w:kern w:val="0"/>
          <w:sz w:val="24"/>
          <w:szCs w:val="24"/>
          <w:highlight w:val="none"/>
          <w:lang w:bidi="ar"/>
        </w:rPr>
        <w:t>年（自通过竣工验收之日起计）。</w:t>
      </w:r>
      <w:r>
        <w:rPr>
          <w:rFonts w:hint="eastAsia" w:ascii="宋体" w:hAnsi="宋体" w:eastAsia="宋体" w:cs="宋体"/>
          <w:color w:val="000000"/>
          <w:kern w:val="0"/>
          <w:sz w:val="24"/>
          <w:szCs w:val="24"/>
          <w:highlight w:val="none"/>
          <w:lang w:bidi="ar"/>
        </w:rPr>
        <w:t>缺陷责任期到期后，承包人向发包人申请退还质量保证。发包人收到退还申请后，于14天内会同承包人进行核实。经双方核实且均无异议后，发包人在核实之日起</w:t>
      </w:r>
      <w:r>
        <w:rPr>
          <w:rFonts w:hint="eastAsia" w:ascii="宋体" w:hAnsi="宋体" w:eastAsia="宋体" w:cs="宋体"/>
          <w:color w:val="000000"/>
          <w:kern w:val="0"/>
          <w:sz w:val="24"/>
          <w:szCs w:val="24"/>
          <w:highlight w:val="none"/>
          <w:u w:val="single"/>
          <w:lang w:bidi="ar"/>
        </w:rPr>
        <w:t xml:space="preserve"> 14 </w:t>
      </w:r>
      <w:r>
        <w:rPr>
          <w:rFonts w:hint="eastAsia" w:ascii="宋体" w:hAnsi="宋体" w:eastAsia="宋体" w:cs="宋体"/>
          <w:color w:val="000000"/>
          <w:kern w:val="0"/>
          <w:sz w:val="24"/>
          <w:szCs w:val="24"/>
          <w:highlight w:val="none"/>
          <w:lang w:bidi="ar"/>
        </w:rPr>
        <w:t>天内将应返保证金（或银行保函）退还承包人。</w:t>
      </w:r>
    </w:p>
    <w:p w14:paraId="24310525">
      <w:pPr>
        <w:pStyle w:val="8"/>
        <w:spacing w:before="155" w:line="360" w:lineRule="auto"/>
        <w:ind w:left="1" w:right="80" w:firstLine="473"/>
        <w:rPr>
          <w:rFonts w:hint="eastAsia" w:ascii="宋体" w:hAnsi="宋体" w:eastAsia="宋体" w:cs="宋体"/>
          <w:spacing w:val="-1"/>
          <w:sz w:val="24"/>
          <w:szCs w:val="24"/>
          <w:highlight w:val="none"/>
          <w:u w:val="single"/>
        </w:rPr>
      </w:pPr>
      <w:r>
        <w:rPr>
          <w:rFonts w:hint="eastAsia" w:ascii="宋体" w:hAnsi="宋体" w:eastAsia="宋体" w:cs="宋体"/>
          <w:b/>
          <w:bCs/>
          <w:color w:val="000000"/>
          <w:sz w:val="24"/>
          <w:szCs w:val="24"/>
          <w:highlight w:val="none"/>
          <w:lang w:bidi="ar"/>
        </w:rPr>
        <w:t>3.9</w:t>
      </w:r>
      <w:r>
        <w:rPr>
          <w:rFonts w:hint="eastAsia" w:ascii="宋体" w:hAnsi="宋体" w:eastAsia="宋体" w:cs="宋体"/>
          <w:color w:val="000000"/>
          <w:sz w:val="24"/>
          <w:szCs w:val="24"/>
          <w:highlight w:val="none"/>
          <w:lang w:bidi="ar"/>
        </w:rPr>
        <w:t xml:space="preserve"> </w:t>
      </w:r>
      <w:r>
        <w:rPr>
          <w:rFonts w:hint="eastAsia" w:ascii="宋体" w:hAnsi="宋体" w:eastAsia="宋体" w:cs="宋体"/>
          <w:spacing w:val="-1"/>
          <w:sz w:val="24"/>
          <w:szCs w:val="24"/>
          <w:highlight w:val="none"/>
        </w:rPr>
        <w:t>暂列金额</w:t>
      </w:r>
      <w:r>
        <w:rPr>
          <w:rFonts w:hint="eastAsia" w:ascii="宋体" w:hAnsi="宋体" w:eastAsia="宋体" w:cs="宋体"/>
          <w:spacing w:val="-1"/>
          <w:sz w:val="24"/>
          <w:szCs w:val="24"/>
          <w:highlight w:val="none"/>
          <w:lang w:val="en-US" w:eastAsia="zh-CN"/>
        </w:rPr>
        <w:t>计算方式与</w:t>
      </w:r>
      <w:r>
        <w:rPr>
          <w:rFonts w:hint="eastAsia" w:ascii="宋体" w:hAnsi="宋体" w:eastAsia="宋体" w:cs="宋体"/>
          <w:spacing w:val="-1"/>
          <w:sz w:val="24"/>
          <w:szCs w:val="24"/>
          <w:highlight w:val="none"/>
        </w:rPr>
        <w:t>结算方式：</w:t>
      </w:r>
      <w:r>
        <w:rPr>
          <w:rFonts w:hint="eastAsia" w:ascii="宋体" w:hAnsi="宋体" w:eastAsia="宋体" w:cs="宋体"/>
          <w:spacing w:val="-1"/>
          <w:sz w:val="24"/>
          <w:szCs w:val="24"/>
          <w:highlight w:val="none"/>
          <w:lang w:val="en-US" w:eastAsia="zh-CN"/>
        </w:rPr>
        <w:t>暂列金的计算方式</w:t>
      </w:r>
      <w:r>
        <w:rPr>
          <w:rFonts w:hint="eastAsia" w:ascii="宋体" w:hAnsi="宋体" w:eastAsia="宋体" w:cs="宋体"/>
          <w:spacing w:val="-1"/>
          <w:sz w:val="24"/>
          <w:szCs w:val="24"/>
          <w:highlight w:val="none"/>
          <w:u w:val="single"/>
          <w:lang w:val="en-US" w:eastAsia="zh-CN"/>
        </w:rPr>
        <w:t>按分部分项合计*10%计算，</w:t>
      </w:r>
      <w:r>
        <w:rPr>
          <w:rFonts w:hint="eastAsia" w:ascii="宋体" w:hAnsi="宋体" w:eastAsia="宋体" w:cs="宋体"/>
          <w:spacing w:val="-1"/>
          <w:sz w:val="24"/>
          <w:szCs w:val="24"/>
          <w:highlight w:val="none"/>
          <w:u w:val="single"/>
        </w:rPr>
        <w:t>暂列金额</w:t>
      </w:r>
      <w:r>
        <w:rPr>
          <w:rFonts w:hint="eastAsia" w:ascii="宋体" w:hAnsi="宋体" w:eastAsia="宋体" w:cs="宋体"/>
          <w:spacing w:val="-1"/>
          <w:sz w:val="24"/>
          <w:szCs w:val="24"/>
          <w:highlight w:val="none"/>
          <w:u w:val="single"/>
          <w:lang w:val="en-US" w:eastAsia="zh-CN"/>
        </w:rPr>
        <w:t>的计算方式</w:t>
      </w:r>
      <w:r>
        <w:rPr>
          <w:rFonts w:hint="eastAsia" w:ascii="宋体" w:hAnsi="宋体" w:eastAsia="宋体" w:cs="宋体"/>
          <w:spacing w:val="-1"/>
          <w:sz w:val="24"/>
          <w:szCs w:val="24"/>
          <w:highlight w:val="none"/>
          <w:u w:val="single"/>
        </w:rPr>
        <w:t>按实际发生在结算审核完成后支付。</w:t>
      </w:r>
    </w:p>
    <w:p w14:paraId="5DC1A870">
      <w:pPr>
        <w:wordWrap w:val="0"/>
        <w:autoSpaceDE w:val="0"/>
        <w:adjustRightInd w:val="0"/>
        <w:snapToGrid w:val="0"/>
        <w:spacing w:line="360" w:lineRule="auto"/>
        <w:ind w:firstLine="482" w:firstLineChars="200"/>
        <w:rPr>
          <w:rFonts w:hint="eastAsia" w:ascii="宋体" w:hAnsi="宋体" w:eastAsia="宋体" w:cs="宋体"/>
          <w:color w:val="000000"/>
          <w:kern w:val="0"/>
          <w:sz w:val="24"/>
          <w:szCs w:val="24"/>
          <w:highlight w:val="none"/>
          <w:lang w:bidi="ar"/>
        </w:rPr>
      </w:pPr>
      <w:r>
        <w:rPr>
          <w:rFonts w:hint="eastAsia" w:ascii="宋体" w:hAnsi="宋体" w:eastAsia="宋体" w:cs="宋体"/>
          <w:b/>
          <w:bCs/>
          <w:color w:val="000000"/>
          <w:kern w:val="0"/>
          <w:sz w:val="24"/>
          <w:szCs w:val="24"/>
          <w:highlight w:val="none"/>
          <w:lang w:bidi="ar"/>
        </w:rPr>
        <w:t>3.10</w:t>
      </w:r>
      <w:r>
        <w:rPr>
          <w:rFonts w:hint="eastAsia" w:ascii="宋体" w:hAnsi="宋体" w:eastAsia="宋体" w:cs="宋体"/>
          <w:color w:val="000000"/>
          <w:kern w:val="0"/>
          <w:sz w:val="24"/>
          <w:szCs w:val="24"/>
          <w:highlight w:val="none"/>
          <w:lang w:bidi="ar"/>
        </w:rPr>
        <w:t xml:space="preserve"> 暂列金额支付方式：</w:t>
      </w:r>
      <w:r>
        <w:rPr>
          <w:rFonts w:hint="eastAsia" w:ascii="宋体" w:hAnsi="宋体" w:eastAsia="宋体" w:cs="宋体"/>
          <w:color w:val="000000"/>
          <w:kern w:val="0"/>
          <w:sz w:val="24"/>
          <w:szCs w:val="24"/>
          <w:highlight w:val="none"/>
          <w:u w:val="single"/>
          <w:lang w:bidi="ar"/>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暂停拨付。在暂列金额的范围内，最终经发包人确认后支付至该部分实际完成工程量的90％，其余部分待结算完成审核后支付至97%，剩余3%为工程质量保修金</w:t>
      </w:r>
      <w:r>
        <w:rPr>
          <w:rFonts w:hint="eastAsia" w:ascii="宋体" w:hAnsi="宋体" w:eastAsia="宋体" w:cs="宋体"/>
          <w:color w:val="000000"/>
          <w:kern w:val="0"/>
          <w:sz w:val="24"/>
          <w:szCs w:val="24"/>
          <w:highlight w:val="none"/>
          <w:lang w:bidi="ar"/>
        </w:rPr>
        <w:t>。</w:t>
      </w:r>
    </w:p>
    <w:p w14:paraId="545A9451">
      <w:pPr>
        <w:spacing w:line="360" w:lineRule="auto"/>
        <w:ind w:firstLine="482" w:firstLineChars="200"/>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lang w:val="en-US" w:eastAsia="zh-CN"/>
        </w:rPr>
        <w:t>3.11</w:t>
      </w:r>
      <w:r>
        <w:rPr>
          <w:rFonts w:hint="eastAsia" w:ascii="宋体" w:hAnsi="宋体" w:eastAsia="宋体" w:cs="宋体"/>
          <w:color w:val="000000"/>
          <w:sz w:val="24"/>
          <w:szCs w:val="24"/>
          <w:highlight w:val="none"/>
          <w:lang w:val="en-US" w:eastAsia="zh-CN"/>
        </w:rPr>
        <w:t xml:space="preserve"> 材料暂估价、专业工程暂估价支付方式：材料暂估价、专业工程暂估价与每个月的工程进度款一并报送，但需要列明详细项目内容，该部分材料暂估价、专业工程暂估价按该部分实际完成工程价款的 85%支付，剩余部分待最终结算完成审核后支付至 97%，剩余 3% 为工程质量保修金。 </w:t>
      </w:r>
    </w:p>
    <w:p w14:paraId="55698EE9">
      <w:pPr>
        <w:spacing w:line="360" w:lineRule="auto"/>
        <w:ind w:firstLine="482" w:firstLineChars="200"/>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lang w:val="en-US" w:eastAsia="zh-CN"/>
        </w:rPr>
        <w:t>3.12</w:t>
      </w:r>
      <w:r>
        <w:rPr>
          <w:rFonts w:hint="eastAsia" w:ascii="宋体" w:hAnsi="宋体" w:eastAsia="宋体" w:cs="宋体"/>
          <w:color w:val="000000"/>
          <w:sz w:val="24"/>
          <w:szCs w:val="24"/>
          <w:highlight w:val="none"/>
          <w:lang w:val="en-US" w:eastAsia="zh-CN"/>
        </w:rPr>
        <w:t xml:space="preserve"> 承包人和分包人根据《韶关市财政局韶关市发展和改革局关于开展我市政府投资项目资金穿透式监管试点工作的通知》签订《政府投资项目资金穿透式监管协议》（附件 3、附件 4）并进行工程相关款项支付。</w:t>
      </w:r>
    </w:p>
    <w:p w14:paraId="4B51A61F">
      <w:pPr>
        <w:wordWrap w:val="0"/>
        <w:adjustRightInd w:val="0"/>
        <w:snapToGrid w:val="0"/>
        <w:spacing w:line="360" w:lineRule="auto"/>
        <w:ind w:firstLine="482" w:firstLineChars="200"/>
        <w:rPr>
          <w:rFonts w:hint="eastAsia" w:ascii="宋体" w:hAnsi="宋体" w:eastAsia="宋体" w:cs="宋体"/>
          <w:b/>
          <w:snapToGrid w:val="0"/>
          <w:color w:val="000000"/>
          <w:sz w:val="24"/>
          <w:szCs w:val="24"/>
          <w:highlight w:val="none"/>
        </w:rPr>
      </w:pPr>
      <w:r>
        <w:rPr>
          <w:rFonts w:hint="eastAsia" w:ascii="宋体" w:hAnsi="宋体" w:eastAsia="宋体" w:cs="宋体"/>
          <w:b/>
          <w:snapToGrid w:val="0"/>
          <w:color w:val="000000"/>
          <w:sz w:val="24"/>
          <w:szCs w:val="24"/>
          <w:highlight w:val="none"/>
        </w:rPr>
        <w:t>4．专用合同条款</w:t>
      </w:r>
      <w:bookmarkEnd w:id="164"/>
      <w:bookmarkEnd w:id="165"/>
      <w:r>
        <w:rPr>
          <w:rFonts w:hint="eastAsia" w:ascii="宋体" w:hAnsi="宋体" w:eastAsia="宋体" w:cs="宋体"/>
          <w:snapToGrid w:val="0"/>
          <w:color w:val="000000"/>
          <w:kern w:val="0"/>
          <w:sz w:val="24"/>
          <w:szCs w:val="24"/>
          <w:highlight w:val="none"/>
        </w:rPr>
        <w:t>（由招标人自行补充）</w:t>
      </w:r>
    </w:p>
    <w:p w14:paraId="362A8826">
      <w:pPr>
        <w:spacing w:before="240" w:beforeLines="100" w:line="360" w:lineRule="auto"/>
        <w:ind w:firstLine="480" w:firstLineChars="200"/>
        <w:rPr>
          <w:rFonts w:hint="eastAsia" w:ascii="宋体" w:hAnsi="宋体" w:eastAsia="宋体" w:cs="宋体"/>
          <w:bCs/>
          <w:snapToGrid w:val="0"/>
          <w:color w:val="000000"/>
          <w:sz w:val="24"/>
          <w:szCs w:val="24"/>
          <w:highlight w:val="none"/>
        </w:rPr>
      </w:pPr>
      <w:r>
        <w:rPr>
          <w:rFonts w:hint="eastAsia" w:ascii="宋体" w:hAnsi="宋体" w:eastAsia="宋体" w:cs="宋体"/>
          <w:bCs/>
          <w:snapToGrid w:val="0"/>
          <w:color w:val="000000"/>
          <w:sz w:val="24"/>
          <w:szCs w:val="24"/>
          <w:highlight w:val="none"/>
        </w:rPr>
        <w:t xml:space="preserve"> 4.1承包人必须依照各相关规定做好工人工资支付保证金、工人工资支付专用账户、用工实名制管理工作。</w:t>
      </w:r>
    </w:p>
    <w:p w14:paraId="5C213742">
      <w:pPr>
        <w:spacing w:before="240" w:beforeLines="100" w:line="360" w:lineRule="auto"/>
        <w:ind w:firstLine="480" w:firstLineChars="200"/>
        <w:rPr>
          <w:rFonts w:hint="eastAsia" w:ascii="宋体" w:hAnsi="宋体" w:eastAsia="宋体" w:cs="宋体"/>
          <w:bCs/>
          <w:snapToGrid w:val="0"/>
          <w:color w:val="000000"/>
          <w:sz w:val="24"/>
          <w:szCs w:val="24"/>
          <w:highlight w:val="none"/>
        </w:rPr>
      </w:pPr>
      <w:r>
        <w:rPr>
          <w:rFonts w:hint="eastAsia" w:ascii="宋体" w:hAnsi="宋体" w:eastAsia="宋体" w:cs="宋体"/>
          <w:bCs/>
          <w:snapToGrid w:val="0"/>
          <w:color w:val="000000"/>
          <w:sz w:val="24"/>
          <w:szCs w:val="24"/>
          <w:highlight w:val="none"/>
        </w:rPr>
        <w:t>（1）施工预付款中已包括施工合同价的5%专用于承包人办理工人工资支付保证金，承包人必须于合同签订后5个工作日内办理完成保证金缴交或免缴手续。</w:t>
      </w:r>
    </w:p>
    <w:p w14:paraId="2CBC4A8B">
      <w:pPr>
        <w:spacing w:before="240" w:beforeLines="100" w:line="360" w:lineRule="auto"/>
        <w:ind w:firstLine="480" w:firstLineChars="200"/>
        <w:rPr>
          <w:rFonts w:hint="eastAsia" w:ascii="宋体" w:hAnsi="宋体" w:eastAsia="宋体" w:cs="宋体"/>
          <w:bCs/>
          <w:snapToGrid w:val="0"/>
          <w:color w:val="000000"/>
          <w:sz w:val="24"/>
          <w:szCs w:val="24"/>
          <w:highlight w:val="none"/>
        </w:rPr>
      </w:pPr>
      <w:r>
        <w:rPr>
          <w:rFonts w:hint="eastAsia" w:ascii="宋体" w:hAnsi="宋体" w:eastAsia="宋体" w:cs="宋体"/>
          <w:bCs/>
          <w:snapToGrid w:val="0"/>
          <w:color w:val="000000"/>
          <w:sz w:val="24"/>
          <w:szCs w:val="24"/>
          <w:highlight w:val="none"/>
        </w:rPr>
        <w:t>（2）承包人已依照相关规定开立工人工资支付专用账户，发包人支付工程进度款时，其中</w:t>
      </w:r>
      <w:r>
        <w:rPr>
          <w:rFonts w:hint="eastAsia" w:ascii="宋体" w:hAnsi="宋体" w:eastAsia="宋体" w:cs="宋体"/>
          <w:bCs/>
          <w:snapToGrid w:val="0"/>
          <w:color w:val="000000"/>
          <w:sz w:val="24"/>
          <w:szCs w:val="24"/>
          <w:highlight w:val="none"/>
          <w:lang w:val="en-US" w:eastAsia="zh-CN"/>
        </w:rPr>
        <w:t>70</w:t>
      </w:r>
      <w:r>
        <w:rPr>
          <w:rFonts w:hint="eastAsia" w:ascii="宋体" w:hAnsi="宋体" w:eastAsia="宋体" w:cs="宋体"/>
          <w:bCs/>
          <w:snapToGrid w:val="0"/>
          <w:color w:val="000000"/>
          <w:sz w:val="24"/>
          <w:szCs w:val="24"/>
          <w:highlight w:val="none"/>
        </w:rPr>
        <w:t>%支付进入本合同协议书载明的承包人账户、其中</w:t>
      </w:r>
      <w:r>
        <w:rPr>
          <w:rFonts w:hint="eastAsia" w:ascii="宋体" w:hAnsi="宋体" w:eastAsia="宋体" w:cs="宋体"/>
          <w:bCs/>
          <w:snapToGrid w:val="0"/>
          <w:color w:val="000000"/>
          <w:sz w:val="24"/>
          <w:szCs w:val="24"/>
          <w:highlight w:val="none"/>
          <w:lang w:val="en-US" w:eastAsia="zh-CN"/>
        </w:rPr>
        <w:t>30</w:t>
      </w:r>
      <w:r>
        <w:rPr>
          <w:rFonts w:hint="eastAsia" w:ascii="宋体" w:hAnsi="宋体" w:eastAsia="宋体" w:cs="宋体"/>
          <w:bCs/>
          <w:snapToGrid w:val="0"/>
          <w:color w:val="000000"/>
          <w:sz w:val="24"/>
          <w:szCs w:val="24"/>
          <w:highlight w:val="none"/>
        </w:rPr>
        <w:t>%支付进入本款载明的工人工资支付专用账户。承包人必须与所有聘用人员签订劳动合同，并按劳动合同约定每月足额通过专用账户发放工资，并按月将工资发放资料提交一份给发包人。</w:t>
      </w:r>
    </w:p>
    <w:p w14:paraId="36B29CC9">
      <w:pPr>
        <w:spacing w:before="240" w:beforeLines="100" w:line="360" w:lineRule="auto"/>
        <w:ind w:firstLine="480" w:firstLineChars="200"/>
        <w:rPr>
          <w:rFonts w:hint="eastAsia" w:ascii="宋体" w:hAnsi="宋体" w:eastAsia="宋体" w:cs="宋体"/>
          <w:bCs/>
          <w:snapToGrid w:val="0"/>
          <w:color w:val="000000"/>
          <w:sz w:val="24"/>
          <w:szCs w:val="24"/>
          <w:highlight w:val="none"/>
        </w:rPr>
      </w:pPr>
      <w:r>
        <w:rPr>
          <w:rFonts w:hint="eastAsia" w:ascii="宋体" w:hAnsi="宋体" w:eastAsia="宋体" w:cs="宋体"/>
          <w:bCs/>
          <w:snapToGrid w:val="0"/>
          <w:color w:val="000000"/>
          <w:sz w:val="24"/>
          <w:szCs w:val="24"/>
          <w:highlight w:val="none"/>
        </w:rPr>
        <w:t>（3）承包人应在开工前编制用工实名管理专项方案以及费用使用计划，经监理单位审批后，作为施工合同的组成部分，并依照相关规定做好用工实名信息化化管理。</w:t>
      </w:r>
    </w:p>
    <w:p w14:paraId="40BE1F7D">
      <w:pPr>
        <w:spacing w:before="240" w:beforeLines="100" w:line="360" w:lineRule="auto"/>
        <w:ind w:firstLine="480" w:firstLineChars="200"/>
        <w:rPr>
          <w:rFonts w:hint="eastAsia" w:ascii="宋体" w:hAnsi="宋体" w:eastAsia="宋体" w:cs="宋体"/>
          <w:bCs/>
          <w:snapToGrid w:val="0"/>
          <w:color w:val="000000"/>
          <w:sz w:val="24"/>
          <w:szCs w:val="24"/>
          <w:highlight w:val="none"/>
        </w:rPr>
      </w:pPr>
      <w:r>
        <w:rPr>
          <w:rFonts w:hint="eastAsia" w:ascii="宋体" w:hAnsi="宋体" w:eastAsia="宋体" w:cs="宋体"/>
          <w:bCs/>
          <w:snapToGrid w:val="0"/>
          <w:color w:val="000000"/>
          <w:sz w:val="24"/>
          <w:szCs w:val="24"/>
          <w:highlight w:val="none"/>
        </w:rPr>
        <w:t>4.2承包人除办理用工保险外还须根据</w:t>
      </w:r>
      <w:r>
        <w:rPr>
          <w:rFonts w:hint="eastAsia" w:ascii="宋体" w:hAnsi="宋体" w:eastAsia="宋体" w:cs="宋体"/>
          <w:bCs/>
          <w:snapToGrid w:val="0"/>
          <w:color w:val="000000"/>
          <w:sz w:val="24"/>
          <w:szCs w:val="24"/>
          <w:highlight w:val="none"/>
          <w:lang w:val="en-US" w:eastAsia="zh-CN"/>
        </w:rPr>
        <w:t>韶关市浈江区住房和城乡建设局</w:t>
      </w:r>
      <w:r>
        <w:rPr>
          <w:rFonts w:hint="eastAsia" w:ascii="宋体" w:hAnsi="宋体" w:eastAsia="宋体" w:cs="宋体"/>
          <w:bCs/>
          <w:snapToGrid w:val="0"/>
          <w:color w:val="000000"/>
          <w:sz w:val="24"/>
          <w:szCs w:val="24"/>
          <w:highlight w:val="none"/>
        </w:rPr>
        <w:t>《关于贯彻落实房屋建筑和市政基础设施施工领域安全生产责任保险工作的通知》（2022年1月17日）相关要求落实安全生产责任保险。</w:t>
      </w:r>
    </w:p>
    <w:p w14:paraId="201FCB94">
      <w:pPr>
        <w:pStyle w:val="27"/>
        <w:numPr>
          <w:ilvl w:val="0"/>
          <w:numId w:val="1"/>
        </w:numPr>
        <w:spacing w:line="360" w:lineRule="auto"/>
        <w:ind w:firstLine="482"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最终以合同签订为准，其他合同条款由招标人与中标人自行协商约定。</w:t>
      </w:r>
    </w:p>
    <w:p w14:paraId="7E8AA3BC">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76D7DAFE">
      <w:pPr>
        <w:keepNext w:val="0"/>
        <w:keepLines w:val="0"/>
        <w:pageBreakBefore w:val="0"/>
        <w:wordWrap w:val="0"/>
        <w:overflowPunct/>
        <w:topLinePunct w:val="0"/>
        <w:bidi w:val="0"/>
        <w:spacing w:before="78" w:line="219" w:lineRule="auto"/>
        <w:ind w:left="3273"/>
        <w:outlineLvl w:val="0"/>
        <w:rPr>
          <w:rFonts w:hint="eastAsia" w:ascii="宋体" w:hAnsi="宋体" w:eastAsia="宋体" w:cs="宋体"/>
          <w:color w:val="auto"/>
          <w:spacing w:val="0"/>
          <w:highlight w:val="none"/>
        </w:rPr>
      </w:pPr>
      <w:bookmarkStart w:id="171" w:name="_Toc23273"/>
      <w:r>
        <w:rPr>
          <w:rFonts w:hint="eastAsia" w:ascii="宋体" w:hAnsi="宋体" w:eastAsia="宋体" w:cs="宋体"/>
          <w:b/>
          <w:bCs/>
          <w:color w:val="auto"/>
          <w:spacing w:val="0"/>
          <w:sz w:val="24"/>
          <w:szCs w:val="24"/>
          <w:highlight w:val="none"/>
        </w:rPr>
        <w:t>第四章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技术要求</w:t>
      </w:r>
      <w:bookmarkEnd w:id="171"/>
    </w:p>
    <w:p w14:paraId="3201299A">
      <w:pPr>
        <w:pStyle w:val="8"/>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39B809F3">
      <w:pPr>
        <w:keepNext w:val="0"/>
        <w:keepLines w:val="0"/>
        <w:pageBreakBefore w:val="0"/>
        <w:wordWrap w:val="0"/>
        <w:overflowPunct/>
        <w:topLinePunct w:val="0"/>
        <w:bidi w:val="0"/>
        <w:spacing w:before="78" w:line="221" w:lineRule="auto"/>
        <w:ind w:left="125"/>
        <w:outlineLvl w:val="2"/>
        <w:rPr>
          <w:rFonts w:hint="eastAsia" w:ascii="宋体" w:hAnsi="宋体" w:eastAsia="宋体" w:cs="宋体"/>
          <w:color w:val="auto"/>
          <w:spacing w:val="0"/>
          <w:sz w:val="24"/>
          <w:szCs w:val="24"/>
          <w:highlight w:val="none"/>
        </w:rPr>
      </w:pPr>
      <w:bookmarkStart w:id="172" w:name="_Toc27505"/>
      <w:bookmarkStart w:id="173" w:name="_Toc10155"/>
      <w:r>
        <w:rPr>
          <w:rFonts w:hint="eastAsia" w:ascii="宋体" w:hAnsi="宋体" w:eastAsia="宋体" w:cs="宋体"/>
          <w:b/>
          <w:bCs/>
          <w:color w:val="auto"/>
          <w:spacing w:val="0"/>
          <w:sz w:val="24"/>
          <w:szCs w:val="24"/>
          <w:highlight w:val="none"/>
        </w:rPr>
        <w:t>1 ．房屋建筑工程建设项目</w:t>
      </w:r>
      <w:bookmarkEnd w:id="172"/>
      <w:bookmarkEnd w:id="173"/>
    </w:p>
    <w:p w14:paraId="050B4243">
      <w:pPr>
        <w:keepNext w:val="0"/>
        <w:keepLines w:val="0"/>
        <w:pageBreakBefore w:val="0"/>
        <w:wordWrap w:val="0"/>
        <w:overflowPunct/>
        <w:topLinePunct w:val="0"/>
        <w:bidi w:val="0"/>
        <w:spacing w:before="152" w:line="220"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房屋建筑工程建设项目必须执行的现行技术规范，包括且不限于：</w:t>
      </w:r>
    </w:p>
    <w:p w14:paraId="3EC0C14D">
      <w:pPr>
        <w:keepNext w:val="0"/>
        <w:keepLines w:val="0"/>
        <w:pageBreakBefore w:val="0"/>
        <w:wordWrap w:val="0"/>
        <w:overflowPunct/>
        <w:topLinePunct w:val="0"/>
        <w:bidi w:val="0"/>
        <w:spacing w:before="155"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（1）《建筑工程施工质量验收统一标准》；</w:t>
      </w:r>
    </w:p>
    <w:p w14:paraId="22B24C08">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（2）《建筑地基基础工程施工质量验收规范》；</w:t>
      </w:r>
    </w:p>
    <w:p w14:paraId="5ED60998">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（3）《砌体工程施工质量验收规范》；</w:t>
      </w:r>
    </w:p>
    <w:p w14:paraId="25C5BA7D">
      <w:pPr>
        <w:keepNext w:val="0"/>
        <w:keepLines w:val="0"/>
        <w:pageBreakBefore w:val="0"/>
        <w:wordWrap w:val="0"/>
        <w:overflowPunct/>
        <w:topLinePunct w:val="0"/>
        <w:bidi w:val="0"/>
        <w:spacing w:before="155"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（4）《混凝土结构工程施工质量验收规范》；</w:t>
      </w:r>
    </w:p>
    <w:p w14:paraId="25488D25">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（5）《屋面工程质量验收规范》；</w:t>
      </w:r>
    </w:p>
    <w:p w14:paraId="6337919B">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（6）《地下防水工程质量验收规范》；</w:t>
      </w:r>
    </w:p>
    <w:p w14:paraId="2609EC74">
      <w:pPr>
        <w:keepNext w:val="0"/>
        <w:keepLines w:val="0"/>
        <w:pageBreakBefore w:val="0"/>
        <w:wordWrap w:val="0"/>
        <w:overflowPunct/>
        <w:topLinePunct w:val="0"/>
        <w:bidi w:val="0"/>
        <w:spacing w:before="156"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（7）《建筑地面工程施工质量验收规范》；</w:t>
      </w:r>
    </w:p>
    <w:p w14:paraId="4F1399EE">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（8）《建筑装饰装修工程施工质量验收规范》；</w:t>
      </w:r>
    </w:p>
    <w:p w14:paraId="64083FEC">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（9）《建筑给排水及采暖工程施工质量验收规范》；</w:t>
      </w:r>
    </w:p>
    <w:p w14:paraId="069B6833">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（10）《建筑电气工程施工质量验收规范》；</w:t>
      </w:r>
    </w:p>
    <w:p w14:paraId="67EBC88C">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（11）《住建部绿色建筑评价标准》；</w:t>
      </w:r>
    </w:p>
    <w:p w14:paraId="37F4B509">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（12）《建筑节能与可再生能源利用通用规范》（GB55015-2021）；</w:t>
      </w:r>
    </w:p>
    <w:p w14:paraId="2389BAA8">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（13）《建筑环境通用规范》；</w:t>
      </w:r>
    </w:p>
    <w:p w14:paraId="16160537">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74" w:name="_Toc12084"/>
      <w:bookmarkStart w:id="175" w:name="_Toc16294"/>
      <w:r>
        <w:rPr>
          <w:rFonts w:hint="eastAsia" w:ascii="宋体" w:hAnsi="宋体" w:eastAsia="宋体" w:cs="宋体"/>
          <w:color w:val="auto"/>
          <w:spacing w:val="0"/>
          <w:sz w:val="24"/>
          <w:szCs w:val="24"/>
          <w:highlight w:val="none"/>
        </w:rPr>
        <w:t>（14）《建筑与市政工程无障碍通用规范》 GB 55019-2021；</w:t>
      </w:r>
      <w:bookmarkEnd w:id="174"/>
      <w:bookmarkEnd w:id="175"/>
    </w:p>
    <w:p w14:paraId="7D62B009">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76" w:name="_Toc1177"/>
      <w:bookmarkStart w:id="177" w:name="_Toc15158"/>
      <w:r>
        <w:rPr>
          <w:rFonts w:hint="eastAsia" w:ascii="宋体" w:hAnsi="宋体" w:eastAsia="宋体" w:cs="宋体"/>
          <w:color w:val="auto"/>
          <w:spacing w:val="0"/>
          <w:sz w:val="24"/>
          <w:szCs w:val="24"/>
          <w:highlight w:val="none"/>
        </w:rPr>
        <w:t>（15）《建筑防火通用规范》GB 55037-2022;</w:t>
      </w:r>
      <w:bookmarkEnd w:id="176"/>
      <w:bookmarkEnd w:id="177"/>
    </w:p>
    <w:p w14:paraId="6015FD54">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78" w:name="_Toc2461"/>
      <w:bookmarkStart w:id="179" w:name="_Toc24233"/>
      <w:r>
        <w:rPr>
          <w:rFonts w:hint="eastAsia" w:ascii="宋体" w:hAnsi="宋体" w:eastAsia="宋体" w:cs="宋体"/>
          <w:color w:val="auto"/>
          <w:spacing w:val="0"/>
          <w:sz w:val="24"/>
          <w:szCs w:val="24"/>
          <w:highlight w:val="none"/>
        </w:rPr>
        <w:t>（16）《建筑与市政工程抗震通用规范》GB55002-2001;</w:t>
      </w:r>
      <w:bookmarkEnd w:id="178"/>
      <w:bookmarkEnd w:id="179"/>
    </w:p>
    <w:p w14:paraId="1F601298">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80" w:name="_Toc5777"/>
      <w:bookmarkStart w:id="181" w:name="_Toc8109"/>
      <w:r>
        <w:rPr>
          <w:rFonts w:hint="eastAsia" w:ascii="宋体" w:hAnsi="宋体" w:eastAsia="宋体" w:cs="宋体"/>
          <w:color w:val="auto"/>
          <w:spacing w:val="0"/>
          <w:sz w:val="24"/>
          <w:szCs w:val="24"/>
          <w:highlight w:val="none"/>
        </w:rPr>
        <w:t>（17）《建筑与市政地基基础通用规范》GB55003-2001;</w:t>
      </w:r>
      <w:bookmarkEnd w:id="180"/>
      <w:bookmarkEnd w:id="181"/>
    </w:p>
    <w:p w14:paraId="7769CBE8">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（18）《广东省住房和城乡建设厅绿色施工导则》；</w:t>
      </w:r>
    </w:p>
    <w:p w14:paraId="2E0BAF3F">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（19）《广东省建筑工程绿色施工评价标准》；</w:t>
      </w:r>
    </w:p>
    <w:p w14:paraId="4AD58CAF">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（20）《广东省建筑节能与绿色建筑工程施工质量验收规范》</w:t>
      </w:r>
    </w:p>
    <w:p w14:paraId="2252F8FB">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（21）其他现行国家、广东省关于房建工程的施工及验收规范、定额、规程、标准。</w:t>
      </w:r>
    </w:p>
    <w:p w14:paraId="2829F9CD">
      <w:pPr>
        <w:pStyle w:val="8"/>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6BD7F3EB">
      <w:pPr>
        <w:keepNext w:val="0"/>
        <w:keepLines w:val="0"/>
        <w:pageBreakBefore w:val="0"/>
        <w:wordWrap w:val="0"/>
        <w:overflowPunct/>
        <w:topLinePunct w:val="0"/>
        <w:bidi w:val="0"/>
        <w:spacing w:before="78" w:line="220" w:lineRule="auto"/>
        <w:ind w:left="115"/>
        <w:outlineLvl w:val="2"/>
        <w:rPr>
          <w:rFonts w:hint="eastAsia" w:ascii="宋体" w:hAnsi="宋体" w:eastAsia="宋体" w:cs="宋体"/>
          <w:color w:val="auto"/>
          <w:spacing w:val="0"/>
          <w:sz w:val="24"/>
          <w:szCs w:val="24"/>
          <w:highlight w:val="none"/>
        </w:rPr>
      </w:pPr>
      <w:bookmarkStart w:id="182" w:name="_Toc15652"/>
      <w:bookmarkStart w:id="183" w:name="_Toc25503"/>
      <w:r>
        <w:rPr>
          <w:rFonts w:hint="eastAsia" w:ascii="宋体" w:hAnsi="宋体" w:eastAsia="宋体" w:cs="宋体"/>
          <w:b/>
          <w:bCs/>
          <w:color w:val="auto"/>
          <w:spacing w:val="0"/>
          <w:sz w:val="24"/>
          <w:szCs w:val="24"/>
          <w:highlight w:val="none"/>
        </w:rPr>
        <w:t>2 ．市政基础设施工程建设项目</w:t>
      </w:r>
      <w:bookmarkEnd w:id="182"/>
      <w:bookmarkEnd w:id="183"/>
    </w:p>
    <w:p w14:paraId="3B044182">
      <w:pPr>
        <w:keepNext w:val="0"/>
        <w:keepLines w:val="0"/>
        <w:pageBreakBefore w:val="0"/>
        <w:wordWrap w:val="0"/>
        <w:overflowPunct/>
        <w:topLinePunct w:val="0"/>
        <w:bidi w:val="0"/>
        <w:spacing w:before="154" w:line="220" w:lineRule="auto"/>
        <w:ind w:left="1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市政基础设施工程建设项目必须执行的现行技术规范，包括且不限于：</w:t>
      </w:r>
    </w:p>
    <w:p w14:paraId="28C3DC9E">
      <w:pPr>
        <w:keepNext w:val="0"/>
        <w:keepLines w:val="0"/>
        <w:pageBreakBefore w:val="0"/>
        <w:wordWrap w:val="0"/>
        <w:overflowPunct/>
        <w:topLinePunct w:val="0"/>
        <w:bidi w:val="0"/>
        <w:spacing w:before="155"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（1）《公路路基施工技术规范》；</w:t>
      </w:r>
    </w:p>
    <w:p w14:paraId="4D013B7E">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（2）《市政道路工程质量检验评定标准》；</w:t>
      </w:r>
    </w:p>
    <w:p w14:paraId="1D0CEE6F">
      <w:pPr>
        <w:keepNext w:val="0"/>
        <w:keepLines w:val="0"/>
        <w:pageBreakBefore w:val="0"/>
        <w:wordWrap w:val="0"/>
        <w:overflowPunct/>
        <w:topLinePunct w:val="0"/>
        <w:bidi w:val="0"/>
        <w:spacing w:before="154"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（3）《市政排水管渠工程质量检验评定标准》；</w:t>
      </w:r>
    </w:p>
    <w:p w14:paraId="5762B28C">
      <w:pPr>
        <w:keepNext w:val="0"/>
        <w:keepLines w:val="0"/>
        <w:pageBreakBefore w:val="0"/>
        <w:widowControl w:val="0"/>
        <w:kinsoku w:val="0"/>
        <w:wordWrap w:val="0"/>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（4）《给水排水管道工程施工及验收规范》；</w:t>
      </w:r>
    </w:p>
    <w:p w14:paraId="2C15D184">
      <w:pPr>
        <w:keepNext w:val="0"/>
        <w:keepLines w:val="0"/>
        <w:pageBreakBefore w:val="0"/>
        <w:widowControl w:val="0"/>
        <w:kinsoku w:val="0"/>
        <w:wordWrap w:val="0"/>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（5）《城市道路路基工程施工及验收规范》；</w:t>
      </w:r>
    </w:p>
    <w:p w14:paraId="289264E6">
      <w:pPr>
        <w:keepNext w:val="0"/>
        <w:keepLines w:val="0"/>
        <w:pageBreakBefore w:val="0"/>
        <w:widowControl w:val="0"/>
        <w:kinsoku w:val="0"/>
        <w:wordWrap w:val="0"/>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（6）《水泥砼路面施工及验收规范》；</w:t>
      </w:r>
    </w:p>
    <w:p w14:paraId="2933B3ED">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（7）《公路水泥砼路面施工技术规范》；</w:t>
      </w:r>
    </w:p>
    <w:p w14:paraId="6AFB4FD9">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（8）《埋地硬聚氯乙烯排水管道工程技术规程》；</w:t>
      </w:r>
    </w:p>
    <w:p w14:paraId="77DD156A">
      <w:pPr>
        <w:keepNext w:val="0"/>
        <w:keepLines w:val="0"/>
        <w:pageBreakBefore w:val="0"/>
        <w:widowControl w:val="0"/>
        <w:kinsoku w:val="0"/>
        <w:wordWrap w:val="0"/>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（9）《沥青路面施工及验收规范》；</w:t>
      </w:r>
    </w:p>
    <w:p w14:paraId="6315DB4B">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（10）《广东省市政工程施工质量技术资料统一用表》。</w:t>
      </w:r>
    </w:p>
    <w:p w14:paraId="0ADE511F">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84" w:name="_Toc8494"/>
      <w:bookmarkStart w:id="185" w:name="_Toc30781"/>
      <w:r>
        <w:rPr>
          <w:rFonts w:hint="eastAsia" w:ascii="宋体" w:hAnsi="宋体" w:eastAsia="宋体" w:cs="宋体"/>
          <w:color w:val="auto"/>
          <w:spacing w:val="0"/>
          <w:sz w:val="24"/>
          <w:szCs w:val="24"/>
          <w:highlight w:val="none"/>
        </w:rPr>
        <w:t>（11）《建筑与市政工程无障碍通用规范》 GB 55019-2021；</w:t>
      </w:r>
      <w:bookmarkEnd w:id="184"/>
      <w:bookmarkEnd w:id="185"/>
    </w:p>
    <w:p w14:paraId="3B2A76D8">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86" w:name="_Toc31143"/>
      <w:bookmarkStart w:id="187" w:name="_Toc17383"/>
      <w:r>
        <w:rPr>
          <w:rFonts w:hint="eastAsia" w:ascii="宋体" w:hAnsi="宋体" w:eastAsia="宋体" w:cs="宋体"/>
          <w:color w:val="auto"/>
          <w:spacing w:val="0"/>
          <w:sz w:val="24"/>
          <w:szCs w:val="24"/>
          <w:highlight w:val="none"/>
        </w:rPr>
        <w:t>（12）《建筑防火通用规范》GB 55037-2022;</w:t>
      </w:r>
      <w:bookmarkEnd w:id="186"/>
      <w:bookmarkEnd w:id="187"/>
    </w:p>
    <w:p w14:paraId="5317219A">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88" w:name="_Toc954"/>
      <w:bookmarkStart w:id="189" w:name="_Toc32476"/>
      <w:r>
        <w:rPr>
          <w:rFonts w:hint="eastAsia" w:ascii="宋体" w:hAnsi="宋体" w:eastAsia="宋体" w:cs="宋体"/>
          <w:color w:val="auto"/>
          <w:spacing w:val="0"/>
          <w:sz w:val="24"/>
          <w:szCs w:val="24"/>
          <w:highlight w:val="none"/>
        </w:rPr>
        <w:t>（13）《建筑与市政工程抗震通用规范》GB55002-2001;</w:t>
      </w:r>
      <w:bookmarkEnd w:id="188"/>
      <w:bookmarkEnd w:id="189"/>
    </w:p>
    <w:p w14:paraId="04AA5FD5">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0" w:name="_Toc27898"/>
      <w:bookmarkStart w:id="191" w:name="_Toc7185"/>
      <w:r>
        <w:rPr>
          <w:rFonts w:hint="eastAsia" w:ascii="宋体" w:hAnsi="宋体" w:eastAsia="宋体" w:cs="宋体"/>
          <w:color w:val="auto"/>
          <w:spacing w:val="0"/>
          <w:sz w:val="24"/>
          <w:szCs w:val="24"/>
          <w:highlight w:val="none"/>
        </w:rPr>
        <w:t>（14）《建筑与市政地基基础通用规范》GB55003-2001;</w:t>
      </w:r>
      <w:bookmarkEnd w:id="190"/>
      <w:bookmarkEnd w:id="191"/>
    </w:p>
    <w:p w14:paraId="62803EA2">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2" w:name="_Toc29669"/>
      <w:bookmarkStart w:id="193" w:name="_Toc17281"/>
      <w:r>
        <w:rPr>
          <w:rFonts w:hint="eastAsia" w:ascii="宋体" w:hAnsi="宋体" w:eastAsia="宋体" w:cs="宋体"/>
          <w:color w:val="auto"/>
          <w:spacing w:val="0"/>
          <w:sz w:val="24"/>
          <w:szCs w:val="24"/>
          <w:highlight w:val="none"/>
        </w:rPr>
        <w:t>（15）《城市道路照明设计标准》（CJJ45-2015）；</w:t>
      </w:r>
      <w:bookmarkEnd w:id="192"/>
      <w:bookmarkEnd w:id="193"/>
    </w:p>
    <w:p w14:paraId="35B71F3B">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4" w:name="_Toc31812"/>
      <w:bookmarkStart w:id="195" w:name="_Toc9161"/>
      <w:r>
        <w:rPr>
          <w:rFonts w:hint="eastAsia" w:ascii="宋体" w:hAnsi="宋体" w:eastAsia="宋体" w:cs="宋体"/>
          <w:color w:val="auto"/>
          <w:spacing w:val="0"/>
          <w:sz w:val="24"/>
          <w:szCs w:val="24"/>
          <w:highlight w:val="none"/>
        </w:rPr>
        <w:t>（16）《低压配电设计规范》（GB50054-2011）；</w:t>
      </w:r>
      <w:bookmarkEnd w:id="194"/>
      <w:bookmarkEnd w:id="195"/>
    </w:p>
    <w:p w14:paraId="6E393E7D">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6" w:name="_Toc6405"/>
      <w:bookmarkStart w:id="197" w:name="_Toc18255"/>
      <w:r>
        <w:rPr>
          <w:rFonts w:hint="eastAsia" w:ascii="宋体" w:hAnsi="宋体" w:eastAsia="宋体" w:cs="宋体"/>
          <w:color w:val="auto"/>
          <w:spacing w:val="0"/>
          <w:sz w:val="24"/>
          <w:szCs w:val="24"/>
          <w:highlight w:val="none"/>
        </w:rPr>
        <w:t>（17）《城市道路照明工程施工及验收规程》（CJJ89-2012）；</w:t>
      </w:r>
      <w:bookmarkEnd w:id="196"/>
      <w:bookmarkEnd w:id="197"/>
    </w:p>
    <w:p w14:paraId="274C6759">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（18）《LED 道路照明工程技术规范》（DB44/T 1898-2016）；</w:t>
      </w:r>
    </w:p>
    <w:p w14:paraId="123F6939">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（19）《灯具第 1 部分：一般要求与试验》（GB7000.1-2015）；</w:t>
      </w:r>
    </w:p>
    <w:p w14:paraId="429D4794">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（20）《电缆工程电缆设计标准》（GB50217-2018）；</w:t>
      </w:r>
    </w:p>
    <w:p w14:paraId="404BFE10">
      <w:pPr>
        <w:keepNext w:val="0"/>
        <w:keepLines w:val="0"/>
        <w:pageBreakBefore w:val="0"/>
        <w:widowControl w:val="0"/>
        <w:kinsoku w:val="0"/>
        <w:wordWrap w:val="0"/>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（21）其他现行国家、广东省关于市政工程的技术及验收规范、定额、规程、标准。</w:t>
      </w:r>
    </w:p>
    <w:p w14:paraId="43D072C0">
      <w:pPr>
        <w:pStyle w:val="8"/>
        <w:keepNext w:val="0"/>
        <w:keepLines w:val="0"/>
        <w:pageBreakBefore w:val="0"/>
        <w:widowControl w:val="0"/>
        <w:kinsoku w:val="0"/>
        <w:wordWrap w:val="0"/>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spacing w:val="0"/>
          <w:highlight w:val="none"/>
        </w:rPr>
      </w:pPr>
    </w:p>
    <w:p w14:paraId="3D026D9D">
      <w:pPr>
        <w:pStyle w:val="8"/>
        <w:keepNext w:val="0"/>
        <w:keepLines w:val="0"/>
        <w:pageBreakBefore w:val="0"/>
        <w:widowControl w:val="0"/>
        <w:kinsoku w:val="0"/>
        <w:wordWrap w:val="0"/>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spacing w:val="0"/>
          <w:highlight w:val="none"/>
        </w:rPr>
      </w:pPr>
    </w:p>
    <w:p w14:paraId="0D07F4F1">
      <w:pPr>
        <w:keepNext w:val="0"/>
        <w:keepLines w:val="0"/>
        <w:pageBreakBefore w:val="0"/>
        <w:widowControl w:val="0"/>
        <w:kinsoku w:val="0"/>
        <w:wordWrap w:val="0"/>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auto"/>
          <w:spacing w:val="0"/>
          <w:sz w:val="24"/>
          <w:szCs w:val="24"/>
          <w:highlight w:val="none"/>
        </w:rPr>
      </w:pPr>
      <w:bookmarkStart w:id="198" w:name="_Toc9200"/>
      <w:bookmarkStart w:id="199" w:name="_Toc14904"/>
      <w:r>
        <w:rPr>
          <w:rFonts w:hint="eastAsia" w:ascii="宋体" w:hAnsi="宋体" w:eastAsia="宋体" w:cs="宋体"/>
          <w:b/>
          <w:bCs/>
          <w:color w:val="auto"/>
          <w:spacing w:val="0"/>
          <w:sz w:val="24"/>
          <w:szCs w:val="24"/>
          <w:highlight w:val="none"/>
        </w:rPr>
        <w:t>3 ．备查要求</w:t>
      </w:r>
      <w:bookmarkEnd w:id="198"/>
      <w:bookmarkEnd w:id="199"/>
    </w:p>
    <w:p w14:paraId="0A659DD4">
      <w:pPr>
        <w:keepNext w:val="0"/>
        <w:keepLines w:val="0"/>
        <w:pageBreakBefore w:val="0"/>
        <w:widowControl w:val="0"/>
        <w:kinsoku w:val="0"/>
        <w:wordWrap w:val="0"/>
        <w:overflowPunct/>
        <w:topLinePunct w:val="0"/>
        <w:autoSpaceDE w:val="0"/>
        <w:autoSpaceDN w:val="0"/>
        <w:bidi w:val="0"/>
        <w:adjustRightInd w:val="0"/>
        <w:snapToGrid w:val="0"/>
        <w:spacing w:before="155" w:line="324" w:lineRule="auto"/>
        <w:ind w:right="81" w:firstLine="561"/>
        <w:jc w:val="both"/>
        <w:textAlignment w:val="baseline"/>
        <w:rPr>
          <w:rFonts w:hint="eastAsia"/>
          <w:color w:val="auto"/>
          <w:spacing w:val="0"/>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pacing w:val="0"/>
          <w:sz w:val="24"/>
          <w:szCs w:val="24"/>
          <w:highlight w:val="none"/>
        </w:rPr>
        <w:t>承包人必须在施工现场准备至少一套上述规范，发包人和监理单位可随时检查承 包人的上述规范，并监督承包人按规范要求执行。</w:t>
      </w:r>
    </w:p>
    <w:p w14:paraId="70A319DE">
      <w:pPr>
        <w:keepNext w:val="0"/>
        <w:keepLines w:val="0"/>
        <w:pageBreakBefore w:val="0"/>
        <w:wordWrap w:val="0"/>
        <w:overflowPunct/>
        <w:topLinePunct w:val="0"/>
        <w:bidi w:val="0"/>
        <w:spacing w:before="78" w:line="219" w:lineRule="auto"/>
        <w:jc w:val="center"/>
        <w:outlineLvl w:val="0"/>
        <w:rPr>
          <w:rFonts w:hint="eastAsia" w:ascii="宋体" w:hAnsi="宋体" w:eastAsia="宋体" w:cs="宋体"/>
          <w:color w:val="auto"/>
          <w:spacing w:val="0"/>
          <w:sz w:val="24"/>
          <w:szCs w:val="24"/>
          <w:highlight w:val="none"/>
        </w:rPr>
      </w:pPr>
      <w:bookmarkStart w:id="200" w:name="bookmark146"/>
      <w:bookmarkEnd w:id="200"/>
      <w:bookmarkStart w:id="201" w:name="bookmark100"/>
      <w:bookmarkEnd w:id="201"/>
      <w:bookmarkStart w:id="202" w:name="_Toc946"/>
      <w:r>
        <w:rPr>
          <w:rFonts w:hint="eastAsia" w:ascii="宋体" w:hAnsi="宋体" w:eastAsia="宋体" w:cs="宋体"/>
          <w:b/>
          <w:bCs/>
          <w:color w:val="auto"/>
          <w:spacing w:val="0"/>
          <w:sz w:val="24"/>
          <w:szCs w:val="24"/>
          <w:highlight w:val="none"/>
        </w:rPr>
        <w:t>第五章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图纸和招标工程量清单</w:t>
      </w:r>
      <w:bookmarkEnd w:id="202"/>
    </w:p>
    <w:p w14:paraId="6AC473F9">
      <w:pPr>
        <w:pStyle w:val="8"/>
        <w:keepNext w:val="0"/>
        <w:keepLines w:val="0"/>
        <w:pageBreakBefore w:val="0"/>
        <w:wordWrap w:val="0"/>
        <w:overflowPunct/>
        <w:topLinePunct w:val="0"/>
        <w:bidi w:val="0"/>
        <w:spacing w:line="283" w:lineRule="auto"/>
        <w:rPr>
          <w:rFonts w:hint="eastAsia" w:ascii="宋体" w:hAnsi="宋体" w:eastAsia="宋体" w:cs="宋体"/>
          <w:color w:val="auto"/>
          <w:spacing w:val="0"/>
          <w:highlight w:val="none"/>
        </w:rPr>
      </w:pPr>
    </w:p>
    <w:p w14:paraId="5D6D037F">
      <w:pPr>
        <w:pStyle w:val="8"/>
        <w:keepNext w:val="0"/>
        <w:keepLines w:val="0"/>
        <w:pageBreakBefore w:val="0"/>
        <w:wordWrap w:val="0"/>
        <w:overflowPunct/>
        <w:topLinePunct w:val="0"/>
        <w:bidi w:val="0"/>
        <w:spacing w:line="284" w:lineRule="auto"/>
        <w:rPr>
          <w:rFonts w:hint="eastAsia" w:ascii="宋体" w:hAnsi="宋体" w:eastAsia="宋体" w:cs="宋体"/>
          <w:color w:val="auto"/>
          <w:spacing w:val="0"/>
          <w:highlight w:val="none"/>
        </w:rPr>
      </w:pPr>
    </w:p>
    <w:p w14:paraId="0445B316">
      <w:pPr>
        <w:keepNext w:val="0"/>
        <w:keepLines w:val="0"/>
        <w:pageBreakBefore w:val="0"/>
        <w:wordWrap w:val="0"/>
        <w:overflowPunct/>
        <w:topLinePunct w:val="0"/>
        <w:bidi w:val="0"/>
        <w:spacing w:before="78" w:line="219" w:lineRule="auto"/>
        <w:ind w:left="10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□有，另附复印件         </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有，自行网上下载(浏览)           □无</w:t>
      </w:r>
    </w:p>
    <w:p w14:paraId="06973F82">
      <w:pPr>
        <w:pStyle w:val="8"/>
        <w:keepNext w:val="0"/>
        <w:keepLines w:val="0"/>
        <w:pageBreakBefore w:val="0"/>
        <w:wordWrap w:val="0"/>
        <w:overflowPunct/>
        <w:topLinePunct w:val="0"/>
        <w:bidi w:val="0"/>
        <w:spacing w:line="265" w:lineRule="auto"/>
        <w:rPr>
          <w:rFonts w:hint="eastAsia" w:ascii="宋体" w:hAnsi="宋体" w:eastAsia="宋体" w:cs="宋体"/>
          <w:color w:val="auto"/>
          <w:spacing w:val="0"/>
          <w:highlight w:val="none"/>
        </w:rPr>
      </w:pPr>
    </w:p>
    <w:p w14:paraId="48CAC688">
      <w:pPr>
        <w:keepNext w:val="0"/>
        <w:keepLines w:val="0"/>
        <w:pageBreakBefore w:val="0"/>
        <w:wordWrap w:val="0"/>
        <w:overflowPunct/>
        <w:topLinePunct w:val="0"/>
        <w:bidi w:val="0"/>
        <w:spacing w:before="151" w:line="222" w:lineRule="auto"/>
        <w:ind w:left="715"/>
        <w:outlineLvl w:val="2"/>
        <w:rPr>
          <w:rFonts w:hint="eastAsia" w:ascii="宋体" w:hAnsi="宋体" w:eastAsia="宋体" w:cs="宋体"/>
          <w:color w:val="auto"/>
          <w:spacing w:val="0"/>
          <w:sz w:val="24"/>
          <w:szCs w:val="24"/>
          <w:highlight w:val="none"/>
        </w:rPr>
      </w:pPr>
      <w:bookmarkStart w:id="203" w:name="_Toc24446"/>
      <w:bookmarkStart w:id="204" w:name="_Toc24415"/>
      <w:r>
        <w:rPr>
          <w:rFonts w:hint="eastAsia" w:ascii="宋体" w:hAnsi="宋体" w:eastAsia="宋体" w:cs="宋体"/>
          <w:b/>
          <w:bCs/>
          <w:color w:val="auto"/>
          <w:spacing w:val="0"/>
          <w:sz w:val="24"/>
          <w:szCs w:val="24"/>
          <w:highlight w:val="none"/>
        </w:rPr>
        <w:t>1 ．图纸</w:t>
      </w:r>
      <w:bookmarkEnd w:id="203"/>
      <w:bookmarkEnd w:id="204"/>
    </w:p>
    <w:p w14:paraId="3CE037BD">
      <w:pPr>
        <w:keepNext w:val="0"/>
        <w:keepLines w:val="0"/>
        <w:pageBreakBefore w:val="0"/>
        <w:wordWrap w:val="0"/>
        <w:overflowPunct/>
        <w:topLinePunct w:val="0"/>
        <w:bidi w:val="0"/>
        <w:spacing w:before="150" w:line="330" w:lineRule="auto"/>
        <w:ind w:left="230" w:firstLine="48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本招标文件随文另附施工图（电子文件）一套。</w:t>
      </w:r>
    </w:p>
    <w:p w14:paraId="15A44684">
      <w:pPr>
        <w:pStyle w:val="8"/>
        <w:keepNext w:val="0"/>
        <w:keepLines w:val="0"/>
        <w:pageBreakBefore w:val="0"/>
        <w:wordWrap w:val="0"/>
        <w:overflowPunct/>
        <w:topLinePunct w:val="0"/>
        <w:bidi w:val="0"/>
        <w:spacing w:line="253" w:lineRule="auto"/>
        <w:rPr>
          <w:rFonts w:hint="eastAsia" w:ascii="宋体" w:hAnsi="宋体" w:eastAsia="宋体" w:cs="宋体"/>
          <w:color w:val="auto"/>
          <w:spacing w:val="0"/>
          <w:highlight w:val="none"/>
        </w:rPr>
      </w:pPr>
    </w:p>
    <w:p w14:paraId="58FD0004">
      <w:pPr>
        <w:keepNext w:val="0"/>
        <w:keepLines w:val="0"/>
        <w:pageBreakBefore w:val="0"/>
        <w:wordWrap w:val="0"/>
        <w:overflowPunct/>
        <w:topLinePunct w:val="0"/>
        <w:bidi w:val="0"/>
        <w:spacing w:before="79" w:line="221" w:lineRule="auto"/>
        <w:ind w:left="705"/>
        <w:outlineLvl w:val="2"/>
        <w:rPr>
          <w:rFonts w:hint="eastAsia" w:ascii="宋体" w:hAnsi="宋体" w:eastAsia="宋体" w:cs="宋体"/>
          <w:color w:val="auto"/>
          <w:spacing w:val="0"/>
          <w:sz w:val="24"/>
          <w:szCs w:val="24"/>
          <w:highlight w:val="none"/>
        </w:rPr>
      </w:pPr>
      <w:bookmarkStart w:id="205" w:name="_Toc9064"/>
      <w:bookmarkStart w:id="206" w:name="_Toc1081"/>
      <w:r>
        <w:rPr>
          <w:rFonts w:hint="eastAsia" w:ascii="宋体" w:hAnsi="宋体" w:eastAsia="宋体" w:cs="宋体"/>
          <w:b/>
          <w:bCs/>
          <w:color w:val="auto"/>
          <w:spacing w:val="0"/>
          <w:sz w:val="24"/>
          <w:szCs w:val="24"/>
          <w:highlight w:val="none"/>
        </w:rPr>
        <w:t>2 ．招标工程量清单</w:t>
      </w:r>
      <w:bookmarkEnd w:id="205"/>
      <w:bookmarkEnd w:id="206"/>
    </w:p>
    <w:p w14:paraId="65F4E704">
      <w:pPr>
        <w:keepNext w:val="0"/>
        <w:keepLines w:val="0"/>
        <w:pageBreakBefore w:val="0"/>
        <w:wordWrap w:val="0"/>
        <w:overflowPunct/>
        <w:topLinePunct w:val="0"/>
        <w:bidi w:val="0"/>
        <w:spacing w:before="117" w:line="312" w:lineRule="auto"/>
        <w:ind w:left="23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2.1  </w:t>
      </w:r>
      <w:r>
        <w:rPr>
          <w:rFonts w:hint="eastAsia" w:ascii="宋体" w:hAnsi="宋体" w:eastAsia="宋体" w:cs="宋体"/>
          <w:color w:val="auto"/>
          <w:spacing w:val="0"/>
          <w:sz w:val="24"/>
          <w:szCs w:val="24"/>
          <w:highlight w:val="none"/>
        </w:rPr>
        <w:t>本招标文件随文另附</w:t>
      </w:r>
      <w:bookmarkStart w:id="207" w:name="OLE_LINK33"/>
      <w:r>
        <w:rPr>
          <w:rFonts w:hint="eastAsia" w:ascii="宋体" w:hAnsi="宋体" w:eastAsia="宋体" w:cs="宋体"/>
          <w:color w:val="auto"/>
          <w:spacing w:val="0"/>
          <w:sz w:val="24"/>
          <w:szCs w:val="24"/>
          <w:highlight w:val="none"/>
          <w:u w:val="single"/>
        </w:rPr>
        <w:t>招标工程量清单  EXCEL 版</w:t>
      </w:r>
      <w:bookmarkEnd w:id="207"/>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电子文件一套。</w:t>
      </w:r>
    </w:p>
    <w:p w14:paraId="33AD0AD8">
      <w:pPr>
        <w:keepNext w:val="0"/>
        <w:keepLines w:val="0"/>
        <w:pageBreakBefore w:val="0"/>
        <w:wordWrap w:val="0"/>
        <w:overflowPunct/>
        <w:topLinePunct w:val="0"/>
        <w:bidi w:val="0"/>
        <w:spacing w:before="78" w:line="219" w:lineRule="auto"/>
        <w:ind w:left="478" w:firstLine="241" w:firstLineChars="100"/>
        <w:rPr>
          <w:rFonts w:hint="eastAsia" w:ascii="宋体" w:hAnsi="宋体" w:eastAsia="宋体" w:cs="宋体"/>
          <w:color w:val="auto"/>
          <w:spacing w:val="0"/>
          <w:sz w:val="24"/>
          <w:szCs w:val="24"/>
          <w:highlight w:val="none"/>
        </w:rPr>
      </w:pPr>
      <w:bookmarkStart w:id="208" w:name="bookmark147"/>
      <w:bookmarkEnd w:id="208"/>
      <w:r>
        <w:rPr>
          <w:rFonts w:hint="eastAsia" w:ascii="宋体" w:hAnsi="宋体" w:eastAsia="宋体" w:cs="宋体"/>
          <w:b/>
          <w:bCs/>
          <w:color w:val="auto"/>
          <w:spacing w:val="0"/>
          <w:sz w:val="24"/>
          <w:szCs w:val="24"/>
          <w:highlight w:val="none"/>
        </w:rPr>
        <w:t xml:space="preserve">2.2  </w:t>
      </w:r>
      <w:r>
        <w:rPr>
          <w:rFonts w:hint="eastAsia" w:ascii="宋体" w:hAnsi="宋体" w:eastAsia="宋体" w:cs="宋体"/>
          <w:color w:val="auto"/>
          <w:spacing w:val="0"/>
          <w:sz w:val="24"/>
          <w:szCs w:val="24"/>
          <w:highlight w:val="none"/>
        </w:rPr>
        <w:t>本工程按照以下依据编制</w:t>
      </w:r>
      <w:r>
        <w:rPr>
          <w:rFonts w:hint="eastAsia" w:ascii="宋体" w:hAnsi="宋体" w:eastAsia="宋体" w:cs="宋体"/>
          <w:color w:val="auto"/>
          <w:spacing w:val="0"/>
          <w:sz w:val="24"/>
          <w:szCs w:val="24"/>
          <w:highlight w:val="none"/>
          <w:u w:val="single"/>
        </w:rPr>
        <w:t>招标工程量清单</w:t>
      </w:r>
      <w:r>
        <w:rPr>
          <w:rFonts w:hint="eastAsia" w:ascii="宋体" w:hAnsi="宋体" w:eastAsia="宋体" w:cs="宋体"/>
          <w:color w:val="auto"/>
          <w:spacing w:val="0"/>
          <w:sz w:val="24"/>
          <w:szCs w:val="24"/>
          <w:highlight w:val="none"/>
        </w:rPr>
        <w:t>：</w:t>
      </w:r>
    </w:p>
    <w:p w14:paraId="4ADE5BD6">
      <w:pPr>
        <w:keepNext w:val="0"/>
        <w:keepLines w:val="0"/>
        <w:pageBreakBefore w:val="0"/>
        <w:wordWrap w:val="0"/>
        <w:overflowPunct/>
        <w:topLinePunct w:val="0"/>
        <w:bidi w:val="0"/>
        <w:spacing w:before="123" w:line="219"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11C4EC15">
      <w:pPr>
        <w:keepNext w:val="0"/>
        <w:keepLines w:val="0"/>
        <w:pageBreakBefore w:val="0"/>
        <w:wordWrap w:val="0"/>
        <w:overflowPunct/>
        <w:topLinePunct w:val="0"/>
        <w:bidi w:val="0"/>
        <w:spacing w:before="115" w:line="299" w:lineRule="auto"/>
        <w:ind w:firstLine="49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应对招标人提供的工程量清单进行认真细致的复核。这种复核包括对招标人提供的工程量清单中的子目编码、子目名称、子目特征描述、计量单位、工程量的准确性以及可能存在的任何书写、打印错误进行检查和复核，特别是对“分部分项工程量清单与计价表”中每个工作子目的工程量进行重新计算和校核。如果投标人经过检查和复核以后认为招标人提供的工程量清单存在差异，则投标人应将此类差异的详细情况连同按“投标须知 ”规定提交的要求招标人澄清的其他问题一起提交给招标人，招标人将根据实际情况决定是否颁发</w:t>
      </w:r>
      <w:r>
        <w:rPr>
          <w:rFonts w:hint="eastAsia" w:ascii="宋体" w:hAnsi="宋体" w:eastAsia="宋体" w:cs="宋体"/>
          <w:color w:val="auto"/>
          <w:spacing w:val="0"/>
          <w:sz w:val="24"/>
          <w:szCs w:val="24"/>
          <w:highlight w:val="none"/>
          <w:u w:val="single"/>
        </w:rPr>
        <w:t>工程量清单</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的补充和(或)修改文件。</w:t>
      </w:r>
    </w:p>
    <w:p w14:paraId="396435DC">
      <w:pPr>
        <w:keepNext w:val="0"/>
        <w:keepLines w:val="0"/>
        <w:pageBreakBefore w:val="0"/>
        <w:wordWrap w:val="0"/>
        <w:overflowPunct/>
        <w:topLinePunct w:val="0"/>
        <w:bidi w:val="0"/>
        <w:spacing w:before="79" w:line="263" w:lineRule="auto"/>
        <w:ind w:left="2" w:right="2"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（3）本招标工程量清单措施项目中的</w:t>
      </w:r>
      <w:r>
        <w:rPr>
          <w:rFonts w:hint="eastAsia" w:ascii="宋体" w:hAnsi="宋体" w:eastAsia="宋体" w:cs="宋体"/>
          <w:b/>
          <w:bCs/>
          <w:color w:val="auto"/>
          <w:spacing w:val="0"/>
          <w:sz w:val="24"/>
          <w:szCs w:val="24"/>
          <w:highlight w:val="none"/>
        </w:rPr>
        <w:t>暂列金额、暂估价</w:t>
      </w:r>
      <w:r>
        <w:rPr>
          <w:rFonts w:hint="eastAsia" w:ascii="宋体" w:hAnsi="宋体" w:eastAsia="宋体" w:cs="宋体"/>
          <w:color w:val="auto"/>
          <w:spacing w:val="0"/>
          <w:sz w:val="24"/>
          <w:szCs w:val="24"/>
          <w:highlight w:val="none"/>
        </w:rPr>
        <w:t>不得作为竞争性费用，投标报价必须按本招标工程量清单规定的金额填报。</w:t>
      </w:r>
    </w:p>
    <w:p w14:paraId="7E3C2A06">
      <w:pPr>
        <w:keepNext w:val="0"/>
        <w:keepLines w:val="0"/>
        <w:pageBreakBefore w:val="0"/>
        <w:wordWrap w:val="0"/>
        <w:overflowPunct/>
        <w:topLinePunct w:val="0"/>
        <w:bidi w:val="0"/>
        <w:spacing w:before="118" w:line="265" w:lineRule="auto"/>
        <w:ind w:left="7" w:right="4" w:firstLine="48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（4）投标报价使用的表格格式须按照《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14F500B5">
      <w:pPr>
        <w:keepNext w:val="0"/>
        <w:keepLines w:val="0"/>
        <w:pageBreakBefore w:val="0"/>
        <w:wordWrap w:val="0"/>
        <w:overflowPunct/>
        <w:topLinePunct w:val="0"/>
        <w:bidi w:val="0"/>
        <w:spacing w:before="107" w:line="286" w:lineRule="auto"/>
        <w:ind w:right="4"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30D23E0F">
      <w:pPr>
        <w:keepNext w:val="0"/>
        <w:keepLines w:val="0"/>
        <w:pageBreakBefore w:val="0"/>
        <w:wordWrap w:val="0"/>
        <w:overflowPunct/>
        <w:topLinePunct w:val="0"/>
        <w:bidi w:val="0"/>
        <w:spacing w:before="146" w:line="221"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（6）施工图及相关资料；</w:t>
      </w:r>
    </w:p>
    <w:p w14:paraId="40D30AFB">
      <w:pPr>
        <w:keepNext w:val="0"/>
        <w:keepLines w:val="0"/>
        <w:pageBreakBefore w:val="0"/>
        <w:wordWrap w:val="0"/>
        <w:overflowPunct/>
        <w:topLinePunct w:val="0"/>
        <w:bidi w:val="0"/>
        <w:spacing w:before="153" w:line="22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（7）招标文件；</w:t>
      </w:r>
    </w:p>
    <w:p w14:paraId="1BB0CBB1">
      <w:pPr>
        <w:keepNext w:val="0"/>
        <w:keepLines w:val="0"/>
        <w:pageBreakBefore w:val="0"/>
        <w:wordWrap w:val="0"/>
        <w:overflowPunct/>
        <w:topLinePunct w:val="0"/>
        <w:bidi w:val="0"/>
        <w:spacing w:before="155" w:line="22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（8）施工现场情况、地勘水文资料、工程特点及常规施工方案；</w:t>
      </w:r>
    </w:p>
    <w:p w14:paraId="6410E1A2">
      <w:pPr>
        <w:keepNext w:val="0"/>
        <w:keepLines w:val="0"/>
        <w:pageBreakBefore w:val="0"/>
        <w:wordWrap w:val="0"/>
        <w:overflowPunct/>
        <w:topLinePunct w:val="0"/>
        <w:bidi w:val="0"/>
        <w:spacing w:before="153" w:line="219"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（9）与建设工程有关的标准、规范、技术资料、材料设备信息价或市场价格等。</w:t>
      </w:r>
    </w:p>
    <w:p w14:paraId="1D4C5EAD">
      <w:pPr>
        <w:pStyle w:val="27"/>
        <w:rPr>
          <w:rFonts w:hint="eastAsia"/>
          <w:highlight w:val="none"/>
        </w:rPr>
      </w:pPr>
    </w:p>
    <w:p w14:paraId="4AC2D2DC">
      <w:pPr>
        <w:keepNext w:val="0"/>
        <w:keepLines w:val="0"/>
        <w:pageBreakBefore w:val="0"/>
        <w:wordWrap w:val="0"/>
        <w:overflowPunct/>
        <w:topLinePunct w:val="0"/>
        <w:bidi w:val="0"/>
        <w:spacing w:line="219" w:lineRule="auto"/>
        <w:rPr>
          <w:rFonts w:hint="eastAsia" w:ascii="宋体" w:hAnsi="宋体" w:eastAsia="宋体" w:cs="宋体"/>
          <w:color w:val="auto"/>
          <w:spacing w:val="0"/>
          <w:sz w:val="24"/>
          <w:szCs w:val="24"/>
          <w:highlight w:val="none"/>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6DDC0F87">
      <w:pPr>
        <w:pStyle w:val="8"/>
        <w:keepNext w:val="0"/>
        <w:keepLines w:val="0"/>
        <w:pageBreakBefore w:val="0"/>
        <w:wordWrap w:val="0"/>
        <w:overflowPunct/>
        <w:topLinePunct w:val="0"/>
        <w:bidi w:val="0"/>
        <w:spacing w:line="304" w:lineRule="auto"/>
        <w:rPr>
          <w:rFonts w:hint="eastAsia" w:ascii="宋体" w:hAnsi="宋体" w:eastAsia="宋体" w:cs="宋体"/>
          <w:color w:val="auto"/>
          <w:spacing w:val="0"/>
          <w:highlight w:val="none"/>
        </w:rPr>
      </w:pPr>
    </w:p>
    <w:p w14:paraId="53A71D7E">
      <w:pPr>
        <w:keepNext w:val="0"/>
        <w:keepLines w:val="0"/>
        <w:pageBreakBefore w:val="0"/>
        <w:wordWrap w:val="0"/>
        <w:overflowPunct/>
        <w:topLinePunct w:val="0"/>
        <w:bidi w:val="0"/>
        <w:spacing w:before="78" w:line="219" w:lineRule="auto"/>
        <w:ind w:left="3357"/>
        <w:outlineLvl w:val="0"/>
        <w:rPr>
          <w:rFonts w:hint="eastAsia" w:ascii="宋体" w:hAnsi="宋体" w:eastAsia="宋体" w:cs="宋体"/>
          <w:color w:val="auto"/>
          <w:spacing w:val="0"/>
          <w:sz w:val="24"/>
          <w:szCs w:val="24"/>
          <w:highlight w:val="none"/>
        </w:rPr>
      </w:pPr>
      <w:bookmarkStart w:id="209" w:name="_Toc3447"/>
      <w:r>
        <w:rPr>
          <w:rFonts w:hint="eastAsia" w:ascii="宋体" w:hAnsi="宋体" w:eastAsia="宋体" w:cs="宋体"/>
          <w:b/>
          <w:bCs/>
          <w:color w:val="auto"/>
          <w:spacing w:val="0"/>
          <w:sz w:val="24"/>
          <w:szCs w:val="24"/>
          <w:highlight w:val="none"/>
        </w:rPr>
        <w:t>第六章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投标文件格式</w:t>
      </w:r>
      <w:bookmarkEnd w:id="209"/>
    </w:p>
    <w:p w14:paraId="2EC1601C">
      <w:pPr>
        <w:pStyle w:val="8"/>
        <w:keepNext w:val="0"/>
        <w:keepLines w:val="0"/>
        <w:pageBreakBefore w:val="0"/>
        <w:wordWrap w:val="0"/>
        <w:overflowPunct/>
        <w:topLinePunct w:val="0"/>
        <w:bidi w:val="0"/>
        <w:spacing w:line="302" w:lineRule="auto"/>
        <w:jc w:val="right"/>
        <w:rPr>
          <w:rFonts w:hint="eastAsia" w:ascii="宋体" w:hAnsi="宋体" w:eastAsia="宋体" w:cs="宋体"/>
          <w:color w:val="auto"/>
          <w:spacing w:val="0"/>
          <w:highlight w:val="none"/>
        </w:rPr>
      </w:pPr>
    </w:p>
    <w:p w14:paraId="35317F27">
      <w:pPr>
        <w:keepNext w:val="0"/>
        <w:keepLines w:val="0"/>
        <w:pageBreakBefore w:val="0"/>
        <w:wordWrap w:val="0"/>
        <w:overflowPunct/>
        <w:topLinePunct w:val="0"/>
        <w:bidi w:val="0"/>
        <w:spacing w:before="78" w:line="220" w:lineRule="auto"/>
        <w:outlineLvl w:val="2"/>
        <w:rPr>
          <w:rFonts w:hint="eastAsia" w:ascii="宋体" w:hAnsi="宋体" w:eastAsia="宋体" w:cs="宋体"/>
          <w:color w:val="auto"/>
          <w:spacing w:val="0"/>
          <w:sz w:val="24"/>
          <w:szCs w:val="24"/>
          <w:highlight w:val="none"/>
        </w:rPr>
      </w:pPr>
      <w:bookmarkStart w:id="210" w:name="_Toc27656"/>
      <w:r>
        <w:rPr>
          <w:rFonts w:hint="eastAsia" w:ascii="宋体" w:hAnsi="宋体" w:eastAsia="宋体" w:cs="宋体"/>
          <w:b/>
          <w:bCs/>
          <w:color w:val="auto"/>
          <w:spacing w:val="0"/>
          <w:sz w:val="24"/>
          <w:szCs w:val="24"/>
          <w:highlight w:val="none"/>
        </w:rPr>
        <w:t>格式一</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封面</w:t>
      </w:r>
      <w:bookmarkEnd w:id="210"/>
    </w:p>
    <w:p w14:paraId="22939F0A">
      <w:pPr>
        <w:pStyle w:val="8"/>
        <w:keepNext w:val="0"/>
        <w:keepLines w:val="0"/>
        <w:pageBreakBefore w:val="0"/>
        <w:wordWrap w:val="0"/>
        <w:overflowPunct/>
        <w:topLinePunct w:val="0"/>
        <w:bidi w:val="0"/>
        <w:spacing w:line="258" w:lineRule="auto"/>
        <w:rPr>
          <w:rFonts w:hint="eastAsia" w:ascii="宋体" w:hAnsi="宋体" w:eastAsia="宋体" w:cs="宋体"/>
          <w:color w:val="auto"/>
          <w:spacing w:val="0"/>
          <w:highlight w:val="none"/>
        </w:rPr>
      </w:pPr>
    </w:p>
    <w:p w14:paraId="66915BCF">
      <w:pPr>
        <w:pStyle w:val="8"/>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6B9238C0">
      <w:pPr>
        <w:pStyle w:val="8"/>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51AEF4BE">
      <w:pPr>
        <w:keepNext w:val="0"/>
        <w:keepLines w:val="0"/>
        <w:pageBreakBefore w:val="0"/>
        <w:wordWrap w:val="0"/>
        <w:overflowPunct/>
        <w:topLinePunct w:val="0"/>
        <w:bidi w:val="0"/>
        <w:spacing w:before="153" w:line="225" w:lineRule="auto"/>
        <w:ind w:left="-1" w:leftChars="0" w:firstLine="0" w:firstLineChars="0"/>
        <w:jc w:val="center"/>
        <w:rPr>
          <w:rFonts w:hint="eastAsia" w:ascii="宋体" w:hAnsi="宋体" w:eastAsia="宋体" w:cs="宋体"/>
          <w:color w:val="auto"/>
          <w:spacing w:val="0"/>
          <w:sz w:val="47"/>
          <w:szCs w:val="47"/>
          <w:highlight w:val="none"/>
        </w:rPr>
      </w:pPr>
      <w:r>
        <w:rPr>
          <w:rFonts w:hint="eastAsia" w:ascii="宋体" w:hAnsi="宋体" w:eastAsia="宋体" w:cs="宋体"/>
          <w:b/>
          <w:bCs/>
          <w:color w:val="auto"/>
          <w:spacing w:val="0"/>
          <w:sz w:val="47"/>
          <w:szCs w:val="47"/>
          <w:highlight w:val="none"/>
          <w:u w:val="single"/>
          <w:lang w:val="en-US" w:eastAsia="zh-CN"/>
        </w:rPr>
        <w:t xml:space="preserve">    </w:t>
      </w:r>
      <w:r>
        <w:rPr>
          <w:rFonts w:hint="eastAsia" w:ascii="宋体" w:hAnsi="宋体" w:eastAsia="宋体" w:cs="宋体"/>
          <w:b/>
          <w:bCs/>
          <w:color w:val="auto"/>
          <w:spacing w:val="0"/>
          <w:sz w:val="47"/>
          <w:szCs w:val="47"/>
          <w:highlight w:val="none"/>
          <w:u w:val="single"/>
        </w:rPr>
        <w:t>（项目名称）</w:t>
      </w:r>
      <w:r>
        <w:rPr>
          <w:rFonts w:hint="eastAsia" w:ascii="宋体" w:hAnsi="宋体" w:eastAsia="宋体" w:cs="宋体"/>
          <w:b/>
          <w:bCs/>
          <w:color w:val="auto"/>
          <w:spacing w:val="0"/>
          <w:sz w:val="47"/>
          <w:szCs w:val="47"/>
          <w:highlight w:val="none"/>
          <w:u w:val="none"/>
          <w:lang w:val="en-US" w:eastAsia="zh-CN"/>
        </w:rPr>
        <w:t>施工</w:t>
      </w:r>
      <w:r>
        <w:rPr>
          <w:rFonts w:hint="eastAsia" w:ascii="宋体" w:hAnsi="宋体" w:eastAsia="宋体" w:cs="宋体"/>
          <w:b/>
          <w:bCs/>
          <w:color w:val="auto"/>
          <w:spacing w:val="0"/>
          <w:sz w:val="47"/>
          <w:szCs w:val="47"/>
          <w:highlight w:val="none"/>
        </w:rPr>
        <w:t>招标</w:t>
      </w:r>
    </w:p>
    <w:p w14:paraId="72F4C1FC">
      <w:pPr>
        <w:pStyle w:val="8"/>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590D7A8C">
      <w:pPr>
        <w:pStyle w:val="8"/>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340A7482">
      <w:pPr>
        <w:pStyle w:val="8"/>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2B960F29">
      <w:pPr>
        <w:pStyle w:val="8"/>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2B958D73">
      <w:pPr>
        <w:pStyle w:val="8"/>
        <w:keepNext w:val="0"/>
        <w:keepLines w:val="0"/>
        <w:pageBreakBefore w:val="0"/>
        <w:wordWrap w:val="0"/>
        <w:overflowPunct/>
        <w:topLinePunct w:val="0"/>
        <w:bidi w:val="0"/>
        <w:spacing w:line="248" w:lineRule="auto"/>
        <w:rPr>
          <w:rFonts w:hint="eastAsia" w:ascii="宋体" w:hAnsi="宋体" w:eastAsia="宋体" w:cs="宋体"/>
          <w:color w:val="auto"/>
          <w:spacing w:val="0"/>
          <w:highlight w:val="none"/>
        </w:rPr>
      </w:pPr>
    </w:p>
    <w:p w14:paraId="47A72E10">
      <w:pPr>
        <w:keepNext w:val="0"/>
        <w:keepLines w:val="0"/>
        <w:pageBreakBefore w:val="0"/>
        <w:wordWrap w:val="0"/>
        <w:overflowPunct/>
        <w:topLinePunct w:val="0"/>
        <w:bidi w:val="0"/>
        <w:spacing w:before="231" w:line="223" w:lineRule="auto"/>
        <w:jc w:val="center"/>
        <w:rPr>
          <w:rFonts w:hint="eastAsia" w:ascii="宋体" w:hAnsi="宋体" w:eastAsia="宋体" w:cs="宋体"/>
          <w:color w:val="auto"/>
          <w:spacing w:val="0"/>
          <w:sz w:val="71"/>
          <w:szCs w:val="71"/>
          <w:highlight w:val="none"/>
        </w:rPr>
      </w:pPr>
      <w:r>
        <w:rPr>
          <w:rFonts w:hint="eastAsia" w:ascii="宋体" w:hAnsi="宋体" w:eastAsia="宋体" w:cs="宋体"/>
          <w:b/>
          <w:bCs/>
          <w:color w:val="auto"/>
          <w:spacing w:val="0"/>
          <w:sz w:val="71"/>
          <w:szCs w:val="71"/>
          <w:highlight w:val="none"/>
        </w:rPr>
        <w:t>投</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件</w:t>
      </w:r>
    </w:p>
    <w:p w14:paraId="18D44A5D">
      <w:pPr>
        <w:pStyle w:val="8"/>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2A01F55B">
      <w:pPr>
        <w:pStyle w:val="8"/>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60F88F6F">
      <w:pPr>
        <w:keepNext w:val="0"/>
        <w:keepLines w:val="0"/>
        <w:pageBreakBefore w:val="0"/>
        <w:wordWrap w:val="0"/>
        <w:overflowPunct/>
        <w:topLinePunct w:val="0"/>
        <w:bidi w:val="0"/>
        <w:spacing w:before="152" w:line="223" w:lineRule="auto"/>
        <w:jc w:val="center"/>
        <w:rPr>
          <w:rFonts w:hint="eastAsia" w:ascii="宋体" w:hAnsi="宋体" w:eastAsia="宋体" w:cs="宋体"/>
          <w:b/>
          <w:bCs/>
          <w:color w:val="auto"/>
          <w:spacing w:val="0"/>
          <w:sz w:val="47"/>
          <w:szCs w:val="47"/>
          <w:highlight w:val="none"/>
        </w:rPr>
      </w:pPr>
      <w:bookmarkStart w:id="211" w:name="bookmark105"/>
      <w:bookmarkEnd w:id="211"/>
      <w:r>
        <w:rPr>
          <w:rFonts w:hint="eastAsia" w:ascii="宋体" w:hAnsi="宋体" w:eastAsia="宋体" w:cs="宋体"/>
          <w:b/>
          <w:bCs/>
          <w:color w:val="auto"/>
          <w:spacing w:val="0"/>
          <w:sz w:val="47"/>
          <w:szCs w:val="47"/>
          <w:highlight w:val="none"/>
        </w:rPr>
        <w:t>（商务标书／经济标书／施工组织设计）</w:t>
      </w:r>
    </w:p>
    <w:p w14:paraId="1827A625">
      <w:pPr>
        <w:keepNext w:val="0"/>
        <w:keepLines w:val="0"/>
        <w:pageBreakBefore w:val="0"/>
        <w:wordWrap w:val="0"/>
        <w:overflowPunct/>
        <w:topLinePunct w:val="0"/>
        <w:bidi w:val="0"/>
        <w:rPr>
          <w:rFonts w:hint="eastAsia"/>
          <w:color w:val="auto"/>
          <w:spacing w:val="0"/>
          <w:highlight w:val="none"/>
        </w:rPr>
      </w:pPr>
    </w:p>
    <w:p w14:paraId="67DBC774">
      <w:pPr>
        <w:keepNext w:val="0"/>
        <w:keepLines w:val="0"/>
        <w:pageBreakBefore w:val="0"/>
        <w:wordWrap w:val="0"/>
        <w:overflowPunct/>
        <w:topLinePunct w:val="0"/>
        <w:bidi w:val="0"/>
        <w:rPr>
          <w:rFonts w:hint="eastAsia"/>
          <w:color w:val="auto"/>
          <w:spacing w:val="0"/>
          <w:highlight w:val="none"/>
        </w:rPr>
      </w:pPr>
    </w:p>
    <w:p w14:paraId="7A75E59A">
      <w:pPr>
        <w:keepNext w:val="0"/>
        <w:keepLines w:val="0"/>
        <w:pageBreakBefore w:val="0"/>
        <w:wordWrap w:val="0"/>
        <w:overflowPunct/>
        <w:topLinePunct w:val="0"/>
        <w:bidi w:val="0"/>
        <w:rPr>
          <w:rFonts w:hint="eastAsia"/>
          <w:color w:val="auto"/>
          <w:spacing w:val="0"/>
          <w:highlight w:val="none"/>
        </w:rPr>
      </w:pPr>
    </w:p>
    <w:p w14:paraId="15752D3C">
      <w:pPr>
        <w:keepNext w:val="0"/>
        <w:keepLines w:val="0"/>
        <w:pageBreakBefore w:val="0"/>
        <w:wordWrap w:val="0"/>
        <w:overflowPunct/>
        <w:topLinePunct w:val="0"/>
        <w:bidi w:val="0"/>
        <w:rPr>
          <w:rFonts w:hint="eastAsia"/>
          <w:color w:val="auto"/>
          <w:spacing w:val="0"/>
          <w:highlight w:val="none"/>
        </w:rPr>
      </w:pPr>
    </w:p>
    <w:p w14:paraId="5692DC52">
      <w:pPr>
        <w:keepNext w:val="0"/>
        <w:keepLines w:val="0"/>
        <w:pageBreakBefore w:val="0"/>
        <w:wordWrap w:val="0"/>
        <w:overflowPunct/>
        <w:topLinePunct w:val="0"/>
        <w:bidi w:val="0"/>
        <w:rPr>
          <w:rFonts w:hint="eastAsia"/>
          <w:color w:val="auto"/>
          <w:spacing w:val="0"/>
          <w:highlight w:val="none"/>
        </w:rPr>
      </w:pPr>
    </w:p>
    <w:p w14:paraId="16E4878E">
      <w:pPr>
        <w:keepNext w:val="0"/>
        <w:keepLines w:val="0"/>
        <w:pageBreakBefore w:val="0"/>
        <w:wordWrap w:val="0"/>
        <w:overflowPunct/>
        <w:topLinePunct w:val="0"/>
        <w:bidi w:val="0"/>
        <w:rPr>
          <w:rFonts w:hint="eastAsia"/>
          <w:color w:val="auto"/>
          <w:spacing w:val="0"/>
          <w:highlight w:val="none"/>
        </w:rPr>
      </w:pPr>
    </w:p>
    <w:p w14:paraId="02A3E851">
      <w:pPr>
        <w:keepNext w:val="0"/>
        <w:keepLines w:val="0"/>
        <w:pageBreakBefore w:val="0"/>
        <w:wordWrap w:val="0"/>
        <w:overflowPunct/>
        <w:topLinePunct w:val="0"/>
        <w:bidi w:val="0"/>
        <w:rPr>
          <w:rFonts w:hint="eastAsia"/>
          <w:color w:val="auto"/>
          <w:spacing w:val="0"/>
          <w:highlight w:val="none"/>
        </w:rPr>
      </w:pPr>
    </w:p>
    <w:p w14:paraId="239B10F6">
      <w:pPr>
        <w:keepNext w:val="0"/>
        <w:keepLines w:val="0"/>
        <w:pageBreakBefore w:val="0"/>
        <w:wordWrap w:val="0"/>
        <w:overflowPunct/>
        <w:topLinePunct w:val="0"/>
        <w:bidi w:val="0"/>
        <w:rPr>
          <w:rFonts w:hint="eastAsia"/>
          <w:color w:val="auto"/>
          <w:spacing w:val="0"/>
          <w:highlight w:val="none"/>
        </w:rPr>
      </w:pPr>
    </w:p>
    <w:p w14:paraId="7DEE428F">
      <w:pPr>
        <w:pStyle w:val="49"/>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投标人：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（盖单位章）</w:t>
      </w:r>
    </w:p>
    <w:p w14:paraId="1F2990EF">
      <w:pPr>
        <w:pStyle w:val="49"/>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392542ED">
      <w:pPr>
        <w:pStyle w:val="49"/>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6E8E05FF">
      <w:pPr>
        <w:pStyle w:val="49"/>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法定代表人或其委托代理人：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（签字或盖章）</w:t>
      </w:r>
    </w:p>
    <w:p w14:paraId="0A7DCB04">
      <w:pPr>
        <w:pStyle w:val="49"/>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078077D8">
      <w:pPr>
        <w:pStyle w:val="49"/>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u w:val="single"/>
        </w:rPr>
      </w:pPr>
    </w:p>
    <w:p w14:paraId="0B9F06FE">
      <w:pPr>
        <w:pStyle w:val="49"/>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
          <w:snapToGrid w:val="0"/>
          <w:color w:val="auto"/>
          <w:spacing w:val="0"/>
          <w:highlight w:val="none"/>
        </w:rPr>
      </w:pP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年</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月</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日</w:t>
      </w:r>
    </w:p>
    <w:p w14:paraId="2093C1E3">
      <w:pPr>
        <w:keepNext w:val="0"/>
        <w:keepLines w:val="0"/>
        <w:pageBreakBefore w:val="0"/>
        <w:wordWrap w:val="0"/>
        <w:overflowPunct/>
        <w:topLinePunct w:val="0"/>
        <w:bidi w:val="0"/>
        <w:rPr>
          <w:rFonts w:hint="eastAsia"/>
          <w:color w:val="auto"/>
          <w:spacing w:val="0"/>
          <w:highlight w:val="none"/>
        </w:rPr>
      </w:pPr>
    </w:p>
    <w:p w14:paraId="16E40CD3">
      <w:pPr>
        <w:keepNext w:val="0"/>
        <w:keepLines w:val="0"/>
        <w:pageBreakBefore w:val="0"/>
        <w:wordWrap w:val="0"/>
        <w:overflowPunct/>
        <w:topLinePunct w:val="0"/>
        <w:bidi w:val="0"/>
        <w:outlineLvl w:val="9"/>
        <w:rPr>
          <w:rFonts w:hint="eastAsia"/>
          <w:color w:val="auto"/>
          <w:spacing w:val="0"/>
          <w:highlight w:val="none"/>
        </w:rPr>
      </w:pPr>
    </w:p>
    <w:p w14:paraId="50644371">
      <w:pPr>
        <w:keepNext w:val="0"/>
        <w:keepLines w:val="0"/>
        <w:pageBreakBefore w:val="0"/>
        <w:wordWrap w:val="0"/>
        <w:overflowPunct/>
        <w:topLinePunct w:val="0"/>
        <w:bidi w:val="0"/>
        <w:spacing w:line="223" w:lineRule="auto"/>
        <w:rPr>
          <w:rFonts w:hint="eastAsia" w:ascii="宋体" w:hAnsi="宋体" w:eastAsia="宋体" w:cs="宋体"/>
          <w:color w:val="auto"/>
          <w:spacing w:val="0"/>
          <w:sz w:val="47"/>
          <w:szCs w:val="47"/>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4006671">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12" w:name="_Toc31847"/>
      <w:r>
        <w:rPr>
          <w:rFonts w:hint="eastAsia" w:ascii="宋体" w:hAnsi="宋体" w:eastAsia="宋体" w:cs="宋体"/>
          <w:b/>
          <w:bCs/>
          <w:color w:val="auto"/>
          <w:spacing w:val="0"/>
          <w:sz w:val="24"/>
          <w:szCs w:val="24"/>
          <w:highlight w:val="none"/>
        </w:rPr>
        <w:t>格式二 投标函</w:t>
      </w:r>
      <w:bookmarkEnd w:id="212"/>
    </w:p>
    <w:p w14:paraId="1D98FD50">
      <w:pPr>
        <w:pStyle w:val="8"/>
        <w:keepNext w:val="0"/>
        <w:keepLines w:val="0"/>
        <w:pageBreakBefore w:val="0"/>
        <w:wordWrap w:val="0"/>
        <w:overflowPunct/>
        <w:topLinePunct w:val="0"/>
        <w:bidi w:val="0"/>
        <w:spacing w:line="261" w:lineRule="auto"/>
        <w:rPr>
          <w:rFonts w:hint="eastAsia" w:ascii="宋体" w:hAnsi="宋体" w:eastAsia="宋体" w:cs="宋体"/>
          <w:color w:val="auto"/>
          <w:spacing w:val="0"/>
          <w:highlight w:val="none"/>
        </w:rPr>
      </w:pPr>
    </w:p>
    <w:p w14:paraId="4CF4C0CD">
      <w:pPr>
        <w:keepNext w:val="0"/>
        <w:keepLines w:val="0"/>
        <w:pageBreakBefore w:val="0"/>
        <w:wordWrap w:val="0"/>
        <w:overflowPunct/>
        <w:topLinePunct w:val="0"/>
        <w:bidi w:val="0"/>
        <w:spacing w:before="97" w:line="221" w:lineRule="auto"/>
        <w:ind w:left="3799"/>
        <w:outlineLvl w:val="9"/>
        <w:rPr>
          <w:rFonts w:hint="eastAsia" w:ascii="宋体" w:hAnsi="宋体" w:eastAsia="宋体" w:cs="宋体"/>
          <w:color w:val="auto"/>
          <w:spacing w:val="0"/>
          <w:sz w:val="30"/>
          <w:szCs w:val="30"/>
          <w:highlight w:val="none"/>
        </w:rPr>
      </w:pPr>
      <w:bookmarkStart w:id="213" w:name="bookmark148"/>
      <w:bookmarkEnd w:id="213"/>
      <w:bookmarkStart w:id="214" w:name="_Toc27397"/>
      <w:bookmarkStart w:id="215" w:name="_Toc297"/>
      <w:bookmarkStart w:id="216" w:name="_Toc317"/>
      <w:r>
        <w:rPr>
          <w:rFonts w:hint="eastAsia" w:ascii="宋体" w:hAnsi="宋体" w:eastAsia="宋体" w:cs="宋体"/>
          <w:b/>
          <w:bCs/>
          <w:color w:val="auto"/>
          <w:spacing w:val="0"/>
          <w:sz w:val="30"/>
          <w:szCs w:val="30"/>
          <w:highlight w:val="none"/>
        </w:rPr>
        <w:t>投</w:t>
      </w:r>
      <w:r>
        <w:rPr>
          <w:rFonts w:hint="eastAsia" w:ascii="宋体" w:hAnsi="宋体" w:eastAsia="宋体" w:cs="宋体"/>
          <w:color w:val="auto"/>
          <w:spacing w:val="0"/>
          <w:sz w:val="30"/>
          <w:szCs w:val="30"/>
          <w:highlight w:val="none"/>
        </w:rPr>
        <w:t xml:space="preserve">  </w:t>
      </w:r>
      <w:r>
        <w:rPr>
          <w:rFonts w:hint="eastAsia" w:ascii="宋体" w:hAnsi="宋体" w:eastAsia="宋体" w:cs="宋体"/>
          <w:b/>
          <w:bCs/>
          <w:color w:val="auto"/>
          <w:spacing w:val="0"/>
          <w:sz w:val="30"/>
          <w:szCs w:val="30"/>
          <w:highlight w:val="none"/>
        </w:rPr>
        <w:t>标</w:t>
      </w:r>
      <w:r>
        <w:rPr>
          <w:rFonts w:hint="eastAsia" w:ascii="宋体" w:hAnsi="宋体" w:eastAsia="宋体" w:cs="宋体"/>
          <w:color w:val="auto"/>
          <w:spacing w:val="0"/>
          <w:sz w:val="30"/>
          <w:szCs w:val="30"/>
          <w:highlight w:val="none"/>
        </w:rPr>
        <w:t xml:space="preserve">  </w:t>
      </w:r>
      <w:r>
        <w:rPr>
          <w:rFonts w:hint="eastAsia" w:ascii="宋体" w:hAnsi="宋体" w:eastAsia="宋体" w:cs="宋体"/>
          <w:b/>
          <w:bCs/>
          <w:color w:val="auto"/>
          <w:spacing w:val="0"/>
          <w:sz w:val="30"/>
          <w:szCs w:val="30"/>
          <w:highlight w:val="none"/>
        </w:rPr>
        <w:t>函</w:t>
      </w:r>
      <w:bookmarkEnd w:id="214"/>
      <w:bookmarkEnd w:id="215"/>
      <w:bookmarkEnd w:id="216"/>
    </w:p>
    <w:p w14:paraId="0BECEE49">
      <w:pPr>
        <w:pStyle w:val="8"/>
        <w:keepNext w:val="0"/>
        <w:keepLines w:val="0"/>
        <w:pageBreakBefore w:val="0"/>
        <w:wordWrap w:val="0"/>
        <w:overflowPunct/>
        <w:topLinePunct w:val="0"/>
        <w:bidi w:val="0"/>
        <w:spacing w:line="249" w:lineRule="auto"/>
        <w:rPr>
          <w:rFonts w:hint="eastAsia" w:ascii="宋体" w:hAnsi="宋体" w:eastAsia="宋体" w:cs="宋体"/>
          <w:color w:val="auto"/>
          <w:spacing w:val="0"/>
          <w:highlight w:val="none"/>
        </w:rPr>
      </w:pPr>
    </w:p>
    <w:p w14:paraId="6DB72834">
      <w:pPr>
        <w:pStyle w:val="8"/>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6B496E9A">
      <w:pPr>
        <w:pStyle w:val="8"/>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12B47534">
      <w:pPr>
        <w:keepNext w:val="0"/>
        <w:keepLines w:val="0"/>
        <w:pageBreakBefore w:val="0"/>
        <w:wordWrap w:val="0"/>
        <w:overflowPunct/>
        <w:topLinePunct w:val="0"/>
        <w:bidi w:val="0"/>
        <w:spacing w:before="78" w:line="221" w:lineRule="auto"/>
        <w:ind w:left="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致：</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（招标人名称）</w:t>
      </w:r>
    </w:p>
    <w:p w14:paraId="424F50E0">
      <w:pPr>
        <w:pStyle w:val="8"/>
        <w:keepNext w:val="0"/>
        <w:keepLines w:val="0"/>
        <w:pageBreakBefore w:val="0"/>
        <w:wordWrap w:val="0"/>
        <w:overflowPunct/>
        <w:topLinePunct w:val="0"/>
        <w:bidi w:val="0"/>
        <w:spacing w:before="156" w:line="328" w:lineRule="auto"/>
        <w:ind w:left="9" w:right="142" w:firstLine="589"/>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我方考察现场并充分研究</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（项目名称）（以下简称“本项目 ”）施工招标文件所有内容后，结合自身资质、能力和特点，愿意接受招标文件的全部内容和条件，兹以人民币（大写）：</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 的投标总价竞投本项目施工。</w:t>
      </w:r>
    </w:p>
    <w:p w14:paraId="65404536">
      <w:pPr>
        <w:keepNext w:val="0"/>
        <w:keepLines w:val="0"/>
        <w:pageBreakBefore w:val="0"/>
        <w:wordWrap w:val="0"/>
        <w:overflowPunct/>
        <w:topLinePunct w:val="0"/>
        <w:bidi w:val="0"/>
        <w:spacing w:before="39" w:line="323" w:lineRule="auto"/>
        <w:ind w:right="142" w:firstLine="57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在我方的上述投标总价中，包括：</w:t>
      </w:r>
      <w:r>
        <w:rPr>
          <w:rFonts w:hint="eastAsia" w:ascii="宋体" w:hAnsi="宋体" w:eastAsia="宋体" w:cs="宋体"/>
          <w:b w:val="0"/>
          <w:bCs/>
          <w:i w:val="0"/>
          <w:iCs w:val="0"/>
          <w:caps w:val="0"/>
          <w:spacing w:val="0"/>
          <w:sz w:val="24"/>
          <w:szCs w:val="24"/>
          <w:highlight w:val="none"/>
          <w:shd w:val="clear" w:color="auto" w:fill="FFFFFF"/>
        </w:rPr>
        <w:t>安全生产措施费</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none"/>
          <w:lang w:eastAsia="zh-CN"/>
        </w:rPr>
        <w:t>；暂列金额</w:t>
      </w:r>
      <w:r>
        <w:rPr>
          <w:rFonts w:hint="eastAsia" w:ascii="宋体" w:hAnsi="宋体" w:eastAsia="宋体" w:cs="宋体"/>
          <w:color w:val="auto"/>
          <w:spacing w:val="0"/>
          <w:sz w:val="24"/>
          <w:szCs w:val="24"/>
          <w:highlight w:val="none"/>
          <w:u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none"/>
          <w:lang w:eastAsia="zh-CN"/>
        </w:rPr>
        <w:t>；</w:t>
      </w:r>
      <w:r>
        <w:rPr>
          <w:rFonts w:hint="eastAsia" w:ascii="宋体" w:hAnsi="宋体" w:eastAsia="宋体" w:cs="宋体"/>
          <w:b w:val="0"/>
          <w:bCs/>
          <w:i w:val="0"/>
          <w:iCs w:val="0"/>
          <w:caps w:val="0"/>
          <w:spacing w:val="0"/>
          <w:sz w:val="24"/>
          <w:szCs w:val="24"/>
          <w:highlight w:val="none"/>
          <w:shd w:val="clear" w:color="auto" w:fill="FFFFFF"/>
        </w:rPr>
        <w:t>专业工程暂估价</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w:t>
      </w:r>
    </w:p>
    <w:p w14:paraId="05DB8658">
      <w:pPr>
        <w:keepNext w:val="0"/>
        <w:keepLines w:val="0"/>
        <w:pageBreakBefore w:val="0"/>
        <w:wordWrap w:val="0"/>
        <w:overflowPunct/>
        <w:topLinePunct w:val="0"/>
        <w:bidi w:val="0"/>
        <w:spacing w:before="38" w:line="280" w:lineRule="auto"/>
        <w:ind w:left="13" w:right="142" w:firstLine="56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如果我方中标，我方保证按照合同约定的开工日期开始本项目的施工，</w:t>
      </w:r>
      <w:bookmarkStart w:id="217" w:name="OLE_LINK34"/>
      <w:r>
        <w:rPr>
          <w:rFonts w:hint="eastAsia" w:ascii="宋体" w:hAnsi="宋体" w:eastAsia="宋体" w:cs="宋体"/>
          <w:color w:val="auto"/>
          <w:spacing w:val="0"/>
          <w:sz w:val="24"/>
          <w:szCs w:val="24"/>
          <w:highlight w:val="none"/>
          <w:u w:val="single"/>
          <w:lang w:val="en-US" w:eastAsia="zh-CN"/>
        </w:rPr>
        <w:t xml:space="preserve">     </w:t>
      </w:r>
      <w:bookmarkEnd w:id="217"/>
      <w:r>
        <w:rPr>
          <w:rFonts w:hint="eastAsia" w:ascii="宋体" w:hAnsi="宋体" w:eastAsia="宋体" w:cs="宋体"/>
          <w:color w:val="auto"/>
          <w:spacing w:val="0"/>
          <w:sz w:val="24"/>
          <w:szCs w:val="24"/>
          <w:highlight w:val="none"/>
        </w:rPr>
        <w:t>个日历天内竣工，并确保工程质量达到</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标准和维修其中的任何缺陷。</w:t>
      </w:r>
    </w:p>
    <w:p w14:paraId="7F9AEF98">
      <w:pPr>
        <w:keepNext w:val="0"/>
        <w:keepLines w:val="0"/>
        <w:pageBreakBefore w:val="0"/>
        <w:wordWrap w:val="0"/>
        <w:overflowPunct/>
        <w:topLinePunct w:val="0"/>
        <w:bidi w:val="0"/>
        <w:spacing w:before="152" w:line="279" w:lineRule="auto"/>
        <w:ind w:left="11" w:right="142" w:firstLine="56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本投标函在你方接收我方递交的投标文件之日起、到招标文件规定的投标有效期期满前对我方具有约束力。我方随时准备接受你方发出的中标通知书。</w:t>
      </w:r>
    </w:p>
    <w:p w14:paraId="27C14D7C">
      <w:pPr>
        <w:keepNext w:val="0"/>
        <w:keepLines w:val="0"/>
        <w:pageBreakBefore w:val="0"/>
        <w:wordWrap w:val="0"/>
        <w:overflowPunct/>
        <w:topLinePunct w:val="0"/>
        <w:bidi w:val="0"/>
        <w:spacing w:before="156" w:line="279" w:lineRule="auto"/>
        <w:ind w:left="11" w:right="61" w:firstLine="56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4 ．我方在此声明，我方不存在本项目招标文件第一章第三节第 </w:t>
      </w:r>
      <w:r>
        <w:rPr>
          <w:rFonts w:hint="eastAsia" w:ascii="宋体" w:hAnsi="宋体" w:eastAsia="宋体" w:cs="宋体"/>
          <w:b/>
          <w:bCs/>
          <w:color w:val="auto"/>
          <w:spacing w:val="0"/>
          <w:sz w:val="24"/>
          <w:szCs w:val="24"/>
          <w:highlight w:val="none"/>
        </w:rPr>
        <w:t>2.4</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条“禁止投标条款 ”所列出的任何一种情形，并愿意承担因我方就此弄虚作假所引起的一切法律后果。</w:t>
      </w:r>
    </w:p>
    <w:p w14:paraId="6BB8F2B3">
      <w:pPr>
        <w:keepNext w:val="0"/>
        <w:keepLines w:val="0"/>
        <w:pageBreakBefore w:val="0"/>
        <w:wordWrap w:val="0"/>
        <w:overflowPunct/>
        <w:topLinePunct w:val="0"/>
        <w:bidi w:val="0"/>
        <w:spacing w:before="153" w:line="280" w:lineRule="auto"/>
        <w:ind w:left="9" w:right="142" w:firstLine="57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．我方在此承诺，所递交投标文件的全部内容均为真实、有效、准确的，并愿意承担因我方就此弄虚作假所引起的一切法律后果，同时理解和同意有可能被要求提供更多的资料。</w:t>
      </w:r>
    </w:p>
    <w:p w14:paraId="1174E6A2">
      <w:pPr>
        <w:keepNext w:val="0"/>
        <w:keepLines w:val="0"/>
        <w:pageBreakBefore w:val="0"/>
        <w:wordWrap w:val="0"/>
        <w:overflowPunct/>
        <w:topLinePunct w:val="0"/>
        <w:bidi w:val="0"/>
        <w:spacing w:before="153" w:line="326" w:lineRule="auto"/>
        <w:ind w:left="13" w:firstLine="5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  我方理解你方不一定要接纳收到的最低投标总价或任何投标总价的投标人中标， 也不要求你方解释我方是否中标的原因。</w:t>
      </w:r>
    </w:p>
    <w:p w14:paraId="58BE135B">
      <w:pPr>
        <w:pStyle w:val="8"/>
        <w:keepNext w:val="0"/>
        <w:keepLines w:val="0"/>
        <w:pageBreakBefore w:val="0"/>
        <w:wordWrap w:val="0"/>
        <w:overflowPunct/>
        <w:topLinePunct w:val="0"/>
        <w:bidi w:val="0"/>
        <w:spacing w:line="276" w:lineRule="auto"/>
        <w:rPr>
          <w:rFonts w:hint="eastAsia" w:ascii="宋体" w:hAnsi="宋体" w:eastAsia="宋体" w:cs="宋体"/>
          <w:color w:val="auto"/>
          <w:spacing w:val="0"/>
          <w:highlight w:val="none"/>
        </w:rPr>
      </w:pPr>
    </w:p>
    <w:p w14:paraId="5982C2D6">
      <w:pPr>
        <w:pStyle w:val="8"/>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36BBA89B">
      <w:pPr>
        <w:pStyle w:val="8"/>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1FA3A66F">
      <w:pPr>
        <w:keepNext w:val="0"/>
        <w:keepLines w:val="0"/>
        <w:pageBreakBefore w:val="0"/>
        <w:wordWrap w:val="0"/>
        <w:overflowPunct/>
        <w:topLinePunct w:val="0"/>
        <w:bidi w:val="0"/>
        <w:spacing w:before="79" w:line="219" w:lineRule="auto"/>
        <w:ind w:firstLine="5760" w:firstLineChars="240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（（盖单位章）</w:t>
      </w:r>
    </w:p>
    <w:p w14:paraId="7244B7E4">
      <w:pPr>
        <w:pStyle w:val="8"/>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57CD189E">
      <w:pPr>
        <w:pStyle w:val="8"/>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48EF47E5">
      <w:pPr>
        <w:keepNext w:val="0"/>
        <w:keepLines w:val="0"/>
        <w:pageBreakBefore w:val="0"/>
        <w:wordWrap w:val="0"/>
        <w:overflowPunct/>
        <w:topLinePunct w:val="0"/>
        <w:bidi w:val="0"/>
        <w:spacing w:before="78" w:line="219" w:lineRule="auto"/>
        <w:ind w:left="3922"/>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（（签字或盖章）</w:t>
      </w:r>
    </w:p>
    <w:p w14:paraId="16678323">
      <w:pPr>
        <w:pStyle w:val="8"/>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6CB18776">
      <w:pPr>
        <w:pStyle w:val="8"/>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7D8CFA68">
      <w:pPr>
        <w:keepNext w:val="0"/>
        <w:keepLines w:val="0"/>
        <w:pageBreakBefore w:val="0"/>
        <w:wordWrap w:val="0"/>
        <w:overflowPunct/>
        <w:topLinePunct w:val="0"/>
        <w:bidi w:val="0"/>
        <w:spacing w:before="79" w:line="220" w:lineRule="auto"/>
        <w:ind w:left="697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日</w:t>
      </w:r>
    </w:p>
    <w:p w14:paraId="620D98CA">
      <w:pPr>
        <w:keepNext w:val="0"/>
        <w:keepLines w:val="0"/>
        <w:pageBreakBefore w:val="0"/>
        <w:wordWrap w:val="0"/>
        <w:overflowPunct/>
        <w:topLinePunct w:val="0"/>
        <w:bidi w:val="0"/>
        <w:spacing w:line="220" w:lineRule="auto"/>
        <w:rPr>
          <w:rFonts w:hint="eastAsia" w:ascii="宋体" w:hAnsi="宋体" w:eastAsia="宋体" w:cs="宋体"/>
          <w:color w:val="auto"/>
          <w:spacing w:val="0"/>
          <w:sz w:val="24"/>
          <w:szCs w:val="24"/>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678C58A">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18" w:name="_Toc13891"/>
      <w:r>
        <w:rPr>
          <w:rFonts w:hint="eastAsia" w:ascii="宋体" w:hAnsi="宋体" w:eastAsia="宋体" w:cs="宋体"/>
          <w:b/>
          <w:bCs/>
          <w:color w:val="auto"/>
          <w:spacing w:val="0"/>
          <w:sz w:val="24"/>
          <w:szCs w:val="24"/>
          <w:highlight w:val="none"/>
        </w:rPr>
        <w:t>格式三 各项承诺一览表</w:t>
      </w:r>
      <w:bookmarkEnd w:id="218"/>
    </w:p>
    <w:p w14:paraId="41734E79">
      <w:pPr>
        <w:pStyle w:val="8"/>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5D24808B">
      <w:pPr>
        <w:keepNext w:val="0"/>
        <w:keepLines w:val="0"/>
        <w:pageBreakBefore w:val="0"/>
        <w:wordWrap w:val="0"/>
        <w:overflowPunct/>
        <w:topLinePunct w:val="0"/>
        <w:bidi w:val="0"/>
        <w:spacing w:before="98" w:line="220" w:lineRule="auto"/>
        <w:ind w:left="3581"/>
        <w:outlineLvl w:val="9"/>
        <w:rPr>
          <w:rFonts w:hint="eastAsia" w:ascii="宋体" w:hAnsi="宋体" w:eastAsia="宋体" w:cs="宋体"/>
          <w:color w:val="auto"/>
          <w:spacing w:val="0"/>
          <w:sz w:val="30"/>
          <w:szCs w:val="30"/>
          <w:highlight w:val="none"/>
        </w:rPr>
      </w:pPr>
      <w:bookmarkStart w:id="219" w:name="bookmark149"/>
      <w:bookmarkEnd w:id="219"/>
      <w:bookmarkStart w:id="220" w:name="_Toc2936"/>
      <w:bookmarkStart w:id="221" w:name="_Toc4767"/>
      <w:bookmarkStart w:id="222" w:name="_Toc10326"/>
      <w:r>
        <w:rPr>
          <w:rFonts w:hint="eastAsia" w:ascii="宋体" w:hAnsi="宋体" w:eastAsia="宋体" w:cs="宋体"/>
          <w:b/>
          <w:bCs/>
          <w:color w:val="auto"/>
          <w:spacing w:val="0"/>
          <w:sz w:val="30"/>
          <w:szCs w:val="30"/>
          <w:highlight w:val="none"/>
        </w:rPr>
        <w:t>各项承诺一览表</w:t>
      </w:r>
      <w:bookmarkEnd w:id="220"/>
      <w:bookmarkEnd w:id="221"/>
      <w:bookmarkEnd w:id="222"/>
    </w:p>
    <w:p w14:paraId="74FA8C54">
      <w:pPr>
        <w:keepNext w:val="0"/>
        <w:keepLines w:val="0"/>
        <w:pageBreakBefore w:val="0"/>
        <w:wordWrap w:val="0"/>
        <w:overflowPunct/>
        <w:topLinePunct w:val="0"/>
        <w:bidi w:val="0"/>
        <w:spacing w:before="6"/>
        <w:rPr>
          <w:rFonts w:hint="eastAsia" w:ascii="宋体" w:hAnsi="宋体" w:eastAsia="宋体" w:cs="宋体"/>
          <w:color w:val="auto"/>
          <w:spacing w:val="0"/>
          <w:highlight w:val="none"/>
        </w:rPr>
      </w:pPr>
    </w:p>
    <w:tbl>
      <w:tblPr>
        <w:tblStyle w:val="17"/>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165B7C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2557443">
            <w:pPr>
              <w:keepNext w:val="0"/>
              <w:keepLines w:val="0"/>
              <w:pageBreakBefore w:val="0"/>
              <w:widowControl/>
              <w:kinsoku w:val="0"/>
              <w:wordWrap w:val="0"/>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序号</w:t>
            </w:r>
          </w:p>
        </w:tc>
        <w:tc>
          <w:tcPr>
            <w:tcW w:w="1675" w:type="dxa"/>
            <w:vAlign w:val="top"/>
          </w:tcPr>
          <w:p w14:paraId="0CBAE793">
            <w:pPr>
              <w:keepNext w:val="0"/>
              <w:keepLines w:val="0"/>
              <w:pageBreakBefore w:val="0"/>
              <w:widowControl/>
              <w:kinsoku w:val="0"/>
              <w:wordWrap w:val="0"/>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承诺事项</w:t>
            </w:r>
          </w:p>
        </w:tc>
        <w:tc>
          <w:tcPr>
            <w:tcW w:w="3107" w:type="dxa"/>
            <w:vAlign w:val="top"/>
          </w:tcPr>
          <w:p w14:paraId="2F967406">
            <w:pPr>
              <w:keepNext w:val="0"/>
              <w:keepLines w:val="0"/>
              <w:pageBreakBefore w:val="0"/>
              <w:widowControl/>
              <w:kinsoku w:val="0"/>
              <w:wordWrap w:val="0"/>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承诺内容</w:t>
            </w:r>
          </w:p>
        </w:tc>
        <w:tc>
          <w:tcPr>
            <w:tcW w:w="4272" w:type="dxa"/>
            <w:vAlign w:val="top"/>
          </w:tcPr>
          <w:p w14:paraId="0AE4BD22">
            <w:pPr>
              <w:keepNext w:val="0"/>
              <w:keepLines w:val="0"/>
              <w:pageBreakBefore w:val="0"/>
              <w:widowControl/>
              <w:kinsoku w:val="0"/>
              <w:wordWrap w:val="0"/>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违约承诺</w:t>
            </w:r>
          </w:p>
        </w:tc>
      </w:tr>
      <w:tr w14:paraId="2A890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32014C68">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w:t>
            </w:r>
          </w:p>
        </w:tc>
        <w:tc>
          <w:tcPr>
            <w:tcW w:w="1675" w:type="dxa"/>
            <w:vAlign w:val="center"/>
          </w:tcPr>
          <w:p w14:paraId="789F5544">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自愿接受招标文件条款的承诺</w:t>
            </w:r>
          </w:p>
        </w:tc>
        <w:tc>
          <w:tcPr>
            <w:tcW w:w="3107" w:type="dxa"/>
            <w:vAlign w:val="top"/>
          </w:tcPr>
          <w:p w14:paraId="72C35A06">
            <w:pPr>
              <w:pStyle w:val="31"/>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E326998">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我方自愿接受招标文件的所有条款，所递交的投标文件已 经充分响应招标文件的实质性要求。</w:t>
            </w:r>
          </w:p>
        </w:tc>
        <w:tc>
          <w:tcPr>
            <w:tcW w:w="4272" w:type="dxa"/>
            <w:vAlign w:val="top"/>
          </w:tcPr>
          <w:p w14:paraId="3AA62306">
            <w:pPr>
              <w:keepNext w:val="0"/>
              <w:keepLines w:val="0"/>
              <w:pageBreakBefore w:val="0"/>
              <w:widowControl/>
              <w:kinsoku w:val="0"/>
              <w:wordWrap w:val="0"/>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如果我方的投标文件未响应、违反、偏 离招标文件的实质性要求，我方接受招标人或其授权的招标代理机构或其组建的评标委员会依据招标文件作出的相应处理，包括否决投标。</w:t>
            </w:r>
          </w:p>
        </w:tc>
      </w:tr>
      <w:tr w14:paraId="213096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4724BEB5">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w:t>
            </w:r>
          </w:p>
        </w:tc>
        <w:tc>
          <w:tcPr>
            <w:tcW w:w="1675" w:type="dxa"/>
            <w:vAlign w:val="center"/>
          </w:tcPr>
          <w:p w14:paraId="1C692CEC">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无禁止投标情形的承诺</w:t>
            </w:r>
          </w:p>
        </w:tc>
        <w:tc>
          <w:tcPr>
            <w:tcW w:w="3107" w:type="dxa"/>
            <w:vAlign w:val="top"/>
          </w:tcPr>
          <w:p w14:paraId="43462223">
            <w:pPr>
              <w:pStyle w:val="31"/>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6AB15359">
            <w:pPr>
              <w:pStyle w:val="31"/>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27259133">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 xml:space="preserve">我方不存在招标文件第一 章第三节第 </w:t>
            </w:r>
            <w:r>
              <w:rPr>
                <w:rFonts w:hint="eastAsia" w:ascii="宋体" w:hAnsi="宋体" w:eastAsia="宋体" w:cs="宋体"/>
                <w:b/>
                <w:bCs/>
                <w:color w:val="auto"/>
                <w:spacing w:val="0"/>
                <w:sz w:val="21"/>
                <w:szCs w:val="21"/>
                <w:highlight w:val="none"/>
              </w:rPr>
              <w:t xml:space="preserve">2.4 </w:t>
            </w:r>
            <w:r>
              <w:rPr>
                <w:rFonts w:hint="eastAsia" w:ascii="宋体" w:hAnsi="宋体" w:eastAsia="宋体" w:cs="宋体"/>
                <w:color w:val="auto"/>
                <w:spacing w:val="0"/>
                <w:sz w:val="21"/>
                <w:szCs w:val="21"/>
                <w:highlight w:val="none"/>
              </w:rPr>
              <w:t>条“禁止投标条 款 ”规定的任何一种情形。</w:t>
            </w:r>
          </w:p>
        </w:tc>
        <w:tc>
          <w:tcPr>
            <w:tcW w:w="4272" w:type="dxa"/>
            <w:vAlign w:val="top"/>
          </w:tcPr>
          <w:p w14:paraId="61908D31">
            <w:pPr>
              <w:keepNext w:val="0"/>
              <w:keepLines w:val="0"/>
              <w:pageBreakBefore w:val="0"/>
              <w:widowControl/>
              <w:kinsoku w:val="0"/>
              <w:wordWrap w:val="0"/>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 xml:space="preserve">如果我方有招标文件第一章第三节第 </w:t>
            </w:r>
            <w:r>
              <w:rPr>
                <w:rFonts w:hint="eastAsia" w:ascii="宋体" w:hAnsi="宋体" w:eastAsia="宋体" w:cs="宋体"/>
                <w:b/>
                <w:bCs/>
                <w:color w:val="auto"/>
                <w:spacing w:val="0"/>
                <w:sz w:val="21"/>
                <w:szCs w:val="21"/>
                <w:highlight w:val="none"/>
              </w:rPr>
              <w:t xml:space="preserve">2.  4 </w:t>
            </w:r>
            <w:r>
              <w:rPr>
                <w:rFonts w:hint="eastAsia" w:ascii="宋体" w:hAnsi="宋体" w:eastAsia="宋体" w:cs="宋体"/>
                <w:color w:val="auto"/>
                <w:spacing w:val="0"/>
                <w:sz w:val="21"/>
                <w:szCs w:val="21"/>
                <w:highlight w:val="none"/>
              </w:rPr>
              <w:t>条“禁止投标条款 ”规定的任何一种情形，我方接受招标人或其授权的招标代理机构或 其组建的评标委员会依据招标文件作出的相应处理以及有关监督部门作出的行政处罚，并承担由此引起的一切法律后果。</w:t>
            </w:r>
          </w:p>
        </w:tc>
      </w:tr>
      <w:tr w14:paraId="2C9DD6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249F024F">
            <w:pPr>
              <w:keepNext w:val="0"/>
              <w:keepLines w:val="0"/>
              <w:pageBreakBefore w:val="0"/>
              <w:widowControl/>
              <w:kinsoku w:val="0"/>
              <w:wordWrap w:val="0"/>
              <w:overflowPunct/>
              <w:topLinePunct w:val="0"/>
              <w:autoSpaceDE w:val="0"/>
              <w:autoSpaceDN w:val="0"/>
              <w:bidi w:val="0"/>
              <w:adjustRightInd w:val="0"/>
              <w:snapToGrid w:val="0"/>
              <w:spacing w:before="57"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w:t>
            </w:r>
          </w:p>
        </w:tc>
        <w:tc>
          <w:tcPr>
            <w:tcW w:w="1675" w:type="dxa"/>
            <w:vAlign w:val="center"/>
          </w:tcPr>
          <w:p w14:paraId="6D0B4C4A">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自觉抵制围标</w:t>
            </w:r>
          </w:p>
          <w:p w14:paraId="1A91D299">
            <w:pPr>
              <w:keepNext w:val="0"/>
              <w:keepLines w:val="0"/>
              <w:pageBreakBefore w:val="0"/>
              <w:widowControl/>
              <w:kinsoku w:val="0"/>
              <w:wordWrap w:val="0"/>
              <w:overflowPunct/>
              <w:topLinePunct w:val="0"/>
              <w:autoSpaceDE w:val="0"/>
              <w:autoSpaceDN w:val="0"/>
              <w:bidi w:val="0"/>
              <w:adjustRightInd w:val="0"/>
              <w:snapToGrid w:val="0"/>
              <w:spacing w:before="131"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串标和弄虚</w:t>
            </w:r>
          </w:p>
          <w:p w14:paraId="33205045">
            <w:pPr>
              <w:keepNext w:val="0"/>
              <w:keepLines w:val="0"/>
              <w:pageBreakBefore w:val="0"/>
              <w:widowControl/>
              <w:kinsoku w:val="0"/>
              <w:wordWrap w:val="0"/>
              <w:overflowPunct/>
              <w:topLinePunct w:val="0"/>
              <w:autoSpaceDE w:val="0"/>
              <w:autoSpaceDN w:val="0"/>
              <w:bidi w:val="0"/>
              <w:adjustRightInd w:val="0"/>
              <w:snapToGrid w:val="0"/>
              <w:spacing w:before="133"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作假行为的承诺</w:t>
            </w:r>
          </w:p>
        </w:tc>
        <w:tc>
          <w:tcPr>
            <w:tcW w:w="3107" w:type="dxa"/>
            <w:vAlign w:val="top"/>
          </w:tcPr>
          <w:p w14:paraId="467CF56B">
            <w:pPr>
              <w:pStyle w:val="31"/>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19BB889D">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我方合法正当、诚实守信地参与投标，不组织、不参加围标串标违法行为，不通过弄虚作假 行为骗取中标。</w:t>
            </w:r>
          </w:p>
        </w:tc>
        <w:tc>
          <w:tcPr>
            <w:tcW w:w="4272" w:type="dxa"/>
            <w:vAlign w:val="top"/>
          </w:tcPr>
          <w:p w14:paraId="26572BB1">
            <w:pPr>
              <w:keepNext w:val="0"/>
              <w:keepLines w:val="0"/>
              <w:pageBreakBefore w:val="0"/>
              <w:widowControl/>
              <w:kinsoku w:val="0"/>
              <w:wordWrap w:val="0"/>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714E2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086B1516">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w:t>
            </w:r>
          </w:p>
        </w:tc>
        <w:tc>
          <w:tcPr>
            <w:tcW w:w="1675" w:type="dxa"/>
            <w:vAlign w:val="center"/>
          </w:tcPr>
          <w:p w14:paraId="722BA646">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项目经理任职承诺</w:t>
            </w:r>
          </w:p>
        </w:tc>
        <w:tc>
          <w:tcPr>
            <w:tcW w:w="3107" w:type="dxa"/>
            <w:vAlign w:val="top"/>
          </w:tcPr>
          <w:p w14:paraId="7085E917">
            <w:pPr>
              <w:pStyle w:val="31"/>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65699295">
            <w:pPr>
              <w:pStyle w:val="31"/>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666ABAC3">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我方拟派项目经理现阶段没有担任任何在施（包括已中标 未开工、已开工未竣工）建设工程项目的项目经理。</w:t>
            </w:r>
          </w:p>
        </w:tc>
        <w:tc>
          <w:tcPr>
            <w:tcW w:w="4272" w:type="dxa"/>
            <w:vAlign w:val="top"/>
          </w:tcPr>
          <w:p w14:paraId="1898A32C">
            <w:pPr>
              <w:keepNext w:val="0"/>
              <w:keepLines w:val="0"/>
              <w:pageBreakBefore w:val="0"/>
              <w:widowControl/>
              <w:kinsoku w:val="0"/>
              <w:wordWrap w:val="0"/>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如果我方拟派项目经理在本项目招标投 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7D3F5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72548129">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5</w:t>
            </w:r>
          </w:p>
        </w:tc>
        <w:tc>
          <w:tcPr>
            <w:tcW w:w="1675" w:type="dxa"/>
            <w:vAlign w:val="center"/>
          </w:tcPr>
          <w:p w14:paraId="7290DF80">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投标文件</w:t>
            </w:r>
          </w:p>
          <w:p w14:paraId="115877CE">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真实性承诺</w:t>
            </w:r>
          </w:p>
        </w:tc>
        <w:tc>
          <w:tcPr>
            <w:tcW w:w="3107" w:type="dxa"/>
            <w:vAlign w:val="top"/>
          </w:tcPr>
          <w:p w14:paraId="43727651">
            <w:pPr>
              <w:pStyle w:val="31"/>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781401AA">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我方所递交投标文件的全部内容均为真实、有效、准确的。</w:t>
            </w:r>
          </w:p>
        </w:tc>
        <w:tc>
          <w:tcPr>
            <w:tcW w:w="4272" w:type="dxa"/>
            <w:vAlign w:val="top"/>
          </w:tcPr>
          <w:p w14:paraId="187ED321">
            <w:pPr>
              <w:keepNext w:val="0"/>
              <w:keepLines w:val="0"/>
              <w:pageBreakBefore w:val="0"/>
              <w:widowControl/>
              <w:kinsoku w:val="0"/>
              <w:wordWrap w:val="0"/>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75BFE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center"/>
          </w:tcPr>
          <w:p w14:paraId="456DD1FA">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6</w:t>
            </w:r>
            <w:r>
              <w:rPr>
                <w:rFonts w:hint="eastAsia" w:ascii="宋体" w:hAnsi="宋体" w:eastAsia="宋体" w:cs="宋体"/>
                <w:color w:val="auto"/>
                <w:spacing w:val="0"/>
                <w:sz w:val="21"/>
                <w:szCs w:val="21"/>
                <w:highlight w:val="none"/>
              </w:rPr>
              <w:drawing>
                <wp:anchor distT="0" distB="0" distL="114300" distR="114300" simplePos="0" relativeHeight="251663360"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3"/>
                          <a:stretch>
                            <a:fillRect/>
                          </a:stretch>
                        </pic:blipFill>
                        <pic:spPr>
                          <a:xfrm>
                            <a:off x="0" y="0"/>
                            <a:ext cx="6350" cy="241300"/>
                          </a:xfrm>
                          <a:prstGeom prst="rect">
                            <a:avLst/>
                          </a:prstGeom>
                          <a:noFill/>
                          <a:ln>
                            <a:noFill/>
                          </a:ln>
                        </pic:spPr>
                      </pic:pic>
                    </a:graphicData>
                  </a:graphic>
                </wp:anchor>
              </w:drawing>
            </w:r>
          </w:p>
        </w:tc>
        <w:tc>
          <w:tcPr>
            <w:tcW w:w="1675" w:type="dxa"/>
            <w:vAlign w:val="center"/>
          </w:tcPr>
          <w:p w14:paraId="4C7AE5DD">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投标文件</w:t>
            </w:r>
          </w:p>
          <w:p w14:paraId="2C400923">
            <w:pPr>
              <w:keepNext w:val="0"/>
              <w:keepLines w:val="0"/>
              <w:pageBreakBefore w:val="0"/>
              <w:widowControl/>
              <w:kinsoku w:val="0"/>
              <w:wordWrap w:val="0"/>
              <w:overflowPunct/>
              <w:topLinePunct w:val="0"/>
              <w:autoSpaceDE w:val="0"/>
              <w:autoSpaceDN w:val="0"/>
              <w:bidi w:val="0"/>
              <w:adjustRightInd w:val="0"/>
              <w:snapToGrid w:val="0"/>
              <w:spacing w:before="132"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信息公开承诺</w:t>
            </w:r>
          </w:p>
        </w:tc>
        <w:tc>
          <w:tcPr>
            <w:tcW w:w="3107" w:type="dxa"/>
            <w:vAlign w:val="top"/>
          </w:tcPr>
          <w:p w14:paraId="58C341DF">
            <w:pPr>
              <w:keepNext w:val="0"/>
              <w:keepLines w:val="0"/>
              <w:pageBreakBefore w:val="0"/>
              <w:widowControl/>
              <w:kinsoku w:val="0"/>
              <w:wordWrap w:val="0"/>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我方提供完整的文件。如果我方成为本项目中标候选人，我方同意并授权招标人在评标结果公示期内公开我方商务标书的全部内容。</w:t>
            </w:r>
          </w:p>
        </w:tc>
        <w:tc>
          <w:tcPr>
            <w:tcW w:w="4272" w:type="dxa"/>
            <w:vAlign w:val="top"/>
            <mc:AlternateContent>
              <mc:Choice Requires="wpsCustomData">
                <wpsCustomData:diagonals>
                  <wpsCustomData:diagonal from="20000" to="0">
                    <wpsCustomData:border w:val="single" w:color="000000" w:sz="2" w:space="0"/>
                  </wpsCustomData:diagonal>
                </wpsCustomData:diagonals>
              </mc:Choice>
            </mc:AlternateContent>
          </w:tcPr>
          <w:p w14:paraId="211429B8">
            <w:pPr>
              <w:pStyle w:val="31"/>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8E9C96B">
            <w:pPr>
              <w:pStyle w:val="31"/>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1A7F7EF">
            <w:pPr>
              <w:keepNext w:val="0"/>
              <w:keepLines w:val="0"/>
              <w:pageBreakBefore w:val="0"/>
              <w:widowControl/>
              <w:kinsoku w:val="0"/>
              <w:wordWrap w:val="0"/>
              <w:overflowPunct/>
              <w:topLinePunct w:val="0"/>
              <w:autoSpaceDE w:val="0"/>
              <w:autoSpaceDN w:val="0"/>
              <w:bidi w:val="0"/>
              <w:adjustRightInd w:val="0"/>
              <w:snapToGrid w:val="0"/>
              <w:spacing w:before="58" w:line="240" w:lineRule="auto"/>
              <w:ind w:left="1979"/>
              <w:textAlignment w:val="baseline"/>
              <mc:AlternateContent>
                <mc:Choice Requires="wpsCustomData">
                  <wpsCustomData:diagonalParaType/>
                </mc:Choice>
              </mc:AlternateContent>
              <w:rPr>
                <w:rFonts w:hint="eastAsia" w:ascii="宋体" w:hAnsi="宋体" w:eastAsia="宋体" w:cs="宋体"/>
                <w:color w:val="auto"/>
                <w:spacing w:val="0"/>
                <w:sz w:val="21"/>
                <w:szCs w:val="21"/>
                <w:highlight w:val="none"/>
              </w:rPr>
            </w:pPr>
          </w:p>
          <w:p w14:paraId="0EC6B0A4">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auto"/>
                <w:spacing w:val="0"/>
                <w:sz w:val="21"/>
                <w:szCs w:val="21"/>
                <w:highlight w:val="none"/>
              </w:rPr>
            </w:pPr>
          </w:p>
        </w:tc>
      </w:tr>
      <w:tr w14:paraId="13470E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center"/>
          </w:tcPr>
          <w:p w14:paraId="29242B05">
            <w:pPr>
              <w:keepNext w:val="0"/>
              <w:keepLines w:val="0"/>
              <w:pageBreakBefore w:val="0"/>
              <w:widowControl/>
              <w:kinsoku w:val="0"/>
              <w:wordWrap w:val="0"/>
              <w:overflowPunct/>
              <w:topLinePunct w:val="0"/>
              <w:autoSpaceDE w:val="0"/>
              <w:autoSpaceDN w:val="0"/>
              <w:bidi w:val="0"/>
              <w:adjustRightInd w:val="0"/>
              <w:snapToGrid w:val="0"/>
              <w:spacing w:before="57"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7</w:t>
            </w:r>
          </w:p>
        </w:tc>
        <w:tc>
          <w:tcPr>
            <w:tcW w:w="1675" w:type="dxa"/>
            <w:vAlign w:val="center"/>
          </w:tcPr>
          <w:p w14:paraId="7298459F">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对不正常报价的确认承诺</w:t>
            </w:r>
          </w:p>
        </w:tc>
        <w:tc>
          <w:tcPr>
            <w:tcW w:w="3107" w:type="dxa"/>
            <w:vAlign w:val="top"/>
          </w:tcPr>
          <w:p w14:paraId="5F3D606E">
            <w:pPr>
              <w:keepNext w:val="0"/>
              <w:keepLines w:val="0"/>
              <w:pageBreakBefore w:val="0"/>
              <w:widowControl/>
              <w:kinsoku w:val="0"/>
              <w:wordWrap w:val="0"/>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如果我方中标，我方接受招标人在合同订立期间依据招标文件有关条款约定对我方已标价工程量清单中不正常报价的修正或认定，并按要求签署《不正常报价清单》加以确认。</w:t>
            </w:r>
          </w:p>
        </w:tc>
        <w:tc>
          <w:tcPr>
            <w:tcW w:w="4272" w:type="dxa"/>
            <w:vAlign w:val="top"/>
            <mc:AlternateContent>
              <mc:Choice Requires="wpsCustomData">
                <wpsCustomData:diagonals>
                  <wpsCustomData:diagonal from="20000" to="0">
                    <wpsCustomData:border w:val="single" w:color="000000" w:sz="2" w:space="0"/>
                  </wpsCustomData:diagonal>
                </wpsCustomData:diagonals>
              </mc:Choice>
            </mc:AlternateContent>
          </w:tcPr>
          <w:p w14:paraId="1D1DE373">
            <w:pPr>
              <w:pStyle w:val="31"/>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70888FEE">
            <w:pPr>
              <w:pStyle w:val="31"/>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677E9644">
            <w:pPr>
              <w:pStyle w:val="31"/>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A1199D4">
            <w:pPr>
              <w:keepNext w:val="0"/>
              <w:keepLines w:val="0"/>
              <w:pageBreakBefore w:val="0"/>
              <w:widowControl/>
              <w:kinsoku w:val="0"/>
              <w:wordWrap w:val="0"/>
              <w:overflowPunct/>
              <w:topLinePunct w:val="0"/>
              <w:autoSpaceDE w:val="0"/>
              <w:autoSpaceDN w:val="0"/>
              <w:bidi w:val="0"/>
              <w:adjustRightInd w:val="0"/>
              <w:snapToGrid w:val="0"/>
              <w:spacing w:before="57" w:line="240" w:lineRule="auto"/>
              <w:ind w:left="1979"/>
              <w:textAlignment w:val="baseline"/>
              <mc:AlternateContent>
                <mc:Choice Requires="wpsCustomData">
                  <wpsCustomData:diagonalParaType/>
                </mc:Choice>
              </mc:AlternateContent>
              <w:rPr>
                <w:rFonts w:hint="eastAsia" w:ascii="宋体" w:hAnsi="宋体" w:eastAsia="宋体" w:cs="宋体"/>
                <w:color w:val="auto"/>
                <w:spacing w:val="0"/>
                <w:sz w:val="21"/>
                <w:szCs w:val="21"/>
                <w:highlight w:val="none"/>
              </w:rPr>
            </w:pPr>
          </w:p>
          <w:p w14:paraId="4C143886">
            <w:pPr>
              <w:keepNext w:val="0"/>
              <w:keepLines w:val="0"/>
              <w:pageBreakBefore w:val="0"/>
              <w:widowControl/>
              <w:kinsoku w:val="0"/>
              <w:wordWrap w:val="0"/>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auto"/>
                <w:spacing w:val="0"/>
                <w:sz w:val="21"/>
                <w:szCs w:val="21"/>
                <w:highlight w:val="none"/>
              </w:rPr>
            </w:pPr>
          </w:p>
        </w:tc>
      </w:tr>
      <w:tr w14:paraId="11302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1EECA146">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8</w:t>
            </w:r>
          </w:p>
        </w:tc>
        <w:tc>
          <w:tcPr>
            <w:tcW w:w="1675" w:type="dxa"/>
            <w:vAlign w:val="center"/>
          </w:tcPr>
          <w:p w14:paraId="4044B441">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按时提交履约保证的承诺</w:t>
            </w:r>
          </w:p>
        </w:tc>
        <w:tc>
          <w:tcPr>
            <w:tcW w:w="3107" w:type="dxa"/>
            <w:vAlign w:val="top"/>
          </w:tcPr>
          <w:p w14:paraId="0356E9C6">
            <w:pPr>
              <w:pStyle w:val="31"/>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9220BBD">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如果我方中标，我方保证在招标文件规定的时限内全额提交履约保证。</w:t>
            </w:r>
          </w:p>
        </w:tc>
        <w:tc>
          <w:tcPr>
            <w:tcW w:w="4272" w:type="dxa"/>
            <w:vAlign w:val="top"/>
          </w:tcPr>
          <w:p w14:paraId="061ED1BE">
            <w:pPr>
              <w:keepNext w:val="0"/>
              <w:keepLines w:val="0"/>
              <w:pageBreakBefore w:val="0"/>
              <w:widowControl/>
              <w:kinsoku w:val="0"/>
              <w:wordWrap w:val="0"/>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如果我方未在招标文件规定的时限内全 额提交履约保证，我方接受招标人依据招标文件作出的相应处理以及有关监督部门作出的行政处罚，并承担由此引起的一切法律后果。</w:t>
            </w:r>
          </w:p>
        </w:tc>
      </w:tr>
      <w:tr w14:paraId="385371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797E0028">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9</w:t>
            </w:r>
          </w:p>
        </w:tc>
        <w:tc>
          <w:tcPr>
            <w:tcW w:w="1675" w:type="dxa"/>
            <w:vAlign w:val="center"/>
          </w:tcPr>
          <w:p w14:paraId="272686C5">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按时签订合同的承诺</w:t>
            </w:r>
          </w:p>
        </w:tc>
        <w:tc>
          <w:tcPr>
            <w:tcW w:w="3107" w:type="dxa"/>
            <w:vAlign w:val="top"/>
          </w:tcPr>
          <w:p w14:paraId="0D0C1B16">
            <w:pPr>
              <w:pStyle w:val="31"/>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7B58C7CC">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如果我方中标，我方保证在 招标文件规定的时限内与招标人签订合同，不提出违背或超出招标文件、中标文件的要求。</w:t>
            </w:r>
          </w:p>
        </w:tc>
        <w:tc>
          <w:tcPr>
            <w:tcW w:w="4272" w:type="dxa"/>
            <w:vAlign w:val="top"/>
          </w:tcPr>
          <w:p w14:paraId="515E9F60">
            <w:pPr>
              <w:keepNext w:val="0"/>
              <w:keepLines w:val="0"/>
              <w:pageBreakBefore w:val="0"/>
              <w:widowControl/>
              <w:kinsoku w:val="0"/>
              <w:wordWrap w:val="0"/>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如果我方未在招标文件规定的时限内与招标人签订合同，或我方在签订合同过程中提出违背或超出招标文件、中标文件的要求。我方接受招标人依据招标文件作出的相应处 理以及有关监督部门作出的行政处罚，并承担由此引起的一切法律后果。</w:t>
            </w:r>
          </w:p>
        </w:tc>
      </w:tr>
    </w:tbl>
    <w:p w14:paraId="549FC2A1">
      <w:pPr>
        <w:keepNext w:val="0"/>
        <w:keepLines w:val="0"/>
        <w:pageBreakBefore w:val="0"/>
        <w:wordWrap w:val="0"/>
        <w:overflowPunct/>
        <w:topLinePunct w:val="0"/>
        <w:bidi w:val="0"/>
        <w:spacing w:before="78" w:line="219" w:lineRule="auto"/>
        <w:ind w:firstLine="6720" w:firstLineChars="2800"/>
        <w:jc w:val="both"/>
        <w:rPr>
          <w:rFonts w:hint="eastAsia" w:ascii="宋体" w:hAnsi="宋体" w:eastAsia="宋体" w:cs="宋体"/>
          <w:color w:val="auto"/>
          <w:spacing w:val="0"/>
          <w:sz w:val="24"/>
          <w:szCs w:val="24"/>
          <w:highlight w:val="none"/>
        </w:rPr>
      </w:pPr>
    </w:p>
    <w:p w14:paraId="420D5EA7">
      <w:pPr>
        <w:keepNext w:val="0"/>
        <w:keepLines w:val="0"/>
        <w:pageBreakBefore w:val="0"/>
        <w:wordWrap w:val="0"/>
        <w:overflowPunct/>
        <w:topLinePunct w:val="0"/>
        <w:bidi w:val="0"/>
        <w:spacing w:before="78" w:line="219" w:lineRule="auto"/>
        <w:ind w:firstLine="6720" w:firstLineChars="2800"/>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（盖单位章）</w:t>
      </w:r>
    </w:p>
    <w:p w14:paraId="4A7B0690">
      <w:pPr>
        <w:pStyle w:val="8"/>
        <w:keepNext w:val="0"/>
        <w:keepLines w:val="0"/>
        <w:pageBreakBefore w:val="0"/>
        <w:wordWrap w:val="0"/>
        <w:overflowPunct/>
        <w:topLinePunct w:val="0"/>
        <w:bidi w:val="0"/>
        <w:spacing w:line="297" w:lineRule="auto"/>
        <w:jc w:val="right"/>
        <w:rPr>
          <w:rFonts w:hint="eastAsia" w:ascii="宋体" w:hAnsi="宋体" w:eastAsia="宋体" w:cs="宋体"/>
          <w:color w:val="auto"/>
          <w:spacing w:val="0"/>
          <w:highlight w:val="none"/>
        </w:rPr>
      </w:pPr>
    </w:p>
    <w:p w14:paraId="693BC169">
      <w:pPr>
        <w:keepNext w:val="0"/>
        <w:keepLines w:val="0"/>
        <w:pageBreakBefore w:val="0"/>
        <w:wordWrap w:val="0"/>
        <w:overflowPunct/>
        <w:topLinePunct w:val="0"/>
        <w:bidi w:val="0"/>
        <w:spacing w:before="78" w:line="219" w:lineRule="auto"/>
        <w:ind w:left="4366"/>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（签字或盖章）</w:t>
      </w:r>
    </w:p>
    <w:p w14:paraId="1BA52AD8">
      <w:pPr>
        <w:keepNext w:val="0"/>
        <w:keepLines w:val="0"/>
        <w:pageBreakBefore w:val="0"/>
        <w:wordWrap w:val="0"/>
        <w:overflowPunct/>
        <w:topLinePunct w:val="0"/>
        <w:bidi w:val="0"/>
        <w:outlineLvl w:val="9"/>
        <w:rPr>
          <w:rFonts w:hint="eastAsia"/>
          <w:color w:val="auto"/>
          <w:spacing w:val="0"/>
          <w:highlight w:val="none"/>
        </w:rPr>
      </w:pPr>
    </w:p>
    <w:p w14:paraId="4983A772">
      <w:pPr>
        <w:keepNext w:val="0"/>
        <w:keepLines w:val="0"/>
        <w:pageBreakBefore w:val="0"/>
        <w:wordWrap w:val="0"/>
        <w:overflowPunct/>
        <w:topLinePunct w:val="0"/>
        <w:bidi w:val="0"/>
        <w:spacing w:before="78" w:line="22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6CC4144A">
      <w:pPr>
        <w:keepNext w:val="0"/>
        <w:keepLines w:val="0"/>
        <w:pageBreakBefore w:val="0"/>
        <w:wordWrap w:val="0"/>
        <w:overflowPunct/>
        <w:topLinePunct w:val="0"/>
        <w:bidi w:val="0"/>
        <w:spacing w:line="220" w:lineRule="auto"/>
        <w:jc w:val="right"/>
        <w:rPr>
          <w:rFonts w:hint="eastAsia" w:ascii="宋体" w:hAnsi="宋体" w:eastAsia="宋体" w:cs="宋体"/>
          <w:color w:val="auto"/>
          <w:spacing w:val="0"/>
          <w:sz w:val="24"/>
          <w:szCs w:val="24"/>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0D79D957">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23" w:name="_Toc14898"/>
      <w:r>
        <w:rPr>
          <w:rFonts w:hint="eastAsia" w:ascii="宋体" w:hAnsi="宋体" w:eastAsia="宋体" w:cs="宋体"/>
          <w:b/>
          <w:bCs/>
          <w:color w:val="auto"/>
          <w:spacing w:val="0"/>
          <w:sz w:val="24"/>
          <w:szCs w:val="24"/>
          <w:highlight w:val="none"/>
        </w:rPr>
        <w:t>格式四 授权委托书</w:t>
      </w:r>
      <w:bookmarkEnd w:id="223"/>
    </w:p>
    <w:p w14:paraId="033A3703">
      <w:pPr>
        <w:pStyle w:val="8"/>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13EBC733">
      <w:pPr>
        <w:pStyle w:val="8"/>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6E355852">
      <w:pPr>
        <w:keepNext w:val="0"/>
        <w:keepLines w:val="0"/>
        <w:pageBreakBefore w:val="0"/>
        <w:wordWrap w:val="0"/>
        <w:overflowPunct/>
        <w:topLinePunct w:val="0"/>
        <w:bidi w:val="0"/>
        <w:spacing w:before="97" w:line="219" w:lineRule="auto"/>
        <w:ind w:left="3786"/>
        <w:rPr>
          <w:rFonts w:hint="eastAsia" w:ascii="宋体" w:hAnsi="宋体" w:eastAsia="宋体" w:cs="宋体"/>
          <w:color w:val="auto"/>
          <w:spacing w:val="0"/>
          <w:sz w:val="30"/>
          <w:szCs w:val="30"/>
          <w:highlight w:val="none"/>
        </w:rPr>
      </w:pPr>
      <w:bookmarkStart w:id="224" w:name="bookmark151"/>
      <w:bookmarkEnd w:id="224"/>
      <w:r>
        <w:rPr>
          <w:rFonts w:hint="eastAsia" w:ascii="宋体" w:hAnsi="宋体" w:eastAsia="宋体" w:cs="宋体"/>
          <w:b/>
          <w:bCs/>
          <w:color w:val="auto"/>
          <w:spacing w:val="0"/>
          <w:sz w:val="30"/>
          <w:szCs w:val="30"/>
          <w:highlight w:val="none"/>
        </w:rPr>
        <w:t>授权委托书</w:t>
      </w:r>
    </w:p>
    <w:p w14:paraId="5CCB07D4">
      <w:pPr>
        <w:pStyle w:val="8"/>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0CCFB3A6">
      <w:pPr>
        <w:pStyle w:val="8"/>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0A0E7DA8">
      <w:pPr>
        <w:pStyle w:val="8"/>
        <w:keepNext w:val="0"/>
        <w:keepLines w:val="0"/>
        <w:pageBreakBefore w:val="0"/>
        <w:wordWrap w:val="0"/>
        <w:overflowPunct/>
        <w:topLinePunct w:val="0"/>
        <w:bidi w:val="0"/>
        <w:spacing w:line="251" w:lineRule="auto"/>
        <w:rPr>
          <w:rFonts w:hint="eastAsia" w:ascii="宋体" w:hAnsi="宋体" w:eastAsia="宋体" w:cs="宋体"/>
          <w:color w:val="auto"/>
          <w:spacing w:val="0"/>
          <w:highlight w:val="none"/>
        </w:rPr>
      </w:pPr>
    </w:p>
    <w:p w14:paraId="3E9F9F19">
      <w:pPr>
        <w:keepNext w:val="0"/>
        <w:keepLines w:val="0"/>
        <w:pageBreakBefore w:val="0"/>
        <w:widowControl/>
        <w:kinsoku w:val="0"/>
        <w:wordWrap w:val="0"/>
        <w:overflowPunct/>
        <w:topLinePunct w:val="0"/>
        <w:autoSpaceDE w:val="0"/>
        <w:autoSpaceDN w:val="0"/>
        <w:bidi w:val="0"/>
        <w:adjustRightInd w:val="0"/>
        <w:snapToGrid w:val="0"/>
        <w:spacing w:before="78" w:line="330" w:lineRule="auto"/>
        <w:ind w:firstLine="481"/>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8"/>
          <w:highlight w:val="none"/>
          <w:lang w:eastAsia="zh-CN"/>
        </w:rPr>
        <w:t>本人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（姓名）系</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（投标人名称）的法定代表人，现委托</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snapToGrid w:val="0"/>
          <w:color w:val="auto"/>
          <w:spacing w:val="0"/>
          <w:kern w:val="0"/>
          <w:sz w:val="24"/>
          <w:szCs w:val="28"/>
          <w:highlight w:val="none"/>
          <w:u w:val="single"/>
          <w:lang w:eastAsia="zh-CN"/>
        </w:rPr>
        <w:t>（项目名称）</w:t>
      </w:r>
      <w:r>
        <w:rPr>
          <w:rFonts w:hint="eastAsia" w:ascii="宋体" w:hAnsi="宋体" w:eastAsia="宋体" w:cs="宋体"/>
          <w:snapToGrid w:val="0"/>
          <w:color w:val="auto"/>
          <w:spacing w:val="0"/>
          <w:kern w:val="0"/>
          <w:sz w:val="24"/>
          <w:szCs w:val="28"/>
          <w:highlight w:val="none"/>
          <w:lang w:eastAsia="zh-CN"/>
        </w:rPr>
        <w:t xml:space="preserve"> 施工投标文件、签订合同和处理有关事宜，其法律后果由我方承担。</w:t>
      </w:r>
    </w:p>
    <w:p w14:paraId="16D778F7">
      <w:pPr>
        <w:keepNext w:val="0"/>
        <w:keepLines w:val="0"/>
        <w:pageBreakBefore w:val="0"/>
        <w:widowControl/>
        <w:kinsoku w:val="0"/>
        <w:wordWrap w:val="0"/>
        <w:overflowPunct/>
        <w:topLinePunct w:val="0"/>
        <w:autoSpaceDE w:val="0"/>
        <w:autoSpaceDN w:val="0"/>
        <w:bidi w:val="0"/>
        <w:adjustRightInd w:val="0"/>
        <w:snapToGrid w:val="0"/>
        <w:spacing w:before="32" w:line="320" w:lineRule="auto"/>
        <w:ind w:left="480" w:right="49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委托期限：至</w:t>
      </w:r>
      <w:r>
        <w:rPr>
          <w:rFonts w:hint="eastAsia" w:ascii="宋体" w:hAnsi="宋体" w:eastAsia="宋体" w:cs="宋体"/>
          <w:color w:val="auto"/>
          <w:spacing w:val="0"/>
          <w:sz w:val="24"/>
          <w:szCs w:val="24"/>
          <w:highlight w:val="none"/>
          <w:u w:val="single"/>
        </w:rPr>
        <w:t xml:space="preserve">     年   月    日</w:t>
      </w:r>
      <w:r>
        <w:rPr>
          <w:rFonts w:hint="eastAsia" w:ascii="宋体" w:hAnsi="宋体" w:eastAsia="宋体" w:cs="宋体"/>
          <w:i/>
          <w:iCs/>
          <w:color w:val="auto"/>
          <w:spacing w:val="0"/>
          <w:sz w:val="25"/>
          <w:szCs w:val="25"/>
          <w:highlight w:val="none"/>
          <w:u w:val="single"/>
        </w:rPr>
        <w:t>（不得短于招标文件规定的投标有效期）</w:t>
      </w:r>
      <w:r>
        <w:rPr>
          <w:rFonts w:hint="eastAsia" w:ascii="宋体" w:hAnsi="宋体" w:eastAsia="宋体" w:cs="宋体"/>
          <w:color w:val="auto"/>
          <w:spacing w:val="0"/>
          <w:sz w:val="25"/>
          <w:szCs w:val="25"/>
          <w:highlight w:val="none"/>
        </w:rPr>
        <w:t xml:space="preserve"> </w:t>
      </w:r>
      <w:r>
        <w:rPr>
          <w:rFonts w:hint="eastAsia" w:ascii="宋体" w:hAnsi="宋体" w:eastAsia="宋体" w:cs="宋体"/>
          <w:color w:val="auto"/>
          <w:spacing w:val="0"/>
          <w:sz w:val="24"/>
          <w:szCs w:val="24"/>
          <w:highlight w:val="none"/>
        </w:rPr>
        <w:t xml:space="preserve">。 </w:t>
      </w:r>
    </w:p>
    <w:p w14:paraId="3236344C">
      <w:pPr>
        <w:keepNext w:val="0"/>
        <w:keepLines w:val="0"/>
        <w:pageBreakBefore w:val="0"/>
        <w:widowControl/>
        <w:kinsoku w:val="0"/>
        <w:wordWrap w:val="0"/>
        <w:overflowPunct/>
        <w:topLinePunct w:val="0"/>
        <w:autoSpaceDE w:val="0"/>
        <w:autoSpaceDN w:val="0"/>
        <w:bidi w:val="0"/>
        <w:adjustRightInd w:val="0"/>
        <w:snapToGrid w:val="0"/>
        <w:spacing w:before="32" w:line="320" w:lineRule="auto"/>
        <w:ind w:left="480" w:right="49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代理人无转委托权。</w:t>
      </w:r>
    </w:p>
    <w:p w14:paraId="195F0838">
      <w:pPr>
        <w:pStyle w:val="8"/>
        <w:keepNext w:val="0"/>
        <w:keepLines w:val="0"/>
        <w:pageBreakBefore w:val="0"/>
        <w:wordWrap w:val="0"/>
        <w:overflowPunct/>
        <w:topLinePunct w:val="0"/>
        <w:bidi w:val="0"/>
        <w:spacing w:line="276" w:lineRule="auto"/>
        <w:rPr>
          <w:rFonts w:hint="eastAsia" w:ascii="宋体" w:hAnsi="宋体" w:eastAsia="宋体" w:cs="宋体"/>
          <w:color w:val="auto"/>
          <w:spacing w:val="0"/>
          <w:highlight w:val="none"/>
        </w:rPr>
      </w:pPr>
    </w:p>
    <w:p w14:paraId="29886232">
      <w:pPr>
        <w:pStyle w:val="8"/>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42AC1726">
      <w:pPr>
        <w:pStyle w:val="8"/>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71613945">
      <w:pPr>
        <w:keepNext w:val="0"/>
        <w:keepLines w:val="0"/>
        <w:pageBreakBefore w:val="0"/>
        <w:wordWrap w:val="0"/>
        <w:overflowPunct/>
        <w:topLinePunct w:val="0"/>
        <w:bidi w:val="0"/>
        <w:spacing w:before="78" w:line="219" w:lineRule="auto"/>
        <w:ind w:left="3123"/>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  标  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1F3FE37C">
      <w:pPr>
        <w:pStyle w:val="8"/>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080417B9">
      <w:pPr>
        <w:pStyle w:val="8"/>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43FE38F9">
      <w:pPr>
        <w:pStyle w:val="8"/>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63C0E146">
      <w:pPr>
        <w:keepNext w:val="0"/>
        <w:keepLines w:val="0"/>
        <w:pageBreakBefore w:val="0"/>
        <w:wordWrap w:val="0"/>
        <w:overflowPunct/>
        <w:topLinePunct w:val="0"/>
        <w:bidi w:val="0"/>
        <w:spacing w:before="79" w:line="219" w:lineRule="auto"/>
        <w:ind w:left="3121"/>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7619A633">
      <w:pPr>
        <w:pStyle w:val="8"/>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2C3DBDE2">
      <w:pPr>
        <w:pStyle w:val="8"/>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162989C9">
      <w:pPr>
        <w:pStyle w:val="8"/>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2C04CF09">
      <w:pPr>
        <w:keepNext w:val="0"/>
        <w:keepLines w:val="0"/>
        <w:pageBreakBefore w:val="0"/>
        <w:wordWrap w:val="0"/>
        <w:overflowPunct/>
        <w:topLinePunct w:val="0"/>
        <w:bidi w:val="0"/>
        <w:spacing w:before="78" w:line="219" w:lineRule="auto"/>
        <w:ind w:left="2880"/>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委托代理人：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09D735DA">
      <w:pPr>
        <w:pStyle w:val="8"/>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17D3A11A">
      <w:pPr>
        <w:pStyle w:val="8"/>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239E053E">
      <w:pPr>
        <w:keepNext w:val="0"/>
        <w:keepLines w:val="0"/>
        <w:pageBreakBefore w:val="0"/>
        <w:wordWrap w:val="0"/>
        <w:overflowPunct/>
        <w:topLinePunct w:val="0"/>
        <w:bidi w:val="0"/>
        <w:spacing w:before="78" w:line="22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064FF01">
      <w:pPr>
        <w:keepNext w:val="0"/>
        <w:keepLines w:val="0"/>
        <w:pageBreakBefore w:val="0"/>
        <w:wordWrap w:val="0"/>
        <w:overflowPunct/>
        <w:topLinePunct w:val="0"/>
        <w:bidi w:val="0"/>
        <w:spacing w:before="78" w:line="220" w:lineRule="auto"/>
        <w:ind w:left="4201"/>
        <w:jc w:val="right"/>
        <w:rPr>
          <w:rFonts w:hint="eastAsia" w:ascii="宋体" w:hAnsi="宋体" w:eastAsia="宋体" w:cs="宋体"/>
          <w:color w:val="auto"/>
          <w:spacing w:val="0"/>
          <w:sz w:val="24"/>
          <w:szCs w:val="24"/>
          <w:highlight w:val="none"/>
        </w:rPr>
      </w:pPr>
    </w:p>
    <w:p w14:paraId="09D41A99">
      <w:pPr>
        <w:keepNext w:val="0"/>
        <w:keepLines w:val="0"/>
        <w:pageBreakBefore w:val="0"/>
        <w:wordWrap w:val="0"/>
        <w:overflowPunct/>
        <w:topLinePunct w:val="0"/>
        <w:bidi w:val="0"/>
        <w:spacing w:before="69"/>
        <w:rPr>
          <w:rFonts w:hint="eastAsia" w:ascii="宋体" w:hAnsi="宋体" w:eastAsia="宋体" w:cs="宋体"/>
          <w:color w:val="auto"/>
          <w:spacing w:val="0"/>
          <w:highlight w:val="none"/>
        </w:rPr>
      </w:pPr>
    </w:p>
    <w:p w14:paraId="339F1D63">
      <w:pPr>
        <w:keepNext w:val="0"/>
        <w:keepLines w:val="0"/>
        <w:pageBreakBefore w:val="0"/>
        <w:wordWrap w:val="0"/>
        <w:overflowPunct/>
        <w:topLinePunct w:val="0"/>
        <w:bidi w:val="0"/>
        <w:spacing w:before="69"/>
        <w:rPr>
          <w:rFonts w:hint="eastAsia" w:ascii="宋体" w:hAnsi="宋体" w:eastAsia="宋体" w:cs="宋体"/>
          <w:color w:val="auto"/>
          <w:spacing w:val="0"/>
          <w:highlight w:val="none"/>
        </w:rPr>
      </w:pPr>
    </w:p>
    <w:tbl>
      <w:tblPr>
        <w:tblStyle w:val="17"/>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61F8201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top"/>
          </w:tcPr>
          <w:p w14:paraId="3BD92DDA">
            <w:pPr>
              <w:pStyle w:val="31"/>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1D12E42D">
            <w:pPr>
              <w:pStyle w:val="31"/>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65523525">
            <w:pPr>
              <w:pStyle w:val="31"/>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7295DF5D">
            <w:pPr>
              <w:pStyle w:val="31"/>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7B3005C8">
            <w:pPr>
              <w:pStyle w:val="31"/>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4BC556D9">
            <w:pPr>
              <w:pStyle w:val="31"/>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0F0D06AC">
            <w:pPr>
              <w:pStyle w:val="31"/>
              <w:keepNext w:val="0"/>
              <w:keepLines w:val="0"/>
              <w:pageBreakBefore w:val="0"/>
              <w:wordWrap w:val="0"/>
              <w:overflowPunct/>
              <w:topLinePunct w:val="0"/>
              <w:bidi w:val="0"/>
              <w:spacing w:line="246" w:lineRule="auto"/>
              <w:rPr>
                <w:rFonts w:hint="eastAsia" w:ascii="宋体" w:hAnsi="宋体" w:eastAsia="宋体" w:cs="宋体"/>
                <w:color w:val="auto"/>
                <w:spacing w:val="0"/>
                <w:highlight w:val="none"/>
              </w:rPr>
            </w:pPr>
          </w:p>
          <w:p w14:paraId="6F8182F0">
            <w:pPr>
              <w:keepNext w:val="0"/>
              <w:keepLines w:val="0"/>
              <w:pageBreakBefore w:val="0"/>
              <w:wordWrap w:val="0"/>
              <w:overflowPunct/>
              <w:topLinePunct w:val="0"/>
              <w:bidi w:val="0"/>
              <w:spacing w:before="78" w:line="220" w:lineRule="auto"/>
              <w:ind w:left="71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委托代理人身份证</w:t>
            </w:r>
            <w:r>
              <w:rPr>
                <w:rFonts w:hint="eastAsia" w:ascii="宋体" w:hAnsi="宋体" w:eastAsia="宋体" w:cs="宋体"/>
                <w:color w:val="auto"/>
                <w:spacing w:val="0"/>
                <w:sz w:val="24"/>
                <w:szCs w:val="24"/>
                <w:highlight w:val="none"/>
                <w:lang w:val="en-US" w:eastAsia="zh-CN"/>
              </w:rPr>
              <w:t>彩色扫描件</w:t>
            </w:r>
            <w:r>
              <w:rPr>
                <w:rFonts w:hint="eastAsia" w:ascii="宋体" w:hAnsi="宋体" w:eastAsia="宋体" w:cs="宋体"/>
                <w:color w:val="auto"/>
                <w:spacing w:val="0"/>
                <w:sz w:val="24"/>
                <w:szCs w:val="24"/>
                <w:highlight w:val="none"/>
              </w:rPr>
              <w:t>正、反面</w:t>
            </w:r>
          </w:p>
        </w:tc>
      </w:tr>
    </w:tbl>
    <w:p w14:paraId="455830FB">
      <w:pPr>
        <w:pStyle w:val="8"/>
        <w:keepNext w:val="0"/>
        <w:keepLines w:val="0"/>
        <w:pageBreakBefore w:val="0"/>
        <w:wordWrap w:val="0"/>
        <w:overflowPunct/>
        <w:topLinePunct w:val="0"/>
        <w:bidi w:val="0"/>
        <w:rPr>
          <w:rFonts w:hint="eastAsia" w:ascii="宋体" w:hAnsi="宋体" w:eastAsia="宋体" w:cs="宋体"/>
          <w:color w:val="auto"/>
          <w:spacing w:val="0"/>
          <w:highlight w:val="none"/>
        </w:rPr>
      </w:pPr>
    </w:p>
    <w:p w14:paraId="4FDF7422">
      <w:pPr>
        <w:keepNext w:val="0"/>
        <w:keepLines w:val="0"/>
        <w:pageBreakBefore w:val="0"/>
        <w:wordWrap w:val="0"/>
        <w:overflowPunct/>
        <w:topLinePunct w:val="0"/>
        <w:bidi w:val="0"/>
        <w:rPr>
          <w:rFonts w:hint="eastAsia" w:ascii="宋体" w:hAnsi="宋体" w:eastAsia="宋体" w:cs="宋体"/>
          <w:color w:val="auto"/>
          <w:spacing w:val="0"/>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71550756">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25" w:name="_Toc654"/>
      <w:r>
        <w:rPr>
          <w:rFonts w:hint="eastAsia" w:ascii="宋体" w:hAnsi="宋体" w:eastAsia="宋体" w:cs="宋体"/>
          <w:b/>
          <w:bCs/>
          <w:color w:val="auto"/>
          <w:spacing w:val="0"/>
          <w:sz w:val="24"/>
          <w:szCs w:val="24"/>
          <w:highlight w:val="none"/>
        </w:rPr>
        <w:t>格式五 法定代表人身份证明</w:t>
      </w:r>
      <w:bookmarkEnd w:id="225"/>
    </w:p>
    <w:p w14:paraId="0726C661">
      <w:pPr>
        <w:pStyle w:val="8"/>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3C8BDF93">
      <w:pPr>
        <w:pStyle w:val="8"/>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3216759B">
      <w:pPr>
        <w:keepNext w:val="0"/>
        <w:keepLines w:val="0"/>
        <w:pageBreakBefore w:val="0"/>
        <w:wordWrap w:val="0"/>
        <w:overflowPunct/>
        <w:topLinePunct w:val="0"/>
        <w:bidi w:val="0"/>
        <w:spacing w:before="98" w:line="220" w:lineRule="auto"/>
        <w:ind w:left="3183"/>
        <w:rPr>
          <w:rFonts w:hint="eastAsia" w:ascii="宋体" w:hAnsi="宋体" w:eastAsia="宋体" w:cs="宋体"/>
          <w:color w:val="auto"/>
          <w:spacing w:val="0"/>
          <w:sz w:val="30"/>
          <w:szCs w:val="30"/>
          <w:highlight w:val="none"/>
        </w:rPr>
      </w:pPr>
      <w:bookmarkStart w:id="226" w:name="bookmark152"/>
      <w:bookmarkEnd w:id="226"/>
      <w:r>
        <w:rPr>
          <w:rFonts w:hint="eastAsia" w:ascii="宋体" w:hAnsi="宋体" w:eastAsia="宋体" w:cs="宋体"/>
          <w:b/>
          <w:bCs/>
          <w:color w:val="auto"/>
          <w:spacing w:val="0"/>
          <w:sz w:val="30"/>
          <w:szCs w:val="30"/>
          <w:highlight w:val="none"/>
        </w:rPr>
        <w:t>法定代表人身份证明</w:t>
      </w:r>
    </w:p>
    <w:p w14:paraId="511D2E66">
      <w:pPr>
        <w:pStyle w:val="8"/>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04202308">
      <w:pPr>
        <w:pStyle w:val="8"/>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6A866794">
      <w:pPr>
        <w:pStyle w:val="8"/>
        <w:keepNext w:val="0"/>
        <w:keepLines w:val="0"/>
        <w:pageBreakBefore w:val="0"/>
        <w:wordWrap w:val="0"/>
        <w:overflowPunct/>
        <w:topLinePunct w:val="0"/>
        <w:bidi w:val="0"/>
        <w:spacing w:line="251" w:lineRule="auto"/>
        <w:rPr>
          <w:rFonts w:hint="eastAsia" w:ascii="宋体" w:hAnsi="宋体" w:eastAsia="宋体" w:cs="宋体"/>
          <w:color w:val="auto"/>
          <w:spacing w:val="0"/>
          <w:highlight w:val="none"/>
        </w:rPr>
      </w:pPr>
    </w:p>
    <w:p w14:paraId="1223B37A">
      <w:pPr>
        <w:keepNext w:val="0"/>
        <w:keepLines w:val="0"/>
        <w:pageBreakBefore w:val="0"/>
        <w:wordWrap w:val="0"/>
        <w:overflowPunct/>
        <w:topLinePunct w:val="0"/>
        <w:bidi w:val="0"/>
        <w:adjustRightInd w:val="0"/>
        <w:snapToGrid w:val="0"/>
        <w:spacing w:line="440" w:lineRule="exact"/>
        <w:rPr>
          <w:rFonts w:hint="eastAsia" w:ascii="宋体" w:hAnsi="宋体" w:eastAsia="宋体" w:cs="宋体"/>
          <w:snapToGrid w:val="0"/>
          <w:color w:val="auto"/>
          <w:spacing w:val="0"/>
          <w:kern w:val="0"/>
          <w:sz w:val="24"/>
          <w:szCs w:val="24"/>
          <w:highlight w:val="none"/>
          <w:u w:val="single"/>
        </w:rPr>
      </w:pPr>
      <w:r>
        <w:rPr>
          <w:rFonts w:hint="eastAsia" w:ascii="宋体" w:hAnsi="宋体" w:eastAsia="宋体" w:cs="宋体"/>
          <w:snapToGrid w:val="0"/>
          <w:color w:val="auto"/>
          <w:spacing w:val="0"/>
          <w:kern w:val="0"/>
          <w:sz w:val="24"/>
          <w:szCs w:val="24"/>
          <w:highlight w:val="none"/>
        </w:rPr>
        <w:t>投标人名称：</w:t>
      </w:r>
      <w:r>
        <w:rPr>
          <w:rFonts w:hint="eastAsia" w:ascii="宋体" w:hAnsi="宋体" w:eastAsia="宋体" w:cs="宋体"/>
          <w:snapToGrid w:val="0"/>
          <w:color w:val="auto"/>
          <w:spacing w:val="0"/>
          <w:kern w:val="0"/>
          <w:sz w:val="24"/>
          <w:szCs w:val="24"/>
          <w:highlight w:val="none"/>
          <w:u w:val="single"/>
        </w:rPr>
        <w:t xml:space="preserve">                  </w:t>
      </w:r>
    </w:p>
    <w:p w14:paraId="2642C3CF">
      <w:pPr>
        <w:keepNext w:val="0"/>
        <w:keepLines w:val="0"/>
        <w:pageBreakBefore w:val="0"/>
        <w:wordWrap w:val="0"/>
        <w:overflowPunct/>
        <w:topLinePunct w:val="0"/>
        <w:bidi w:val="0"/>
        <w:adjustRightInd w:val="0"/>
        <w:snapToGrid w:val="0"/>
        <w:spacing w:line="440" w:lineRule="exact"/>
        <w:rPr>
          <w:rFonts w:hint="eastAsia" w:ascii="宋体" w:hAnsi="宋体" w:eastAsia="宋体" w:cs="宋体"/>
          <w:snapToGrid w:val="0"/>
          <w:color w:val="auto"/>
          <w:spacing w:val="0"/>
          <w:kern w:val="0"/>
          <w:sz w:val="24"/>
          <w:szCs w:val="24"/>
          <w:highlight w:val="none"/>
          <w:u w:val="single"/>
        </w:rPr>
      </w:pPr>
      <w:r>
        <w:rPr>
          <w:rFonts w:hint="eastAsia" w:ascii="宋体" w:hAnsi="宋体" w:eastAsia="宋体" w:cs="宋体"/>
          <w:snapToGrid w:val="0"/>
          <w:color w:val="auto"/>
          <w:spacing w:val="0"/>
          <w:kern w:val="0"/>
          <w:sz w:val="24"/>
          <w:szCs w:val="24"/>
          <w:highlight w:val="none"/>
        </w:rPr>
        <w:t>姓名：</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性别：</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年龄：</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职务：</w:t>
      </w:r>
      <w:r>
        <w:rPr>
          <w:rFonts w:hint="eastAsia" w:ascii="宋体" w:hAnsi="宋体" w:eastAsia="宋体" w:cs="宋体"/>
          <w:snapToGrid w:val="0"/>
          <w:color w:val="auto"/>
          <w:spacing w:val="0"/>
          <w:kern w:val="0"/>
          <w:sz w:val="24"/>
          <w:szCs w:val="24"/>
          <w:highlight w:val="none"/>
          <w:u w:val="single"/>
        </w:rPr>
        <w:t xml:space="preserve">           </w:t>
      </w:r>
    </w:p>
    <w:p w14:paraId="37E18900">
      <w:pPr>
        <w:keepNext w:val="0"/>
        <w:keepLines w:val="0"/>
        <w:pageBreakBefore w:val="0"/>
        <w:wordWrap w:val="0"/>
        <w:overflowPunct/>
        <w:topLinePunct w:val="0"/>
        <w:bidi w:val="0"/>
        <w:adjustRightInd w:val="0"/>
        <w:snapToGrid w:val="0"/>
        <w:spacing w:line="440" w:lineRule="exact"/>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系</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（投标人名称）的法定代表人。</w:t>
      </w:r>
    </w:p>
    <w:p w14:paraId="54F5A894">
      <w:pPr>
        <w:keepNext w:val="0"/>
        <w:keepLines w:val="0"/>
        <w:pageBreakBefore w:val="0"/>
        <w:wordWrap w:val="0"/>
        <w:overflowPunct/>
        <w:topLinePunct w:val="0"/>
        <w:bidi w:val="0"/>
        <w:adjustRightInd w:val="0"/>
        <w:snapToGrid w:val="0"/>
        <w:rPr>
          <w:rFonts w:hint="eastAsia" w:ascii="宋体" w:hAnsi="宋体" w:eastAsia="宋体" w:cs="宋体"/>
          <w:snapToGrid w:val="0"/>
          <w:color w:val="auto"/>
          <w:spacing w:val="0"/>
          <w:kern w:val="0"/>
          <w:szCs w:val="21"/>
          <w:highlight w:val="none"/>
        </w:rPr>
      </w:pPr>
      <w:r>
        <w:rPr>
          <w:rFonts w:hint="eastAsia" w:ascii="宋体" w:hAnsi="宋体" w:eastAsia="宋体" w:cs="宋体"/>
          <w:snapToGrid w:val="0"/>
          <w:color w:val="auto"/>
          <w:spacing w:val="0"/>
          <w:kern w:val="0"/>
          <w:sz w:val="24"/>
          <w:szCs w:val="24"/>
          <w:highlight w:val="none"/>
        </w:rPr>
        <w:t xml:space="preserve">    特此证明。</w:t>
      </w:r>
    </w:p>
    <w:p w14:paraId="7340CB95">
      <w:pPr>
        <w:pStyle w:val="8"/>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47F1A437">
      <w:pPr>
        <w:pStyle w:val="8"/>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5EA2960E">
      <w:pPr>
        <w:pStyle w:val="8"/>
        <w:keepNext w:val="0"/>
        <w:keepLines w:val="0"/>
        <w:pageBreakBefore w:val="0"/>
        <w:wordWrap w:val="0"/>
        <w:overflowPunct/>
        <w:topLinePunct w:val="0"/>
        <w:bidi w:val="0"/>
        <w:spacing w:line="278" w:lineRule="auto"/>
        <w:rPr>
          <w:rFonts w:hint="eastAsia" w:ascii="宋体" w:hAnsi="宋体" w:eastAsia="宋体" w:cs="宋体"/>
          <w:color w:val="auto"/>
          <w:spacing w:val="0"/>
          <w:highlight w:val="none"/>
        </w:rPr>
      </w:pPr>
    </w:p>
    <w:p w14:paraId="190A6473">
      <w:pPr>
        <w:keepNext w:val="0"/>
        <w:keepLines w:val="0"/>
        <w:pageBreakBefore w:val="0"/>
        <w:wordWrap w:val="0"/>
        <w:overflowPunct/>
        <w:topLinePunct w:val="0"/>
        <w:bidi w:val="0"/>
        <w:spacing w:before="78"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43031FCF">
      <w:pPr>
        <w:pStyle w:val="8"/>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558F6A5C">
      <w:pPr>
        <w:pStyle w:val="8"/>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1C4D91F0">
      <w:pPr>
        <w:pStyle w:val="8"/>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2B0A984A">
      <w:pPr>
        <w:keepNext w:val="0"/>
        <w:keepLines w:val="0"/>
        <w:pageBreakBefore w:val="0"/>
        <w:wordWrap w:val="0"/>
        <w:overflowPunct/>
        <w:topLinePunct w:val="0"/>
        <w:bidi w:val="0"/>
        <w:spacing w:before="79"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13F2B97F">
      <w:pPr>
        <w:pStyle w:val="8"/>
        <w:keepNext w:val="0"/>
        <w:keepLines w:val="0"/>
        <w:pageBreakBefore w:val="0"/>
        <w:wordWrap w:val="0"/>
        <w:overflowPunct/>
        <w:topLinePunct w:val="0"/>
        <w:bidi w:val="0"/>
        <w:spacing w:line="257" w:lineRule="auto"/>
        <w:jc w:val="right"/>
        <w:rPr>
          <w:rFonts w:hint="eastAsia" w:ascii="宋体" w:hAnsi="宋体" w:eastAsia="宋体" w:cs="宋体"/>
          <w:color w:val="auto"/>
          <w:spacing w:val="0"/>
          <w:highlight w:val="none"/>
        </w:rPr>
      </w:pPr>
    </w:p>
    <w:p w14:paraId="0DA6F96F">
      <w:pPr>
        <w:pStyle w:val="8"/>
        <w:keepNext w:val="0"/>
        <w:keepLines w:val="0"/>
        <w:pageBreakBefore w:val="0"/>
        <w:wordWrap w:val="0"/>
        <w:overflowPunct/>
        <w:topLinePunct w:val="0"/>
        <w:bidi w:val="0"/>
        <w:spacing w:line="257" w:lineRule="auto"/>
        <w:jc w:val="right"/>
        <w:rPr>
          <w:rFonts w:hint="eastAsia" w:ascii="宋体" w:hAnsi="宋体" w:eastAsia="宋体" w:cs="宋体"/>
          <w:color w:val="auto"/>
          <w:spacing w:val="0"/>
          <w:highlight w:val="none"/>
        </w:rPr>
      </w:pPr>
    </w:p>
    <w:p w14:paraId="3FF8FE06">
      <w:pPr>
        <w:pStyle w:val="8"/>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ABDD826">
      <w:pPr>
        <w:pStyle w:val="8"/>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5C7AC6FE">
      <w:pPr>
        <w:pStyle w:val="8"/>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3B24ACA4">
      <w:pPr>
        <w:pStyle w:val="8"/>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6F076A86">
      <w:pPr>
        <w:pStyle w:val="8"/>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215D821F">
      <w:pPr>
        <w:pStyle w:val="8"/>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36216C9D">
      <w:pPr>
        <w:pStyle w:val="8"/>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653BBDA0">
      <w:pPr>
        <w:pStyle w:val="8"/>
        <w:keepNext w:val="0"/>
        <w:keepLines w:val="0"/>
        <w:pageBreakBefore w:val="0"/>
        <w:wordWrap w:val="0"/>
        <w:overflowPunct/>
        <w:topLinePunct w:val="0"/>
        <w:bidi w:val="0"/>
        <w:spacing w:before="1" w:line="2510" w:lineRule="exact"/>
        <w:ind w:firstLine="2534"/>
        <w:rPr>
          <w:rFonts w:hint="eastAsia" w:ascii="宋体" w:hAnsi="宋体" w:eastAsia="宋体" w:cs="宋体"/>
          <w:color w:val="auto"/>
          <w:spacing w:val="0"/>
          <w:highlight w:val="none"/>
        </w:rPr>
      </w:pPr>
      <w:r>
        <w:rPr>
          <w:rFonts w:hint="eastAsia" w:ascii="宋体" w:hAnsi="宋体" w:eastAsia="宋体" w:cs="宋体"/>
          <w:color w:val="auto"/>
          <w:spacing w:val="0"/>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4"/>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1D464E9C">
                              <w:pPr>
                                <w:spacing w:line="249" w:lineRule="auto"/>
                                <w:rPr>
                                  <w:highlight w:val="none"/>
                                </w:rPr>
                              </w:pPr>
                            </w:p>
                            <w:p w14:paraId="20A58D82">
                              <w:pPr>
                                <w:spacing w:line="249" w:lineRule="auto"/>
                                <w:rPr>
                                  <w:highlight w:val="none"/>
                                </w:rPr>
                              </w:pPr>
                            </w:p>
                            <w:p w14:paraId="08D62A2A">
                              <w:pPr>
                                <w:spacing w:line="249" w:lineRule="auto"/>
                                <w:rPr>
                                  <w:highlight w:val="none"/>
                                </w:rPr>
                              </w:pPr>
                            </w:p>
                            <w:p w14:paraId="1F56D115">
                              <w:pPr>
                                <w:spacing w:line="249" w:lineRule="auto"/>
                                <w:rPr>
                                  <w:highlight w:val="none"/>
                                </w:rPr>
                              </w:pPr>
                            </w:p>
                            <w:p w14:paraId="6F3E53C2">
                              <w:pPr>
                                <w:spacing w:before="78" w:line="220" w:lineRule="auto"/>
                                <w:jc w:val="center"/>
                                <w:rPr>
                                  <w:rFonts w:ascii="宋体" w:hAnsi="宋体" w:eastAsia="宋体" w:cs="宋体"/>
                                  <w:sz w:val="24"/>
                                  <w:szCs w:val="24"/>
                                  <w:highlight w:val="none"/>
                                </w:rPr>
                              </w:pPr>
                              <w:r>
                                <w:rPr>
                                  <w:rFonts w:ascii="宋体" w:hAnsi="宋体" w:eastAsia="宋体" w:cs="宋体"/>
                                  <w:spacing w:val="-1"/>
                                  <w:sz w:val="24"/>
                                  <w:szCs w:val="24"/>
                                  <w:highlight w:val="none"/>
                                </w:rPr>
                                <w:t>法定代表人身份证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4"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1D464E9C">
                        <w:pPr>
                          <w:spacing w:line="249" w:lineRule="auto"/>
                          <w:rPr>
                            <w:highlight w:val="none"/>
                          </w:rPr>
                        </w:pPr>
                      </w:p>
                      <w:p w14:paraId="20A58D82">
                        <w:pPr>
                          <w:spacing w:line="249" w:lineRule="auto"/>
                          <w:rPr>
                            <w:highlight w:val="none"/>
                          </w:rPr>
                        </w:pPr>
                      </w:p>
                      <w:p w14:paraId="08D62A2A">
                        <w:pPr>
                          <w:spacing w:line="249" w:lineRule="auto"/>
                          <w:rPr>
                            <w:highlight w:val="none"/>
                          </w:rPr>
                        </w:pPr>
                      </w:p>
                      <w:p w14:paraId="1F56D115">
                        <w:pPr>
                          <w:spacing w:line="249" w:lineRule="auto"/>
                          <w:rPr>
                            <w:highlight w:val="none"/>
                          </w:rPr>
                        </w:pPr>
                      </w:p>
                      <w:p w14:paraId="6F3E53C2">
                        <w:pPr>
                          <w:spacing w:before="78" w:line="220" w:lineRule="auto"/>
                          <w:jc w:val="center"/>
                          <w:rPr>
                            <w:rFonts w:ascii="宋体" w:hAnsi="宋体" w:eastAsia="宋体" w:cs="宋体"/>
                            <w:sz w:val="24"/>
                            <w:szCs w:val="24"/>
                            <w:highlight w:val="none"/>
                          </w:rPr>
                        </w:pPr>
                        <w:r>
                          <w:rPr>
                            <w:rFonts w:ascii="宋体" w:hAnsi="宋体" w:eastAsia="宋体" w:cs="宋体"/>
                            <w:spacing w:val="-1"/>
                            <w:sz w:val="24"/>
                            <w:szCs w:val="24"/>
                            <w:highlight w:val="none"/>
                          </w:rPr>
                          <w:t>法定代表人身份证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正、反面</w:t>
                        </w:r>
                      </w:p>
                    </w:txbxContent>
                  </v:textbox>
                </v:shape>
                <w10:wrap type="none"/>
                <w10:anchorlock/>
              </v:group>
            </w:pict>
          </mc:Fallback>
        </mc:AlternateContent>
      </w:r>
    </w:p>
    <w:p w14:paraId="1C0DCE14">
      <w:pPr>
        <w:keepNext w:val="0"/>
        <w:keepLines w:val="0"/>
        <w:pageBreakBefore w:val="0"/>
        <w:wordWrap w:val="0"/>
        <w:overflowPunct/>
        <w:topLinePunct w:val="0"/>
        <w:bidi w:val="0"/>
        <w:spacing w:line="2510" w:lineRule="exact"/>
        <w:rPr>
          <w:rFonts w:hint="eastAsia" w:ascii="宋体" w:hAnsi="宋体" w:eastAsia="宋体" w:cs="宋体"/>
          <w:color w:val="auto"/>
          <w:spacing w:val="0"/>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7368B660">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lang w:eastAsia="zh-CN"/>
        </w:rPr>
      </w:pPr>
      <w:bookmarkStart w:id="227" w:name="_Toc13041"/>
      <w:r>
        <w:rPr>
          <w:rFonts w:hint="eastAsia" w:ascii="宋体" w:hAnsi="宋体" w:eastAsia="宋体" w:cs="宋体"/>
          <w:b/>
          <w:bCs/>
          <w:color w:val="auto"/>
          <w:spacing w:val="0"/>
          <w:sz w:val="24"/>
          <w:szCs w:val="24"/>
          <w:highlight w:val="none"/>
        </w:rPr>
        <w:t>格式六 联合体协议书</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如有</w:t>
      </w:r>
      <w:r>
        <w:rPr>
          <w:rFonts w:hint="eastAsia" w:ascii="宋体" w:hAnsi="宋体" w:eastAsia="宋体" w:cs="宋体"/>
          <w:b/>
          <w:bCs/>
          <w:color w:val="auto"/>
          <w:spacing w:val="0"/>
          <w:sz w:val="24"/>
          <w:szCs w:val="24"/>
          <w:highlight w:val="none"/>
          <w:lang w:eastAsia="zh-CN"/>
        </w:rPr>
        <w:t>）</w:t>
      </w:r>
      <w:bookmarkEnd w:id="227"/>
    </w:p>
    <w:p w14:paraId="5C270AAB">
      <w:pPr>
        <w:keepNext w:val="0"/>
        <w:keepLines w:val="0"/>
        <w:pageBreakBefore w:val="0"/>
        <w:wordWrap w:val="0"/>
        <w:overflowPunct/>
        <w:topLinePunct w:val="0"/>
        <w:bidi w:val="0"/>
        <w:spacing w:before="98" w:line="219" w:lineRule="auto"/>
        <w:ind w:left="3638"/>
        <w:rPr>
          <w:rFonts w:hint="eastAsia" w:ascii="宋体" w:hAnsi="宋体" w:eastAsia="宋体" w:cs="宋体"/>
          <w:color w:val="auto"/>
          <w:spacing w:val="0"/>
          <w:sz w:val="30"/>
          <w:szCs w:val="30"/>
          <w:highlight w:val="none"/>
          <w:lang w:eastAsia="zh-CN"/>
        </w:rPr>
      </w:pPr>
      <w:bookmarkStart w:id="228" w:name="bookmark153"/>
      <w:bookmarkEnd w:id="228"/>
      <w:r>
        <w:rPr>
          <w:rFonts w:hint="eastAsia" w:ascii="宋体" w:hAnsi="宋体" w:eastAsia="宋体" w:cs="宋体"/>
          <w:b/>
          <w:bCs/>
          <w:color w:val="auto"/>
          <w:spacing w:val="0"/>
          <w:sz w:val="30"/>
          <w:szCs w:val="30"/>
          <w:highlight w:val="none"/>
        </w:rPr>
        <w:t>联合体协议书</w:t>
      </w:r>
    </w:p>
    <w:p w14:paraId="32DDB961">
      <w:pPr>
        <w:pStyle w:val="8"/>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174534CA">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牵头人名称： </w:t>
      </w:r>
    </w:p>
    <w:p w14:paraId="67F9BED9">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法定代表人： </w:t>
      </w:r>
    </w:p>
    <w:p w14:paraId="78F90D53">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法定住所：</w:t>
      </w:r>
    </w:p>
    <w:p w14:paraId="175F2522">
      <w:pPr>
        <w:keepNext w:val="0"/>
        <w:keepLines w:val="0"/>
        <w:pageBreakBefore w:val="0"/>
        <w:wordWrap w:val="0"/>
        <w:overflowPunct/>
        <w:topLinePunct w:val="0"/>
        <w:bidi w:val="0"/>
        <w:outlineLvl w:val="9"/>
        <w:rPr>
          <w:rFonts w:hint="eastAsia"/>
          <w:color w:val="auto"/>
          <w:spacing w:val="0"/>
          <w:highlight w:val="none"/>
        </w:rPr>
      </w:pPr>
    </w:p>
    <w:p w14:paraId="43511A5D">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成员二名称： </w:t>
      </w:r>
    </w:p>
    <w:p w14:paraId="6CC84D90">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法定代表人： </w:t>
      </w:r>
    </w:p>
    <w:p w14:paraId="19802A11">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法定住所：</w:t>
      </w:r>
    </w:p>
    <w:p w14:paraId="1179BE61">
      <w:pPr>
        <w:keepNext w:val="0"/>
        <w:keepLines w:val="0"/>
        <w:pageBreakBefore w:val="0"/>
        <w:widowControl/>
        <w:kinsoku w:val="0"/>
        <w:wordWrap w:val="0"/>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p w14:paraId="1B637D7B">
      <w:pPr>
        <w:keepNext w:val="0"/>
        <w:keepLines w:val="0"/>
        <w:pageBreakBefore w:val="0"/>
        <w:widowControl/>
        <w:kinsoku w:val="0"/>
        <w:wordWrap w:val="0"/>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上述各成员单位经过友好协商，自愿组成联合体，共同参加（项目名称）（以下简 称“本项目 ”）的施工投标并争取赢得本项目施工承包合同（以下简称合同）。现就联 合体投标事宜订立如下协议：</w:t>
      </w:r>
    </w:p>
    <w:p w14:paraId="5A82E4DB">
      <w:pPr>
        <w:keepNext w:val="0"/>
        <w:keepLines w:val="0"/>
        <w:pageBreakBefore w:val="0"/>
        <w:widowControl/>
        <w:kinsoku w:val="0"/>
        <w:wordWrap w:val="0"/>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．（某成员单位名称）为联合体牵头人。</w:t>
      </w:r>
    </w:p>
    <w:p w14:paraId="0B81E28F">
      <w:pPr>
        <w:keepNext w:val="0"/>
        <w:keepLines w:val="0"/>
        <w:pageBreakBefore w:val="0"/>
        <w:widowControl/>
        <w:kinsoku w:val="0"/>
        <w:wordWrap w:val="0"/>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725ABFF2">
      <w:pPr>
        <w:keepNext w:val="0"/>
        <w:keepLines w:val="0"/>
        <w:pageBreakBefore w:val="0"/>
        <w:widowControl/>
        <w:kinsoku w:val="0"/>
        <w:wordWrap w:val="0"/>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1B6441EC">
      <w:pPr>
        <w:keepNext w:val="0"/>
        <w:keepLines w:val="0"/>
        <w:pageBreakBefore w:val="0"/>
        <w:widowControl/>
        <w:kinsoku w:val="0"/>
        <w:wordWrap w:val="0"/>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auto"/>
          <w:spacing w:val="0"/>
          <w:sz w:val="24"/>
          <w:szCs w:val="24"/>
          <w:highlight w:val="none"/>
        </w:rPr>
      </w:pPr>
      <w:bookmarkStart w:id="229" w:name="_Toc5365"/>
      <w:bookmarkStart w:id="230" w:name="_Toc32149"/>
      <w:r>
        <w:rPr>
          <w:rFonts w:hint="eastAsia" w:ascii="宋体" w:hAnsi="宋体" w:eastAsia="宋体" w:cs="宋体"/>
          <w:color w:val="auto"/>
          <w:spacing w:val="0"/>
          <w:sz w:val="24"/>
          <w:szCs w:val="24"/>
          <w:highlight w:val="none"/>
        </w:rPr>
        <w:t>4 ．联合体各成员单位内部的职责分工如下：。</w:t>
      </w:r>
      <w:bookmarkEnd w:id="229"/>
      <w:bookmarkEnd w:id="230"/>
    </w:p>
    <w:p w14:paraId="35BB1AFF">
      <w:pPr>
        <w:keepNext w:val="0"/>
        <w:keepLines w:val="0"/>
        <w:pageBreakBefore w:val="0"/>
        <w:widowControl/>
        <w:kinsoku w:val="0"/>
        <w:wordWrap w:val="0"/>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．投标工作和联合体在中标后工程实施过程中的有关费用按各自承担的工作量分摊。</w:t>
      </w:r>
    </w:p>
    <w:p w14:paraId="24E1EA6B">
      <w:pPr>
        <w:keepNext w:val="0"/>
        <w:keepLines w:val="0"/>
        <w:pageBreakBefore w:val="0"/>
        <w:widowControl/>
        <w:kinsoku w:val="0"/>
        <w:wordWrap w:val="0"/>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 ．联合体中标后，本联合体协议是合同的附件，对联合体各成员单位有合同约束力。</w:t>
      </w:r>
    </w:p>
    <w:p w14:paraId="4788C7A5">
      <w:pPr>
        <w:keepNext w:val="0"/>
        <w:keepLines w:val="0"/>
        <w:pageBreakBefore w:val="0"/>
        <w:widowControl/>
        <w:kinsoku w:val="0"/>
        <w:wordWrap w:val="0"/>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 ．本协议书自签署之日起生效，联合体未中标或者中标时合同履行完毕后自动失效。</w:t>
      </w:r>
    </w:p>
    <w:p w14:paraId="28D66F40">
      <w:pPr>
        <w:keepNext w:val="0"/>
        <w:keepLines w:val="0"/>
        <w:pageBreakBefore w:val="0"/>
        <w:widowControl/>
        <w:kinsoku w:val="0"/>
        <w:wordWrap w:val="0"/>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pacing w:val="0"/>
          <w:sz w:val="24"/>
          <w:szCs w:val="24"/>
          <w:highlight w:val="none"/>
        </w:rPr>
      </w:pPr>
      <w:bookmarkStart w:id="231" w:name="_Toc22612"/>
      <w:bookmarkStart w:id="232" w:name="_Toc26708"/>
      <w:r>
        <w:rPr>
          <w:rFonts w:hint="eastAsia" w:ascii="宋体" w:hAnsi="宋体" w:eastAsia="宋体" w:cs="宋体"/>
          <w:color w:val="auto"/>
          <w:spacing w:val="0"/>
          <w:sz w:val="24"/>
          <w:szCs w:val="24"/>
          <w:highlight w:val="none"/>
        </w:rPr>
        <w:t>8 ．本协议书一式份，联合体成员和招标人各执一份。</w:t>
      </w:r>
      <w:bookmarkEnd w:id="231"/>
      <w:bookmarkEnd w:id="232"/>
    </w:p>
    <w:p w14:paraId="0967CE09">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bookmarkStart w:id="233" w:name="bookmark154"/>
      <w:bookmarkEnd w:id="233"/>
      <w:r>
        <w:rPr>
          <w:rFonts w:hint="eastAsia" w:ascii="宋体" w:hAnsi="宋体" w:eastAsia="宋体" w:cs="宋体"/>
          <w:color w:val="auto"/>
          <w:spacing w:val="0"/>
          <w:sz w:val="24"/>
          <w:szCs w:val="24"/>
          <w:highlight w:val="none"/>
        </w:rPr>
        <w:t>牵头人名称：</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（盖单位章）</w:t>
      </w:r>
    </w:p>
    <w:p w14:paraId="09CDB0A3">
      <w:pPr>
        <w:pStyle w:val="8"/>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58135828">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（签字或盖章）</w:t>
      </w:r>
    </w:p>
    <w:p w14:paraId="33373384">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成员二名称：</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（盖单位章）</w:t>
      </w:r>
    </w:p>
    <w:p w14:paraId="373116C5">
      <w:pPr>
        <w:pStyle w:val="8"/>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3ED84B44">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（签字或盖章）</w:t>
      </w:r>
    </w:p>
    <w:p w14:paraId="4594AAFE">
      <w:pPr>
        <w:keepNext w:val="0"/>
        <w:keepLines w:val="0"/>
        <w:pageBreakBefore w:val="0"/>
        <w:wordWrap w:val="0"/>
        <w:overflowPunct/>
        <w:topLinePunct w:val="0"/>
        <w:bidi w:val="0"/>
        <w:spacing w:before="78" w:line="22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357A8718">
      <w:pPr>
        <w:pStyle w:val="8"/>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1F7440A2">
      <w:pPr>
        <w:keepNext w:val="0"/>
        <w:keepLines w:val="0"/>
        <w:pageBreakBefore w:val="0"/>
        <w:widowControl/>
        <w:kinsoku w:val="0"/>
        <w:wordWrap w:val="0"/>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pacing w:val="0"/>
          <w:sz w:val="20"/>
          <w:szCs w:val="20"/>
          <w:highlight w:val="none"/>
        </w:rPr>
      </w:pPr>
      <w:r>
        <w:rPr>
          <w:rFonts w:hint="eastAsia" w:ascii="宋体" w:hAnsi="宋体" w:eastAsia="宋体" w:cs="宋体"/>
          <w:color w:val="auto"/>
          <w:spacing w:val="0"/>
          <w:sz w:val="20"/>
          <w:szCs w:val="20"/>
          <w:highlight w:val="none"/>
        </w:rPr>
        <w:t>说明：《联合体协议书》 由委托代理人签字或盖章的，应附法定代表人签字或盖章的授权委托书。</w:t>
      </w:r>
    </w:p>
    <w:p w14:paraId="6B8B4908">
      <w:pPr>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sz w:val="20"/>
          <w:szCs w:val="20"/>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7F3C651">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34" w:name="_Toc13205"/>
      <w:r>
        <w:rPr>
          <w:rFonts w:hint="eastAsia" w:ascii="宋体" w:hAnsi="宋体" w:eastAsia="宋体" w:cs="宋体"/>
          <w:b/>
          <w:bCs/>
          <w:color w:val="auto"/>
          <w:spacing w:val="0"/>
          <w:sz w:val="24"/>
          <w:szCs w:val="24"/>
          <w:highlight w:val="none"/>
        </w:rPr>
        <w:t>格式七 投标人基本情况表</w:t>
      </w:r>
      <w:bookmarkEnd w:id="234"/>
    </w:p>
    <w:p w14:paraId="3883713D">
      <w:pPr>
        <w:keepNext w:val="0"/>
        <w:keepLines w:val="0"/>
        <w:pageBreakBefore w:val="0"/>
        <w:wordWrap w:val="0"/>
        <w:overflowPunct/>
        <w:topLinePunct w:val="0"/>
        <w:bidi w:val="0"/>
        <w:spacing w:before="333" w:line="219" w:lineRule="auto"/>
        <w:ind w:left="3350"/>
        <w:rPr>
          <w:rFonts w:hint="eastAsia" w:ascii="宋体" w:hAnsi="宋体" w:eastAsia="宋体" w:cs="宋体"/>
          <w:color w:val="auto"/>
          <w:spacing w:val="0"/>
          <w:sz w:val="30"/>
          <w:szCs w:val="30"/>
          <w:highlight w:val="none"/>
        </w:rPr>
      </w:pPr>
      <w:r>
        <w:rPr>
          <w:rFonts w:hint="eastAsia" w:ascii="宋体" w:hAnsi="宋体" w:eastAsia="宋体" w:cs="宋体"/>
          <w:b/>
          <w:bCs/>
          <w:color w:val="auto"/>
          <w:spacing w:val="0"/>
          <w:sz w:val="30"/>
          <w:szCs w:val="30"/>
          <w:highlight w:val="none"/>
        </w:rPr>
        <w:t>投标人基本情况表</w:t>
      </w:r>
    </w:p>
    <w:p w14:paraId="76BA02F4">
      <w:pPr>
        <w:keepNext w:val="0"/>
        <w:keepLines w:val="0"/>
        <w:pageBreakBefore w:val="0"/>
        <w:wordWrap w:val="0"/>
        <w:overflowPunct/>
        <w:topLinePunct w:val="0"/>
        <w:bidi w:val="0"/>
        <w:spacing w:line="239" w:lineRule="exact"/>
        <w:rPr>
          <w:rFonts w:hint="eastAsia" w:ascii="宋体" w:hAnsi="宋体" w:eastAsia="宋体" w:cs="宋体"/>
          <w:color w:val="auto"/>
          <w:spacing w:val="0"/>
          <w:highlight w:val="none"/>
        </w:rPr>
      </w:pPr>
    </w:p>
    <w:tbl>
      <w:tblPr>
        <w:tblStyle w:val="17"/>
        <w:tblW w:w="9259" w:type="dxa"/>
        <w:tblInd w:w="28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1607D7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6EF8B15F">
            <w:pPr>
              <w:keepNext w:val="0"/>
              <w:keepLines w:val="0"/>
              <w:pageBreakBefore w:val="0"/>
              <w:widowControl/>
              <w:kinsoku w:val="0"/>
              <w:wordWrap w:val="0"/>
              <w:overflowPunct/>
              <w:topLinePunct w:val="0"/>
              <w:autoSpaceDE w:val="0"/>
              <w:autoSpaceDN w:val="0"/>
              <w:bidi w:val="0"/>
              <w:adjustRightInd w:val="0"/>
              <w:snapToGrid w:val="0"/>
              <w:spacing w:before="149"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投标人名称</w:t>
            </w:r>
          </w:p>
        </w:tc>
        <w:tc>
          <w:tcPr>
            <w:tcW w:w="7639" w:type="dxa"/>
            <w:gridSpan w:val="8"/>
            <w:vAlign w:val="center"/>
          </w:tcPr>
          <w:p w14:paraId="14589BCD">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D4417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3B4D7EDE">
            <w:pPr>
              <w:keepNext w:val="0"/>
              <w:keepLines w:val="0"/>
              <w:pageBreakBefore w:val="0"/>
              <w:widowControl/>
              <w:kinsoku w:val="0"/>
              <w:wordWrap w:val="0"/>
              <w:overflowPunct/>
              <w:topLinePunct w:val="0"/>
              <w:autoSpaceDE w:val="0"/>
              <w:autoSpaceDN w:val="0"/>
              <w:bidi w:val="0"/>
              <w:adjustRightInd w:val="0"/>
              <w:snapToGrid w:val="0"/>
              <w:spacing w:before="144"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注册地址</w:t>
            </w:r>
          </w:p>
        </w:tc>
        <w:tc>
          <w:tcPr>
            <w:tcW w:w="3684" w:type="dxa"/>
            <w:gridSpan w:val="3"/>
            <w:vAlign w:val="center"/>
          </w:tcPr>
          <w:p w14:paraId="0030132C">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354" w:type="dxa"/>
            <w:gridSpan w:val="2"/>
            <w:vAlign w:val="center"/>
          </w:tcPr>
          <w:p w14:paraId="543D1C4F">
            <w:pPr>
              <w:keepNext w:val="0"/>
              <w:keepLines w:val="0"/>
              <w:pageBreakBefore w:val="0"/>
              <w:widowControl/>
              <w:kinsoku w:val="0"/>
              <w:wordWrap w:val="0"/>
              <w:overflowPunct/>
              <w:topLinePunct w:val="0"/>
              <w:autoSpaceDE w:val="0"/>
              <w:autoSpaceDN w:val="0"/>
              <w:bidi w:val="0"/>
              <w:adjustRightInd w:val="0"/>
              <w:snapToGrid w:val="0"/>
              <w:spacing w:before="144"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邮政编码</w:t>
            </w:r>
          </w:p>
        </w:tc>
        <w:tc>
          <w:tcPr>
            <w:tcW w:w="2601" w:type="dxa"/>
            <w:gridSpan w:val="3"/>
            <w:vAlign w:val="center"/>
          </w:tcPr>
          <w:p w14:paraId="0F970975">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02172B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Merge w:val="restart"/>
            <w:tcBorders>
              <w:bottom w:val="nil"/>
            </w:tcBorders>
            <w:vAlign w:val="center"/>
          </w:tcPr>
          <w:p w14:paraId="3CEF8468">
            <w:pPr>
              <w:keepNext w:val="0"/>
              <w:keepLines w:val="0"/>
              <w:pageBreakBefore w:val="0"/>
              <w:widowControl/>
              <w:kinsoku w:val="0"/>
              <w:wordWrap w:val="0"/>
              <w:overflowPunct/>
              <w:topLinePunct w:val="0"/>
              <w:autoSpaceDE w:val="0"/>
              <w:autoSpaceDN w:val="0"/>
              <w:bidi w:val="0"/>
              <w:adjustRightInd w:val="0"/>
              <w:snapToGrid w:val="0"/>
              <w:spacing w:before="6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联系方式</w:t>
            </w:r>
          </w:p>
        </w:tc>
        <w:tc>
          <w:tcPr>
            <w:tcW w:w="975" w:type="dxa"/>
            <w:vAlign w:val="center"/>
          </w:tcPr>
          <w:p w14:paraId="5D57149C">
            <w:pPr>
              <w:keepNext w:val="0"/>
              <w:keepLines w:val="0"/>
              <w:pageBreakBefore w:val="0"/>
              <w:widowControl/>
              <w:kinsoku w:val="0"/>
              <w:wordWrap w:val="0"/>
              <w:overflowPunct/>
              <w:topLinePunct w:val="0"/>
              <w:autoSpaceDE w:val="0"/>
              <w:autoSpaceDN w:val="0"/>
              <w:bidi w:val="0"/>
              <w:adjustRightInd w:val="0"/>
              <w:snapToGrid w:val="0"/>
              <w:spacing w:before="145" w:line="231"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联系人</w:t>
            </w:r>
          </w:p>
        </w:tc>
        <w:tc>
          <w:tcPr>
            <w:tcW w:w="2709" w:type="dxa"/>
            <w:gridSpan w:val="2"/>
            <w:vAlign w:val="center"/>
          </w:tcPr>
          <w:p w14:paraId="4CC0665A">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354" w:type="dxa"/>
            <w:gridSpan w:val="2"/>
            <w:vAlign w:val="center"/>
          </w:tcPr>
          <w:p w14:paraId="7D215618">
            <w:pPr>
              <w:keepNext w:val="0"/>
              <w:keepLines w:val="0"/>
              <w:pageBreakBefore w:val="0"/>
              <w:widowControl/>
              <w:kinsoku w:val="0"/>
              <w:wordWrap w:val="0"/>
              <w:overflowPunct/>
              <w:topLinePunct w:val="0"/>
              <w:autoSpaceDE w:val="0"/>
              <w:autoSpaceDN w:val="0"/>
              <w:bidi w:val="0"/>
              <w:adjustRightInd w:val="0"/>
              <w:snapToGrid w:val="0"/>
              <w:spacing w:before="145" w:line="231"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  话</w:t>
            </w:r>
          </w:p>
        </w:tc>
        <w:tc>
          <w:tcPr>
            <w:tcW w:w="2601" w:type="dxa"/>
            <w:gridSpan w:val="3"/>
            <w:vAlign w:val="center"/>
          </w:tcPr>
          <w:p w14:paraId="29B76228">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44095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Merge w:val="continue"/>
            <w:tcBorders>
              <w:top w:val="nil"/>
            </w:tcBorders>
            <w:vAlign w:val="center"/>
          </w:tcPr>
          <w:p w14:paraId="026B78F0">
            <w:pPr>
              <w:pStyle w:val="31"/>
              <w:keepNext w:val="0"/>
              <w:keepLines w:val="0"/>
              <w:pageBreakBefore w:val="0"/>
              <w:widowControl/>
              <w:kinsoku w:val="0"/>
              <w:wordWrap w:val="0"/>
              <w:overflowPunct/>
              <w:topLinePunct w:val="0"/>
              <w:autoSpaceDE w:val="0"/>
              <w:autoSpaceDN w:val="0"/>
              <w:bidi w:val="0"/>
              <w:adjustRightInd w:val="0"/>
              <w:snapToGrid w:val="0"/>
              <w:spacing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975" w:type="dxa"/>
            <w:vAlign w:val="center"/>
          </w:tcPr>
          <w:p w14:paraId="1580F4F0">
            <w:pPr>
              <w:keepNext w:val="0"/>
              <w:keepLines w:val="0"/>
              <w:pageBreakBefore w:val="0"/>
              <w:widowControl/>
              <w:kinsoku w:val="0"/>
              <w:wordWrap w:val="0"/>
              <w:overflowPunct/>
              <w:topLinePunct w:val="0"/>
              <w:autoSpaceDE w:val="0"/>
              <w:autoSpaceDN w:val="0"/>
              <w:bidi w:val="0"/>
              <w:adjustRightInd w:val="0"/>
              <w:snapToGrid w:val="0"/>
              <w:spacing w:before="143"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传  真</w:t>
            </w:r>
          </w:p>
        </w:tc>
        <w:tc>
          <w:tcPr>
            <w:tcW w:w="2709" w:type="dxa"/>
            <w:gridSpan w:val="2"/>
            <w:vAlign w:val="center"/>
          </w:tcPr>
          <w:p w14:paraId="1BEEA8B8">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354" w:type="dxa"/>
            <w:gridSpan w:val="2"/>
            <w:vAlign w:val="center"/>
          </w:tcPr>
          <w:p w14:paraId="14B24F33">
            <w:pPr>
              <w:keepNext w:val="0"/>
              <w:keepLines w:val="0"/>
              <w:pageBreakBefore w:val="0"/>
              <w:widowControl/>
              <w:kinsoku w:val="0"/>
              <w:wordWrap w:val="0"/>
              <w:overflowPunct/>
              <w:topLinePunct w:val="0"/>
              <w:autoSpaceDE w:val="0"/>
              <w:autoSpaceDN w:val="0"/>
              <w:bidi w:val="0"/>
              <w:adjustRightInd w:val="0"/>
              <w:snapToGrid w:val="0"/>
              <w:spacing w:before="144"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电子邮箱</w:t>
            </w:r>
          </w:p>
        </w:tc>
        <w:tc>
          <w:tcPr>
            <w:tcW w:w="2601" w:type="dxa"/>
            <w:gridSpan w:val="3"/>
            <w:vAlign w:val="center"/>
          </w:tcPr>
          <w:p w14:paraId="6A57856E">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43642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03AC78AB">
            <w:pPr>
              <w:keepNext w:val="0"/>
              <w:keepLines w:val="0"/>
              <w:pageBreakBefore w:val="0"/>
              <w:widowControl/>
              <w:kinsoku w:val="0"/>
              <w:wordWrap w:val="0"/>
              <w:overflowPunct/>
              <w:topLinePunct w:val="0"/>
              <w:autoSpaceDE w:val="0"/>
              <w:autoSpaceDN w:val="0"/>
              <w:bidi w:val="0"/>
              <w:adjustRightInd w:val="0"/>
              <w:snapToGrid w:val="0"/>
              <w:spacing w:before="14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单位性质</w:t>
            </w:r>
          </w:p>
        </w:tc>
        <w:tc>
          <w:tcPr>
            <w:tcW w:w="7639" w:type="dxa"/>
            <w:gridSpan w:val="8"/>
            <w:vAlign w:val="center"/>
          </w:tcPr>
          <w:p w14:paraId="29EB3DEE">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67D38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5D1495F6">
            <w:pPr>
              <w:keepNext w:val="0"/>
              <w:keepLines w:val="0"/>
              <w:pageBreakBefore w:val="0"/>
              <w:widowControl/>
              <w:kinsoku w:val="0"/>
              <w:wordWrap w:val="0"/>
              <w:overflowPunct/>
              <w:topLinePunct w:val="0"/>
              <w:autoSpaceDE w:val="0"/>
              <w:autoSpaceDN w:val="0"/>
              <w:bidi w:val="0"/>
              <w:adjustRightInd w:val="0"/>
              <w:snapToGrid w:val="0"/>
              <w:spacing w:before="144"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法定代表人</w:t>
            </w:r>
          </w:p>
        </w:tc>
        <w:tc>
          <w:tcPr>
            <w:tcW w:w="975" w:type="dxa"/>
            <w:vAlign w:val="center"/>
          </w:tcPr>
          <w:p w14:paraId="53555EEA">
            <w:pPr>
              <w:keepNext w:val="0"/>
              <w:keepLines w:val="0"/>
              <w:pageBreakBefore w:val="0"/>
              <w:widowControl/>
              <w:kinsoku w:val="0"/>
              <w:wordWrap w:val="0"/>
              <w:overflowPunct/>
              <w:topLinePunct w:val="0"/>
              <w:autoSpaceDE w:val="0"/>
              <w:autoSpaceDN w:val="0"/>
              <w:bidi w:val="0"/>
              <w:adjustRightInd w:val="0"/>
              <w:snapToGrid w:val="0"/>
              <w:spacing w:before="144"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姓名</w:t>
            </w:r>
          </w:p>
        </w:tc>
        <w:tc>
          <w:tcPr>
            <w:tcW w:w="1837" w:type="dxa"/>
            <w:vAlign w:val="center"/>
          </w:tcPr>
          <w:p w14:paraId="18E72021">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Align w:val="center"/>
          </w:tcPr>
          <w:p w14:paraId="09550DDF">
            <w:pPr>
              <w:keepNext w:val="0"/>
              <w:keepLines w:val="0"/>
              <w:pageBreakBefore w:val="0"/>
              <w:widowControl/>
              <w:kinsoku w:val="0"/>
              <w:wordWrap w:val="0"/>
              <w:overflowPunct/>
              <w:topLinePunct w:val="0"/>
              <w:autoSpaceDE w:val="0"/>
              <w:autoSpaceDN w:val="0"/>
              <w:bidi w:val="0"/>
              <w:adjustRightInd w:val="0"/>
              <w:snapToGrid w:val="0"/>
              <w:spacing w:before="144"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技术职称</w:t>
            </w:r>
          </w:p>
        </w:tc>
        <w:tc>
          <w:tcPr>
            <w:tcW w:w="1326" w:type="dxa"/>
            <w:gridSpan w:val="2"/>
            <w:vAlign w:val="center"/>
          </w:tcPr>
          <w:p w14:paraId="0A1D7073">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770" w:type="dxa"/>
            <w:vAlign w:val="center"/>
          </w:tcPr>
          <w:p w14:paraId="40E8BE67">
            <w:pPr>
              <w:keepNext w:val="0"/>
              <w:keepLines w:val="0"/>
              <w:pageBreakBefore w:val="0"/>
              <w:widowControl/>
              <w:kinsoku w:val="0"/>
              <w:wordWrap w:val="0"/>
              <w:overflowPunct/>
              <w:topLinePunct w:val="0"/>
              <w:autoSpaceDE w:val="0"/>
              <w:autoSpaceDN w:val="0"/>
              <w:bidi w:val="0"/>
              <w:adjustRightInd w:val="0"/>
              <w:snapToGrid w:val="0"/>
              <w:spacing w:before="143" w:line="231"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电话</w:t>
            </w:r>
          </w:p>
        </w:tc>
        <w:tc>
          <w:tcPr>
            <w:tcW w:w="1548" w:type="dxa"/>
            <w:vAlign w:val="center"/>
          </w:tcPr>
          <w:p w14:paraId="681BBCDB">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445C9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3385668B">
            <w:pPr>
              <w:keepNext w:val="0"/>
              <w:keepLines w:val="0"/>
              <w:pageBreakBefore w:val="0"/>
              <w:widowControl/>
              <w:kinsoku w:val="0"/>
              <w:wordWrap w:val="0"/>
              <w:overflowPunct/>
              <w:topLinePunct w:val="0"/>
              <w:autoSpaceDE w:val="0"/>
              <w:autoSpaceDN w:val="0"/>
              <w:bidi w:val="0"/>
              <w:adjustRightInd w:val="0"/>
              <w:snapToGrid w:val="0"/>
              <w:spacing w:before="14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成立时间</w:t>
            </w:r>
          </w:p>
        </w:tc>
        <w:tc>
          <w:tcPr>
            <w:tcW w:w="2812" w:type="dxa"/>
            <w:gridSpan w:val="2"/>
            <w:vAlign w:val="center"/>
          </w:tcPr>
          <w:p w14:paraId="5A38A702">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4827" w:type="dxa"/>
            <w:gridSpan w:val="6"/>
            <w:vAlign w:val="center"/>
          </w:tcPr>
          <w:p w14:paraId="6C99262E">
            <w:pPr>
              <w:keepNext w:val="0"/>
              <w:keepLines w:val="0"/>
              <w:pageBreakBefore w:val="0"/>
              <w:widowControl/>
              <w:kinsoku w:val="0"/>
              <w:wordWrap w:val="0"/>
              <w:overflowPunct/>
              <w:topLinePunct w:val="0"/>
              <w:autoSpaceDE w:val="0"/>
              <w:autoSpaceDN w:val="0"/>
              <w:bidi w:val="0"/>
              <w:adjustRightInd w:val="0"/>
              <w:snapToGrid w:val="0"/>
              <w:spacing w:before="145"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员工总人数（个）：</w:t>
            </w:r>
          </w:p>
        </w:tc>
      </w:tr>
      <w:tr w14:paraId="4B1B32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2BB33139">
            <w:pPr>
              <w:keepNext w:val="0"/>
              <w:keepLines w:val="0"/>
              <w:pageBreakBefore w:val="0"/>
              <w:widowControl/>
              <w:kinsoku w:val="0"/>
              <w:wordWrap w:val="0"/>
              <w:overflowPunct/>
              <w:topLinePunct w:val="0"/>
              <w:autoSpaceDE w:val="0"/>
              <w:autoSpaceDN w:val="0"/>
              <w:bidi w:val="0"/>
              <w:adjustRightInd w:val="0"/>
              <w:snapToGrid w:val="0"/>
              <w:spacing w:before="61"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企业资质  </w:t>
            </w:r>
          </w:p>
          <w:p w14:paraId="3928B24B">
            <w:pPr>
              <w:keepNext w:val="0"/>
              <w:keepLines w:val="0"/>
              <w:pageBreakBefore w:val="0"/>
              <w:widowControl/>
              <w:kinsoku w:val="0"/>
              <w:wordWrap w:val="0"/>
              <w:overflowPunct/>
              <w:topLinePunct w:val="0"/>
              <w:autoSpaceDE w:val="0"/>
              <w:autoSpaceDN w:val="0"/>
              <w:bidi w:val="0"/>
              <w:adjustRightInd w:val="0"/>
              <w:snapToGrid w:val="0"/>
              <w:spacing w:before="61"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类型和等级</w:t>
            </w:r>
          </w:p>
        </w:tc>
        <w:tc>
          <w:tcPr>
            <w:tcW w:w="2812" w:type="dxa"/>
            <w:gridSpan w:val="2"/>
            <w:vAlign w:val="center"/>
          </w:tcPr>
          <w:p w14:paraId="467DA98E">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restart"/>
            <w:tcBorders>
              <w:bottom w:val="nil"/>
            </w:tcBorders>
            <w:vAlign w:val="center"/>
          </w:tcPr>
          <w:p w14:paraId="130DF667">
            <w:pPr>
              <w:keepNext w:val="0"/>
              <w:keepLines w:val="0"/>
              <w:pageBreakBefore w:val="0"/>
              <w:widowControl/>
              <w:kinsoku w:val="0"/>
              <w:wordWrap w:val="0"/>
              <w:overflowPunct/>
              <w:topLinePunct w:val="0"/>
              <w:autoSpaceDE w:val="0"/>
              <w:autoSpaceDN w:val="0"/>
              <w:bidi w:val="0"/>
              <w:adjustRightInd w:val="0"/>
              <w:snapToGrid w:val="0"/>
              <w:spacing w:before="65"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其中</w:t>
            </w:r>
          </w:p>
        </w:tc>
        <w:tc>
          <w:tcPr>
            <w:tcW w:w="2096" w:type="dxa"/>
            <w:gridSpan w:val="3"/>
            <w:vAlign w:val="center"/>
          </w:tcPr>
          <w:p w14:paraId="1767D4FB">
            <w:pPr>
              <w:keepNext w:val="0"/>
              <w:keepLines w:val="0"/>
              <w:pageBreakBefore w:val="0"/>
              <w:widowControl/>
              <w:kinsoku w:val="0"/>
              <w:wordWrap w:val="0"/>
              <w:overflowPunct/>
              <w:topLinePunct w:val="0"/>
              <w:autoSpaceDE w:val="0"/>
              <w:autoSpaceDN w:val="0"/>
              <w:bidi w:val="0"/>
              <w:adjustRightInd w:val="0"/>
              <w:snapToGrid w:val="0"/>
              <w:spacing w:before="214"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项目经理</w:t>
            </w:r>
          </w:p>
        </w:tc>
        <w:tc>
          <w:tcPr>
            <w:tcW w:w="1548" w:type="dxa"/>
            <w:vAlign w:val="center"/>
          </w:tcPr>
          <w:p w14:paraId="78172C73">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44BA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178541C3">
            <w:pPr>
              <w:keepNext w:val="0"/>
              <w:keepLines w:val="0"/>
              <w:pageBreakBefore w:val="0"/>
              <w:widowControl/>
              <w:kinsoku w:val="0"/>
              <w:wordWrap w:val="0"/>
              <w:overflowPunct/>
              <w:topLinePunct w:val="0"/>
              <w:autoSpaceDE w:val="0"/>
              <w:autoSpaceDN w:val="0"/>
              <w:bidi w:val="0"/>
              <w:adjustRightInd w:val="0"/>
              <w:snapToGrid w:val="0"/>
              <w:spacing w:before="146"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营业执照号</w:t>
            </w:r>
          </w:p>
        </w:tc>
        <w:tc>
          <w:tcPr>
            <w:tcW w:w="2812" w:type="dxa"/>
            <w:gridSpan w:val="2"/>
            <w:vAlign w:val="center"/>
          </w:tcPr>
          <w:p w14:paraId="1BE594FE">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bottom w:val="nil"/>
            </w:tcBorders>
            <w:vAlign w:val="center"/>
          </w:tcPr>
          <w:p w14:paraId="25BD5062">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4F495599">
            <w:pPr>
              <w:keepNext w:val="0"/>
              <w:keepLines w:val="0"/>
              <w:pageBreakBefore w:val="0"/>
              <w:widowControl/>
              <w:kinsoku w:val="0"/>
              <w:wordWrap w:val="0"/>
              <w:overflowPunct/>
              <w:topLinePunct w:val="0"/>
              <w:autoSpaceDE w:val="0"/>
              <w:autoSpaceDN w:val="0"/>
              <w:bidi w:val="0"/>
              <w:adjustRightInd w:val="0"/>
              <w:snapToGrid w:val="0"/>
              <w:spacing w:before="146"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高级职称人员</w:t>
            </w:r>
          </w:p>
        </w:tc>
        <w:tc>
          <w:tcPr>
            <w:tcW w:w="1548" w:type="dxa"/>
            <w:vAlign w:val="center"/>
          </w:tcPr>
          <w:p w14:paraId="6333D9F5">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23B95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31209485">
            <w:pPr>
              <w:keepNext w:val="0"/>
              <w:keepLines w:val="0"/>
              <w:pageBreakBefore w:val="0"/>
              <w:widowControl/>
              <w:kinsoku w:val="0"/>
              <w:wordWrap w:val="0"/>
              <w:overflowPunct/>
              <w:topLinePunct w:val="0"/>
              <w:autoSpaceDE w:val="0"/>
              <w:autoSpaceDN w:val="0"/>
              <w:bidi w:val="0"/>
              <w:adjustRightInd w:val="0"/>
              <w:snapToGrid w:val="0"/>
              <w:spacing w:before="146"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注册资金</w:t>
            </w:r>
          </w:p>
        </w:tc>
        <w:tc>
          <w:tcPr>
            <w:tcW w:w="2812" w:type="dxa"/>
            <w:gridSpan w:val="2"/>
            <w:vAlign w:val="center"/>
          </w:tcPr>
          <w:p w14:paraId="295E3673">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bottom w:val="nil"/>
            </w:tcBorders>
            <w:vAlign w:val="center"/>
          </w:tcPr>
          <w:p w14:paraId="57CA7C7D">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136FCE83">
            <w:pPr>
              <w:keepNext w:val="0"/>
              <w:keepLines w:val="0"/>
              <w:pageBreakBefore w:val="0"/>
              <w:widowControl/>
              <w:kinsoku w:val="0"/>
              <w:wordWrap w:val="0"/>
              <w:overflowPunct/>
              <w:topLinePunct w:val="0"/>
              <w:autoSpaceDE w:val="0"/>
              <w:autoSpaceDN w:val="0"/>
              <w:bidi w:val="0"/>
              <w:adjustRightInd w:val="0"/>
              <w:snapToGrid w:val="0"/>
              <w:spacing w:before="147"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中级职称人员</w:t>
            </w:r>
          </w:p>
        </w:tc>
        <w:tc>
          <w:tcPr>
            <w:tcW w:w="1548" w:type="dxa"/>
            <w:vAlign w:val="center"/>
          </w:tcPr>
          <w:p w14:paraId="510FE84F">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1B1814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50DE22A6">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基本账户 </w:t>
            </w:r>
          </w:p>
          <w:p w14:paraId="2EB25329">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开户银行</w:t>
            </w:r>
          </w:p>
        </w:tc>
        <w:tc>
          <w:tcPr>
            <w:tcW w:w="2812" w:type="dxa"/>
            <w:gridSpan w:val="2"/>
            <w:vAlign w:val="center"/>
          </w:tcPr>
          <w:p w14:paraId="2C062370">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bottom w:val="nil"/>
            </w:tcBorders>
            <w:vAlign w:val="center"/>
          </w:tcPr>
          <w:p w14:paraId="4CD1B56B">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0DB4DB46">
            <w:pPr>
              <w:keepNext w:val="0"/>
              <w:keepLines w:val="0"/>
              <w:pageBreakBefore w:val="0"/>
              <w:widowControl/>
              <w:kinsoku w:val="0"/>
              <w:wordWrap w:val="0"/>
              <w:overflowPunct/>
              <w:topLinePunct w:val="0"/>
              <w:autoSpaceDE w:val="0"/>
              <w:autoSpaceDN w:val="0"/>
              <w:bidi w:val="0"/>
              <w:adjustRightInd w:val="0"/>
              <w:snapToGrid w:val="0"/>
              <w:spacing w:before="191" w:line="23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初级职称人员</w:t>
            </w:r>
          </w:p>
        </w:tc>
        <w:tc>
          <w:tcPr>
            <w:tcW w:w="1548" w:type="dxa"/>
            <w:vAlign w:val="center"/>
          </w:tcPr>
          <w:p w14:paraId="7CDA78E5">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6CB8C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4CA499D6">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基本账户 </w:t>
            </w:r>
          </w:p>
          <w:p w14:paraId="29CFAC8B">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银行账号</w:t>
            </w:r>
          </w:p>
        </w:tc>
        <w:tc>
          <w:tcPr>
            <w:tcW w:w="2812" w:type="dxa"/>
            <w:gridSpan w:val="2"/>
            <w:vAlign w:val="center"/>
          </w:tcPr>
          <w:p w14:paraId="331AE37A">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tcBorders>
            <w:vAlign w:val="center"/>
          </w:tcPr>
          <w:p w14:paraId="1E04A7E8">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0CA13977">
            <w:pPr>
              <w:keepNext w:val="0"/>
              <w:keepLines w:val="0"/>
              <w:pageBreakBefore w:val="0"/>
              <w:widowControl/>
              <w:kinsoku w:val="0"/>
              <w:wordWrap w:val="0"/>
              <w:overflowPunct/>
              <w:topLinePunct w:val="0"/>
              <w:autoSpaceDE w:val="0"/>
              <w:autoSpaceDN w:val="0"/>
              <w:bidi w:val="0"/>
              <w:adjustRightInd w:val="0"/>
              <w:snapToGrid w:val="0"/>
              <w:spacing w:before="211"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技术员</w:t>
            </w:r>
          </w:p>
        </w:tc>
        <w:tc>
          <w:tcPr>
            <w:tcW w:w="1548" w:type="dxa"/>
            <w:vAlign w:val="center"/>
          </w:tcPr>
          <w:p w14:paraId="0E115D31">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F53D4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17CFDBBB">
            <w:pPr>
              <w:keepNext w:val="0"/>
              <w:keepLines w:val="0"/>
              <w:pageBreakBefore w:val="0"/>
              <w:widowControl/>
              <w:kinsoku w:val="0"/>
              <w:wordWrap w:val="0"/>
              <w:overflowPunct/>
              <w:topLinePunct w:val="0"/>
              <w:autoSpaceDE w:val="0"/>
              <w:autoSpaceDN w:val="0"/>
              <w:bidi w:val="0"/>
              <w:adjustRightInd w:val="0"/>
              <w:snapToGrid w:val="0"/>
              <w:spacing w:before="6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经营范围</w:t>
            </w:r>
          </w:p>
        </w:tc>
        <w:tc>
          <w:tcPr>
            <w:tcW w:w="7639" w:type="dxa"/>
            <w:gridSpan w:val="8"/>
            <w:vAlign w:val="center"/>
          </w:tcPr>
          <w:p w14:paraId="19D6286B">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066BF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01A7914E">
            <w:pPr>
              <w:keepNext w:val="0"/>
              <w:keepLines w:val="0"/>
              <w:pageBreakBefore w:val="0"/>
              <w:widowControl/>
              <w:kinsoku w:val="0"/>
              <w:wordWrap w:val="0"/>
              <w:overflowPunct/>
              <w:topLinePunct w:val="0"/>
              <w:autoSpaceDE w:val="0"/>
              <w:autoSpaceDN w:val="0"/>
              <w:bidi w:val="0"/>
              <w:adjustRightInd w:val="0"/>
              <w:snapToGrid w:val="0"/>
              <w:spacing w:before="6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关联企业情况</w:t>
            </w:r>
          </w:p>
        </w:tc>
        <w:tc>
          <w:tcPr>
            <w:tcW w:w="7639" w:type="dxa"/>
            <w:gridSpan w:val="8"/>
            <w:vAlign w:val="center"/>
          </w:tcPr>
          <w:p w14:paraId="2B67045A">
            <w:pPr>
              <w:keepNext w:val="0"/>
              <w:keepLines w:val="0"/>
              <w:pageBreakBefore w:val="0"/>
              <w:widowControl/>
              <w:kinsoku w:val="0"/>
              <w:wordWrap w:val="0"/>
              <w:overflowPunct/>
              <w:topLinePunct w:val="0"/>
              <w:autoSpaceDE w:val="0"/>
              <w:autoSpaceDN w:val="0"/>
              <w:bidi w:val="0"/>
              <w:adjustRightInd w:val="0"/>
              <w:snapToGrid w:val="0"/>
              <w:spacing w:before="168"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包括但不限于与投标人存在以下关系的不同单位：</w:t>
            </w:r>
          </w:p>
          <w:p w14:paraId="65D884EF">
            <w:pPr>
              <w:keepNext w:val="0"/>
              <w:keepLines w:val="0"/>
              <w:pageBreakBefore w:val="0"/>
              <w:widowControl/>
              <w:kinsoku w:val="0"/>
              <w:wordWrap w:val="0"/>
              <w:overflowPunct/>
              <w:topLinePunct w:val="0"/>
              <w:autoSpaceDE w:val="0"/>
              <w:autoSpaceDN w:val="0"/>
              <w:bidi w:val="0"/>
              <w:adjustRightInd w:val="0"/>
              <w:snapToGrid w:val="0"/>
              <w:spacing w:before="81"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1 ．法定代表人为同一人的。</w:t>
            </w:r>
          </w:p>
          <w:p w14:paraId="36492BCE">
            <w:pPr>
              <w:keepNext w:val="0"/>
              <w:keepLines w:val="0"/>
              <w:pageBreakBefore w:val="0"/>
              <w:widowControl/>
              <w:kinsoku w:val="0"/>
              <w:wordWrap w:val="0"/>
              <w:overflowPunct/>
              <w:topLinePunct w:val="0"/>
              <w:autoSpaceDE w:val="0"/>
              <w:autoSpaceDN w:val="0"/>
              <w:bidi w:val="0"/>
              <w:adjustRightInd w:val="0"/>
              <w:snapToGrid w:val="0"/>
              <w:spacing w:before="81"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2 ．存在控股、管理关系的。</w:t>
            </w:r>
          </w:p>
          <w:p w14:paraId="0EBD7174">
            <w:pPr>
              <w:keepNext w:val="0"/>
              <w:keepLines w:val="0"/>
              <w:pageBreakBefore w:val="0"/>
              <w:widowControl/>
              <w:kinsoku w:val="0"/>
              <w:wordWrap w:val="0"/>
              <w:overflowPunct/>
              <w:topLinePunct w:val="0"/>
              <w:autoSpaceDE w:val="0"/>
              <w:autoSpaceDN w:val="0"/>
              <w:bidi w:val="0"/>
              <w:adjustRightInd w:val="0"/>
              <w:snapToGrid w:val="0"/>
              <w:spacing w:before="81"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3 ．主要人员相互任职的。</w:t>
            </w:r>
          </w:p>
        </w:tc>
      </w:tr>
      <w:tr w14:paraId="167925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1EACEE75">
            <w:pPr>
              <w:keepNext w:val="0"/>
              <w:keepLines w:val="0"/>
              <w:pageBreakBefore w:val="0"/>
              <w:widowControl/>
              <w:kinsoku w:val="0"/>
              <w:wordWrap w:val="0"/>
              <w:overflowPunct/>
              <w:topLinePunct w:val="0"/>
              <w:autoSpaceDE w:val="0"/>
              <w:autoSpaceDN w:val="0"/>
              <w:bidi w:val="0"/>
              <w:adjustRightInd w:val="0"/>
              <w:snapToGrid w:val="0"/>
              <w:spacing w:before="235" w:line="23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备注</w:t>
            </w:r>
          </w:p>
        </w:tc>
        <w:tc>
          <w:tcPr>
            <w:tcW w:w="7639" w:type="dxa"/>
            <w:gridSpan w:val="8"/>
            <w:vAlign w:val="center"/>
          </w:tcPr>
          <w:p w14:paraId="311B57E4">
            <w:pPr>
              <w:pStyle w:val="31"/>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bl>
    <w:p w14:paraId="749E9D6E">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p>
    <w:p w14:paraId="7194EFCD">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说明：</w:t>
      </w:r>
    </w:p>
    <w:p w14:paraId="2AFD925D">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outlineLvl w:val="9"/>
        <w:rPr>
          <w:rFonts w:hint="eastAsia" w:ascii="宋体" w:hAnsi="宋体" w:eastAsia="宋体" w:cs="宋体"/>
          <w:color w:val="auto"/>
          <w:spacing w:val="0"/>
          <w:sz w:val="21"/>
          <w:szCs w:val="21"/>
          <w:highlight w:val="none"/>
        </w:rPr>
      </w:pPr>
      <w:bookmarkStart w:id="235" w:name="_Toc5131"/>
      <w:bookmarkStart w:id="236" w:name="_Toc14048"/>
      <w:r>
        <w:rPr>
          <w:rFonts w:hint="eastAsia" w:ascii="宋体" w:hAnsi="宋体" w:eastAsia="宋体" w:cs="宋体"/>
          <w:color w:val="auto"/>
          <w:spacing w:val="0"/>
          <w:sz w:val="21"/>
          <w:szCs w:val="21"/>
          <w:highlight w:val="none"/>
        </w:rPr>
        <w:t>1 ．《投标人基本情况表》后应附以下资料：</w:t>
      </w:r>
      <w:bookmarkEnd w:id="235"/>
      <w:bookmarkEnd w:id="236"/>
    </w:p>
    <w:p w14:paraId="300861A9">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36736E5C">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（2）</w:t>
      </w:r>
      <w:r>
        <w:rPr>
          <w:rFonts w:hint="eastAsia" w:ascii="宋体" w:hAnsi="宋体" w:eastAsia="宋体" w:cs="宋体"/>
          <w:color w:val="auto"/>
          <w:spacing w:val="0"/>
          <w:sz w:val="21"/>
          <w:szCs w:val="21"/>
          <w:highlight w:val="none"/>
        </w:rPr>
        <w:t>“进粤企业和人员诚信信息登记平台 ”企业信息情况打印页。（适用于省外建筑企业）</w:t>
      </w:r>
    </w:p>
    <w:p w14:paraId="7694C513">
      <w:pPr>
        <w:keepNext w:val="0"/>
        <w:keepLines w:val="0"/>
        <w:pageBreakBefore w:val="0"/>
        <w:widowControl/>
        <w:kinsoku w:val="0"/>
        <w:wordWrap w:val="0"/>
        <w:overflowPunct/>
        <w:topLinePunct w:val="0"/>
        <w:autoSpaceDE w:val="0"/>
        <w:autoSpaceDN w:val="0"/>
        <w:bidi w:val="0"/>
        <w:adjustRightInd w:val="0"/>
        <w:snapToGrid w:val="0"/>
        <w:spacing w:line="30" w:lineRule="atLeast"/>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（3）</w:t>
      </w:r>
      <w:r>
        <w:rPr>
          <w:rFonts w:hint="eastAsia" w:ascii="宋体" w:hAnsi="宋体" w:eastAsia="宋体" w:cs="宋体"/>
          <w:color w:val="auto"/>
          <w:spacing w:val="0"/>
          <w:sz w:val="21"/>
          <w:szCs w:val="21"/>
          <w:highlight w:val="none"/>
        </w:rPr>
        <w:t>《法人和非法人组织公共信用信息报告》（在“信用中国 ”网站企业查询界面中下载）。</w:t>
      </w:r>
    </w:p>
    <w:p w14:paraId="24E5FBA2">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 ．联合体投标的，联合体成员单位均应填写《投标人基本情况表》并提供以上所需资料。</w:t>
      </w:r>
    </w:p>
    <w:p w14:paraId="0FEFF3B5">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62A4B1E3">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37" w:name="_Toc12717"/>
      <w:r>
        <w:rPr>
          <w:rFonts w:hint="eastAsia" w:ascii="宋体" w:hAnsi="宋体" w:eastAsia="宋体" w:cs="宋体"/>
          <w:b/>
          <w:bCs/>
          <w:color w:val="auto"/>
          <w:spacing w:val="0"/>
          <w:sz w:val="24"/>
          <w:szCs w:val="24"/>
          <w:highlight w:val="none"/>
        </w:rPr>
        <w:t>格式八 项目经理简历表</w:t>
      </w:r>
      <w:bookmarkEnd w:id="237"/>
    </w:p>
    <w:p w14:paraId="30EE3FD0">
      <w:pPr>
        <w:pStyle w:val="8"/>
        <w:keepNext w:val="0"/>
        <w:keepLines w:val="0"/>
        <w:pageBreakBefore w:val="0"/>
        <w:wordWrap w:val="0"/>
        <w:overflowPunct/>
        <w:topLinePunct w:val="0"/>
        <w:bidi w:val="0"/>
        <w:spacing w:line="444" w:lineRule="auto"/>
        <w:rPr>
          <w:rFonts w:hint="eastAsia" w:ascii="宋体" w:hAnsi="宋体" w:eastAsia="宋体" w:cs="宋体"/>
          <w:color w:val="auto"/>
          <w:spacing w:val="0"/>
          <w:highlight w:val="none"/>
        </w:rPr>
      </w:pPr>
    </w:p>
    <w:p w14:paraId="51274DAD">
      <w:pPr>
        <w:keepNext w:val="0"/>
        <w:keepLines w:val="0"/>
        <w:pageBreakBefore w:val="0"/>
        <w:wordWrap w:val="0"/>
        <w:overflowPunct/>
        <w:topLinePunct w:val="0"/>
        <w:bidi w:val="0"/>
        <w:spacing w:before="97" w:line="219" w:lineRule="auto"/>
        <w:ind w:left="3538"/>
        <w:outlineLvl w:val="9"/>
        <w:rPr>
          <w:rFonts w:hint="eastAsia" w:ascii="宋体" w:hAnsi="宋体" w:eastAsia="宋体" w:cs="宋体"/>
          <w:color w:val="auto"/>
          <w:spacing w:val="0"/>
          <w:sz w:val="30"/>
          <w:szCs w:val="30"/>
          <w:highlight w:val="none"/>
        </w:rPr>
      </w:pPr>
      <w:bookmarkStart w:id="238" w:name="bookmark89"/>
      <w:bookmarkEnd w:id="238"/>
      <w:bookmarkStart w:id="239" w:name="bookmark156"/>
      <w:bookmarkEnd w:id="239"/>
      <w:bookmarkStart w:id="240" w:name="_Toc31533"/>
      <w:bookmarkStart w:id="241" w:name="_Toc24489"/>
      <w:r>
        <w:rPr>
          <w:rFonts w:hint="eastAsia" w:ascii="宋体" w:hAnsi="宋体" w:eastAsia="宋体" w:cs="宋体"/>
          <w:b/>
          <w:bCs/>
          <w:color w:val="auto"/>
          <w:spacing w:val="0"/>
          <w:sz w:val="30"/>
          <w:szCs w:val="30"/>
          <w:highlight w:val="none"/>
        </w:rPr>
        <w:t>项目经理简历表</w:t>
      </w:r>
      <w:bookmarkEnd w:id="240"/>
      <w:bookmarkEnd w:id="241"/>
    </w:p>
    <w:p w14:paraId="2FEBF5B0">
      <w:pPr>
        <w:keepNext w:val="0"/>
        <w:keepLines w:val="0"/>
        <w:pageBreakBefore w:val="0"/>
        <w:wordWrap w:val="0"/>
        <w:overflowPunct/>
        <w:topLinePunct w:val="0"/>
        <w:bidi w:val="0"/>
        <w:spacing w:line="240" w:lineRule="exact"/>
        <w:rPr>
          <w:rFonts w:hint="eastAsia" w:ascii="宋体" w:hAnsi="宋体" w:eastAsia="宋体" w:cs="宋体"/>
          <w:color w:val="auto"/>
          <w:spacing w:val="0"/>
          <w:highlight w:val="none"/>
        </w:rPr>
      </w:pPr>
    </w:p>
    <w:tbl>
      <w:tblPr>
        <w:tblStyle w:val="17"/>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79188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center"/>
          </w:tcPr>
          <w:p w14:paraId="3C11A92F">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姓   名</w:t>
            </w:r>
          </w:p>
        </w:tc>
        <w:tc>
          <w:tcPr>
            <w:tcW w:w="1294" w:type="dxa"/>
            <w:gridSpan w:val="2"/>
            <w:vAlign w:val="center"/>
          </w:tcPr>
          <w:p w14:paraId="291CA6EA">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57" w:type="dxa"/>
            <w:vAlign w:val="center"/>
          </w:tcPr>
          <w:p w14:paraId="73335C63">
            <w:pPr>
              <w:keepNext w:val="0"/>
              <w:keepLines w:val="0"/>
              <w:pageBreakBefore w:val="0"/>
              <w:widowControl/>
              <w:kinsoku w:val="0"/>
              <w:wordWrap w:val="0"/>
              <w:overflowPunct/>
              <w:topLinePunct w:val="0"/>
              <w:autoSpaceDE w:val="0"/>
              <w:autoSpaceDN w:val="0"/>
              <w:bidi w:val="0"/>
              <w:adjustRightInd w:val="0"/>
              <w:snapToGrid w:val="0"/>
              <w:spacing w:before="177"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性  别</w:t>
            </w:r>
          </w:p>
        </w:tc>
        <w:tc>
          <w:tcPr>
            <w:tcW w:w="2062" w:type="dxa"/>
            <w:vAlign w:val="center"/>
          </w:tcPr>
          <w:p w14:paraId="29D7999B">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4068853B">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龄</w:t>
            </w:r>
          </w:p>
        </w:tc>
        <w:tc>
          <w:tcPr>
            <w:tcW w:w="1398" w:type="dxa"/>
            <w:vAlign w:val="center"/>
          </w:tcPr>
          <w:p w14:paraId="53181EAE">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B3DB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center"/>
          </w:tcPr>
          <w:p w14:paraId="69F44326">
            <w:pPr>
              <w:keepNext w:val="0"/>
              <w:keepLines w:val="0"/>
              <w:pageBreakBefore w:val="0"/>
              <w:widowControl/>
              <w:kinsoku w:val="0"/>
              <w:wordWrap w:val="0"/>
              <w:overflowPunct/>
              <w:topLinePunct w:val="0"/>
              <w:autoSpaceDE w:val="0"/>
              <w:autoSpaceDN w:val="0"/>
              <w:bidi w:val="0"/>
              <w:adjustRightInd w:val="0"/>
              <w:snapToGrid w:val="0"/>
              <w:spacing w:before="175"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务</w:t>
            </w:r>
          </w:p>
        </w:tc>
        <w:tc>
          <w:tcPr>
            <w:tcW w:w="1294" w:type="dxa"/>
            <w:gridSpan w:val="2"/>
            <w:vAlign w:val="center"/>
          </w:tcPr>
          <w:p w14:paraId="5565BEC5">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57" w:type="dxa"/>
            <w:vAlign w:val="center"/>
          </w:tcPr>
          <w:p w14:paraId="066DAC6E">
            <w:pPr>
              <w:keepNext w:val="0"/>
              <w:keepLines w:val="0"/>
              <w:pageBreakBefore w:val="0"/>
              <w:widowControl/>
              <w:kinsoku w:val="0"/>
              <w:wordWrap w:val="0"/>
              <w:overflowPunct/>
              <w:topLinePunct w:val="0"/>
              <w:autoSpaceDE w:val="0"/>
              <w:autoSpaceDN w:val="0"/>
              <w:bidi w:val="0"/>
              <w:adjustRightInd w:val="0"/>
              <w:snapToGrid w:val="0"/>
              <w:spacing w:before="174" w:line="231"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称</w:t>
            </w:r>
          </w:p>
        </w:tc>
        <w:tc>
          <w:tcPr>
            <w:tcW w:w="2062" w:type="dxa"/>
            <w:vAlign w:val="center"/>
          </w:tcPr>
          <w:p w14:paraId="43EC3BE8">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07ACB9B3">
            <w:pPr>
              <w:keepNext w:val="0"/>
              <w:keepLines w:val="0"/>
              <w:pageBreakBefore w:val="0"/>
              <w:widowControl/>
              <w:kinsoku w:val="0"/>
              <w:wordWrap w:val="0"/>
              <w:overflowPunct/>
              <w:topLinePunct w:val="0"/>
              <w:autoSpaceDE w:val="0"/>
              <w:autoSpaceDN w:val="0"/>
              <w:bidi w:val="0"/>
              <w:adjustRightInd w:val="0"/>
              <w:snapToGrid w:val="0"/>
              <w:spacing w:before="175"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学   历</w:t>
            </w:r>
          </w:p>
        </w:tc>
        <w:tc>
          <w:tcPr>
            <w:tcW w:w="1398" w:type="dxa"/>
            <w:vAlign w:val="center"/>
          </w:tcPr>
          <w:p w14:paraId="612498DF">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1036EE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center"/>
          </w:tcPr>
          <w:p w14:paraId="229D3FBF">
            <w:pPr>
              <w:keepNext w:val="0"/>
              <w:keepLines w:val="0"/>
              <w:pageBreakBefore w:val="0"/>
              <w:widowControl/>
              <w:kinsoku w:val="0"/>
              <w:wordWrap w:val="0"/>
              <w:overflowPunct/>
              <w:topLinePunct w:val="0"/>
              <w:autoSpaceDE w:val="0"/>
              <w:autoSpaceDN w:val="0"/>
              <w:bidi w:val="0"/>
              <w:adjustRightInd w:val="0"/>
              <w:snapToGrid w:val="0"/>
              <w:spacing w:before="175"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参加工作时间</w:t>
            </w:r>
          </w:p>
        </w:tc>
        <w:tc>
          <w:tcPr>
            <w:tcW w:w="2651" w:type="dxa"/>
            <w:gridSpan w:val="3"/>
            <w:vAlign w:val="center"/>
          </w:tcPr>
          <w:p w14:paraId="190DBE31">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3860" w:type="dxa"/>
            <w:gridSpan w:val="2"/>
            <w:vAlign w:val="center"/>
          </w:tcPr>
          <w:p w14:paraId="6B44BC34">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从事工程建设项目管理工作年限</w:t>
            </w:r>
          </w:p>
        </w:tc>
        <w:tc>
          <w:tcPr>
            <w:tcW w:w="1398" w:type="dxa"/>
            <w:vAlign w:val="center"/>
          </w:tcPr>
          <w:p w14:paraId="56D944BA">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96D3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center"/>
          </w:tcPr>
          <w:p w14:paraId="0DFDEE66">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以项目经理身份参与过的主要业绩（已完工项目）</w:t>
            </w:r>
          </w:p>
        </w:tc>
      </w:tr>
      <w:tr w14:paraId="51211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center"/>
          </w:tcPr>
          <w:p w14:paraId="62F64945">
            <w:pPr>
              <w:keepNext w:val="0"/>
              <w:keepLines w:val="0"/>
              <w:pageBreakBefore w:val="0"/>
              <w:widowControl/>
              <w:kinsoku w:val="0"/>
              <w:wordWrap w:val="0"/>
              <w:overflowPunct/>
              <w:topLinePunct w:val="0"/>
              <w:autoSpaceDE w:val="0"/>
              <w:autoSpaceDN w:val="0"/>
              <w:bidi w:val="0"/>
              <w:adjustRightInd w:val="0"/>
              <w:snapToGrid w:val="0"/>
              <w:spacing w:before="176"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1624" w:type="dxa"/>
            <w:gridSpan w:val="2"/>
            <w:vAlign w:val="center"/>
          </w:tcPr>
          <w:p w14:paraId="4E2F72F9">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项目名称</w:t>
            </w:r>
          </w:p>
        </w:tc>
        <w:tc>
          <w:tcPr>
            <w:tcW w:w="2037" w:type="dxa"/>
            <w:gridSpan w:val="2"/>
            <w:vAlign w:val="center"/>
          </w:tcPr>
          <w:p w14:paraId="5158C01A">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2062" w:type="dxa"/>
            <w:vAlign w:val="center"/>
          </w:tcPr>
          <w:p w14:paraId="74B27B98">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建设内容和规模</w:t>
            </w:r>
          </w:p>
        </w:tc>
        <w:tc>
          <w:tcPr>
            <w:tcW w:w="1798" w:type="dxa"/>
            <w:vAlign w:val="center"/>
          </w:tcPr>
          <w:p w14:paraId="541D63FA">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开、竣工日期</w:t>
            </w:r>
          </w:p>
        </w:tc>
        <w:tc>
          <w:tcPr>
            <w:tcW w:w="1398" w:type="dxa"/>
            <w:vAlign w:val="center"/>
          </w:tcPr>
          <w:p w14:paraId="5A74069C">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质量等级</w:t>
            </w:r>
          </w:p>
        </w:tc>
      </w:tr>
      <w:tr w14:paraId="5ED42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center"/>
          </w:tcPr>
          <w:p w14:paraId="758DB878">
            <w:pPr>
              <w:keepNext w:val="0"/>
              <w:keepLines w:val="0"/>
              <w:pageBreakBefore w:val="0"/>
              <w:widowControl/>
              <w:kinsoku w:val="0"/>
              <w:wordWrap w:val="0"/>
              <w:overflowPunct/>
              <w:topLinePunct w:val="0"/>
              <w:autoSpaceDE w:val="0"/>
              <w:autoSpaceDN w:val="0"/>
              <w:bidi w:val="0"/>
              <w:adjustRightInd w:val="0"/>
              <w:snapToGrid w:val="0"/>
              <w:spacing w:before="214"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624" w:type="dxa"/>
            <w:gridSpan w:val="2"/>
            <w:vAlign w:val="center"/>
          </w:tcPr>
          <w:p w14:paraId="059B8746">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1AB992AB">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14B05DFA">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36F13CB6">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7A5EC9D8">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05AC5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center"/>
          </w:tcPr>
          <w:p w14:paraId="0E7B1B1A">
            <w:pPr>
              <w:keepNext w:val="0"/>
              <w:keepLines w:val="0"/>
              <w:pageBreakBefore w:val="0"/>
              <w:widowControl/>
              <w:kinsoku w:val="0"/>
              <w:wordWrap w:val="0"/>
              <w:overflowPunct/>
              <w:topLinePunct w:val="0"/>
              <w:autoSpaceDE w:val="0"/>
              <w:autoSpaceDN w:val="0"/>
              <w:bidi w:val="0"/>
              <w:adjustRightInd w:val="0"/>
              <w:snapToGrid w:val="0"/>
              <w:spacing w:before="213"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624" w:type="dxa"/>
            <w:gridSpan w:val="2"/>
            <w:vAlign w:val="center"/>
          </w:tcPr>
          <w:p w14:paraId="72860AFB">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13CD2FF7">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56D93648">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7BD3F661">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61A20E11">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1EF6F3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center"/>
          </w:tcPr>
          <w:p w14:paraId="797FA151">
            <w:pPr>
              <w:keepNext w:val="0"/>
              <w:keepLines w:val="0"/>
              <w:pageBreakBefore w:val="0"/>
              <w:widowControl/>
              <w:kinsoku w:val="0"/>
              <w:wordWrap w:val="0"/>
              <w:overflowPunct/>
              <w:topLinePunct w:val="0"/>
              <w:autoSpaceDE w:val="0"/>
              <w:autoSpaceDN w:val="0"/>
              <w:bidi w:val="0"/>
              <w:adjustRightInd w:val="0"/>
              <w:snapToGrid w:val="0"/>
              <w:spacing w:before="213"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1624" w:type="dxa"/>
            <w:gridSpan w:val="2"/>
            <w:vAlign w:val="center"/>
          </w:tcPr>
          <w:p w14:paraId="110D2A5E">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16A6A826">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2B6C0EDD">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4AD92C82">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2DEDAFD9">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DA1B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center"/>
          </w:tcPr>
          <w:p w14:paraId="2883E405">
            <w:pPr>
              <w:keepNext w:val="0"/>
              <w:keepLines w:val="0"/>
              <w:pageBreakBefore w:val="0"/>
              <w:widowControl/>
              <w:kinsoku w:val="0"/>
              <w:wordWrap w:val="0"/>
              <w:overflowPunct/>
              <w:topLinePunct w:val="0"/>
              <w:autoSpaceDE w:val="0"/>
              <w:autoSpaceDN w:val="0"/>
              <w:bidi w:val="0"/>
              <w:adjustRightInd w:val="0"/>
              <w:snapToGrid w:val="0"/>
              <w:spacing w:before="177" w:line="325" w:lineRule="exact"/>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624" w:type="dxa"/>
            <w:gridSpan w:val="2"/>
            <w:vAlign w:val="center"/>
          </w:tcPr>
          <w:p w14:paraId="29EB5325">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0E54CFC8">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2213AD62">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36353FD5">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4583785E">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bl>
    <w:p w14:paraId="0EDEF6B3">
      <w:pPr>
        <w:pStyle w:val="8"/>
        <w:keepNext w:val="0"/>
        <w:keepLines w:val="0"/>
        <w:pageBreakBefore w:val="0"/>
        <w:wordWrap w:val="0"/>
        <w:overflowPunct/>
        <w:topLinePunct w:val="0"/>
        <w:bidi w:val="0"/>
        <w:spacing w:line="315" w:lineRule="auto"/>
        <w:rPr>
          <w:rFonts w:hint="eastAsia" w:ascii="宋体" w:hAnsi="宋体" w:eastAsia="宋体" w:cs="宋体"/>
          <w:color w:val="auto"/>
          <w:spacing w:val="0"/>
          <w:highlight w:val="none"/>
        </w:rPr>
      </w:pPr>
    </w:p>
    <w:p w14:paraId="7C679F64">
      <w:pPr>
        <w:keepNext w:val="0"/>
        <w:keepLines w:val="0"/>
        <w:pageBreakBefore w:val="0"/>
        <w:wordWrap w:val="0"/>
        <w:overflowPunct/>
        <w:topLinePunct w:val="0"/>
        <w:bidi w:val="0"/>
        <w:spacing w:before="78" w:line="220" w:lineRule="auto"/>
        <w:ind w:left="69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项目经理：</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color w:val="auto"/>
          <w:spacing w:val="0"/>
          <w:sz w:val="24"/>
          <w:szCs w:val="24"/>
          <w:highlight w:val="none"/>
        </w:rPr>
        <w:t>（签字）</w:t>
      </w:r>
    </w:p>
    <w:p w14:paraId="5B1B7AF1">
      <w:pPr>
        <w:pStyle w:val="8"/>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226CD926">
      <w:pPr>
        <w:pStyle w:val="8"/>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36F2C445">
      <w:pPr>
        <w:keepNext w:val="0"/>
        <w:keepLines w:val="0"/>
        <w:pageBreakBefore w:val="0"/>
        <w:wordWrap w:val="0"/>
        <w:overflowPunct/>
        <w:topLinePunct w:val="0"/>
        <w:bidi w:val="0"/>
        <w:spacing w:before="78" w:line="220" w:lineRule="auto"/>
        <w:ind w:left="4226"/>
        <w:jc w:val="center"/>
        <w:rPr>
          <w:rFonts w:hint="eastAsia" w:ascii="宋体" w:hAnsi="宋体" w:eastAsia="宋体" w:cs="宋体"/>
          <w:color w:val="auto"/>
          <w:spacing w:val="0"/>
          <w:highlight w:val="none"/>
        </w:rPr>
      </w:pPr>
    </w:p>
    <w:p w14:paraId="23FA56AC">
      <w:pPr>
        <w:pStyle w:val="8"/>
        <w:keepNext w:val="0"/>
        <w:keepLines w:val="0"/>
        <w:pageBreakBefore w:val="0"/>
        <w:wordWrap w:val="0"/>
        <w:overflowPunct/>
        <w:topLinePunct w:val="0"/>
        <w:bidi w:val="0"/>
        <w:spacing w:line="241" w:lineRule="auto"/>
        <w:rPr>
          <w:rFonts w:hint="eastAsia" w:ascii="宋体" w:hAnsi="宋体" w:eastAsia="宋体" w:cs="宋体"/>
          <w:color w:val="auto"/>
          <w:spacing w:val="0"/>
          <w:highlight w:val="none"/>
        </w:rPr>
      </w:pPr>
    </w:p>
    <w:p w14:paraId="3CED7E74">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说明：《项目经理简历表》后应附拟派项目经理以下资料：</w:t>
      </w:r>
    </w:p>
    <w:p w14:paraId="2091A54A">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outlineLvl w:val="9"/>
        <w:rPr>
          <w:rFonts w:hint="eastAsia" w:ascii="宋体" w:hAnsi="宋体" w:eastAsia="宋体" w:cs="宋体"/>
          <w:color w:val="auto"/>
          <w:spacing w:val="0"/>
          <w:sz w:val="24"/>
          <w:szCs w:val="24"/>
          <w:highlight w:val="none"/>
        </w:rPr>
      </w:pPr>
      <w:bookmarkStart w:id="242" w:name="_Toc25271"/>
      <w:bookmarkStart w:id="243" w:name="_Toc1942"/>
      <w:r>
        <w:rPr>
          <w:rFonts w:hint="eastAsia" w:ascii="宋体" w:hAnsi="宋体" w:eastAsia="宋体" w:cs="宋体"/>
          <w:color w:val="auto"/>
          <w:spacing w:val="0"/>
          <w:sz w:val="24"/>
          <w:szCs w:val="24"/>
          <w:highlight w:val="none"/>
        </w:rPr>
        <w:t>1 ．身份证彩色扫描件；</w:t>
      </w:r>
      <w:bookmarkEnd w:id="242"/>
      <w:bookmarkEnd w:id="243"/>
    </w:p>
    <w:p w14:paraId="58312C14">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．建造师电子注册证书（在使用有效期内的有效电子证书）彩色扫描件；</w:t>
      </w:r>
    </w:p>
    <w:p w14:paraId="6E1DD00D">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3．B 类安全生产考核合格证书彩色扫描件或广东省建筑施工企业管理人员安全生产考核系统考核合格信息彩色扫描件；</w:t>
      </w:r>
    </w:p>
    <w:p w14:paraId="0F4F4113">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 ．在本单位缴纳社保</w:t>
      </w:r>
      <w:r>
        <w:rPr>
          <w:rFonts w:hint="eastAsia" w:ascii="宋体" w:hAnsi="宋体" w:eastAsia="宋体" w:cs="宋体"/>
          <w:color w:val="auto"/>
          <w:spacing w:val="0"/>
          <w:sz w:val="24"/>
          <w:szCs w:val="24"/>
          <w:highlight w:val="none"/>
          <w:lang w:eastAsia="zh-CN"/>
        </w:rPr>
        <w:t>的证明（至少</w:t>
      </w: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lang w:eastAsia="zh-CN"/>
        </w:rPr>
        <w:t>个月，其中必须有2026年</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lang w:eastAsia="zh-CN"/>
        </w:rPr>
        <w:t>月）</w:t>
      </w:r>
      <w:r>
        <w:rPr>
          <w:rFonts w:hint="eastAsia" w:ascii="宋体" w:hAnsi="宋体" w:eastAsia="宋体" w:cs="宋体"/>
          <w:color w:val="auto"/>
          <w:spacing w:val="0"/>
          <w:sz w:val="24"/>
          <w:szCs w:val="24"/>
          <w:highlight w:val="none"/>
          <w:lang w:val="en-US" w:eastAsia="zh-CN"/>
        </w:rPr>
        <w:t>扫描</w:t>
      </w:r>
      <w:r>
        <w:rPr>
          <w:rFonts w:hint="eastAsia" w:ascii="宋体" w:hAnsi="宋体" w:eastAsia="宋体" w:cs="宋体"/>
          <w:color w:val="auto"/>
          <w:spacing w:val="0"/>
          <w:sz w:val="24"/>
          <w:szCs w:val="24"/>
          <w:highlight w:val="none"/>
        </w:rPr>
        <w:t>件或打印件。拟派项目经理为退休返聘人员无法提供社保证明的，提供退休证和劳动合同彩色扫描件。</w:t>
      </w:r>
    </w:p>
    <w:p w14:paraId="6F11A9DD">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．“进粤企业和人员诚信信息登记平台 ”个人信息情况截图。（适用于省外建筑企业）</w:t>
      </w:r>
    </w:p>
    <w:p w14:paraId="456AC7BF">
      <w:pPr>
        <w:pStyle w:val="27"/>
        <w:rPr>
          <w:rFonts w:hint="eastAsia"/>
          <w:highlight w:val="none"/>
        </w:rPr>
      </w:pPr>
    </w:p>
    <w:p w14:paraId="61CE6093">
      <w:pPr>
        <w:keepNext w:val="0"/>
        <w:keepLines w:val="0"/>
        <w:pageBreakBefore w:val="0"/>
        <w:wordWrap w:val="0"/>
        <w:overflowPunct/>
        <w:topLinePunct w:val="0"/>
        <w:bidi w:val="0"/>
        <w:spacing w:line="300" w:lineRule="auto"/>
        <w:rPr>
          <w:rFonts w:hint="eastAsia" w:ascii="宋体" w:hAnsi="宋体" w:eastAsia="宋体" w:cs="宋体"/>
          <w:color w:val="auto"/>
          <w:spacing w:val="0"/>
          <w:sz w:val="20"/>
          <w:szCs w:val="20"/>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0D536DBA">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44" w:name="_Toc22280"/>
      <w:r>
        <w:rPr>
          <w:rFonts w:hint="eastAsia" w:ascii="宋体" w:hAnsi="宋体" w:eastAsia="宋体" w:cs="宋体"/>
          <w:b/>
          <w:bCs/>
          <w:color w:val="auto"/>
          <w:spacing w:val="0"/>
          <w:sz w:val="24"/>
          <w:szCs w:val="24"/>
          <w:highlight w:val="none"/>
        </w:rPr>
        <w:t>格式九 项目经理任职声明</w:t>
      </w:r>
      <w:bookmarkEnd w:id="244"/>
    </w:p>
    <w:p w14:paraId="25F8E3D4">
      <w:pPr>
        <w:pStyle w:val="8"/>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653618C2">
      <w:pPr>
        <w:pStyle w:val="8"/>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7584027F">
      <w:pPr>
        <w:keepNext w:val="0"/>
        <w:keepLines w:val="0"/>
        <w:pageBreakBefore w:val="0"/>
        <w:wordWrap w:val="0"/>
        <w:overflowPunct/>
        <w:topLinePunct w:val="0"/>
        <w:bidi w:val="0"/>
        <w:spacing w:before="98" w:line="220" w:lineRule="auto"/>
        <w:ind w:left="3338"/>
        <w:rPr>
          <w:rFonts w:hint="eastAsia" w:ascii="宋体" w:hAnsi="宋体" w:eastAsia="宋体" w:cs="宋体"/>
          <w:color w:val="auto"/>
          <w:spacing w:val="0"/>
          <w:sz w:val="30"/>
          <w:szCs w:val="30"/>
          <w:highlight w:val="none"/>
        </w:rPr>
      </w:pPr>
      <w:bookmarkStart w:id="245" w:name="bookmark157"/>
      <w:bookmarkEnd w:id="245"/>
      <w:r>
        <w:rPr>
          <w:rFonts w:hint="eastAsia" w:ascii="宋体" w:hAnsi="宋体" w:eastAsia="宋体" w:cs="宋体"/>
          <w:b/>
          <w:bCs/>
          <w:color w:val="auto"/>
          <w:spacing w:val="0"/>
          <w:sz w:val="30"/>
          <w:szCs w:val="30"/>
          <w:highlight w:val="none"/>
        </w:rPr>
        <w:t>项目经理任职声明</w:t>
      </w:r>
    </w:p>
    <w:p w14:paraId="3C336944">
      <w:pPr>
        <w:pStyle w:val="8"/>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01E83797">
      <w:pPr>
        <w:pStyle w:val="8"/>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686CE705">
      <w:pPr>
        <w:pStyle w:val="8"/>
        <w:keepNext w:val="0"/>
        <w:keepLines w:val="0"/>
        <w:pageBreakBefore w:val="0"/>
        <w:wordWrap w:val="0"/>
        <w:overflowPunct/>
        <w:topLinePunct w:val="0"/>
        <w:bidi w:val="0"/>
        <w:spacing w:line="251" w:lineRule="auto"/>
        <w:rPr>
          <w:rFonts w:hint="eastAsia" w:ascii="宋体" w:hAnsi="宋体" w:eastAsia="宋体" w:cs="宋体"/>
          <w:color w:val="auto"/>
          <w:spacing w:val="0"/>
          <w:highlight w:val="none"/>
        </w:rPr>
      </w:pPr>
    </w:p>
    <w:p w14:paraId="6CC76F83">
      <w:pPr>
        <w:keepNext w:val="0"/>
        <w:keepLines w:val="0"/>
        <w:pageBreakBefore w:val="0"/>
        <w:wordWrap w:val="0"/>
        <w:overflowPunct/>
        <w:topLinePunct w:val="0"/>
        <w:bidi w:val="0"/>
        <w:spacing w:before="78" w:line="221"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致：</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（招标人名称）</w:t>
      </w:r>
    </w:p>
    <w:p w14:paraId="18022089">
      <w:pPr>
        <w:keepNext w:val="0"/>
        <w:keepLines w:val="0"/>
        <w:pageBreakBefore w:val="0"/>
        <w:wordWrap w:val="0"/>
        <w:overflowPunct/>
        <w:topLinePunct w:val="0"/>
        <w:bidi w:val="0"/>
        <w:spacing w:before="155" w:line="324" w:lineRule="auto"/>
        <w:ind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我方在此声明，我方拟派往</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（项目名称）的项目经理</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（项目经理姓名）现阶段没有担任任何在施（包括已中标未开工、已开工未竣工）建设工程项目的项目经理。</w:t>
      </w:r>
    </w:p>
    <w:p w14:paraId="10D30513">
      <w:pPr>
        <w:keepNext w:val="0"/>
        <w:keepLines w:val="0"/>
        <w:pageBreakBefore w:val="0"/>
        <w:wordWrap w:val="0"/>
        <w:overflowPunct/>
        <w:topLinePunct w:val="0"/>
        <w:bidi w:val="0"/>
        <w:spacing w:before="35" w:line="326" w:lineRule="auto"/>
        <w:ind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我方保证上述信息的真实和准确，并愿意承担因我方就此弄虚作假所引起的一切法律后果。</w:t>
      </w:r>
    </w:p>
    <w:p w14:paraId="31B3CE7D">
      <w:pPr>
        <w:pStyle w:val="8"/>
        <w:keepNext w:val="0"/>
        <w:keepLines w:val="0"/>
        <w:pageBreakBefore w:val="0"/>
        <w:wordWrap w:val="0"/>
        <w:overflowPunct/>
        <w:topLinePunct w:val="0"/>
        <w:bidi w:val="0"/>
        <w:spacing w:line="391" w:lineRule="auto"/>
        <w:rPr>
          <w:rFonts w:hint="eastAsia" w:ascii="宋体" w:hAnsi="宋体" w:eastAsia="宋体" w:cs="宋体"/>
          <w:color w:val="auto"/>
          <w:spacing w:val="0"/>
          <w:highlight w:val="none"/>
        </w:rPr>
      </w:pPr>
    </w:p>
    <w:p w14:paraId="2E70BD98">
      <w:pPr>
        <w:keepNext w:val="0"/>
        <w:keepLines w:val="0"/>
        <w:pageBreakBefore w:val="0"/>
        <w:wordWrap w:val="0"/>
        <w:overflowPunct/>
        <w:topLinePunct w:val="0"/>
        <w:bidi w:val="0"/>
        <w:spacing w:before="78" w:line="220" w:lineRule="auto"/>
        <w:ind w:left="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特此承诺</w:t>
      </w:r>
    </w:p>
    <w:p w14:paraId="3650AFF0">
      <w:pPr>
        <w:pStyle w:val="8"/>
        <w:keepNext w:val="0"/>
        <w:keepLines w:val="0"/>
        <w:pageBreakBefore w:val="0"/>
        <w:wordWrap w:val="0"/>
        <w:overflowPunct/>
        <w:topLinePunct w:val="0"/>
        <w:bidi w:val="0"/>
        <w:spacing w:line="316" w:lineRule="auto"/>
        <w:rPr>
          <w:rFonts w:hint="eastAsia" w:ascii="宋体" w:hAnsi="宋体" w:eastAsia="宋体" w:cs="宋体"/>
          <w:color w:val="auto"/>
          <w:spacing w:val="0"/>
          <w:highlight w:val="none"/>
        </w:rPr>
      </w:pPr>
    </w:p>
    <w:p w14:paraId="5B7E6BA2">
      <w:pPr>
        <w:pStyle w:val="8"/>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1D8C5912">
      <w:pPr>
        <w:pStyle w:val="8"/>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564EA505">
      <w:pPr>
        <w:keepNext w:val="0"/>
        <w:keepLines w:val="0"/>
        <w:pageBreakBefore w:val="0"/>
        <w:wordWrap w:val="0"/>
        <w:overflowPunct/>
        <w:topLinePunct w:val="0"/>
        <w:bidi w:val="0"/>
        <w:spacing w:before="79"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00AC28CB">
      <w:pPr>
        <w:pStyle w:val="8"/>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454364E0">
      <w:pPr>
        <w:pStyle w:val="8"/>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39138AF7">
      <w:pPr>
        <w:pStyle w:val="8"/>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5C510588">
      <w:pPr>
        <w:keepNext w:val="0"/>
        <w:keepLines w:val="0"/>
        <w:pageBreakBefore w:val="0"/>
        <w:wordWrap w:val="0"/>
        <w:overflowPunct/>
        <w:topLinePunct w:val="0"/>
        <w:bidi w:val="0"/>
        <w:spacing w:before="78"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2A0E9929">
      <w:pPr>
        <w:pStyle w:val="8"/>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59807EB0">
      <w:pPr>
        <w:pStyle w:val="8"/>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4247707E">
      <w:pPr>
        <w:pStyle w:val="8"/>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59308E7">
      <w:pPr>
        <w:keepNext w:val="0"/>
        <w:keepLines w:val="0"/>
        <w:pageBreakBefore w:val="0"/>
        <w:wordWrap w:val="0"/>
        <w:overflowPunct/>
        <w:topLinePunct w:val="0"/>
        <w:bidi w:val="0"/>
        <w:spacing w:line="220" w:lineRule="auto"/>
        <w:rPr>
          <w:rFonts w:hint="eastAsia" w:ascii="宋体" w:hAnsi="宋体" w:eastAsia="宋体" w:cs="宋体"/>
          <w:color w:val="auto"/>
          <w:spacing w:val="0"/>
          <w:sz w:val="24"/>
          <w:szCs w:val="24"/>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7142E22C">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46" w:name="_Toc26877"/>
      <w:r>
        <w:rPr>
          <w:rFonts w:hint="eastAsia" w:ascii="宋体" w:hAnsi="宋体" w:eastAsia="宋体" w:cs="宋体"/>
          <w:b/>
          <w:bCs/>
          <w:color w:val="auto"/>
          <w:spacing w:val="0"/>
          <w:sz w:val="24"/>
          <w:szCs w:val="24"/>
          <w:highlight w:val="none"/>
        </w:rPr>
        <w:t>格式十 项目技术负责人简历表</w:t>
      </w:r>
      <w:bookmarkEnd w:id="246"/>
    </w:p>
    <w:p w14:paraId="0C343FDB">
      <w:pPr>
        <w:pStyle w:val="8"/>
        <w:keepNext w:val="0"/>
        <w:keepLines w:val="0"/>
        <w:pageBreakBefore w:val="0"/>
        <w:wordWrap w:val="0"/>
        <w:overflowPunct/>
        <w:topLinePunct w:val="0"/>
        <w:bidi w:val="0"/>
        <w:spacing w:line="444" w:lineRule="auto"/>
        <w:rPr>
          <w:rFonts w:hint="eastAsia" w:ascii="宋体" w:hAnsi="宋体" w:eastAsia="宋体" w:cs="宋体"/>
          <w:color w:val="auto"/>
          <w:spacing w:val="0"/>
          <w:highlight w:val="none"/>
        </w:rPr>
      </w:pPr>
    </w:p>
    <w:p w14:paraId="02DD6ECC">
      <w:pPr>
        <w:keepNext w:val="0"/>
        <w:keepLines w:val="0"/>
        <w:pageBreakBefore w:val="0"/>
        <w:wordWrap w:val="0"/>
        <w:overflowPunct/>
        <w:topLinePunct w:val="0"/>
        <w:bidi w:val="0"/>
        <w:spacing w:before="97" w:line="219" w:lineRule="auto"/>
        <w:ind w:left="3087"/>
        <w:outlineLvl w:val="9"/>
        <w:rPr>
          <w:rFonts w:hint="eastAsia" w:ascii="宋体" w:hAnsi="宋体" w:eastAsia="宋体" w:cs="宋体"/>
          <w:color w:val="auto"/>
          <w:spacing w:val="0"/>
          <w:sz w:val="30"/>
          <w:szCs w:val="30"/>
          <w:highlight w:val="none"/>
        </w:rPr>
      </w:pPr>
      <w:bookmarkStart w:id="247" w:name="_Toc1553"/>
      <w:bookmarkStart w:id="248" w:name="_Toc25712"/>
      <w:r>
        <w:rPr>
          <w:rFonts w:hint="eastAsia" w:ascii="宋体" w:hAnsi="宋体" w:eastAsia="宋体" w:cs="宋体"/>
          <w:b/>
          <w:bCs/>
          <w:color w:val="auto"/>
          <w:spacing w:val="0"/>
          <w:sz w:val="30"/>
          <w:szCs w:val="30"/>
          <w:highlight w:val="none"/>
        </w:rPr>
        <w:t>项目技术负责人简历表</w:t>
      </w:r>
      <w:bookmarkEnd w:id="247"/>
      <w:bookmarkEnd w:id="248"/>
    </w:p>
    <w:p w14:paraId="6FED11D1">
      <w:pPr>
        <w:keepNext w:val="0"/>
        <w:keepLines w:val="0"/>
        <w:pageBreakBefore w:val="0"/>
        <w:wordWrap w:val="0"/>
        <w:overflowPunct/>
        <w:topLinePunct w:val="0"/>
        <w:bidi w:val="0"/>
        <w:spacing w:line="240" w:lineRule="exact"/>
        <w:rPr>
          <w:rFonts w:hint="eastAsia" w:ascii="宋体" w:hAnsi="宋体" w:eastAsia="宋体" w:cs="宋体"/>
          <w:color w:val="auto"/>
          <w:spacing w:val="0"/>
          <w:highlight w:val="none"/>
        </w:rPr>
      </w:pPr>
    </w:p>
    <w:tbl>
      <w:tblPr>
        <w:tblStyle w:val="17"/>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7B3FB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center"/>
          </w:tcPr>
          <w:p w14:paraId="05EFAA67">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姓   名</w:t>
            </w:r>
          </w:p>
        </w:tc>
        <w:tc>
          <w:tcPr>
            <w:tcW w:w="1282" w:type="dxa"/>
            <w:gridSpan w:val="2"/>
            <w:vAlign w:val="center"/>
          </w:tcPr>
          <w:p w14:paraId="6CED9D95">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default" w:ascii="宋体" w:hAnsi="宋体" w:eastAsia="宋体" w:cs="宋体"/>
                <w:color w:val="auto"/>
                <w:spacing w:val="0"/>
                <w:sz w:val="24"/>
                <w:szCs w:val="24"/>
                <w:highlight w:val="none"/>
                <w:lang w:val="en-US" w:eastAsia="zh-CN"/>
              </w:rPr>
            </w:pPr>
          </w:p>
        </w:tc>
        <w:tc>
          <w:tcPr>
            <w:tcW w:w="1346" w:type="dxa"/>
            <w:vAlign w:val="center"/>
          </w:tcPr>
          <w:p w14:paraId="118F7715">
            <w:pPr>
              <w:keepNext w:val="0"/>
              <w:keepLines w:val="0"/>
              <w:pageBreakBefore w:val="0"/>
              <w:widowControl/>
              <w:kinsoku w:val="0"/>
              <w:wordWrap w:val="0"/>
              <w:overflowPunct/>
              <w:topLinePunct w:val="0"/>
              <w:autoSpaceDE w:val="0"/>
              <w:autoSpaceDN w:val="0"/>
              <w:bidi w:val="0"/>
              <w:adjustRightInd w:val="0"/>
              <w:snapToGrid w:val="0"/>
              <w:spacing w:before="177"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性  别</w:t>
            </w:r>
          </w:p>
        </w:tc>
        <w:tc>
          <w:tcPr>
            <w:tcW w:w="2047" w:type="dxa"/>
            <w:vAlign w:val="center"/>
          </w:tcPr>
          <w:p w14:paraId="23546190">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0A7C677A">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龄</w:t>
            </w:r>
          </w:p>
        </w:tc>
        <w:tc>
          <w:tcPr>
            <w:tcW w:w="1386" w:type="dxa"/>
            <w:vAlign w:val="center"/>
          </w:tcPr>
          <w:p w14:paraId="1FBE034E">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2238FB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center"/>
          </w:tcPr>
          <w:p w14:paraId="61278465">
            <w:pPr>
              <w:keepNext w:val="0"/>
              <w:keepLines w:val="0"/>
              <w:pageBreakBefore w:val="0"/>
              <w:widowControl/>
              <w:kinsoku w:val="0"/>
              <w:wordWrap w:val="0"/>
              <w:overflowPunct/>
              <w:topLinePunct w:val="0"/>
              <w:autoSpaceDE w:val="0"/>
              <w:autoSpaceDN w:val="0"/>
              <w:bidi w:val="0"/>
              <w:adjustRightInd w:val="0"/>
              <w:snapToGrid w:val="0"/>
              <w:spacing w:before="175"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务</w:t>
            </w:r>
          </w:p>
        </w:tc>
        <w:tc>
          <w:tcPr>
            <w:tcW w:w="1282" w:type="dxa"/>
            <w:gridSpan w:val="2"/>
            <w:vAlign w:val="center"/>
          </w:tcPr>
          <w:p w14:paraId="2DA0450F">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46" w:type="dxa"/>
            <w:vAlign w:val="center"/>
          </w:tcPr>
          <w:p w14:paraId="262D13E8">
            <w:pPr>
              <w:keepNext w:val="0"/>
              <w:keepLines w:val="0"/>
              <w:pageBreakBefore w:val="0"/>
              <w:widowControl/>
              <w:kinsoku w:val="0"/>
              <w:wordWrap w:val="0"/>
              <w:overflowPunct/>
              <w:topLinePunct w:val="0"/>
              <w:autoSpaceDE w:val="0"/>
              <w:autoSpaceDN w:val="0"/>
              <w:bidi w:val="0"/>
              <w:adjustRightInd w:val="0"/>
              <w:snapToGrid w:val="0"/>
              <w:spacing w:before="174" w:line="231"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称</w:t>
            </w:r>
          </w:p>
        </w:tc>
        <w:tc>
          <w:tcPr>
            <w:tcW w:w="2047" w:type="dxa"/>
            <w:vAlign w:val="center"/>
          </w:tcPr>
          <w:p w14:paraId="79CCFA27">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02F4AA7D">
            <w:pPr>
              <w:keepNext w:val="0"/>
              <w:keepLines w:val="0"/>
              <w:pageBreakBefore w:val="0"/>
              <w:widowControl/>
              <w:kinsoku w:val="0"/>
              <w:wordWrap w:val="0"/>
              <w:overflowPunct/>
              <w:topLinePunct w:val="0"/>
              <w:autoSpaceDE w:val="0"/>
              <w:autoSpaceDN w:val="0"/>
              <w:bidi w:val="0"/>
              <w:adjustRightInd w:val="0"/>
              <w:snapToGrid w:val="0"/>
              <w:spacing w:before="175"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学   历</w:t>
            </w:r>
          </w:p>
        </w:tc>
        <w:tc>
          <w:tcPr>
            <w:tcW w:w="1386" w:type="dxa"/>
            <w:vAlign w:val="center"/>
          </w:tcPr>
          <w:p w14:paraId="2FD2EF2A">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C0D00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center"/>
          </w:tcPr>
          <w:p w14:paraId="701AB8DD">
            <w:pPr>
              <w:keepNext w:val="0"/>
              <w:keepLines w:val="0"/>
              <w:pageBreakBefore w:val="0"/>
              <w:widowControl/>
              <w:kinsoku w:val="0"/>
              <w:wordWrap w:val="0"/>
              <w:overflowPunct/>
              <w:topLinePunct w:val="0"/>
              <w:autoSpaceDE w:val="0"/>
              <w:autoSpaceDN w:val="0"/>
              <w:bidi w:val="0"/>
              <w:adjustRightInd w:val="0"/>
              <w:snapToGrid w:val="0"/>
              <w:spacing w:before="175"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参加工作时间</w:t>
            </w:r>
          </w:p>
        </w:tc>
        <w:tc>
          <w:tcPr>
            <w:tcW w:w="2628" w:type="dxa"/>
            <w:gridSpan w:val="3"/>
            <w:vAlign w:val="center"/>
          </w:tcPr>
          <w:p w14:paraId="10A21E5B">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3830" w:type="dxa"/>
            <w:gridSpan w:val="2"/>
            <w:vAlign w:val="center"/>
          </w:tcPr>
          <w:p w14:paraId="056113A4">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从事工程建设项目管理工作年限</w:t>
            </w:r>
          </w:p>
        </w:tc>
        <w:tc>
          <w:tcPr>
            <w:tcW w:w="1386" w:type="dxa"/>
            <w:vAlign w:val="center"/>
          </w:tcPr>
          <w:p w14:paraId="54BECDD8">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28AB5E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center"/>
          </w:tcPr>
          <w:p w14:paraId="7B6327A9">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以项目技术负责人身份参与过的主要业绩（已完工项目）</w:t>
            </w:r>
          </w:p>
        </w:tc>
      </w:tr>
      <w:tr w14:paraId="7A7F51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center"/>
          </w:tcPr>
          <w:p w14:paraId="38456C0B">
            <w:pPr>
              <w:keepNext w:val="0"/>
              <w:keepLines w:val="0"/>
              <w:pageBreakBefore w:val="0"/>
              <w:widowControl/>
              <w:kinsoku w:val="0"/>
              <w:wordWrap w:val="0"/>
              <w:overflowPunct/>
              <w:topLinePunct w:val="0"/>
              <w:autoSpaceDE w:val="0"/>
              <w:autoSpaceDN w:val="0"/>
              <w:bidi w:val="0"/>
              <w:adjustRightInd w:val="0"/>
              <w:snapToGrid w:val="0"/>
              <w:spacing w:before="176"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1610" w:type="dxa"/>
            <w:gridSpan w:val="2"/>
            <w:vAlign w:val="center"/>
          </w:tcPr>
          <w:p w14:paraId="2E11A1D4">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项目名称</w:t>
            </w:r>
          </w:p>
        </w:tc>
        <w:tc>
          <w:tcPr>
            <w:tcW w:w="2021" w:type="dxa"/>
            <w:gridSpan w:val="2"/>
            <w:vAlign w:val="center"/>
          </w:tcPr>
          <w:p w14:paraId="7AA9AB8C">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2047" w:type="dxa"/>
            <w:vAlign w:val="center"/>
          </w:tcPr>
          <w:p w14:paraId="29945CA7">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建设内容和规模</w:t>
            </w:r>
          </w:p>
        </w:tc>
        <w:tc>
          <w:tcPr>
            <w:tcW w:w="1783" w:type="dxa"/>
            <w:vAlign w:val="center"/>
          </w:tcPr>
          <w:p w14:paraId="2963C67C">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开、竣工日期</w:t>
            </w:r>
          </w:p>
        </w:tc>
        <w:tc>
          <w:tcPr>
            <w:tcW w:w="1386" w:type="dxa"/>
            <w:vAlign w:val="center"/>
          </w:tcPr>
          <w:p w14:paraId="10F97638">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质量等级</w:t>
            </w:r>
          </w:p>
        </w:tc>
      </w:tr>
      <w:tr w14:paraId="7D6C52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499EFAF8">
            <w:pPr>
              <w:keepNext w:val="0"/>
              <w:keepLines w:val="0"/>
              <w:pageBreakBefore w:val="0"/>
              <w:widowControl/>
              <w:kinsoku w:val="0"/>
              <w:wordWrap w:val="0"/>
              <w:overflowPunct/>
              <w:topLinePunct w:val="0"/>
              <w:autoSpaceDE w:val="0"/>
              <w:autoSpaceDN w:val="0"/>
              <w:bidi w:val="0"/>
              <w:adjustRightInd w:val="0"/>
              <w:snapToGrid w:val="0"/>
              <w:spacing w:before="214"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610" w:type="dxa"/>
            <w:gridSpan w:val="2"/>
            <w:vAlign w:val="center"/>
          </w:tcPr>
          <w:p w14:paraId="5ADA09A6">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53E6CACD">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3213B51A">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71B1F1C7">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32394E3A">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12459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center"/>
          </w:tcPr>
          <w:p w14:paraId="4DAC59FB">
            <w:pPr>
              <w:keepNext w:val="0"/>
              <w:keepLines w:val="0"/>
              <w:pageBreakBefore w:val="0"/>
              <w:widowControl/>
              <w:kinsoku w:val="0"/>
              <w:wordWrap w:val="0"/>
              <w:overflowPunct/>
              <w:topLinePunct w:val="0"/>
              <w:autoSpaceDE w:val="0"/>
              <w:autoSpaceDN w:val="0"/>
              <w:bidi w:val="0"/>
              <w:adjustRightInd w:val="0"/>
              <w:snapToGrid w:val="0"/>
              <w:spacing w:before="213"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610" w:type="dxa"/>
            <w:gridSpan w:val="2"/>
            <w:vAlign w:val="center"/>
          </w:tcPr>
          <w:p w14:paraId="5602C398">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44161251">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6EB9A68B">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7C254F86">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03A09BAF">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3D0253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454FA703">
            <w:pPr>
              <w:keepNext w:val="0"/>
              <w:keepLines w:val="0"/>
              <w:pageBreakBefore w:val="0"/>
              <w:widowControl/>
              <w:kinsoku w:val="0"/>
              <w:wordWrap w:val="0"/>
              <w:overflowPunct/>
              <w:topLinePunct w:val="0"/>
              <w:autoSpaceDE w:val="0"/>
              <w:autoSpaceDN w:val="0"/>
              <w:bidi w:val="0"/>
              <w:adjustRightInd w:val="0"/>
              <w:snapToGrid w:val="0"/>
              <w:spacing w:before="178" w:line="324" w:lineRule="exact"/>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610" w:type="dxa"/>
            <w:gridSpan w:val="2"/>
            <w:vAlign w:val="center"/>
          </w:tcPr>
          <w:p w14:paraId="6C5FB048">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32104855">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578C559F">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0B5BBA7A">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46214A3F">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30FF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7063B7A0">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610" w:type="dxa"/>
            <w:gridSpan w:val="2"/>
            <w:vAlign w:val="center"/>
          </w:tcPr>
          <w:p w14:paraId="23F285BF">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2F8026D2">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579A464E">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32346207">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6B220A84">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18E3F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center"/>
          </w:tcPr>
          <w:p w14:paraId="2B85EE54">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610" w:type="dxa"/>
            <w:gridSpan w:val="2"/>
            <w:vAlign w:val="center"/>
          </w:tcPr>
          <w:p w14:paraId="07FBE6FB">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77A52A6A">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386A4A2B">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539B9F06">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315CA8B1">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bl>
    <w:p w14:paraId="0667A4AA">
      <w:pPr>
        <w:pStyle w:val="8"/>
        <w:keepNext w:val="0"/>
        <w:keepLines w:val="0"/>
        <w:pageBreakBefore w:val="0"/>
        <w:wordWrap w:val="0"/>
        <w:overflowPunct/>
        <w:topLinePunct w:val="0"/>
        <w:bidi w:val="0"/>
        <w:spacing w:line="314" w:lineRule="auto"/>
        <w:rPr>
          <w:rFonts w:hint="eastAsia" w:ascii="宋体" w:hAnsi="宋体" w:eastAsia="宋体" w:cs="宋体"/>
          <w:color w:val="auto"/>
          <w:spacing w:val="0"/>
          <w:sz w:val="24"/>
          <w:szCs w:val="24"/>
          <w:highlight w:val="none"/>
        </w:rPr>
      </w:pPr>
    </w:p>
    <w:p w14:paraId="051EFE34">
      <w:pPr>
        <w:pStyle w:val="8"/>
        <w:keepNext w:val="0"/>
        <w:keepLines w:val="0"/>
        <w:pageBreakBefore w:val="0"/>
        <w:wordWrap w:val="0"/>
        <w:overflowPunct/>
        <w:topLinePunct w:val="0"/>
        <w:bidi w:val="0"/>
        <w:spacing w:line="315" w:lineRule="auto"/>
        <w:rPr>
          <w:rFonts w:hint="eastAsia" w:ascii="宋体" w:hAnsi="宋体" w:eastAsia="宋体" w:cs="宋体"/>
          <w:color w:val="auto"/>
          <w:spacing w:val="0"/>
          <w:sz w:val="24"/>
          <w:szCs w:val="24"/>
          <w:highlight w:val="none"/>
        </w:rPr>
      </w:pPr>
    </w:p>
    <w:p w14:paraId="75AB57A7">
      <w:pPr>
        <w:keepNext w:val="0"/>
        <w:keepLines w:val="0"/>
        <w:pageBreakBefore w:val="0"/>
        <w:wordWrap w:val="0"/>
        <w:overflowPunct/>
        <w:topLinePunct w:val="0"/>
        <w:bidi w:val="0"/>
        <w:spacing w:before="78" w:line="220" w:lineRule="auto"/>
        <w:ind w:left="5165"/>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项目技术负责人：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w:t>
      </w:r>
    </w:p>
    <w:p w14:paraId="025168AE">
      <w:pPr>
        <w:pStyle w:val="8"/>
        <w:keepNext w:val="0"/>
        <w:keepLines w:val="0"/>
        <w:pageBreakBefore w:val="0"/>
        <w:wordWrap w:val="0"/>
        <w:overflowPunct/>
        <w:topLinePunct w:val="0"/>
        <w:bidi w:val="0"/>
        <w:spacing w:line="256" w:lineRule="auto"/>
        <w:jc w:val="right"/>
        <w:rPr>
          <w:rFonts w:hint="eastAsia" w:ascii="宋体" w:hAnsi="宋体" w:eastAsia="宋体" w:cs="宋体"/>
          <w:color w:val="auto"/>
          <w:spacing w:val="0"/>
          <w:sz w:val="24"/>
          <w:szCs w:val="24"/>
          <w:highlight w:val="none"/>
        </w:rPr>
      </w:pPr>
    </w:p>
    <w:p w14:paraId="04AE2F4B">
      <w:pPr>
        <w:pStyle w:val="8"/>
        <w:keepNext w:val="0"/>
        <w:keepLines w:val="0"/>
        <w:pageBreakBefore w:val="0"/>
        <w:wordWrap w:val="0"/>
        <w:overflowPunct/>
        <w:topLinePunct w:val="0"/>
        <w:bidi w:val="0"/>
        <w:spacing w:line="257" w:lineRule="auto"/>
        <w:jc w:val="right"/>
        <w:rPr>
          <w:rFonts w:hint="eastAsia" w:ascii="宋体" w:hAnsi="宋体" w:eastAsia="宋体" w:cs="宋体"/>
          <w:color w:val="auto"/>
          <w:spacing w:val="0"/>
          <w:sz w:val="24"/>
          <w:szCs w:val="24"/>
          <w:highlight w:val="none"/>
        </w:rPr>
      </w:pPr>
    </w:p>
    <w:p w14:paraId="4F85C3AC">
      <w:pPr>
        <w:pStyle w:val="8"/>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00BDE3C">
      <w:pPr>
        <w:keepNext w:val="0"/>
        <w:keepLines w:val="0"/>
        <w:pageBreakBefore w:val="0"/>
        <w:widowControl/>
        <w:kinsoku w:val="0"/>
        <w:wordWrap w:val="0"/>
        <w:overflowPunct/>
        <w:topLinePunct w:val="0"/>
        <w:autoSpaceDE w:val="0"/>
        <w:autoSpaceDN w:val="0"/>
        <w:bidi w:val="0"/>
        <w:adjustRightInd/>
        <w:snapToGrid/>
        <w:spacing w:before="65"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说明：《项目技术负责人简历表》后应附拟派项目技术负责人以下资料：</w:t>
      </w:r>
    </w:p>
    <w:p w14:paraId="4CC3C7D8">
      <w:pPr>
        <w:keepNext w:val="0"/>
        <w:keepLines w:val="0"/>
        <w:pageBreakBefore w:val="0"/>
        <w:widowControl/>
        <w:kinsoku w:val="0"/>
        <w:wordWrap w:val="0"/>
        <w:overflowPunct/>
        <w:topLinePunct w:val="0"/>
        <w:autoSpaceDE w:val="0"/>
        <w:autoSpaceDN w:val="0"/>
        <w:bidi w:val="0"/>
        <w:adjustRightInd/>
        <w:snapToGrid/>
        <w:spacing w:before="155"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．身份证彩色扫描件；</w:t>
      </w:r>
    </w:p>
    <w:p w14:paraId="32AA95EF">
      <w:pPr>
        <w:keepNext w:val="0"/>
        <w:keepLines w:val="0"/>
        <w:pageBreakBefore w:val="0"/>
        <w:widowControl/>
        <w:kinsoku w:val="0"/>
        <w:wordWrap w:val="0"/>
        <w:overflowPunct/>
        <w:topLinePunct w:val="0"/>
        <w:autoSpaceDE w:val="0"/>
        <w:autoSpaceDN w:val="0"/>
        <w:bidi w:val="0"/>
        <w:adjustRightInd/>
        <w:snapToGrid/>
        <w:spacing w:before="151"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．职称证彩色扫描件；</w:t>
      </w:r>
    </w:p>
    <w:p w14:paraId="0F4111DC">
      <w:pPr>
        <w:keepNext w:val="0"/>
        <w:keepLines w:val="0"/>
        <w:pageBreakBefore w:val="0"/>
        <w:widowControl/>
        <w:kinsoku w:val="0"/>
        <w:wordWrap w:val="0"/>
        <w:overflowPunct/>
        <w:topLinePunct w:val="0"/>
        <w:autoSpaceDE w:val="0"/>
        <w:autoSpaceDN w:val="0"/>
        <w:bidi w:val="0"/>
        <w:adjustRightInd/>
        <w:snapToGrid/>
        <w:spacing w:before="153"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．在本单位缴纳社保的证明（</w:t>
      </w:r>
      <w:r>
        <w:rPr>
          <w:rFonts w:hint="eastAsia" w:ascii="宋体" w:hAnsi="宋体" w:eastAsia="宋体" w:cs="宋体"/>
          <w:color w:val="auto"/>
          <w:spacing w:val="0"/>
          <w:sz w:val="24"/>
          <w:szCs w:val="24"/>
          <w:highlight w:val="none"/>
          <w:lang w:eastAsia="zh-CN"/>
        </w:rPr>
        <w:t>至少</w:t>
      </w: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lang w:eastAsia="zh-CN"/>
        </w:rPr>
        <w:t>个月</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其中必须有 2026年</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lang w:eastAsia="zh-CN"/>
        </w:rPr>
        <w:t>月</w:t>
      </w:r>
      <w:r>
        <w:rPr>
          <w:rFonts w:hint="eastAsia" w:ascii="宋体" w:hAnsi="宋体" w:eastAsia="宋体" w:cs="宋体"/>
          <w:color w:val="auto"/>
          <w:spacing w:val="0"/>
          <w:sz w:val="24"/>
          <w:szCs w:val="24"/>
          <w:highlight w:val="none"/>
        </w:rPr>
        <w:t>）扫描件</w:t>
      </w:r>
      <w:r>
        <w:rPr>
          <w:rFonts w:hint="eastAsia" w:ascii="宋体" w:hAnsi="宋体" w:eastAsia="宋体" w:cs="宋体"/>
          <w:color w:val="auto"/>
          <w:spacing w:val="0"/>
          <w:sz w:val="24"/>
          <w:szCs w:val="24"/>
          <w:highlight w:val="none"/>
          <w:lang w:val="en-US" w:eastAsia="zh-CN"/>
        </w:rPr>
        <w:t>或打印件</w:t>
      </w:r>
      <w:r>
        <w:rPr>
          <w:rFonts w:hint="eastAsia" w:ascii="宋体" w:hAnsi="宋体" w:eastAsia="宋体" w:cs="宋体"/>
          <w:color w:val="auto"/>
          <w:spacing w:val="0"/>
          <w:sz w:val="24"/>
          <w:szCs w:val="24"/>
          <w:highlight w:val="none"/>
        </w:rPr>
        <w:t>。 拟派项目技术负责人为退休返聘人员无法提供社保证明的，提供退休证和劳动合同彩色扫描件。</w:t>
      </w:r>
    </w:p>
    <w:p w14:paraId="4B6AA54F">
      <w:pPr>
        <w:keepNext w:val="0"/>
        <w:keepLines w:val="0"/>
        <w:pageBreakBefore w:val="0"/>
        <w:widowControl/>
        <w:kinsoku w:val="0"/>
        <w:wordWrap w:val="0"/>
        <w:overflowPunct/>
        <w:topLinePunct w:val="0"/>
        <w:autoSpaceDE w:val="0"/>
        <w:autoSpaceDN w:val="0"/>
        <w:bidi w:val="0"/>
        <w:adjustRightInd/>
        <w:snapToGrid/>
        <w:spacing w:before="153"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 ．“进粤企业和人员诚信信息登记平台 ”个人信息情况截图。（适用于省外建筑企业）</w:t>
      </w:r>
    </w:p>
    <w:p w14:paraId="171B3FE7">
      <w:pPr>
        <w:keepNext w:val="0"/>
        <w:keepLines w:val="0"/>
        <w:pageBreakBefore w:val="0"/>
        <w:wordWrap w:val="0"/>
        <w:overflowPunct/>
        <w:topLinePunct w:val="0"/>
        <w:bidi w:val="0"/>
        <w:spacing w:line="228" w:lineRule="auto"/>
        <w:rPr>
          <w:rFonts w:hint="eastAsia" w:ascii="宋体" w:hAnsi="宋体" w:eastAsia="宋体" w:cs="宋体"/>
          <w:color w:val="auto"/>
          <w:spacing w:val="0"/>
          <w:sz w:val="20"/>
          <w:szCs w:val="20"/>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7119289E">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49" w:name="_Toc19005"/>
      <w:r>
        <w:rPr>
          <w:rFonts w:hint="eastAsia" w:ascii="宋体" w:hAnsi="宋体" w:eastAsia="宋体" w:cs="宋体"/>
          <w:b/>
          <w:bCs/>
          <w:color w:val="auto"/>
          <w:spacing w:val="0"/>
          <w:sz w:val="24"/>
          <w:szCs w:val="24"/>
          <w:highlight w:val="none"/>
        </w:rPr>
        <w:t>格式十一 项目管理机构组成表</w:t>
      </w:r>
      <w:bookmarkEnd w:id="249"/>
    </w:p>
    <w:p w14:paraId="72EA281F">
      <w:pPr>
        <w:pStyle w:val="8"/>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3BAB61AF">
      <w:pPr>
        <w:pStyle w:val="8"/>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3A5B9122">
      <w:pPr>
        <w:keepNext w:val="0"/>
        <w:keepLines w:val="0"/>
        <w:pageBreakBefore w:val="0"/>
        <w:wordWrap w:val="0"/>
        <w:overflowPunct/>
        <w:topLinePunct w:val="0"/>
        <w:bidi w:val="0"/>
        <w:spacing w:before="97" w:line="219" w:lineRule="auto"/>
        <w:ind w:left="3200"/>
        <w:outlineLvl w:val="9"/>
        <w:rPr>
          <w:rFonts w:hint="eastAsia" w:ascii="宋体" w:hAnsi="宋体" w:eastAsia="宋体" w:cs="宋体"/>
          <w:color w:val="auto"/>
          <w:spacing w:val="0"/>
          <w:sz w:val="30"/>
          <w:szCs w:val="30"/>
          <w:highlight w:val="none"/>
        </w:rPr>
      </w:pPr>
      <w:bookmarkStart w:id="250" w:name="bookmark158"/>
      <w:bookmarkEnd w:id="250"/>
      <w:bookmarkStart w:id="251" w:name="_Toc28765"/>
      <w:bookmarkStart w:id="252" w:name="_Toc19973"/>
      <w:r>
        <w:rPr>
          <w:rFonts w:hint="eastAsia" w:ascii="宋体" w:hAnsi="宋体" w:eastAsia="宋体" w:cs="宋体"/>
          <w:b/>
          <w:bCs/>
          <w:color w:val="auto"/>
          <w:spacing w:val="0"/>
          <w:sz w:val="30"/>
          <w:szCs w:val="30"/>
          <w:highlight w:val="none"/>
        </w:rPr>
        <w:t>项目管理机构组成表</w:t>
      </w:r>
      <w:bookmarkEnd w:id="251"/>
      <w:bookmarkEnd w:id="252"/>
    </w:p>
    <w:p w14:paraId="6443FF59">
      <w:pPr>
        <w:keepNext w:val="0"/>
        <w:keepLines w:val="0"/>
        <w:pageBreakBefore w:val="0"/>
        <w:wordWrap w:val="0"/>
        <w:overflowPunct/>
        <w:topLinePunct w:val="0"/>
        <w:bidi w:val="0"/>
        <w:spacing w:before="7"/>
        <w:rPr>
          <w:rFonts w:hint="eastAsia" w:ascii="宋体" w:hAnsi="宋体" w:eastAsia="宋体" w:cs="宋体"/>
          <w:color w:val="auto"/>
          <w:spacing w:val="0"/>
          <w:highlight w:val="none"/>
        </w:rPr>
      </w:pPr>
    </w:p>
    <w:tbl>
      <w:tblPr>
        <w:tblStyle w:val="17"/>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62123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center"/>
          </w:tcPr>
          <w:p w14:paraId="6E3F51CF">
            <w:pPr>
              <w:keepNext w:val="0"/>
              <w:keepLines w:val="0"/>
              <w:pageBreakBefore w:val="0"/>
              <w:widowControl/>
              <w:kinsoku w:val="0"/>
              <w:wordWrap w:val="0"/>
              <w:overflowPunct/>
              <w:topLinePunct w:val="0"/>
              <w:autoSpaceDE w:val="0"/>
              <w:autoSpaceDN w:val="0"/>
              <w:bidi w:val="0"/>
              <w:adjustRightInd w:val="0"/>
              <w:snapToGrid w:val="0"/>
              <w:spacing w:before="229"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序号</w:t>
            </w:r>
          </w:p>
        </w:tc>
        <w:tc>
          <w:tcPr>
            <w:tcW w:w="1939" w:type="dxa"/>
            <w:vAlign w:val="center"/>
          </w:tcPr>
          <w:p w14:paraId="70840A8B">
            <w:pPr>
              <w:keepNext w:val="0"/>
              <w:keepLines w:val="0"/>
              <w:pageBreakBefore w:val="0"/>
              <w:widowControl/>
              <w:kinsoku w:val="0"/>
              <w:wordWrap w:val="0"/>
              <w:overflowPunct/>
              <w:topLinePunct w:val="0"/>
              <w:autoSpaceDE w:val="0"/>
              <w:autoSpaceDN w:val="0"/>
              <w:bidi w:val="0"/>
              <w:adjustRightInd w:val="0"/>
              <w:snapToGrid w:val="0"/>
              <w:spacing w:before="228"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岗位</w:t>
            </w:r>
          </w:p>
        </w:tc>
        <w:tc>
          <w:tcPr>
            <w:tcW w:w="1567" w:type="dxa"/>
            <w:vAlign w:val="center"/>
          </w:tcPr>
          <w:p w14:paraId="32A36FDF">
            <w:pPr>
              <w:keepNext w:val="0"/>
              <w:keepLines w:val="0"/>
              <w:pageBreakBefore w:val="0"/>
              <w:widowControl/>
              <w:kinsoku w:val="0"/>
              <w:wordWrap w:val="0"/>
              <w:overflowPunct/>
              <w:topLinePunct w:val="0"/>
              <w:autoSpaceDE w:val="0"/>
              <w:autoSpaceDN w:val="0"/>
              <w:bidi w:val="0"/>
              <w:adjustRightInd w:val="0"/>
              <w:snapToGrid w:val="0"/>
              <w:spacing w:before="228"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姓名</w:t>
            </w:r>
          </w:p>
        </w:tc>
        <w:tc>
          <w:tcPr>
            <w:tcW w:w="1017" w:type="dxa"/>
            <w:vAlign w:val="center"/>
          </w:tcPr>
          <w:p w14:paraId="46CA79C0">
            <w:pPr>
              <w:keepNext w:val="0"/>
              <w:keepLines w:val="0"/>
              <w:pageBreakBefore w:val="0"/>
              <w:widowControl/>
              <w:kinsoku w:val="0"/>
              <w:wordWrap w:val="0"/>
              <w:overflowPunct/>
              <w:topLinePunct w:val="0"/>
              <w:autoSpaceDE w:val="0"/>
              <w:autoSpaceDN w:val="0"/>
              <w:bidi w:val="0"/>
              <w:adjustRightInd w:val="0"/>
              <w:snapToGrid w:val="0"/>
              <w:spacing w:before="228" w:line="23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性别</w:t>
            </w:r>
          </w:p>
        </w:tc>
        <w:tc>
          <w:tcPr>
            <w:tcW w:w="1002" w:type="dxa"/>
            <w:vAlign w:val="center"/>
          </w:tcPr>
          <w:p w14:paraId="7DFB693F">
            <w:pPr>
              <w:keepNext w:val="0"/>
              <w:keepLines w:val="0"/>
              <w:pageBreakBefore w:val="0"/>
              <w:widowControl/>
              <w:kinsoku w:val="0"/>
              <w:wordWrap w:val="0"/>
              <w:overflowPunct/>
              <w:topLinePunct w:val="0"/>
              <w:autoSpaceDE w:val="0"/>
              <w:autoSpaceDN w:val="0"/>
              <w:bidi w:val="0"/>
              <w:adjustRightInd w:val="0"/>
              <w:snapToGrid w:val="0"/>
              <w:spacing w:before="229"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年龄</w:t>
            </w:r>
          </w:p>
        </w:tc>
        <w:tc>
          <w:tcPr>
            <w:tcW w:w="1551" w:type="dxa"/>
            <w:vAlign w:val="center"/>
          </w:tcPr>
          <w:p w14:paraId="0DFD0FC9">
            <w:pPr>
              <w:keepNext w:val="0"/>
              <w:keepLines w:val="0"/>
              <w:pageBreakBefore w:val="0"/>
              <w:widowControl/>
              <w:kinsoku w:val="0"/>
              <w:wordWrap w:val="0"/>
              <w:overflowPunct/>
              <w:topLinePunct w:val="0"/>
              <w:autoSpaceDE w:val="0"/>
              <w:autoSpaceDN w:val="0"/>
              <w:bidi w:val="0"/>
              <w:adjustRightInd w:val="0"/>
              <w:snapToGrid w:val="0"/>
              <w:spacing w:before="228" w:line="23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职称</w:t>
            </w:r>
          </w:p>
        </w:tc>
        <w:tc>
          <w:tcPr>
            <w:tcW w:w="1926" w:type="dxa"/>
            <w:vAlign w:val="center"/>
          </w:tcPr>
          <w:p w14:paraId="55F7EA65">
            <w:pPr>
              <w:keepNext w:val="0"/>
              <w:keepLines w:val="0"/>
              <w:pageBreakBefore w:val="0"/>
              <w:widowControl/>
              <w:kinsoku w:val="0"/>
              <w:wordWrap w:val="0"/>
              <w:overflowPunct/>
              <w:topLinePunct w:val="0"/>
              <w:autoSpaceDE w:val="0"/>
              <w:autoSpaceDN w:val="0"/>
              <w:bidi w:val="0"/>
              <w:adjustRightInd w:val="0"/>
              <w:snapToGrid w:val="0"/>
              <w:spacing w:before="228" w:line="23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备注</w:t>
            </w:r>
          </w:p>
        </w:tc>
      </w:tr>
      <w:tr w14:paraId="3C5E18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4847F33D">
            <w:pPr>
              <w:keepNext w:val="0"/>
              <w:keepLines w:val="0"/>
              <w:pageBreakBefore w:val="0"/>
              <w:widowControl/>
              <w:kinsoku w:val="0"/>
              <w:wordWrap w:val="0"/>
              <w:overflowPunct/>
              <w:topLinePunct w:val="0"/>
              <w:autoSpaceDE w:val="0"/>
              <w:autoSpaceDN w:val="0"/>
              <w:bidi w:val="0"/>
              <w:adjustRightInd w:val="0"/>
              <w:snapToGrid w:val="0"/>
              <w:spacing w:before="185"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939" w:type="dxa"/>
            <w:vAlign w:val="center"/>
          </w:tcPr>
          <w:p w14:paraId="2FE7C559">
            <w:pPr>
              <w:keepNext w:val="0"/>
              <w:keepLines w:val="0"/>
              <w:pageBreakBefore w:val="0"/>
              <w:widowControl/>
              <w:kinsoku w:val="0"/>
              <w:wordWrap w:val="0"/>
              <w:overflowPunct/>
              <w:topLinePunct w:val="0"/>
              <w:autoSpaceDE w:val="0"/>
              <w:autoSpaceDN w:val="0"/>
              <w:bidi w:val="0"/>
              <w:adjustRightInd w:val="0"/>
              <w:snapToGrid w:val="0"/>
              <w:spacing w:before="150"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项目经理</w:t>
            </w:r>
          </w:p>
        </w:tc>
        <w:tc>
          <w:tcPr>
            <w:tcW w:w="1567" w:type="dxa"/>
            <w:vAlign w:val="center"/>
          </w:tcPr>
          <w:p w14:paraId="2D179AD7">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5824F68F">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38FAF52C">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0EE0EF07">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2C34DDD3">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093E6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center"/>
          </w:tcPr>
          <w:p w14:paraId="6DC38B23">
            <w:pPr>
              <w:keepNext w:val="0"/>
              <w:keepLines w:val="0"/>
              <w:pageBreakBefore w:val="0"/>
              <w:widowControl/>
              <w:kinsoku w:val="0"/>
              <w:wordWrap w:val="0"/>
              <w:overflowPunct/>
              <w:topLinePunct w:val="0"/>
              <w:autoSpaceDE w:val="0"/>
              <w:autoSpaceDN w:val="0"/>
              <w:bidi w:val="0"/>
              <w:adjustRightInd w:val="0"/>
              <w:snapToGrid w:val="0"/>
              <w:spacing w:before="187"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939" w:type="dxa"/>
            <w:vAlign w:val="center"/>
          </w:tcPr>
          <w:p w14:paraId="5504BA64">
            <w:pPr>
              <w:keepNext w:val="0"/>
              <w:keepLines w:val="0"/>
              <w:pageBreakBefore w:val="0"/>
              <w:widowControl/>
              <w:kinsoku w:val="0"/>
              <w:wordWrap w:val="0"/>
              <w:overflowPunct/>
              <w:topLinePunct w:val="0"/>
              <w:autoSpaceDE w:val="0"/>
              <w:autoSpaceDN w:val="0"/>
              <w:bidi w:val="0"/>
              <w:adjustRightInd w:val="0"/>
              <w:snapToGrid w:val="0"/>
              <w:spacing w:before="152"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项目技术负责人</w:t>
            </w:r>
          </w:p>
        </w:tc>
        <w:tc>
          <w:tcPr>
            <w:tcW w:w="1567" w:type="dxa"/>
            <w:vAlign w:val="center"/>
          </w:tcPr>
          <w:p w14:paraId="39D0A696">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0B5E02F0">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543BE366">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35D293AF">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4F9B82AC">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0D1F3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0114A82A">
            <w:pPr>
              <w:keepNext w:val="0"/>
              <w:keepLines w:val="0"/>
              <w:pageBreakBefore w:val="0"/>
              <w:widowControl/>
              <w:kinsoku w:val="0"/>
              <w:wordWrap w:val="0"/>
              <w:overflowPunct/>
              <w:topLinePunct w:val="0"/>
              <w:autoSpaceDE w:val="0"/>
              <w:autoSpaceDN w:val="0"/>
              <w:bidi w:val="0"/>
              <w:adjustRightInd w:val="0"/>
              <w:snapToGrid w:val="0"/>
              <w:spacing w:before="189" w:line="195" w:lineRule="auto"/>
              <w:ind w:left="0"/>
              <w:jc w:val="center"/>
              <w:textAlignment w:val="baseline"/>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w:t>
            </w:r>
          </w:p>
        </w:tc>
        <w:tc>
          <w:tcPr>
            <w:tcW w:w="1939" w:type="dxa"/>
            <w:vAlign w:val="center"/>
          </w:tcPr>
          <w:p w14:paraId="342D613A">
            <w:pPr>
              <w:keepNext w:val="0"/>
              <w:keepLines w:val="0"/>
              <w:pageBreakBefore w:val="0"/>
              <w:widowControl/>
              <w:kinsoku w:val="0"/>
              <w:wordWrap w:val="0"/>
              <w:overflowPunct/>
              <w:topLinePunct w:val="0"/>
              <w:autoSpaceDE w:val="0"/>
              <w:autoSpaceDN w:val="0"/>
              <w:bidi w:val="0"/>
              <w:adjustRightInd w:val="0"/>
              <w:snapToGrid w:val="0"/>
              <w:spacing w:before="153"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专职安全员</w:t>
            </w:r>
          </w:p>
        </w:tc>
        <w:tc>
          <w:tcPr>
            <w:tcW w:w="1567" w:type="dxa"/>
            <w:vAlign w:val="center"/>
          </w:tcPr>
          <w:p w14:paraId="713505ED">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0FBE0797">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3091553A">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404815E0">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63FA1459">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15E3A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6D81841D">
            <w:pPr>
              <w:keepNext w:val="0"/>
              <w:keepLines w:val="0"/>
              <w:pageBreakBefore w:val="0"/>
              <w:widowControl/>
              <w:kinsoku w:val="0"/>
              <w:wordWrap w:val="0"/>
              <w:overflowPunct/>
              <w:topLinePunct w:val="0"/>
              <w:autoSpaceDE w:val="0"/>
              <w:autoSpaceDN w:val="0"/>
              <w:bidi w:val="0"/>
              <w:adjustRightInd w:val="0"/>
              <w:snapToGrid w:val="0"/>
              <w:spacing w:before="188"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w:t>
            </w:r>
          </w:p>
        </w:tc>
        <w:tc>
          <w:tcPr>
            <w:tcW w:w="1939" w:type="dxa"/>
            <w:vAlign w:val="center"/>
          </w:tcPr>
          <w:p w14:paraId="68BF5D12">
            <w:pPr>
              <w:keepNext w:val="0"/>
              <w:keepLines w:val="0"/>
              <w:pageBreakBefore w:val="0"/>
              <w:widowControl/>
              <w:kinsoku w:val="0"/>
              <w:wordWrap w:val="0"/>
              <w:overflowPunct/>
              <w:topLinePunct w:val="0"/>
              <w:autoSpaceDE w:val="0"/>
              <w:autoSpaceDN w:val="0"/>
              <w:bidi w:val="0"/>
              <w:adjustRightInd w:val="0"/>
              <w:snapToGrid w:val="0"/>
              <w:spacing w:before="152"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施工员</w:t>
            </w:r>
          </w:p>
        </w:tc>
        <w:tc>
          <w:tcPr>
            <w:tcW w:w="1567" w:type="dxa"/>
            <w:vAlign w:val="center"/>
          </w:tcPr>
          <w:p w14:paraId="5381625C">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6C90DAA4">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0CE3B76D">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04613734">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184D418F">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74C62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65F3A49E">
            <w:pPr>
              <w:keepNext w:val="0"/>
              <w:keepLines w:val="0"/>
              <w:pageBreakBefore w:val="0"/>
              <w:widowControl/>
              <w:kinsoku w:val="0"/>
              <w:wordWrap w:val="0"/>
              <w:overflowPunct/>
              <w:topLinePunct w:val="0"/>
              <w:autoSpaceDE w:val="0"/>
              <w:autoSpaceDN w:val="0"/>
              <w:bidi w:val="0"/>
              <w:adjustRightInd w:val="0"/>
              <w:snapToGrid w:val="0"/>
              <w:spacing w:before="193" w:line="192"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w:t>
            </w:r>
          </w:p>
        </w:tc>
        <w:tc>
          <w:tcPr>
            <w:tcW w:w="1939" w:type="dxa"/>
            <w:vAlign w:val="center"/>
          </w:tcPr>
          <w:p w14:paraId="71A9343D">
            <w:pPr>
              <w:keepNext w:val="0"/>
              <w:keepLines w:val="0"/>
              <w:pageBreakBefore w:val="0"/>
              <w:widowControl/>
              <w:kinsoku w:val="0"/>
              <w:wordWrap w:val="0"/>
              <w:overflowPunct/>
              <w:topLinePunct w:val="0"/>
              <w:autoSpaceDE w:val="0"/>
              <w:autoSpaceDN w:val="0"/>
              <w:bidi w:val="0"/>
              <w:adjustRightInd w:val="0"/>
              <w:snapToGrid w:val="0"/>
              <w:spacing w:before="154"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质量员</w:t>
            </w:r>
          </w:p>
        </w:tc>
        <w:tc>
          <w:tcPr>
            <w:tcW w:w="1567" w:type="dxa"/>
            <w:vAlign w:val="center"/>
          </w:tcPr>
          <w:p w14:paraId="4FFD4F72">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4A9577DC">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01D2346F">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541E8838">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52D22F9D">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0FB6B3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0357985B">
            <w:pPr>
              <w:keepNext w:val="0"/>
              <w:keepLines w:val="0"/>
              <w:pageBreakBefore w:val="0"/>
              <w:widowControl/>
              <w:kinsoku w:val="0"/>
              <w:wordWrap w:val="0"/>
              <w:overflowPunct/>
              <w:topLinePunct w:val="0"/>
              <w:autoSpaceDE w:val="0"/>
              <w:autoSpaceDN w:val="0"/>
              <w:bidi w:val="0"/>
              <w:adjustRightInd w:val="0"/>
              <w:snapToGrid w:val="0"/>
              <w:spacing w:before="191"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w:t>
            </w:r>
          </w:p>
        </w:tc>
        <w:tc>
          <w:tcPr>
            <w:tcW w:w="1939" w:type="dxa"/>
            <w:vAlign w:val="center"/>
          </w:tcPr>
          <w:p w14:paraId="134FEF29">
            <w:pPr>
              <w:keepNext w:val="0"/>
              <w:keepLines w:val="0"/>
              <w:pageBreakBefore w:val="0"/>
              <w:widowControl/>
              <w:kinsoku w:val="0"/>
              <w:wordWrap w:val="0"/>
              <w:overflowPunct/>
              <w:topLinePunct w:val="0"/>
              <w:autoSpaceDE w:val="0"/>
              <w:autoSpaceDN w:val="0"/>
              <w:bidi w:val="0"/>
              <w:adjustRightInd w:val="0"/>
              <w:snapToGrid w:val="0"/>
              <w:spacing w:before="155"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材料员</w:t>
            </w:r>
          </w:p>
        </w:tc>
        <w:tc>
          <w:tcPr>
            <w:tcW w:w="1567" w:type="dxa"/>
            <w:vAlign w:val="center"/>
          </w:tcPr>
          <w:p w14:paraId="5EED7FC4">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33246CC6">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546455F0">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254B6B2D">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76F57631">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680B0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6902E730">
            <w:pPr>
              <w:keepNext w:val="0"/>
              <w:keepLines w:val="0"/>
              <w:pageBreakBefore w:val="0"/>
              <w:widowControl/>
              <w:kinsoku w:val="0"/>
              <w:wordWrap w:val="0"/>
              <w:overflowPunct/>
              <w:topLinePunct w:val="0"/>
              <w:autoSpaceDE w:val="0"/>
              <w:autoSpaceDN w:val="0"/>
              <w:bidi w:val="0"/>
              <w:adjustRightInd w:val="0"/>
              <w:snapToGrid w:val="0"/>
              <w:spacing w:before="192" w:line="192"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w:t>
            </w:r>
          </w:p>
        </w:tc>
        <w:tc>
          <w:tcPr>
            <w:tcW w:w="1939" w:type="dxa"/>
            <w:vAlign w:val="center"/>
          </w:tcPr>
          <w:p w14:paraId="0F420679">
            <w:pPr>
              <w:keepNext w:val="0"/>
              <w:keepLines w:val="0"/>
              <w:pageBreakBefore w:val="0"/>
              <w:widowControl/>
              <w:kinsoku w:val="0"/>
              <w:wordWrap w:val="0"/>
              <w:overflowPunct/>
              <w:topLinePunct w:val="0"/>
              <w:autoSpaceDE w:val="0"/>
              <w:autoSpaceDN w:val="0"/>
              <w:bidi w:val="0"/>
              <w:adjustRightInd w:val="0"/>
              <w:snapToGrid w:val="0"/>
              <w:spacing w:before="154"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资料员</w:t>
            </w:r>
          </w:p>
        </w:tc>
        <w:tc>
          <w:tcPr>
            <w:tcW w:w="1567" w:type="dxa"/>
            <w:vAlign w:val="center"/>
          </w:tcPr>
          <w:p w14:paraId="3622BE2B">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5CE65BB8">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7EDECF24">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2C9FB1A4">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1552BC96">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CEBA9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center"/>
          </w:tcPr>
          <w:p w14:paraId="7C25D031">
            <w:pPr>
              <w:keepNext w:val="0"/>
              <w:keepLines w:val="0"/>
              <w:pageBreakBefore w:val="0"/>
              <w:widowControl/>
              <w:kinsoku w:val="0"/>
              <w:wordWrap w:val="0"/>
              <w:overflowPunct/>
              <w:topLinePunct w:val="0"/>
              <w:autoSpaceDE w:val="0"/>
              <w:autoSpaceDN w:val="0"/>
              <w:bidi w:val="0"/>
              <w:adjustRightInd w:val="0"/>
              <w:snapToGrid w:val="0"/>
              <w:spacing w:before="154" w:line="325" w:lineRule="exact"/>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939" w:type="dxa"/>
            <w:vAlign w:val="center"/>
          </w:tcPr>
          <w:p w14:paraId="644CBD8F">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67" w:type="dxa"/>
            <w:vAlign w:val="center"/>
          </w:tcPr>
          <w:p w14:paraId="41B050F2">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7FE3CAC4">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207D0393">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35ACA057">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5B617A51">
            <w:pPr>
              <w:pStyle w:val="31"/>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bl>
    <w:p w14:paraId="66ACBDC5">
      <w:pPr>
        <w:pStyle w:val="8"/>
        <w:keepNext w:val="0"/>
        <w:keepLines w:val="0"/>
        <w:pageBreakBefore w:val="0"/>
        <w:wordWrap w:val="0"/>
        <w:overflowPunct/>
        <w:topLinePunct w:val="0"/>
        <w:bidi w:val="0"/>
        <w:spacing w:line="395" w:lineRule="auto"/>
        <w:rPr>
          <w:rFonts w:hint="eastAsia" w:ascii="宋体" w:hAnsi="宋体" w:eastAsia="宋体" w:cs="宋体"/>
          <w:color w:val="auto"/>
          <w:spacing w:val="0"/>
          <w:sz w:val="24"/>
          <w:szCs w:val="24"/>
          <w:highlight w:val="none"/>
        </w:rPr>
      </w:pPr>
    </w:p>
    <w:p w14:paraId="0B9B1778">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w:t>
      </w:r>
    </w:p>
    <w:p w14:paraId="5103CD51">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．《项目管理机构组成表》后应附表中拟派人员（项目经理、项目技术负责人除外）以下资料：</w:t>
      </w:r>
    </w:p>
    <w:p w14:paraId="2943384B">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身份证彩色扫描件；</w:t>
      </w:r>
    </w:p>
    <w:p w14:paraId="780E60F3">
      <w:pPr>
        <w:keepNext w:val="0"/>
        <w:keepLines w:val="0"/>
        <w:pageBreakBefore w:val="0"/>
        <w:widowControl/>
        <w:kinsoku w:val="0"/>
        <w:wordWrap w:val="0"/>
        <w:overflowPunct/>
        <w:topLinePunct w:val="0"/>
        <w:autoSpaceDE w:val="0"/>
        <w:autoSpaceDN w:val="0"/>
        <w:bidi w:val="0"/>
        <w:adjustRightInd/>
        <w:snapToGrid/>
        <w:spacing w:line="360" w:lineRule="auto"/>
        <w:ind w:left="0" w:leftChars="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57B11674">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在本单位缴纳社保的证明（</w:t>
      </w:r>
      <w:r>
        <w:rPr>
          <w:rFonts w:hint="eastAsia" w:ascii="宋体" w:hAnsi="宋体" w:eastAsia="宋体" w:cs="宋体"/>
          <w:color w:val="auto"/>
          <w:spacing w:val="0"/>
          <w:sz w:val="24"/>
          <w:szCs w:val="24"/>
          <w:highlight w:val="none"/>
          <w:lang w:eastAsia="zh-CN"/>
        </w:rPr>
        <w:t>至少</w:t>
      </w: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lang w:eastAsia="zh-CN"/>
        </w:rPr>
        <w:t>个月，其中必须有2026 年</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lang w:eastAsia="zh-CN"/>
        </w:rPr>
        <w:t>月</w:t>
      </w:r>
      <w:r>
        <w:rPr>
          <w:rFonts w:hint="eastAsia" w:ascii="宋体" w:hAnsi="宋体" w:eastAsia="宋体" w:cs="宋体"/>
          <w:color w:val="auto"/>
          <w:spacing w:val="0"/>
          <w:sz w:val="24"/>
          <w:szCs w:val="24"/>
          <w:highlight w:val="none"/>
        </w:rPr>
        <w:t>）扫描件</w:t>
      </w:r>
      <w:r>
        <w:rPr>
          <w:rFonts w:hint="eastAsia" w:ascii="宋体" w:hAnsi="宋体" w:eastAsia="宋体" w:cs="宋体"/>
          <w:color w:val="auto"/>
          <w:spacing w:val="0"/>
          <w:sz w:val="24"/>
          <w:szCs w:val="24"/>
          <w:highlight w:val="none"/>
          <w:lang w:val="en-US" w:eastAsia="zh-CN"/>
        </w:rPr>
        <w:t>或打印件</w:t>
      </w:r>
      <w:r>
        <w:rPr>
          <w:rFonts w:hint="eastAsia" w:ascii="宋体" w:hAnsi="宋体" w:eastAsia="宋体" w:cs="宋体"/>
          <w:color w:val="auto"/>
          <w:spacing w:val="0"/>
          <w:sz w:val="24"/>
          <w:szCs w:val="24"/>
          <w:highlight w:val="none"/>
        </w:rPr>
        <w:t>。拟派</w:t>
      </w:r>
      <w:r>
        <w:rPr>
          <w:rFonts w:hint="eastAsia" w:ascii="宋体" w:hAnsi="宋体" w:eastAsia="宋体" w:cs="宋体"/>
          <w:color w:val="auto"/>
          <w:spacing w:val="0"/>
          <w:sz w:val="24"/>
          <w:szCs w:val="24"/>
          <w:highlight w:val="none"/>
          <w:lang w:val="en-US" w:eastAsia="zh-CN"/>
        </w:rPr>
        <w:t>人员</w:t>
      </w:r>
      <w:r>
        <w:rPr>
          <w:rFonts w:hint="eastAsia" w:ascii="宋体" w:hAnsi="宋体" w:eastAsia="宋体" w:cs="宋体"/>
          <w:color w:val="auto"/>
          <w:spacing w:val="0"/>
          <w:sz w:val="24"/>
          <w:szCs w:val="24"/>
          <w:highlight w:val="none"/>
        </w:rPr>
        <w:t>为退休返聘人员无法提供社保证明的，提供退休证和劳动合同彩色扫描件。</w:t>
      </w:r>
    </w:p>
    <w:p w14:paraId="51AFC6E4">
      <w:pPr>
        <w:keepNext w:val="0"/>
        <w:keepLines w:val="0"/>
        <w:pageBreakBefore w:val="0"/>
        <w:widowControl/>
        <w:kinsoku w:val="0"/>
        <w:wordWrap w:val="0"/>
        <w:overflowPunct/>
        <w:topLinePunct w:val="0"/>
        <w:autoSpaceDE w:val="0"/>
        <w:autoSpaceDN w:val="0"/>
        <w:bidi w:val="0"/>
        <w:adjustRightInd/>
        <w:snapToGrid/>
        <w:spacing w:line="360" w:lineRule="auto"/>
        <w:ind w:left="0" w:leftChars="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（4）“进粤企业和人员诚信信息登记平台 ”个人信息情况截图。（适用于省外建筑企业）</w:t>
      </w:r>
    </w:p>
    <w:p w14:paraId="25A18113">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rPr>
        <w:t>联合体投标的，《项目管理机构组成表》应包括联合体成员单位参与项目管理机构的人员，并提供以上所需资料。</w:t>
      </w:r>
    </w:p>
    <w:p w14:paraId="148E55DF">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53" w:name="_Toc18832"/>
      <w:r>
        <w:rPr>
          <w:rFonts w:hint="eastAsia" w:ascii="宋体" w:hAnsi="宋体" w:eastAsia="宋体" w:cs="宋体"/>
          <w:b/>
          <w:bCs/>
          <w:color w:val="auto"/>
          <w:spacing w:val="0"/>
          <w:sz w:val="24"/>
          <w:szCs w:val="24"/>
          <w:highlight w:val="none"/>
        </w:rPr>
        <w:t>格式十二 建造师查询页（有效期+建造师签字）</w:t>
      </w:r>
      <w:bookmarkEnd w:id="253"/>
    </w:p>
    <w:p w14:paraId="3F74BE56">
      <w:pPr>
        <w:keepNext w:val="0"/>
        <w:keepLines w:val="0"/>
        <w:pageBreakBefore w:val="0"/>
        <w:wordWrap w:val="0"/>
        <w:overflowPunct/>
        <w:topLinePunct w:val="0"/>
        <w:bidi w:val="0"/>
        <w:outlineLvl w:val="9"/>
        <w:rPr>
          <w:rFonts w:hint="eastAsia" w:ascii="宋体" w:hAnsi="宋体" w:eastAsia="宋体" w:cs="宋体"/>
          <w:color w:val="auto"/>
          <w:spacing w:val="0"/>
          <w:highlight w:val="none"/>
        </w:rPr>
      </w:pPr>
      <w:r>
        <w:rPr>
          <w:rFonts w:hint="eastAsia" w:ascii="宋体" w:hAnsi="宋体" w:eastAsia="宋体" w:cs="宋体"/>
          <w:color w:val="auto"/>
          <w:spacing w:val="0"/>
          <w:position w:val="-235"/>
          <w:highlight w:val="none"/>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5"/>
                    <a:stretch>
                      <a:fillRect/>
                    </a:stretch>
                  </pic:blipFill>
                  <pic:spPr>
                    <a:xfrm>
                      <a:off x="0" y="0"/>
                      <a:ext cx="6239510" cy="8013700"/>
                    </a:xfrm>
                    <a:prstGeom prst="rect">
                      <a:avLst/>
                    </a:prstGeom>
                    <a:noFill/>
                    <a:ln>
                      <a:noFill/>
                    </a:ln>
                  </pic:spPr>
                </pic:pic>
              </a:graphicData>
            </a:graphic>
          </wp:inline>
        </w:drawing>
      </w:r>
    </w:p>
    <w:p w14:paraId="0911E9E5">
      <w:pPr>
        <w:keepNext w:val="0"/>
        <w:keepLines w:val="0"/>
        <w:pageBreakBefore w:val="0"/>
        <w:wordWrap w:val="0"/>
        <w:overflowPunct/>
        <w:topLinePunct w:val="0"/>
        <w:bidi w:val="0"/>
        <w:spacing w:line="220" w:lineRule="auto"/>
        <w:rPr>
          <w:rFonts w:hint="eastAsia" w:ascii="宋体" w:hAnsi="宋体" w:eastAsia="宋体" w:cs="宋体"/>
          <w:color w:val="auto"/>
          <w:spacing w:val="0"/>
          <w:sz w:val="24"/>
          <w:szCs w:val="24"/>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DC03463">
      <w:pPr>
        <w:keepNext w:val="0"/>
        <w:keepLines w:val="0"/>
        <w:pageBreakBefore w:val="0"/>
        <w:wordWrap w:val="0"/>
        <w:overflowPunct/>
        <w:topLinePunct w:val="0"/>
        <w:bidi w:val="0"/>
        <w:spacing w:line="10744" w:lineRule="exact"/>
        <w:rPr>
          <w:rFonts w:hint="eastAsia" w:ascii="宋体" w:hAnsi="宋体" w:eastAsia="宋体" w:cs="宋体"/>
          <w:color w:val="auto"/>
          <w:spacing w:val="0"/>
          <w:highlight w:val="none"/>
        </w:rPr>
      </w:pPr>
      <w:r>
        <w:rPr>
          <w:rFonts w:hint="eastAsia" w:ascii="宋体" w:hAnsi="宋体" w:eastAsia="宋体" w:cs="宋体"/>
          <w:color w:val="auto"/>
          <w:spacing w:val="0"/>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6"/>
                    <a:stretch>
                      <a:fillRect/>
                    </a:stretch>
                  </pic:blipFill>
                  <pic:spPr>
                    <a:xfrm>
                      <a:off x="0" y="0"/>
                      <a:ext cx="6285865" cy="6925310"/>
                    </a:xfrm>
                    <a:prstGeom prst="rect">
                      <a:avLst/>
                    </a:prstGeom>
                    <a:noFill/>
                    <a:ln>
                      <a:noFill/>
                    </a:ln>
                  </pic:spPr>
                </pic:pic>
              </a:graphicData>
            </a:graphic>
          </wp:inline>
        </w:drawing>
      </w:r>
    </w:p>
    <w:p w14:paraId="75F69AC8">
      <w:pPr>
        <w:keepNext w:val="0"/>
        <w:keepLines w:val="0"/>
        <w:pageBreakBefore w:val="0"/>
        <w:wordWrap w:val="0"/>
        <w:overflowPunct/>
        <w:topLinePunct w:val="0"/>
        <w:bidi w:val="0"/>
        <w:spacing w:line="10744" w:lineRule="exact"/>
        <w:rPr>
          <w:rFonts w:hint="eastAsia" w:ascii="宋体" w:hAnsi="宋体" w:eastAsia="宋体" w:cs="宋体"/>
          <w:color w:val="auto"/>
          <w:spacing w:val="0"/>
          <w:highlight w:val="none"/>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69562F6F">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54" w:name="_Toc26899"/>
      <w:r>
        <w:rPr>
          <w:rFonts w:hint="eastAsia" w:ascii="宋体" w:hAnsi="宋体" w:eastAsia="宋体" w:cs="宋体"/>
          <w:b/>
          <w:bCs/>
          <w:color w:val="auto"/>
          <w:spacing w:val="0"/>
          <w:sz w:val="24"/>
          <w:szCs w:val="24"/>
          <w:highlight w:val="none"/>
        </w:rPr>
        <w:t>格式十三</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2"/>
          <w:szCs w:val="22"/>
          <w:highlight w:val="none"/>
        </w:rPr>
        <w:t>危险性较大的分部分项工程清单及超过一定规模的危险性较大的分部分项工程清单</w:t>
      </w:r>
      <w:bookmarkEnd w:id="254"/>
    </w:p>
    <w:p w14:paraId="50907F9F">
      <w:pPr>
        <w:pStyle w:val="8"/>
        <w:keepNext w:val="0"/>
        <w:keepLines w:val="0"/>
        <w:pageBreakBefore w:val="0"/>
        <w:wordWrap w:val="0"/>
        <w:overflowPunct/>
        <w:topLinePunct w:val="0"/>
        <w:bidi w:val="0"/>
        <w:spacing w:line="269" w:lineRule="auto"/>
        <w:rPr>
          <w:rFonts w:hint="eastAsia" w:ascii="宋体" w:hAnsi="宋体" w:eastAsia="宋体" w:cs="宋体"/>
          <w:color w:val="auto"/>
          <w:spacing w:val="0"/>
          <w:highlight w:val="none"/>
        </w:rPr>
      </w:pPr>
    </w:p>
    <w:p w14:paraId="7607D11B">
      <w:pPr>
        <w:keepNext w:val="0"/>
        <w:keepLines w:val="0"/>
        <w:pageBreakBefore w:val="0"/>
        <w:tabs>
          <w:tab w:val="left" w:pos="2940"/>
        </w:tabs>
        <w:wordWrap w:val="0"/>
        <w:overflowPunct/>
        <w:topLinePunct w:val="0"/>
        <w:bidi w:val="0"/>
        <w:spacing w:before="101" w:line="377" w:lineRule="auto"/>
        <w:ind w:left="3179" w:leftChars="0" w:right="41" w:hanging="3133" w:firstLineChars="0"/>
        <w:rPr>
          <w:rFonts w:hint="eastAsia" w:ascii="宋体" w:hAnsi="宋体" w:eastAsia="宋体" w:cs="宋体"/>
          <w:color w:val="auto"/>
          <w:spacing w:val="0"/>
          <w:sz w:val="31"/>
          <w:szCs w:val="31"/>
          <w:highlight w:val="none"/>
        </w:rPr>
      </w:pPr>
      <w:bookmarkStart w:id="255" w:name="bookmark160"/>
      <w:bookmarkEnd w:id="255"/>
      <w:bookmarkStart w:id="256" w:name="OLE_LINK41"/>
      <w:r>
        <w:rPr>
          <w:rFonts w:hint="eastAsia" w:ascii="宋体" w:hAnsi="宋体" w:eastAsia="宋体" w:cs="宋体"/>
          <w:b/>
          <w:bCs/>
          <w:color w:val="auto"/>
          <w:spacing w:val="0"/>
          <w:sz w:val="31"/>
          <w:szCs w:val="31"/>
          <w:highlight w:val="none"/>
        </w:rPr>
        <w:t>危险性较大的分部分项工程清单及超过一定规模的危险性较大的分部分项工程清单</w:t>
      </w:r>
    </w:p>
    <w:bookmarkEnd w:id="256"/>
    <w:p w14:paraId="662AF9AF">
      <w:pPr>
        <w:keepNext w:val="0"/>
        <w:keepLines w:val="0"/>
        <w:pageBreakBefore w:val="0"/>
        <w:wordWrap w:val="0"/>
        <w:overflowPunct/>
        <w:topLinePunct w:val="0"/>
        <w:bidi w:val="0"/>
        <w:spacing w:before="6" w:line="326" w:lineRule="auto"/>
        <w:ind w:left="5"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1、根据中华人民共和国住房和城乡建设部令第37号《危险性较大的分部分项工程安全管理规定》（以下简称“37号文 ”），投标人在投标时须补充完善危大工程清单并明确相应的安全管理措施。</w:t>
      </w:r>
    </w:p>
    <w:p w14:paraId="67ED7BDA">
      <w:pPr>
        <w:keepNext w:val="0"/>
        <w:keepLines w:val="0"/>
        <w:pageBreakBefore w:val="0"/>
        <w:wordWrap w:val="0"/>
        <w:overflowPunct/>
        <w:topLinePunct w:val="0"/>
        <w:bidi w:val="0"/>
        <w:spacing w:before="208" w:line="326" w:lineRule="auto"/>
        <w:ind w:left="1"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2、招标人根据设计文件的要求及37号文、粤建规范〔2019〕2号文的规定列出“危险性较大的分部分项工程清单及超过一定规模的危险性较大的分部分项工程清单 ”中与 本招标项目相关的清单项，具体详见第5点“打 √ ”标识。</w:t>
      </w:r>
    </w:p>
    <w:p w14:paraId="1009AAD2">
      <w:pPr>
        <w:keepNext w:val="0"/>
        <w:keepLines w:val="0"/>
        <w:pageBreakBefore w:val="0"/>
        <w:wordWrap w:val="0"/>
        <w:overflowPunct/>
        <w:topLinePunct w:val="0"/>
        <w:bidi w:val="0"/>
        <w:spacing w:before="209" w:line="299" w:lineRule="auto"/>
        <w:ind w:left="3" w:right="72"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（1）投标单位同意建设单位在清单中标识的该项请在对应项打“ √ ”标识，并与投标文件中提供相应的安全管理措施。</w:t>
      </w:r>
    </w:p>
    <w:p w14:paraId="4E637A4E">
      <w:pPr>
        <w:keepNext w:val="0"/>
        <w:keepLines w:val="0"/>
        <w:pageBreakBefore w:val="0"/>
        <w:wordWrap w:val="0"/>
        <w:overflowPunct/>
        <w:topLinePunct w:val="0"/>
        <w:bidi w:val="0"/>
        <w:spacing w:before="208" w:line="299" w:lineRule="auto"/>
        <w:ind w:left="2" w:right="72"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（2）投标单位对清单中认为需要补充的该项请在对应项打“ √ ”标识，并与投标文件中提供相应的安全管理措施。</w:t>
      </w:r>
    </w:p>
    <w:p w14:paraId="33208B45">
      <w:pPr>
        <w:keepNext w:val="0"/>
        <w:keepLines w:val="0"/>
        <w:pageBreakBefore w:val="0"/>
        <w:wordWrap w:val="0"/>
        <w:overflowPunct/>
        <w:topLinePunct w:val="0"/>
        <w:bidi w:val="0"/>
        <w:spacing w:before="210" w:line="300" w:lineRule="auto"/>
        <w:ind w:right="72"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（3）投标单位不同意建设单位在清单中标识的该项请在对应项打“ × ”标识，并在备注栏填上相关说明。</w:t>
      </w:r>
    </w:p>
    <w:p w14:paraId="7EE27B78">
      <w:pPr>
        <w:keepNext w:val="0"/>
        <w:keepLines w:val="0"/>
        <w:pageBreakBefore w:val="0"/>
        <w:wordWrap w:val="0"/>
        <w:overflowPunct/>
        <w:topLinePunct w:val="0"/>
        <w:bidi w:val="0"/>
        <w:spacing w:before="207" w:line="371" w:lineRule="auto"/>
        <w:ind w:firstLine="484"/>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u w:val="single"/>
        </w:rPr>
        <w:t>3、投标单位应当在投标时根据招标人提供的下述第5点清单，在投标施工组织中回应建设单位提供的危大工程清单，补充相应的安全管理措施。（为减轻标书编制的工作量，投标单位回应的危大工程清单该部分的页数应控制在3页内）</w:t>
      </w:r>
    </w:p>
    <w:p w14:paraId="74717CD9">
      <w:pPr>
        <w:keepNext w:val="0"/>
        <w:keepLines w:val="0"/>
        <w:pageBreakBefore w:val="0"/>
        <w:wordWrap w:val="0"/>
        <w:overflowPunct/>
        <w:topLinePunct w:val="0"/>
        <w:bidi w:val="0"/>
        <w:spacing w:before="33" w:line="326" w:lineRule="auto"/>
        <w:ind w:left="1" w:firstLine="47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对于超过一定规模的危大工程，中标单位应当组织召开专家论证会对专项施工方案进行论证。实行施工总承包的，由施工总承包单位组织召开专家论证会。专家论证前专项施工方案应当通过施工总承包单位审核和总监理工程师审查。</w:t>
      </w:r>
    </w:p>
    <w:p w14:paraId="7CC55829">
      <w:pPr>
        <w:keepNext w:val="0"/>
        <w:keepLines w:val="0"/>
        <w:pageBreakBefore w:val="0"/>
        <w:wordWrap w:val="0"/>
        <w:overflowPunct/>
        <w:topLinePunct w:val="0"/>
        <w:bidi w:val="0"/>
        <w:spacing w:before="208" w:line="301" w:lineRule="auto"/>
        <w:ind w:firstLine="484"/>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5、危险性较大的分部分项工程清单及超过一定规模的危险性较大的分部分项工程清单</w:t>
      </w:r>
    </w:p>
    <w:p w14:paraId="09191A05">
      <w:pPr>
        <w:keepNext w:val="0"/>
        <w:keepLines w:val="0"/>
        <w:pageBreakBefore w:val="0"/>
        <w:wordWrap w:val="0"/>
        <w:overflowPunct/>
        <w:topLinePunct w:val="0"/>
        <w:bidi w:val="0"/>
        <w:spacing w:before="40"/>
        <w:rPr>
          <w:rFonts w:hint="eastAsia" w:ascii="宋体" w:hAnsi="宋体" w:eastAsia="宋体" w:cs="宋体"/>
          <w:color w:val="auto"/>
          <w:spacing w:val="0"/>
          <w:highlight w:val="none"/>
        </w:rPr>
      </w:pPr>
    </w:p>
    <w:tbl>
      <w:tblPr>
        <w:tblStyle w:val="17"/>
        <w:tblW w:w="9947" w:type="dxa"/>
        <w:tblInd w:w="-6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
        <w:gridCol w:w="2"/>
        <w:gridCol w:w="4862"/>
        <w:gridCol w:w="1294"/>
        <w:gridCol w:w="1294"/>
        <w:gridCol w:w="2428"/>
      </w:tblGrid>
      <w:tr w14:paraId="0EB2F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wBefore w:w="69" w:type="dxa"/>
          <w:trHeight w:val="0" w:hRule="atLeast"/>
        </w:trPr>
        <w:tc>
          <w:tcPr>
            <w:tcW w:w="4862" w:type="dxa"/>
            <w:vAlign w:val="top"/>
          </w:tcPr>
          <w:p w14:paraId="5C37D55F">
            <w:pPr>
              <w:keepNext w:val="0"/>
              <w:keepLines w:val="0"/>
              <w:pageBreakBefore w:val="0"/>
              <w:wordWrap w:val="0"/>
              <w:overflowPunct/>
              <w:topLinePunct w:val="0"/>
              <w:bidi w:val="0"/>
              <w:spacing w:before="133" w:line="220" w:lineRule="auto"/>
              <w:ind w:firstLine="241" w:firstLineChars="1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一、危险性较大的分部分项工程清单</w:t>
            </w:r>
          </w:p>
        </w:tc>
        <w:tc>
          <w:tcPr>
            <w:tcW w:w="1294" w:type="dxa"/>
            <w:vAlign w:val="top"/>
          </w:tcPr>
          <w:p w14:paraId="67D9179E">
            <w:pPr>
              <w:keepNext w:val="0"/>
              <w:keepLines w:val="0"/>
              <w:pageBreakBefore w:val="0"/>
              <w:wordWrap w:val="0"/>
              <w:overflowPunct/>
              <w:topLinePunct w:val="0"/>
              <w:bidi w:val="0"/>
              <w:spacing w:before="133" w:line="221" w:lineRule="auto"/>
              <w:ind w:left="206"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sz w:val="24"/>
                <w:szCs w:val="24"/>
                <w:highlight w:val="none"/>
              </w:rPr>
              <w:t>建设单位</w:t>
            </w:r>
          </w:p>
        </w:tc>
        <w:tc>
          <w:tcPr>
            <w:tcW w:w="1294" w:type="dxa"/>
            <w:vAlign w:val="top"/>
          </w:tcPr>
          <w:p w14:paraId="03288055">
            <w:pPr>
              <w:keepNext w:val="0"/>
              <w:keepLines w:val="0"/>
              <w:pageBreakBefore w:val="0"/>
              <w:wordWrap w:val="0"/>
              <w:overflowPunct/>
              <w:topLinePunct w:val="0"/>
              <w:bidi w:val="0"/>
              <w:spacing w:before="133" w:line="221" w:lineRule="auto"/>
              <w:ind w:left="205" w:leftChars="0"/>
              <w:rPr>
                <w:rFonts w:hint="eastAsia" w:ascii="宋体" w:hAnsi="宋体" w:eastAsia="宋体" w:cs="宋体"/>
                <w:color w:val="auto"/>
                <w:spacing w:val="0"/>
                <w:w w:val="94"/>
                <w:sz w:val="24"/>
                <w:szCs w:val="24"/>
                <w:highlight w:val="none"/>
              </w:rPr>
            </w:pPr>
            <w:r>
              <w:rPr>
                <w:rFonts w:hint="eastAsia" w:ascii="宋体" w:hAnsi="宋体" w:eastAsia="宋体" w:cs="宋体"/>
                <w:b/>
                <w:bCs/>
                <w:color w:val="auto"/>
                <w:spacing w:val="0"/>
                <w:sz w:val="24"/>
                <w:szCs w:val="24"/>
                <w:highlight w:val="none"/>
              </w:rPr>
              <w:t>投标单位</w:t>
            </w:r>
          </w:p>
        </w:tc>
        <w:tc>
          <w:tcPr>
            <w:tcW w:w="2428" w:type="dxa"/>
            <w:vAlign w:val="top"/>
          </w:tcPr>
          <w:p w14:paraId="0F75FE62">
            <w:pPr>
              <w:keepNext w:val="0"/>
              <w:keepLines w:val="0"/>
              <w:pageBreakBefore w:val="0"/>
              <w:wordWrap w:val="0"/>
              <w:overflowPunct/>
              <w:topLinePunct w:val="0"/>
              <w:bidi w:val="0"/>
              <w:spacing w:before="133" w:line="222" w:lineRule="auto"/>
              <w:ind w:left="360" w:leftChars="0"/>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备注</w:t>
            </w:r>
          </w:p>
        </w:tc>
      </w:tr>
      <w:tr w14:paraId="09153F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wBefore w:w="69" w:type="dxa"/>
          <w:trHeight w:val="0" w:hRule="atLeast"/>
        </w:trPr>
        <w:tc>
          <w:tcPr>
            <w:tcW w:w="4862" w:type="dxa"/>
            <w:vAlign w:val="top"/>
          </w:tcPr>
          <w:p w14:paraId="6EA5278F">
            <w:pPr>
              <w:keepNext w:val="0"/>
              <w:keepLines w:val="0"/>
              <w:pageBreakBefore w:val="0"/>
              <w:wordWrap w:val="0"/>
              <w:overflowPunct/>
              <w:topLinePunct w:val="0"/>
              <w:bidi w:val="0"/>
              <w:spacing w:before="128" w:line="221" w:lineRule="auto"/>
              <w:ind w:left="120" w:leftChars="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一、基坑支护</w:t>
            </w:r>
          </w:p>
        </w:tc>
        <w:tc>
          <w:tcPr>
            <w:tcW w:w="1294" w:type="dxa"/>
            <w:vAlign w:val="top"/>
          </w:tcPr>
          <w:p w14:paraId="015BF65A">
            <w:pPr>
              <w:keepNext w:val="0"/>
              <w:keepLines w:val="0"/>
              <w:pageBreakBefore w:val="0"/>
              <w:wordWrap w:val="0"/>
              <w:overflowPunct/>
              <w:topLinePunct w:val="0"/>
              <w:bidi w:val="0"/>
              <w:spacing w:before="128" w:line="223" w:lineRule="auto"/>
              <w:jc w:val="center"/>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bookmarkStart w:id="257" w:name="OLE_LINK39"/>
            <w:r>
              <w:rPr>
                <w:rFonts w:hint="eastAsia" w:ascii="宋体" w:hAnsi="宋体" w:eastAsia="宋体" w:cs="宋体"/>
                <w:color w:val="auto"/>
                <w:spacing w:val="0"/>
                <w:sz w:val="24"/>
                <w:szCs w:val="24"/>
                <w:highlight w:val="none"/>
              </w:rPr>
              <w:t xml:space="preserve">  </w:t>
            </w:r>
            <w:bookmarkEnd w:id="257"/>
            <w:r>
              <w:rPr>
                <w:rFonts w:hint="eastAsia" w:ascii="宋体" w:hAnsi="宋体" w:eastAsia="宋体" w:cs="宋体"/>
                <w:color w:val="auto"/>
                <w:spacing w:val="0"/>
                <w:w w:val="94"/>
                <w:sz w:val="24"/>
                <w:szCs w:val="24"/>
                <w:highlight w:val="none"/>
              </w:rPr>
              <w:t>)</w:t>
            </w:r>
          </w:p>
        </w:tc>
        <w:tc>
          <w:tcPr>
            <w:tcW w:w="1294" w:type="dxa"/>
            <w:vAlign w:val="top"/>
          </w:tcPr>
          <w:p w14:paraId="08C13183">
            <w:pPr>
              <w:keepNext w:val="0"/>
              <w:keepLines w:val="0"/>
              <w:pageBreakBefore w:val="0"/>
              <w:wordWrap w:val="0"/>
              <w:overflowPunct/>
              <w:topLinePunct w:val="0"/>
              <w:bidi w:val="0"/>
              <w:spacing w:before="128" w:line="223" w:lineRule="auto"/>
              <w:ind w:left="367"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F78762E">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F3954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wBefore w:w="69" w:type="dxa"/>
          <w:trHeight w:val="0" w:hRule="atLeast"/>
        </w:trPr>
        <w:tc>
          <w:tcPr>
            <w:tcW w:w="4862" w:type="dxa"/>
            <w:vAlign w:val="top"/>
          </w:tcPr>
          <w:p w14:paraId="19713150">
            <w:pPr>
              <w:keepNext w:val="0"/>
              <w:keepLines w:val="0"/>
              <w:pageBreakBefore w:val="0"/>
              <w:wordWrap w:val="0"/>
              <w:overflowPunct/>
              <w:topLinePunct w:val="0"/>
              <w:bidi w:val="0"/>
              <w:spacing w:before="129" w:line="328" w:lineRule="auto"/>
              <w:ind w:left="135" w:leftChars="0" w:right="68" w:rightChars="0" w:hanging="8" w:firstLineChars="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（一）开挖深度超过 3m（含 3m）的基坑（槽） 的土方开挖、支护、降水工程。</w:t>
            </w:r>
          </w:p>
        </w:tc>
        <w:tc>
          <w:tcPr>
            <w:tcW w:w="1294" w:type="dxa"/>
            <w:vAlign w:val="top"/>
          </w:tcPr>
          <w:p w14:paraId="64D282F4">
            <w:pPr>
              <w:pStyle w:val="31"/>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610C20D5">
            <w:pPr>
              <w:keepNext w:val="0"/>
              <w:keepLines w:val="0"/>
              <w:pageBreakBefore w:val="0"/>
              <w:wordWrap w:val="0"/>
              <w:overflowPunct/>
              <w:topLinePunct w:val="0"/>
              <w:bidi w:val="0"/>
              <w:spacing w:before="78" w:line="223" w:lineRule="auto"/>
              <w:ind w:left="396"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A791DBC">
            <w:pPr>
              <w:pStyle w:val="31"/>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2DB9AA82">
            <w:pPr>
              <w:keepNext w:val="0"/>
              <w:keepLines w:val="0"/>
              <w:pageBreakBefore w:val="0"/>
              <w:wordWrap w:val="0"/>
              <w:overflowPunct/>
              <w:topLinePunct w:val="0"/>
              <w:bidi w:val="0"/>
              <w:spacing w:before="78" w:line="223" w:lineRule="auto"/>
              <w:ind w:left="367"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4610296">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82157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wBefore w:w="69" w:type="dxa"/>
          <w:trHeight w:val="0" w:hRule="atLeast"/>
        </w:trPr>
        <w:tc>
          <w:tcPr>
            <w:tcW w:w="4862" w:type="dxa"/>
            <w:vAlign w:val="top"/>
          </w:tcPr>
          <w:p w14:paraId="2C3A254E">
            <w:pPr>
              <w:keepNext w:val="0"/>
              <w:keepLines w:val="0"/>
              <w:pageBreakBefore w:val="0"/>
              <w:wordWrap w:val="0"/>
              <w:overflowPunct/>
              <w:topLinePunct w:val="0"/>
              <w:bidi w:val="0"/>
              <w:spacing w:before="132" w:line="354" w:lineRule="auto"/>
              <w:ind w:left="116" w:right="108" w:firstLine="11"/>
              <w:jc w:val="both"/>
              <w:rPr>
                <w:rFonts w:hint="eastAsia" w:ascii="宋体" w:hAnsi="宋体" w:eastAsia="宋体" w:cs="宋体"/>
                <w:color w:val="auto"/>
                <w:spacing w:val="0"/>
                <w:sz w:val="24"/>
                <w:szCs w:val="24"/>
                <w:highlight w:val="none"/>
              </w:rPr>
            </w:pPr>
            <w:bookmarkStart w:id="258" w:name="bookmark161"/>
            <w:bookmarkEnd w:id="258"/>
            <w:r>
              <w:rPr>
                <w:rFonts w:hint="eastAsia" w:ascii="宋体" w:hAnsi="宋体" w:eastAsia="宋体" w:cs="宋体"/>
                <w:color w:val="auto"/>
                <w:spacing w:val="0"/>
                <w:sz w:val="24"/>
                <w:szCs w:val="24"/>
                <w:highlight w:val="none"/>
              </w:rPr>
              <w:t>（二）开挖深度虽未超过 3m，但地质条件、周 围环境和地下管线复杂，或影响毗邻建、构筑 物安全的基坑（槽）的土方开挖、支护、降水 工程。</w:t>
            </w:r>
          </w:p>
        </w:tc>
        <w:tc>
          <w:tcPr>
            <w:tcW w:w="1294" w:type="dxa"/>
            <w:vAlign w:val="top"/>
          </w:tcPr>
          <w:p w14:paraId="3B931B4C">
            <w:pPr>
              <w:pStyle w:val="31"/>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77BD6AFD">
            <w:pPr>
              <w:pStyle w:val="31"/>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1A3552EE">
            <w:pPr>
              <w:pStyle w:val="31"/>
              <w:keepNext w:val="0"/>
              <w:keepLines w:val="0"/>
              <w:pageBreakBefore w:val="0"/>
              <w:wordWrap w:val="0"/>
              <w:overflowPunct/>
              <w:topLinePunct w:val="0"/>
              <w:bidi w:val="0"/>
              <w:spacing w:line="264" w:lineRule="auto"/>
              <w:rPr>
                <w:rFonts w:hint="eastAsia" w:ascii="宋体" w:hAnsi="宋体" w:eastAsia="宋体" w:cs="宋体"/>
                <w:color w:val="auto"/>
                <w:spacing w:val="0"/>
                <w:highlight w:val="none"/>
              </w:rPr>
            </w:pPr>
          </w:p>
          <w:p w14:paraId="4582B414">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bookmarkStart w:id="259" w:name="OLE_LINK40"/>
            <w:r>
              <w:rPr>
                <w:rFonts w:hint="eastAsia" w:ascii="宋体" w:hAnsi="宋体" w:eastAsia="宋体" w:cs="宋体"/>
                <w:color w:val="auto"/>
                <w:spacing w:val="0"/>
                <w:sz w:val="24"/>
                <w:szCs w:val="24"/>
                <w:highlight w:val="none"/>
              </w:rPr>
              <w:t xml:space="preserve">     </w:t>
            </w:r>
            <w:bookmarkEnd w:id="259"/>
            <w:r>
              <w:rPr>
                <w:rFonts w:hint="eastAsia" w:ascii="宋体" w:hAnsi="宋体" w:eastAsia="宋体" w:cs="宋体"/>
                <w:color w:val="auto"/>
                <w:spacing w:val="0"/>
                <w:w w:val="94"/>
                <w:sz w:val="24"/>
                <w:szCs w:val="24"/>
                <w:highlight w:val="none"/>
              </w:rPr>
              <w:t>)</w:t>
            </w:r>
          </w:p>
        </w:tc>
        <w:tc>
          <w:tcPr>
            <w:tcW w:w="1294" w:type="dxa"/>
            <w:vAlign w:val="top"/>
          </w:tcPr>
          <w:p w14:paraId="09D26D7C">
            <w:pPr>
              <w:pStyle w:val="31"/>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6AB11391">
            <w:pPr>
              <w:pStyle w:val="31"/>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780BA676">
            <w:pPr>
              <w:pStyle w:val="31"/>
              <w:keepNext w:val="0"/>
              <w:keepLines w:val="0"/>
              <w:pageBreakBefore w:val="0"/>
              <w:wordWrap w:val="0"/>
              <w:overflowPunct/>
              <w:topLinePunct w:val="0"/>
              <w:bidi w:val="0"/>
              <w:spacing w:line="264" w:lineRule="auto"/>
              <w:rPr>
                <w:rFonts w:hint="eastAsia" w:ascii="宋体" w:hAnsi="宋体" w:eastAsia="宋体" w:cs="宋体"/>
                <w:color w:val="auto"/>
                <w:spacing w:val="0"/>
                <w:highlight w:val="none"/>
              </w:rPr>
            </w:pPr>
          </w:p>
          <w:p w14:paraId="3F7FFB39">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3782891">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DEE94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wBefore w:w="69" w:type="dxa"/>
          <w:trHeight w:val="0" w:hRule="atLeast"/>
        </w:trPr>
        <w:tc>
          <w:tcPr>
            <w:tcW w:w="4862" w:type="dxa"/>
            <w:vAlign w:val="top"/>
          </w:tcPr>
          <w:p w14:paraId="284D345A">
            <w:pPr>
              <w:keepNext w:val="0"/>
              <w:keepLines w:val="0"/>
              <w:pageBreakBefore w:val="0"/>
              <w:wordWrap w:val="0"/>
              <w:overflowPunct/>
              <w:topLinePunct w:val="0"/>
              <w:bidi w:val="0"/>
              <w:spacing w:before="128" w:line="219"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二、模板工程及支撑体系</w:t>
            </w:r>
          </w:p>
        </w:tc>
        <w:tc>
          <w:tcPr>
            <w:tcW w:w="1294" w:type="dxa"/>
            <w:vAlign w:val="top"/>
          </w:tcPr>
          <w:p w14:paraId="5DBDF86D">
            <w:pPr>
              <w:keepNext w:val="0"/>
              <w:keepLines w:val="0"/>
              <w:pageBreakBefore w:val="0"/>
              <w:wordWrap w:val="0"/>
              <w:overflowPunct/>
              <w:topLinePunct w:val="0"/>
              <w:bidi w:val="0"/>
              <w:spacing w:before="12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F8DCF3A">
            <w:pPr>
              <w:keepNext w:val="0"/>
              <w:keepLines w:val="0"/>
              <w:pageBreakBefore w:val="0"/>
              <w:wordWrap w:val="0"/>
              <w:overflowPunct/>
              <w:topLinePunct w:val="0"/>
              <w:bidi w:val="0"/>
              <w:spacing w:before="12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8428A05">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6278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wBefore w:w="69" w:type="dxa"/>
          <w:trHeight w:val="0" w:hRule="atLeast"/>
        </w:trPr>
        <w:tc>
          <w:tcPr>
            <w:tcW w:w="4862" w:type="dxa"/>
            <w:vAlign w:val="top"/>
          </w:tcPr>
          <w:p w14:paraId="4CD23F35">
            <w:pPr>
              <w:keepNext w:val="0"/>
              <w:keepLines w:val="0"/>
              <w:pageBreakBefore w:val="0"/>
              <w:wordWrap w:val="0"/>
              <w:overflowPunct/>
              <w:topLinePunct w:val="0"/>
              <w:bidi w:val="0"/>
              <w:spacing w:before="128" w:line="328" w:lineRule="auto"/>
              <w:ind w:left="123" w:right="25" w:firstLine="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（一）各类工具式模板工程：包括滑模、爬模、 飞模、隧道模等工程。</w:t>
            </w:r>
          </w:p>
        </w:tc>
        <w:tc>
          <w:tcPr>
            <w:tcW w:w="1294" w:type="dxa"/>
            <w:vAlign w:val="top"/>
          </w:tcPr>
          <w:p w14:paraId="3D6715B2">
            <w:pPr>
              <w:pStyle w:val="31"/>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52FE7F47">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6412FE3">
            <w:pPr>
              <w:pStyle w:val="31"/>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0BD9AD49">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54CB921">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CF46E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13367A19">
            <w:pPr>
              <w:keepNext w:val="0"/>
              <w:keepLines w:val="0"/>
              <w:pageBreakBefore w:val="0"/>
              <w:wordWrap w:val="0"/>
              <w:overflowPunct/>
              <w:topLinePunct w:val="0"/>
              <w:bidi w:val="0"/>
              <w:spacing w:before="131" w:line="362" w:lineRule="auto"/>
              <w:ind w:left="115" w:right="105"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（二）混凝土模板支撑工程：搭设高度 5m 及以 上，或搭设跨度 10m 及以上，或施工总荷载（荷 载效应基本组合的设计值，以下简称设计值） 10kN/m2 及以上，或集中线荷载（设计值）15kN/m 及以上，或高度大于支撑水平投影宽度且相对 独立无联系构件的混凝土模板支撑工程。</w:t>
            </w:r>
          </w:p>
        </w:tc>
        <w:tc>
          <w:tcPr>
            <w:tcW w:w="1294" w:type="dxa"/>
            <w:vAlign w:val="top"/>
          </w:tcPr>
          <w:p w14:paraId="547CE5CE">
            <w:pPr>
              <w:pStyle w:val="31"/>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5F0097AB">
            <w:pPr>
              <w:pStyle w:val="31"/>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798FBC23">
            <w:pPr>
              <w:pStyle w:val="31"/>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1A433A05">
            <w:pPr>
              <w:pStyle w:val="31"/>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78EF4DB6">
            <w:pPr>
              <w:pStyle w:val="31"/>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3C19CBC0">
            <w:pPr>
              <w:keepNext w:val="0"/>
              <w:keepLines w:val="0"/>
              <w:pageBreakBefore w:val="0"/>
              <w:wordWrap w:val="0"/>
              <w:overflowPunct/>
              <w:topLinePunct w:val="0"/>
              <w:bidi w:val="0"/>
              <w:spacing w:before="78" w:line="223"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w w:val="94"/>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7C92272">
            <w:pPr>
              <w:pStyle w:val="31"/>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4BAAA3C9">
            <w:pPr>
              <w:pStyle w:val="31"/>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67D01ED8">
            <w:pPr>
              <w:pStyle w:val="31"/>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2E2A66D4">
            <w:pPr>
              <w:pStyle w:val="31"/>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15185264">
            <w:pPr>
              <w:pStyle w:val="31"/>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3F95B5DB">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1EA97B8">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1026F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742B2F67">
            <w:pPr>
              <w:keepNext w:val="0"/>
              <w:keepLines w:val="0"/>
              <w:pageBreakBefore w:val="0"/>
              <w:wordWrap w:val="0"/>
              <w:overflowPunct/>
              <w:topLinePunct w:val="0"/>
              <w:bidi w:val="0"/>
              <w:spacing w:before="130" w:line="327"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（三）承重支撑体系：用于钢结构安装等满堂 支撑体系。</w:t>
            </w:r>
          </w:p>
        </w:tc>
        <w:tc>
          <w:tcPr>
            <w:tcW w:w="1294" w:type="dxa"/>
            <w:vAlign w:val="top"/>
          </w:tcPr>
          <w:p w14:paraId="081A79A4">
            <w:pPr>
              <w:pStyle w:val="31"/>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31DBB299">
            <w:pPr>
              <w:keepNext w:val="0"/>
              <w:keepLines w:val="0"/>
              <w:pageBreakBefore w:val="0"/>
              <w:wordWrap w:val="0"/>
              <w:overflowPunct/>
              <w:topLinePunct w:val="0"/>
              <w:bidi w:val="0"/>
              <w:spacing w:before="78"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F1112BB">
            <w:pPr>
              <w:pStyle w:val="31"/>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2FA3B2E5">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BCC8089">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C170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2CD34E96">
            <w:pPr>
              <w:keepNext w:val="0"/>
              <w:keepLines w:val="0"/>
              <w:pageBreakBefore w:val="0"/>
              <w:wordWrap w:val="0"/>
              <w:overflowPunct/>
              <w:topLinePunct w:val="0"/>
              <w:bidi w:val="0"/>
              <w:spacing w:before="130" w:line="219" w:lineRule="auto"/>
              <w:ind w:left="3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三、起重吊装及起重机械安装拆卸工程</w:t>
            </w:r>
          </w:p>
        </w:tc>
        <w:tc>
          <w:tcPr>
            <w:tcW w:w="1294" w:type="dxa"/>
            <w:vAlign w:val="top"/>
          </w:tcPr>
          <w:p w14:paraId="38265AE9">
            <w:pPr>
              <w:keepNext w:val="0"/>
              <w:keepLines w:val="0"/>
              <w:pageBreakBefore w:val="0"/>
              <w:wordWrap w:val="0"/>
              <w:overflowPunct/>
              <w:topLinePunct w:val="0"/>
              <w:bidi w:val="0"/>
              <w:spacing w:before="129"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1147FBD">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603B3DD">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69FA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5BBE638F">
            <w:pPr>
              <w:keepNext w:val="0"/>
              <w:keepLines w:val="0"/>
              <w:pageBreakBefore w:val="0"/>
              <w:wordWrap w:val="0"/>
              <w:overflowPunct/>
              <w:topLinePunct w:val="0"/>
              <w:bidi w:val="0"/>
              <w:spacing w:before="131" w:line="327" w:lineRule="auto"/>
              <w:ind w:left="144" w:right="168" w:hanging="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（一）采用非常规起重设备、方法，且单件起 吊重量在 10kN 及以上的起重吊装工程。</w:t>
            </w:r>
          </w:p>
        </w:tc>
        <w:tc>
          <w:tcPr>
            <w:tcW w:w="1294" w:type="dxa"/>
            <w:vAlign w:val="top"/>
          </w:tcPr>
          <w:p w14:paraId="37A83AED">
            <w:pPr>
              <w:pStyle w:val="31"/>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4EE95335">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A34B457">
            <w:pPr>
              <w:pStyle w:val="31"/>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5D76C922">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E0D56FF">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8A09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1A85FE26">
            <w:pPr>
              <w:keepNext w:val="0"/>
              <w:keepLines w:val="0"/>
              <w:pageBreakBefore w:val="0"/>
              <w:wordWrap w:val="0"/>
              <w:overflowPunct/>
              <w:topLinePunct w:val="0"/>
              <w:bidi w:val="0"/>
              <w:spacing w:before="132"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（二）采用起重机械进行安装的工程。</w:t>
            </w:r>
          </w:p>
        </w:tc>
        <w:tc>
          <w:tcPr>
            <w:tcW w:w="1294" w:type="dxa"/>
            <w:vAlign w:val="top"/>
          </w:tcPr>
          <w:p w14:paraId="767E6331">
            <w:pPr>
              <w:keepNext w:val="0"/>
              <w:keepLines w:val="0"/>
              <w:pageBreakBefore w:val="0"/>
              <w:wordWrap w:val="0"/>
              <w:overflowPunct/>
              <w:topLinePunct w:val="0"/>
              <w:bidi w:val="0"/>
              <w:spacing w:before="131"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w w:val="94"/>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D439AE7">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61EBE37">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F45D4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5EAE4304">
            <w:pPr>
              <w:keepNext w:val="0"/>
              <w:keepLines w:val="0"/>
              <w:pageBreakBefore w:val="0"/>
              <w:wordWrap w:val="0"/>
              <w:overflowPunct/>
              <w:topLinePunct w:val="0"/>
              <w:bidi w:val="0"/>
              <w:spacing w:before="130"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（三）起重机械安装和拆卸工程。</w:t>
            </w:r>
          </w:p>
        </w:tc>
        <w:tc>
          <w:tcPr>
            <w:tcW w:w="1294" w:type="dxa"/>
            <w:vAlign w:val="top"/>
          </w:tcPr>
          <w:p w14:paraId="335991A7">
            <w:pPr>
              <w:keepNext w:val="0"/>
              <w:keepLines w:val="0"/>
              <w:pageBreakBefore w:val="0"/>
              <w:wordWrap w:val="0"/>
              <w:overflowPunct/>
              <w:topLinePunct w:val="0"/>
              <w:bidi w:val="0"/>
              <w:spacing w:before="129"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5F94CC4">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BB8D17E">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26090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795419C4">
            <w:pPr>
              <w:keepNext w:val="0"/>
              <w:keepLines w:val="0"/>
              <w:pageBreakBefore w:val="0"/>
              <w:wordWrap w:val="0"/>
              <w:overflowPunct/>
              <w:topLinePunct w:val="0"/>
              <w:bidi w:val="0"/>
              <w:spacing w:before="131" w:line="219" w:lineRule="auto"/>
              <w:ind w:left="13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四、脚手架工程</w:t>
            </w:r>
          </w:p>
        </w:tc>
        <w:tc>
          <w:tcPr>
            <w:tcW w:w="1294" w:type="dxa"/>
            <w:vAlign w:val="top"/>
          </w:tcPr>
          <w:p w14:paraId="1EC462CF">
            <w:pPr>
              <w:keepNext w:val="0"/>
              <w:keepLines w:val="0"/>
              <w:pageBreakBefore w:val="0"/>
              <w:wordWrap w:val="0"/>
              <w:overflowPunct/>
              <w:topLinePunct w:val="0"/>
              <w:bidi w:val="0"/>
              <w:spacing w:before="130" w:line="223" w:lineRule="auto"/>
              <w:ind w:left="48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2739BCA">
            <w:pPr>
              <w:keepNext w:val="0"/>
              <w:keepLines w:val="0"/>
              <w:pageBreakBefore w:val="0"/>
              <w:wordWrap w:val="0"/>
              <w:overflowPunct/>
              <w:topLinePunct w:val="0"/>
              <w:bidi w:val="0"/>
              <w:spacing w:before="13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C631CE0">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19729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0CB2F8D3">
            <w:pPr>
              <w:keepNext w:val="0"/>
              <w:keepLines w:val="0"/>
              <w:pageBreakBefore w:val="0"/>
              <w:wordWrap w:val="0"/>
              <w:overflowPunct/>
              <w:topLinePunct w:val="0"/>
              <w:bidi w:val="0"/>
              <w:spacing w:before="130" w:line="327"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（一）搭设高度 24m 及以上的落地式钢管脚手 架工程（包括采光井、电梯井脚手架）。</w:t>
            </w:r>
          </w:p>
        </w:tc>
        <w:tc>
          <w:tcPr>
            <w:tcW w:w="1294" w:type="dxa"/>
            <w:vAlign w:val="top"/>
          </w:tcPr>
          <w:p w14:paraId="6A2758E9">
            <w:pPr>
              <w:pStyle w:val="31"/>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39D015DE">
            <w:pPr>
              <w:keepNext w:val="0"/>
              <w:keepLines w:val="0"/>
              <w:pageBreakBefore w:val="0"/>
              <w:wordWrap w:val="0"/>
              <w:overflowPunct/>
              <w:topLinePunct w:val="0"/>
              <w:bidi w:val="0"/>
              <w:spacing w:before="78" w:line="223"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08ED15F">
            <w:pPr>
              <w:pStyle w:val="31"/>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549B95D0">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8E598FF">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44DEA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53DD46A8">
            <w:pPr>
              <w:keepNext w:val="0"/>
              <w:keepLines w:val="0"/>
              <w:pageBreakBefore w:val="0"/>
              <w:wordWrap w:val="0"/>
              <w:overflowPunct/>
              <w:topLinePunct w:val="0"/>
              <w:bidi w:val="0"/>
              <w:spacing w:before="131"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（二）附着式升降脚手架工程。</w:t>
            </w:r>
          </w:p>
        </w:tc>
        <w:tc>
          <w:tcPr>
            <w:tcW w:w="1294" w:type="dxa"/>
            <w:vAlign w:val="top"/>
          </w:tcPr>
          <w:p w14:paraId="135E9D9F">
            <w:pPr>
              <w:keepNext w:val="0"/>
              <w:keepLines w:val="0"/>
              <w:pageBreakBefore w:val="0"/>
              <w:wordWrap w:val="0"/>
              <w:overflowPunct/>
              <w:topLinePunct w:val="0"/>
              <w:bidi w:val="0"/>
              <w:spacing w:before="130" w:line="223" w:lineRule="auto"/>
              <w:ind w:left="2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54243DE">
            <w:pPr>
              <w:keepNext w:val="0"/>
              <w:keepLines w:val="0"/>
              <w:pageBreakBefore w:val="0"/>
              <w:wordWrap w:val="0"/>
              <w:overflowPunct/>
              <w:topLinePunct w:val="0"/>
              <w:bidi w:val="0"/>
              <w:spacing w:before="13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DE81B0B">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6740AC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756A5CF2">
            <w:pPr>
              <w:keepNext w:val="0"/>
              <w:keepLines w:val="0"/>
              <w:pageBreakBefore w:val="0"/>
              <w:wordWrap w:val="0"/>
              <w:overflowPunct/>
              <w:topLinePunct w:val="0"/>
              <w:bidi w:val="0"/>
              <w:spacing w:before="132"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（三）悬挑式脚手架工程。</w:t>
            </w:r>
          </w:p>
        </w:tc>
        <w:tc>
          <w:tcPr>
            <w:tcW w:w="1294" w:type="dxa"/>
            <w:vAlign w:val="top"/>
          </w:tcPr>
          <w:p w14:paraId="1C9D5F37">
            <w:pPr>
              <w:keepNext w:val="0"/>
              <w:keepLines w:val="0"/>
              <w:pageBreakBefore w:val="0"/>
              <w:wordWrap w:val="0"/>
              <w:overflowPunct/>
              <w:topLinePunct w:val="0"/>
              <w:bidi w:val="0"/>
              <w:spacing w:before="131" w:line="223" w:lineRule="auto"/>
              <w:ind w:left="2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BB346B5">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FF48AF6">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E61F7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4DE411B6">
            <w:pPr>
              <w:keepNext w:val="0"/>
              <w:keepLines w:val="0"/>
              <w:pageBreakBefore w:val="0"/>
              <w:wordWrap w:val="0"/>
              <w:overflowPunct/>
              <w:topLinePunct w:val="0"/>
              <w:bidi w:val="0"/>
              <w:spacing w:before="131"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（四）高处作业吊篮。</w:t>
            </w:r>
          </w:p>
        </w:tc>
        <w:tc>
          <w:tcPr>
            <w:tcW w:w="1294" w:type="dxa"/>
            <w:vAlign w:val="top"/>
          </w:tcPr>
          <w:p w14:paraId="078B20BE">
            <w:pPr>
              <w:keepNext w:val="0"/>
              <w:keepLines w:val="0"/>
              <w:pageBreakBefore w:val="0"/>
              <w:wordWrap w:val="0"/>
              <w:overflowPunct/>
              <w:topLinePunct w:val="0"/>
              <w:bidi w:val="0"/>
              <w:spacing w:before="131"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w w:val="94"/>
                <w:sz w:val="24"/>
                <w:szCs w:val="24"/>
                <w:highlight w:val="none"/>
                <w:lang w:val="en-US" w:eastAsia="zh-CN"/>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1EE5114">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2AC04AB">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02FA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3FFF77CC">
            <w:pPr>
              <w:keepNext w:val="0"/>
              <w:keepLines w:val="0"/>
              <w:pageBreakBefore w:val="0"/>
              <w:wordWrap w:val="0"/>
              <w:overflowPunct/>
              <w:topLinePunct w:val="0"/>
              <w:bidi w:val="0"/>
              <w:spacing w:before="132"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（五）卸料平台、操作平台工程。</w:t>
            </w:r>
          </w:p>
        </w:tc>
        <w:tc>
          <w:tcPr>
            <w:tcW w:w="1294" w:type="dxa"/>
            <w:vAlign w:val="top"/>
          </w:tcPr>
          <w:p w14:paraId="66FBDFAE">
            <w:pPr>
              <w:keepNext w:val="0"/>
              <w:keepLines w:val="0"/>
              <w:pageBreakBefore w:val="0"/>
              <w:wordWrap w:val="0"/>
              <w:overflowPunct/>
              <w:topLinePunct w:val="0"/>
              <w:bidi w:val="0"/>
              <w:spacing w:before="132" w:line="223" w:lineRule="auto"/>
              <w:ind w:left="2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D5596D9">
            <w:pPr>
              <w:keepNext w:val="0"/>
              <w:keepLines w:val="0"/>
              <w:pageBreakBefore w:val="0"/>
              <w:wordWrap w:val="0"/>
              <w:overflowPunct/>
              <w:topLinePunct w:val="0"/>
              <w:bidi w:val="0"/>
              <w:spacing w:before="132"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6D29434">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8FD8F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7144B7CF">
            <w:pPr>
              <w:keepNext w:val="0"/>
              <w:keepLines w:val="0"/>
              <w:pageBreakBefore w:val="0"/>
              <w:wordWrap w:val="0"/>
              <w:overflowPunct/>
              <w:topLinePunct w:val="0"/>
              <w:bidi w:val="0"/>
              <w:spacing w:before="133"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（六）异型脚手架工程。</w:t>
            </w:r>
          </w:p>
        </w:tc>
        <w:tc>
          <w:tcPr>
            <w:tcW w:w="1294" w:type="dxa"/>
            <w:vAlign w:val="top"/>
          </w:tcPr>
          <w:p w14:paraId="1872A803">
            <w:pPr>
              <w:keepNext w:val="0"/>
              <w:keepLines w:val="0"/>
              <w:pageBreakBefore w:val="0"/>
              <w:wordWrap w:val="0"/>
              <w:overflowPunct/>
              <w:topLinePunct w:val="0"/>
              <w:bidi w:val="0"/>
              <w:spacing w:before="132"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2452B405">
            <w:pPr>
              <w:keepNext w:val="0"/>
              <w:keepLines w:val="0"/>
              <w:pageBreakBefore w:val="0"/>
              <w:wordWrap w:val="0"/>
              <w:overflowPunct/>
              <w:topLinePunct w:val="0"/>
              <w:bidi w:val="0"/>
              <w:spacing w:before="132"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73EA998">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F81F5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7CB8C621">
            <w:pPr>
              <w:keepNext w:val="0"/>
              <w:keepLines w:val="0"/>
              <w:pageBreakBefore w:val="0"/>
              <w:wordWrap w:val="0"/>
              <w:overflowPunct/>
              <w:topLinePunct w:val="0"/>
              <w:bidi w:val="0"/>
              <w:spacing w:before="131" w:line="220" w:lineRule="auto"/>
              <w:ind w:left="120"/>
              <w:rPr>
                <w:rFonts w:hint="eastAsia" w:ascii="宋体" w:hAnsi="宋体" w:eastAsia="宋体" w:cs="宋体"/>
                <w:color w:val="auto"/>
                <w:spacing w:val="0"/>
                <w:sz w:val="24"/>
                <w:szCs w:val="24"/>
                <w:highlight w:val="none"/>
              </w:rPr>
            </w:pPr>
            <w:bookmarkStart w:id="260" w:name="bookmark162"/>
            <w:bookmarkEnd w:id="260"/>
            <w:r>
              <w:rPr>
                <w:rFonts w:hint="eastAsia" w:ascii="宋体" w:hAnsi="宋体" w:eastAsia="宋体" w:cs="宋体"/>
                <w:color w:val="auto"/>
                <w:spacing w:val="0"/>
                <w:sz w:val="24"/>
                <w:szCs w:val="24"/>
                <w:highlight w:val="none"/>
              </w:rPr>
              <w:t>五、拆除工程</w:t>
            </w:r>
          </w:p>
        </w:tc>
        <w:tc>
          <w:tcPr>
            <w:tcW w:w="1294" w:type="dxa"/>
            <w:vAlign w:val="top"/>
          </w:tcPr>
          <w:p w14:paraId="314DA6C6">
            <w:pPr>
              <w:keepNext w:val="0"/>
              <w:keepLines w:val="0"/>
              <w:pageBreakBefore w:val="0"/>
              <w:wordWrap w:val="0"/>
              <w:overflowPunct/>
              <w:topLinePunct w:val="0"/>
              <w:bidi w:val="0"/>
              <w:spacing w:before="131" w:line="223" w:lineRule="auto"/>
              <w:ind w:left="48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05E20C3">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04364A3">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AAFE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230BC19F">
            <w:pPr>
              <w:keepNext w:val="0"/>
              <w:keepLines w:val="0"/>
              <w:pageBreakBefore w:val="0"/>
              <w:wordWrap w:val="0"/>
              <w:overflowPunct/>
              <w:topLinePunct w:val="0"/>
              <w:bidi w:val="0"/>
              <w:spacing w:before="126" w:line="329" w:lineRule="auto"/>
              <w:ind w:left="117" w:right="16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可能影响行人、交通、电力设施、通讯设施或 其它建、构筑物安全的拆除工程。</w:t>
            </w:r>
          </w:p>
        </w:tc>
        <w:tc>
          <w:tcPr>
            <w:tcW w:w="1294" w:type="dxa"/>
            <w:vAlign w:val="top"/>
          </w:tcPr>
          <w:p w14:paraId="1BCA91F0">
            <w:pPr>
              <w:pStyle w:val="31"/>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2D4B74AE">
            <w:pPr>
              <w:keepNext w:val="0"/>
              <w:keepLines w:val="0"/>
              <w:pageBreakBefore w:val="0"/>
              <w:wordWrap w:val="0"/>
              <w:overflowPunct/>
              <w:topLinePunct w:val="0"/>
              <w:bidi w:val="0"/>
              <w:spacing w:before="78"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4F414D8">
            <w:pPr>
              <w:pStyle w:val="31"/>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39EE3C4E">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D46AC81">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58E6E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4EB1B3F0">
            <w:pPr>
              <w:keepNext w:val="0"/>
              <w:keepLines w:val="0"/>
              <w:pageBreakBefore w:val="0"/>
              <w:wordWrap w:val="0"/>
              <w:overflowPunct/>
              <w:topLinePunct w:val="0"/>
              <w:bidi w:val="0"/>
              <w:spacing w:before="126" w:line="221" w:lineRule="auto"/>
              <w:ind w:left="35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六、暗挖工程</w:t>
            </w:r>
          </w:p>
        </w:tc>
        <w:tc>
          <w:tcPr>
            <w:tcW w:w="1294" w:type="dxa"/>
            <w:vAlign w:val="top"/>
          </w:tcPr>
          <w:p w14:paraId="3C43A09F">
            <w:pPr>
              <w:keepNext w:val="0"/>
              <w:keepLines w:val="0"/>
              <w:pageBreakBefore w:val="0"/>
              <w:wordWrap w:val="0"/>
              <w:overflowPunct/>
              <w:topLinePunct w:val="0"/>
              <w:bidi w:val="0"/>
              <w:spacing w:before="126"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2D14A29">
            <w:pPr>
              <w:keepNext w:val="0"/>
              <w:keepLines w:val="0"/>
              <w:pageBreakBefore w:val="0"/>
              <w:wordWrap w:val="0"/>
              <w:overflowPunct/>
              <w:topLinePunct w:val="0"/>
              <w:bidi w:val="0"/>
              <w:spacing w:before="126"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807B357">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DA76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12744928">
            <w:pPr>
              <w:keepNext w:val="0"/>
              <w:keepLines w:val="0"/>
              <w:pageBreakBefore w:val="0"/>
              <w:wordWrap w:val="0"/>
              <w:overflowPunct/>
              <w:topLinePunct w:val="0"/>
              <w:bidi w:val="0"/>
              <w:spacing w:before="128" w:line="328" w:lineRule="auto"/>
              <w:ind w:left="119" w:right="168" w:hanging="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采用矿山法、盾构法、顶管法施工的隧道、洞 室工程。</w:t>
            </w:r>
          </w:p>
        </w:tc>
        <w:tc>
          <w:tcPr>
            <w:tcW w:w="1294" w:type="dxa"/>
            <w:vAlign w:val="top"/>
          </w:tcPr>
          <w:p w14:paraId="65033D15">
            <w:pPr>
              <w:pStyle w:val="31"/>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6DB89044">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B972FC4">
            <w:pPr>
              <w:pStyle w:val="31"/>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58A11C01">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67C60E5">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06B45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2FD7C2C">
            <w:pPr>
              <w:keepNext w:val="0"/>
              <w:keepLines w:val="0"/>
              <w:pageBreakBefore w:val="0"/>
              <w:wordWrap w:val="0"/>
              <w:overflowPunct/>
              <w:topLinePunct w:val="0"/>
              <w:bidi w:val="0"/>
              <w:spacing w:before="129" w:line="222" w:lineRule="auto"/>
              <w:ind w:left="1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七、其它</w:t>
            </w:r>
          </w:p>
        </w:tc>
        <w:tc>
          <w:tcPr>
            <w:tcW w:w="1294" w:type="dxa"/>
            <w:vAlign w:val="top"/>
          </w:tcPr>
          <w:p w14:paraId="6BE6643A">
            <w:pPr>
              <w:keepNext w:val="0"/>
              <w:keepLines w:val="0"/>
              <w:pageBreakBefore w:val="0"/>
              <w:wordWrap w:val="0"/>
              <w:overflowPunct/>
              <w:topLinePunct w:val="0"/>
              <w:bidi w:val="0"/>
              <w:spacing w:before="129"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6575A55">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14F8564">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DE899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7FFB6826">
            <w:pPr>
              <w:keepNext w:val="0"/>
              <w:keepLines w:val="0"/>
              <w:pageBreakBefore w:val="0"/>
              <w:wordWrap w:val="0"/>
              <w:overflowPunct/>
              <w:topLinePunct w:val="0"/>
              <w:bidi w:val="0"/>
              <w:spacing w:before="128"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（一）建筑幕墙安装工程。</w:t>
            </w:r>
          </w:p>
        </w:tc>
        <w:tc>
          <w:tcPr>
            <w:tcW w:w="1294" w:type="dxa"/>
            <w:vAlign w:val="top"/>
          </w:tcPr>
          <w:p w14:paraId="5ECCB1D8">
            <w:pPr>
              <w:keepNext w:val="0"/>
              <w:keepLines w:val="0"/>
              <w:pageBreakBefore w:val="0"/>
              <w:wordWrap w:val="0"/>
              <w:overflowPunct/>
              <w:topLinePunct w:val="0"/>
              <w:bidi w:val="0"/>
              <w:spacing w:before="127"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8880CC1">
            <w:pPr>
              <w:keepNext w:val="0"/>
              <w:keepLines w:val="0"/>
              <w:pageBreakBefore w:val="0"/>
              <w:wordWrap w:val="0"/>
              <w:overflowPunct/>
              <w:topLinePunct w:val="0"/>
              <w:bidi w:val="0"/>
              <w:spacing w:before="127"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05609F2">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271D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7B2E6F65">
            <w:pPr>
              <w:keepNext w:val="0"/>
              <w:keepLines w:val="0"/>
              <w:pageBreakBefore w:val="0"/>
              <w:wordWrap w:val="0"/>
              <w:overflowPunct/>
              <w:topLinePunct w:val="0"/>
              <w:bidi w:val="0"/>
              <w:spacing w:before="128" w:line="221"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（二）钢结构、网架和索膜结构安装工程。</w:t>
            </w:r>
          </w:p>
        </w:tc>
        <w:tc>
          <w:tcPr>
            <w:tcW w:w="1294" w:type="dxa"/>
            <w:vAlign w:val="top"/>
          </w:tcPr>
          <w:p w14:paraId="019141C0">
            <w:pPr>
              <w:keepNext w:val="0"/>
              <w:keepLines w:val="0"/>
              <w:pageBreakBefore w:val="0"/>
              <w:wordWrap w:val="0"/>
              <w:overflowPunct/>
              <w:topLinePunct w:val="0"/>
              <w:bidi w:val="0"/>
              <w:spacing w:before="12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8B37526">
            <w:pPr>
              <w:keepNext w:val="0"/>
              <w:keepLines w:val="0"/>
              <w:pageBreakBefore w:val="0"/>
              <w:wordWrap w:val="0"/>
              <w:overflowPunct/>
              <w:topLinePunct w:val="0"/>
              <w:bidi w:val="0"/>
              <w:spacing w:before="12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BD4C91E">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8AF1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6EA6A21">
            <w:pPr>
              <w:keepNext w:val="0"/>
              <w:keepLines w:val="0"/>
              <w:pageBreakBefore w:val="0"/>
              <w:wordWrap w:val="0"/>
              <w:overflowPunct/>
              <w:topLinePunct w:val="0"/>
              <w:bidi w:val="0"/>
              <w:spacing w:before="128"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（三）人工挖孔桩工程。</w:t>
            </w:r>
          </w:p>
        </w:tc>
        <w:tc>
          <w:tcPr>
            <w:tcW w:w="1294" w:type="dxa"/>
            <w:vAlign w:val="top"/>
          </w:tcPr>
          <w:p w14:paraId="30B94CD0">
            <w:pPr>
              <w:keepNext w:val="0"/>
              <w:keepLines w:val="0"/>
              <w:pageBreakBefore w:val="0"/>
              <w:wordWrap w:val="0"/>
              <w:overflowPunct/>
              <w:topLinePunct w:val="0"/>
              <w:bidi w:val="0"/>
              <w:spacing w:before="12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14CA6864">
            <w:pPr>
              <w:keepNext w:val="0"/>
              <w:keepLines w:val="0"/>
              <w:pageBreakBefore w:val="0"/>
              <w:wordWrap w:val="0"/>
              <w:overflowPunct/>
              <w:topLinePunct w:val="0"/>
              <w:bidi w:val="0"/>
              <w:spacing w:before="12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FD897F2">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9674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4C5EBA8B">
            <w:pPr>
              <w:keepNext w:val="0"/>
              <w:keepLines w:val="0"/>
              <w:pageBreakBefore w:val="0"/>
              <w:wordWrap w:val="0"/>
              <w:overflowPunct/>
              <w:topLinePunct w:val="0"/>
              <w:bidi w:val="0"/>
              <w:spacing w:before="129"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（四）水下作业工程。</w:t>
            </w:r>
          </w:p>
        </w:tc>
        <w:tc>
          <w:tcPr>
            <w:tcW w:w="1294" w:type="dxa"/>
            <w:vAlign w:val="top"/>
          </w:tcPr>
          <w:p w14:paraId="07F1B48E">
            <w:pPr>
              <w:keepNext w:val="0"/>
              <w:keepLines w:val="0"/>
              <w:pageBreakBefore w:val="0"/>
              <w:wordWrap w:val="0"/>
              <w:overflowPunct/>
              <w:topLinePunct w:val="0"/>
              <w:bidi w:val="0"/>
              <w:spacing w:before="129"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40E8354">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D84828A">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F4047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00A20609">
            <w:pPr>
              <w:keepNext w:val="0"/>
              <w:keepLines w:val="0"/>
              <w:pageBreakBefore w:val="0"/>
              <w:wordWrap w:val="0"/>
              <w:overflowPunct/>
              <w:topLinePunct w:val="0"/>
              <w:bidi w:val="0"/>
              <w:spacing w:before="129"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（五）装配式建筑混凝土预制构件安装工程。</w:t>
            </w:r>
          </w:p>
        </w:tc>
        <w:tc>
          <w:tcPr>
            <w:tcW w:w="1294" w:type="dxa"/>
            <w:vAlign w:val="top"/>
          </w:tcPr>
          <w:p w14:paraId="1D69D2E9">
            <w:pPr>
              <w:keepNext w:val="0"/>
              <w:keepLines w:val="0"/>
              <w:pageBreakBefore w:val="0"/>
              <w:wordWrap w:val="0"/>
              <w:overflowPunct/>
              <w:topLinePunct w:val="0"/>
              <w:bidi w:val="0"/>
              <w:spacing w:before="129"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w w:val="94"/>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11651258">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5B3F741">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01493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45B86778">
            <w:pPr>
              <w:keepNext w:val="0"/>
              <w:keepLines w:val="0"/>
              <w:pageBreakBefore w:val="0"/>
              <w:wordWrap w:val="0"/>
              <w:overflowPunct/>
              <w:topLinePunct w:val="0"/>
              <w:bidi w:val="0"/>
              <w:spacing w:before="129" w:line="345" w:lineRule="auto"/>
              <w:ind w:left="117" w:right="168" w:firstLine="1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（六）采用新技术、新工艺、新材料、新设备 可能影响工程施工安全，尚无国家、行业及地 方技术标准的分部分项工程。</w:t>
            </w:r>
          </w:p>
        </w:tc>
        <w:tc>
          <w:tcPr>
            <w:tcW w:w="1294" w:type="dxa"/>
            <w:vAlign w:val="top"/>
          </w:tcPr>
          <w:p w14:paraId="385B5113">
            <w:pPr>
              <w:pStyle w:val="31"/>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73DD2831">
            <w:pPr>
              <w:pStyle w:val="31"/>
              <w:keepNext w:val="0"/>
              <w:keepLines w:val="0"/>
              <w:pageBreakBefore w:val="0"/>
              <w:wordWrap w:val="0"/>
              <w:overflowPunct/>
              <w:topLinePunct w:val="0"/>
              <w:bidi w:val="0"/>
              <w:spacing w:line="271" w:lineRule="auto"/>
              <w:rPr>
                <w:rFonts w:hint="eastAsia" w:ascii="宋体" w:hAnsi="宋体" w:eastAsia="宋体" w:cs="宋体"/>
                <w:color w:val="auto"/>
                <w:spacing w:val="0"/>
                <w:highlight w:val="none"/>
              </w:rPr>
            </w:pPr>
          </w:p>
          <w:p w14:paraId="4AAAB3A0">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CDDABEA">
            <w:pPr>
              <w:pStyle w:val="31"/>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67B31CAE">
            <w:pPr>
              <w:pStyle w:val="31"/>
              <w:keepNext w:val="0"/>
              <w:keepLines w:val="0"/>
              <w:pageBreakBefore w:val="0"/>
              <w:wordWrap w:val="0"/>
              <w:overflowPunct/>
              <w:topLinePunct w:val="0"/>
              <w:bidi w:val="0"/>
              <w:spacing w:line="271" w:lineRule="auto"/>
              <w:rPr>
                <w:rFonts w:hint="eastAsia" w:ascii="宋体" w:hAnsi="宋体" w:eastAsia="宋体" w:cs="宋体"/>
                <w:color w:val="auto"/>
                <w:spacing w:val="0"/>
                <w:highlight w:val="none"/>
              </w:rPr>
            </w:pPr>
          </w:p>
          <w:p w14:paraId="6C0040D9">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E969598">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A1149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7B3BF150">
            <w:pPr>
              <w:keepNext w:val="0"/>
              <w:keepLines w:val="0"/>
              <w:pageBreakBefore w:val="0"/>
              <w:wordWrap w:val="0"/>
              <w:overflowPunct/>
              <w:topLinePunct w:val="0"/>
              <w:bidi w:val="0"/>
              <w:spacing w:before="129" w:line="328" w:lineRule="auto"/>
              <w:ind w:left="115" w:right="108" w:firstLine="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二、超过一定规模的危险性较大的分部分项工程清单</w:t>
            </w:r>
          </w:p>
        </w:tc>
        <w:tc>
          <w:tcPr>
            <w:tcW w:w="1294" w:type="dxa"/>
            <w:vAlign w:val="top"/>
          </w:tcPr>
          <w:p w14:paraId="19226B35">
            <w:pPr>
              <w:pStyle w:val="31"/>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3659575A">
            <w:pPr>
              <w:keepNext w:val="0"/>
              <w:keepLines w:val="0"/>
              <w:pageBreakBefore w:val="0"/>
              <w:wordWrap w:val="0"/>
              <w:overflowPunct/>
              <w:topLinePunct w:val="0"/>
              <w:bidi w:val="0"/>
              <w:spacing w:before="78" w:line="221" w:lineRule="auto"/>
              <w:ind w:left="20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1294" w:type="dxa"/>
            <w:vAlign w:val="top"/>
          </w:tcPr>
          <w:p w14:paraId="4A4FC379">
            <w:pPr>
              <w:pStyle w:val="31"/>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42AC6981">
            <w:pPr>
              <w:keepNext w:val="0"/>
              <w:keepLines w:val="0"/>
              <w:pageBreakBefore w:val="0"/>
              <w:wordWrap w:val="0"/>
              <w:overflowPunct/>
              <w:topLinePunct w:val="0"/>
              <w:bidi w:val="0"/>
              <w:spacing w:before="78" w:line="221" w:lineRule="auto"/>
              <w:ind w:left="11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投标单位</w:t>
            </w:r>
          </w:p>
        </w:tc>
        <w:tc>
          <w:tcPr>
            <w:tcW w:w="2428" w:type="dxa"/>
            <w:vAlign w:val="top"/>
          </w:tcPr>
          <w:p w14:paraId="00138FC3">
            <w:pPr>
              <w:pStyle w:val="31"/>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02FF7559">
            <w:pPr>
              <w:keepNext w:val="0"/>
              <w:keepLines w:val="0"/>
              <w:pageBreakBefore w:val="0"/>
              <w:wordWrap w:val="0"/>
              <w:overflowPunct/>
              <w:topLinePunct w:val="0"/>
              <w:bidi w:val="0"/>
              <w:spacing w:before="78" w:line="222" w:lineRule="auto"/>
              <w:ind w:left="3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备注</w:t>
            </w:r>
          </w:p>
        </w:tc>
      </w:tr>
      <w:tr w14:paraId="7F3D0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1E0D3C6D">
            <w:pPr>
              <w:keepNext w:val="0"/>
              <w:keepLines w:val="0"/>
              <w:pageBreakBefore w:val="0"/>
              <w:wordWrap w:val="0"/>
              <w:overflowPunct/>
              <w:topLinePunct w:val="0"/>
              <w:bidi w:val="0"/>
              <w:spacing w:before="129" w:line="221"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一、深基坑工程</w:t>
            </w:r>
          </w:p>
        </w:tc>
        <w:tc>
          <w:tcPr>
            <w:tcW w:w="1294" w:type="dxa"/>
            <w:vAlign w:val="top"/>
          </w:tcPr>
          <w:p w14:paraId="1CE00CFE">
            <w:pPr>
              <w:keepNext w:val="0"/>
              <w:keepLines w:val="0"/>
              <w:pageBreakBefore w:val="0"/>
              <w:wordWrap w:val="0"/>
              <w:overflowPunct/>
              <w:topLinePunct w:val="0"/>
              <w:bidi w:val="0"/>
              <w:spacing w:before="129"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1774A846">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E51A0B1">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AF2D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25A4E17A">
            <w:pPr>
              <w:keepNext w:val="0"/>
              <w:keepLines w:val="0"/>
              <w:pageBreakBefore w:val="0"/>
              <w:wordWrap w:val="0"/>
              <w:overflowPunct/>
              <w:topLinePunct w:val="0"/>
              <w:bidi w:val="0"/>
              <w:spacing w:before="131" w:line="327" w:lineRule="auto"/>
              <w:ind w:left="117" w:right="1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开挖深度超过 5m（含 5m）的基坑（槽）的土方 开挖、支护、降水工程。</w:t>
            </w:r>
          </w:p>
        </w:tc>
        <w:tc>
          <w:tcPr>
            <w:tcW w:w="1294" w:type="dxa"/>
            <w:vAlign w:val="top"/>
          </w:tcPr>
          <w:p w14:paraId="3F89BB15">
            <w:pPr>
              <w:pStyle w:val="31"/>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6B1FFCA1">
            <w:pPr>
              <w:keepNext w:val="0"/>
              <w:keepLines w:val="0"/>
              <w:pageBreakBefore w:val="0"/>
              <w:wordWrap w:val="0"/>
              <w:overflowPunct/>
              <w:topLinePunct w:val="0"/>
              <w:bidi w:val="0"/>
              <w:spacing w:before="78"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AB60A7B">
            <w:pPr>
              <w:pStyle w:val="31"/>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5268F17F">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93BBC77">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D734A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47699922">
            <w:pPr>
              <w:keepNext w:val="0"/>
              <w:keepLines w:val="0"/>
              <w:pageBreakBefore w:val="0"/>
              <w:wordWrap w:val="0"/>
              <w:overflowPunct/>
              <w:topLinePunct w:val="0"/>
              <w:bidi w:val="0"/>
              <w:spacing w:before="130" w:line="219"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二、模板工程及支撑体系</w:t>
            </w:r>
          </w:p>
        </w:tc>
        <w:tc>
          <w:tcPr>
            <w:tcW w:w="1294" w:type="dxa"/>
            <w:vAlign w:val="top"/>
          </w:tcPr>
          <w:p w14:paraId="083558CF">
            <w:pPr>
              <w:keepNext w:val="0"/>
              <w:keepLines w:val="0"/>
              <w:pageBreakBefore w:val="0"/>
              <w:wordWrap w:val="0"/>
              <w:overflowPunct/>
              <w:topLinePunct w:val="0"/>
              <w:bidi w:val="0"/>
              <w:spacing w:before="129"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default" w:ascii="宋体" w:hAnsi="宋体" w:eastAsia="宋体" w:cs="宋体"/>
                <w:color w:val="auto"/>
                <w:spacing w:val="0"/>
                <w:sz w:val="24"/>
                <w:szCs w:val="24"/>
                <w:highlight w:val="none"/>
                <w:lang w:val="en-US"/>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4A4C90B">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521241E">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0BB3D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5A0E47CA">
            <w:pPr>
              <w:keepNext w:val="0"/>
              <w:keepLines w:val="0"/>
              <w:pageBreakBefore w:val="0"/>
              <w:wordWrap w:val="0"/>
              <w:overflowPunct/>
              <w:topLinePunct w:val="0"/>
              <w:bidi w:val="0"/>
              <w:spacing w:before="130" w:line="327" w:lineRule="auto"/>
              <w:ind w:left="123" w:right="25" w:firstLine="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（一）各类工具式模板工程：包括滑模、爬模、 飞模、隧道模等工程。</w:t>
            </w:r>
          </w:p>
        </w:tc>
        <w:tc>
          <w:tcPr>
            <w:tcW w:w="1294" w:type="dxa"/>
            <w:vAlign w:val="top"/>
          </w:tcPr>
          <w:p w14:paraId="3BE7CE5F">
            <w:pPr>
              <w:pStyle w:val="31"/>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22FCE1A7">
            <w:pPr>
              <w:keepNext w:val="0"/>
              <w:keepLines w:val="0"/>
              <w:pageBreakBefore w:val="0"/>
              <w:wordWrap w:val="0"/>
              <w:overflowPunct/>
              <w:topLinePunct w:val="0"/>
              <w:bidi w:val="0"/>
              <w:spacing w:before="78"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9A14FA9">
            <w:pPr>
              <w:pStyle w:val="31"/>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3C6FD786">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99834BD">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1C155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127B194F">
            <w:pPr>
              <w:keepNext w:val="0"/>
              <w:keepLines w:val="0"/>
              <w:pageBreakBefore w:val="0"/>
              <w:wordWrap w:val="0"/>
              <w:overflowPunct/>
              <w:topLinePunct w:val="0"/>
              <w:bidi w:val="0"/>
              <w:spacing w:before="132" w:line="353" w:lineRule="auto"/>
              <w:ind w:left="116" w:right="6" w:firstLine="11"/>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（二）混凝土模板支撑工程：搭设高度8m 及以 上，或搭设跨度 18m 及以上，或施工总荷载（设计值）15kN/m2 及以上，或集中线荷载（设计值） 20kN/m 及以上。</w:t>
            </w:r>
          </w:p>
        </w:tc>
        <w:tc>
          <w:tcPr>
            <w:tcW w:w="1294" w:type="dxa"/>
            <w:vAlign w:val="top"/>
          </w:tcPr>
          <w:p w14:paraId="1E22CC31">
            <w:pPr>
              <w:pStyle w:val="31"/>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34C26A5C">
            <w:pPr>
              <w:pStyle w:val="31"/>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1186E44E">
            <w:pPr>
              <w:pStyle w:val="31"/>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4B6460D6">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93DC849">
            <w:pPr>
              <w:pStyle w:val="31"/>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0B3B5DE6">
            <w:pPr>
              <w:pStyle w:val="31"/>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2E1BD604">
            <w:pPr>
              <w:pStyle w:val="31"/>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4BB44FF4">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08A7FE4">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63CB1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817" w:hRule="atLeast"/>
          <w:jc w:val="center"/>
        </w:trPr>
        <w:tc>
          <w:tcPr>
            <w:tcW w:w="4864" w:type="dxa"/>
            <w:gridSpan w:val="2"/>
            <w:vAlign w:val="top"/>
          </w:tcPr>
          <w:p w14:paraId="0F1BFB7C">
            <w:pPr>
              <w:keepNext w:val="0"/>
              <w:keepLines w:val="0"/>
              <w:pageBreakBefore w:val="0"/>
              <w:wordWrap w:val="0"/>
              <w:overflowPunct/>
              <w:topLinePunct w:val="0"/>
              <w:bidi w:val="0"/>
              <w:spacing w:before="131"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（三）承重支撑体系：用于钢结构安装等满堂</w:t>
            </w:r>
          </w:p>
          <w:p w14:paraId="21D4B2D4">
            <w:pPr>
              <w:keepNext w:val="0"/>
              <w:keepLines w:val="0"/>
              <w:pageBreakBefore w:val="0"/>
              <w:wordWrap w:val="0"/>
              <w:overflowPunct/>
              <w:topLinePunct w:val="0"/>
              <w:bidi w:val="0"/>
              <w:spacing w:before="131" w:line="220" w:lineRule="auto"/>
              <w:ind w:left="1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支撑体系，承受单点集中荷载 7kN 及以上。</w:t>
            </w:r>
          </w:p>
        </w:tc>
        <w:tc>
          <w:tcPr>
            <w:tcW w:w="1294" w:type="dxa"/>
            <w:vAlign w:val="top"/>
          </w:tcPr>
          <w:p w14:paraId="37CA6230">
            <w:pPr>
              <w:keepNext w:val="0"/>
              <w:keepLines w:val="0"/>
              <w:pageBreakBefore w:val="0"/>
              <w:wordWrap w:val="0"/>
              <w:overflowPunct/>
              <w:topLinePunct w:val="0"/>
              <w:bidi w:val="0"/>
              <w:spacing w:before="131"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F95A620">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126430C">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A4D91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783DF3D2">
            <w:pPr>
              <w:keepNext w:val="0"/>
              <w:keepLines w:val="0"/>
              <w:pageBreakBefore w:val="0"/>
              <w:wordWrap w:val="0"/>
              <w:overflowPunct/>
              <w:topLinePunct w:val="0"/>
              <w:bidi w:val="0"/>
              <w:spacing w:before="128" w:line="219" w:lineRule="auto"/>
              <w:ind w:left="3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三、起重吊装及起重机械安装拆卸工程</w:t>
            </w:r>
          </w:p>
        </w:tc>
        <w:tc>
          <w:tcPr>
            <w:tcW w:w="1294" w:type="dxa"/>
            <w:vAlign w:val="top"/>
          </w:tcPr>
          <w:p w14:paraId="7F32CCA7">
            <w:pPr>
              <w:keepNext w:val="0"/>
              <w:keepLines w:val="0"/>
              <w:pageBreakBefore w:val="0"/>
              <w:wordWrap w:val="0"/>
              <w:overflowPunct/>
              <w:topLinePunct w:val="0"/>
              <w:bidi w:val="0"/>
              <w:spacing w:before="127" w:line="223"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1DA0918">
            <w:pPr>
              <w:keepNext w:val="0"/>
              <w:keepLines w:val="0"/>
              <w:pageBreakBefore w:val="0"/>
              <w:wordWrap w:val="0"/>
              <w:overflowPunct/>
              <w:topLinePunct w:val="0"/>
              <w:bidi w:val="0"/>
              <w:spacing w:before="127"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76EAF11">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8E290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06E53A3">
            <w:pPr>
              <w:keepNext w:val="0"/>
              <w:keepLines w:val="0"/>
              <w:pageBreakBefore w:val="0"/>
              <w:wordWrap w:val="0"/>
              <w:overflowPunct/>
              <w:topLinePunct w:val="0"/>
              <w:bidi w:val="0"/>
              <w:spacing w:before="129" w:line="328" w:lineRule="auto"/>
              <w:ind w:left="144" w:right="168" w:hanging="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（一）采用非常规起重设备、方法，且单件起 吊重量在 100kN 及以上的起重吊装工程。</w:t>
            </w:r>
          </w:p>
        </w:tc>
        <w:tc>
          <w:tcPr>
            <w:tcW w:w="1294" w:type="dxa"/>
            <w:vAlign w:val="top"/>
          </w:tcPr>
          <w:p w14:paraId="68B100EA">
            <w:pPr>
              <w:pStyle w:val="31"/>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6E39BEFB">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5BF8415">
            <w:pPr>
              <w:pStyle w:val="31"/>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15D58652">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A9F4CBF">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523BF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26CB9001">
            <w:pPr>
              <w:keepNext w:val="0"/>
              <w:keepLines w:val="0"/>
              <w:pageBreakBefore w:val="0"/>
              <w:wordWrap w:val="0"/>
              <w:overflowPunct/>
              <w:topLinePunct w:val="0"/>
              <w:bidi w:val="0"/>
              <w:spacing w:before="129" w:line="345" w:lineRule="auto"/>
              <w:ind w:left="115" w:right="105" w:firstLine="1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（二）起重量 300kN 及以上，或搭设总高度 200m 及以上，或搭设基础标高在 200m 及以上的起重 机械安装和拆卸工程。</w:t>
            </w:r>
          </w:p>
        </w:tc>
        <w:tc>
          <w:tcPr>
            <w:tcW w:w="1294" w:type="dxa"/>
            <w:vAlign w:val="top"/>
          </w:tcPr>
          <w:p w14:paraId="2A95D8F6">
            <w:pPr>
              <w:pStyle w:val="31"/>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74A01809">
            <w:pPr>
              <w:pStyle w:val="31"/>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668A2E9F">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FD327AE">
            <w:pPr>
              <w:pStyle w:val="31"/>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2FDE3886">
            <w:pPr>
              <w:pStyle w:val="31"/>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3B809E99">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92F0646">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64EB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50F4F66D">
            <w:pPr>
              <w:keepNext w:val="0"/>
              <w:keepLines w:val="0"/>
              <w:pageBreakBefore w:val="0"/>
              <w:wordWrap w:val="0"/>
              <w:overflowPunct/>
              <w:topLinePunct w:val="0"/>
              <w:bidi w:val="0"/>
              <w:spacing w:before="128" w:line="219" w:lineRule="auto"/>
              <w:ind w:left="13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四、脚手架工程</w:t>
            </w:r>
          </w:p>
        </w:tc>
        <w:tc>
          <w:tcPr>
            <w:tcW w:w="1294" w:type="dxa"/>
            <w:vAlign w:val="top"/>
          </w:tcPr>
          <w:p w14:paraId="12B84D92">
            <w:pPr>
              <w:keepNext w:val="0"/>
              <w:keepLines w:val="0"/>
              <w:pageBreakBefore w:val="0"/>
              <w:wordWrap w:val="0"/>
              <w:overflowPunct/>
              <w:topLinePunct w:val="0"/>
              <w:bidi w:val="0"/>
              <w:spacing w:before="127"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CD7173E">
            <w:pPr>
              <w:keepNext w:val="0"/>
              <w:keepLines w:val="0"/>
              <w:pageBreakBefore w:val="0"/>
              <w:wordWrap w:val="0"/>
              <w:overflowPunct/>
              <w:topLinePunct w:val="0"/>
              <w:bidi w:val="0"/>
              <w:spacing w:before="127"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CFB88CD">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7EEE1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218FF82F">
            <w:pPr>
              <w:keepNext w:val="0"/>
              <w:keepLines w:val="0"/>
              <w:pageBreakBefore w:val="0"/>
              <w:wordWrap w:val="0"/>
              <w:overflowPunct/>
              <w:topLinePunct w:val="0"/>
              <w:bidi w:val="0"/>
              <w:spacing w:before="128" w:line="328"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（一）搭设高度 50m 及以上的落地式钢管脚手 架工程。</w:t>
            </w:r>
          </w:p>
        </w:tc>
        <w:tc>
          <w:tcPr>
            <w:tcW w:w="1294" w:type="dxa"/>
            <w:vAlign w:val="top"/>
          </w:tcPr>
          <w:p w14:paraId="6EE046A9">
            <w:pPr>
              <w:pStyle w:val="31"/>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1BC7ED0C">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2132350E">
            <w:pPr>
              <w:pStyle w:val="31"/>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776B6C9B">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1336EEF">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6E9221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59C256F4">
            <w:pPr>
              <w:keepNext w:val="0"/>
              <w:keepLines w:val="0"/>
              <w:pageBreakBefore w:val="0"/>
              <w:wordWrap w:val="0"/>
              <w:overflowPunct/>
              <w:topLinePunct w:val="0"/>
              <w:bidi w:val="0"/>
              <w:spacing w:before="131" w:line="327" w:lineRule="auto"/>
              <w:ind w:left="116" w:right="105" w:firstLine="1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（二）提升高度在 </w:t>
            </w:r>
            <w:r>
              <w:rPr>
                <w:rFonts w:hint="eastAsia" w:ascii="宋体" w:hAnsi="宋体" w:eastAsia="宋体" w:cs="宋体"/>
                <w:color w:val="auto"/>
                <w:spacing w:val="0"/>
                <w:sz w:val="24"/>
                <w:szCs w:val="24"/>
                <w:highlight w:val="none"/>
                <w:lang w:eastAsia="zh-CN"/>
              </w:rPr>
              <w:t>450</w:t>
            </w:r>
            <w:r>
              <w:rPr>
                <w:rFonts w:hint="eastAsia" w:ascii="宋体" w:hAnsi="宋体" w:eastAsia="宋体" w:cs="宋体"/>
                <w:color w:val="auto"/>
                <w:spacing w:val="0"/>
                <w:sz w:val="24"/>
                <w:szCs w:val="24"/>
                <w:highlight w:val="none"/>
              </w:rPr>
              <w:t>m 及以上的附着式升降脚 手架工程或附着式升降操作平台工程。</w:t>
            </w:r>
          </w:p>
        </w:tc>
        <w:tc>
          <w:tcPr>
            <w:tcW w:w="1294" w:type="dxa"/>
            <w:vAlign w:val="top"/>
          </w:tcPr>
          <w:p w14:paraId="2EDF3F91">
            <w:pPr>
              <w:pStyle w:val="31"/>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1AD30D27">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1C214AE1">
            <w:pPr>
              <w:pStyle w:val="31"/>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7B761F94">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CBAA38B">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665C4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5D1FBB95">
            <w:pPr>
              <w:keepNext w:val="0"/>
              <w:keepLines w:val="0"/>
              <w:pageBreakBefore w:val="0"/>
              <w:wordWrap w:val="0"/>
              <w:overflowPunct/>
              <w:topLinePunct w:val="0"/>
              <w:bidi w:val="0"/>
              <w:spacing w:before="129" w:line="328" w:lineRule="auto"/>
              <w:ind w:left="115" w:right="168"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（三）分段架体搭设高度 20m 及以上的悬挑式 脚手架工程。</w:t>
            </w:r>
          </w:p>
        </w:tc>
        <w:tc>
          <w:tcPr>
            <w:tcW w:w="1294" w:type="dxa"/>
            <w:vAlign w:val="top"/>
          </w:tcPr>
          <w:p w14:paraId="2811C0F1">
            <w:pPr>
              <w:pStyle w:val="31"/>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72884A72">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1A991DC">
            <w:pPr>
              <w:pStyle w:val="31"/>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24D41DFF">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C0B0294">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6E3A13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0F39C5AD">
            <w:pPr>
              <w:keepNext w:val="0"/>
              <w:keepLines w:val="0"/>
              <w:pageBreakBefore w:val="0"/>
              <w:wordWrap w:val="0"/>
              <w:overflowPunct/>
              <w:topLinePunct w:val="0"/>
              <w:bidi w:val="0"/>
              <w:spacing w:before="131" w:line="220"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五、拆除工程</w:t>
            </w:r>
          </w:p>
        </w:tc>
        <w:tc>
          <w:tcPr>
            <w:tcW w:w="1294" w:type="dxa"/>
            <w:vAlign w:val="top"/>
          </w:tcPr>
          <w:p w14:paraId="2961FAB7">
            <w:pPr>
              <w:keepNext w:val="0"/>
              <w:keepLines w:val="0"/>
              <w:pageBreakBefore w:val="0"/>
              <w:wordWrap w:val="0"/>
              <w:overflowPunct/>
              <w:topLinePunct w:val="0"/>
              <w:bidi w:val="0"/>
              <w:spacing w:before="158" w:line="223"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EF9D608">
            <w:pPr>
              <w:keepNext w:val="0"/>
              <w:keepLines w:val="0"/>
              <w:pageBreakBefore w:val="0"/>
              <w:wordWrap w:val="0"/>
              <w:overflowPunct/>
              <w:topLinePunct w:val="0"/>
              <w:bidi w:val="0"/>
              <w:spacing w:before="15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12998AF">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CE1B8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6691481">
            <w:pPr>
              <w:keepNext w:val="0"/>
              <w:keepLines w:val="0"/>
              <w:pageBreakBefore w:val="0"/>
              <w:wordWrap w:val="0"/>
              <w:overflowPunct/>
              <w:topLinePunct w:val="0"/>
              <w:bidi w:val="0"/>
              <w:spacing w:before="132" w:line="353" w:lineRule="auto"/>
              <w:ind w:left="115" w:right="168"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（一）码头、桥梁、高架、烟囱、水塔或拆除 中容易引起有毒有害气（液）体或粉尘扩散、 易燃易爆事故发生的特殊建、构筑物的拆除工 程。</w:t>
            </w:r>
          </w:p>
        </w:tc>
        <w:tc>
          <w:tcPr>
            <w:tcW w:w="1294" w:type="dxa"/>
            <w:vAlign w:val="top"/>
          </w:tcPr>
          <w:p w14:paraId="6B145A87">
            <w:pPr>
              <w:pStyle w:val="31"/>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07A51EBA">
            <w:pPr>
              <w:pStyle w:val="31"/>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0E188BF7">
            <w:pPr>
              <w:pStyle w:val="31"/>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3DF183E1">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23AA663F">
            <w:pPr>
              <w:pStyle w:val="31"/>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4956A9FB">
            <w:pPr>
              <w:pStyle w:val="31"/>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0D7EE95F">
            <w:pPr>
              <w:pStyle w:val="31"/>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11EB225F">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1148F09">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586A6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0B4295D1">
            <w:pPr>
              <w:keepNext w:val="0"/>
              <w:keepLines w:val="0"/>
              <w:pageBreakBefore w:val="0"/>
              <w:wordWrap w:val="0"/>
              <w:overflowPunct/>
              <w:topLinePunct w:val="0"/>
              <w:bidi w:val="0"/>
              <w:spacing w:before="131" w:line="327"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（二）文物保护建筑、优秀历史建筑或历史文 化风貌区影响范围内的拆除工程。</w:t>
            </w:r>
          </w:p>
        </w:tc>
        <w:tc>
          <w:tcPr>
            <w:tcW w:w="1294" w:type="dxa"/>
            <w:vAlign w:val="top"/>
          </w:tcPr>
          <w:p w14:paraId="04F95FA7">
            <w:pPr>
              <w:pStyle w:val="31"/>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55A065F3">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489CCE3">
            <w:pPr>
              <w:pStyle w:val="31"/>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1252E2E0">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CBBF29E">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EACC6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0E6408F1">
            <w:pPr>
              <w:keepNext w:val="0"/>
              <w:keepLines w:val="0"/>
              <w:pageBreakBefore w:val="0"/>
              <w:wordWrap w:val="0"/>
              <w:overflowPunct/>
              <w:topLinePunct w:val="0"/>
              <w:bidi w:val="0"/>
              <w:spacing w:before="131" w:line="221" w:lineRule="auto"/>
              <w:ind w:left="11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六、暗挖工程</w:t>
            </w:r>
          </w:p>
        </w:tc>
        <w:tc>
          <w:tcPr>
            <w:tcW w:w="1294" w:type="dxa"/>
            <w:vAlign w:val="top"/>
          </w:tcPr>
          <w:p w14:paraId="20D91E9F">
            <w:pPr>
              <w:keepNext w:val="0"/>
              <w:keepLines w:val="0"/>
              <w:pageBreakBefore w:val="0"/>
              <w:wordWrap w:val="0"/>
              <w:overflowPunct/>
              <w:topLinePunct w:val="0"/>
              <w:bidi w:val="0"/>
              <w:spacing w:before="140"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1D16D57">
            <w:pPr>
              <w:keepNext w:val="0"/>
              <w:keepLines w:val="0"/>
              <w:pageBreakBefore w:val="0"/>
              <w:wordWrap w:val="0"/>
              <w:overflowPunct/>
              <w:topLinePunct w:val="0"/>
              <w:bidi w:val="0"/>
              <w:spacing w:before="14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5A9BA30">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78B63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40652EEF">
            <w:pPr>
              <w:keepNext w:val="0"/>
              <w:keepLines w:val="0"/>
              <w:pageBreakBefore w:val="0"/>
              <w:wordWrap w:val="0"/>
              <w:overflowPunct/>
              <w:topLinePunct w:val="0"/>
              <w:bidi w:val="0"/>
              <w:spacing w:before="131" w:line="327" w:lineRule="auto"/>
              <w:ind w:left="119" w:right="168" w:hanging="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采用矿山法、盾构法、顶管法施工的隧道、洞 室工程。</w:t>
            </w:r>
          </w:p>
        </w:tc>
        <w:tc>
          <w:tcPr>
            <w:tcW w:w="1294" w:type="dxa"/>
            <w:vAlign w:val="top"/>
          </w:tcPr>
          <w:p w14:paraId="75E5A7E4">
            <w:pPr>
              <w:pStyle w:val="31"/>
              <w:keepNext w:val="0"/>
              <w:keepLines w:val="0"/>
              <w:pageBreakBefore w:val="0"/>
              <w:wordWrap w:val="0"/>
              <w:overflowPunct/>
              <w:topLinePunct w:val="0"/>
              <w:bidi w:val="0"/>
              <w:spacing w:line="298" w:lineRule="auto"/>
              <w:rPr>
                <w:rFonts w:hint="eastAsia" w:ascii="宋体" w:hAnsi="宋体" w:eastAsia="宋体" w:cs="宋体"/>
                <w:color w:val="auto"/>
                <w:spacing w:val="0"/>
                <w:highlight w:val="none"/>
              </w:rPr>
            </w:pPr>
          </w:p>
          <w:p w14:paraId="5DE48260">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F86BF86">
            <w:pPr>
              <w:pStyle w:val="31"/>
              <w:keepNext w:val="0"/>
              <w:keepLines w:val="0"/>
              <w:pageBreakBefore w:val="0"/>
              <w:wordWrap w:val="0"/>
              <w:overflowPunct/>
              <w:topLinePunct w:val="0"/>
              <w:bidi w:val="0"/>
              <w:spacing w:line="298" w:lineRule="auto"/>
              <w:rPr>
                <w:rFonts w:hint="eastAsia" w:ascii="宋体" w:hAnsi="宋体" w:eastAsia="宋体" w:cs="宋体"/>
                <w:color w:val="auto"/>
                <w:spacing w:val="0"/>
                <w:highlight w:val="none"/>
              </w:rPr>
            </w:pPr>
          </w:p>
          <w:p w14:paraId="2A42FCB3">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E902C75">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12E7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2270B566">
            <w:pPr>
              <w:keepNext w:val="0"/>
              <w:keepLines w:val="0"/>
              <w:pageBreakBefore w:val="0"/>
              <w:wordWrap w:val="0"/>
              <w:overflowPunct/>
              <w:topLinePunct w:val="0"/>
              <w:bidi w:val="0"/>
              <w:spacing w:before="130" w:line="222" w:lineRule="auto"/>
              <w:ind w:left="1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七、其它</w:t>
            </w:r>
          </w:p>
        </w:tc>
        <w:tc>
          <w:tcPr>
            <w:tcW w:w="1294" w:type="dxa"/>
            <w:vAlign w:val="top"/>
          </w:tcPr>
          <w:p w14:paraId="53FD2371">
            <w:pPr>
              <w:keepNext w:val="0"/>
              <w:keepLines w:val="0"/>
              <w:pageBreakBefore w:val="0"/>
              <w:wordWrap w:val="0"/>
              <w:overflowPunct/>
              <w:topLinePunct w:val="0"/>
              <w:bidi w:val="0"/>
              <w:spacing w:before="130"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E11FF32">
            <w:pPr>
              <w:keepNext w:val="0"/>
              <w:keepLines w:val="0"/>
              <w:pageBreakBefore w:val="0"/>
              <w:wordWrap w:val="0"/>
              <w:overflowPunct/>
              <w:topLinePunct w:val="0"/>
              <w:bidi w:val="0"/>
              <w:spacing w:before="13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D190708">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F21A7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7BAD8DF1">
            <w:pPr>
              <w:keepNext w:val="0"/>
              <w:keepLines w:val="0"/>
              <w:pageBreakBefore w:val="0"/>
              <w:wordWrap w:val="0"/>
              <w:overflowPunct/>
              <w:topLinePunct w:val="0"/>
              <w:bidi w:val="0"/>
              <w:spacing w:before="130" w:line="327" w:lineRule="auto"/>
              <w:ind w:left="115" w:right="168"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（一）施工高度 50m 及以上的建筑幕墙安装工 程。</w:t>
            </w:r>
          </w:p>
        </w:tc>
        <w:tc>
          <w:tcPr>
            <w:tcW w:w="1294" w:type="dxa"/>
            <w:vAlign w:val="top"/>
          </w:tcPr>
          <w:p w14:paraId="3E09E110">
            <w:pPr>
              <w:pStyle w:val="31"/>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64857814">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EA58C26">
            <w:pPr>
              <w:pStyle w:val="31"/>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5ADCAA67">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80D88CC">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832B5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FDC97CD">
            <w:pPr>
              <w:keepNext w:val="0"/>
              <w:keepLines w:val="0"/>
              <w:pageBreakBefore w:val="0"/>
              <w:wordWrap w:val="0"/>
              <w:overflowPunct/>
              <w:topLinePunct w:val="0"/>
              <w:bidi w:val="0"/>
              <w:spacing w:before="130" w:line="221"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（二）跨度 36m 及以上的钢结构安装工程，或</w:t>
            </w:r>
          </w:p>
        </w:tc>
        <w:tc>
          <w:tcPr>
            <w:tcW w:w="1294" w:type="dxa"/>
            <w:vAlign w:val="top"/>
          </w:tcPr>
          <w:p w14:paraId="687160DD">
            <w:pPr>
              <w:keepNext w:val="0"/>
              <w:keepLines w:val="0"/>
              <w:pageBreakBefore w:val="0"/>
              <w:wordWrap w:val="0"/>
              <w:overflowPunct/>
              <w:topLinePunct w:val="0"/>
              <w:bidi w:val="0"/>
              <w:spacing w:before="130"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96002C5">
            <w:pPr>
              <w:keepNext w:val="0"/>
              <w:keepLines w:val="0"/>
              <w:pageBreakBefore w:val="0"/>
              <w:wordWrap w:val="0"/>
              <w:overflowPunct/>
              <w:topLinePunct w:val="0"/>
              <w:bidi w:val="0"/>
              <w:spacing w:before="13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D9D3E24">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86AF4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7A539FC">
            <w:pPr>
              <w:keepNext w:val="0"/>
              <w:keepLines w:val="0"/>
              <w:pageBreakBefore w:val="0"/>
              <w:wordWrap w:val="0"/>
              <w:overflowPunct/>
              <w:topLinePunct w:val="0"/>
              <w:bidi w:val="0"/>
              <w:spacing w:before="131" w:line="221" w:lineRule="auto"/>
              <w:ind w:left="11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跨度 60m 及以上的网架和索膜结构安装工程。</w:t>
            </w:r>
          </w:p>
        </w:tc>
        <w:tc>
          <w:tcPr>
            <w:tcW w:w="1294" w:type="dxa"/>
            <w:vAlign w:val="top"/>
          </w:tcPr>
          <w:p w14:paraId="1082325C">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c>
          <w:tcPr>
            <w:tcW w:w="1294" w:type="dxa"/>
            <w:vAlign w:val="top"/>
          </w:tcPr>
          <w:p w14:paraId="620018C5">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c>
          <w:tcPr>
            <w:tcW w:w="2428" w:type="dxa"/>
            <w:vAlign w:val="top"/>
          </w:tcPr>
          <w:p w14:paraId="4A385790">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0FEF7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0374C66">
            <w:pPr>
              <w:keepNext w:val="0"/>
              <w:keepLines w:val="0"/>
              <w:pageBreakBefore w:val="0"/>
              <w:wordWrap w:val="0"/>
              <w:overflowPunct/>
              <w:topLinePunct w:val="0"/>
              <w:bidi w:val="0"/>
              <w:spacing w:before="127" w:line="220"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（三）开挖深度 16m 及以上的人工挖孔桩工程。</w:t>
            </w:r>
          </w:p>
        </w:tc>
        <w:tc>
          <w:tcPr>
            <w:tcW w:w="1294" w:type="dxa"/>
            <w:vAlign w:val="top"/>
          </w:tcPr>
          <w:p w14:paraId="01270E08">
            <w:pPr>
              <w:keepNext w:val="0"/>
              <w:keepLines w:val="0"/>
              <w:pageBreakBefore w:val="0"/>
              <w:wordWrap w:val="0"/>
              <w:overflowPunct/>
              <w:topLinePunct w:val="0"/>
              <w:bidi w:val="0"/>
              <w:spacing w:before="127"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BE371DC">
            <w:pPr>
              <w:keepNext w:val="0"/>
              <w:keepLines w:val="0"/>
              <w:pageBreakBefore w:val="0"/>
              <w:wordWrap w:val="0"/>
              <w:overflowPunct/>
              <w:topLinePunct w:val="0"/>
              <w:bidi w:val="0"/>
              <w:spacing w:before="127"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FB6DAA2">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59BF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67086321">
            <w:pPr>
              <w:keepNext w:val="0"/>
              <w:keepLines w:val="0"/>
              <w:pageBreakBefore w:val="0"/>
              <w:wordWrap w:val="0"/>
              <w:overflowPunct/>
              <w:topLinePunct w:val="0"/>
              <w:bidi w:val="0"/>
              <w:spacing w:before="129"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（四）水下作业工程。</w:t>
            </w:r>
          </w:p>
        </w:tc>
        <w:tc>
          <w:tcPr>
            <w:tcW w:w="1294" w:type="dxa"/>
            <w:vAlign w:val="top"/>
          </w:tcPr>
          <w:p w14:paraId="54BE52D1">
            <w:pPr>
              <w:keepNext w:val="0"/>
              <w:keepLines w:val="0"/>
              <w:pageBreakBefore w:val="0"/>
              <w:wordWrap w:val="0"/>
              <w:overflowPunct/>
              <w:topLinePunct w:val="0"/>
              <w:bidi w:val="0"/>
              <w:spacing w:before="163"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1BA2A96F">
            <w:pPr>
              <w:keepNext w:val="0"/>
              <w:keepLines w:val="0"/>
              <w:pageBreakBefore w:val="0"/>
              <w:wordWrap w:val="0"/>
              <w:overflowPunct/>
              <w:topLinePunct w:val="0"/>
              <w:bidi w:val="0"/>
              <w:spacing w:before="163"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84FFF13">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8BF09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4AFD5895">
            <w:pPr>
              <w:keepNext w:val="0"/>
              <w:keepLines w:val="0"/>
              <w:pageBreakBefore w:val="0"/>
              <w:wordWrap w:val="0"/>
              <w:overflowPunct/>
              <w:topLinePunct w:val="0"/>
              <w:bidi w:val="0"/>
              <w:spacing w:before="130" w:line="327" w:lineRule="auto"/>
              <w:ind w:left="115" w:right="25"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（五）重量 1000kN及以上的大型结构整体顶升、 平移、转体等施工工艺。</w:t>
            </w:r>
          </w:p>
        </w:tc>
        <w:tc>
          <w:tcPr>
            <w:tcW w:w="1294" w:type="dxa"/>
            <w:vAlign w:val="top"/>
          </w:tcPr>
          <w:p w14:paraId="5D755CF4">
            <w:pPr>
              <w:pStyle w:val="31"/>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51DF4FD7">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264A5D5">
            <w:pPr>
              <w:pStyle w:val="31"/>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75FC3D7A">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C0D1E4F">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640E7A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4E874D5">
            <w:pPr>
              <w:keepNext w:val="0"/>
              <w:keepLines w:val="0"/>
              <w:pageBreakBefore w:val="0"/>
              <w:wordWrap w:val="0"/>
              <w:overflowPunct/>
              <w:topLinePunct w:val="0"/>
              <w:bidi w:val="0"/>
              <w:spacing w:before="129" w:line="346" w:lineRule="auto"/>
              <w:ind w:left="117" w:right="168" w:firstLine="1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（六）采用新技术、新工艺、新材料、新设备 可能影响工程施工安全，尚无国家、行业及地 方技术标准的分部分项工程。</w:t>
            </w:r>
          </w:p>
        </w:tc>
        <w:tc>
          <w:tcPr>
            <w:tcW w:w="1294" w:type="dxa"/>
            <w:vAlign w:val="top"/>
          </w:tcPr>
          <w:p w14:paraId="1A520949">
            <w:pPr>
              <w:pStyle w:val="31"/>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7F1A9BA9">
            <w:pPr>
              <w:pStyle w:val="31"/>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2347AA80">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E18931D">
            <w:pPr>
              <w:pStyle w:val="31"/>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447D3D23">
            <w:pPr>
              <w:pStyle w:val="31"/>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13AD6E02">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3D8AFE0">
            <w:pPr>
              <w:pStyle w:val="31"/>
              <w:keepNext w:val="0"/>
              <w:keepLines w:val="0"/>
              <w:pageBreakBefore w:val="0"/>
              <w:wordWrap w:val="0"/>
              <w:overflowPunct/>
              <w:topLinePunct w:val="0"/>
              <w:bidi w:val="0"/>
              <w:rPr>
                <w:rFonts w:hint="eastAsia" w:ascii="宋体" w:hAnsi="宋体" w:eastAsia="宋体" w:cs="宋体"/>
                <w:color w:val="auto"/>
                <w:spacing w:val="0"/>
                <w:highlight w:val="none"/>
              </w:rPr>
            </w:pPr>
          </w:p>
        </w:tc>
      </w:tr>
    </w:tbl>
    <w:p w14:paraId="658D3124">
      <w:pPr>
        <w:pStyle w:val="8"/>
        <w:keepNext w:val="0"/>
        <w:keepLines w:val="0"/>
        <w:pageBreakBefore w:val="0"/>
        <w:wordWrap w:val="0"/>
        <w:overflowPunct/>
        <w:topLinePunct w:val="0"/>
        <w:bidi w:val="0"/>
        <w:spacing w:line="288" w:lineRule="auto"/>
        <w:rPr>
          <w:rFonts w:hint="eastAsia" w:ascii="宋体" w:hAnsi="宋体" w:eastAsia="宋体" w:cs="宋体"/>
          <w:color w:val="auto"/>
          <w:spacing w:val="0"/>
          <w:highlight w:val="none"/>
        </w:rPr>
      </w:pPr>
    </w:p>
    <w:p w14:paraId="199F441F">
      <w:pPr>
        <w:pStyle w:val="8"/>
        <w:keepNext w:val="0"/>
        <w:keepLines w:val="0"/>
        <w:pageBreakBefore w:val="0"/>
        <w:wordWrap w:val="0"/>
        <w:overflowPunct/>
        <w:topLinePunct w:val="0"/>
        <w:bidi w:val="0"/>
        <w:spacing w:line="288" w:lineRule="auto"/>
        <w:rPr>
          <w:rFonts w:hint="eastAsia" w:ascii="宋体" w:hAnsi="宋体" w:eastAsia="宋体" w:cs="宋体"/>
          <w:color w:val="auto"/>
          <w:spacing w:val="0"/>
          <w:highlight w:val="none"/>
        </w:rPr>
      </w:pPr>
    </w:p>
    <w:p w14:paraId="2D7986C2">
      <w:pPr>
        <w:keepNext w:val="0"/>
        <w:keepLines w:val="0"/>
        <w:pageBreakBefore w:val="0"/>
        <w:wordWrap w:val="0"/>
        <w:overflowPunct/>
        <w:topLinePunct w:val="0"/>
        <w:bidi w:val="0"/>
        <w:spacing w:before="21" w:line="360" w:lineRule="auto"/>
        <w:ind w:firstLine="420" w:firstLineChars="200"/>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备注：1.根据《危险性较大的分部分项工程安全管理规定》，该《危险性较大的分部分项工程清单及超过一定规模的危险性较大的分部分项工程清单》</w:t>
      </w:r>
      <w:r>
        <w:rPr>
          <w:rFonts w:hint="eastAsia" w:ascii="宋体" w:hAnsi="宋体" w:eastAsia="宋体" w:cs="宋体"/>
          <w:color w:val="auto"/>
          <w:spacing w:val="0"/>
          <w:sz w:val="21"/>
          <w:szCs w:val="21"/>
          <w:highlight w:val="none"/>
          <w:lang w:eastAsia="zh-CN"/>
        </w:rPr>
        <w:t>应由建设单位组织勘察、设计等单位在招标文件中“勾选（对应项打“√”标识”危险性较大的分部分项工程。</w:t>
      </w:r>
    </w:p>
    <w:p w14:paraId="761BB22D">
      <w:pPr>
        <w:keepNext w:val="0"/>
        <w:keepLines w:val="0"/>
        <w:pageBreakBefore w:val="0"/>
        <w:wordWrap w:val="0"/>
        <w:overflowPunct/>
        <w:topLinePunct w:val="0"/>
        <w:bidi w:val="0"/>
        <w:spacing w:before="21" w:line="360" w:lineRule="auto"/>
        <w:ind w:firstLine="420" w:firstLineChars="200"/>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2.该《危险性较大的分部分项工程清单及超过一定规模的危险性较大的分部分项工程清单》在办理建设项目施工许可时必须提供，且各地建设行政主管部门可按照《广东省建设工程项目招标中标后监督 检查办法》相关规定开展检查。</w:t>
      </w:r>
    </w:p>
    <w:p w14:paraId="3CA43F8B">
      <w:pPr>
        <w:keepNext w:val="0"/>
        <w:keepLines w:val="0"/>
        <w:pageBreakBefore w:val="0"/>
        <w:wordWrap w:val="0"/>
        <w:overflowPunct/>
        <w:topLinePunct w:val="0"/>
        <w:bidi w:val="0"/>
        <w:spacing w:before="28" w:line="360" w:lineRule="auto"/>
        <w:ind w:left="545" w:leftChars="244" w:hanging="33" w:hangingChars="16"/>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3.如果需要（如需要通过计算编制专项方案，或者需要专家论证），可中标后提供</w:t>
      </w:r>
      <w:r>
        <w:rPr>
          <w:rFonts w:hint="eastAsia" w:ascii="宋体" w:hAnsi="宋体" w:eastAsia="宋体" w:cs="宋体"/>
          <w:color w:val="auto"/>
          <w:spacing w:val="0"/>
          <w:sz w:val="21"/>
          <w:szCs w:val="21"/>
          <w:highlight w:val="none"/>
          <w:lang w:eastAsia="zh-CN"/>
        </w:rPr>
        <w:t>详细版。</w:t>
      </w:r>
    </w:p>
    <w:p w14:paraId="181EE1C9">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2C79ABA9">
      <w:pPr>
        <w:keepNext w:val="0"/>
        <w:keepLines w:val="0"/>
        <w:pageBreakBefore w:val="0"/>
        <w:wordWrap w:val="0"/>
        <w:overflowPunct/>
        <w:topLinePunct w:val="0"/>
        <w:bidi w:val="0"/>
        <w:spacing w:before="78" w:line="220" w:lineRule="auto"/>
        <w:jc w:val="both"/>
        <w:outlineLvl w:val="2"/>
        <w:rPr>
          <w:rFonts w:hint="default" w:ascii="宋体" w:hAnsi="宋体" w:eastAsia="宋体" w:cs="宋体"/>
          <w:b/>
          <w:bCs/>
          <w:color w:val="auto"/>
          <w:spacing w:val="0"/>
          <w:sz w:val="24"/>
          <w:szCs w:val="24"/>
          <w:highlight w:val="none"/>
          <w:lang w:val="en-US" w:eastAsia="zh-CN"/>
        </w:rPr>
      </w:pPr>
      <w:bookmarkStart w:id="261" w:name="_Toc24074"/>
      <w:r>
        <w:rPr>
          <w:rFonts w:hint="eastAsia" w:ascii="宋体" w:hAnsi="宋体" w:eastAsia="宋体" w:cs="宋体"/>
          <w:b/>
          <w:bCs/>
          <w:color w:val="auto"/>
          <w:spacing w:val="0"/>
          <w:sz w:val="24"/>
          <w:szCs w:val="24"/>
          <w:highlight w:val="none"/>
        </w:rPr>
        <w:t>格式十四</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position w:val="3"/>
          <w:sz w:val="21"/>
          <w:szCs w:val="21"/>
          <w:highlight w:val="none"/>
        </w:rPr>
        <w:t>投标保证金信用承诺函</w:t>
      </w:r>
      <w:bookmarkEnd w:id="261"/>
    </w:p>
    <w:p w14:paraId="2D2A2C48">
      <w:pPr>
        <w:keepNext w:val="0"/>
        <w:keepLines w:val="0"/>
        <w:pageBreakBefore w:val="0"/>
        <w:wordWrap w:val="0"/>
        <w:overflowPunct/>
        <w:topLinePunct w:val="0"/>
        <w:bidi w:val="0"/>
        <w:spacing w:before="140" w:line="604" w:lineRule="exact"/>
        <w:jc w:val="center"/>
        <w:rPr>
          <w:rFonts w:hint="eastAsia" w:ascii="宋体" w:hAnsi="宋体" w:eastAsia="宋体" w:cs="宋体"/>
          <w:color w:val="auto"/>
          <w:spacing w:val="0"/>
          <w:sz w:val="28"/>
          <w:szCs w:val="28"/>
          <w:highlight w:val="none"/>
        </w:rPr>
      </w:pPr>
      <w:r>
        <w:rPr>
          <w:rFonts w:hint="eastAsia" w:ascii="宋体" w:hAnsi="宋体" w:eastAsia="宋体" w:cs="宋体"/>
          <w:b/>
          <w:bCs/>
          <w:color w:val="auto"/>
          <w:spacing w:val="0"/>
          <w:position w:val="3"/>
          <w:sz w:val="28"/>
          <w:szCs w:val="28"/>
          <w:highlight w:val="none"/>
        </w:rPr>
        <w:t>投标保证金信用承诺函</w:t>
      </w:r>
    </w:p>
    <w:p w14:paraId="66DF5DE4">
      <w:pPr>
        <w:pStyle w:val="8"/>
        <w:keepNext w:val="0"/>
        <w:keepLines w:val="0"/>
        <w:pageBreakBefore w:val="0"/>
        <w:wordWrap w:val="0"/>
        <w:overflowPunct/>
        <w:topLinePunct w:val="0"/>
        <w:bidi w:val="0"/>
        <w:spacing w:line="408" w:lineRule="auto"/>
        <w:rPr>
          <w:rFonts w:hint="eastAsia" w:ascii="宋体" w:hAnsi="宋体" w:eastAsia="宋体" w:cs="宋体"/>
          <w:color w:val="auto"/>
          <w:spacing w:val="0"/>
          <w:highlight w:val="none"/>
        </w:rPr>
      </w:pPr>
    </w:p>
    <w:p w14:paraId="69D0BF15">
      <w:pPr>
        <w:keepNext w:val="0"/>
        <w:keepLines w:val="0"/>
        <w:pageBreakBefore w:val="0"/>
        <w:wordWrap w:val="0"/>
        <w:overflowPunct/>
        <w:topLinePunct w:val="0"/>
        <w:bidi w:val="0"/>
        <w:spacing w:before="101" w:line="257" w:lineRule="auto"/>
        <w:ind w:left="3" w:firstLine="965"/>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一、</w:t>
      </w:r>
      <w:r>
        <w:rPr>
          <w:rFonts w:hint="eastAsia" w:ascii="宋体" w:hAnsi="宋体" w:eastAsia="宋体" w:cs="宋体"/>
          <w:color w:val="auto"/>
          <w:spacing w:val="0"/>
          <w:sz w:val="24"/>
          <w:szCs w:val="24"/>
          <w:highlight w:val="none"/>
        </w:rPr>
        <w:t>我单位参加</w:t>
      </w:r>
      <w:r>
        <w:rPr>
          <w:rFonts w:hint="eastAsia" w:ascii="宋体" w:hAnsi="宋体" w:eastAsia="宋体" w:cs="宋体"/>
          <w:color w:val="auto"/>
          <w:spacing w:val="0"/>
          <w:sz w:val="24"/>
          <w:szCs w:val="24"/>
          <w:highlight w:val="none"/>
          <w:u w:val="single"/>
        </w:rPr>
        <w:t xml:space="preserve">  （工程项目名称）  </w:t>
      </w:r>
      <w:r>
        <w:rPr>
          <w:rFonts w:hint="eastAsia" w:ascii="宋体" w:hAnsi="宋体" w:eastAsia="宋体" w:cs="宋体"/>
          <w:color w:val="auto"/>
          <w:spacing w:val="0"/>
          <w:sz w:val="24"/>
          <w:szCs w:val="24"/>
          <w:highlight w:val="none"/>
        </w:rPr>
        <w:t xml:space="preserve"> 的投标活动，现承诺：将严格按照法律法规规定参与交易活动，按照招标文件要求 依法履行投标人义务；我方若出现违反《中华人民共和国招标投标法》、《中华人民共和国招标投标法实施条例》、《电子招标 投标办法》等有关法律法规的行为，将于投标有效期内全额付清 招标文件规定的投标保证金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元。</w:t>
      </w:r>
    </w:p>
    <w:p w14:paraId="704B9A28">
      <w:pPr>
        <w:keepNext w:val="0"/>
        <w:keepLines w:val="0"/>
        <w:pageBreakBefore w:val="0"/>
        <w:wordWrap w:val="0"/>
        <w:overflowPunct/>
        <w:topLinePunct w:val="0"/>
        <w:bidi w:val="0"/>
        <w:spacing w:before="48" w:line="252" w:lineRule="auto"/>
        <w:ind w:left="1" w:firstLine="64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二、至投标文件提交当天，本公司无严重不良信用记录或存在曾作出虚假承诺的情形，且不属于韶关市建筑市场信用管理平 台公布的信用等级为 B 级、C 级、D 级的企业。</w:t>
      </w:r>
    </w:p>
    <w:p w14:paraId="1700F061">
      <w:pPr>
        <w:keepNext w:val="0"/>
        <w:keepLines w:val="0"/>
        <w:pageBreakBefore w:val="0"/>
        <w:wordWrap w:val="0"/>
        <w:overflowPunct/>
        <w:topLinePunct w:val="0"/>
        <w:bidi w:val="0"/>
        <w:spacing w:before="52" w:line="247" w:lineRule="auto"/>
        <w:ind w:left="6" w:right="2" w:firstLine="63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本企业对以上承诺和声明负责。如有虚假，愿接受行政主管部门作出的处罚，并承担以下后果：</w:t>
      </w:r>
    </w:p>
    <w:p w14:paraId="619E1090">
      <w:pPr>
        <w:keepNext w:val="0"/>
        <w:keepLines w:val="0"/>
        <w:pageBreakBefore w:val="0"/>
        <w:wordWrap w:val="0"/>
        <w:overflowPunct/>
        <w:topLinePunct w:val="0"/>
        <w:bidi w:val="0"/>
        <w:spacing w:before="48" w:line="225"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（一）取消本单位在本项目中的投标资格或中标资格；</w:t>
      </w:r>
    </w:p>
    <w:p w14:paraId="646C0B43">
      <w:pPr>
        <w:keepNext w:val="0"/>
        <w:keepLines w:val="0"/>
        <w:pageBreakBefore w:val="0"/>
        <w:wordWrap w:val="0"/>
        <w:overflowPunct/>
        <w:topLinePunct w:val="0"/>
        <w:bidi w:val="0"/>
        <w:spacing w:before="64" w:line="225"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（二）将本单位不良行为纳入信用信息管理系统；</w:t>
      </w:r>
    </w:p>
    <w:p w14:paraId="6A98DF32">
      <w:pPr>
        <w:keepNext w:val="0"/>
        <w:keepLines w:val="0"/>
        <w:pageBreakBefore w:val="0"/>
        <w:wordWrap w:val="0"/>
        <w:overflowPunct/>
        <w:topLinePunct w:val="0"/>
        <w:bidi w:val="0"/>
        <w:spacing w:before="60" w:line="244" w:lineRule="auto"/>
        <w:ind w:left="41" w:right="2" w:firstLine="6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（三）主动在产生不良行为所在的各县（市、区）行政区域内不参加房建市政工程项目的投标活动一年；</w:t>
      </w:r>
    </w:p>
    <w:p w14:paraId="4917FCE5">
      <w:pPr>
        <w:keepNext w:val="0"/>
        <w:keepLines w:val="0"/>
        <w:pageBreakBefore w:val="0"/>
        <w:wordWrap w:val="0"/>
        <w:overflowPunct/>
        <w:topLinePunct w:val="0"/>
        <w:bidi w:val="0"/>
        <w:spacing w:before="63" w:line="225"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（四）应付的赔偿责任和相应法律责任。</w:t>
      </w:r>
    </w:p>
    <w:p w14:paraId="59535642">
      <w:pPr>
        <w:pStyle w:val="8"/>
        <w:keepNext w:val="0"/>
        <w:keepLines w:val="0"/>
        <w:pageBreakBefore w:val="0"/>
        <w:wordWrap w:val="0"/>
        <w:overflowPunct/>
        <w:topLinePunct w:val="0"/>
        <w:bidi w:val="0"/>
        <w:spacing w:line="329" w:lineRule="auto"/>
        <w:rPr>
          <w:rFonts w:hint="eastAsia" w:ascii="宋体" w:hAnsi="宋体" w:eastAsia="宋体" w:cs="宋体"/>
          <w:color w:val="auto"/>
          <w:spacing w:val="0"/>
          <w:sz w:val="24"/>
          <w:szCs w:val="24"/>
          <w:highlight w:val="none"/>
        </w:rPr>
      </w:pPr>
    </w:p>
    <w:p w14:paraId="1690E963">
      <w:pPr>
        <w:keepNext w:val="0"/>
        <w:keepLines w:val="0"/>
        <w:pageBreakBefore w:val="0"/>
        <w:wordWrap w:val="0"/>
        <w:overflowPunct/>
        <w:topLinePunct w:val="0"/>
        <w:bidi w:val="0"/>
        <w:spacing w:before="102" w:line="225" w:lineRule="auto"/>
        <w:ind w:left="8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单位名称（公章）：</w:t>
      </w:r>
    </w:p>
    <w:p w14:paraId="75190ACB">
      <w:pPr>
        <w:pStyle w:val="8"/>
        <w:keepNext w:val="0"/>
        <w:keepLines w:val="0"/>
        <w:pageBreakBefore w:val="0"/>
        <w:wordWrap w:val="0"/>
        <w:overflowPunct/>
        <w:topLinePunct w:val="0"/>
        <w:bidi w:val="0"/>
        <w:spacing w:line="457" w:lineRule="auto"/>
        <w:rPr>
          <w:rFonts w:hint="eastAsia" w:ascii="宋体" w:hAnsi="宋体" w:eastAsia="宋体" w:cs="宋体"/>
          <w:color w:val="auto"/>
          <w:spacing w:val="0"/>
          <w:sz w:val="24"/>
          <w:szCs w:val="24"/>
          <w:highlight w:val="none"/>
        </w:rPr>
      </w:pPr>
    </w:p>
    <w:p w14:paraId="02A9FEC8">
      <w:pPr>
        <w:keepNext w:val="0"/>
        <w:keepLines w:val="0"/>
        <w:pageBreakBefore w:val="0"/>
        <w:wordWrap w:val="0"/>
        <w:overflowPunct/>
        <w:topLinePunct w:val="0"/>
        <w:bidi w:val="0"/>
        <w:spacing w:before="100" w:line="225" w:lineRule="auto"/>
        <w:ind w:left="85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统一社会信用代码：</w:t>
      </w:r>
    </w:p>
    <w:p w14:paraId="47162351">
      <w:pPr>
        <w:pStyle w:val="8"/>
        <w:keepNext w:val="0"/>
        <w:keepLines w:val="0"/>
        <w:pageBreakBefore w:val="0"/>
        <w:wordWrap w:val="0"/>
        <w:overflowPunct/>
        <w:topLinePunct w:val="0"/>
        <w:bidi w:val="0"/>
        <w:spacing w:line="457" w:lineRule="auto"/>
        <w:rPr>
          <w:rFonts w:hint="eastAsia" w:ascii="宋体" w:hAnsi="宋体" w:eastAsia="宋体" w:cs="宋体"/>
          <w:color w:val="auto"/>
          <w:spacing w:val="0"/>
          <w:sz w:val="24"/>
          <w:szCs w:val="24"/>
          <w:highlight w:val="none"/>
        </w:rPr>
      </w:pPr>
    </w:p>
    <w:p w14:paraId="074D0F90">
      <w:pPr>
        <w:keepNext w:val="0"/>
        <w:keepLines w:val="0"/>
        <w:pageBreakBefore w:val="0"/>
        <w:wordWrap w:val="0"/>
        <w:overflowPunct/>
        <w:topLinePunct w:val="0"/>
        <w:bidi w:val="0"/>
        <w:spacing w:before="102" w:line="543" w:lineRule="auto"/>
        <w:ind w:left="844" w:right="50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法定代表人（签字）：</w:t>
      </w:r>
    </w:p>
    <w:p w14:paraId="3B1E9974">
      <w:pPr>
        <w:keepNext w:val="0"/>
        <w:keepLines w:val="0"/>
        <w:pageBreakBefore w:val="0"/>
        <w:wordWrap w:val="0"/>
        <w:overflowPunct/>
        <w:topLinePunct w:val="0"/>
        <w:bidi w:val="0"/>
        <w:spacing w:before="102" w:line="543" w:lineRule="auto"/>
        <w:ind w:left="844" w:right="50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 年   月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日</w:t>
      </w:r>
    </w:p>
    <w:p w14:paraId="08FA8EAC">
      <w:pPr>
        <w:pStyle w:val="16"/>
        <w:keepNext w:val="0"/>
        <w:keepLines w:val="0"/>
        <w:pageBreakBefore w:val="0"/>
        <w:wordWrap w:val="0"/>
        <w:overflowPunct/>
        <w:topLinePunct w:val="0"/>
        <w:bidi w:val="0"/>
        <w:rPr>
          <w:rFonts w:hint="eastAsia" w:ascii="宋体" w:hAnsi="宋体" w:eastAsia="宋体" w:cs="宋体"/>
          <w:color w:val="auto"/>
          <w:spacing w:val="0"/>
          <w:highlight w:val="none"/>
        </w:rPr>
      </w:pPr>
    </w:p>
    <w:p w14:paraId="4A8B10DA">
      <w:pPr>
        <w:pStyle w:val="16"/>
        <w:keepNext w:val="0"/>
        <w:keepLines w:val="0"/>
        <w:pageBreakBefore w:val="0"/>
        <w:wordWrap w:val="0"/>
        <w:overflowPunct/>
        <w:topLinePunct w:val="0"/>
        <w:bidi w:val="0"/>
        <w:rPr>
          <w:rFonts w:hint="eastAsia" w:ascii="宋体" w:hAnsi="宋体" w:eastAsia="宋体" w:cs="宋体"/>
          <w:color w:val="auto"/>
          <w:spacing w:val="0"/>
          <w:sz w:val="24"/>
          <w:szCs w:val="24"/>
          <w:highlight w:val="none"/>
          <w:lang w:eastAsia="zh-CN"/>
        </w:rPr>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954FFED">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62" w:name="_Toc16593"/>
      <w:r>
        <w:rPr>
          <w:rFonts w:hint="eastAsia" w:ascii="宋体" w:hAnsi="宋体" w:eastAsia="宋体" w:cs="宋体"/>
          <w:b/>
          <w:bCs/>
          <w:color w:val="auto"/>
          <w:spacing w:val="0"/>
          <w:sz w:val="24"/>
          <w:szCs w:val="24"/>
          <w:highlight w:val="none"/>
        </w:rPr>
        <w:t>格式十</w:t>
      </w:r>
      <w:r>
        <w:rPr>
          <w:rFonts w:hint="eastAsia" w:ascii="宋体" w:hAnsi="宋体" w:eastAsia="宋体" w:cs="宋体"/>
          <w:b/>
          <w:bCs/>
          <w:color w:val="auto"/>
          <w:spacing w:val="0"/>
          <w:sz w:val="24"/>
          <w:szCs w:val="24"/>
          <w:highlight w:val="none"/>
          <w:lang w:eastAsia="zh-CN"/>
        </w:rPr>
        <w:t>五</w:t>
      </w:r>
      <w:r>
        <w:rPr>
          <w:rFonts w:hint="eastAsia" w:ascii="宋体" w:hAnsi="宋体" w:eastAsia="宋体" w:cs="宋体"/>
          <w:b/>
          <w:bCs/>
          <w:color w:val="auto"/>
          <w:spacing w:val="0"/>
          <w:sz w:val="24"/>
          <w:szCs w:val="24"/>
          <w:highlight w:val="none"/>
        </w:rPr>
        <w:t xml:space="preserve">  原件一览表</w:t>
      </w:r>
      <w:bookmarkEnd w:id="262"/>
    </w:p>
    <w:tbl>
      <w:tblPr>
        <w:tblStyle w:val="17"/>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6673F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2C9A0FE6">
            <w:pPr>
              <w:keepNext w:val="0"/>
              <w:keepLines w:val="0"/>
              <w:pageBreakBefore w:val="0"/>
              <w:wordWrap w:val="0"/>
              <w:overflowPunct/>
              <w:topLinePunct w:val="0"/>
              <w:bidi w:val="0"/>
              <w:spacing w:before="132" w:line="220" w:lineRule="auto"/>
              <w:ind w:left="396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原件一览表</w:t>
            </w:r>
          </w:p>
        </w:tc>
      </w:tr>
      <w:tr w14:paraId="6E7B61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center"/>
          </w:tcPr>
          <w:p w14:paraId="5E648395">
            <w:pPr>
              <w:keepNext w:val="0"/>
              <w:keepLines w:val="0"/>
              <w:pageBreakBefore w:val="0"/>
              <w:wordWrap w:val="0"/>
              <w:overflowPunct/>
              <w:topLinePunct w:val="0"/>
              <w:bidi w:val="0"/>
              <w:spacing w:before="62" w:line="23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工程名称</w:t>
            </w:r>
          </w:p>
        </w:tc>
        <w:tc>
          <w:tcPr>
            <w:tcW w:w="6816" w:type="dxa"/>
            <w:gridSpan w:val="6"/>
            <w:vAlign w:val="top"/>
          </w:tcPr>
          <w:p w14:paraId="2BC3E548">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1BF0EA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7966F17F">
            <w:pPr>
              <w:keepNext w:val="0"/>
              <w:keepLines w:val="0"/>
              <w:pageBreakBefore w:val="0"/>
              <w:wordWrap w:val="0"/>
              <w:overflowPunct/>
              <w:topLinePunct w:val="0"/>
              <w:bidi w:val="0"/>
              <w:spacing w:before="150" w:line="230"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投标人名称(请务必填写单位全称)</w:t>
            </w:r>
          </w:p>
        </w:tc>
        <w:tc>
          <w:tcPr>
            <w:tcW w:w="6816" w:type="dxa"/>
            <w:gridSpan w:val="6"/>
            <w:vAlign w:val="top"/>
          </w:tcPr>
          <w:p w14:paraId="4B21757D">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3FBD0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4DF9074B">
            <w:pPr>
              <w:keepNext w:val="0"/>
              <w:keepLines w:val="0"/>
              <w:pageBreakBefore w:val="0"/>
              <w:wordWrap w:val="0"/>
              <w:overflowPunct/>
              <w:topLinePunct w:val="0"/>
              <w:bidi w:val="0"/>
              <w:spacing w:before="151"/>
              <w:ind w:right="14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投标人法定代表人或其委托代理人签名</w:t>
            </w:r>
          </w:p>
        </w:tc>
        <w:tc>
          <w:tcPr>
            <w:tcW w:w="2689" w:type="dxa"/>
            <w:gridSpan w:val="2"/>
            <w:vAlign w:val="top"/>
          </w:tcPr>
          <w:p w14:paraId="57D7E207">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499" w:type="dxa"/>
            <w:gridSpan w:val="2"/>
            <w:vAlign w:val="top"/>
          </w:tcPr>
          <w:p w14:paraId="2FDC98C5">
            <w:pPr>
              <w:keepNext w:val="0"/>
              <w:keepLines w:val="0"/>
              <w:pageBreakBefore w:val="0"/>
              <w:wordWrap w:val="0"/>
              <w:overflowPunct/>
              <w:topLinePunct w:val="0"/>
              <w:bidi w:val="0"/>
              <w:spacing w:before="151" w:line="312" w:lineRule="auto"/>
              <w:ind w:right="17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手机号码</w:t>
            </w:r>
          </w:p>
        </w:tc>
        <w:tc>
          <w:tcPr>
            <w:tcW w:w="2628" w:type="dxa"/>
            <w:gridSpan w:val="2"/>
            <w:vAlign w:val="top"/>
          </w:tcPr>
          <w:p w14:paraId="21C4D805">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656DCA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70139CF0">
            <w:pPr>
              <w:keepNext w:val="0"/>
              <w:keepLines w:val="0"/>
              <w:pageBreakBefore w:val="0"/>
              <w:wordWrap w:val="0"/>
              <w:overflowPunct/>
              <w:topLinePunct w:val="0"/>
              <w:bidi w:val="0"/>
              <w:spacing w:before="62" w:line="228" w:lineRule="auto"/>
              <w:ind w:left="336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递交的证明材料原件如下：</w:t>
            </w:r>
          </w:p>
        </w:tc>
      </w:tr>
      <w:tr w14:paraId="485AE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29EDD5ED">
            <w:pPr>
              <w:pStyle w:val="31"/>
              <w:keepNext w:val="0"/>
              <w:keepLines w:val="0"/>
              <w:pageBreakBefore w:val="0"/>
              <w:wordWrap w:val="0"/>
              <w:overflowPunct/>
              <w:topLinePunct w:val="0"/>
              <w:bidi w:val="0"/>
              <w:spacing w:line="257" w:lineRule="auto"/>
              <w:rPr>
                <w:rFonts w:hint="eastAsia" w:ascii="宋体" w:hAnsi="宋体" w:eastAsia="宋体" w:cs="宋体"/>
                <w:color w:val="auto"/>
                <w:spacing w:val="0"/>
                <w:sz w:val="24"/>
                <w:szCs w:val="24"/>
                <w:highlight w:val="none"/>
              </w:rPr>
            </w:pPr>
          </w:p>
          <w:p w14:paraId="1CFDD221">
            <w:pPr>
              <w:keepNext w:val="0"/>
              <w:keepLines w:val="0"/>
              <w:pageBreakBefore w:val="0"/>
              <w:wordWrap w:val="0"/>
              <w:overflowPunct/>
              <w:topLinePunct w:val="0"/>
              <w:bidi w:val="0"/>
              <w:spacing w:before="62" w:line="230" w:lineRule="auto"/>
              <w:ind w:left="15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5304" w:type="dxa"/>
            <w:gridSpan w:val="4"/>
            <w:vAlign w:val="top"/>
          </w:tcPr>
          <w:p w14:paraId="5D17C77A">
            <w:pPr>
              <w:pStyle w:val="31"/>
              <w:keepNext w:val="0"/>
              <w:keepLines w:val="0"/>
              <w:pageBreakBefore w:val="0"/>
              <w:wordWrap w:val="0"/>
              <w:overflowPunct/>
              <w:topLinePunct w:val="0"/>
              <w:bidi w:val="0"/>
              <w:spacing w:line="257" w:lineRule="auto"/>
              <w:rPr>
                <w:rFonts w:hint="eastAsia" w:ascii="宋体" w:hAnsi="宋体" w:eastAsia="宋体" w:cs="宋体"/>
                <w:color w:val="auto"/>
                <w:spacing w:val="0"/>
                <w:sz w:val="24"/>
                <w:szCs w:val="24"/>
                <w:highlight w:val="none"/>
              </w:rPr>
            </w:pPr>
          </w:p>
          <w:p w14:paraId="5B061FB8">
            <w:pPr>
              <w:keepNext w:val="0"/>
              <w:keepLines w:val="0"/>
              <w:pageBreakBefore w:val="0"/>
              <w:wordWrap w:val="0"/>
              <w:overflowPunct/>
              <w:topLinePunct w:val="0"/>
              <w:bidi w:val="0"/>
              <w:spacing w:before="61" w:line="228" w:lineRule="auto"/>
              <w:ind w:left="17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证明材料原件名称</w:t>
            </w:r>
          </w:p>
        </w:tc>
        <w:tc>
          <w:tcPr>
            <w:tcW w:w="1771" w:type="dxa"/>
            <w:gridSpan w:val="2"/>
            <w:vAlign w:val="top"/>
          </w:tcPr>
          <w:p w14:paraId="422BA98A">
            <w:pPr>
              <w:pStyle w:val="31"/>
              <w:keepNext w:val="0"/>
              <w:keepLines w:val="0"/>
              <w:pageBreakBefore w:val="0"/>
              <w:wordWrap w:val="0"/>
              <w:overflowPunct/>
              <w:topLinePunct w:val="0"/>
              <w:bidi w:val="0"/>
              <w:spacing w:line="256" w:lineRule="auto"/>
              <w:rPr>
                <w:rFonts w:hint="eastAsia" w:ascii="宋体" w:hAnsi="宋体" w:eastAsia="宋体" w:cs="宋体"/>
                <w:color w:val="auto"/>
                <w:spacing w:val="0"/>
                <w:sz w:val="24"/>
                <w:szCs w:val="24"/>
                <w:highlight w:val="none"/>
              </w:rPr>
            </w:pPr>
          </w:p>
          <w:p w14:paraId="41C47200">
            <w:pPr>
              <w:keepNext w:val="0"/>
              <w:keepLines w:val="0"/>
              <w:pageBreakBefore w:val="0"/>
              <w:wordWrap w:val="0"/>
              <w:overflowPunct/>
              <w:topLinePunct w:val="0"/>
              <w:bidi w:val="0"/>
              <w:spacing w:before="62" w:line="230" w:lineRule="auto"/>
              <w:ind w:left="6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单位</w:t>
            </w:r>
          </w:p>
        </w:tc>
        <w:tc>
          <w:tcPr>
            <w:tcW w:w="1637" w:type="dxa"/>
            <w:vAlign w:val="top"/>
          </w:tcPr>
          <w:p w14:paraId="5F1312ED">
            <w:pPr>
              <w:pStyle w:val="31"/>
              <w:keepNext w:val="0"/>
              <w:keepLines w:val="0"/>
              <w:pageBreakBefore w:val="0"/>
              <w:wordWrap w:val="0"/>
              <w:overflowPunct/>
              <w:topLinePunct w:val="0"/>
              <w:bidi w:val="0"/>
              <w:spacing w:line="256" w:lineRule="auto"/>
              <w:rPr>
                <w:rFonts w:hint="eastAsia" w:ascii="宋体" w:hAnsi="宋体" w:eastAsia="宋体" w:cs="宋体"/>
                <w:color w:val="auto"/>
                <w:spacing w:val="0"/>
                <w:sz w:val="24"/>
                <w:szCs w:val="24"/>
                <w:highlight w:val="none"/>
              </w:rPr>
            </w:pPr>
          </w:p>
          <w:p w14:paraId="2DE0B9E4">
            <w:pPr>
              <w:keepNext w:val="0"/>
              <w:keepLines w:val="0"/>
              <w:pageBreakBefore w:val="0"/>
              <w:wordWrap w:val="0"/>
              <w:overflowPunct/>
              <w:topLinePunct w:val="0"/>
              <w:bidi w:val="0"/>
              <w:spacing w:before="62" w:line="229" w:lineRule="auto"/>
              <w:ind w:left="5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数量</w:t>
            </w:r>
          </w:p>
        </w:tc>
      </w:tr>
      <w:tr w14:paraId="60BE56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7FE0613A">
            <w:pPr>
              <w:keepNext w:val="0"/>
              <w:keepLines w:val="0"/>
              <w:pageBreakBefore w:val="0"/>
              <w:wordWrap w:val="0"/>
              <w:overflowPunct/>
              <w:topLinePunct w:val="0"/>
              <w:bidi w:val="0"/>
              <w:spacing w:before="287" w:line="184" w:lineRule="auto"/>
              <w:ind w:left="3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5304" w:type="dxa"/>
            <w:gridSpan w:val="4"/>
            <w:vAlign w:val="top"/>
          </w:tcPr>
          <w:p w14:paraId="166DC365">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290AC910">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35C9C364">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57936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1D20AE0D">
            <w:pPr>
              <w:keepNext w:val="0"/>
              <w:keepLines w:val="0"/>
              <w:pageBreakBefore w:val="0"/>
              <w:wordWrap w:val="0"/>
              <w:overflowPunct/>
              <w:topLinePunct w:val="0"/>
              <w:bidi w:val="0"/>
              <w:spacing w:before="288" w:line="183" w:lineRule="auto"/>
              <w:ind w:left="3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5304" w:type="dxa"/>
            <w:gridSpan w:val="4"/>
            <w:vAlign w:val="top"/>
          </w:tcPr>
          <w:p w14:paraId="406B9462">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2A131F30">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5197C04B">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0A66BB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6F860A0">
            <w:pPr>
              <w:keepNext w:val="0"/>
              <w:keepLines w:val="0"/>
              <w:pageBreakBefore w:val="0"/>
              <w:wordWrap w:val="0"/>
              <w:overflowPunct/>
              <w:topLinePunct w:val="0"/>
              <w:bidi w:val="0"/>
              <w:spacing w:before="287" w:line="183" w:lineRule="auto"/>
              <w:ind w:left="30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5304" w:type="dxa"/>
            <w:gridSpan w:val="4"/>
            <w:vAlign w:val="top"/>
          </w:tcPr>
          <w:p w14:paraId="1B9B38B5">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77CAD3D1">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1E1A04AD">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7489D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1AE45D10">
            <w:pPr>
              <w:pStyle w:val="31"/>
              <w:keepNext w:val="0"/>
              <w:keepLines w:val="0"/>
              <w:pageBreakBefore w:val="0"/>
              <w:wordWrap w:val="0"/>
              <w:overflowPunct/>
              <w:topLinePunct w:val="0"/>
              <w:bidi w:val="0"/>
              <w:spacing w:line="348" w:lineRule="auto"/>
              <w:rPr>
                <w:rFonts w:hint="eastAsia" w:ascii="宋体" w:hAnsi="宋体" w:eastAsia="宋体" w:cs="宋体"/>
                <w:color w:val="auto"/>
                <w:spacing w:val="0"/>
                <w:sz w:val="24"/>
                <w:szCs w:val="24"/>
                <w:highlight w:val="none"/>
              </w:rPr>
            </w:pPr>
          </w:p>
          <w:p w14:paraId="547ADE5A">
            <w:pPr>
              <w:keepNext w:val="0"/>
              <w:keepLines w:val="0"/>
              <w:pageBreakBefore w:val="0"/>
              <w:wordWrap w:val="0"/>
              <w:overflowPunct/>
              <w:topLinePunct w:val="0"/>
              <w:bidi w:val="0"/>
              <w:spacing w:before="78" w:line="99" w:lineRule="exact"/>
              <w:ind w:left="18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1"/>
                <w:sz w:val="24"/>
                <w:szCs w:val="24"/>
                <w:highlight w:val="none"/>
              </w:rPr>
              <w:t>...</w:t>
            </w:r>
          </w:p>
        </w:tc>
        <w:tc>
          <w:tcPr>
            <w:tcW w:w="5304" w:type="dxa"/>
            <w:gridSpan w:val="4"/>
            <w:vAlign w:val="top"/>
          </w:tcPr>
          <w:p w14:paraId="4B81671A">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5388A7E4">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5AC54456">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0411D5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3EAB39C7">
            <w:pPr>
              <w:pStyle w:val="31"/>
              <w:keepNext w:val="0"/>
              <w:keepLines w:val="0"/>
              <w:pageBreakBefore w:val="0"/>
              <w:wordWrap w:val="0"/>
              <w:overflowPunct/>
              <w:topLinePunct w:val="0"/>
              <w:bidi w:val="0"/>
              <w:spacing w:line="274" w:lineRule="auto"/>
              <w:rPr>
                <w:rFonts w:hint="eastAsia" w:ascii="宋体" w:hAnsi="宋体" w:eastAsia="宋体" w:cs="宋体"/>
                <w:color w:val="auto"/>
                <w:spacing w:val="0"/>
                <w:sz w:val="24"/>
                <w:szCs w:val="24"/>
                <w:highlight w:val="none"/>
              </w:rPr>
            </w:pPr>
          </w:p>
          <w:p w14:paraId="55FD760D">
            <w:pPr>
              <w:pStyle w:val="31"/>
              <w:keepNext w:val="0"/>
              <w:keepLines w:val="0"/>
              <w:pageBreakBefore w:val="0"/>
              <w:wordWrap w:val="0"/>
              <w:overflowPunct/>
              <w:topLinePunct w:val="0"/>
              <w:bidi w:val="0"/>
              <w:spacing w:line="275" w:lineRule="auto"/>
              <w:rPr>
                <w:rFonts w:hint="eastAsia" w:ascii="宋体" w:hAnsi="宋体" w:eastAsia="宋体" w:cs="宋体"/>
                <w:color w:val="auto"/>
                <w:spacing w:val="0"/>
                <w:sz w:val="24"/>
                <w:szCs w:val="24"/>
                <w:highlight w:val="none"/>
              </w:rPr>
            </w:pPr>
          </w:p>
          <w:p w14:paraId="6FFCD2F6">
            <w:pPr>
              <w:pStyle w:val="31"/>
              <w:keepNext w:val="0"/>
              <w:keepLines w:val="0"/>
              <w:pageBreakBefore w:val="0"/>
              <w:wordWrap w:val="0"/>
              <w:overflowPunct/>
              <w:topLinePunct w:val="0"/>
              <w:bidi w:val="0"/>
              <w:spacing w:line="275" w:lineRule="auto"/>
              <w:rPr>
                <w:rFonts w:hint="eastAsia" w:ascii="宋体" w:hAnsi="宋体" w:eastAsia="宋体" w:cs="宋体"/>
                <w:color w:val="auto"/>
                <w:spacing w:val="0"/>
                <w:sz w:val="24"/>
                <w:szCs w:val="24"/>
                <w:highlight w:val="none"/>
              </w:rPr>
            </w:pPr>
          </w:p>
          <w:p w14:paraId="6DA8DAB2">
            <w:pPr>
              <w:keepNext w:val="0"/>
              <w:keepLines w:val="0"/>
              <w:pageBreakBefore w:val="0"/>
              <w:wordWrap w:val="0"/>
              <w:overflowPunct/>
              <w:topLinePunct w:val="0"/>
              <w:bidi w:val="0"/>
              <w:spacing w:before="62" w:line="233" w:lineRule="auto"/>
              <w:ind w:left="2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注意：</w:t>
            </w:r>
          </w:p>
        </w:tc>
        <w:tc>
          <w:tcPr>
            <w:tcW w:w="8712" w:type="dxa"/>
            <w:gridSpan w:val="7"/>
            <w:vAlign w:val="top"/>
          </w:tcPr>
          <w:p w14:paraId="1B3CF7FC">
            <w:pPr>
              <w:keepNext w:val="0"/>
              <w:keepLines w:val="0"/>
              <w:pageBreakBefore w:val="0"/>
              <w:wordWrap w:val="0"/>
              <w:overflowPunct/>
              <w:topLinePunct w:val="0"/>
              <w:bidi w:val="0"/>
              <w:spacing w:before="148"/>
              <w:ind w:left="111" w:right="107" w:firstLine="48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 内容及真实性负责。</w:t>
            </w:r>
          </w:p>
        </w:tc>
      </w:tr>
      <w:tr w14:paraId="59276A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690ED03F">
            <w:pPr>
              <w:pStyle w:val="31"/>
              <w:keepNext w:val="0"/>
              <w:keepLines w:val="0"/>
              <w:pageBreakBefore w:val="0"/>
              <w:wordWrap w:val="0"/>
              <w:overflowPunct/>
              <w:topLinePunct w:val="0"/>
              <w:bidi w:val="0"/>
              <w:spacing w:line="240" w:lineRule="auto"/>
              <w:rPr>
                <w:rFonts w:hint="eastAsia" w:ascii="宋体" w:hAnsi="宋体" w:eastAsia="宋体" w:cs="宋体"/>
                <w:color w:val="auto"/>
                <w:spacing w:val="0"/>
                <w:sz w:val="24"/>
                <w:szCs w:val="24"/>
                <w:highlight w:val="none"/>
              </w:rPr>
            </w:pPr>
          </w:p>
          <w:p w14:paraId="1307DA3D">
            <w:pPr>
              <w:keepNext w:val="0"/>
              <w:keepLines w:val="0"/>
              <w:pageBreakBefore w:val="0"/>
              <w:wordWrap w:val="0"/>
              <w:overflowPunct/>
              <w:topLinePunct w:val="0"/>
              <w:bidi w:val="0"/>
              <w:spacing w:before="61" w:line="240" w:lineRule="auto"/>
              <w:ind w:left="760" w:right="153" w:hanging="6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接收原件经办人</w:t>
            </w:r>
          </w:p>
          <w:p w14:paraId="6B7C6436">
            <w:pPr>
              <w:keepNext w:val="0"/>
              <w:keepLines w:val="0"/>
              <w:pageBreakBefore w:val="0"/>
              <w:wordWrap w:val="0"/>
              <w:overflowPunct/>
              <w:topLinePunct w:val="0"/>
              <w:bidi w:val="0"/>
              <w:spacing w:before="61" w:line="240" w:lineRule="auto"/>
              <w:ind w:left="760" w:right="153" w:hanging="6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(招标代理)：</w:t>
            </w:r>
          </w:p>
        </w:tc>
        <w:tc>
          <w:tcPr>
            <w:tcW w:w="1725" w:type="dxa"/>
            <w:vAlign w:val="top"/>
          </w:tcPr>
          <w:p w14:paraId="44805BA6">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83" w:type="dxa"/>
            <w:gridSpan w:val="2"/>
            <w:vAlign w:val="top"/>
          </w:tcPr>
          <w:p w14:paraId="1B9C22A3">
            <w:pPr>
              <w:pStyle w:val="31"/>
              <w:keepNext w:val="0"/>
              <w:keepLines w:val="0"/>
              <w:pageBreakBefore w:val="0"/>
              <w:wordWrap w:val="0"/>
              <w:overflowPunct/>
              <w:topLinePunct w:val="0"/>
              <w:bidi w:val="0"/>
              <w:spacing w:line="288" w:lineRule="auto"/>
              <w:rPr>
                <w:rFonts w:hint="eastAsia" w:ascii="宋体" w:hAnsi="宋体" w:eastAsia="宋体" w:cs="宋体"/>
                <w:color w:val="auto"/>
                <w:spacing w:val="0"/>
                <w:sz w:val="24"/>
                <w:szCs w:val="24"/>
                <w:highlight w:val="none"/>
              </w:rPr>
            </w:pPr>
          </w:p>
          <w:p w14:paraId="47465BCA">
            <w:pPr>
              <w:pStyle w:val="31"/>
              <w:keepNext w:val="0"/>
              <w:keepLines w:val="0"/>
              <w:pageBreakBefore w:val="0"/>
              <w:wordWrap w:val="0"/>
              <w:overflowPunct/>
              <w:topLinePunct w:val="0"/>
              <w:bidi w:val="0"/>
              <w:spacing w:line="289" w:lineRule="auto"/>
              <w:rPr>
                <w:rFonts w:hint="eastAsia" w:ascii="宋体" w:hAnsi="宋体" w:eastAsia="宋体" w:cs="宋体"/>
                <w:color w:val="auto"/>
                <w:spacing w:val="0"/>
                <w:sz w:val="24"/>
                <w:szCs w:val="24"/>
                <w:highlight w:val="none"/>
              </w:rPr>
            </w:pPr>
          </w:p>
          <w:p w14:paraId="6AA094DD">
            <w:pPr>
              <w:keepNext w:val="0"/>
              <w:keepLines w:val="0"/>
              <w:pageBreakBefore w:val="0"/>
              <w:wordWrap w:val="0"/>
              <w:overflowPunct/>
              <w:topLinePunct w:val="0"/>
              <w:bidi w:val="0"/>
              <w:spacing w:before="62" w:line="229" w:lineRule="auto"/>
              <w:ind w:left="3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接收时间：</w:t>
            </w:r>
          </w:p>
        </w:tc>
        <w:tc>
          <w:tcPr>
            <w:tcW w:w="3408" w:type="dxa"/>
            <w:gridSpan w:val="3"/>
            <w:vAlign w:val="top"/>
          </w:tcPr>
          <w:p w14:paraId="3C673D5F">
            <w:pPr>
              <w:pStyle w:val="31"/>
              <w:keepNext w:val="0"/>
              <w:keepLines w:val="0"/>
              <w:pageBreakBefore w:val="0"/>
              <w:wordWrap w:val="0"/>
              <w:overflowPunct/>
              <w:topLinePunct w:val="0"/>
              <w:bidi w:val="0"/>
              <w:spacing w:line="288" w:lineRule="auto"/>
              <w:rPr>
                <w:rFonts w:hint="eastAsia" w:ascii="宋体" w:hAnsi="宋体" w:eastAsia="宋体" w:cs="宋体"/>
                <w:color w:val="auto"/>
                <w:spacing w:val="0"/>
                <w:sz w:val="24"/>
                <w:szCs w:val="24"/>
                <w:highlight w:val="none"/>
              </w:rPr>
            </w:pPr>
          </w:p>
          <w:p w14:paraId="42F4F575">
            <w:pPr>
              <w:pStyle w:val="31"/>
              <w:keepNext w:val="0"/>
              <w:keepLines w:val="0"/>
              <w:pageBreakBefore w:val="0"/>
              <w:wordWrap w:val="0"/>
              <w:overflowPunct/>
              <w:topLinePunct w:val="0"/>
              <w:bidi w:val="0"/>
              <w:spacing w:line="289" w:lineRule="auto"/>
              <w:rPr>
                <w:rFonts w:hint="eastAsia" w:ascii="宋体" w:hAnsi="宋体" w:eastAsia="宋体" w:cs="宋体"/>
                <w:color w:val="auto"/>
                <w:spacing w:val="0"/>
                <w:sz w:val="24"/>
                <w:szCs w:val="24"/>
                <w:highlight w:val="none"/>
              </w:rPr>
            </w:pPr>
          </w:p>
          <w:p w14:paraId="08459939">
            <w:pPr>
              <w:keepNext w:val="0"/>
              <w:keepLines w:val="0"/>
              <w:pageBreakBefore w:val="0"/>
              <w:wordWrap w:val="0"/>
              <w:overflowPunct/>
              <w:topLinePunct w:val="0"/>
              <w:bidi w:val="0"/>
              <w:spacing w:before="62" w:line="229" w:lineRule="auto"/>
              <w:ind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月   日   时  分</w:t>
            </w:r>
          </w:p>
        </w:tc>
      </w:tr>
      <w:tr w14:paraId="35BD9C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7D643159">
            <w:pPr>
              <w:keepNext w:val="0"/>
              <w:keepLines w:val="0"/>
              <w:pageBreakBefore w:val="0"/>
              <w:wordWrap w:val="0"/>
              <w:overflowPunct/>
              <w:topLinePunct w:val="0"/>
              <w:bidi w:val="0"/>
              <w:spacing w:before="155" w:line="240" w:lineRule="auto"/>
              <w:ind w:left="861" w:right="153" w:hanging="6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退还原件接收人</w:t>
            </w:r>
          </w:p>
          <w:p w14:paraId="025ED4CA">
            <w:pPr>
              <w:keepNext w:val="0"/>
              <w:keepLines w:val="0"/>
              <w:pageBreakBefore w:val="0"/>
              <w:wordWrap w:val="0"/>
              <w:overflowPunct/>
              <w:topLinePunct w:val="0"/>
              <w:bidi w:val="0"/>
              <w:spacing w:before="155" w:line="240" w:lineRule="auto"/>
              <w:ind w:left="861" w:right="153" w:hanging="6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p>
        </w:tc>
        <w:tc>
          <w:tcPr>
            <w:tcW w:w="1725" w:type="dxa"/>
            <w:vAlign w:val="top"/>
          </w:tcPr>
          <w:p w14:paraId="026764E9">
            <w:pPr>
              <w:pStyle w:val="31"/>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83" w:type="dxa"/>
            <w:gridSpan w:val="2"/>
            <w:vAlign w:val="top"/>
          </w:tcPr>
          <w:p w14:paraId="00ECCFF5">
            <w:pPr>
              <w:pStyle w:val="31"/>
              <w:keepNext w:val="0"/>
              <w:keepLines w:val="0"/>
              <w:pageBreakBefore w:val="0"/>
              <w:wordWrap w:val="0"/>
              <w:overflowPunct/>
              <w:topLinePunct w:val="0"/>
              <w:bidi w:val="0"/>
              <w:spacing w:line="336" w:lineRule="auto"/>
              <w:rPr>
                <w:rFonts w:hint="eastAsia" w:ascii="宋体" w:hAnsi="宋体" w:eastAsia="宋体" w:cs="宋体"/>
                <w:color w:val="auto"/>
                <w:spacing w:val="0"/>
                <w:sz w:val="24"/>
                <w:szCs w:val="24"/>
                <w:highlight w:val="none"/>
              </w:rPr>
            </w:pPr>
          </w:p>
          <w:p w14:paraId="7CF0543D">
            <w:pPr>
              <w:keepNext w:val="0"/>
              <w:keepLines w:val="0"/>
              <w:pageBreakBefore w:val="0"/>
              <w:wordWrap w:val="0"/>
              <w:overflowPunct/>
              <w:topLinePunct w:val="0"/>
              <w:bidi w:val="0"/>
              <w:spacing w:before="61" w:line="231" w:lineRule="auto"/>
              <w:ind w:left="3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退还时间：</w:t>
            </w:r>
          </w:p>
        </w:tc>
        <w:tc>
          <w:tcPr>
            <w:tcW w:w="3408" w:type="dxa"/>
            <w:gridSpan w:val="3"/>
            <w:vAlign w:val="top"/>
          </w:tcPr>
          <w:p w14:paraId="1881D9EA">
            <w:pPr>
              <w:pStyle w:val="31"/>
              <w:keepNext w:val="0"/>
              <w:keepLines w:val="0"/>
              <w:pageBreakBefore w:val="0"/>
              <w:wordWrap w:val="0"/>
              <w:overflowPunct/>
              <w:topLinePunct w:val="0"/>
              <w:bidi w:val="0"/>
              <w:spacing w:line="335" w:lineRule="auto"/>
              <w:rPr>
                <w:rFonts w:hint="eastAsia" w:ascii="宋体" w:hAnsi="宋体" w:eastAsia="宋体" w:cs="宋体"/>
                <w:color w:val="auto"/>
                <w:spacing w:val="0"/>
                <w:sz w:val="24"/>
                <w:szCs w:val="24"/>
                <w:highlight w:val="none"/>
              </w:rPr>
            </w:pPr>
          </w:p>
          <w:p w14:paraId="2253F5EA">
            <w:pPr>
              <w:keepNext w:val="0"/>
              <w:keepLines w:val="0"/>
              <w:pageBreakBefore w:val="0"/>
              <w:wordWrap w:val="0"/>
              <w:overflowPunct/>
              <w:topLinePunct w:val="0"/>
              <w:bidi w:val="0"/>
              <w:spacing w:before="62" w:line="229" w:lineRule="auto"/>
              <w:ind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月   日  时   分</w:t>
            </w:r>
          </w:p>
        </w:tc>
      </w:tr>
    </w:tbl>
    <w:p w14:paraId="1BC6BFE4">
      <w:pPr>
        <w:keepNext w:val="0"/>
        <w:keepLines w:val="0"/>
        <w:pageBreakBefore w:val="0"/>
        <w:wordWrap w:val="0"/>
        <w:overflowPunct/>
        <w:topLinePunct w:val="0"/>
        <w:bidi w:val="0"/>
        <w:spacing w:before="78" w:line="220" w:lineRule="auto"/>
        <w:outlineLvl w:val="2"/>
        <w:rPr>
          <w:rFonts w:hint="eastAsia" w:ascii="宋体" w:hAnsi="宋体" w:eastAsia="宋体" w:cs="宋体"/>
          <w:color w:val="auto"/>
          <w:spacing w:val="0"/>
          <w:sz w:val="24"/>
          <w:szCs w:val="24"/>
          <w:highlight w:val="none"/>
        </w:rPr>
      </w:pPr>
      <w:bookmarkStart w:id="263" w:name="bookmark107"/>
      <w:bookmarkEnd w:id="263"/>
      <w:r>
        <w:rPr>
          <w:rFonts w:hint="eastAsia" w:ascii="宋体" w:hAnsi="宋体" w:eastAsia="宋体" w:cs="宋体"/>
          <w:b/>
          <w:bCs/>
          <w:color w:val="auto"/>
          <w:spacing w:val="0"/>
          <w:sz w:val="24"/>
          <w:szCs w:val="24"/>
          <w:highlight w:val="none"/>
        </w:rPr>
        <w:br w:type="page"/>
      </w:r>
      <w:bookmarkStart w:id="264" w:name="_Toc24295"/>
      <w:r>
        <w:rPr>
          <w:rFonts w:hint="eastAsia" w:ascii="宋体" w:hAnsi="宋体" w:eastAsia="宋体" w:cs="宋体"/>
          <w:b/>
          <w:bCs/>
          <w:color w:val="auto"/>
          <w:spacing w:val="0"/>
          <w:sz w:val="24"/>
          <w:szCs w:val="24"/>
          <w:highlight w:val="none"/>
        </w:rPr>
        <w:t>格式</w:t>
      </w:r>
      <w:r>
        <w:rPr>
          <w:rFonts w:hint="eastAsia" w:ascii="宋体" w:hAnsi="宋体" w:eastAsia="宋体" w:cs="宋体"/>
          <w:b/>
          <w:bCs/>
          <w:color w:val="auto"/>
          <w:spacing w:val="0"/>
          <w:sz w:val="24"/>
          <w:szCs w:val="24"/>
          <w:highlight w:val="none"/>
          <w:lang w:val="en-US" w:eastAsia="zh-CN"/>
        </w:rPr>
        <w:t>十六</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定标文件</w:t>
      </w:r>
      <w:r>
        <w:rPr>
          <w:rFonts w:hint="eastAsia" w:ascii="宋体" w:hAnsi="宋体" w:eastAsia="宋体" w:cs="宋体"/>
          <w:b/>
          <w:bCs/>
          <w:color w:val="auto"/>
          <w:spacing w:val="0"/>
          <w:sz w:val="24"/>
          <w:szCs w:val="24"/>
          <w:highlight w:val="none"/>
        </w:rPr>
        <w:t>封面</w:t>
      </w:r>
      <w:bookmarkEnd w:id="264"/>
    </w:p>
    <w:p w14:paraId="5006DC9A">
      <w:pPr>
        <w:pStyle w:val="8"/>
        <w:keepNext w:val="0"/>
        <w:keepLines w:val="0"/>
        <w:pageBreakBefore w:val="0"/>
        <w:wordWrap w:val="0"/>
        <w:overflowPunct/>
        <w:topLinePunct w:val="0"/>
        <w:bidi w:val="0"/>
        <w:spacing w:line="258" w:lineRule="auto"/>
        <w:rPr>
          <w:rFonts w:hint="eastAsia" w:ascii="宋体" w:hAnsi="宋体" w:eastAsia="宋体" w:cs="宋体"/>
          <w:color w:val="auto"/>
          <w:spacing w:val="0"/>
          <w:highlight w:val="none"/>
        </w:rPr>
      </w:pPr>
    </w:p>
    <w:p w14:paraId="34B09997">
      <w:pPr>
        <w:pStyle w:val="8"/>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4A87BBC5">
      <w:pPr>
        <w:pStyle w:val="8"/>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28D329B3">
      <w:pPr>
        <w:keepNext w:val="0"/>
        <w:keepLines w:val="0"/>
        <w:pageBreakBefore w:val="0"/>
        <w:wordWrap w:val="0"/>
        <w:overflowPunct/>
        <w:topLinePunct w:val="0"/>
        <w:bidi w:val="0"/>
        <w:spacing w:before="153" w:line="225" w:lineRule="auto"/>
        <w:ind w:left="-1" w:leftChars="0" w:firstLine="0" w:firstLineChars="0"/>
        <w:jc w:val="center"/>
        <w:rPr>
          <w:rFonts w:hint="eastAsia" w:ascii="宋体" w:hAnsi="宋体" w:eastAsia="宋体" w:cs="宋体"/>
          <w:color w:val="auto"/>
          <w:spacing w:val="0"/>
          <w:sz w:val="47"/>
          <w:szCs w:val="47"/>
          <w:highlight w:val="none"/>
        </w:rPr>
      </w:pPr>
      <w:r>
        <w:rPr>
          <w:rFonts w:hint="eastAsia" w:ascii="宋体" w:hAnsi="宋体" w:eastAsia="宋体" w:cs="宋体"/>
          <w:b/>
          <w:bCs/>
          <w:color w:val="auto"/>
          <w:spacing w:val="0"/>
          <w:sz w:val="47"/>
          <w:szCs w:val="47"/>
          <w:highlight w:val="none"/>
          <w:u w:val="single"/>
          <w:lang w:val="en-US" w:eastAsia="zh-CN"/>
        </w:rPr>
        <w:t xml:space="preserve">    </w:t>
      </w:r>
      <w:r>
        <w:rPr>
          <w:rFonts w:hint="eastAsia" w:ascii="宋体" w:hAnsi="宋体" w:eastAsia="宋体" w:cs="宋体"/>
          <w:b/>
          <w:bCs/>
          <w:color w:val="auto"/>
          <w:spacing w:val="0"/>
          <w:sz w:val="47"/>
          <w:szCs w:val="47"/>
          <w:highlight w:val="none"/>
          <w:u w:val="single"/>
        </w:rPr>
        <w:t>（项目名称）</w:t>
      </w:r>
      <w:r>
        <w:rPr>
          <w:rFonts w:hint="eastAsia" w:ascii="宋体" w:hAnsi="宋体" w:eastAsia="宋体" w:cs="宋体"/>
          <w:b/>
          <w:bCs/>
          <w:color w:val="auto"/>
          <w:spacing w:val="0"/>
          <w:sz w:val="47"/>
          <w:szCs w:val="47"/>
          <w:highlight w:val="none"/>
          <w:u w:val="none"/>
          <w:lang w:val="en-US" w:eastAsia="zh-CN"/>
        </w:rPr>
        <w:t>施工</w:t>
      </w:r>
      <w:r>
        <w:rPr>
          <w:rFonts w:hint="eastAsia" w:ascii="宋体" w:hAnsi="宋体" w:eastAsia="宋体" w:cs="宋体"/>
          <w:b/>
          <w:bCs/>
          <w:color w:val="auto"/>
          <w:spacing w:val="0"/>
          <w:sz w:val="47"/>
          <w:szCs w:val="47"/>
          <w:highlight w:val="none"/>
        </w:rPr>
        <w:t>招标</w:t>
      </w:r>
    </w:p>
    <w:p w14:paraId="3A78CA2F">
      <w:pPr>
        <w:pStyle w:val="8"/>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7AD59DF3">
      <w:pPr>
        <w:pStyle w:val="8"/>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586F1425">
      <w:pPr>
        <w:pStyle w:val="8"/>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43C3E641">
      <w:pPr>
        <w:pStyle w:val="8"/>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7C9D8589">
      <w:pPr>
        <w:pStyle w:val="8"/>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6AE0B3FF">
      <w:pPr>
        <w:pStyle w:val="8"/>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7CC6864C">
      <w:pPr>
        <w:pStyle w:val="8"/>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604705F4">
      <w:pPr>
        <w:pStyle w:val="8"/>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03EF797F">
      <w:pPr>
        <w:pStyle w:val="8"/>
        <w:keepNext w:val="0"/>
        <w:keepLines w:val="0"/>
        <w:pageBreakBefore w:val="0"/>
        <w:wordWrap w:val="0"/>
        <w:overflowPunct/>
        <w:topLinePunct w:val="0"/>
        <w:bidi w:val="0"/>
        <w:spacing w:line="248" w:lineRule="auto"/>
        <w:rPr>
          <w:rFonts w:hint="eastAsia" w:ascii="宋体" w:hAnsi="宋体" w:eastAsia="宋体" w:cs="宋体"/>
          <w:color w:val="auto"/>
          <w:spacing w:val="0"/>
          <w:highlight w:val="none"/>
        </w:rPr>
      </w:pPr>
    </w:p>
    <w:p w14:paraId="4944BE40">
      <w:pPr>
        <w:keepNext w:val="0"/>
        <w:keepLines w:val="0"/>
        <w:pageBreakBefore w:val="0"/>
        <w:wordWrap w:val="0"/>
        <w:overflowPunct/>
        <w:topLinePunct w:val="0"/>
        <w:bidi w:val="0"/>
        <w:spacing w:before="231" w:line="223" w:lineRule="auto"/>
        <w:jc w:val="center"/>
        <w:rPr>
          <w:rFonts w:hint="eastAsia" w:ascii="宋体" w:hAnsi="宋体" w:eastAsia="宋体" w:cs="宋体"/>
          <w:color w:val="auto"/>
          <w:spacing w:val="0"/>
          <w:sz w:val="71"/>
          <w:szCs w:val="71"/>
          <w:highlight w:val="none"/>
        </w:rPr>
      </w:pPr>
      <w:r>
        <w:rPr>
          <w:rFonts w:hint="eastAsia" w:ascii="宋体" w:hAnsi="宋体" w:eastAsia="宋体" w:cs="宋体"/>
          <w:b/>
          <w:bCs/>
          <w:color w:val="auto"/>
          <w:spacing w:val="0"/>
          <w:sz w:val="71"/>
          <w:szCs w:val="71"/>
          <w:highlight w:val="none"/>
          <w:lang w:val="en-US" w:eastAsia="zh-CN"/>
        </w:rPr>
        <w:t>定</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件</w:t>
      </w:r>
    </w:p>
    <w:p w14:paraId="00A1771B">
      <w:pPr>
        <w:pStyle w:val="8"/>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0C409A07">
      <w:pPr>
        <w:pStyle w:val="8"/>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49E76458">
      <w:pPr>
        <w:keepNext w:val="0"/>
        <w:keepLines w:val="0"/>
        <w:pageBreakBefore w:val="0"/>
        <w:wordWrap w:val="0"/>
        <w:overflowPunct/>
        <w:topLinePunct w:val="0"/>
        <w:bidi w:val="0"/>
        <w:rPr>
          <w:rFonts w:hint="eastAsia"/>
          <w:color w:val="auto"/>
          <w:spacing w:val="0"/>
          <w:highlight w:val="none"/>
        </w:rPr>
      </w:pPr>
    </w:p>
    <w:p w14:paraId="5472E38F">
      <w:pPr>
        <w:keepNext w:val="0"/>
        <w:keepLines w:val="0"/>
        <w:pageBreakBefore w:val="0"/>
        <w:wordWrap w:val="0"/>
        <w:overflowPunct/>
        <w:topLinePunct w:val="0"/>
        <w:bidi w:val="0"/>
        <w:rPr>
          <w:rFonts w:hint="eastAsia"/>
          <w:color w:val="auto"/>
          <w:spacing w:val="0"/>
          <w:highlight w:val="none"/>
        </w:rPr>
      </w:pPr>
    </w:p>
    <w:p w14:paraId="0834D83C">
      <w:pPr>
        <w:keepNext w:val="0"/>
        <w:keepLines w:val="0"/>
        <w:pageBreakBefore w:val="0"/>
        <w:wordWrap w:val="0"/>
        <w:overflowPunct/>
        <w:topLinePunct w:val="0"/>
        <w:bidi w:val="0"/>
        <w:rPr>
          <w:rFonts w:hint="eastAsia"/>
          <w:color w:val="auto"/>
          <w:spacing w:val="0"/>
          <w:highlight w:val="none"/>
        </w:rPr>
      </w:pPr>
    </w:p>
    <w:p w14:paraId="34D736C6">
      <w:pPr>
        <w:keepNext w:val="0"/>
        <w:keepLines w:val="0"/>
        <w:pageBreakBefore w:val="0"/>
        <w:wordWrap w:val="0"/>
        <w:overflowPunct/>
        <w:topLinePunct w:val="0"/>
        <w:bidi w:val="0"/>
        <w:rPr>
          <w:rFonts w:hint="eastAsia"/>
          <w:color w:val="auto"/>
          <w:spacing w:val="0"/>
          <w:highlight w:val="none"/>
        </w:rPr>
      </w:pPr>
    </w:p>
    <w:p w14:paraId="30D7943B">
      <w:pPr>
        <w:keepNext w:val="0"/>
        <w:keepLines w:val="0"/>
        <w:pageBreakBefore w:val="0"/>
        <w:wordWrap w:val="0"/>
        <w:overflowPunct/>
        <w:topLinePunct w:val="0"/>
        <w:bidi w:val="0"/>
        <w:rPr>
          <w:rFonts w:hint="eastAsia"/>
          <w:color w:val="auto"/>
          <w:spacing w:val="0"/>
          <w:highlight w:val="none"/>
        </w:rPr>
      </w:pPr>
    </w:p>
    <w:p w14:paraId="4FEE1ED6">
      <w:pPr>
        <w:keepNext w:val="0"/>
        <w:keepLines w:val="0"/>
        <w:pageBreakBefore w:val="0"/>
        <w:wordWrap w:val="0"/>
        <w:overflowPunct/>
        <w:topLinePunct w:val="0"/>
        <w:bidi w:val="0"/>
        <w:rPr>
          <w:rFonts w:hint="eastAsia"/>
          <w:color w:val="auto"/>
          <w:spacing w:val="0"/>
          <w:highlight w:val="none"/>
        </w:rPr>
      </w:pPr>
    </w:p>
    <w:p w14:paraId="27FDCF24">
      <w:pPr>
        <w:keepNext w:val="0"/>
        <w:keepLines w:val="0"/>
        <w:pageBreakBefore w:val="0"/>
        <w:wordWrap w:val="0"/>
        <w:overflowPunct/>
        <w:topLinePunct w:val="0"/>
        <w:bidi w:val="0"/>
        <w:rPr>
          <w:rFonts w:hint="eastAsia"/>
          <w:color w:val="auto"/>
          <w:spacing w:val="0"/>
          <w:highlight w:val="none"/>
        </w:rPr>
      </w:pPr>
    </w:p>
    <w:p w14:paraId="2B6F77E3">
      <w:pPr>
        <w:keepNext w:val="0"/>
        <w:keepLines w:val="0"/>
        <w:pageBreakBefore w:val="0"/>
        <w:wordWrap w:val="0"/>
        <w:overflowPunct/>
        <w:topLinePunct w:val="0"/>
        <w:bidi w:val="0"/>
        <w:rPr>
          <w:rFonts w:hint="eastAsia"/>
          <w:color w:val="auto"/>
          <w:spacing w:val="0"/>
          <w:highlight w:val="none"/>
        </w:rPr>
      </w:pPr>
    </w:p>
    <w:p w14:paraId="33769B22">
      <w:pPr>
        <w:pStyle w:val="49"/>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投标人：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（盖单位章）</w:t>
      </w:r>
    </w:p>
    <w:p w14:paraId="4A3C1EB5">
      <w:pPr>
        <w:pStyle w:val="49"/>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345CEE2D">
      <w:pPr>
        <w:pStyle w:val="49"/>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32283156">
      <w:pPr>
        <w:pStyle w:val="49"/>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法定代表人或其委托代理人：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（签字或盖章）</w:t>
      </w:r>
    </w:p>
    <w:p w14:paraId="7D3457AD">
      <w:pPr>
        <w:pStyle w:val="49"/>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687E9E9D">
      <w:pPr>
        <w:pStyle w:val="49"/>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u w:val="single"/>
        </w:rPr>
      </w:pPr>
    </w:p>
    <w:p w14:paraId="15EA410B">
      <w:pPr>
        <w:pStyle w:val="49"/>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
          <w:snapToGrid w:val="0"/>
          <w:color w:val="auto"/>
          <w:spacing w:val="0"/>
          <w:highlight w:val="none"/>
        </w:rPr>
      </w:pP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年</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月</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日</w:t>
      </w:r>
    </w:p>
    <w:p w14:paraId="25CDFBA3">
      <w:pPr>
        <w:spacing w:line="500" w:lineRule="exact"/>
        <w:jc w:val="left"/>
        <w:outlineLvl w:val="2"/>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pacing w:val="0"/>
          <w:sz w:val="24"/>
          <w:szCs w:val="24"/>
          <w:highlight w:val="none"/>
        </w:rPr>
        <w:br w:type="page"/>
      </w:r>
      <w:bookmarkStart w:id="265" w:name="_Toc20244"/>
      <w:r>
        <w:rPr>
          <w:rFonts w:hint="eastAsia" w:ascii="宋体" w:hAnsi="宋体" w:eastAsia="宋体" w:cs="宋体"/>
          <w:b/>
          <w:bCs/>
          <w:color w:val="auto"/>
          <w:spacing w:val="0"/>
          <w:sz w:val="24"/>
          <w:szCs w:val="24"/>
          <w:highlight w:val="none"/>
        </w:rPr>
        <w:t>格式</w:t>
      </w:r>
      <w:r>
        <w:rPr>
          <w:rFonts w:hint="eastAsia" w:ascii="宋体" w:hAnsi="宋体" w:eastAsia="宋体" w:cs="宋体"/>
          <w:b/>
          <w:bCs/>
          <w:color w:val="auto"/>
          <w:spacing w:val="0"/>
          <w:sz w:val="24"/>
          <w:szCs w:val="24"/>
          <w:highlight w:val="none"/>
          <w:lang w:val="en-US" w:eastAsia="zh-CN"/>
        </w:rPr>
        <w:t>十七</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定标因素评审资料</w:t>
      </w:r>
      <w:r>
        <w:rPr>
          <w:rFonts w:hint="eastAsia" w:ascii="宋体" w:hAnsi="宋体" w:eastAsia="宋体" w:cs="宋体"/>
          <w:b/>
          <w:bCs/>
          <w:color w:val="auto"/>
          <w:spacing w:val="0"/>
          <w:sz w:val="24"/>
          <w:szCs w:val="24"/>
          <w:highlight w:val="none"/>
        </w:rPr>
        <w:br w:type="textWrapping"/>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z w:val="30"/>
          <w:szCs w:val="30"/>
          <w:highlight w:val="none"/>
          <w:lang w:eastAsia="zh-CN"/>
        </w:rPr>
        <w:t>定标因素评审资料</w:t>
      </w:r>
      <w:bookmarkEnd w:id="265"/>
    </w:p>
    <w:p w14:paraId="5876F9F4">
      <w:pPr>
        <w:jc w:val="left"/>
        <w:rPr>
          <w:rFonts w:hint="eastAsia" w:ascii="宋体" w:hAnsi="宋体" w:eastAsia="宋体" w:cs="宋体"/>
          <w:color w:val="auto"/>
          <w:sz w:val="24"/>
          <w:highlight w:val="none"/>
          <w:lang w:eastAsia="zh-CN"/>
        </w:rPr>
      </w:pPr>
    </w:p>
    <w:p w14:paraId="3931FE62">
      <w:pPr>
        <w:spacing w:line="500" w:lineRule="exact"/>
        <w:ind w:firstLine="482"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投标人根据“</w:t>
      </w:r>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 xml:space="preserve">章 </w:t>
      </w:r>
      <w:r>
        <w:rPr>
          <w:rFonts w:hint="eastAsia" w:ascii="宋体" w:hAnsi="宋体" w:eastAsia="宋体" w:cs="宋体"/>
          <w:b/>
          <w:bCs/>
          <w:color w:val="auto"/>
          <w:sz w:val="24"/>
          <w:szCs w:val="24"/>
          <w:highlight w:val="none"/>
          <w:lang w:val="en-US" w:eastAsia="zh-CN"/>
        </w:rPr>
        <w:t>第三节 16.5”载明的</w:t>
      </w:r>
      <w:r>
        <w:rPr>
          <w:rFonts w:hint="eastAsia" w:ascii="宋体" w:hAnsi="宋体" w:eastAsia="宋体" w:cs="宋体"/>
          <w:b/>
          <w:bCs/>
          <w:color w:val="auto"/>
          <w:sz w:val="24"/>
          <w:szCs w:val="24"/>
          <w:highlight w:val="none"/>
          <w:lang w:eastAsia="zh-CN"/>
        </w:rPr>
        <w:t>定标因素，</w:t>
      </w:r>
      <w:r>
        <w:rPr>
          <w:rFonts w:hint="eastAsia" w:ascii="宋体" w:hAnsi="宋体" w:eastAsia="宋体" w:cs="宋体"/>
          <w:b/>
          <w:bCs/>
          <w:color w:val="auto"/>
          <w:sz w:val="24"/>
          <w:szCs w:val="24"/>
          <w:highlight w:val="none"/>
          <w:lang w:val="en-US" w:eastAsia="zh-CN"/>
        </w:rPr>
        <w:t>提交</w:t>
      </w:r>
      <w:r>
        <w:rPr>
          <w:rFonts w:hint="eastAsia" w:ascii="宋体" w:hAnsi="宋体" w:eastAsia="宋体" w:cs="宋体"/>
          <w:b/>
          <w:bCs/>
          <w:color w:val="auto"/>
          <w:sz w:val="24"/>
          <w:szCs w:val="24"/>
          <w:highlight w:val="none"/>
          <w:lang w:eastAsia="zh-CN"/>
        </w:rPr>
        <w:t>评审资料，</w:t>
      </w:r>
      <w:r>
        <w:rPr>
          <w:rFonts w:hint="eastAsia" w:ascii="宋体" w:hAnsi="宋体" w:eastAsia="宋体" w:cs="宋体"/>
          <w:b/>
          <w:bCs/>
          <w:color w:val="auto"/>
          <w:sz w:val="24"/>
          <w:szCs w:val="24"/>
          <w:highlight w:val="none"/>
          <w:lang w:val="en-US" w:eastAsia="zh-CN"/>
        </w:rPr>
        <w:t>提交的评审资料包括但不限于以下内容</w:t>
      </w:r>
      <w:r>
        <w:rPr>
          <w:rFonts w:hint="eastAsia" w:ascii="宋体" w:hAnsi="宋体" w:eastAsia="宋体" w:cs="宋体"/>
          <w:b/>
          <w:bCs/>
          <w:color w:val="auto"/>
          <w:sz w:val="24"/>
          <w:szCs w:val="24"/>
          <w:highlight w:val="none"/>
          <w:lang w:eastAsia="zh-CN"/>
        </w:rPr>
        <w:t>。</w:t>
      </w:r>
    </w:p>
    <w:p w14:paraId="5B088A7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（1）拟派团队管理能力与水平（履约能力）</w:t>
      </w:r>
    </w:p>
    <w:p w14:paraId="6523790B">
      <w:pPr>
        <w:keepNext w:val="0"/>
        <w:keepLines w:val="0"/>
        <w:pageBreakBefore w:val="0"/>
        <w:widowControl w:val="0"/>
        <w:kinsoku/>
        <w:wordWrap/>
        <w:overflowPunct/>
        <w:topLinePunct w:val="0"/>
        <w:autoSpaceDE/>
        <w:autoSpaceDN/>
        <w:bidi w:val="0"/>
        <w:adjustRightInd/>
        <w:snapToGrid/>
        <w:spacing w:line="400" w:lineRule="exact"/>
        <w:ind w:left="479" w:leftChars="228" w:right="0" w:rightChars="0" w:firstLine="0" w:firstLineChars="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（2）企业信誉</w:t>
      </w:r>
      <w:r>
        <w:rPr>
          <w:rFonts w:hint="eastAsia" w:ascii="宋体" w:hAnsi="宋体" w:eastAsia="宋体" w:cs="宋体"/>
          <w:b w:val="0"/>
          <w:bCs w:val="0"/>
          <w:color w:val="auto"/>
          <w:spacing w:val="0"/>
          <w:position w:val="0"/>
          <w:sz w:val="24"/>
          <w:szCs w:val="24"/>
          <w:highlight w:val="none"/>
          <w:u w:val="none" w:color="auto"/>
          <w:lang w:val="en-US" w:eastAsia="zh-CN"/>
        </w:rPr>
        <w:br w:type="textWrapping"/>
      </w:r>
      <w:r>
        <w:rPr>
          <w:rFonts w:hint="eastAsia" w:ascii="宋体" w:hAnsi="宋体" w:eastAsia="宋体" w:cs="宋体"/>
          <w:b w:val="0"/>
          <w:bCs w:val="0"/>
          <w:color w:val="auto"/>
          <w:spacing w:val="0"/>
          <w:position w:val="0"/>
          <w:sz w:val="24"/>
          <w:szCs w:val="24"/>
          <w:highlight w:val="none"/>
          <w:u w:val="none" w:color="auto"/>
          <w:lang w:val="en-US" w:eastAsia="zh-CN"/>
        </w:rPr>
        <w:t>（3）农民工工资保障情况</w:t>
      </w:r>
      <w:r>
        <w:rPr>
          <w:rFonts w:hint="eastAsia" w:ascii="宋体" w:hAnsi="宋体" w:eastAsia="宋体" w:cs="宋体"/>
          <w:b w:val="0"/>
          <w:bCs w:val="0"/>
          <w:color w:val="auto"/>
          <w:spacing w:val="0"/>
          <w:position w:val="0"/>
          <w:sz w:val="24"/>
          <w:szCs w:val="24"/>
          <w:highlight w:val="none"/>
          <w:u w:val="none" w:color="auto"/>
          <w:lang w:val="en-US" w:eastAsia="zh-CN"/>
        </w:rPr>
        <w:br w:type="textWrapping"/>
      </w:r>
      <w:r>
        <w:rPr>
          <w:rFonts w:hint="eastAsia" w:ascii="宋体" w:hAnsi="宋体" w:eastAsia="宋体" w:cs="宋体"/>
          <w:b w:val="0"/>
          <w:bCs w:val="0"/>
          <w:color w:val="auto"/>
          <w:spacing w:val="0"/>
          <w:position w:val="0"/>
          <w:sz w:val="24"/>
          <w:szCs w:val="24"/>
          <w:highlight w:val="none"/>
          <w:u w:val="none" w:color="auto"/>
          <w:lang w:val="en-US" w:eastAsia="zh-CN"/>
        </w:rPr>
        <w:t>（4）企业实力</w:t>
      </w:r>
    </w:p>
    <w:p w14:paraId="726FFF1A">
      <w:pPr>
        <w:keepNext w:val="0"/>
        <w:keepLines w:val="0"/>
        <w:pageBreakBefore w:val="0"/>
        <w:widowControl w:val="0"/>
        <w:kinsoku/>
        <w:wordWrap/>
        <w:overflowPunct/>
        <w:topLinePunct w:val="0"/>
        <w:autoSpaceDE/>
        <w:autoSpaceDN/>
        <w:bidi w:val="0"/>
        <w:adjustRightInd/>
        <w:snapToGrid/>
        <w:spacing w:line="400" w:lineRule="exact"/>
        <w:ind w:left="479" w:leftChars="228" w:right="0" w:rightChars="0" w:firstLine="0" w:firstLineChars="0"/>
        <w:jc w:val="both"/>
        <w:textAlignment w:val="auto"/>
        <w:outlineLvl w:val="9"/>
        <w:rPr>
          <w:rFonts w:hint="eastAsia"/>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（5）技术方案</w:t>
      </w:r>
      <w:r>
        <w:rPr>
          <w:rFonts w:hint="eastAsia" w:ascii="宋体" w:hAnsi="宋体" w:eastAsia="宋体" w:cs="宋体"/>
          <w:b w:val="0"/>
          <w:bCs w:val="0"/>
          <w:color w:val="auto"/>
          <w:spacing w:val="0"/>
          <w:position w:val="0"/>
          <w:sz w:val="24"/>
          <w:szCs w:val="24"/>
          <w:highlight w:val="none"/>
          <w:u w:val="none" w:color="auto"/>
          <w:lang w:val="en-US" w:eastAsia="zh-CN"/>
        </w:rPr>
        <w:br w:type="textWrapping"/>
      </w:r>
      <w:r>
        <w:rPr>
          <w:rFonts w:hint="eastAsia" w:ascii="宋体" w:hAnsi="宋体" w:eastAsia="宋体" w:cs="宋体"/>
          <w:b w:val="0"/>
          <w:bCs w:val="0"/>
          <w:color w:val="auto"/>
          <w:spacing w:val="0"/>
          <w:position w:val="0"/>
          <w:sz w:val="24"/>
          <w:szCs w:val="24"/>
          <w:highlight w:val="none"/>
          <w:u w:val="none" w:color="auto"/>
          <w:lang w:val="en-US" w:eastAsia="zh-CN"/>
        </w:rPr>
        <w:t>（6）</w:t>
      </w:r>
      <w:r>
        <w:rPr>
          <w:rFonts w:hint="eastAsia" w:ascii="宋体" w:hAnsi="宋体" w:eastAsia="宋体" w:cs="宋体"/>
          <w:color w:val="auto"/>
          <w:spacing w:val="0"/>
          <w:sz w:val="24"/>
          <w:szCs w:val="24"/>
          <w:highlight w:val="none"/>
        </w:rPr>
        <w:t>投标人认为有必要补充的其他资料</w:t>
      </w:r>
    </w:p>
    <w:p w14:paraId="328C5C4C">
      <w:pPr>
        <w:spacing w:line="540" w:lineRule="exact"/>
        <w:ind w:firstLine="862" w:firstLineChars="308"/>
        <w:rPr>
          <w:rFonts w:hint="eastAsia" w:ascii="宋体" w:hAnsi="宋体" w:eastAsia="宋体" w:cs="宋体"/>
          <w:color w:val="auto"/>
          <w:sz w:val="28"/>
          <w:szCs w:val="28"/>
          <w:highlight w:val="none"/>
        </w:rPr>
      </w:pPr>
    </w:p>
    <w:p w14:paraId="34E430AE">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72D2B1B2">
      <w:pPr>
        <w:keepNext w:val="0"/>
        <w:keepLines w:val="0"/>
        <w:pageBreakBefore w:val="0"/>
        <w:wordWrap w:val="0"/>
        <w:overflowPunct/>
        <w:topLinePunct w:val="0"/>
        <w:bidi w:val="0"/>
        <w:spacing w:before="78" w:line="219" w:lineRule="auto"/>
        <w:jc w:val="center"/>
        <w:outlineLvl w:val="1"/>
        <w:rPr>
          <w:rFonts w:hint="eastAsia" w:ascii="宋体" w:hAnsi="宋体" w:eastAsia="宋体" w:cs="宋体"/>
          <w:color w:val="auto"/>
          <w:spacing w:val="0"/>
          <w:highlight w:val="none"/>
        </w:rPr>
      </w:pPr>
      <w:bookmarkStart w:id="266" w:name="_Toc1590"/>
      <w:r>
        <w:rPr>
          <w:rFonts w:hint="eastAsia" w:ascii="宋体" w:hAnsi="宋体" w:eastAsia="宋体" w:cs="宋体"/>
          <w:b/>
          <w:bCs/>
          <w:color w:val="auto"/>
          <w:spacing w:val="0"/>
          <w:sz w:val="24"/>
          <w:szCs w:val="24"/>
          <w:highlight w:val="none"/>
        </w:rPr>
        <w:t>第七章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建设工程施工合同</w:t>
      </w:r>
      <w:bookmarkEnd w:id="266"/>
    </w:p>
    <w:p w14:paraId="5FE97F1E">
      <w:pPr>
        <w:pStyle w:val="8"/>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4DF00718">
      <w:pPr>
        <w:keepNext w:val="0"/>
        <w:keepLines w:val="0"/>
        <w:pageBreakBefore w:val="0"/>
        <w:wordWrap w:val="0"/>
        <w:overflowPunct/>
        <w:topLinePunct w:val="0"/>
        <w:bidi w:val="0"/>
        <w:spacing w:before="78" w:line="324" w:lineRule="auto"/>
        <w:ind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（略），按《广东省建设工程标准施工合同》（2009 年版）或《建设工程施工合同（示范文本）》（GF—2017—0201）执行。</w:t>
      </w:r>
    </w:p>
    <w:p w14:paraId="17E5A5FF">
      <w:pPr>
        <w:keepNext w:val="0"/>
        <w:keepLines w:val="0"/>
        <w:pageBreakBefore w:val="0"/>
        <w:wordWrap w:val="0"/>
        <w:overflowPunct/>
        <w:topLinePunct w:val="0"/>
        <w:bidi w:val="0"/>
        <w:rPr>
          <w:rFonts w:hint="eastAsia" w:ascii="宋体" w:hAnsi="宋体" w:eastAsia="宋体" w:cs="宋体"/>
          <w:color w:val="auto"/>
          <w:spacing w:val="0"/>
          <w:highlight w:val="none"/>
        </w:rPr>
      </w:pPr>
    </w:p>
    <w:sectPr>
      <w:footerReference r:id="rId25"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F"/>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9C96F">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C6228B">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8C6228B">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E5101">
    <w:pPr>
      <w:pStyle w:val="12"/>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C1B8FB">
                          <w:pPr>
                            <w:pStyle w:val="12"/>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45C1B8FB">
                    <w:pPr>
                      <w:pStyle w:val="12"/>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D7779">
    <w:pPr>
      <w:pStyle w:val="12"/>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909FC0">
                          <w:pPr>
                            <w:pStyle w:val="12"/>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F909FC0">
                    <w:pPr>
                      <w:pStyle w:val="12"/>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47E2F">
    <w:pPr>
      <w:pStyle w:val="12"/>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CA1F44">
                          <w:pPr>
                            <w:pStyle w:val="12"/>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41CA1F44">
                    <w:pPr>
                      <w:pStyle w:val="12"/>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0DAE6">
    <w:pPr>
      <w:pStyle w:val="12"/>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33F0FB">
                          <w:pPr>
                            <w:pStyle w:val="12"/>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2333F0FB">
                    <w:pPr>
                      <w:pStyle w:val="12"/>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ED648">
    <w:pPr>
      <w:pStyle w:val="12"/>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25B4F5">
                          <w:pPr>
                            <w:pStyle w:val="12"/>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725B4F5">
                    <w:pPr>
                      <w:pStyle w:val="12"/>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D3B5A">
    <w:pPr>
      <w:pStyle w:val="12"/>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F7C545">
                          <w:pPr>
                            <w:pStyle w:val="12"/>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04F7C545">
                    <w:pPr>
                      <w:pStyle w:val="12"/>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5CED2">
    <w:pPr>
      <w:pStyle w:val="12"/>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99A156">
                          <w:pPr>
                            <w:pStyle w:val="12"/>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1599A156">
                    <w:pPr>
                      <w:pStyle w:val="12"/>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5637A">
    <w:pPr>
      <w:pStyle w:val="12"/>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EE01E5">
                          <w:pPr>
                            <w:pStyle w:val="12"/>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3CEE01E5">
                    <w:pPr>
                      <w:pStyle w:val="12"/>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596B4">
    <w:pPr>
      <w:pStyle w:val="12"/>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0ADB12">
                          <w:pPr>
                            <w:pStyle w:val="12"/>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5A0ADB12">
                    <w:pPr>
                      <w:pStyle w:val="12"/>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0FBF8">
    <w:pPr>
      <w:pStyle w:val="12"/>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3CE9E7">
                          <w:pPr>
                            <w:pStyle w:val="12"/>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513CE9E7">
                    <w:pPr>
                      <w:pStyle w:val="12"/>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30323">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C64830">
                          <w:pPr>
                            <w:pStyle w:val="1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9C64830">
                    <w:pPr>
                      <w:pStyle w:val="12"/>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CD807">
    <w:pPr>
      <w:pStyle w:val="1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E75912">
                          <w:pPr>
                            <w:pStyle w:val="12"/>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4E75912">
                    <w:pPr>
                      <w:pStyle w:val="12"/>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B9B40">
    <w:pPr>
      <w:pStyle w:val="1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BA9F09">
                          <w:pPr>
                            <w:pStyle w:val="12"/>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7BA9F09">
                    <w:pPr>
                      <w:pStyle w:val="12"/>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1F7DF">
    <w:pPr>
      <w:pStyle w:val="12"/>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BD06BD">
                          <w:pPr>
                            <w:pStyle w:val="12"/>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BBD06BD">
                    <w:pPr>
                      <w:pStyle w:val="12"/>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02D07">
    <w:pPr>
      <w:pStyle w:val="12"/>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E35F95">
                          <w:pPr>
                            <w:pStyle w:val="12"/>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BE35F95">
                    <w:pPr>
                      <w:pStyle w:val="12"/>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77F1C">
    <w:pPr>
      <w:pStyle w:val="12"/>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366B2F">
                          <w:pPr>
                            <w:pStyle w:val="12"/>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5366B2F">
                    <w:pPr>
                      <w:pStyle w:val="12"/>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D432E">
    <w:pPr>
      <w:pStyle w:val="12"/>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0A84CC">
                          <w:pPr>
                            <w:pStyle w:val="12"/>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B0A84CC">
                    <w:pPr>
                      <w:pStyle w:val="12"/>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4E865">
    <w:pPr>
      <w:pStyle w:val="12"/>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CD4C48">
                          <w:pPr>
                            <w:pStyle w:val="12"/>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5CD4C48">
                    <w:pPr>
                      <w:pStyle w:val="12"/>
                    </w:pPr>
                    <w:r>
                      <w:fldChar w:fldCharType="begin"/>
                    </w:r>
                    <w:r>
                      <w:instrText xml:space="preserve"> PAGE  \* MERGEFORMAT </w:instrText>
                    </w:r>
                    <w:r>
                      <w:fldChar w:fldCharType="separate"/>
                    </w:r>
                    <w:r>
                      <w:t>62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3199E">
    <w:pPr>
      <w:pStyle w:val="8"/>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08D8C">
    <w:pPr>
      <w:pStyle w:val="8"/>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7E2CB">
    <w:pPr>
      <w:pStyle w:val="8"/>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CB1C2">
    <w:pPr>
      <w:pStyle w:val="8"/>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5CBB09"/>
    <w:multiLevelType w:val="singleLevel"/>
    <w:tmpl w:val="4D5CBB09"/>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0D6A89"/>
    <w:rsid w:val="0012211A"/>
    <w:rsid w:val="003F512F"/>
    <w:rsid w:val="00473031"/>
    <w:rsid w:val="004F4B45"/>
    <w:rsid w:val="00BD0868"/>
    <w:rsid w:val="00D61DC8"/>
    <w:rsid w:val="00F661CB"/>
    <w:rsid w:val="011F0B90"/>
    <w:rsid w:val="01203FAE"/>
    <w:rsid w:val="012A2737"/>
    <w:rsid w:val="013F232E"/>
    <w:rsid w:val="014B09BB"/>
    <w:rsid w:val="014C6B51"/>
    <w:rsid w:val="016471F9"/>
    <w:rsid w:val="01916C5A"/>
    <w:rsid w:val="01B841E6"/>
    <w:rsid w:val="01C26E13"/>
    <w:rsid w:val="01D95F0B"/>
    <w:rsid w:val="02337D11"/>
    <w:rsid w:val="026E699E"/>
    <w:rsid w:val="0273635F"/>
    <w:rsid w:val="02AA30B8"/>
    <w:rsid w:val="02B7625C"/>
    <w:rsid w:val="02BF0C55"/>
    <w:rsid w:val="02C86EA8"/>
    <w:rsid w:val="02F76F90"/>
    <w:rsid w:val="03087FFD"/>
    <w:rsid w:val="03091250"/>
    <w:rsid w:val="03130FFF"/>
    <w:rsid w:val="03227E12"/>
    <w:rsid w:val="032C4E8C"/>
    <w:rsid w:val="0358304C"/>
    <w:rsid w:val="03696A9E"/>
    <w:rsid w:val="037C563F"/>
    <w:rsid w:val="039E06FB"/>
    <w:rsid w:val="03B524C9"/>
    <w:rsid w:val="03C5042E"/>
    <w:rsid w:val="04021749"/>
    <w:rsid w:val="04115E30"/>
    <w:rsid w:val="04200D92"/>
    <w:rsid w:val="04361E9A"/>
    <w:rsid w:val="043C0BB8"/>
    <w:rsid w:val="04540333"/>
    <w:rsid w:val="048719B2"/>
    <w:rsid w:val="04B21D40"/>
    <w:rsid w:val="04B51863"/>
    <w:rsid w:val="04B67F25"/>
    <w:rsid w:val="04B91C32"/>
    <w:rsid w:val="04BF763A"/>
    <w:rsid w:val="04C07235"/>
    <w:rsid w:val="04C93D12"/>
    <w:rsid w:val="04CE00F8"/>
    <w:rsid w:val="05654685"/>
    <w:rsid w:val="05B2562E"/>
    <w:rsid w:val="05E732EC"/>
    <w:rsid w:val="05EC614B"/>
    <w:rsid w:val="05FE0636"/>
    <w:rsid w:val="06342423"/>
    <w:rsid w:val="063C112F"/>
    <w:rsid w:val="066642EF"/>
    <w:rsid w:val="066C1D20"/>
    <w:rsid w:val="066E18CA"/>
    <w:rsid w:val="069B537E"/>
    <w:rsid w:val="06B156A8"/>
    <w:rsid w:val="06C70A28"/>
    <w:rsid w:val="06C929F2"/>
    <w:rsid w:val="06E67100"/>
    <w:rsid w:val="06EE2458"/>
    <w:rsid w:val="07133987"/>
    <w:rsid w:val="073360BD"/>
    <w:rsid w:val="07360C4B"/>
    <w:rsid w:val="074B3407"/>
    <w:rsid w:val="0784404A"/>
    <w:rsid w:val="07A1396F"/>
    <w:rsid w:val="07A71DAB"/>
    <w:rsid w:val="07B90CB8"/>
    <w:rsid w:val="07C93C10"/>
    <w:rsid w:val="07E918D6"/>
    <w:rsid w:val="07EC510E"/>
    <w:rsid w:val="08000695"/>
    <w:rsid w:val="082A5712"/>
    <w:rsid w:val="083D3697"/>
    <w:rsid w:val="08C55606"/>
    <w:rsid w:val="08CD7283"/>
    <w:rsid w:val="08D544D0"/>
    <w:rsid w:val="08DB07BA"/>
    <w:rsid w:val="08EB6C4F"/>
    <w:rsid w:val="090A7A31"/>
    <w:rsid w:val="092D5890"/>
    <w:rsid w:val="09532A47"/>
    <w:rsid w:val="09C339A8"/>
    <w:rsid w:val="09F06AB0"/>
    <w:rsid w:val="09FA34EB"/>
    <w:rsid w:val="0A182626"/>
    <w:rsid w:val="0A2763AD"/>
    <w:rsid w:val="0A62467A"/>
    <w:rsid w:val="0A7D4664"/>
    <w:rsid w:val="0AD33307"/>
    <w:rsid w:val="0AEE3BCC"/>
    <w:rsid w:val="0AFB0342"/>
    <w:rsid w:val="0B3866B7"/>
    <w:rsid w:val="0B3B5F5C"/>
    <w:rsid w:val="0B644CDF"/>
    <w:rsid w:val="0B936411"/>
    <w:rsid w:val="0BAE2588"/>
    <w:rsid w:val="0BD240F7"/>
    <w:rsid w:val="0C120997"/>
    <w:rsid w:val="0C350433"/>
    <w:rsid w:val="0C3D67FB"/>
    <w:rsid w:val="0C4153D2"/>
    <w:rsid w:val="0C4E3A2A"/>
    <w:rsid w:val="0C7C281F"/>
    <w:rsid w:val="0CA07D76"/>
    <w:rsid w:val="0CA247B5"/>
    <w:rsid w:val="0CC51EAD"/>
    <w:rsid w:val="0CEB3524"/>
    <w:rsid w:val="0CFE2CC9"/>
    <w:rsid w:val="0D03679A"/>
    <w:rsid w:val="0D046532"/>
    <w:rsid w:val="0D30650C"/>
    <w:rsid w:val="0D410E67"/>
    <w:rsid w:val="0D786450"/>
    <w:rsid w:val="0DB97443"/>
    <w:rsid w:val="0DCB0DFD"/>
    <w:rsid w:val="0DD203DE"/>
    <w:rsid w:val="0DDC125D"/>
    <w:rsid w:val="0DED346A"/>
    <w:rsid w:val="0DF525DE"/>
    <w:rsid w:val="0DF61CE0"/>
    <w:rsid w:val="0E122ED0"/>
    <w:rsid w:val="0E1E1875"/>
    <w:rsid w:val="0E281F80"/>
    <w:rsid w:val="0E8E37ED"/>
    <w:rsid w:val="0EAF2E14"/>
    <w:rsid w:val="0EDB59B8"/>
    <w:rsid w:val="0EF30E7F"/>
    <w:rsid w:val="0F1B4006"/>
    <w:rsid w:val="0F312AB7"/>
    <w:rsid w:val="0F7C354D"/>
    <w:rsid w:val="0FA826FB"/>
    <w:rsid w:val="0FB775B8"/>
    <w:rsid w:val="0FC54AB0"/>
    <w:rsid w:val="0FD56EE5"/>
    <w:rsid w:val="0FF44D8A"/>
    <w:rsid w:val="103425BC"/>
    <w:rsid w:val="10433815"/>
    <w:rsid w:val="10484987"/>
    <w:rsid w:val="105858FC"/>
    <w:rsid w:val="1069143D"/>
    <w:rsid w:val="108403E2"/>
    <w:rsid w:val="109275A9"/>
    <w:rsid w:val="10945E1E"/>
    <w:rsid w:val="10C15734"/>
    <w:rsid w:val="110D36CE"/>
    <w:rsid w:val="11183B29"/>
    <w:rsid w:val="11533574"/>
    <w:rsid w:val="11733C86"/>
    <w:rsid w:val="11785740"/>
    <w:rsid w:val="117874EE"/>
    <w:rsid w:val="11862732"/>
    <w:rsid w:val="118F278E"/>
    <w:rsid w:val="119105B0"/>
    <w:rsid w:val="11994D85"/>
    <w:rsid w:val="11A47985"/>
    <w:rsid w:val="11A830C4"/>
    <w:rsid w:val="11D80D88"/>
    <w:rsid w:val="11F50B3F"/>
    <w:rsid w:val="121D5BF1"/>
    <w:rsid w:val="123B6992"/>
    <w:rsid w:val="126B2BAF"/>
    <w:rsid w:val="12906AB9"/>
    <w:rsid w:val="12B46AE6"/>
    <w:rsid w:val="12C7072D"/>
    <w:rsid w:val="12E7492B"/>
    <w:rsid w:val="12E74FC1"/>
    <w:rsid w:val="12F27F6E"/>
    <w:rsid w:val="12F53397"/>
    <w:rsid w:val="130370EC"/>
    <w:rsid w:val="131A26A8"/>
    <w:rsid w:val="132A4818"/>
    <w:rsid w:val="13313DF9"/>
    <w:rsid w:val="133D279D"/>
    <w:rsid w:val="13842E04"/>
    <w:rsid w:val="1385172F"/>
    <w:rsid w:val="13B36C86"/>
    <w:rsid w:val="13B67F6A"/>
    <w:rsid w:val="13C438FA"/>
    <w:rsid w:val="13E34C75"/>
    <w:rsid w:val="13E7030F"/>
    <w:rsid w:val="14141B79"/>
    <w:rsid w:val="148650F4"/>
    <w:rsid w:val="1505553D"/>
    <w:rsid w:val="150D2643"/>
    <w:rsid w:val="15192D96"/>
    <w:rsid w:val="15446098"/>
    <w:rsid w:val="155663AB"/>
    <w:rsid w:val="15674B8D"/>
    <w:rsid w:val="15793835"/>
    <w:rsid w:val="157955E3"/>
    <w:rsid w:val="15C368B9"/>
    <w:rsid w:val="15DC13FE"/>
    <w:rsid w:val="15E943C5"/>
    <w:rsid w:val="15F3699E"/>
    <w:rsid w:val="16005D04"/>
    <w:rsid w:val="161F618A"/>
    <w:rsid w:val="16223ECC"/>
    <w:rsid w:val="16351E52"/>
    <w:rsid w:val="16505471"/>
    <w:rsid w:val="16737FC1"/>
    <w:rsid w:val="16B80D6A"/>
    <w:rsid w:val="16C60CFC"/>
    <w:rsid w:val="16DF591A"/>
    <w:rsid w:val="1722468F"/>
    <w:rsid w:val="172C4685"/>
    <w:rsid w:val="173157BB"/>
    <w:rsid w:val="1767428D"/>
    <w:rsid w:val="1776627E"/>
    <w:rsid w:val="17C50FB3"/>
    <w:rsid w:val="18226406"/>
    <w:rsid w:val="182A472E"/>
    <w:rsid w:val="1862610F"/>
    <w:rsid w:val="18710487"/>
    <w:rsid w:val="18C06D07"/>
    <w:rsid w:val="190B3062"/>
    <w:rsid w:val="192D6E10"/>
    <w:rsid w:val="192E77AB"/>
    <w:rsid w:val="19355CC5"/>
    <w:rsid w:val="19597C05"/>
    <w:rsid w:val="1963464B"/>
    <w:rsid w:val="197764F6"/>
    <w:rsid w:val="19847A44"/>
    <w:rsid w:val="1A200723"/>
    <w:rsid w:val="1A2C70C8"/>
    <w:rsid w:val="1A3A6836"/>
    <w:rsid w:val="1A4A3FE0"/>
    <w:rsid w:val="1A5B5BFF"/>
    <w:rsid w:val="1A6040D2"/>
    <w:rsid w:val="1A8E7D82"/>
    <w:rsid w:val="1AE57555"/>
    <w:rsid w:val="1B297585"/>
    <w:rsid w:val="1B2B0B2B"/>
    <w:rsid w:val="1B707488"/>
    <w:rsid w:val="1B726CF2"/>
    <w:rsid w:val="1BB32838"/>
    <w:rsid w:val="1BC25F36"/>
    <w:rsid w:val="1BCD48DA"/>
    <w:rsid w:val="1BF24C7D"/>
    <w:rsid w:val="1C116575"/>
    <w:rsid w:val="1C2A3ADB"/>
    <w:rsid w:val="1C324211"/>
    <w:rsid w:val="1C623275"/>
    <w:rsid w:val="1C7F3E27"/>
    <w:rsid w:val="1C8938BE"/>
    <w:rsid w:val="1C977356"/>
    <w:rsid w:val="1CEE68B6"/>
    <w:rsid w:val="1CFE11EF"/>
    <w:rsid w:val="1D012A8E"/>
    <w:rsid w:val="1D1C4C74"/>
    <w:rsid w:val="1D4666F2"/>
    <w:rsid w:val="1DED3012"/>
    <w:rsid w:val="1DFB74DD"/>
    <w:rsid w:val="1E02178A"/>
    <w:rsid w:val="1E3B5065"/>
    <w:rsid w:val="1E3B5B2B"/>
    <w:rsid w:val="1E491296"/>
    <w:rsid w:val="1E504393"/>
    <w:rsid w:val="1E5D49E3"/>
    <w:rsid w:val="1E6432D4"/>
    <w:rsid w:val="1E9F430C"/>
    <w:rsid w:val="1EB53B18"/>
    <w:rsid w:val="1EBD4792"/>
    <w:rsid w:val="1EE461C3"/>
    <w:rsid w:val="1F2465AE"/>
    <w:rsid w:val="1F2962CC"/>
    <w:rsid w:val="1F297E9B"/>
    <w:rsid w:val="1F3C3740"/>
    <w:rsid w:val="1F487665"/>
    <w:rsid w:val="1F4E5D32"/>
    <w:rsid w:val="1F683A66"/>
    <w:rsid w:val="1F721A21"/>
    <w:rsid w:val="1F793D64"/>
    <w:rsid w:val="1F82221D"/>
    <w:rsid w:val="1FA6791C"/>
    <w:rsid w:val="1FB65DB1"/>
    <w:rsid w:val="1FDA1374"/>
    <w:rsid w:val="20210F16"/>
    <w:rsid w:val="206770AC"/>
    <w:rsid w:val="208714FC"/>
    <w:rsid w:val="20AD4C4C"/>
    <w:rsid w:val="20B41F4E"/>
    <w:rsid w:val="20B73CE8"/>
    <w:rsid w:val="20CB1F07"/>
    <w:rsid w:val="20E76E0C"/>
    <w:rsid w:val="21244F9D"/>
    <w:rsid w:val="216E1E9C"/>
    <w:rsid w:val="222C2B90"/>
    <w:rsid w:val="22457E73"/>
    <w:rsid w:val="2248233E"/>
    <w:rsid w:val="22592440"/>
    <w:rsid w:val="22721E82"/>
    <w:rsid w:val="227D2BB6"/>
    <w:rsid w:val="22881D9F"/>
    <w:rsid w:val="229E3272"/>
    <w:rsid w:val="22E70030"/>
    <w:rsid w:val="22EC3898"/>
    <w:rsid w:val="22F866E1"/>
    <w:rsid w:val="23260E04"/>
    <w:rsid w:val="233953DA"/>
    <w:rsid w:val="23444509"/>
    <w:rsid w:val="234F2844"/>
    <w:rsid w:val="23515DF1"/>
    <w:rsid w:val="237613B4"/>
    <w:rsid w:val="23790749"/>
    <w:rsid w:val="237B4B25"/>
    <w:rsid w:val="2388353B"/>
    <w:rsid w:val="23931F66"/>
    <w:rsid w:val="239A2C36"/>
    <w:rsid w:val="239A32F4"/>
    <w:rsid w:val="23A208C4"/>
    <w:rsid w:val="23BC52F9"/>
    <w:rsid w:val="23D61A4F"/>
    <w:rsid w:val="24782AD4"/>
    <w:rsid w:val="249C3951"/>
    <w:rsid w:val="249F17D3"/>
    <w:rsid w:val="24A10C0D"/>
    <w:rsid w:val="24C11F9C"/>
    <w:rsid w:val="250C7A19"/>
    <w:rsid w:val="251B6E45"/>
    <w:rsid w:val="251E59E0"/>
    <w:rsid w:val="254479BB"/>
    <w:rsid w:val="254C2D14"/>
    <w:rsid w:val="256D06AE"/>
    <w:rsid w:val="2582242A"/>
    <w:rsid w:val="259077D0"/>
    <w:rsid w:val="25AF7A72"/>
    <w:rsid w:val="25B20381"/>
    <w:rsid w:val="25DB33C1"/>
    <w:rsid w:val="25E42581"/>
    <w:rsid w:val="25F25669"/>
    <w:rsid w:val="260357AC"/>
    <w:rsid w:val="26081331"/>
    <w:rsid w:val="260B6FC2"/>
    <w:rsid w:val="264763B7"/>
    <w:rsid w:val="268B2A3A"/>
    <w:rsid w:val="268B3DAD"/>
    <w:rsid w:val="26A61FB0"/>
    <w:rsid w:val="26B11081"/>
    <w:rsid w:val="26B13700"/>
    <w:rsid w:val="26BE379D"/>
    <w:rsid w:val="26E1530D"/>
    <w:rsid w:val="275131CB"/>
    <w:rsid w:val="27644345"/>
    <w:rsid w:val="277025E4"/>
    <w:rsid w:val="27734537"/>
    <w:rsid w:val="279B1E5B"/>
    <w:rsid w:val="282B4E63"/>
    <w:rsid w:val="282B6C11"/>
    <w:rsid w:val="28541BD2"/>
    <w:rsid w:val="28884FF7"/>
    <w:rsid w:val="28B60B0F"/>
    <w:rsid w:val="28D9041B"/>
    <w:rsid w:val="28E16404"/>
    <w:rsid w:val="28F60FCD"/>
    <w:rsid w:val="290F389D"/>
    <w:rsid w:val="291572CF"/>
    <w:rsid w:val="29181BE3"/>
    <w:rsid w:val="292D3028"/>
    <w:rsid w:val="293033DF"/>
    <w:rsid w:val="293D2CA4"/>
    <w:rsid w:val="293E21D3"/>
    <w:rsid w:val="29567CBD"/>
    <w:rsid w:val="2962542C"/>
    <w:rsid w:val="296F1102"/>
    <w:rsid w:val="29A9794B"/>
    <w:rsid w:val="2A58372E"/>
    <w:rsid w:val="2A7228D5"/>
    <w:rsid w:val="2AD73080"/>
    <w:rsid w:val="2B160E6F"/>
    <w:rsid w:val="2B351DFD"/>
    <w:rsid w:val="2B367172"/>
    <w:rsid w:val="2B394379"/>
    <w:rsid w:val="2B500ACD"/>
    <w:rsid w:val="2B784A6E"/>
    <w:rsid w:val="2B790267"/>
    <w:rsid w:val="2B9A7B07"/>
    <w:rsid w:val="2BAE2033"/>
    <w:rsid w:val="2BB37649"/>
    <w:rsid w:val="2BB82A63"/>
    <w:rsid w:val="2BC730F4"/>
    <w:rsid w:val="2BDE23BD"/>
    <w:rsid w:val="2BE42462"/>
    <w:rsid w:val="2BFA2F81"/>
    <w:rsid w:val="2BFD3113"/>
    <w:rsid w:val="2BFD6B16"/>
    <w:rsid w:val="2C0003B4"/>
    <w:rsid w:val="2C15160E"/>
    <w:rsid w:val="2C3A068B"/>
    <w:rsid w:val="2C6426F1"/>
    <w:rsid w:val="2CA156F3"/>
    <w:rsid w:val="2D236108"/>
    <w:rsid w:val="2D8C0151"/>
    <w:rsid w:val="2D906B09"/>
    <w:rsid w:val="2D9C5EBB"/>
    <w:rsid w:val="2DAC0A59"/>
    <w:rsid w:val="2DCE076A"/>
    <w:rsid w:val="2E9A689E"/>
    <w:rsid w:val="2ED7388A"/>
    <w:rsid w:val="2EDD4BB1"/>
    <w:rsid w:val="2EE212D0"/>
    <w:rsid w:val="2F2729AC"/>
    <w:rsid w:val="2F2A7C22"/>
    <w:rsid w:val="2F3C0F4C"/>
    <w:rsid w:val="2F5A6566"/>
    <w:rsid w:val="2F6908DF"/>
    <w:rsid w:val="2FAB20EE"/>
    <w:rsid w:val="2FAD2601"/>
    <w:rsid w:val="2FB82F9F"/>
    <w:rsid w:val="2FE5383E"/>
    <w:rsid w:val="30E67B79"/>
    <w:rsid w:val="313C778B"/>
    <w:rsid w:val="319C13AD"/>
    <w:rsid w:val="31D9592F"/>
    <w:rsid w:val="31E85B72"/>
    <w:rsid w:val="32105FF7"/>
    <w:rsid w:val="321A2D0F"/>
    <w:rsid w:val="322E1126"/>
    <w:rsid w:val="324D664C"/>
    <w:rsid w:val="32504AC8"/>
    <w:rsid w:val="329064DD"/>
    <w:rsid w:val="32BE6EB2"/>
    <w:rsid w:val="32C616FD"/>
    <w:rsid w:val="32C7154E"/>
    <w:rsid w:val="32D46E8A"/>
    <w:rsid w:val="3317207A"/>
    <w:rsid w:val="331A6B7B"/>
    <w:rsid w:val="33204F95"/>
    <w:rsid w:val="33396D39"/>
    <w:rsid w:val="33643EF5"/>
    <w:rsid w:val="33D80BF4"/>
    <w:rsid w:val="33E57C5B"/>
    <w:rsid w:val="34124B0B"/>
    <w:rsid w:val="346F60D7"/>
    <w:rsid w:val="348F605A"/>
    <w:rsid w:val="34A357B5"/>
    <w:rsid w:val="34AA1521"/>
    <w:rsid w:val="34B1049E"/>
    <w:rsid w:val="34C22379"/>
    <w:rsid w:val="34EF2E71"/>
    <w:rsid w:val="34F206CA"/>
    <w:rsid w:val="34F51A33"/>
    <w:rsid w:val="35233259"/>
    <w:rsid w:val="357E4769"/>
    <w:rsid w:val="357F67EE"/>
    <w:rsid w:val="35851787"/>
    <w:rsid w:val="358636D8"/>
    <w:rsid w:val="35B20971"/>
    <w:rsid w:val="35F03248"/>
    <w:rsid w:val="361E1B63"/>
    <w:rsid w:val="363F7EE3"/>
    <w:rsid w:val="365D08DD"/>
    <w:rsid w:val="369E2DBA"/>
    <w:rsid w:val="369F27CF"/>
    <w:rsid w:val="36B60605"/>
    <w:rsid w:val="36C73FA8"/>
    <w:rsid w:val="36CF7301"/>
    <w:rsid w:val="36DB3EF8"/>
    <w:rsid w:val="3701395E"/>
    <w:rsid w:val="37036766"/>
    <w:rsid w:val="3727713D"/>
    <w:rsid w:val="375B08FF"/>
    <w:rsid w:val="375C07A8"/>
    <w:rsid w:val="37704A11"/>
    <w:rsid w:val="379538CC"/>
    <w:rsid w:val="379D2F5B"/>
    <w:rsid w:val="37C45ACE"/>
    <w:rsid w:val="37E335F2"/>
    <w:rsid w:val="37E76AA3"/>
    <w:rsid w:val="38125B90"/>
    <w:rsid w:val="3835053A"/>
    <w:rsid w:val="387463B2"/>
    <w:rsid w:val="38BE1535"/>
    <w:rsid w:val="3955406C"/>
    <w:rsid w:val="395A2DA3"/>
    <w:rsid w:val="397A7B42"/>
    <w:rsid w:val="39B4157B"/>
    <w:rsid w:val="39DF785B"/>
    <w:rsid w:val="3A0D43C8"/>
    <w:rsid w:val="3A1A0893"/>
    <w:rsid w:val="3A4A61CE"/>
    <w:rsid w:val="3A5C534F"/>
    <w:rsid w:val="3A5E69D2"/>
    <w:rsid w:val="3A60099C"/>
    <w:rsid w:val="3A751F07"/>
    <w:rsid w:val="3A8B1791"/>
    <w:rsid w:val="3AA16B06"/>
    <w:rsid w:val="3AD969A0"/>
    <w:rsid w:val="3ADB5466"/>
    <w:rsid w:val="3B20637D"/>
    <w:rsid w:val="3B2C2F74"/>
    <w:rsid w:val="3B351E28"/>
    <w:rsid w:val="3B78218B"/>
    <w:rsid w:val="3B8B205B"/>
    <w:rsid w:val="3BA174BE"/>
    <w:rsid w:val="3BAE1FDB"/>
    <w:rsid w:val="3BAE3989"/>
    <w:rsid w:val="3BC05FBD"/>
    <w:rsid w:val="3BCC3E0F"/>
    <w:rsid w:val="3BD258C9"/>
    <w:rsid w:val="3BDB4052"/>
    <w:rsid w:val="3C123FA5"/>
    <w:rsid w:val="3C242530"/>
    <w:rsid w:val="3C607CD7"/>
    <w:rsid w:val="3C7A315A"/>
    <w:rsid w:val="3C8B7826"/>
    <w:rsid w:val="3C8D17F0"/>
    <w:rsid w:val="3CA078D1"/>
    <w:rsid w:val="3CBA391B"/>
    <w:rsid w:val="3CCA02B2"/>
    <w:rsid w:val="3CDB255C"/>
    <w:rsid w:val="3CE62383"/>
    <w:rsid w:val="3CEC7A2A"/>
    <w:rsid w:val="3D0433A8"/>
    <w:rsid w:val="3D15699B"/>
    <w:rsid w:val="3D3779F1"/>
    <w:rsid w:val="3D6A66B2"/>
    <w:rsid w:val="3D867B10"/>
    <w:rsid w:val="3DA07301"/>
    <w:rsid w:val="3DA663C4"/>
    <w:rsid w:val="3DBF44D4"/>
    <w:rsid w:val="3DC207FD"/>
    <w:rsid w:val="3DCE35B6"/>
    <w:rsid w:val="3DD136B5"/>
    <w:rsid w:val="3DDA1126"/>
    <w:rsid w:val="3DF14E3C"/>
    <w:rsid w:val="3DFC6C2D"/>
    <w:rsid w:val="3E043D34"/>
    <w:rsid w:val="3E0A3EC6"/>
    <w:rsid w:val="3E0D6740"/>
    <w:rsid w:val="3E256F9E"/>
    <w:rsid w:val="3E2609B2"/>
    <w:rsid w:val="3E371A14"/>
    <w:rsid w:val="3E79001F"/>
    <w:rsid w:val="3E7F6463"/>
    <w:rsid w:val="3EAF459C"/>
    <w:rsid w:val="3ECB4852"/>
    <w:rsid w:val="3EEB0292"/>
    <w:rsid w:val="3EF142B8"/>
    <w:rsid w:val="3EF313C9"/>
    <w:rsid w:val="3F281B00"/>
    <w:rsid w:val="3F3E0C3D"/>
    <w:rsid w:val="3F4D76DD"/>
    <w:rsid w:val="3F930BE9"/>
    <w:rsid w:val="3F952DC8"/>
    <w:rsid w:val="3FE15005"/>
    <w:rsid w:val="3FE77469"/>
    <w:rsid w:val="400E2C48"/>
    <w:rsid w:val="401B4FB0"/>
    <w:rsid w:val="401C11D4"/>
    <w:rsid w:val="40324B88"/>
    <w:rsid w:val="403D2804"/>
    <w:rsid w:val="40515615"/>
    <w:rsid w:val="40B21825"/>
    <w:rsid w:val="40BE641C"/>
    <w:rsid w:val="40C14BE6"/>
    <w:rsid w:val="40E85E9C"/>
    <w:rsid w:val="41173D7E"/>
    <w:rsid w:val="417778B2"/>
    <w:rsid w:val="419B675D"/>
    <w:rsid w:val="42056C09"/>
    <w:rsid w:val="428D039F"/>
    <w:rsid w:val="42D77BC6"/>
    <w:rsid w:val="42FC0E58"/>
    <w:rsid w:val="431379ED"/>
    <w:rsid w:val="4315253F"/>
    <w:rsid w:val="431B0D9A"/>
    <w:rsid w:val="43210907"/>
    <w:rsid w:val="436C6603"/>
    <w:rsid w:val="437454B8"/>
    <w:rsid w:val="43931A1E"/>
    <w:rsid w:val="43947908"/>
    <w:rsid w:val="43AA0EDA"/>
    <w:rsid w:val="43AC6A00"/>
    <w:rsid w:val="43C833F3"/>
    <w:rsid w:val="43CC2BFE"/>
    <w:rsid w:val="43D25E53"/>
    <w:rsid w:val="440138A0"/>
    <w:rsid w:val="44246EDE"/>
    <w:rsid w:val="44384737"/>
    <w:rsid w:val="44692B43"/>
    <w:rsid w:val="44740E09"/>
    <w:rsid w:val="44983428"/>
    <w:rsid w:val="44C47D79"/>
    <w:rsid w:val="450F07D9"/>
    <w:rsid w:val="451A208F"/>
    <w:rsid w:val="453170D2"/>
    <w:rsid w:val="453E5D7D"/>
    <w:rsid w:val="45464C32"/>
    <w:rsid w:val="45AD2F03"/>
    <w:rsid w:val="45BE2A1A"/>
    <w:rsid w:val="45D60635"/>
    <w:rsid w:val="460B7B64"/>
    <w:rsid w:val="4612476D"/>
    <w:rsid w:val="46276812"/>
    <w:rsid w:val="462F50FB"/>
    <w:rsid w:val="46617E0B"/>
    <w:rsid w:val="4688254A"/>
    <w:rsid w:val="468F5CB4"/>
    <w:rsid w:val="46953618"/>
    <w:rsid w:val="46C027C2"/>
    <w:rsid w:val="46E75FA1"/>
    <w:rsid w:val="474820C5"/>
    <w:rsid w:val="475B13E7"/>
    <w:rsid w:val="47601A4C"/>
    <w:rsid w:val="476B2262"/>
    <w:rsid w:val="477A7EE5"/>
    <w:rsid w:val="477C5396"/>
    <w:rsid w:val="47DD7AD0"/>
    <w:rsid w:val="47F0715F"/>
    <w:rsid w:val="47F51E94"/>
    <w:rsid w:val="481D611E"/>
    <w:rsid w:val="4851130F"/>
    <w:rsid w:val="485D476D"/>
    <w:rsid w:val="48665BDE"/>
    <w:rsid w:val="48B545A9"/>
    <w:rsid w:val="48B979EC"/>
    <w:rsid w:val="48D34790"/>
    <w:rsid w:val="48F21359"/>
    <w:rsid w:val="4942078A"/>
    <w:rsid w:val="494D6EBA"/>
    <w:rsid w:val="49557B3A"/>
    <w:rsid w:val="498C348F"/>
    <w:rsid w:val="49BA4655"/>
    <w:rsid w:val="49CD757C"/>
    <w:rsid w:val="49DA3B9B"/>
    <w:rsid w:val="49EF5898"/>
    <w:rsid w:val="49FA5FEB"/>
    <w:rsid w:val="4A1F268E"/>
    <w:rsid w:val="4A3C6BE3"/>
    <w:rsid w:val="4A62606A"/>
    <w:rsid w:val="4A6F0787"/>
    <w:rsid w:val="4A7638C4"/>
    <w:rsid w:val="4AA76173"/>
    <w:rsid w:val="4AAE1013"/>
    <w:rsid w:val="4AAE6220"/>
    <w:rsid w:val="4ADE1878"/>
    <w:rsid w:val="4ADE2E23"/>
    <w:rsid w:val="4AE64EED"/>
    <w:rsid w:val="4AF34F14"/>
    <w:rsid w:val="4B380D6F"/>
    <w:rsid w:val="4B9257BC"/>
    <w:rsid w:val="4BA47B1F"/>
    <w:rsid w:val="4BBC29D4"/>
    <w:rsid w:val="4C5145E8"/>
    <w:rsid w:val="4C560DCF"/>
    <w:rsid w:val="4C7503BA"/>
    <w:rsid w:val="4C7A50FE"/>
    <w:rsid w:val="4CA73452"/>
    <w:rsid w:val="4CAC00BD"/>
    <w:rsid w:val="4CBE77A4"/>
    <w:rsid w:val="4CC32763"/>
    <w:rsid w:val="4CE622C3"/>
    <w:rsid w:val="4D0F1621"/>
    <w:rsid w:val="4D24354A"/>
    <w:rsid w:val="4D4E6D7A"/>
    <w:rsid w:val="4D785BA5"/>
    <w:rsid w:val="4DF97234"/>
    <w:rsid w:val="4E437F61"/>
    <w:rsid w:val="4E4C36AA"/>
    <w:rsid w:val="4E4F6531"/>
    <w:rsid w:val="4EB7021F"/>
    <w:rsid w:val="4EC409BC"/>
    <w:rsid w:val="4F005E52"/>
    <w:rsid w:val="4F377967"/>
    <w:rsid w:val="4F411EB6"/>
    <w:rsid w:val="4F42646A"/>
    <w:rsid w:val="4F582EF7"/>
    <w:rsid w:val="4F5F63A7"/>
    <w:rsid w:val="4FBA24A4"/>
    <w:rsid w:val="4FDA6E22"/>
    <w:rsid w:val="4FFD0EF1"/>
    <w:rsid w:val="502F4C40"/>
    <w:rsid w:val="50353716"/>
    <w:rsid w:val="50AC44E3"/>
    <w:rsid w:val="510E3C07"/>
    <w:rsid w:val="5135755A"/>
    <w:rsid w:val="514F12D7"/>
    <w:rsid w:val="51754B1B"/>
    <w:rsid w:val="517B73AD"/>
    <w:rsid w:val="518A5306"/>
    <w:rsid w:val="51986815"/>
    <w:rsid w:val="51A37E3C"/>
    <w:rsid w:val="51B66656"/>
    <w:rsid w:val="51D16F4E"/>
    <w:rsid w:val="51D610EC"/>
    <w:rsid w:val="521045FE"/>
    <w:rsid w:val="52534816"/>
    <w:rsid w:val="52634928"/>
    <w:rsid w:val="52E2243E"/>
    <w:rsid w:val="53117559"/>
    <w:rsid w:val="53277999"/>
    <w:rsid w:val="532F31A9"/>
    <w:rsid w:val="53353269"/>
    <w:rsid w:val="533B7DA0"/>
    <w:rsid w:val="536746F1"/>
    <w:rsid w:val="53764934"/>
    <w:rsid w:val="53A35FB7"/>
    <w:rsid w:val="53B536AF"/>
    <w:rsid w:val="53C80FD0"/>
    <w:rsid w:val="53E30294"/>
    <w:rsid w:val="544B3A05"/>
    <w:rsid w:val="546E385E"/>
    <w:rsid w:val="5472334E"/>
    <w:rsid w:val="54856F9C"/>
    <w:rsid w:val="549269FE"/>
    <w:rsid w:val="54A86D6F"/>
    <w:rsid w:val="5503044A"/>
    <w:rsid w:val="550F1330"/>
    <w:rsid w:val="556829A3"/>
    <w:rsid w:val="55782BE6"/>
    <w:rsid w:val="55A86DD0"/>
    <w:rsid w:val="55B415BA"/>
    <w:rsid w:val="55D46448"/>
    <w:rsid w:val="560E3442"/>
    <w:rsid w:val="56111251"/>
    <w:rsid w:val="56193729"/>
    <w:rsid w:val="56252ADC"/>
    <w:rsid w:val="56327239"/>
    <w:rsid w:val="56426E9F"/>
    <w:rsid w:val="564725B8"/>
    <w:rsid w:val="565959E7"/>
    <w:rsid w:val="56652099"/>
    <w:rsid w:val="56680EAC"/>
    <w:rsid w:val="566D353C"/>
    <w:rsid w:val="569B3338"/>
    <w:rsid w:val="56DE5A63"/>
    <w:rsid w:val="56F269C8"/>
    <w:rsid w:val="57095F85"/>
    <w:rsid w:val="576176AA"/>
    <w:rsid w:val="5765355C"/>
    <w:rsid w:val="57690BD0"/>
    <w:rsid w:val="57CA1153"/>
    <w:rsid w:val="58460B49"/>
    <w:rsid w:val="584A495B"/>
    <w:rsid w:val="586675E4"/>
    <w:rsid w:val="58765D26"/>
    <w:rsid w:val="58947716"/>
    <w:rsid w:val="58B66C06"/>
    <w:rsid w:val="58D345D7"/>
    <w:rsid w:val="59152645"/>
    <w:rsid w:val="591F4A55"/>
    <w:rsid w:val="59407EBE"/>
    <w:rsid w:val="59495785"/>
    <w:rsid w:val="59537B91"/>
    <w:rsid w:val="5962393D"/>
    <w:rsid w:val="59723955"/>
    <w:rsid w:val="59816B33"/>
    <w:rsid w:val="599C2C1B"/>
    <w:rsid w:val="59BE5287"/>
    <w:rsid w:val="59BF67D8"/>
    <w:rsid w:val="59BF6E54"/>
    <w:rsid w:val="59C96098"/>
    <w:rsid w:val="59CD22DC"/>
    <w:rsid w:val="5A2F2D66"/>
    <w:rsid w:val="5A4033EF"/>
    <w:rsid w:val="5A4F3AC1"/>
    <w:rsid w:val="5A9467BF"/>
    <w:rsid w:val="5AAE69DB"/>
    <w:rsid w:val="5AC261B4"/>
    <w:rsid w:val="5ACA056B"/>
    <w:rsid w:val="5AEC0684"/>
    <w:rsid w:val="5AEF136B"/>
    <w:rsid w:val="5AF0582F"/>
    <w:rsid w:val="5AF13B68"/>
    <w:rsid w:val="5B1B6AA6"/>
    <w:rsid w:val="5B1E3B5C"/>
    <w:rsid w:val="5B224E28"/>
    <w:rsid w:val="5B9C02BE"/>
    <w:rsid w:val="5BAF7B56"/>
    <w:rsid w:val="5BF611E3"/>
    <w:rsid w:val="5C0E6052"/>
    <w:rsid w:val="5C313AEE"/>
    <w:rsid w:val="5C7D4F86"/>
    <w:rsid w:val="5C86208C"/>
    <w:rsid w:val="5CAC7619"/>
    <w:rsid w:val="5D072AA1"/>
    <w:rsid w:val="5D211242"/>
    <w:rsid w:val="5D2B49E2"/>
    <w:rsid w:val="5D435D1D"/>
    <w:rsid w:val="5D730EDB"/>
    <w:rsid w:val="5D7C18C6"/>
    <w:rsid w:val="5D902A97"/>
    <w:rsid w:val="5D916BB6"/>
    <w:rsid w:val="5DC32E6C"/>
    <w:rsid w:val="5DE3467B"/>
    <w:rsid w:val="5E000678"/>
    <w:rsid w:val="5E2F5EF2"/>
    <w:rsid w:val="5E61439A"/>
    <w:rsid w:val="5E634018"/>
    <w:rsid w:val="5EB639EA"/>
    <w:rsid w:val="5EDD1D0C"/>
    <w:rsid w:val="5EF54CCE"/>
    <w:rsid w:val="5F0537AA"/>
    <w:rsid w:val="5F1267B5"/>
    <w:rsid w:val="5F2B3E04"/>
    <w:rsid w:val="5F4A1A8C"/>
    <w:rsid w:val="5F760F40"/>
    <w:rsid w:val="5F7D58F2"/>
    <w:rsid w:val="5FC42B81"/>
    <w:rsid w:val="5FD9212E"/>
    <w:rsid w:val="5FE84CD7"/>
    <w:rsid w:val="5FED588E"/>
    <w:rsid w:val="5FFF5CB2"/>
    <w:rsid w:val="600532C8"/>
    <w:rsid w:val="60673F83"/>
    <w:rsid w:val="606E1F64"/>
    <w:rsid w:val="60CE0B25"/>
    <w:rsid w:val="61113EEE"/>
    <w:rsid w:val="61555832"/>
    <w:rsid w:val="6194560C"/>
    <w:rsid w:val="619B6CC1"/>
    <w:rsid w:val="619C4100"/>
    <w:rsid w:val="61A30FEA"/>
    <w:rsid w:val="61BB6EFA"/>
    <w:rsid w:val="61BE5E24"/>
    <w:rsid w:val="61CC5A40"/>
    <w:rsid w:val="61D5316E"/>
    <w:rsid w:val="61DB6D9C"/>
    <w:rsid w:val="623C3CCB"/>
    <w:rsid w:val="6277131B"/>
    <w:rsid w:val="62894736"/>
    <w:rsid w:val="62A274F4"/>
    <w:rsid w:val="62A72D5C"/>
    <w:rsid w:val="62BE63E3"/>
    <w:rsid w:val="62DC02C2"/>
    <w:rsid w:val="62E679C4"/>
    <w:rsid w:val="632E6FDA"/>
    <w:rsid w:val="6345292E"/>
    <w:rsid w:val="635D5082"/>
    <w:rsid w:val="63964B41"/>
    <w:rsid w:val="63CD05A1"/>
    <w:rsid w:val="6410048D"/>
    <w:rsid w:val="64392A67"/>
    <w:rsid w:val="64421F3D"/>
    <w:rsid w:val="64487C27"/>
    <w:rsid w:val="6449399F"/>
    <w:rsid w:val="647C3D75"/>
    <w:rsid w:val="648570CD"/>
    <w:rsid w:val="64AD03D2"/>
    <w:rsid w:val="64B66E59"/>
    <w:rsid w:val="64CC5E52"/>
    <w:rsid w:val="650F4B9B"/>
    <w:rsid w:val="654E657D"/>
    <w:rsid w:val="655C1B09"/>
    <w:rsid w:val="6569254B"/>
    <w:rsid w:val="658630FD"/>
    <w:rsid w:val="65864EAB"/>
    <w:rsid w:val="65AC2438"/>
    <w:rsid w:val="65B13FDF"/>
    <w:rsid w:val="65B768E4"/>
    <w:rsid w:val="65BF216B"/>
    <w:rsid w:val="65C57872"/>
    <w:rsid w:val="65DA0D53"/>
    <w:rsid w:val="65EF0F14"/>
    <w:rsid w:val="66042274"/>
    <w:rsid w:val="66043DF1"/>
    <w:rsid w:val="6614083B"/>
    <w:rsid w:val="661D46CA"/>
    <w:rsid w:val="667B0788"/>
    <w:rsid w:val="66887A48"/>
    <w:rsid w:val="669F48C5"/>
    <w:rsid w:val="66B94E0C"/>
    <w:rsid w:val="66BB1AFB"/>
    <w:rsid w:val="66C8643E"/>
    <w:rsid w:val="66CA0DC7"/>
    <w:rsid w:val="66F0707E"/>
    <w:rsid w:val="66F127F8"/>
    <w:rsid w:val="66F20D2E"/>
    <w:rsid w:val="66F95B50"/>
    <w:rsid w:val="673D6A15"/>
    <w:rsid w:val="67630C3D"/>
    <w:rsid w:val="67960780"/>
    <w:rsid w:val="67BB2DBB"/>
    <w:rsid w:val="681B0B00"/>
    <w:rsid w:val="682B3AE8"/>
    <w:rsid w:val="682E5386"/>
    <w:rsid w:val="683F57E5"/>
    <w:rsid w:val="68415A7C"/>
    <w:rsid w:val="688D47A2"/>
    <w:rsid w:val="68AF4719"/>
    <w:rsid w:val="68CD623B"/>
    <w:rsid w:val="68FD36D6"/>
    <w:rsid w:val="6908207B"/>
    <w:rsid w:val="694D7A8E"/>
    <w:rsid w:val="69562DE6"/>
    <w:rsid w:val="696012B6"/>
    <w:rsid w:val="69642093"/>
    <w:rsid w:val="6985191D"/>
    <w:rsid w:val="69BD2E65"/>
    <w:rsid w:val="69CA6B08"/>
    <w:rsid w:val="69E57F9F"/>
    <w:rsid w:val="69E95A08"/>
    <w:rsid w:val="6A042666"/>
    <w:rsid w:val="6A9736F0"/>
    <w:rsid w:val="6AB26742"/>
    <w:rsid w:val="6ACF714E"/>
    <w:rsid w:val="6AF97ECD"/>
    <w:rsid w:val="6B680BAF"/>
    <w:rsid w:val="6B6C68F1"/>
    <w:rsid w:val="6BA17D14"/>
    <w:rsid w:val="6BCC55E2"/>
    <w:rsid w:val="6BE41292"/>
    <w:rsid w:val="6BF43D6E"/>
    <w:rsid w:val="6C3A781B"/>
    <w:rsid w:val="6C6549E1"/>
    <w:rsid w:val="6C884442"/>
    <w:rsid w:val="6CEA7D28"/>
    <w:rsid w:val="6CF25FA0"/>
    <w:rsid w:val="6CF3094C"/>
    <w:rsid w:val="6CF3436B"/>
    <w:rsid w:val="6D1C04A5"/>
    <w:rsid w:val="6D257FA0"/>
    <w:rsid w:val="6D5B6316"/>
    <w:rsid w:val="6D77157D"/>
    <w:rsid w:val="6D9143ED"/>
    <w:rsid w:val="6DC40A12"/>
    <w:rsid w:val="6DC74A88"/>
    <w:rsid w:val="6DDD7C5D"/>
    <w:rsid w:val="6DEA2117"/>
    <w:rsid w:val="6E003EDB"/>
    <w:rsid w:val="6E026AF3"/>
    <w:rsid w:val="6E113780"/>
    <w:rsid w:val="6E2178BF"/>
    <w:rsid w:val="6E236598"/>
    <w:rsid w:val="6E6C4C84"/>
    <w:rsid w:val="6E8C1058"/>
    <w:rsid w:val="6EBF142E"/>
    <w:rsid w:val="6EC10E48"/>
    <w:rsid w:val="6F02798D"/>
    <w:rsid w:val="6F0F5F11"/>
    <w:rsid w:val="6F120DB6"/>
    <w:rsid w:val="6F2946DA"/>
    <w:rsid w:val="6F550DE0"/>
    <w:rsid w:val="6F694185"/>
    <w:rsid w:val="6FD1766A"/>
    <w:rsid w:val="6FEE312C"/>
    <w:rsid w:val="70294E19"/>
    <w:rsid w:val="707443AD"/>
    <w:rsid w:val="7091168B"/>
    <w:rsid w:val="70990122"/>
    <w:rsid w:val="70AB65C5"/>
    <w:rsid w:val="70AF5E49"/>
    <w:rsid w:val="70C60851"/>
    <w:rsid w:val="70D00980"/>
    <w:rsid w:val="70E51DA8"/>
    <w:rsid w:val="71213150"/>
    <w:rsid w:val="712D267F"/>
    <w:rsid w:val="712F47EA"/>
    <w:rsid w:val="713C6679"/>
    <w:rsid w:val="714802B0"/>
    <w:rsid w:val="71660A25"/>
    <w:rsid w:val="71812600"/>
    <w:rsid w:val="71946BA2"/>
    <w:rsid w:val="719C15B2"/>
    <w:rsid w:val="71A843FB"/>
    <w:rsid w:val="71D82792"/>
    <w:rsid w:val="71F94EA8"/>
    <w:rsid w:val="721E450C"/>
    <w:rsid w:val="72514A93"/>
    <w:rsid w:val="7262278F"/>
    <w:rsid w:val="72BA523F"/>
    <w:rsid w:val="730C2768"/>
    <w:rsid w:val="7329331A"/>
    <w:rsid w:val="732A300A"/>
    <w:rsid w:val="739A5FC5"/>
    <w:rsid w:val="73A429A0"/>
    <w:rsid w:val="73BE1CB4"/>
    <w:rsid w:val="73CC7691"/>
    <w:rsid w:val="73D85A6B"/>
    <w:rsid w:val="740861C7"/>
    <w:rsid w:val="74AE1D28"/>
    <w:rsid w:val="74C2331D"/>
    <w:rsid w:val="74CF1255"/>
    <w:rsid w:val="74E7523A"/>
    <w:rsid w:val="74FB54A4"/>
    <w:rsid w:val="751610E2"/>
    <w:rsid w:val="751A7B05"/>
    <w:rsid w:val="751C63E4"/>
    <w:rsid w:val="75611CC1"/>
    <w:rsid w:val="758033BB"/>
    <w:rsid w:val="759233F8"/>
    <w:rsid w:val="75D25EEA"/>
    <w:rsid w:val="75DD731F"/>
    <w:rsid w:val="75F62574"/>
    <w:rsid w:val="75FE283B"/>
    <w:rsid w:val="764B039C"/>
    <w:rsid w:val="766641C7"/>
    <w:rsid w:val="766656C3"/>
    <w:rsid w:val="76740D50"/>
    <w:rsid w:val="768014A2"/>
    <w:rsid w:val="768D4B1F"/>
    <w:rsid w:val="76B352F7"/>
    <w:rsid w:val="76B7148E"/>
    <w:rsid w:val="76C22210"/>
    <w:rsid w:val="76CA7E5A"/>
    <w:rsid w:val="77107706"/>
    <w:rsid w:val="77120FDD"/>
    <w:rsid w:val="77214368"/>
    <w:rsid w:val="77490EAB"/>
    <w:rsid w:val="775C2950"/>
    <w:rsid w:val="77610F13"/>
    <w:rsid w:val="776B3787"/>
    <w:rsid w:val="778C37F8"/>
    <w:rsid w:val="77903967"/>
    <w:rsid w:val="779D7E32"/>
    <w:rsid w:val="77B12E34"/>
    <w:rsid w:val="77B32EDF"/>
    <w:rsid w:val="77BF5FFA"/>
    <w:rsid w:val="77CA451A"/>
    <w:rsid w:val="77D46CD2"/>
    <w:rsid w:val="77D83D50"/>
    <w:rsid w:val="77F50340"/>
    <w:rsid w:val="78056103"/>
    <w:rsid w:val="780F6F82"/>
    <w:rsid w:val="781D0CC1"/>
    <w:rsid w:val="7823193A"/>
    <w:rsid w:val="78264F05"/>
    <w:rsid w:val="782E61C7"/>
    <w:rsid w:val="7836235A"/>
    <w:rsid w:val="783B33E4"/>
    <w:rsid w:val="78534B66"/>
    <w:rsid w:val="7879117E"/>
    <w:rsid w:val="787B0197"/>
    <w:rsid w:val="787E1A12"/>
    <w:rsid w:val="789467E1"/>
    <w:rsid w:val="78A00DCC"/>
    <w:rsid w:val="78BE10F6"/>
    <w:rsid w:val="78BF6934"/>
    <w:rsid w:val="78C25DA2"/>
    <w:rsid w:val="78D43D28"/>
    <w:rsid w:val="78EE56C6"/>
    <w:rsid w:val="78FD502C"/>
    <w:rsid w:val="792275BE"/>
    <w:rsid w:val="79382508"/>
    <w:rsid w:val="794672BF"/>
    <w:rsid w:val="79532E9E"/>
    <w:rsid w:val="79797086"/>
    <w:rsid w:val="797A5F8B"/>
    <w:rsid w:val="798005E6"/>
    <w:rsid w:val="79B42ADE"/>
    <w:rsid w:val="79CA38C6"/>
    <w:rsid w:val="7A3C1D44"/>
    <w:rsid w:val="7A8B158A"/>
    <w:rsid w:val="7AB102CB"/>
    <w:rsid w:val="7ADD5362"/>
    <w:rsid w:val="7AF32002"/>
    <w:rsid w:val="7B1A0118"/>
    <w:rsid w:val="7B2723A2"/>
    <w:rsid w:val="7B62386D"/>
    <w:rsid w:val="7B6E2211"/>
    <w:rsid w:val="7BD217F3"/>
    <w:rsid w:val="7BDC1277"/>
    <w:rsid w:val="7C1973A2"/>
    <w:rsid w:val="7C277454"/>
    <w:rsid w:val="7C594C70"/>
    <w:rsid w:val="7C7C270C"/>
    <w:rsid w:val="7C85264B"/>
    <w:rsid w:val="7C8F31A1"/>
    <w:rsid w:val="7CB63E70"/>
    <w:rsid w:val="7CC266CE"/>
    <w:rsid w:val="7CC76395"/>
    <w:rsid w:val="7D00333D"/>
    <w:rsid w:val="7D676E06"/>
    <w:rsid w:val="7D7A30EF"/>
    <w:rsid w:val="7D8B5E5A"/>
    <w:rsid w:val="7D906276"/>
    <w:rsid w:val="7D9D293A"/>
    <w:rsid w:val="7DB41364"/>
    <w:rsid w:val="7DC87AA7"/>
    <w:rsid w:val="7DE44A0D"/>
    <w:rsid w:val="7E1E7F1F"/>
    <w:rsid w:val="7E2F667A"/>
    <w:rsid w:val="7E321E60"/>
    <w:rsid w:val="7E347D78"/>
    <w:rsid w:val="7E493D4F"/>
    <w:rsid w:val="7E5356EF"/>
    <w:rsid w:val="7E916B3D"/>
    <w:rsid w:val="7E9B65C0"/>
    <w:rsid w:val="7EA95725"/>
    <w:rsid w:val="7F1205F3"/>
    <w:rsid w:val="7F69341C"/>
    <w:rsid w:val="7F6B3277"/>
    <w:rsid w:val="7F7C3A97"/>
    <w:rsid w:val="7F8F2756"/>
    <w:rsid w:val="7FFA67D9"/>
    <w:rsid w:val="89FFB146"/>
    <w:rsid w:val="AF3DDE11"/>
    <w:rsid w:val="B9FE082A"/>
    <w:rsid w:val="FFBBC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1"/>
    <w:basedOn w:val="1"/>
    <w:next w:val="1"/>
    <w:qFormat/>
    <w:uiPriority w:val="0"/>
    <w:pPr>
      <w:autoSpaceDE w:val="0"/>
      <w:autoSpaceDN w:val="0"/>
      <w:adjustRightInd w:val="0"/>
      <w:jc w:val="left"/>
      <w:outlineLvl w:val="0"/>
    </w:pPr>
    <w:rPr>
      <w:kern w:val="0"/>
      <w:sz w:val="30"/>
    </w:rPr>
  </w:style>
  <w:style w:type="paragraph" w:styleId="4">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5">
    <w:name w:val="heading 3"/>
    <w:basedOn w:val="6"/>
    <w:next w:val="6"/>
    <w:qFormat/>
    <w:uiPriority w:val="0"/>
    <w:pPr>
      <w:keepNext/>
      <w:keepLines/>
      <w:spacing w:before="120" w:beforeLines="0" w:beforeAutospacing="0" w:after="120" w:afterLines="0" w:afterAutospacing="0"/>
      <w:jc w:val="center"/>
      <w:outlineLvl w:val="2"/>
    </w:pPr>
    <w:rPr>
      <w:sz w:val="24"/>
    </w:rPr>
  </w:style>
  <w:style w:type="paragraph" w:styleId="2">
    <w:name w:val="heading 4"/>
    <w:basedOn w:val="1"/>
    <w:next w:val="1"/>
    <w:qFormat/>
    <w:uiPriority w:val="0"/>
    <w:pPr>
      <w:keepNext/>
      <w:keepLines/>
      <w:spacing w:line="374" w:lineRule="auto"/>
      <w:outlineLvl w:val="3"/>
    </w:pPr>
    <w:rPr>
      <w:rFonts w:ascii="Arial" w:hAnsi="Arial"/>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rPr>
  </w:style>
  <w:style w:type="paragraph" w:styleId="7">
    <w:name w:val="annotation text"/>
    <w:basedOn w:val="1"/>
    <w:next w:val="1"/>
    <w:qFormat/>
    <w:uiPriority w:val="0"/>
    <w:pPr>
      <w:adjustRightInd w:val="0"/>
      <w:spacing w:line="360" w:lineRule="atLeast"/>
      <w:jc w:val="left"/>
      <w:textAlignment w:val="baseline"/>
    </w:pPr>
    <w:rPr>
      <w:kern w:val="0"/>
    </w:rPr>
  </w:style>
  <w:style w:type="paragraph" w:styleId="8">
    <w:name w:val="Body Text"/>
    <w:basedOn w:val="1"/>
    <w:next w:val="9"/>
    <w:semiHidden/>
    <w:qFormat/>
    <w:uiPriority w:val="0"/>
    <w:rPr>
      <w:rFonts w:ascii="Arial" w:hAnsi="Arial" w:eastAsia="Arial" w:cs="Arial"/>
      <w:sz w:val="21"/>
      <w:szCs w:val="21"/>
      <w:lang w:val="en-US" w:eastAsia="en-US" w:bidi="ar-SA"/>
    </w:rPr>
  </w:style>
  <w:style w:type="paragraph" w:styleId="9">
    <w:name w:val="Body Text 2"/>
    <w:basedOn w:val="1"/>
    <w:next w:val="8"/>
    <w:qFormat/>
    <w:uiPriority w:val="0"/>
    <w:pPr>
      <w:spacing w:line="500" w:lineRule="exact"/>
    </w:pPr>
    <w:rPr>
      <w:rFonts w:ascii="宋体"/>
      <w:sz w:val="24"/>
    </w:rPr>
  </w:style>
  <w:style w:type="paragraph" w:styleId="10">
    <w:name w:val="toc 3"/>
    <w:basedOn w:val="1"/>
    <w:next w:val="1"/>
    <w:qFormat/>
    <w:uiPriority w:val="0"/>
    <w:pPr>
      <w:ind w:left="840" w:leftChars="400"/>
    </w:pPr>
  </w:style>
  <w:style w:type="paragraph" w:styleId="11">
    <w:name w:val="Plain Text"/>
    <w:basedOn w:val="1"/>
    <w:qFormat/>
    <w:uiPriority w:val="0"/>
    <w:rPr>
      <w:rFonts w:ascii="宋体" w:hAnsi="Courier New"/>
      <w:szCs w:val="20"/>
    </w:rPr>
  </w:style>
  <w:style w:type="paragraph" w:styleId="12">
    <w:name w:val="footer"/>
    <w:basedOn w:val="1"/>
    <w:qFormat/>
    <w:uiPriority w:val="0"/>
    <w:pPr>
      <w:tabs>
        <w:tab w:val="center" w:pos="4153"/>
        <w:tab w:val="right" w:pos="8306"/>
      </w:tabs>
      <w:snapToGrid w:val="0"/>
      <w:jc w:val="left"/>
    </w:pPr>
    <w:rPr>
      <w:sz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Body Text First Indent"/>
    <w:basedOn w:val="8"/>
    <w:qFormat/>
    <w:uiPriority w:val="99"/>
    <w:pPr>
      <w:spacing w:line="240" w:lineRule="auto"/>
      <w:ind w:firstLine="420" w:firstLineChars="100"/>
    </w:pPr>
    <w:rPr>
      <w:rFonts w:ascii="Times New Roman" w:cs="Times New Roman"/>
      <w:sz w:val="20"/>
      <w:szCs w:val="20"/>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FollowedHyperlink"/>
    <w:basedOn w:val="19"/>
    <w:qFormat/>
    <w:uiPriority w:val="0"/>
    <w:rPr>
      <w:color w:val="333333"/>
      <w:u w:val="none"/>
    </w:rPr>
  </w:style>
  <w:style w:type="character" w:styleId="22">
    <w:name w:val="Emphasis"/>
    <w:basedOn w:val="19"/>
    <w:qFormat/>
    <w:uiPriority w:val="0"/>
    <w:rPr>
      <w:i/>
    </w:rPr>
  </w:style>
  <w:style w:type="character" w:styleId="23">
    <w:name w:val="HTML Variable"/>
    <w:basedOn w:val="19"/>
    <w:qFormat/>
    <w:uiPriority w:val="0"/>
    <w:rPr>
      <w:i/>
    </w:rPr>
  </w:style>
  <w:style w:type="character" w:styleId="24">
    <w:name w:val="Hyperlink"/>
    <w:basedOn w:val="19"/>
    <w:qFormat/>
    <w:uiPriority w:val="0"/>
    <w:rPr>
      <w:color w:val="333333"/>
      <w:u w:val="none"/>
    </w:rPr>
  </w:style>
  <w:style w:type="character" w:styleId="25">
    <w:name w:val="HTML Code"/>
    <w:basedOn w:val="19"/>
    <w:qFormat/>
    <w:uiPriority w:val="0"/>
    <w:rPr>
      <w:rFonts w:ascii="Courier New" w:hAnsi="Courier New"/>
      <w:sz w:val="20"/>
    </w:rPr>
  </w:style>
  <w:style w:type="character" w:styleId="26">
    <w:name w:val="HTML Cite"/>
    <w:basedOn w:val="19"/>
    <w:qFormat/>
    <w:uiPriority w:val="0"/>
    <w:rPr>
      <w:i/>
    </w:rPr>
  </w:style>
  <w:style w:type="paragraph" w:customStyle="1" w:styleId="27">
    <w:name w:val="样式 宋体 行距: 1.5 倍行距"/>
    <w:basedOn w:val="28"/>
    <w:next w:val="1"/>
    <w:qFormat/>
    <w:uiPriority w:val="99"/>
    <w:pPr>
      <w:widowControl w:val="0"/>
      <w:jc w:val="center"/>
    </w:pPr>
    <w:rPr>
      <w:rFonts w:ascii="Times New Roman" w:hAnsi="Calibri" w:eastAsia="宋体" w:cs="Times New Roman"/>
      <w:b/>
      <w:bCs/>
      <w:kern w:val="2"/>
      <w:sz w:val="21"/>
      <w:szCs w:val="24"/>
      <w:lang w:val="en-US" w:eastAsia="zh-CN" w:bidi="ar-SA"/>
    </w:rPr>
  </w:style>
  <w:style w:type="paragraph" w:customStyle="1" w:styleId="28">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7"/>
    <w:qFormat/>
    <w:uiPriority w:val="0"/>
    <w:pPr>
      <w:widowControl w:val="0"/>
      <w:jc w:val="both"/>
    </w:pPr>
    <w:rPr>
      <w:rFonts w:ascii="Calibri" w:hAnsi="Calibri" w:eastAsia="宋体" w:cs="黑体"/>
      <w:kern w:val="2"/>
      <w:sz w:val="21"/>
      <w:szCs w:val="24"/>
      <w:lang w:val="en-US" w:eastAsia="zh-CN" w:bidi="ar-SA"/>
    </w:rPr>
  </w:style>
  <w:style w:type="paragraph" w:customStyle="1" w:styleId="29">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30">
    <w:name w:val="NormalCharacter"/>
    <w:qFormat/>
    <w:uiPriority w:val="99"/>
  </w:style>
  <w:style w:type="paragraph" w:customStyle="1" w:styleId="31">
    <w:name w:val="Table Text"/>
    <w:basedOn w:val="1"/>
    <w:semiHidden/>
    <w:qFormat/>
    <w:uiPriority w:val="0"/>
    <w:rPr>
      <w:rFonts w:ascii="Arial" w:hAnsi="Arial" w:eastAsia="Arial" w:cs="Arial"/>
      <w:sz w:val="21"/>
      <w:szCs w:val="21"/>
      <w:lang w:val="en-US" w:eastAsia="en-US" w:bidi="ar-SA"/>
    </w:rPr>
  </w:style>
  <w:style w:type="paragraph" w:customStyle="1" w:styleId="32">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
    <w:name w:val="正文缩进1"/>
    <w:basedOn w:val="1"/>
    <w:qFormat/>
    <w:uiPriority w:val="0"/>
    <w:pPr>
      <w:widowControl/>
      <w:ind w:firstLine="420"/>
      <w:jc w:val="left"/>
    </w:pPr>
    <w:rPr>
      <w:kern w:val="0"/>
    </w:rPr>
  </w:style>
  <w:style w:type="paragraph" w:customStyle="1" w:styleId="34">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5">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6">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7">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8">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9">
    <w:name w:val="Heading2"/>
    <w:basedOn w:val="1"/>
    <w:next w:val="1"/>
    <w:qFormat/>
    <w:uiPriority w:val="99"/>
    <w:pPr>
      <w:jc w:val="left"/>
    </w:pPr>
    <w:rPr>
      <w:kern w:val="0"/>
    </w:rPr>
  </w:style>
  <w:style w:type="paragraph" w:customStyle="1" w:styleId="40">
    <w:name w:val="AnnotationText"/>
    <w:basedOn w:val="1"/>
    <w:qFormat/>
    <w:uiPriority w:val="99"/>
    <w:pPr>
      <w:spacing w:line="360" w:lineRule="atLeast"/>
      <w:jc w:val="left"/>
    </w:pPr>
    <w:rPr>
      <w:kern w:val="0"/>
    </w:rPr>
  </w:style>
  <w:style w:type="paragraph" w:customStyle="1" w:styleId="41">
    <w:name w:val="UserStyle_44"/>
    <w:basedOn w:val="42"/>
    <w:qFormat/>
    <w:uiPriority w:val="99"/>
    <w:rPr>
      <w:sz w:val="24"/>
      <w:szCs w:val="24"/>
    </w:rPr>
  </w:style>
  <w:style w:type="paragraph" w:customStyle="1" w:styleId="42">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43">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4">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45">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46">
    <w:name w:val="BodyText"/>
    <w:basedOn w:val="1"/>
    <w:next w:val="47"/>
    <w:qFormat/>
    <w:uiPriority w:val="99"/>
    <w:pPr>
      <w:spacing w:after="120"/>
    </w:pPr>
  </w:style>
  <w:style w:type="paragraph" w:customStyle="1" w:styleId="47">
    <w:name w:val="BodyText2"/>
    <w:basedOn w:val="1"/>
    <w:qFormat/>
    <w:uiPriority w:val="99"/>
    <w:pPr>
      <w:spacing w:line="500" w:lineRule="exact"/>
    </w:pPr>
  </w:style>
  <w:style w:type="paragraph" w:customStyle="1" w:styleId="48">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9">
    <w:name w:val="正文缩进 New"/>
    <w:basedOn w:val="50"/>
    <w:qFormat/>
    <w:uiPriority w:val="0"/>
    <w:pPr>
      <w:widowControl/>
      <w:ind w:firstLine="420"/>
      <w:jc w:val="left"/>
    </w:pPr>
    <w:rPr>
      <w:kern w:val="0"/>
      <w:sz w:val="20"/>
    </w:rPr>
  </w:style>
  <w:style w:type="paragraph" w:customStyle="1" w:styleId="50">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51">
    <w:name w:val="正文文本 (2) + 间距 0 pt3"/>
    <w:basedOn w:val="19"/>
    <w:qFormat/>
    <w:uiPriority w:val="0"/>
    <w:rPr>
      <w:rFonts w:ascii="MingLiU" w:hAnsi="Times New Roman" w:eastAsia="MingLiU" w:cs="MingLiU"/>
      <w:spacing w:val="0"/>
      <w:sz w:val="22"/>
      <w:szCs w:val="22"/>
      <w:u w:val="none"/>
    </w:rPr>
  </w:style>
  <w:style w:type="character" w:customStyle="1" w:styleId="52">
    <w:name w:val="hover21"/>
    <w:basedOn w:val="19"/>
    <w:qFormat/>
    <w:uiPriority w:val="0"/>
    <w:rPr>
      <w:color w:val="5FB878"/>
    </w:rPr>
  </w:style>
  <w:style w:type="character" w:customStyle="1" w:styleId="53">
    <w:name w:val="hover22"/>
    <w:basedOn w:val="19"/>
    <w:qFormat/>
    <w:uiPriority w:val="0"/>
    <w:rPr>
      <w:color w:val="FFFFFF"/>
    </w:rPr>
  </w:style>
  <w:style w:type="character" w:customStyle="1" w:styleId="54">
    <w:name w:val="hover23"/>
    <w:basedOn w:val="19"/>
    <w:qFormat/>
    <w:uiPriority w:val="0"/>
    <w:rPr>
      <w:color w:val="5FB878"/>
    </w:rPr>
  </w:style>
  <w:style w:type="paragraph" w:customStyle="1" w:styleId="5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7"/>
    <w:qFormat/>
    <w:uiPriority w:val="0"/>
    <w:pPr>
      <w:widowControl w:val="0"/>
      <w:jc w:val="both"/>
    </w:pPr>
    <w:rPr>
      <w:rFonts w:ascii="Calibri" w:hAnsi="Calibri" w:eastAsia="宋体" w:cs="黑体"/>
      <w:kern w:val="2"/>
      <w:sz w:val="21"/>
      <w:szCs w:val="24"/>
      <w:lang w:val="en-US" w:eastAsia="zh-CN" w:bidi="ar-SA"/>
    </w:rPr>
  </w:style>
  <w:style w:type="paragraph" w:customStyle="1" w:styleId="56">
    <w:name w:val="Default"/>
    <w:qFormat/>
    <w:uiPriority w:val="0"/>
    <w:pPr>
      <w:widowControl w:val="0"/>
      <w:autoSpaceDE w:val="0"/>
      <w:autoSpaceDN w:val="0"/>
      <w:adjustRightInd w:val="0"/>
    </w:pPr>
    <w:rPr>
      <w:rFonts w:hint="eastAsia" w:ascii="仿宋" w:hAnsi="仿宋" w:eastAsia="仿宋" w:cs="Times New Roman"/>
      <w:color w:val="000000"/>
      <w:sz w:val="24"/>
      <w:lang w:val="en-US" w:eastAsia="zh-CN" w:bidi="ar-SA"/>
    </w:rPr>
  </w:style>
  <w:style w:type="paragraph" w:customStyle="1" w:styleId="57">
    <w:name w:val="标题 2 New New"/>
    <w:basedOn w:val="58"/>
    <w:next w:val="58"/>
    <w:qFormat/>
    <w:uiPriority w:val="0"/>
    <w:pPr>
      <w:autoSpaceDE w:val="0"/>
      <w:autoSpaceDN w:val="0"/>
      <w:adjustRightInd w:val="0"/>
      <w:jc w:val="left"/>
      <w:outlineLvl w:val="1"/>
    </w:pPr>
    <w:rPr>
      <w:kern w:val="0"/>
    </w:rPr>
  </w:style>
  <w:style w:type="paragraph" w:customStyle="1" w:styleId="58">
    <w:name w:val="正文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9">
    <w:name w:val="普通(网站) New"/>
    <w:basedOn w:val="60"/>
    <w:qFormat/>
    <w:uiPriority w:val="0"/>
    <w:rPr>
      <w:sz w:val="24"/>
    </w:rPr>
  </w:style>
  <w:style w:type="paragraph" w:customStyle="1" w:styleId="60">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1">
    <w:name w:val="样式 宋体 四号 首行缩进:  2 字符"/>
    <w:basedOn w:val="1"/>
    <w:qFormat/>
    <w:uiPriority w:val="99"/>
    <w:pPr>
      <w:widowControl/>
    </w:pPr>
    <w:rPr>
      <w:rFonts w:cs="宋体"/>
      <w:color w:val="000000"/>
      <w:kern w:val="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9" Type="http://schemas.openxmlformats.org/officeDocument/2006/relationships/fontTable" Target="fontTable.xml"/><Relationship Id="rId58" Type="http://schemas.openxmlformats.org/officeDocument/2006/relationships/numbering" Target="numbering.xml"/><Relationship Id="rId57" Type="http://schemas.openxmlformats.org/officeDocument/2006/relationships/customXml" Target="../customXml/item1.xml"/><Relationship Id="rId56" Type="http://schemas.openxmlformats.org/officeDocument/2006/relationships/image" Target="media/image18.png"/><Relationship Id="rId55" Type="http://schemas.openxmlformats.org/officeDocument/2006/relationships/image" Target="media/image17.jpeg"/><Relationship Id="rId54" Type="http://schemas.openxmlformats.org/officeDocument/2006/relationships/image" Target="media/image16.png"/><Relationship Id="rId53" Type="http://schemas.openxmlformats.org/officeDocument/2006/relationships/image" Target="media/image15.png"/><Relationship Id="rId52" Type="http://schemas.openxmlformats.org/officeDocument/2006/relationships/image" Target="media/image14.wmf"/><Relationship Id="rId51" Type="http://schemas.openxmlformats.org/officeDocument/2006/relationships/oleObject" Target="embeddings/oleObject12.bin"/><Relationship Id="rId50" Type="http://schemas.openxmlformats.org/officeDocument/2006/relationships/image" Target="media/image13.wmf"/><Relationship Id="rId5" Type="http://schemas.openxmlformats.org/officeDocument/2006/relationships/footer" Target="footer1.xml"/><Relationship Id="rId49" Type="http://schemas.openxmlformats.org/officeDocument/2006/relationships/oleObject" Target="embeddings/oleObject11.bin"/><Relationship Id="rId48" Type="http://schemas.openxmlformats.org/officeDocument/2006/relationships/image" Target="media/image12.wmf"/><Relationship Id="rId47" Type="http://schemas.openxmlformats.org/officeDocument/2006/relationships/oleObject" Target="embeddings/oleObject10.bin"/><Relationship Id="rId46" Type="http://schemas.openxmlformats.org/officeDocument/2006/relationships/image" Target="media/image11.wmf"/><Relationship Id="rId45" Type="http://schemas.openxmlformats.org/officeDocument/2006/relationships/oleObject" Target="embeddings/oleObject9.bin"/><Relationship Id="rId44" Type="http://schemas.openxmlformats.org/officeDocument/2006/relationships/image" Target="media/image10.wmf"/><Relationship Id="rId43" Type="http://schemas.openxmlformats.org/officeDocument/2006/relationships/oleObject" Target="embeddings/oleObject8.bin"/><Relationship Id="rId42" Type="http://schemas.openxmlformats.org/officeDocument/2006/relationships/image" Target="media/image9.wmf"/><Relationship Id="rId41" Type="http://schemas.openxmlformats.org/officeDocument/2006/relationships/oleObject" Target="embeddings/oleObject7.bin"/><Relationship Id="rId40" Type="http://schemas.openxmlformats.org/officeDocument/2006/relationships/image" Target="media/image8.wmf"/><Relationship Id="rId4" Type="http://schemas.openxmlformats.org/officeDocument/2006/relationships/header" Target="header2.xml"/><Relationship Id="rId39" Type="http://schemas.openxmlformats.org/officeDocument/2006/relationships/oleObject" Target="embeddings/oleObject6.bin"/><Relationship Id="rId38" Type="http://schemas.openxmlformats.org/officeDocument/2006/relationships/image" Target="media/image7.wmf"/><Relationship Id="rId37" Type="http://schemas.openxmlformats.org/officeDocument/2006/relationships/oleObject" Target="embeddings/oleObject5.bin"/><Relationship Id="rId36" Type="http://schemas.openxmlformats.org/officeDocument/2006/relationships/image" Target="media/image6.wmf"/><Relationship Id="rId35" Type="http://schemas.openxmlformats.org/officeDocument/2006/relationships/oleObject" Target="embeddings/oleObject4.bin"/><Relationship Id="rId34" Type="http://schemas.openxmlformats.org/officeDocument/2006/relationships/image" Target="media/image5.wmf"/><Relationship Id="rId33" Type="http://schemas.openxmlformats.org/officeDocument/2006/relationships/oleObject" Target="embeddings/oleObject3.bin"/><Relationship Id="rId32" Type="http://schemas.openxmlformats.org/officeDocument/2006/relationships/image" Target="media/image4.wmf"/><Relationship Id="rId31" Type="http://schemas.openxmlformats.org/officeDocument/2006/relationships/oleObject" Target="embeddings/oleObject2.bin"/><Relationship Id="rId30" Type="http://schemas.openxmlformats.org/officeDocument/2006/relationships/image" Target="media/image3.wmf"/><Relationship Id="rId3" Type="http://schemas.openxmlformats.org/officeDocument/2006/relationships/header" Target="header1.xml"/><Relationship Id="rId29" Type="http://schemas.openxmlformats.org/officeDocument/2006/relationships/oleObject" Target="embeddings/oleObject1.bin"/><Relationship Id="rId28" Type="http://schemas.openxmlformats.org/officeDocument/2006/relationships/image" Target="media/image2.png"/><Relationship Id="rId27" Type="http://schemas.openxmlformats.org/officeDocument/2006/relationships/image" Target="media/image1.jpeg"/><Relationship Id="rId26" Type="http://schemas.openxmlformats.org/officeDocument/2006/relationships/theme" Target="theme/theme1.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97</Pages>
  <Words>15413</Words>
  <Characters>16715</Characters>
  <Lines>0</Lines>
  <Paragraphs>0</Paragraphs>
  <TotalTime>2</TotalTime>
  <ScaleCrop>false</ScaleCrop>
  <LinksUpToDate>false</LinksUpToDate>
  <CharactersWithSpaces>17169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2024-09-29T04:36:00Z</dcterms:created>
  <dc:creator>Administrator</dc:creator>
  <cp:lastModifiedBy>wisvhnoiwnvl</cp:lastModifiedBy>
  <cp:lastPrinted>2024-09-30T01:33:00Z</cp:lastPrinted>
  <dcterms:modified xsi:type="dcterms:W3CDTF">2026-06-12T07:26:11Z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E53B88457E3940B6B137D72A0C911686_13</vt:lpwstr>
  </property>
  <property fmtid="{D5CDD505-2E9C-101B-9397-08002B2CF9AE}" pid="4" name="KSOTemplateDocerSaveRecord">
    <vt:lpwstr>eyJoZGlkIjoiMjgzYmU5OThlZjM2MDdhYmRjZTMzNjQ0NzZlYTFhMWQiLCJ1c2VySWQiOiIzMzc1OTIyNzgifQ==</vt:lpwstr>
  </property>
</Properties>
</file>