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33D037">
      <w:pPr>
        <w:pStyle w:val="19"/>
        <w:wordWrap w:val="0"/>
        <w:adjustRightInd w:val="0"/>
        <w:snapToGrid w:val="0"/>
        <w:spacing w:line="360" w:lineRule="auto"/>
        <w:jc w:val="center"/>
        <w:rPr>
          <w:rFonts w:hint="eastAsia" w:eastAsia="宋体"/>
          <w:snapToGrid w:val="0"/>
          <w:color w:val="auto"/>
          <w:kern w:val="0"/>
          <w:sz w:val="44"/>
          <w:szCs w:val="44"/>
          <w:u w:val="single"/>
        </w:rPr>
      </w:pPr>
      <w:r>
        <w:rPr>
          <w:rFonts w:hint="eastAsia" w:eastAsia="宋体"/>
          <w:b/>
          <w:snapToGrid w:val="0"/>
          <w:color w:val="auto"/>
          <w:kern w:val="0"/>
          <w:sz w:val="44"/>
          <w:szCs w:val="44"/>
          <w:lang w:eastAsia="zh-CN"/>
        </w:rPr>
        <w:t>翁源产业园区产城融合基础设施配套项目(创新原料药产业园主干道二期)</w:t>
      </w:r>
      <w:r>
        <w:rPr>
          <w:rFonts w:hint="eastAsia" w:eastAsia="宋体"/>
          <w:b/>
          <w:snapToGrid w:val="0"/>
          <w:color w:val="auto"/>
          <w:kern w:val="0"/>
          <w:sz w:val="44"/>
          <w:szCs w:val="44"/>
          <w:lang w:val="en-US" w:eastAsia="zh-CN"/>
        </w:rPr>
        <w:t>施工</w:t>
      </w:r>
      <w:r>
        <w:rPr>
          <w:rFonts w:hint="eastAsia" w:eastAsia="宋体"/>
          <w:b/>
          <w:snapToGrid w:val="0"/>
          <w:color w:val="auto"/>
          <w:kern w:val="0"/>
          <w:sz w:val="44"/>
          <w:szCs w:val="44"/>
          <w:lang w:eastAsia="zh-CN"/>
        </w:rPr>
        <w:t>监理</w:t>
      </w:r>
    </w:p>
    <w:p w14:paraId="0061DE2D">
      <w:pPr>
        <w:pStyle w:val="19"/>
        <w:wordWrap w:val="0"/>
        <w:adjustRightInd w:val="0"/>
        <w:snapToGrid w:val="0"/>
        <w:spacing w:line="360" w:lineRule="auto"/>
        <w:rPr>
          <w:rFonts w:hint="eastAsia" w:eastAsia="宋体"/>
          <w:snapToGrid w:val="0"/>
          <w:color w:val="auto"/>
          <w:kern w:val="0"/>
          <w:sz w:val="36"/>
          <w:u w:val="single"/>
        </w:rPr>
      </w:pPr>
    </w:p>
    <w:p w14:paraId="7CB86489">
      <w:pPr>
        <w:pStyle w:val="19"/>
        <w:wordWrap w:val="0"/>
        <w:adjustRightInd w:val="0"/>
        <w:snapToGrid w:val="0"/>
        <w:spacing w:line="360" w:lineRule="auto"/>
        <w:rPr>
          <w:rFonts w:hint="eastAsia" w:eastAsia="宋体"/>
          <w:snapToGrid w:val="0"/>
          <w:color w:val="auto"/>
          <w:kern w:val="0"/>
          <w:sz w:val="36"/>
          <w:u w:val="single"/>
        </w:rPr>
      </w:pPr>
    </w:p>
    <w:p w14:paraId="4117A28D">
      <w:pPr>
        <w:pStyle w:val="19"/>
        <w:wordWrap w:val="0"/>
        <w:adjustRightInd w:val="0"/>
        <w:snapToGrid w:val="0"/>
        <w:spacing w:line="360" w:lineRule="auto"/>
        <w:rPr>
          <w:rFonts w:hint="eastAsia" w:eastAsia="宋体"/>
          <w:snapToGrid w:val="0"/>
          <w:color w:val="auto"/>
          <w:kern w:val="0"/>
          <w:sz w:val="36"/>
          <w:u w:val="single"/>
        </w:rPr>
      </w:pPr>
    </w:p>
    <w:p w14:paraId="651C27A4">
      <w:pPr>
        <w:pStyle w:val="19"/>
        <w:wordWrap w:val="0"/>
        <w:adjustRightInd w:val="0"/>
        <w:snapToGrid w:val="0"/>
        <w:spacing w:line="360" w:lineRule="auto"/>
        <w:jc w:val="center"/>
        <w:rPr>
          <w:rFonts w:hint="eastAsia"/>
          <w:b/>
          <w:bCs/>
          <w:snapToGrid w:val="0"/>
          <w:color w:val="auto"/>
          <w:kern w:val="0"/>
          <w:sz w:val="48"/>
          <w:szCs w:val="48"/>
        </w:rPr>
      </w:pPr>
      <w:r>
        <w:rPr>
          <w:rFonts w:hint="eastAsia" w:eastAsia="宋体"/>
          <w:b/>
          <w:bCs/>
          <w:snapToGrid w:val="0"/>
          <w:color w:val="auto"/>
          <w:kern w:val="0"/>
          <w:sz w:val="72"/>
          <w:szCs w:val="72"/>
          <w14:shadow w14:blurRad="50800" w14:dist="38100" w14:dir="2700000" w14:sx="100000" w14:sy="100000" w14:kx="0" w14:ky="0" w14:algn="tl">
            <w14:srgbClr w14:val="000000">
              <w14:alpha w14:val="60000"/>
            </w14:srgbClr>
          </w14:shadow>
        </w:rPr>
        <w:t>招标文件</w:t>
      </w:r>
    </w:p>
    <w:p w14:paraId="5FA1F315">
      <w:pPr>
        <w:wordWrap w:val="0"/>
        <w:adjustRightInd w:val="0"/>
        <w:snapToGrid w:val="0"/>
        <w:jc w:val="center"/>
        <w:rPr>
          <w:rFonts w:hint="eastAsia" w:ascii="Times New Roman"/>
          <w:b/>
          <w:bCs/>
          <w:snapToGrid w:val="0"/>
          <w:color w:val="auto"/>
          <w:kern w:val="0"/>
          <w:sz w:val="48"/>
          <w:szCs w:val="48"/>
        </w:rPr>
      </w:pPr>
    </w:p>
    <w:p w14:paraId="79963138">
      <w:pPr>
        <w:wordWrap w:val="0"/>
        <w:adjustRightInd w:val="0"/>
        <w:snapToGrid w:val="0"/>
        <w:jc w:val="center"/>
        <w:rPr>
          <w:rFonts w:hint="eastAsia" w:ascii="Times New Roman"/>
          <w:b/>
          <w:bCs/>
          <w:snapToGrid w:val="0"/>
          <w:color w:val="auto"/>
          <w:kern w:val="0"/>
          <w:sz w:val="48"/>
          <w:szCs w:val="48"/>
        </w:rPr>
      </w:pPr>
    </w:p>
    <w:tbl>
      <w:tblPr>
        <w:tblStyle w:val="16"/>
        <w:tblW w:w="0" w:type="auto"/>
        <w:tblInd w:w="-100" w:type="dxa"/>
        <w:tblLayout w:type="fixed"/>
        <w:tblCellMar>
          <w:top w:w="0" w:type="dxa"/>
          <w:left w:w="0" w:type="dxa"/>
          <w:bottom w:w="0" w:type="dxa"/>
          <w:right w:w="0" w:type="dxa"/>
        </w:tblCellMar>
      </w:tblPr>
      <w:tblGrid>
        <w:gridCol w:w="4708"/>
        <w:gridCol w:w="5020"/>
      </w:tblGrid>
      <w:tr w14:paraId="621C9D2C">
        <w:tblPrEx>
          <w:tblCellMar>
            <w:top w:w="0" w:type="dxa"/>
            <w:left w:w="0" w:type="dxa"/>
            <w:bottom w:w="0" w:type="dxa"/>
            <w:right w:w="0" w:type="dxa"/>
          </w:tblCellMar>
        </w:tblPrEx>
        <w:trPr>
          <w:trHeight w:val="929" w:hRule="atLeast"/>
        </w:trPr>
        <w:tc>
          <w:tcPr>
            <w:tcW w:w="4708" w:type="dxa"/>
            <w:noWrap w:val="0"/>
            <w:vAlign w:val="center"/>
          </w:tcPr>
          <w:p w14:paraId="1774C41E">
            <w:pPr>
              <w:pStyle w:val="20"/>
              <w:wordWrap w:val="0"/>
              <w:adjustRightInd w:val="0"/>
              <w:snapToGrid w:val="0"/>
              <w:spacing w:line="240" w:lineRule="auto"/>
              <w:jc w:val="distribute"/>
              <w:rPr>
                <w:rFonts w:hint="eastAsia" w:ascii="Times New Roman"/>
                <w:snapToGrid w:val="0"/>
                <w:color w:val="auto"/>
                <w:kern w:val="0"/>
                <w:sz w:val="28"/>
              </w:rPr>
            </w:pPr>
            <w:r>
              <w:rPr>
                <w:rFonts w:hint="eastAsia" w:ascii="Times New Roman"/>
                <w:snapToGrid w:val="0"/>
                <w:color w:val="auto"/>
                <w:kern w:val="0"/>
                <w:sz w:val="28"/>
              </w:rPr>
              <w:t xml:space="preserve"> 招</w:t>
            </w:r>
            <w:r>
              <w:rPr>
                <w:rFonts w:ascii="Times New Roman"/>
                <w:snapToGrid w:val="0"/>
                <w:color w:val="auto"/>
                <w:kern w:val="0"/>
                <w:sz w:val="28"/>
              </w:rPr>
              <w:t xml:space="preserve"> </w:t>
            </w:r>
            <w:r>
              <w:rPr>
                <w:rFonts w:hint="eastAsia" w:ascii="Times New Roman"/>
                <w:snapToGrid w:val="0"/>
                <w:color w:val="auto"/>
                <w:kern w:val="0"/>
                <w:sz w:val="28"/>
              </w:rPr>
              <w:t xml:space="preserve">    标</w:t>
            </w:r>
            <w:r>
              <w:rPr>
                <w:rFonts w:ascii="Times New Roman"/>
                <w:snapToGrid w:val="0"/>
                <w:color w:val="auto"/>
                <w:kern w:val="0"/>
                <w:sz w:val="28"/>
              </w:rPr>
              <w:t xml:space="preserve"> </w:t>
            </w:r>
            <w:r>
              <w:rPr>
                <w:rFonts w:hint="eastAsia" w:ascii="Times New Roman"/>
                <w:snapToGrid w:val="0"/>
                <w:color w:val="auto"/>
                <w:kern w:val="0"/>
                <w:sz w:val="28"/>
              </w:rPr>
              <w:t xml:space="preserve">    人（盖单位章）：</w:t>
            </w:r>
          </w:p>
        </w:tc>
        <w:tc>
          <w:tcPr>
            <w:tcW w:w="5020" w:type="dxa"/>
            <w:noWrap w:val="0"/>
            <w:vAlign w:val="center"/>
          </w:tcPr>
          <w:p w14:paraId="650840EF">
            <w:pPr>
              <w:pStyle w:val="20"/>
              <w:wordWrap w:val="0"/>
              <w:adjustRightInd w:val="0"/>
              <w:snapToGrid w:val="0"/>
              <w:spacing w:line="240" w:lineRule="auto"/>
              <w:rPr>
                <w:rFonts w:hint="eastAsia" w:ascii="Times New Roman" w:eastAsia="宋体"/>
                <w:snapToGrid w:val="0"/>
                <w:color w:val="auto"/>
                <w:kern w:val="0"/>
                <w:sz w:val="28"/>
                <w:szCs w:val="28"/>
                <w:lang w:eastAsia="zh-CN"/>
              </w:rPr>
            </w:pPr>
            <w:r>
              <w:rPr>
                <w:rFonts w:hint="eastAsia" w:hAnsi="宋体"/>
                <w:color w:val="auto"/>
                <w:sz w:val="28"/>
                <w:szCs w:val="28"/>
                <w:lang w:eastAsia="zh-CN"/>
              </w:rPr>
              <w:t>翁源县公共资产管理中心</w:t>
            </w:r>
          </w:p>
        </w:tc>
      </w:tr>
      <w:tr w14:paraId="5EAEA74D">
        <w:tblPrEx>
          <w:tblCellMar>
            <w:top w:w="0" w:type="dxa"/>
            <w:left w:w="0" w:type="dxa"/>
            <w:bottom w:w="0" w:type="dxa"/>
            <w:right w:w="0" w:type="dxa"/>
          </w:tblCellMar>
        </w:tblPrEx>
        <w:trPr>
          <w:trHeight w:val="943" w:hRule="atLeast"/>
        </w:trPr>
        <w:tc>
          <w:tcPr>
            <w:tcW w:w="4708" w:type="dxa"/>
            <w:noWrap w:val="0"/>
            <w:vAlign w:val="center"/>
          </w:tcPr>
          <w:p w14:paraId="76AD660C">
            <w:pPr>
              <w:pStyle w:val="20"/>
              <w:wordWrap w:val="0"/>
              <w:adjustRightInd w:val="0"/>
              <w:snapToGrid w:val="0"/>
              <w:spacing w:line="240" w:lineRule="auto"/>
              <w:jc w:val="distribute"/>
              <w:rPr>
                <w:rFonts w:hint="eastAsia" w:ascii="Times New Roman"/>
                <w:snapToGrid w:val="0"/>
                <w:color w:val="auto"/>
                <w:kern w:val="0"/>
                <w:sz w:val="28"/>
              </w:rPr>
            </w:pPr>
            <w:r>
              <w:rPr>
                <w:rFonts w:hint="eastAsia" w:ascii="Times New Roman"/>
                <w:snapToGrid w:val="0"/>
                <w:color w:val="auto"/>
                <w:kern w:val="0"/>
                <w:sz w:val="28"/>
              </w:rPr>
              <w:t xml:space="preserve"> 招标人工作领导小组负责人（签字）：</w:t>
            </w:r>
          </w:p>
        </w:tc>
        <w:tc>
          <w:tcPr>
            <w:tcW w:w="5020" w:type="dxa"/>
            <w:noWrap w:val="0"/>
            <w:vAlign w:val="center"/>
          </w:tcPr>
          <w:p w14:paraId="130F6852">
            <w:pPr>
              <w:pStyle w:val="20"/>
              <w:wordWrap w:val="0"/>
              <w:adjustRightInd w:val="0"/>
              <w:snapToGrid w:val="0"/>
              <w:spacing w:line="240" w:lineRule="auto"/>
              <w:rPr>
                <w:rFonts w:hint="eastAsia" w:ascii="Times New Roman"/>
                <w:snapToGrid w:val="0"/>
                <w:color w:val="auto"/>
                <w:kern w:val="0"/>
                <w:sz w:val="28"/>
                <w:szCs w:val="28"/>
              </w:rPr>
            </w:pPr>
          </w:p>
        </w:tc>
      </w:tr>
      <w:tr w14:paraId="340813E9">
        <w:tblPrEx>
          <w:tblCellMar>
            <w:top w:w="0" w:type="dxa"/>
            <w:left w:w="0" w:type="dxa"/>
            <w:bottom w:w="0" w:type="dxa"/>
            <w:right w:w="0" w:type="dxa"/>
          </w:tblCellMar>
        </w:tblPrEx>
        <w:trPr>
          <w:trHeight w:val="1065" w:hRule="atLeast"/>
        </w:trPr>
        <w:tc>
          <w:tcPr>
            <w:tcW w:w="4708" w:type="dxa"/>
            <w:noWrap w:val="0"/>
            <w:vAlign w:val="center"/>
          </w:tcPr>
          <w:p w14:paraId="4DC96AFF">
            <w:pPr>
              <w:pStyle w:val="20"/>
              <w:wordWrap w:val="0"/>
              <w:adjustRightInd w:val="0"/>
              <w:snapToGrid w:val="0"/>
              <w:spacing w:line="240" w:lineRule="auto"/>
              <w:jc w:val="distribute"/>
              <w:rPr>
                <w:rFonts w:hint="eastAsia" w:ascii="Times New Roman"/>
                <w:snapToGrid w:val="0"/>
                <w:color w:val="auto"/>
                <w:kern w:val="0"/>
                <w:sz w:val="28"/>
              </w:rPr>
            </w:pPr>
            <w:r>
              <w:rPr>
                <w:rFonts w:hint="eastAsia" w:ascii="Times New Roman"/>
                <w:snapToGrid w:val="0"/>
                <w:color w:val="auto"/>
                <w:kern w:val="0"/>
                <w:sz w:val="28"/>
              </w:rPr>
              <w:t xml:space="preserve"> 招 标 代 理 机 构 （盖单位章）：</w:t>
            </w:r>
          </w:p>
        </w:tc>
        <w:tc>
          <w:tcPr>
            <w:tcW w:w="5020" w:type="dxa"/>
            <w:noWrap w:val="0"/>
            <w:vAlign w:val="center"/>
          </w:tcPr>
          <w:p w14:paraId="3B429D51">
            <w:pPr>
              <w:pStyle w:val="20"/>
              <w:wordWrap w:val="0"/>
              <w:adjustRightInd w:val="0"/>
              <w:snapToGrid w:val="0"/>
              <w:spacing w:line="240" w:lineRule="auto"/>
              <w:rPr>
                <w:rFonts w:hint="eastAsia" w:ascii="Times New Roman" w:eastAsia="宋体"/>
                <w:snapToGrid w:val="0"/>
                <w:color w:val="auto"/>
                <w:kern w:val="0"/>
                <w:sz w:val="28"/>
                <w:szCs w:val="28"/>
                <w:lang w:eastAsia="zh-CN"/>
              </w:rPr>
            </w:pPr>
            <w:r>
              <w:rPr>
                <w:rFonts w:hint="eastAsia" w:ascii="Times New Roman"/>
                <w:snapToGrid w:val="0"/>
                <w:color w:val="auto"/>
                <w:kern w:val="0"/>
                <w:sz w:val="28"/>
                <w:szCs w:val="28"/>
                <w:lang w:eastAsia="zh-CN"/>
              </w:rPr>
              <w:t>韶关市嘉泓工程咨询有限公司</w:t>
            </w:r>
          </w:p>
        </w:tc>
      </w:tr>
      <w:tr w14:paraId="17BC4FFF">
        <w:tblPrEx>
          <w:tblCellMar>
            <w:top w:w="0" w:type="dxa"/>
            <w:left w:w="0" w:type="dxa"/>
            <w:bottom w:w="0" w:type="dxa"/>
            <w:right w:w="0" w:type="dxa"/>
          </w:tblCellMar>
        </w:tblPrEx>
        <w:trPr>
          <w:trHeight w:val="935" w:hRule="atLeast"/>
        </w:trPr>
        <w:tc>
          <w:tcPr>
            <w:tcW w:w="4708" w:type="dxa"/>
            <w:noWrap w:val="0"/>
            <w:vAlign w:val="center"/>
          </w:tcPr>
          <w:p w14:paraId="6F9B24E8">
            <w:pPr>
              <w:pStyle w:val="20"/>
              <w:wordWrap w:val="0"/>
              <w:adjustRightInd w:val="0"/>
              <w:snapToGrid w:val="0"/>
              <w:spacing w:line="240" w:lineRule="auto"/>
              <w:jc w:val="distribute"/>
              <w:rPr>
                <w:rFonts w:hint="eastAsia" w:ascii="Times New Roman"/>
                <w:snapToGrid w:val="0"/>
                <w:color w:val="auto"/>
                <w:kern w:val="0"/>
                <w:sz w:val="28"/>
              </w:rPr>
            </w:pPr>
            <w:r>
              <w:rPr>
                <w:rFonts w:hint="eastAsia" w:ascii="Times New Roman"/>
                <w:snapToGrid w:val="0"/>
                <w:color w:val="auto"/>
                <w:kern w:val="0"/>
                <w:sz w:val="28"/>
              </w:rPr>
              <w:t xml:space="preserve"> 招标文件编制人（签字）：</w:t>
            </w:r>
          </w:p>
        </w:tc>
        <w:tc>
          <w:tcPr>
            <w:tcW w:w="5020" w:type="dxa"/>
            <w:noWrap w:val="0"/>
            <w:vAlign w:val="center"/>
          </w:tcPr>
          <w:p w14:paraId="20E3EA92">
            <w:pPr>
              <w:pStyle w:val="20"/>
              <w:wordWrap w:val="0"/>
              <w:adjustRightInd w:val="0"/>
              <w:snapToGrid w:val="0"/>
              <w:spacing w:line="240" w:lineRule="auto"/>
              <w:rPr>
                <w:rFonts w:hint="eastAsia" w:ascii="Times New Roman"/>
                <w:snapToGrid w:val="0"/>
                <w:color w:val="auto"/>
                <w:kern w:val="0"/>
                <w:sz w:val="28"/>
                <w:szCs w:val="28"/>
              </w:rPr>
            </w:pPr>
          </w:p>
        </w:tc>
      </w:tr>
      <w:tr w14:paraId="7DD45D60">
        <w:tblPrEx>
          <w:tblCellMar>
            <w:top w:w="0" w:type="dxa"/>
            <w:left w:w="0" w:type="dxa"/>
            <w:bottom w:w="0" w:type="dxa"/>
            <w:right w:w="0" w:type="dxa"/>
          </w:tblCellMar>
        </w:tblPrEx>
        <w:trPr>
          <w:trHeight w:val="1010" w:hRule="atLeast"/>
        </w:trPr>
        <w:tc>
          <w:tcPr>
            <w:tcW w:w="4708" w:type="dxa"/>
            <w:noWrap w:val="0"/>
            <w:vAlign w:val="center"/>
          </w:tcPr>
          <w:p w14:paraId="7F065BAD">
            <w:pPr>
              <w:pStyle w:val="20"/>
              <w:wordWrap w:val="0"/>
              <w:adjustRightInd w:val="0"/>
              <w:snapToGrid w:val="0"/>
              <w:spacing w:line="240" w:lineRule="auto"/>
              <w:jc w:val="distribute"/>
              <w:rPr>
                <w:rFonts w:hint="eastAsia" w:ascii="Times New Roman"/>
                <w:snapToGrid w:val="0"/>
                <w:color w:val="auto"/>
                <w:kern w:val="0"/>
                <w:sz w:val="28"/>
              </w:rPr>
            </w:pPr>
            <w:r>
              <w:rPr>
                <w:rFonts w:hint="eastAsia" w:ascii="Times New Roman"/>
                <w:snapToGrid w:val="0"/>
                <w:color w:val="auto"/>
                <w:kern w:val="0"/>
                <w:sz w:val="28"/>
              </w:rPr>
              <w:t xml:space="preserve"> 招标代理机构项目负责人（签字）：</w:t>
            </w:r>
          </w:p>
        </w:tc>
        <w:tc>
          <w:tcPr>
            <w:tcW w:w="5020" w:type="dxa"/>
            <w:noWrap w:val="0"/>
            <w:vAlign w:val="center"/>
          </w:tcPr>
          <w:p w14:paraId="59EB7B77">
            <w:pPr>
              <w:pStyle w:val="20"/>
              <w:wordWrap w:val="0"/>
              <w:adjustRightInd w:val="0"/>
              <w:snapToGrid w:val="0"/>
              <w:spacing w:line="240" w:lineRule="auto"/>
              <w:rPr>
                <w:rFonts w:hint="eastAsia" w:ascii="Times New Roman"/>
                <w:snapToGrid w:val="0"/>
                <w:color w:val="auto"/>
                <w:kern w:val="0"/>
                <w:sz w:val="28"/>
                <w:szCs w:val="28"/>
              </w:rPr>
            </w:pPr>
          </w:p>
        </w:tc>
      </w:tr>
      <w:tr w14:paraId="2FB62420">
        <w:tblPrEx>
          <w:tblCellMar>
            <w:top w:w="0" w:type="dxa"/>
            <w:left w:w="0" w:type="dxa"/>
            <w:bottom w:w="0" w:type="dxa"/>
            <w:right w:w="0" w:type="dxa"/>
          </w:tblCellMar>
        </w:tblPrEx>
        <w:trPr>
          <w:trHeight w:val="892" w:hRule="atLeast"/>
        </w:trPr>
        <w:tc>
          <w:tcPr>
            <w:tcW w:w="4708" w:type="dxa"/>
            <w:noWrap w:val="0"/>
            <w:vAlign w:val="center"/>
          </w:tcPr>
          <w:p w14:paraId="67FFB256">
            <w:pPr>
              <w:pStyle w:val="20"/>
              <w:wordWrap w:val="0"/>
              <w:adjustRightInd w:val="0"/>
              <w:snapToGrid w:val="0"/>
              <w:spacing w:line="240" w:lineRule="auto"/>
              <w:jc w:val="distribute"/>
              <w:rPr>
                <w:rFonts w:hint="eastAsia" w:ascii="Times New Roman"/>
                <w:snapToGrid w:val="0"/>
                <w:color w:val="auto"/>
                <w:kern w:val="0"/>
                <w:sz w:val="28"/>
              </w:rPr>
            </w:pPr>
            <w:r>
              <w:rPr>
                <w:rFonts w:hint="eastAsia" w:ascii="Times New Roman"/>
                <w:snapToGrid w:val="0"/>
                <w:color w:val="auto"/>
                <w:kern w:val="0"/>
                <w:sz w:val="28"/>
              </w:rPr>
              <w:t xml:space="preserve"> 招标文件编制日期：</w:t>
            </w:r>
          </w:p>
        </w:tc>
        <w:tc>
          <w:tcPr>
            <w:tcW w:w="5020" w:type="dxa"/>
            <w:noWrap w:val="0"/>
            <w:vAlign w:val="center"/>
          </w:tcPr>
          <w:p w14:paraId="73E06C33">
            <w:pPr>
              <w:pStyle w:val="20"/>
              <w:wordWrap w:val="0"/>
              <w:adjustRightInd w:val="0"/>
              <w:snapToGrid w:val="0"/>
              <w:spacing w:line="240" w:lineRule="auto"/>
              <w:ind w:firstLine="280" w:firstLineChars="100"/>
              <w:rPr>
                <w:rFonts w:hint="eastAsia" w:ascii="Times New Roman"/>
                <w:snapToGrid w:val="0"/>
                <w:color w:val="auto"/>
                <w:kern w:val="0"/>
                <w:sz w:val="28"/>
              </w:rPr>
            </w:pPr>
            <w:r>
              <w:rPr>
                <w:rFonts w:hint="eastAsia" w:ascii="Times New Roman"/>
                <w:snapToGrid w:val="0"/>
                <w:color w:val="auto"/>
                <w:kern w:val="0"/>
                <w:sz w:val="28"/>
              </w:rPr>
              <w:t>202</w:t>
            </w:r>
            <w:r>
              <w:rPr>
                <w:rFonts w:hint="eastAsia" w:ascii="Times New Roman"/>
                <w:snapToGrid w:val="0"/>
                <w:color w:val="auto"/>
                <w:kern w:val="0"/>
                <w:sz w:val="28"/>
                <w:lang w:val="en-US" w:eastAsia="zh-CN"/>
              </w:rPr>
              <w:t>5</w:t>
            </w:r>
            <w:r>
              <w:rPr>
                <w:rFonts w:hint="eastAsia" w:ascii="Times New Roman"/>
                <w:snapToGrid w:val="0"/>
                <w:color w:val="auto"/>
                <w:kern w:val="0"/>
                <w:sz w:val="28"/>
              </w:rPr>
              <w:t>年</w:t>
            </w:r>
            <w:r>
              <w:rPr>
                <w:rFonts w:hint="eastAsia" w:ascii="Times New Roman"/>
                <w:snapToGrid w:val="0"/>
                <w:color w:val="auto"/>
                <w:kern w:val="0"/>
                <w:sz w:val="28"/>
                <w:lang w:val="en-US" w:eastAsia="zh-CN"/>
              </w:rPr>
              <w:t>5</w:t>
            </w:r>
            <w:r>
              <w:rPr>
                <w:rFonts w:hint="eastAsia" w:ascii="Times New Roman"/>
                <w:snapToGrid w:val="0"/>
                <w:color w:val="auto"/>
                <w:kern w:val="0"/>
                <w:sz w:val="28"/>
              </w:rPr>
              <w:t>月</w:t>
            </w:r>
          </w:p>
        </w:tc>
      </w:tr>
    </w:tbl>
    <w:p w14:paraId="3154D86F">
      <w:pPr>
        <w:pStyle w:val="21"/>
        <w:rPr>
          <w:color w:val="auto"/>
        </w:rPr>
        <w:sectPr>
          <w:footerReference r:id="rId5" w:type="default"/>
          <w:endnotePr>
            <w:numFmt w:val="decimal"/>
          </w:endnotePr>
          <w:pgSz w:w="11906" w:h="16838"/>
          <w:pgMar w:top="1417" w:right="1417" w:bottom="1417" w:left="1417" w:header="850" w:footer="992" w:gutter="0"/>
          <w:pgNumType w:start="1"/>
          <w:cols w:space="0" w:num="1"/>
          <w:docGrid w:linePitch="327" w:charSpace="0"/>
        </w:sectPr>
      </w:pPr>
    </w:p>
    <w:sdt>
      <w:sdtPr>
        <w:rPr>
          <w:rFonts w:hAnsi="宋体"/>
          <w:b/>
          <w:bCs/>
          <w:color w:val="auto"/>
          <w:sz w:val="36"/>
          <w:szCs w:val="32"/>
        </w:rPr>
        <w:id w:val="147460104"/>
        <w15:color w:val="DBDBDB"/>
        <w:docPartObj>
          <w:docPartGallery w:val="Table of Contents"/>
          <w:docPartUnique/>
        </w:docPartObj>
      </w:sdtPr>
      <w:sdtEndPr>
        <w:rPr>
          <w:rFonts w:hint="eastAsia" w:hAnsi="宋体" w:cs="宋体"/>
          <w:b/>
          <w:bCs/>
          <w:color w:val="auto"/>
          <w:sz w:val="24"/>
          <w:szCs w:val="24"/>
        </w:rPr>
      </w:sdtEndPr>
      <w:sdtContent>
        <w:p w14:paraId="2BB7A818">
          <w:pPr>
            <w:spacing w:line="240" w:lineRule="auto"/>
            <w:jc w:val="center"/>
            <w:rPr>
              <w:b/>
              <w:bCs/>
              <w:color w:val="auto"/>
              <w:sz w:val="44"/>
              <w:szCs w:val="32"/>
            </w:rPr>
          </w:pPr>
          <w:r>
            <w:rPr>
              <w:rFonts w:hAnsi="宋体"/>
              <w:b/>
              <w:bCs/>
              <w:color w:val="auto"/>
              <w:sz w:val="36"/>
              <w:szCs w:val="32"/>
            </w:rPr>
            <w:t>目</w:t>
          </w:r>
          <w:r>
            <w:rPr>
              <w:rFonts w:hint="eastAsia" w:hAnsi="宋体"/>
              <w:b/>
              <w:bCs/>
              <w:color w:val="auto"/>
              <w:sz w:val="36"/>
              <w:szCs w:val="32"/>
            </w:rPr>
            <w:t xml:space="preserve">  </w:t>
          </w:r>
          <w:r>
            <w:rPr>
              <w:rFonts w:hAnsi="宋体"/>
              <w:b/>
              <w:bCs/>
              <w:color w:val="auto"/>
              <w:sz w:val="36"/>
              <w:szCs w:val="32"/>
            </w:rPr>
            <w:t>录</w:t>
          </w:r>
        </w:p>
        <w:p w14:paraId="2D7C5F8A">
          <w:pPr>
            <w:pStyle w:val="13"/>
            <w:tabs>
              <w:tab w:val="right" w:leader="dot" w:pos="9072"/>
            </w:tabs>
            <w:spacing w:line="440" w:lineRule="exact"/>
            <w:rPr>
              <w:b/>
              <w:bCs/>
              <w:color w:val="auto"/>
            </w:rPr>
          </w:pPr>
          <w:r>
            <w:rPr>
              <w:rFonts w:hint="eastAsia" w:hAnsi="宋体" w:cs="宋体"/>
              <w:color w:val="auto"/>
              <w:szCs w:val="24"/>
            </w:rPr>
            <w:fldChar w:fldCharType="begin"/>
          </w:r>
          <w:r>
            <w:rPr>
              <w:rFonts w:hint="eastAsia" w:hAnsi="宋体" w:cs="宋体"/>
              <w:color w:val="auto"/>
              <w:szCs w:val="24"/>
            </w:rPr>
            <w:instrText xml:space="preserve">TOC \o "1-3" \h \u </w:instrText>
          </w:r>
          <w:r>
            <w:rPr>
              <w:rFonts w:hint="eastAsia" w:hAnsi="宋体" w:cs="宋体"/>
              <w:color w:val="auto"/>
              <w:szCs w:val="24"/>
            </w:rPr>
            <w:fldChar w:fldCharType="separate"/>
          </w:r>
          <w:r>
            <w:rPr>
              <w:color w:val="auto"/>
            </w:rPr>
            <w:fldChar w:fldCharType="begin"/>
          </w:r>
          <w:r>
            <w:rPr>
              <w:color w:val="auto"/>
            </w:rPr>
            <w:instrText xml:space="preserve"> HYPERLINK \l "_Toc23833" </w:instrText>
          </w:r>
          <w:r>
            <w:rPr>
              <w:color w:val="auto"/>
            </w:rPr>
            <w:fldChar w:fldCharType="separate"/>
          </w:r>
          <w:r>
            <w:rPr>
              <w:rFonts w:hint="eastAsia" w:ascii="Times New Roman"/>
              <w:b/>
              <w:bCs/>
              <w:snapToGrid w:val="0"/>
              <w:color w:val="auto"/>
              <w:szCs w:val="22"/>
            </w:rPr>
            <w:t>第一章 投标人须知</w:t>
          </w:r>
          <w:r>
            <w:rPr>
              <w:b/>
              <w:bCs/>
              <w:color w:val="auto"/>
            </w:rPr>
            <w:tab/>
          </w:r>
          <w:r>
            <w:rPr>
              <w:b/>
              <w:bCs/>
              <w:color w:val="auto"/>
            </w:rPr>
            <w:fldChar w:fldCharType="begin"/>
          </w:r>
          <w:r>
            <w:rPr>
              <w:b/>
              <w:bCs/>
              <w:color w:val="auto"/>
            </w:rPr>
            <w:instrText xml:space="preserve"> PAGEREF _Toc23833 \h </w:instrText>
          </w:r>
          <w:r>
            <w:rPr>
              <w:b/>
              <w:bCs/>
              <w:color w:val="auto"/>
            </w:rPr>
            <w:fldChar w:fldCharType="separate"/>
          </w:r>
          <w:r>
            <w:rPr>
              <w:b/>
              <w:bCs/>
              <w:color w:val="auto"/>
            </w:rPr>
            <w:t>3</w:t>
          </w:r>
          <w:r>
            <w:rPr>
              <w:b/>
              <w:bCs/>
              <w:color w:val="auto"/>
            </w:rPr>
            <w:fldChar w:fldCharType="end"/>
          </w:r>
          <w:r>
            <w:rPr>
              <w:b/>
              <w:bCs/>
              <w:color w:val="auto"/>
            </w:rPr>
            <w:fldChar w:fldCharType="end"/>
          </w:r>
        </w:p>
        <w:p w14:paraId="6BA34008">
          <w:pPr>
            <w:pStyle w:val="14"/>
            <w:tabs>
              <w:tab w:val="right" w:leader="dot" w:pos="9072"/>
            </w:tabs>
            <w:spacing w:line="440" w:lineRule="exact"/>
            <w:rPr>
              <w:color w:val="auto"/>
            </w:rPr>
          </w:pPr>
          <w:r>
            <w:rPr>
              <w:color w:val="auto"/>
            </w:rPr>
            <w:fldChar w:fldCharType="begin"/>
          </w:r>
          <w:r>
            <w:rPr>
              <w:color w:val="auto"/>
            </w:rPr>
            <w:instrText xml:space="preserve"> HYPERLINK \l "_Toc31123" </w:instrText>
          </w:r>
          <w:r>
            <w:rPr>
              <w:color w:val="auto"/>
            </w:rPr>
            <w:fldChar w:fldCharType="separate"/>
          </w:r>
          <w:r>
            <w:rPr>
              <w:rFonts w:hint="eastAsia" w:ascii="Times New Roman"/>
              <w:snapToGrid w:val="0"/>
              <w:color w:val="auto"/>
            </w:rPr>
            <w:t>第一节 投标人须知前附表</w:t>
          </w:r>
          <w:r>
            <w:rPr>
              <w:color w:val="auto"/>
            </w:rPr>
            <w:tab/>
          </w:r>
          <w:r>
            <w:rPr>
              <w:color w:val="auto"/>
            </w:rPr>
            <w:fldChar w:fldCharType="begin"/>
          </w:r>
          <w:r>
            <w:rPr>
              <w:color w:val="auto"/>
            </w:rPr>
            <w:instrText xml:space="preserve"> PAGEREF _Toc31123 \h </w:instrText>
          </w:r>
          <w:r>
            <w:rPr>
              <w:color w:val="auto"/>
            </w:rPr>
            <w:fldChar w:fldCharType="separate"/>
          </w:r>
          <w:r>
            <w:rPr>
              <w:color w:val="auto"/>
            </w:rPr>
            <w:t>3</w:t>
          </w:r>
          <w:r>
            <w:rPr>
              <w:color w:val="auto"/>
            </w:rPr>
            <w:fldChar w:fldCharType="end"/>
          </w:r>
          <w:r>
            <w:rPr>
              <w:color w:val="auto"/>
            </w:rPr>
            <w:fldChar w:fldCharType="end"/>
          </w:r>
        </w:p>
        <w:p w14:paraId="10F5FF03">
          <w:pPr>
            <w:pStyle w:val="14"/>
            <w:tabs>
              <w:tab w:val="right" w:leader="dot" w:pos="9072"/>
            </w:tabs>
            <w:spacing w:line="440" w:lineRule="exact"/>
            <w:rPr>
              <w:color w:val="auto"/>
            </w:rPr>
          </w:pPr>
          <w:r>
            <w:rPr>
              <w:color w:val="auto"/>
            </w:rPr>
            <w:fldChar w:fldCharType="begin"/>
          </w:r>
          <w:r>
            <w:rPr>
              <w:color w:val="auto"/>
            </w:rPr>
            <w:instrText xml:space="preserve"> HYPERLINK \l "_Toc465" </w:instrText>
          </w:r>
          <w:r>
            <w:rPr>
              <w:color w:val="auto"/>
            </w:rPr>
            <w:fldChar w:fldCharType="separate"/>
          </w:r>
          <w:r>
            <w:rPr>
              <w:rFonts w:hint="eastAsia" w:ascii="Times New Roman"/>
              <w:snapToGrid w:val="0"/>
              <w:color w:val="auto"/>
            </w:rPr>
            <w:t>第二节 重要事项时间地点一览表</w:t>
          </w:r>
          <w:r>
            <w:rPr>
              <w:color w:val="auto"/>
            </w:rPr>
            <w:tab/>
          </w:r>
          <w:r>
            <w:rPr>
              <w:color w:val="auto"/>
            </w:rPr>
            <w:fldChar w:fldCharType="begin"/>
          </w:r>
          <w:r>
            <w:rPr>
              <w:color w:val="auto"/>
            </w:rPr>
            <w:instrText xml:space="preserve"> PAGEREF _Toc465 \h </w:instrText>
          </w:r>
          <w:r>
            <w:rPr>
              <w:color w:val="auto"/>
            </w:rPr>
            <w:fldChar w:fldCharType="separate"/>
          </w:r>
          <w:r>
            <w:rPr>
              <w:color w:val="auto"/>
            </w:rPr>
            <w:t>8</w:t>
          </w:r>
          <w:r>
            <w:rPr>
              <w:color w:val="auto"/>
            </w:rPr>
            <w:fldChar w:fldCharType="end"/>
          </w:r>
          <w:r>
            <w:rPr>
              <w:color w:val="auto"/>
            </w:rPr>
            <w:fldChar w:fldCharType="end"/>
          </w:r>
        </w:p>
        <w:p w14:paraId="3BAD2987">
          <w:pPr>
            <w:pStyle w:val="13"/>
            <w:tabs>
              <w:tab w:val="right" w:leader="dot" w:pos="9072"/>
            </w:tabs>
            <w:spacing w:line="440" w:lineRule="exact"/>
            <w:ind w:firstLine="240" w:firstLineChars="100"/>
            <w:rPr>
              <w:color w:val="auto"/>
            </w:rPr>
          </w:pPr>
          <w:r>
            <w:rPr>
              <w:color w:val="auto"/>
            </w:rPr>
            <w:fldChar w:fldCharType="begin"/>
          </w:r>
          <w:r>
            <w:rPr>
              <w:color w:val="auto"/>
            </w:rPr>
            <w:instrText xml:space="preserve"> HYPERLINK \l "_Toc12738" </w:instrText>
          </w:r>
          <w:r>
            <w:rPr>
              <w:color w:val="auto"/>
            </w:rPr>
            <w:fldChar w:fldCharType="separate"/>
          </w:r>
          <w:r>
            <w:rPr>
              <w:rFonts w:hint="eastAsia" w:ascii="Times New Roman"/>
              <w:snapToGrid w:val="0"/>
              <w:color w:val="auto"/>
            </w:rPr>
            <w:t>第三节 投标人须知正文</w:t>
          </w:r>
          <w:r>
            <w:rPr>
              <w:color w:val="auto"/>
            </w:rPr>
            <w:tab/>
          </w:r>
          <w:r>
            <w:rPr>
              <w:color w:val="auto"/>
            </w:rPr>
            <w:fldChar w:fldCharType="begin"/>
          </w:r>
          <w:r>
            <w:rPr>
              <w:color w:val="auto"/>
            </w:rPr>
            <w:instrText xml:space="preserve"> PAGEREF _Toc12738 \h </w:instrText>
          </w:r>
          <w:r>
            <w:rPr>
              <w:color w:val="auto"/>
            </w:rPr>
            <w:fldChar w:fldCharType="separate"/>
          </w:r>
          <w:r>
            <w:rPr>
              <w:color w:val="auto"/>
            </w:rPr>
            <w:t>9</w:t>
          </w:r>
          <w:r>
            <w:rPr>
              <w:color w:val="auto"/>
            </w:rPr>
            <w:fldChar w:fldCharType="end"/>
          </w:r>
          <w:r>
            <w:rPr>
              <w:color w:val="auto"/>
            </w:rPr>
            <w:fldChar w:fldCharType="end"/>
          </w:r>
        </w:p>
        <w:p w14:paraId="23F9703F">
          <w:pPr>
            <w:pStyle w:val="9"/>
            <w:tabs>
              <w:tab w:val="right" w:leader="dot" w:pos="9072"/>
            </w:tabs>
            <w:spacing w:line="440" w:lineRule="exact"/>
            <w:rPr>
              <w:color w:val="auto"/>
            </w:rPr>
          </w:pPr>
          <w:r>
            <w:rPr>
              <w:color w:val="auto"/>
            </w:rPr>
            <w:fldChar w:fldCharType="begin"/>
          </w:r>
          <w:r>
            <w:rPr>
              <w:color w:val="auto"/>
            </w:rPr>
            <w:instrText xml:space="preserve"> HYPERLINK \l "_Toc25314" </w:instrText>
          </w:r>
          <w:r>
            <w:rPr>
              <w:color w:val="auto"/>
            </w:rPr>
            <w:fldChar w:fldCharType="separate"/>
          </w:r>
          <w:r>
            <w:rPr>
              <w:rFonts w:hint="eastAsia"/>
              <w:bCs/>
              <w:snapToGrid w:val="0"/>
              <w:color w:val="auto"/>
              <w:kern w:val="0"/>
            </w:rPr>
            <w:t>1．项目概况、招标范围和标段划分、投标费用</w:t>
          </w:r>
          <w:r>
            <w:rPr>
              <w:color w:val="auto"/>
            </w:rPr>
            <w:tab/>
          </w:r>
          <w:r>
            <w:rPr>
              <w:color w:val="auto"/>
            </w:rPr>
            <w:fldChar w:fldCharType="begin"/>
          </w:r>
          <w:r>
            <w:rPr>
              <w:color w:val="auto"/>
            </w:rPr>
            <w:instrText xml:space="preserve"> PAGEREF _Toc25314 \h </w:instrText>
          </w:r>
          <w:r>
            <w:rPr>
              <w:color w:val="auto"/>
            </w:rPr>
            <w:fldChar w:fldCharType="separate"/>
          </w:r>
          <w:r>
            <w:rPr>
              <w:color w:val="auto"/>
            </w:rPr>
            <w:t>9</w:t>
          </w:r>
          <w:r>
            <w:rPr>
              <w:color w:val="auto"/>
            </w:rPr>
            <w:fldChar w:fldCharType="end"/>
          </w:r>
          <w:r>
            <w:rPr>
              <w:color w:val="auto"/>
            </w:rPr>
            <w:fldChar w:fldCharType="end"/>
          </w:r>
        </w:p>
        <w:p w14:paraId="6FA19499">
          <w:pPr>
            <w:pStyle w:val="14"/>
            <w:tabs>
              <w:tab w:val="right" w:leader="dot" w:pos="9072"/>
            </w:tabs>
            <w:spacing w:line="440" w:lineRule="exact"/>
            <w:ind w:firstLine="240" w:firstLineChars="100"/>
            <w:rPr>
              <w:color w:val="auto"/>
            </w:rPr>
          </w:pPr>
          <w:r>
            <w:rPr>
              <w:color w:val="auto"/>
            </w:rPr>
            <w:fldChar w:fldCharType="begin"/>
          </w:r>
          <w:r>
            <w:rPr>
              <w:color w:val="auto"/>
            </w:rPr>
            <w:instrText xml:space="preserve"> HYPERLINK \l "_Toc31707" </w:instrText>
          </w:r>
          <w:r>
            <w:rPr>
              <w:color w:val="auto"/>
            </w:rPr>
            <w:fldChar w:fldCharType="separate"/>
          </w:r>
          <w:r>
            <w:rPr>
              <w:rFonts w:hint="eastAsia" w:hAnsi="宋体" w:cs="宋体"/>
              <w:snapToGrid w:val="0"/>
              <w:color w:val="auto"/>
              <w:szCs w:val="24"/>
            </w:rPr>
            <w:t>2．投标人资格要求</w:t>
          </w:r>
          <w:r>
            <w:rPr>
              <w:color w:val="auto"/>
            </w:rPr>
            <w:tab/>
          </w:r>
          <w:r>
            <w:rPr>
              <w:color w:val="auto"/>
            </w:rPr>
            <w:fldChar w:fldCharType="begin"/>
          </w:r>
          <w:r>
            <w:rPr>
              <w:color w:val="auto"/>
            </w:rPr>
            <w:instrText xml:space="preserve"> PAGEREF _Toc31707 \h </w:instrText>
          </w:r>
          <w:r>
            <w:rPr>
              <w:color w:val="auto"/>
            </w:rPr>
            <w:fldChar w:fldCharType="separate"/>
          </w:r>
          <w:r>
            <w:rPr>
              <w:color w:val="auto"/>
            </w:rPr>
            <w:t>9</w:t>
          </w:r>
          <w:r>
            <w:rPr>
              <w:color w:val="auto"/>
            </w:rPr>
            <w:fldChar w:fldCharType="end"/>
          </w:r>
          <w:r>
            <w:rPr>
              <w:color w:val="auto"/>
            </w:rPr>
            <w:fldChar w:fldCharType="end"/>
          </w:r>
        </w:p>
        <w:p w14:paraId="35D3B441">
          <w:pPr>
            <w:pStyle w:val="9"/>
            <w:tabs>
              <w:tab w:val="right" w:leader="dot" w:pos="9072"/>
            </w:tabs>
            <w:spacing w:line="440" w:lineRule="exact"/>
            <w:rPr>
              <w:color w:val="auto"/>
            </w:rPr>
          </w:pPr>
          <w:r>
            <w:rPr>
              <w:color w:val="auto"/>
            </w:rPr>
            <w:fldChar w:fldCharType="begin"/>
          </w:r>
          <w:r>
            <w:rPr>
              <w:color w:val="auto"/>
            </w:rPr>
            <w:instrText xml:space="preserve"> HYPERLINK \l "_Toc7762" </w:instrText>
          </w:r>
          <w:r>
            <w:rPr>
              <w:color w:val="auto"/>
            </w:rPr>
            <w:fldChar w:fldCharType="separate"/>
          </w:r>
          <w:r>
            <w:rPr>
              <w:rFonts w:hint="eastAsia" w:hAnsi="宋体" w:cs="宋体"/>
              <w:bCs/>
              <w:snapToGrid w:val="0"/>
              <w:color w:val="auto"/>
              <w:kern w:val="0"/>
            </w:rPr>
            <w:t>3．获取招标文件</w:t>
          </w:r>
          <w:r>
            <w:rPr>
              <w:color w:val="auto"/>
            </w:rPr>
            <w:tab/>
          </w:r>
          <w:r>
            <w:rPr>
              <w:color w:val="auto"/>
            </w:rPr>
            <w:fldChar w:fldCharType="begin"/>
          </w:r>
          <w:r>
            <w:rPr>
              <w:color w:val="auto"/>
            </w:rPr>
            <w:instrText xml:space="preserve"> PAGEREF _Toc7762 \h </w:instrText>
          </w:r>
          <w:r>
            <w:rPr>
              <w:color w:val="auto"/>
            </w:rPr>
            <w:fldChar w:fldCharType="separate"/>
          </w:r>
          <w:r>
            <w:rPr>
              <w:color w:val="auto"/>
            </w:rPr>
            <w:t>11</w:t>
          </w:r>
          <w:r>
            <w:rPr>
              <w:color w:val="auto"/>
            </w:rPr>
            <w:fldChar w:fldCharType="end"/>
          </w:r>
          <w:r>
            <w:rPr>
              <w:color w:val="auto"/>
            </w:rPr>
            <w:fldChar w:fldCharType="end"/>
          </w:r>
        </w:p>
        <w:p w14:paraId="57138456">
          <w:pPr>
            <w:pStyle w:val="9"/>
            <w:tabs>
              <w:tab w:val="right" w:leader="dot" w:pos="9072"/>
            </w:tabs>
            <w:spacing w:line="440" w:lineRule="exact"/>
            <w:rPr>
              <w:color w:val="auto"/>
            </w:rPr>
          </w:pPr>
          <w:r>
            <w:rPr>
              <w:color w:val="auto"/>
            </w:rPr>
            <w:fldChar w:fldCharType="begin"/>
          </w:r>
          <w:r>
            <w:rPr>
              <w:color w:val="auto"/>
            </w:rPr>
            <w:instrText xml:space="preserve"> HYPERLINK \l "_Toc22391" </w:instrText>
          </w:r>
          <w:r>
            <w:rPr>
              <w:color w:val="auto"/>
            </w:rPr>
            <w:fldChar w:fldCharType="separate"/>
          </w:r>
          <w:r>
            <w:rPr>
              <w:rFonts w:hint="eastAsia" w:hAnsi="宋体" w:cs="宋体"/>
              <w:bCs/>
              <w:snapToGrid w:val="0"/>
              <w:color w:val="auto"/>
              <w:kern w:val="0"/>
            </w:rPr>
            <w:t>4．服务期限</w:t>
          </w:r>
          <w:r>
            <w:rPr>
              <w:color w:val="auto"/>
            </w:rPr>
            <w:tab/>
          </w:r>
          <w:r>
            <w:rPr>
              <w:color w:val="auto"/>
            </w:rPr>
            <w:fldChar w:fldCharType="begin"/>
          </w:r>
          <w:r>
            <w:rPr>
              <w:color w:val="auto"/>
            </w:rPr>
            <w:instrText xml:space="preserve"> PAGEREF _Toc22391 \h </w:instrText>
          </w:r>
          <w:r>
            <w:rPr>
              <w:color w:val="auto"/>
            </w:rPr>
            <w:fldChar w:fldCharType="separate"/>
          </w:r>
          <w:r>
            <w:rPr>
              <w:color w:val="auto"/>
            </w:rPr>
            <w:t>13</w:t>
          </w:r>
          <w:r>
            <w:rPr>
              <w:color w:val="auto"/>
            </w:rPr>
            <w:fldChar w:fldCharType="end"/>
          </w:r>
          <w:r>
            <w:rPr>
              <w:color w:val="auto"/>
            </w:rPr>
            <w:fldChar w:fldCharType="end"/>
          </w:r>
        </w:p>
        <w:p w14:paraId="0E62C515">
          <w:pPr>
            <w:pStyle w:val="14"/>
            <w:tabs>
              <w:tab w:val="right" w:leader="dot" w:pos="9072"/>
            </w:tabs>
            <w:spacing w:line="440" w:lineRule="exact"/>
            <w:ind w:firstLine="240" w:firstLineChars="100"/>
            <w:rPr>
              <w:color w:val="auto"/>
            </w:rPr>
          </w:pPr>
          <w:r>
            <w:rPr>
              <w:color w:val="auto"/>
            </w:rPr>
            <w:fldChar w:fldCharType="begin"/>
          </w:r>
          <w:r>
            <w:rPr>
              <w:color w:val="auto"/>
            </w:rPr>
            <w:instrText xml:space="preserve"> HYPERLINK \l "_Toc20574" </w:instrText>
          </w:r>
          <w:r>
            <w:rPr>
              <w:color w:val="auto"/>
            </w:rPr>
            <w:fldChar w:fldCharType="separate"/>
          </w:r>
          <w:r>
            <w:rPr>
              <w:rFonts w:hint="eastAsia" w:hAnsi="宋体" w:cs="宋体"/>
              <w:snapToGrid w:val="0"/>
              <w:color w:val="auto"/>
            </w:rPr>
            <w:t>5．服务标准</w:t>
          </w:r>
          <w:r>
            <w:rPr>
              <w:color w:val="auto"/>
            </w:rPr>
            <w:tab/>
          </w:r>
          <w:r>
            <w:rPr>
              <w:color w:val="auto"/>
            </w:rPr>
            <w:fldChar w:fldCharType="begin"/>
          </w:r>
          <w:r>
            <w:rPr>
              <w:color w:val="auto"/>
            </w:rPr>
            <w:instrText xml:space="preserve"> PAGEREF _Toc20574 \h </w:instrText>
          </w:r>
          <w:r>
            <w:rPr>
              <w:color w:val="auto"/>
            </w:rPr>
            <w:fldChar w:fldCharType="separate"/>
          </w:r>
          <w:r>
            <w:rPr>
              <w:color w:val="auto"/>
            </w:rPr>
            <w:t>13</w:t>
          </w:r>
          <w:r>
            <w:rPr>
              <w:color w:val="auto"/>
            </w:rPr>
            <w:fldChar w:fldCharType="end"/>
          </w:r>
          <w:r>
            <w:rPr>
              <w:color w:val="auto"/>
            </w:rPr>
            <w:fldChar w:fldCharType="end"/>
          </w:r>
        </w:p>
        <w:p w14:paraId="2EB7A9E5">
          <w:pPr>
            <w:pStyle w:val="14"/>
            <w:tabs>
              <w:tab w:val="right" w:leader="dot" w:pos="9072"/>
            </w:tabs>
            <w:spacing w:line="440" w:lineRule="exact"/>
            <w:ind w:firstLine="240" w:firstLineChars="100"/>
            <w:rPr>
              <w:color w:val="auto"/>
            </w:rPr>
          </w:pPr>
          <w:r>
            <w:rPr>
              <w:color w:val="auto"/>
            </w:rPr>
            <w:fldChar w:fldCharType="begin"/>
          </w:r>
          <w:r>
            <w:rPr>
              <w:color w:val="auto"/>
            </w:rPr>
            <w:instrText xml:space="preserve"> HYPERLINK \l "_Toc9941" </w:instrText>
          </w:r>
          <w:r>
            <w:rPr>
              <w:color w:val="auto"/>
            </w:rPr>
            <w:fldChar w:fldCharType="separate"/>
          </w:r>
          <w:r>
            <w:rPr>
              <w:rFonts w:hint="eastAsia" w:hAnsi="宋体" w:cs="宋体"/>
              <w:snapToGrid w:val="0"/>
              <w:color w:val="auto"/>
            </w:rPr>
            <w:t>6．现场踏勘</w:t>
          </w:r>
          <w:r>
            <w:rPr>
              <w:color w:val="auto"/>
            </w:rPr>
            <w:tab/>
          </w:r>
          <w:r>
            <w:rPr>
              <w:color w:val="auto"/>
            </w:rPr>
            <w:fldChar w:fldCharType="begin"/>
          </w:r>
          <w:r>
            <w:rPr>
              <w:color w:val="auto"/>
            </w:rPr>
            <w:instrText xml:space="preserve"> PAGEREF _Toc9941 \h </w:instrText>
          </w:r>
          <w:r>
            <w:rPr>
              <w:color w:val="auto"/>
            </w:rPr>
            <w:fldChar w:fldCharType="separate"/>
          </w:r>
          <w:r>
            <w:rPr>
              <w:color w:val="auto"/>
            </w:rPr>
            <w:t>13</w:t>
          </w:r>
          <w:r>
            <w:rPr>
              <w:color w:val="auto"/>
            </w:rPr>
            <w:fldChar w:fldCharType="end"/>
          </w:r>
          <w:r>
            <w:rPr>
              <w:color w:val="auto"/>
            </w:rPr>
            <w:fldChar w:fldCharType="end"/>
          </w:r>
        </w:p>
        <w:p w14:paraId="0003592E">
          <w:pPr>
            <w:pStyle w:val="14"/>
            <w:tabs>
              <w:tab w:val="right" w:leader="dot" w:pos="9072"/>
            </w:tabs>
            <w:spacing w:line="440" w:lineRule="exact"/>
            <w:ind w:firstLine="240" w:firstLineChars="100"/>
            <w:rPr>
              <w:color w:val="auto"/>
            </w:rPr>
          </w:pPr>
          <w:r>
            <w:rPr>
              <w:color w:val="auto"/>
            </w:rPr>
            <w:fldChar w:fldCharType="begin"/>
          </w:r>
          <w:r>
            <w:rPr>
              <w:color w:val="auto"/>
            </w:rPr>
            <w:instrText xml:space="preserve"> HYPERLINK \l "_Toc5461" </w:instrText>
          </w:r>
          <w:r>
            <w:rPr>
              <w:color w:val="auto"/>
            </w:rPr>
            <w:fldChar w:fldCharType="separate"/>
          </w:r>
          <w:r>
            <w:rPr>
              <w:rFonts w:hint="eastAsia" w:hAnsi="宋体" w:cs="宋体"/>
              <w:snapToGrid w:val="0"/>
              <w:color w:val="auto"/>
            </w:rPr>
            <w:t>7．招标文件的提问和答疑</w:t>
          </w:r>
          <w:r>
            <w:rPr>
              <w:color w:val="auto"/>
            </w:rPr>
            <w:tab/>
          </w:r>
          <w:r>
            <w:rPr>
              <w:color w:val="auto"/>
            </w:rPr>
            <w:fldChar w:fldCharType="begin"/>
          </w:r>
          <w:r>
            <w:rPr>
              <w:color w:val="auto"/>
            </w:rPr>
            <w:instrText xml:space="preserve"> PAGEREF _Toc5461 \h </w:instrText>
          </w:r>
          <w:r>
            <w:rPr>
              <w:color w:val="auto"/>
            </w:rPr>
            <w:fldChar w:fldCharType="separate"/>
          </w:r>
          <w:r>
            <w:rPr>
              <w:color w:val="auto"/>
            </w:rPr>
            <w:t>13</w:t>
          </w:r>
          <w:r>
            <w:rPr>
              <w:color w:val="auto"/>
            </w:rPr>
            <w:fldChar w:fldCharType="end"/>
          </w:r>
          <w:r>
            <w:rPr>
              <w:color w:val="auto"/>
            </w:rPr>
            <w:fldChar w:fldCharType="end"/>
          </w:r>
        </w:p>
        <w:p w14:paraId="6B8C96A2">
          <w:pPr>
            <w:pStyle w:val="14"/>
            <w:tabs>
              <w:tab w:val="right" w:leader="dot" w:pos="9072"/>
            </w:tabs>
            <w:spacing w:line="440" w:lineRule="exact"/>
            <w:ind w:firstLine="240" w:firstLineChars="100"/>
            <w:rPr>
              <w:color w:val="auto"/>
            </w:rPr>
          </w:pPr>
          <w:r>
            <w:rPr>
              <w:color w:val="auto"/>
            </w:rPr>
            <w:fldChar w:fldCharType="begin"/>
          </w:r>
          <w:r>
            <w:rPr>
              <w:color w:val="auto"/>
            </w:rPr>
            <w:instrText xml:space="preserve"> HYPERLINK \l "_Toc5082" </w:instrText>
          </w:r>
          <w:r>
            <w:rPr>
              <w:color w:val="auto"/>
            </w:rPr>
            <w:fldChar w:fldCharType="separate"/>
          </w:r>
          <w:r>
            <w:rPr>
              <w:rFonts w:hint="eastAsia" w:hAnsi="宋体" w:cs="宋体"/>
              <w:snapToGrid w:val="0"/>
              <w:color w:val="auto"/>
            </w:rPr>
            <w:t>8．最高投标限价</w:t>
          </w:r>
          <w:r>
            <w:rPr>
              <w:color w:val="auto"/>
            </w:rPr>
            <w:tab/>
          </w:r>
          <w:r>
            <w:rPr>
              <w:color w:val="auto"/>
            </w:rPr>
            <w:fldChar w:fldCharType="begin"/>
          </w:r>
          <w:r>
            <w:rPr>
              <w:color w:val="auto"/>
            </w:rPr>
            <w:instrText xml:space="preserve"> PAGEREF _Toc5082 \h </w:instrText>
          </w:r>
          <w:r>
            <w:rPr>
              <w:color w:val="auto"/>
            </w:rPr>
            <w:fldChar w:fldCharType="separate"/>
          </w:r>
          <w:r>
            <w:rPr>
              <w:color w:val="auto"/>
            </w:rPr>
            <w:t>14</w:t>
          </w:r>
          <w:r>
            <w:rPr>
              <w:color w:val="auto"/>
            </w:rPr>
            <w:fldChar w:fldCharType="end"/>
          </w:r>
          <w:r>
            <w:rPr>
              <w:color w:val="auto"/>
            </w:rPr>
            <w:fldChar w:fldCharType="end"/>
          </w:r>
        </w:p>
        <w:p w14:paraId="2F1895C0">
          <w:pPr>
            <w:pStyle w:val="14"/>
            <w:tabs>
              <w:tab w:val="right" w:leader="dot" w:pos="9072"/>
            </w:tabs>
            <w:spacing w:line="440" w:lineRule="exact"/>
            <w:ind w:firstLine="240" w:firstLineChars="100"/>
            <w:rPr>
              <w:color w:val="auto"/>
            </w:rPr>
          </w:pPr>
          <w:r>
            <w:rPr>
              <w:color w:val="auto"/>
            </w:rPr>
            <w:fldChar w:fldCharType="begin"/>
          </w:r>
          <w:r>
            <w:rPr>
              <w:color w:val="auto"/>
            </w:rPr>
            <w:instrText xml:space="preserve"> HYPERLINK \l "_Toc6959" </w:instrText>
          </w:r>
          <w:r>
            <w:rPr>
              <w:color w:val="auto"/>
            </w:rPr>
            <w:fldChar w:fldCharType="separate"/>
          </w:r>
          <w:r>
            <w:rPr>
              <w:rFonts w:hint="eastAsia" w:hAnsi="宋体" w:cs="宋体"/>
              <w:snapToGrid w:val="0"/>
              <w:color w:val="auto"/>
            </w:rPr>
            <w:t>9．投标报价</w:t>
          </w:r>
          <w:r>
            <w:rPr>
              <w:color w:val="auto"/>
            </w:rPr>
            <w:tab/>
          </w:r>
          <w:r>
            <w:rPr>
              <w:color w:val="auto"/>
            </w:rPr>
            <w:fldChar w:fldCharType="begin"/>
          </w:r>
          <w:r>
            <w:rPr>
              <w:color w:val="auto"/>
            </w:rPr>
            <w:instrText xml:space="preserve"> PAGEREF _Toc6959 \h </w:instrText>
          </w:r>
          <w:r>
            <w:rPr>
              <w:color w:val="auto"/>
            </w:rPr>
            <w:fldChar w:fldCharType="separate"/>
          </w:r>
          <w:r>
            <w:rPr>
              <w:color w:val="auto"/>
            </w:rPr>
            <w:t>14</w:t>
          </w:r>
          <w:r>
            <w:rPr>
              <w:color w:val="auto"/>
            </w:rPr>
            <w:fldChar w:fldCharType="end"/>
          </w:r>
          <w:r>
            <w:rPr>
              <w:color w:val="auto"/>
            </w:rPr>
            <w:fldChar w:fldCharType="end"/>
          </w:r>
        </w:p>
        <w:p w14:paraId="498D373C">
          <w:pPr>
            <w:pStyle w:val="14"/>
            <w:tabs>
              <w:tab w:val="right" w:leader="dot" w:pos="9072"/>
            </w:tabs>
            <w:spacing w:line="440" w:lineRule="exact"/>
            <w:ind w:firstLine="240" w:firstLineChars="100"/>
            <w:rPr>
              <w:color w:val="auto"/>
            </w:rPr>
          </w:pPr>
          <w:r>
            <w:rPr>
              <w:color w:val="auto"/>
            </w:rPr>
            <w:fldChar w:fldCharType="begin"/>
          </w:r>
          <w:r>
            <w:rPr>
              <w:color w:val="auto"/>
            </w:rPr>
            <w:instrText xml:space="preserve"> HYPERLINK \l "_Toc6576" </w:instrText>
          </w:r>
          <w:r>
            <w:rPr>
              <w:color w:val="auto"/>
            </w:rPr>
            <w:fldChar w:fldCharType="separate"/>
          </w:r>
          <w:r>
            <w:rPr>
              <w:rFonts w:hint="eastAsia" w:hAnsi="宋体" w:cs="宋体"/>
              <w:snapToGrid w:val="0"/>
              <w:color w:val="auto"/>
              <w:szCs w:val="24"/>
            </w:rPr>
            <w:t>10．投标文件的编制要求</w:t>
          </w:r>
          <w:r>
            <w:rPr>
              <w:color w:val="auto"/>
            </w:rPr>
            <w:tab/>
          </w:r>
          <w:r>
            <w:rPr>
              <w:color w:val="auto"/>
            </w:rPr>
            <w:fldChar w:fldCharType="begin"/>
          </w:r>
          <w:r>
            <w:rPr>
              <w:color w:val="auto"/>
            </w:rPr>
            <w:instrText xml:space="preserve"> PAGEREF _Toc6576 \h </w:instrText>
          </w:r>
          <w:r>
            <w:rPr>
              <w:color w:val="auto"/>
            </w:rPr>
            <w:fldChar w:fldCharType="separate"/>
          </w:r>
          <w:r>
            <w:rPr>
              <w:color w:val="auto"/>
            </w:rPr>
            <w:t>14</w:t>
          </w:r>
          <w:r>
            <w:rPr>
              <w:color w:val="auto"/>
            </w:rPr>
            <w:fldChar w:fldCharType="end"/>
          </w:r>
          <w:r>
            <w:rPr>
              <w:color w:val="auto"/>
            </w:rPr>
            <w:fldChar w:fldCharType="end"/>
          </w:r>
        </w:p>
        <w:p w14:paraId="601EDD2A">
          <w:pPr>
            <w:pStyle w:val="14"/>
            <w:tabs>
              <w:tab w:val="right" w:leader="dot" w:pos="9072"/>
            </w:tabs>
            <w:spacing w:line="440" w:lineRule="exact"/>
            <w:ind w:firstLine="240" w:firstLineChars="100"/>
            <w:rPr>
              <w:color w:val="auto"/>
            </w:rPr>
          </w:pPr>
          <w:r>
            <w:rPr>
              <w:color w:val="auto"/>
            </w:rPr>
            <w:fldChar w:fldCharType="begin"/>
          </w:r>
          <w:r>
            <w:rPr>
              <w:color w:val="auto"/>
            </w:rPr>
            <w:instrText xml:space="preserve"> HYPERLINK \l "_Toc18720" </w:instrText>
          </w:r>
          <w:r>
            <w:rPr>
              <w:color w:val="auto"/>
            </w:rPr>
            <w:fldChar w:fldCharType="separate"/>
          </w:r>
          <w:r>
            <w:rPr>
              <w:rFonts w:hint="eastAsia" w:hAnsi="宋体" w:cs="宋体"/>
              <w:snapToGrid w:val="0"/>
              <w:color w:val="auto"/>
              <w:szCs w:val="24"/>
            </w:rPr>
            <w:t>11．电子投标</w:t>
          </w:r>
          <w:r>
            <w:rPr>
              <w:color w:val="auto"/>
            </w:rPr>
            <w:tab/>
          </w:r>
          <w:r>
            <w:rPr>
              <w:color w:val="auto"/>
            </w:rPr>
            <w:fldChar w:fldCharType="begin"/>
          </w:r>
          <w:r>
            <w:rPr>
              <w:color w:val="auto"/>
            </w:rPr>
            <w:instrText xml:space="preserve"> PAGEREF _Toc18720 \h </w:instrText>
          </w:r>
          <w:r>
            <w:rPr>
              <w:color w:val="auto"/>
            </w:rPr>
            <w:fldChar w:fldCharType="separate"/>
          </w:r>
          <w:r>
            <w:rPr>
              <w:color w:val="auto"/>
            </w:rPr>
            <w:t>17</w:t>
          </w:r>
          <w:r>
            <w:rPr>
              <w:color w:val="auto"/>
            </w:rPr>
            <w:fldChar w:fldCharType="end"/>
          </w:r>
          <w:r>
            <w:rPr>
              <w:color w:val="auto"/>
            </w:rPr>
            <w:fldChar w:fldCharType="end"/>
          </w:r>
        </w:p>
        <w:p w14:paraId="4F65086C">
          <w:pPr>
            <w:pStyle w:val="14"/>
            <w:tabs>
              <w:tab w:val="right" w:leader="dot" w:pos="9072"/>
            </w:tabs>
            <w:spacing w:line="440" w:lineRule="exact"/>
            <w:ind w:firstLine="240" w:firstLineChars="100"/>
            <w:rPr>
              <w:color w:val="auto"/>
            </w:rPr>
          </w:pPr>
          <w:r>
            <w:rPr>
              <w:color w:val="auto"/>
            </w:rPr>
            <w:fldChar w:fldCharType="begin"/>
          </w:r>
          <w:r>
            <w:rPr>
              <w:color w:val="auto"/>
            </w:rPr>
            <w:instrText xml:space="preserve"> HYPERLINK \l "_Toc16552" </w:instrText>
          </w:r>
          <w:r>
            <w:rPr>
              <w:color w:val="auto"/>
            </w:rPr>
            <w:fldChar w:fldCharType="separate"/>
          </w:r>
          <w:r>
            <w:rPr>
              <w:rFonts w:hint="eastAsia" w:hAnsi="宋体" w:cs="宋体"/>
              <w:snapToGrid w:val="0"/>
              <w:color w:val="auto"/>
              <w:szCs w:val="24"/>
            </w:rPr>
            <w:t>12. 投标文件的提交</w:t>
          </w:r>
          <w:r>
            <w:rPr>
              <w:color w:val="auto"/>
            </w:rPr>
            <w:tab/>
          </w:r>
          <w:r>
            <w:rPr>
              <w:color w:val="auto"/>
            </w:rPr>
            <w:fldChar w:fldCharType="begin"/>
          </w:r>
          <w:r>
            <w:rPr>
              <w:color w:val="auto"/>
            </w:rPr>
            <w:instrText xml:space="preserve"> PAGEREF _Toc16552 \h </w:instrText>
          </w:r>
          <w:r>
            <w:rPr>
              <w:color w:val="auto"/>
            </w:rPr>
            <w:fldChar w:fldCharType="separate"/>
          </w:r>
          <w:r>
            <w:rPr>
              <w:color w:val="auto"/>
            </w:rPr>
            <w:t>18</w:t>
          </w:r>
          <w:r>
            <w:rPr>
              <w:color w:val="auto"/>
            </w:rPr>
            <w:fldChar w:fldCharType="end"/>
          </w:r>
          <w:r>
            <w:rPr>
              <w:color w:val="auto"/>
            </w:rPr>
            <w:fldChar w:fldCharType="end"/>
          </w:r>
        </w:p>
        <w:p w14:paraId="6BD0F13D">
          <w:pPr>
            <w:pStyle w:val="9"/>
            <w:tabs>
              <w:tab w:val="right" w:leader="dot" w:pos="9072"/>
            </w:tabs>
            <w:spacing w:line="440" w:lineRule="exact"/>
            <w:rPr>
              <w:color w:val="auto"/>
            </w:rPr>
          </w:pPr>
          <w:r>
            <w:rPr>
              <w:color w:val="auto"/>
            </w:rPr>
            <w:fldChar w:fldCharType="begin"/>
          </w:r>
          <w:r>
            <w:rPr>
              <w:color w:val="auto"/>
            </w:rPr>
            <w:instrText xml:space="preserve"> HYPERLINK \l "_Toc29810" </w:instrText>
          </w:r>
          <w:r>
            <w:rPr>
              <w:color w:val="auto"/>
            </w:rPr>
            <w:fldChar w:fldCharType="separate"/>
          </w:r>
          <w:r>
            <w:rPr>
              <w:rFonts w:hint="eastAsia" w:hAnsi="宋体" w:cs="宋体"/>
              <w:snapToGrid w:val="0"/>
              <w:color w:val="auto"/>
              <w:kern w:val="0"/>
              <w:szCs w:val="24"/>
            </w:rPr>
            <w:t>13．投标有效期</w:t>
          </w:r>
          <w:r>
            <w:rPr>
              <w:color w:val="auto"/>
            </w:rPr>
            <w:tab/>
          </w:r>
          <w:r>
            <w:rPr>
              <w:color w:val="auto"/>
            </w:rPr>
            <w:fldChar w:fldCharType="begin"/>
          </w:r>
          <w:r>
            <w:rPr>
              <w:color w:val="auto"/>
            </w:rPr>
            <w:instrText xml:space="preserve"> PAGEREF _Toc29810 \h </w:instrText>
          </w:r>
          <w:r>
            <w:rPr>
              <w:color w:val="auto"/>
            </w:rPr>
            <w:fldChar w:fldCharType="separate"/>
          </w:r>
          <w:r>
            <w:rPr>
              <w:color w:val="auto"/>
            </w:rPr>
            <w:t>18</w:t>
          </w:r>
          <w:r>
            <w:rPr>
              <w:color w:val="auto"/>
            </w:rPr>
            <w:fldChar w:fldCharType="end"/>
          </w:r>
          <w:r>
            <w:rPr>
              <w:color w:val="auto"/>
            </w:rPr>
            <w:fldChar w:fldCharType="end"/>
          </w:r>
        </w:p>
        <w:p w14:paraId="33AA7E1D">
          <w:pPr>
            <w:pStyle w:val="9"/>
            <w:tabs>
              <w:tab w:val="right" w:leader="dot" w:pos="9072"/>
            </w:tabs>
            <w:spacing w:line="440" w:lineRule="exact"/>
            <w:rPr>
              <w:color w:val="auto"/>
            </w:rPr>
          </w:pPr>
          <w:r>
            <w:rPr>
              <w:color w:val="auto"/>
            </w:rPr>
            <w:fldChar w:fldCharType="begin"/>
          </w:r>
          <w:r>
            <w:rPr>
              <w:color w:val="auto"/>
            </w:rPr>
            <w:instrText xml:space="preserve"> HYPERLINK \l "_Toc17952" </w:instrText>
          </w:r>
          <w:r>
            <w:rPr>
              <w:color w:val="auto"/>
            </w:rPr>
            <w:fldChar w:fldCharType="separate"/>
          </w:r>
          <w:r>
            <w:rPr>
              <w:rFonts w:hint="eastAsia" w:hAnsi="宋体" w:cs="宋体"/>
              <w:snapToGrid w:val="0"/>
              <w:color w:val="auto"/>
              <w:kern w:val="0"/>
              <w:szCs w:val="24"/>
            </w:rPr>
            <w:t>14．开标</w:t>
          </w:r>
          <w:r>
            <w:rPr>
              <w:color w:val="auto"/>
            </w:rPr>
            <w:tab/>
          </w:r>
          <w:r>
            <w:rPr>
              <w:color w:val="auto"/>
            </w:rPr>
            <w:fldChar w:fldCharType="begin"/>
          </w:r>
          <w:r>
            <w:rPr>
              <w:color w:val="auto"/>
            </w:rPr>
            <w:instrText xml:space="preserve"> PAGEREF _Toc17952 \h </w:instrText>
          </w:r>
          <w:r>
            <w:rPr>
              <w:color w:val="auto"/>
            </w:rPr>
            <w:fldChar w:fldCharType="separate"/>
          </w:r>
          <w:r>
            <w:rPr>
              <w:color w:val="auto"/>
            </w:rPr>
            <w:t>19</w:t>
          </w:r>
          <w:r>
            <w:rPr>
              <w:color w:val="auto"/>
            </w:rPr>
            <w:fldChar w:fldCharType="end"/>
          </w:r>
          <w:r>
            <w:rPr>
              <w:color w:val="auto"/>
            </w:rPr>
            <w:fldChar w:fldCharType="end"/>
          </w:r>
        </w:p>
        <w:p w14:paraId="47D7A500">
          <w:pPr>
            <w:pStyle w:val="9"/>
            <w:tabs>
              <w:tab w:val="right" w:leader="dot" w:pos="9072"/>
            </w:tabs>
            <w:spacing w:line="440" w:lineRule="exact"/>
            <w:rPr>
              <w:color w:val="auto"/>
            </w:rPr>
          </w:pPr>
          <w:r>
            <w:rPr>
              <w:color w:val="auto"/>
            </w:rPr>
            <w:fldChar w:fldCharType="begin"/>
          </w:r>
          <w:r>
            <w:rPr>
              <w:color w:val="auto"/>
            </w:rPr>
            <w:instrText xml:space="preserve"> HYPERLINK \l "_Toc5475" </w:instrText>
          </w:r>
          <w:r>
            <w:rPr>
              <w:color w:val="auto"/>
            </w:rPr>
            <w:fldChar w:fldCharType="separate"/>
          </w:r>
          <w:r>
            <w:rPr>
              <w:rFonts w:hint="eastAsia" w:hAnsi="宋体" w:cs="宋体"/>
              <w:snapToGrid w:val="0"/>
              <w:color w:val="auto"/>
              <w:kern w:val="0"/>
            </w:rPr>
            <w:t>15．评标</w:t>
          </w:r>
          <w:r>
            <w:rPr>
              <w:color w:val="auto"/>
            </w:rPr>
            <w:tab/>
          </w:r>
          <w:r>
            <w:rPr>
              <w:color w:val="auto"/>
            </w:rPr>
            <w:fldChar w:fldCharType="begin"/>
          </w:r>
          <w:r>
            <w:rPr>
              <w:color w:val="auto"/>
            </w:rPr>
            <w:instrText xml:space="preserve"> PAGEREF _Toc5475 \h </w:instrText>
          </w:r>
          <w:r>
            <w:rPr>
              <w:color w:val="auto"/>
            </w:rPr>
            <w:fldChar w:fldCharType="separate"/>
          </w:r>
          <w:r>
            <w:rPr>
              <w:color w:val="auto"/>
            </w:rPr>
            <w:t>20</w:t>
          </w:r>
          <w:r>
            <w:rPr>
              <w:color w:val="auto"/>
            </w:rPr>
            <w:fldChar w:fldCharType="end"/>
          </w:r>
          <w:r>
            <w:rPr>
              <w:color w:val="auto"/>
            </w:rPr>
            <w:fldChar w:fldCharType="end"/>
          </w:r>
        </w:p>
        <w:p w14:paraId="0BF625EE">
          <w:pPr>
            <w:pStyle w:val="9"/>
            <w:tabs>
              <w:tab w:val="right" w:leader="dot" w:pos="9072"/>
            </w:tabs>
            <w:spacing w:line="440" w:lineRule="exact"/>
            <w:rPr>
              <w:color w:val="auto"/>
            </w:rPr>
          </w:pPr>
          <w:r>
            <w:rPr>
              <w:color w:val="auto"/>
            </w:rPr>
            <w:fldChar w:fldCharType="begin"/>
          </w:r>
          <w:r>
            <w:rPr>
              <w:color w:val="auto"/>
            </w:rPr>
            <w:instrText xml:space="preserve"> HYPERLINK \l "_Toc30822" </w:instrText>
          </w:r>
          <w:r>
            <w:rPr>
              <w:color w:val="auto"/>
            </w:rPr>
            <w:fldChar w:fldCharType="separate"/>
          </w:r>
          <w:r>
            <w:rPr>
              <w:rFonts w:hint="eastAsia"/>
              <w:bCs/>
              <w:color w:val="auto"/>
            </w:rPr>
            <w:t>表1 综合评分表</w:t>
          </w:r>
          <w:r>
            <w:rPr>
              <w:color w:val="auto"/>
            </w:rPr>
            <w:tab/>
          </w:r>
          <w:r>
            <w:rPr>
              <w:color w:val="auto"/>
            </w:rPr>
            <w:fldChar w:fldCharType="begin"/>
          </w:r>
          <w:r>
            <w:rPr>
              <w:color w:val="auto"/>
            </w:rPr>
            <w:instrText xml:space="preserve"> PAGEREF _Toc30822 \h </w:instrText>
          </w:r>
          <w:r>
            <w:rPr>
              <w:color w:val="auto"/>
            </w:rPr>
            <w:fldChar w:fldCharType="separate"/>
          </w:r>
          <w:r>
            <w:rPr>
              <w:color w:val="auto"/>
            </w:rPr>
            <w:t>24</w:t>
          </w:r>
          <w:r>
            <w:rPr>
              <w:color w:val="auto"/>
            </w:rPr>
            <w:fldChar w:fldCharType="end"/>
          </w:r>
          <w:r>
            <w:rPr>
              <w:color w:val="auto"/>
            </w:rPr>
            <w:fldChar w:fldCharType="end"/>
          </w:r>
        </w:p>
        <w:p w14:paraId="61F31279">
          <w:pPr>
            <w:pStyle w:val="9"/>
            <w:tabs>
              <w:tab w:val="right" w:leader="dot" w:pos="9072"/>
            </w:tabs>
            <w:spacing w:line="440" w:lineRule="exact"/>
            <w:rPr>
              <w:color w:val="auto"/>
            </w:rPr>
          </w:pPr>
          <w:r>
            <w:rPr>
              <w:color w:val="auto"/>
            </w:rPr>
            <w:fldChar w:fldCharType="begin"/>
          </w:r>
          <w:r>
            <w:rPr>
              <w:color w:val="auto"/>
            </w:rPr>
            <w:instrText xml:space="preserve"> HYPERLINK \l "_Toc17383" </w:instrText>
          </w:r>
          <w:r>
            <w:rPr>
              <w:color w:val="auto"/>
            </w:rPr>
            <w:fldChar w:fldCharType="separate"/>
          </w:r>
          <w:r>
            <w:rPr>
              <w:rFonts w:hint="eastAsia" w:hAnsi="宋体" w:cs="宋体"/>
              <w:snapToGrid w:val="0"/>
              <w:color w:val="auto"/>
              <w:kern w:val="0"/>
              <w:szCs w:val="24"/>
            </w:rPr>
            <w:t>16．推荐中标候选人</w:t>
          </w:r>
          <w:r>
            <w:rPr>
              <w:color w:val="auto"/>
            </w:rPr>
            <w:tab/>
          </w:r>
          <w:r>
            <w:rPr>
              <w:color w:val="auto"/>
            </w:rPr>
            <w:fldChar w:fldCharType="begin"/>
          </w:r>
          <w:r>
            <w:rPr>
              <w:color w:val="auto"/>
            </w:rPr>
            <w:instrText xml:space="preserve"> PAGEREF _Toc17383 \h </w:instrText>
          </w:r>
          <w:r>
            <w:rPr>
              <w:color w:val="auto"/>
            </w:rPr>
            <w:fldChar w:fldCharType="separate"/>
          </w:r>
          <w:r>
            <w:rPr>
              <w:color w:val="auto"/>
            </w:rPr>
            <w:t>29</w:t>
          </w:r>
          <w:r>
            <w:rPr>
              <w:color w:val="auto"/>
            </w:rPr>
            <w:fldChar w:fldCharType="end"/>
          </w:r>
          <w:r>
            <w:rPr>
              <w:color w:val="auto"/>
            </w:rPr>
            <w:fldChar w:fldCharType="end"/>
          </w:r>
        </w:p>
        <w:p w14:paraId="1FA0C124">
          <w:pPr>
            <w:pStyle w:val="9"/>
            <w:tabs>
              <w:tab w:val="right" w:leader="dot" w:pos="9072"/>
            </w:tabs>
            <w:spacing w:line="440" w:lineRule="exact"/>
            <w:rPr>
              <w:color w:val="auto"/>
            </w:rPr>
          </w:pPr>
          <w:r>
            <w:rPr>
              <w:color w:val="auto"/>
            </w:rPr>
            <w:fldChar w:fldCharType="begin"/>
          </w:r>
          <w:r>
            <w:rPr>
              <w:color w:val="auto"/>
            </w:rPr>
            <w:instrText xml:space="preserve"> HYPERLINK \l "_Toc3832" </w:instrText>
          </w:r>
          <w:r>
            <w:rPr>
              <w:color w:val="auto"/>
            </w:rPr>
            <w:fldChar w:fldCharType="separate"/>
          </w:r>
          <w:r>
            <w:rPr>
              <w:rFonts w:hint="eastAsia" w:hAnsi="宋体" w:cs="宋体"/>
              <w:snapToGrid w:val="0"/>
              <w:color w:val="auto"/>
              <w:kern w:val="0"/>
              <w:szCs w:val="24"/>
            </w:rPr>
            <w:t>17．中标候选人公示</w:t>
          </w:r>
          <w:r>
            <w:rPr>
              <w:color w:val="auto"/>
            </w:rPr>
            <w:tab/>
          </w:r>
          <w:r>
            <w:rPr>
              <w:color w:val="auto"/>
            </w:rPr>
            <w:fldChar w:fldCharType="begin"/>
          </w:r>
          <w:r>
            <w:rPr>
              <w:color w:val="auto"/>
            </w:rPr>
            <w:instrText xml:space="preserve"> PAGEREF _Toc3832 \h </w:instrText>
          </w:r>
          <w:r>
            <w:rPr>
              <w:color w:val="auto"/>
            </w:rPr>
            <w:fldChar w:fldCharType="separate"/>
          </w:r>
          <w:r>
            <w:rPr>
              <w:color w:val="auto"/>
            </w:rPr>
            <w:t>29</w:t>
          </w:r>
          <w:r>
            <w:rPr>
              <w:color w:val="auto"/>
            </w:rPr>
            <w:fldChar w:fldCharType="end"/>
          </w:r>
          <w:r>
            <w:rPr>
              <w:color w:val="auto"/>
            </w:rPr>
            <w:fldChar w:fldCharType="end"/>
          </w:r>
        </w:p>
        <w:p w14:paraId="0E7D8573">
          <w:pPr>
            <w:pStyle w:val="14"/>
            <w:tabs>
              <w:tab w:val="right" w:leader="dot" w:pos="9072"/>
            </w:tabs>
            <w:spacing w:line="440" w:lineRule="exact"/>
            <w:rPr>
              <w:color w:val="auto"/>
            </w:rPr>
          </w:pPr>
          <w:r>
            <w:rPr>
              <w:color w:val="auto"/>
            </w:rPr>
            <w:fldChar w:fldCharType="begin"/>
          </w:r>
          <w:r>
            <w:rPr>
              <w:color w:val="auto"/>
            </w:rPr>
            <w:instrText xml:space="preserve"> HYPERLINK \l "_Toc17270" </w:instrText>
          </w:r>
          <w:r>
            <w:rPr>
              <w:color w:val="auto"/>
            </w:rPr>
            <w:fldChar w:fldCharType="separate"/>
          </w:r>
          <w:r>
            <w:rPr>
              <w:rFonts w:hint="eastAsia" w:hAnsi="宋体" w:cs="宋体"/>
              <w:bCs/>
              <w:snapToGrid w:val="0"/>
              <w:color w:val="auto"/>
              <w:kern w:val="0"/>
            </w:rPr>
            <w:t>第四节 否决投标条件</w:t>
          </w:r>
          <w:r>
            <w:rPr>
              <w:color w:val="auto"/>
            </w:rPr>
            <w:tab/>
          </w:r>
          <w:r>
            <w:rPr>
              <w:color w:val="auto"/>
            </w:rPr>
            <w:fldChar w:fldCharType="begin"/>
          </w:r>
          <w:r>
            <w:rPr>
              <w:color w:val="auto"/>
            </w:rPr>
            <w:instrText xml:space="preserve"> PAGEREF _Toc17270 \h </w:instrText>
          </w:r>
          <w:r>
            <w:rPr>
              <w:color w:val="auto"/>
            </w:rPr>
            <w:fldChar w:fldCharType="separate"/>
          </w:r>
          <w:r>
            <w:rPr>
              <w:color w:val="auto"/>
            </w:rPr>
            <w:t>30</w:t>
          </w:r>
          <w:r>
            <w:rPr>
              <w:color w:val="auto"/>
            </w:rPr>
            <w:fldChar w:fldCharType="end"/>
          </w:r>
          <w:r>
            <w:rPr>
              <w:color w:val="auto"/>
            </w:rPr>
            <w:fldChar w:fldCharType="end"/>
          </w:r>
        </w:p>
        <w:p w14:paraId="08473760">
          <w:pPr>
            <w:pStyle w:val="9"/>
            <w:tabs>
              <w:tab w:val="right" w:leader="dot" w:pos="9072"/>
            </w:tabs>
            <w:spacing w:line="440" w:lineRule="exact"/>
            <w:rPr>
              <w:color w:val="auto"/>
            </w:rPr>
          </w:pPr>
          <w:r>
            <w:rPr>
              <w:color w:val="auto"/>
            </w:rPr>
            <w:fldChar w:fldCharType="begin"/>
          </w:r>
          <w:r>
            <w:rPr>
              <w:color w:val="auto"/>
            </w:rPr>
            <w:instrText xml:space="preserve"> HYPERLINK \l "_Toc18839" </w:instrText>
          </w:r>
          <w:r>
            <w:rPr>
              <w:color w:val="auto"/>
            </w:rPr>
            <w:fldChar w:fldCharType="separate"/>
          </w:r>
          <w:r>
            <w:rPr>
              <w:rFonts w:hint="eastAsia" w:hAnsi="宋体" w:cs="宋体"/>
              <w:bCs/>
              <w:snapToGrid w:val="0"/>
              <w:color w:val="auto"/>
              <w:kern w:val="0"/>
            </w:rPr>
            <w:t>1．资格评审环节</w:t>
          </w:r>
          <w:r>
            <w:rPr>
              <w:color w:val="auto"/>
            </w:rPr>
            <w:tab/>
          </w:r>
          <w:r>
            <w:rPr>
              <w:color w:val="auto"/>
            </w:rPr>
            <w:fldChar w:fldCharType="begin"/>
          </w:r>
          <w:r>
            <w:rPr>
              <w:color w:val="auto"/>
            </w:rPr>
            <w:instrText xml:space="preserve"> PAGEREF _Toc18839 \h </w:instrText>
          </w:r>
          <w:r>
            <w:rPr>
              <w:color w:val="auto"/>
            </w:rPr>
            <w:fldChar w:fldCharType="separate"/>
          </w:r>
          <w:r>
            <w:rPr>
              <w:color w:val="auto"/>
            </w:rPr>
            <w:t>30</w:t>
          </w:r>
          <w:r>
            <w:rPr>
              <w:color w:val="auto"/>
            </w:rPr>
            <w:fldChar w:fldCharType="end"/>
          </w:r>
          <w:r>
            <w:rPr>
              <w:color w:val="auto"/>
            </w:rPr>
            <w:fldChar w:fldCharType="end"/>
          </w:r>
        </w:p>
        <w:p w14:paraId="22DB55D1">
          <w:pPr>
            <w:pStyle w:val="9"/>
            <w:tabs>
              <w:tab w:val="right" w:leader="dot" w:pos="9072"/>
            </w:tabs>
            <w:spacing w:line="440" w:lineRule="exact"/>
            <w:rPr>
              <w:color w:val="auto"/>
            </w:rPr>
          </w:pPr>
          <w:r>
            <w:rPr>
              <w:color w:val="auto"/>
            </w:rPr>
            <w:fldChar w:fldCharType="begin"/>
          </w:r>
          <w:r>
            <w:rPr>
              <w:color w:val="auto"/>
            </w:rPr>
            <w:instrText xml:space="preserve"> HYPERLINK \l "_Toc24146" </w:instrText>
          </w:r>
          <w:r>
            <w:rPr>
              <w:color w:val="auto"/>
            </w:rPr>
            <w:fldChar w:fldCharType="separate"/>
          </w:r>
          <w:r>
            <w:rPr>
              <w:rFonts w:hint="eastAsia" w:hAnsi="宋体" w:cs="宋体"/>
              <w:bCs/>
              <w:snapToGrid w:val="0"/>
              <w:color w:val="auto"/>
              <w:kern w:val="0"/>
            </w:rPr>
            <w:t>2．形式评审环节</w:t>
          </w:r>
          <w:r>
            <w:rPr>
              <w:color w:val="auto"/>
            </w:rPr>
            <w:tab/>
          </w:r>
          <w:r>
            <w:rPr>
              <w:color w:val="auto"/>
            </w:rPr>
            <w:fldChar w:fldCharType="begin"/>
          </w:r>
          <w:r>
            <w:rPr>
              <w:color w:val="auto"/>
            </w:rPr>
            <w:instrText xml:space="preserve"> PAGEREF _Toc24146 \h </w:instrText>
          </w:r>
          <w:r>
            <w:rPr>
              <w:color w:val="auto"/>
            </w:rPr>
            <w:fldChar w:fldCharType="separate"/>
          </w:r>
          <w:r>
            <w:rPr>
              <w:color w:val="auto"/>
            </w:rPr>
            <w:t>31</w:t>
          </w:r>
          <w:r>
            <w:rPr>
              <w:color w:val="auto"/>
            </w:rPr>
            <w:fldChar w:fldCharType="end"/>
          </w:r>
          <w:r>
            <w:rPr>
              <w:color w:val="auto"/>
            </w:rPr>
            <w:fldChar w:fldCharType="end"/>
          </w:r>
        </w:p>
        <w:p w14:paraId="75D2941A">
          <w:pPr>
            <w:pStyle w:val="9"/>
            <w:tabs>
              <w:tab w:val="right" w:leader="dot" w:pos="9072"/>
            </w:tabs>
            <w:spacing w:line="440" w:lineRule="exact"/>
            <w:rPr>
              <w:color w:val="auto"/>
            </w:rPr>
          </w:pPr>
          <w:r>
            <w:rPr>
              <w:color w:val="auto"/>
            </w:rPr>
            <w:fldChar w:fldCharType="begin"/>
          </w:r>
          <w:r>
            <w:rPr>
              <w:color w:val="auto"/>
            </w:rPr>
            <w:instrText xml:space="preserve"> HYPERLINK \l "_Toc13563" </w:instrText>
          </w:r>
          <w:r>
            <w:rPr>
              <w:color w:val="auto"/>
            </w:rPr>
            <w:fldChar w:fldCharType="separate"/>
          </w:r>
          <w:r>
            <w:rPr>
              <w:rFonts w:hint="eastAsia" w:hAnsi="宋体" w:cs="宋体"/>
              <w:bCs/>
              <w:snapToGrid w:val="0"/>
              <w:color w:val="auto"/>
              <w:kern w:val="0"/>
            </w:rPr>
            <w:t>3．响应性评审环节</w:t>
          </w:r>
          <w:r>
            <w:rPr>
              <w:color w:val="auto"/>
            </w:rPr>
            <w:tab/>
          </w:r>
          <w:r>
            <w:rPr>
              <w:color w:val="auto"/>
            </w:rPr>
            <w:fldChar w:fldCharType="begin"/>
          </w:r>
          <w:r>
            <w:rPr>
              <w:color w:val="auto"/>
            </w:rPr>
            <w:instrText xml:space="preserve"> PAGEREF _Toc13563 \h </w:instrText>
          </w:r>
          <w:r>
            <w:rPr>
              <w:color w:val="auto"/>
            </w:rPr>
            <w:fldChar w:fldCharType="separate"/>
          </w:r>
          <w:r>
            <w:rPr>
              <w:color w:val="auto"/>
            </w:rPr>
            <w:t>31</w:t>
          </w:r>
          <w:r>
            <w:rPr>
              <w:color w:val="auto"/>
            </w:rPr>
            <w:fldChar w:fldCharType="end"/>
          </w:r>
          <w:r>
            <w:rPr>
              <w:color w:val="auto"/>
            </w:rPr>
            <w:fldChar w:fldCharType="end"/>
          </w:r>
        </w:p>
        <w:p w14:paraId="4401EA17">
          <w:pPr>
            <w:pStyle w:val="9"/>
            <w:tabs>
              <w:tab w:val="right" w:leader="dot" w:pos="9072"/>
            </w:tabs>
            <w:spacing w:line="440" w:lineRule="exact"/>
            <w:rPr>
              <w:color w:val="auto"/>
            </w:rPr>
          </w:pPr>
          <w:r>
            <w:rPr>
              <w:color w:val="auto"/>
            </w:rPr>
            <w:fldChar w:fldCharType="begin"/>
          </w:r>
          <w:r>
            <w:rPr>
              <w:color w:val="auto"/>
            </w:rPr>
            <w:instrText xml:space="preserve"> HYPERLINK \l "_Toc5091" </w:instrText>
          </w:r>
          <w:r>
            <w:rPr>
              <w:color w:val="auto"/>
            </w:rPr>
            <w:fldChar w:fldCharType="separate"/>
          </w:r>
          <w:r>
            <w:rPr>
              <w:rFonts w:hint="eastAsia" w:hAnsi="宋体" w:cs="宋体"/>
              <w:bCs/>
              <w:snapToGrid w:val="0"/>
              <w:color w:val="auto"/>
              <w:kern w:val="0"/>
            </w:rPr>
            <w:t>4．其他</w:t>
          </w:r>
          <w:r>
            <w:rPr>
              <w:color w:val="auto"/>
            </w:rPr>
            <w:tab/>
          </w:r>
          <w:r>
            <w:rPr>
              <w:color w:val="auto"/>
            </w:rPr>
            <w:fldChar w:fldCharType="begin"/>
          </w:r>
          <w:r>
            <w:rPr>
              <w:color w:val="auto"/>
            </w:rPr>
            <w:instrText xml:space="preserve"> PAGEREF _Toc5091 \h </w:instrText>
          </w:r>
          <w:r>
            <w:rPr>
              <w:color w:val="auto"/>
            </w:rPr>
            <w:fldChar w:fldCharType="separate"/>
          </w:r>
          <w:r>
            <w:rPr>
              <w:color w:val="auto"/>
            </w:rPr>
            <w:t>31</w:t>
          </w:r>
          <w:r>
            <w:rPr>
              <w:color w:val="auto"/>
            </w:rPr>
            <w:fldChar w:fldCharType="end"/>
          </w:r>
          <w:r>
            <w:rPr>
              <w:color w:val="auto"/>
            </w:rPr>
            <w:fldChar w:fldCharType="end"/>
          </w:r>
        </w:p>
        <w:p w14:paraId="2252FA41">
          <w:pPr>
            <w:pStyle w:val="13"/>
            <w:tabs>
              <w:tab w:val="right" w:leader="dot" w:pos="9072"/>
            </w:tabs>
            <w:spacing w:line="440" w:lineRule="exact"/>
            <w:rPr>
              <w:b/>
              <w:bCs/>
              <w:color w:val="auto"/>
            </w:rPr>
          </w:pPr>
          <w:r>
            <w:rPr>
              <w:color w:val="auto"/>
            </w:rPr>
            <w:fldChar w:fldCharType="begin"/>
          </w:r>
          <w:r>
            <w:rPr>
              <w:color w:val="auto"/>
            </w:rPr>
            <w:instrText xml:space="preserve"> HYPERLINK \l "_Toc10802" </w:instrText>
          </w:r>
          <w:r>
            <w:rPr>
              <w:color w:val="auto"/>
            </w:rPr>
            <w:fldChar w:fldCharType="separate"/>
          </w:r>
          <w:r>
            <w:rPr>
              <w:rFonts w:hint="eastAsia" w:hAnsi="宋体" w:cs="宋体"/>
              <w:b/>
              <w:bCs/>
              <w:snapToGrid w:val="0"/>
              <w:color w:val="auto"/>
              <w:szCs w:val="22"/>
            </w:rPr>
            <w:t>第二章 中标人须知</w:t>
          </w:r>
          <w:r>
            <w:rPr>
              <w:b/>
              <w:bCs/>
              <w:color w:val="auto"/>
            </w:rPr>
            <w:tab/>
          </w:r>
          <w:r>
            <w:rPr>
              <w:b/>
              <w:bCs/>
              <w:color w:val="auto"/>
            </w:rPr>
            <w:fldChar w:fldCharType="begin"/>
          </w:r>
          <w:r>
            <w:rPr>
              <w:b/>
              <w:bCs/>
              <w:color w:val="auto"/>
            </w:rPr>
            <w:instrText xml:space="preserve"> PAGEREF _Toc10802 \h </w:instrText>
          </w:r>
          <w:r>
            <w:rPr>
              <w:b/>
              <w:bCs/>
              <w:color w:val="auto"/>
            </w:rPr>
            <w:fldChar w:fldCharType="separate"/>
          </w:r>
          <w:r>
            <w:rPr>
              <w:b/>
              <w:bCs/>
              <w:color w:val="auto"/>
            </w:rPr>
            <w:t>33</w:t>
          </w:r>
          <w:r>
            <w:rPr>
              <w:b/>
              <w:bCs/>
              <w:color w:val="auto"/>
            </w:rPr>
            <w:fldChar w:fldCharType="end"/>
          </w:r>
          <w:r>
            <w:rPr>
              <w:b/>
              <w:bCs/>
              <w:color w:val="auto"/>
            </w:rPr>
            <w:fldChar w:fldCharType="end"/>
          </w:r>
        </w:p>
        <w:p w14:paraId="082BAE0F">
          <w:pPr>
            <w:pStyle w:val="13"/>
            <w:tabs>
              <w:tab w:val="right" w:leader="dot" w:pos="9072"/>
            </w:tabs>
            <w:spacing w:line="440" w:lineRule="exact"/>
            <w:rPr>
              <w:b/>
              <w:bCs/>
              <w:color w:val="auto"/>
            </w:rPr>
          </w:pPr>
          <w:r>
            <w:rPr>
              <w:color w:val="auto"/>
            </w:rPr>
            <w:fldChar w:fldCharType="begin"/>
          </w:r>
          <w:r>
            <w:rPr>
              <w:color w:val="auto"/>
            </w:rPr>
            <w:instrText xml:space="preserve"> HYPERLINK \l "_Toc12562" </w:instrText>
          </w:r>
          <w:r>
            <w:rPr>
              <w:color w:val="auto"/>
            </w:rPr>
            <w:fldChar w:fldCharType="separate"/>
          </w:r>
          <w:r>
            <w:rPr>
              <w:rFonts w:hint="eastAsia" w:hAnsi="宋体" w:cs="宋体"/>
              <w:b/>
              <w:bCs/>
              <w:snapToGrid w:val="0"/>
              <w:color w:val="auto"/>
              <w:szCs w:val="32"/>
            </w:rPr>
            <w:t>第三章 拟签订合同的主要条款</w:t>
          </w:r>
          <w:r>
            <w:rPr>
              <w:b/>
              <w:bCs/>
              <w:color w:val="auto"/>
            </w:rPr>
            <w:tab/>
          </w:r>
          <w:r>
            <w:rPr>
              <w:b/>
              <w:bCs/>
              <w:color w:val="auto"/>
            </w:rPr>
            <w:fldChar w:fldCharType="begin"/>
          </w:r>
          <w:r>
            <w:rPr>
              <w:b/>
              <w:bCs/>
              <w:color w:val="auto"/>
            </w:rPr>
            <w:instrText xml:space="preserve"> PAGEREF _Toc12562 \h </w:instrText>
          </w:r>
          <w:r>
            <w:rPr>
              <w:b/>
              <w:bCs/>
              <w:color w:val="auto"/>
            </w:rPr>
            <w:fldChar w:fldCharType="separate"/>
          </w:r>
          <w:r>
            <w:rPr>
              <w:b/>
              <w:bCs/>
              <w:color w:val="auto"/>
            </w:rPr>
            <w:t>37</w:t>
          </w:r>
          <w:r>
            <w:rPr>
              <w:b/>
              <w:bCs/>
              <w:color w:val="auto"/>
            </w:rPr>
            <w:fldChar w:fldCharType="end"/>
          </w:r>
          <w:r>
            <w:rPr>
              <w:b/>
              <w:bCs/>
              <w:color w:val="auto"/>
            </w:rPr>
            <w:fldChar w:fldCharType="end"/>
          </w:r>
        </w:p>
        <w:p w14:paraId="17BD14CA">
          <w:pPr>
            <w:pStyle w:val="13"/>
            <w:tabs>
              <w:tab w:val="right" w:leader="dot" w:pos="9072"/>
            </w:tabs>
            <w:spacing w:line="440" w:lineRule="exact"/>
            <w:rPr>
              <w:b/>
              <w:bCs/>
              <w:color w:val="auto"/>
            </w:rPr>
          </w:pPr>
          <w:r>
            <w:rPr>
              <w:color w:val="auto"/>
            </w:rPr>
            <w:fldChar w:fldCharType="begin"/>
          </w:r>
          <w:r>
            <w:rPr>
              <w:color w:val="auto"/>
            </w:rPr>
            <w:instrText xml:space="preserve"> HYPERLINK \l "_Toc21554" </w:instrText>
          </w:r>
          <w:r>
            <w:rPr>
              <w:color w:val="auto"/>
            </w:rPr>
            <w:fldChar w:fldCharType="separate"/>
          </w:r>
          <w:r>
            <w:rPr>
              <w:rFonts w:hint="eastAsia" w:ascii="Times New Roman"/>
              <w:b/>
              <w:bCs/>
              <w:snapToGrid w:val="0"/>
              <w:color w:val="auto"/>
              <w:szCs w:val="22"/>
            </w:rPr>
            <w:t>第四章 技术要求</w:t>
          </w:r>
          <w:r>
            <w:rPr>
              <w:b/>
              <w:bCs/>
              <w:color w:val="auto"/>
            </w:rPr>
            <w:tab/>
          </w:r>
          <w:r>
            <w:rPr>
              <w:b/>
              <w:bCs/>
              <w:color w:val="auto"/>
            </w:rPr>
            <w:fldChar w:fldCharType="begin"/>
          </w:r>
          <w:r>
            <w:rPr>
              <w:b/>
              <w:bCs/>
              <w:color w:val="auto"/>
            </w:rPr>
            <w:instrText xml:space="preserve"> PAGEREF _Toc21554 \h </w:instrText>
          </w:r>
          <w:r>
            <w:rPr>
              <w:b/>
              <w:bCs/>
              <w:color w:val="auto"/>
            </w:rPr>
            <w:fldChar w:fldCharType="separate"/>
          </w:r>
          <w:r>
            <w:rPr>
              <w:b/>
              <w:bCs/>
              <w:color w:val="auto"/>
            </w:rPr>
            <w:t>67</w:t>
          </w:r>
          <w:r>
            <w:rPr>
              <w:b/>
              <w:bCs/>
              <w:color w:val="auto"/>
            </w:rPr>
            <w:fldChar w:fldCharType="end"/>
          </w:r>
          <w:r>
            <w:rPr>
              <w:b/>
              <w:bCs/>
              <w:color w:val="auto"/>
            </w:rPr>
            <w:fldChar w:fldCharType="end"/>
          </w:r>
        </w:p>
        <w:p w14:paraId="440CE438">
          <w:pPr>
            <w:pStyle w:val="13"/>
            <w:tabs>
              <w:tab w:val="right" w:leader="dot" w:pos="9072"/>
            </w:tabs>
            <w:spacing w:line="440" w:lineRule="exact"/>
            <w:rPr>
              <w:b/>
              <w:bCs/>
              <w:color w:val="auto"/>
            </w:rPr>
          </w:pPr>
          <w:r>
            <w:rPr>
              <w:color w:val="auto"/>
            </w:rPr>
            <w:fldChar w:fldCharType="begin"/>
          </w:r>
          <w:r>
            <w:rPr>
              <w:color w:val="auto"/>
            </w:rPr>
            <w:instrText xml:space="preserve"> HYPERLINK \l "_Toc28412" </w:instrText>
          </w:r>
          <w:r>
            <w:rPr>
              <w:color w:val="auto"/>
            </w:rPr>
            <w:fldChar w:fldCharType="separate"/>
          </w:r>
          <w:r>
            <w:rPr>
              <w:rFonts w:hint="eastAsia" w:ascii="Times New Roman"/>
              <w:b/>
              <w:bCs/>
              <w:snapToGrid w:val="0"/>
              <w:color w:val="auto"/>
              <w:szCs w:val="22"/>
            </w:rPr>
            <w:t>第五章 投标文件格式</w:t>
          </w:r>
          <w:r>
            <w:rPr>
              <w:b/>
              <w:bCs/>
              <w:color w:val="auto"/>
            </w:rPr>
            <w:tab/>
          </w:r>
          <w:r>
            <w:rPr>
              <w:b/>
              <w:bCs/>
              <w:color w:val="auto"/>
            </w:rPr>
            <w:fldChar w:fldCharType="begin"/>
          </w:r>
          <w:r>
            <w:rPr>
              <w:b/>
              <w:bCs/>
              <w:color w:val="auto"/>
            </w:rPr>
            <w:instrText xml:space="preserve"> PAGEREF _Toc28412 \h </w:instrText>
          </w:r>
          <w:r>
            <w:rPr>
              <w:b/>
              <w:bCs/>
              <w:color w:val="auto"/>
            </w:rPr>
            <w:fldChar w:fldCharType="separate"/>
          </w:r>
          <w:r>
            <w:rPr>
              <w:b/>
              <w:bCs/>
              <w:color w:val="auto"/>
            </w:rPr>
            <w:t>69</w:t>
          </w:r>
          <w:r>
            <w:rPr>
              <w:b/>
              <w:bCs/>
              <w:color w:val="auto"/>
            </w:rPr>
            <w:fldChar w:fldCharType="end"/>
          </w:r>
          <w:r>
            <w:rPr>
              <w:b/>
              <w:bCs/>
              <w:color w:val="auto"/>
            </w:rPr>
            <w:fldChar w:fldCharType="end"/>
          </w:r>
        </w:p>
        <w:p w14:paraId="39D65A92">
          <w:pPr>
            <w:pStyle w:val="9"/>
            <w:tabs>
              <w:tab w:val="right" w:leader="dot" w:pos="9072"/>
            </w:tabs>
            <w:spacing w:line="440" w:lineRule="exact"/>
            <w:ind w:left="0" w:firstLine="240" w:firstLineChars="100"/>
            <w:rPr>
              <w:color w:val="auto"/>
            </w:rPr>
          </w:pPr>
          <w:r>
            <w:rPr>
              <w:color w:val="auto"/>
            </w:rPr>
            <w:fldChar w:fldCharType="begin"/>
          </w:r>
          <w:r>
            <w:rPr>
              <w:color w:val="auto"/>
            </w:rPr>
            <w:instrText xml:space="preserve"> HYPERLINK \l "_Toc24031" </w:instrText>
          </w:r>
          <w:r>
            <w:rPr>
              <w:color w:val="auto"/>
            </w:rPr>
            <w:fldChar w:fldCharType="separate"/>
          </w:r>
          <w:r>
            <w:rPr>
              <w:rFonts w:hint="eastAsia" w:ascii="Times New Roman"/>
              <w:snapToGrid w:val="0"/>
              <w:color w:val="auto"/>
            </w:rPr>
            <w:t>格式一 封面</w:t>
          </w:r>
          <w:r>
            <w:rPr>
              <w:color w:val="auto"/>
            </w:rPr>
            <w:tab/>
          </w:r>
          <w:r>
            <w:rPr>
              <w:color w:val="auto"/>
            </w:rPr>
            <w:fldChar w:fldCharType="begin"/>
          </w:r>
          <w:r>
            <w:rPr>
              <w:color w:val="auto"/>
            </w:rPr>
            <w:instrText xml:space="preserve"> PAGEREF _Toc24031 \h </w:instrText>
          </w:r>
          <w:r>
            <w:rPr>
              <w:color w:val="auto"/>
            </w:rPr>
            <w:fldChar w:fldCharType="separate"/>
          </w:r>
          <w:r>
            <w:rPr>
              <w:color w:val="auto"/>
            </w:rPr>
            <w:t>69</w:t>
          </w:r>
          <w:r>
            <w:rPr>
              <w:color w:val="auto"/>
            </w:rPr>
            <w:fldChar w:fldCharType="end"/>
          </w:r>
          <w:r>
            <w:rPr>
              <w:color w:val="auto"/>
            </w:rPr>
            <w:fldChar w:fldCharType="end"/>
          </w:r>
        </w:p>
        <w:p w14:paraId="03DDA63E">
          <w:pPr>
            <w:pStyle w:val="14"/>
            <w:tabs>
              <w:tab w:val="right" w:leader="dot" w:pos="9072"/>
            </w:tabs>
            <w:spacing w:line="440" w:lineRule="exact"/>
            <w:rPr>
              <w:color w:val="auto"/>
            </w:rPr>
          </w:pPr>
          <w:r>
            <w:rPr>
              <w:color w:val="auto"/>
            </w:rPr>
            <w:fldChar w:fldCharType="begin"/>
          </w:r>
          <w:r>
            <w:rPr>
              <w:color w:val="auto"/>
            </w:rPr>
            <w:instrText xml:space="preserve"> HYPERLINK \l "_Toc31638" </w:instrText>
          </w:r>
          <w:r>
            <w:rPr>
              <w:color w:val="auto"/>
            </w:rPr>
            <w:fldChar w:fldCharType="separate"/>
          </w:r>
          <w:r>
            <w:rPr>
              <w:rFonts w:hint="eastAsia" w:ascii="Times New Roman"/>
              <w:snapToGrid w:val="0"/>
              <w:color w:val="auto"/>
            </w:rPr>
            <w:t>格式二 投标函</w:t>
          </w:r>
          <w:r>
            <w:rPr>
              <w:color w:val="auto"/>
            </w:rPr>
            <w:tab/>
          </w:r>
          <w:r>
            <w:rPr>
              <w:color w:val="auto"/>
            </w:rPr>
            <w:fldChar w:fldCharType="begin"/>
          </w:r>
          <w:r>
            <w:rPr>
              <w:color w:val="auto"/>
            </w:rPr>
            <w:instrText xml:space="preserve"> PAGEREF _Toc31638 \h </w:instrText>
          </w:r>
          <w:r>
            <w:rPr>
              <w:color w:val="auto"/>
            </w:rPr>
            <w:fldChar w:fldCharType="separate"/>
          </w:r>
          <w:r>
            <w:rPr>
              <w:color w:val="auto"/>
            </w:rPr>
            <w:t>70</w:t>
          </w:r>
          <w:r>
            <w:rPr>
              <w:color w:val="auto"/>
            </w:rPr>
            <w:fldChar w:fldCharType="end"/>
          </w:r>
          <w:r>
            <w:rPr>
              <w:color w:val="auto"/>
            </w:rPr>
            <w:fldChar w:fldCharType="end"/>
          </w:r>
        </w:p>
        <w:p w14:paraId="2314F5D1">
          <w:pPr>
            <w:pStyle w:val="14"/>
            <w:tabs>
              <w:tab w:val="right" w:leader="dot" w:pos="9072"/>
            </w:tabs>
            <w:spacing w:line="440" w:lineRule="exact"/>
            <w:rPr>
              <w:color w:val="auto"/>
            </w:rPr>
          </w:pPr>
          <w:r>
            <w:rPr>
              <w:color w:val="auto"/>
            </w:rPr>
            <w:fldChar w:fldCharType="begin"/>
          </w:r>
          <w:r>
            <w:rPr>
              <w:color w:val="auto"/>
            </w:rPr>
            <w:instrText xml:space="preserve"> HYPERLINK \l "_Toc29439" </w:instrText>
          </w:r>
          <w:r>
            <w:rPr>
              <w:color w:val="auto"/>
            </w:rPr>
            <w:fldChar w:fldCharType="separate"/>
          </w:r>
          <w:r>
            <w:rPr>
              <w:rFonts w:hint="eastAsia" w:hAnsi="宋体" w:cs="宋体"/>
              <w:snapToGrid w:val="0"/>
              <w:color w:val="auto"/>
            </w:rPr>
            <w:t>格式三 各项承诺一览表</w:t>
          </w:r>
          <w:r>
            <w:rPr>
              <w:color w:val="auto"/>
            </w:rPr>
            <w:tab/>
          </w:r>
          <w:r>
            <w:rPr>
              <w:color w:val="auto"/>
            </w:rPr>
            <w:fldChar w:fldCharType="begin"/>
          </w:r>
          <w:r>
            <w:rPr>
              <w:color w:val="auto"/>
            </w:rPr>
            <w:instrText xml:space="preserve"> PAGEREF _Toc29439 \h </w:instrText>
          </w:r>
          <w:r>
            <w:rPr>
              <w:color w:val="auto"/>
            </w:rPr>
            <w:fldChar w:fldCharType="separate"/>
          </w:r>
          <w:r>
            <w:rPr>
              <w:color w:val="auto"/>
            </w:rPr>
            <w:t>71</w:t>
          </w:r>
          <w:r>
            <w:rPr>
              <w:color w:val="auto"/>
            </w:rPr>
            <w:fldChar w:fldCharType="end"/>
          </w:r>
          <w:r>
            <w:rPr>
              <w:color w:val="auto"/>
            </w:rPr>
            <w:fldChar w:fldCharType="end"/>
          </w:r>
        </w:p>
        <w:p w14:paraId="177BCC8D">
          <w:pPr>
            <w:pStyle w:val="14"/>
            <w:tabs>
              <w:tab w:val="right" w:leader="dot" w:pos="9072"/>
            </w:tabs>
            <w:spacing w:line="440" w:lineRule="exact"/>
            <w:rPr>
              <w:color w:val="auto"/>
            </w:rPr>
          </w:pPr>
          <w:r>
            <w:rPr>
              <w:color w:val="auto"/>
            </w:rPr>
            <w:fldChar w:fldCharType="begin"/>
          </w:r>
          <w:r>
            <w:rPr>
              <w:color w:val="auto"/>
            </w:rPr>
            <w:instrText xml:space="preserve"> HYPERLINK \l "_Toc12381" </w:instrText>
          </w:r>
          <w:r>
            <w:rPr>
              <w:color w:val="auto"/>
            </w:rPr>
            <w:fldChar w:fldCharType="separate"/>
          </w:r>
          <w:r>
            <w:rPr>
              <w:rFonts w:hint="eastAsia" w:hAnsi="宋体" w:cs="宋体"/>
              <w:bCs/>
              <w:snapToGrid w:val="0"/>
              <w:color w:val="auto"/>
              <w:kern w:val="0"/>
              <w:szCs w:val="24"/>
            </w:rPr>
            <w:t>格式四 授权委托书</w:t>
          </w:r>
          <w:r>
            <w:rPr>
              <w:color w:val="auto"/>
            </w:rPr>
            <w:tab/>
          </w:r>
          <w:r>
            <w:rPr>
              <w:color w:val="auto"/>
            </w:rPr>
            <w:fldChar w:fldCharType="begin"/>
          </w:r>
          <w:r>
            <w:rPr>
              <w:color w:val="auto"/>
            </w:rPr>
            <w:instrText xml:space="preserve"> PAGEREF _Toc12381 \h </w:instrText>
          </w:r>
          <w:r>
            <w:rPr>
              <w:color w:val="auto"/>
            </w:rPr>
            <w:fldChar w:fldCharType="separate"/>
          </w:r>
          <w:r>
            <w:rPr>
              <w:color w:val="auto"/>
            </w:rPr>
            <w:t>73</w:t>
          </w:r>
          <w:r>
            <w:rPr>
              <w:color w:val="auto"/>
            </w:rPr>
            <w:fldChar w:fldCharType="end"/>
          </w:r>
          <w:r>
            <w:rPr>
              <w:color w:val="auto"/>
            </w:rPr>
            <w:fldChar w:fldCharType="end"/>
          </w:r>
        </w:p>
        <w:p w14:paraId="72C418FE">
          <w:pPr>
            <w:pStyle w:val="14"/>
            <w:tabs>
              <w:tab w:val="right" w:leader="dot" w:pos="9072"/>
            </w:tabs>
            <w:spacing w:line="440" w:lineRule="exact"/>
            <w:rPr>
              <w:color w:val="auto"/>
            </w:rPr>
          </w:pPr>
          <w:r>
            <w:rPr>
              <w:color w:val="auto"/>
            </w:rPr>
            <w:fldChar w:fldCharType="begin"/>
          </w:r>
          <w:r>
            <w:rPr>
              <w:color w:val="auto"/>
            </w:rPr>
            <w:instrText xml:space="preserve"> HYPERLINK \l "_Toc11654" </w:instrText>
          </w:r>
          <w:r>
            <w:rPr>
              <w:color w:val="auto"/>
            </w:rPr>
            <w:fldChar w:fldCharType="separate"/>
          </w:r>
          <w:r>
            <w:rPr>
              <w:rFonts w:hint="eastAsia" w:hAnsi="宋体" w:cs="宋体"/>
              <w:snapToGrid w:val="0"/>
              <w:color w:val="auto"/>
              <w:kern w:val="0"/>
            </w:rPr>
            <w:t>格式五 法定代表人身份证明</w:t>
          </w:r>
          <w:r>
            <w:rPr>
              <w:color w:val="auto"/>
            </w:rPr>
            <w:tab/>
          </w:r>
          <w:r>
            <w:rPr>
              <w:color w:val="auto"/>
            </w:rPr>
            <w:fldChar w:fldCharType="begin"/>
          </w:r>
          <w:r>
            <w:rPr>
              <w:color w:val="auto"/>
            </w:rPr>
            <w:instrText xml:space="preserve"> PAGEREF _Toc11654 \h </w:instrText>
          </w:r>
          <w:r>
            <w:rPr>
              <w:color w:val="auto"/>
            </w:rPr>
            <w:fldChar w:fldCharType="separate"/>
          </w:r>
          <w:r>
            <w:rPr>
              <w:color w:val="auto"/>
            </w:rPr>
            <w:t>74</w:t>
          </w:r>
          <w:r>
            <w:rPr>
              <w:color w:val="auto"/>
            </w:rPr>
            <w:fldChar w:fldCharType="end"/>
          </w:r>
          <w:r>
            <w:rPr>
              <w:color w:val="auto"/>
            </w:rPr>
            <w:fldChar w:fldCharType="end"/>
          </w:r>
        </w:p>
        <w:p w14:paraId="5CDEEA2C">
          <w:pPr>
            <w:pStyle w:val="14"/>
            <w:tabs>
              <w:tab w:val="right" w:leader="dot" w:pos="9072"/>
            </w:tabs>
            <w:spacing w:line="440" w:lineRule="exact"/>
            <w:rPr>
              <w:color w:val="auto"/>
            </w:rPr>
          </w:pPr>
          <w:r>
            <w:rPr>
              <w:color w:val="auto"/>
            </w:rPr>
            <w:fldChar w:fldCharType="begin"/>
          </w:r>
          <w:r>
            <w:rPr>
              <w:color w:val="auto"/>
            </w:rPr>
            <w:instrText xml:space="preserve"> HYPERLINK \l "_Toc3633" </w:instrText>
          </w:r>
          <w:r>
            <w:rPr>
              <w:color w:val="auto"/>
            </w:rPr>
            <w:fldChar w:fldCharType="separate"/>
          </w:r>
          <w:r>
            <w:rPr>
              <w:rFonts w:hint="eastAsia" w:hAnsi="宋体" w:cs="宋体"/>
              <w:bCs/>
              <w:snapToGrid w:val="0"/>
              <w:color w:val="auto"/>
              <w:kern w:val="0"/>
              <w:szCs w:val="24"/>
            </w:rPr>
            <w:t>格式六 投标人基本情况表</w:t>
          </w:r>
          <w:r>
            <w:rPr>
              <w:color w:val="auto"/>
            </w:rPr>
            <w:tab/>
          </w:r>
          <w:r>
            <w:rPr>
              <w:color w:val="auto"/>
            </w:rPr>
            <w:fldChar w:fldCharType="begin"/>
          </w:r>
          <w:r>
            <w:rPr>
              <w:color w:val="auto"/>
            </w:rPr>
            <w:instrText xml:space="preserve"> PAGEREF _Toc3633 \h </w:instrText>
          </w:r>
          <w:r>
            <w:rPr>
              <w:color w:val="auto"/>
            </w:rPr>
            <w:fldChar w:fldCharType="separate"/>
          </w:r>
          <w:r>
            <w:rPr>
              <w:color w:val="auto"/>
            </w:rPr>
            <w:t>75</w:t>
          </w:r>
          <w:r>
            <w:rPr>
              <w:color w:val="auto"/>
            </w:rPr>
            <w:fldChar w:fldCharType="end"/>
          </w:r>
          <w:r>
            <w:rPr>
              <w:color w:val="auto"/>
            </w:rPr>
            <w:fldChar w:fldCharType="end"/>
          </w:r>
        </w:p>
        <w:p w14:paraId="5BF24EB0">
          <w:pPr>
            <w:pStyle w:val="14"/>
            <w:tabs>
              <w:tab w:val="right" w:leader="dot" w:pos="9072"/>
            </w:tabs>
            <w:spacing w:line="440" w:lineRule="exact"/>
            <w:rPr>
              <w:color w:val="auto"/>
            </w:rPr>
          </w:pPr>
          <w:r>
            <w:rPr>
              <w:color w:val="auto"/>
            </w:rPr>
            <w:fldChar w:fldCharType="begin"/>
          </w:r>
          <w:r>
            <w:rPr>
              <w:color w:val="auto"/>
            </w:rPr>
            <w:instrText xml:space="preserve"> HYPERLINK \l "_Toc16301" </w:instrText>
          </w:r>
          <w:r>
            <w:rPr>
              <w:color w:val="auto"/>
            </w:rPr>
            <w:fldChar w:fldCharType="separate"/>
          </w:r>
          <w:r>
            <w:rPr>
              <w:rFonts w:hint="eastAsia" w:hAnsi="宋体" w:cs="宋体"/>
              <w:snapToGrid w:val="0"/>
              <w:color w:val="auto"/>
              <w:kern w:val="0"/>
            </w:rPr>
            <w:t>格式七 总监理工程师任职声明（适用于无任职项目）</w:t>
          </w:r>
          <w:r>
            <w:rPr>
              <w:color w:val="auto"/>
            </w:rPr>
            <w:tab/>
          </w:r>
          <w:r>
            <w:rPr>
              <w:color w:val="auto"/>
            </w:rPr>
            <w:fldChar w:fldCharType="begin"/>
          </w:r>
          <w:r>
            <w:rPr>
              <w:color w:val="auto"/>
            </w:rPr>
            <w:instrText xml:space="preserve"> PAGEREF _Toc16301 \h </w:instrText>
          </w:r>
          <w:r>
            <w:rPr>
              <w:color w:val="auto"/>
            </w:rPr>
            <w:fldChar w:fldCharType="separate"/>
          </w:r>
          <w:r>
            <w:rPr>
              <w:color w:val="auto"/>
            </w:rPr>
            <w:t>76</w:t>
          </w:r>
          <w:r>
            <w:rPr>
              <w:color w:val="auto"/>
            </w:rPr>
            <w:fldChar w:fldCharType="end"/>
          </w:r>
          <w:r>
            <w:rPr>
              <w:color w:val="auto"/>
            </w:rPr>
            <w:fldChar w:fldCharType="end"/>
          </w:r>
        </w:p>
        <w:p w14:paraId="501B114C">
          <w:pPr>
            <w:pStyle w:val="14"/>
            <w:tabs>
              <w:tab w:val="right" w:leader="dot" w:pos="9072"/>
            </w:tabs>
            <w:spacing w:line="440" w:lineRule="exact"/>
            <w:rPr>
              <w:color w:val="auto"/>
            </w:rPr>
          </w:pPr>
          <w:r>
            <w:rPr>
              <w:color w:val="auto"/>
            </w:rPr>
            <w:fldChar w:fldCharType="begin"/>
          </w:r>
          <w:r>
            <w:rPr>
              <w:color w:val="auto"/>
            </w:rPr>
            <w:instrText xml:space="preserve"> HYPERLINK \l "_Toc23794" </w:instrText>
          </w:r>
          <w:r>
            <w:rPr>
              <w:color w:val="auto"/>
            </w:rPr>
            <w:fldChar w:fldCharType="separate"/>
          </w:r>
          <w:r>
            <w:rPr>
              <w:rFonts w:hint="eastAsia" w:hAnsi="宋体" w:cs="宋体"/>
              <w:snapToGrid w:val="0"/>
              <w:color w:val="auto"/>
              <w:kern w:val="0"/>
            </w:rPr>
            <w:t>格式八 总监理工程师任职声明（适用于有任职项目）</w:t>
          </w:r>
          <w:r>
            <w:rPr>
              <w:color w:val="auto"/>
            </w:rPr>
            <w:tab/>
          </w:r>
          <w:r>
            <w:rPr>
              <w:color w:val="auto"/>
            </w:rPr>
            <w:fldChar w:fldCharType="begin"/>
          </w:r>
          <w:r>
            <w:rPr>
              <w:color w:val="auto"/>
            </w:rPr>
            <w:instrText xml:space="preserve"> PAGEREF _Toc23794 \h </w:instrText>
          </w:r>
          <w:r>
            <w:rPr>
              <w:color w:val="auto"/>
            </w:rPr>
            <w:fldChar w:fldCharType="separate"/>
          </w:r>
          <w:r>
            <w:rPr>
              <w:color w:val="auto"/>
            </w:rPr>
            <w:t>77</w:t>
          </w:r>
          <w:r>
            <w:rPr>
              <w:color w:val="auto"/>
            </w:rPr>
            <w:fldChar w:fldCharType="end"/>
          </w:r>
          <w:r>
            <w:rPr>
              <w:color w:val="auto"/>
            </w:rPr>
            <w:fldChar w:fldCharType="end"/>
          </w:r>
        </w:p>
        <w:p w14:paraId="72281EFB">
          <w:pPr>
            <w:pStyle w:val="14"/>
            <w:tabs>
              <w:tab w:val="right" w:leader="dot" w:pos="9072"/>
            </w:tabs>
            <w:spacing w:line="440" w:lineRule="exact"/>
            <w:rPr>
              <w:color w:val="auto"/>
            </w:rPr>
          </w:pPr>
          <w:r>
            <w:rPr>
              <w:color w:val="auto"/>
            </w:rPr>
            <w:fldChar w:fldCharType="begin"/>
          </w:r>
          <w:r>
            <w:rPr>
              <w:color w:val="auto"/>
            </w:rPr>
            <w:instrText xml:space="preserve"> HYPERLINK \l "_Toc11113" </w:instrText>
          </w:r>
          <w:r>
            <w:rPr>
              <w:color w:val="auto"/>
            </w:rPr>
            <w:fldChar w:fldCharType="separate"/>
          </w:r>
          <w:r>
            <w:rPr>
              <w:rFonts w:hint="eastAsia" w:hAnsi="宋体" w:cs="宋体"/>
              <w:bCs/>
              <w:snapToGrid w:val="0"/>
              <w:color w:val="auto"/>
              <w:kern w:val="0"/>
              <w:szCs w:val="24"/>
            </w:rPr>
            <w:t>格式九 总监理工程师任职项目情况表</w:t>
          </w:r>
          <w:r>
            <w:rPr>
              <w:color w:val="auto"/>
            </w:rPr>
            <w:tab/>
          </w:r>
          <w:r>
            <w:rPr>
              <w:color w:val="auto"/>
            </w:rPr>
            <w:fldChar w:fldCharType="begin"/>
          </w:r>
          <w:r>
            <w:rPr>
              <w:color w:val="auto"/>
            </w:rPr>
            <w:instrText xml:space="preserve"> PAGEREF _Toc11113 \h </w:instrText>
          </w:r>
          <w:r>
            <w:rPr>
              <w:color w:val="auto"/>
            </w:rPr>
            <w:fldChar w:fldCharType="separate"/>
          </w:r>
          <w:r>
            <w:rPr>
              <w:color w:val="auto"/>
            </w:rPr>
            <w:t>78</w:t>
          </w:r>
          <w:r>
            <w:rPr>
              <w:color w:val="auto"/>
            </w:rPr>
            <w:fldChar w:fldCharType="end"/>
          </w:r>
          <w:r>
            <w:rPr>
              <w:color w:val="auto"/>
            </w:rPr>
            <w:fldChar w:fldCharType="end"/>
          </w:r>
        </w:p>
        <w:p w14:paraId="19F60473">
          <w:pPr>
            <w:pStyle w:val="14"/>
            <w:tabs>
              <w:tab w:val="right" w:leader="dot" w:pos="9072"/>
            </w:tabs>
            <w:spacing w:line="440" w:lineRule="exact"/>
            <w:rPr>
              <w:color w:val="auto"/>
            </w:rPr>
          </w:pPr>
          <w:r>
            <w:rPr>
              <w:color w:val="auto"/>
            </w:rPr>
            <w:fldChar w:fldCharType="begin"/>
          </w:r>
          <w:r>
            <w:rPr>
              <w:color w:val="auto"/>
            </w:rPr>
            <w:instrText xml:space="preserve"> HYPERLINK \l "_Toc23262" </w:instrText>
          </w:r>
          <w:r>
            <w:rPr>
              <w:color w:val="auto"/>
            </w:rPr>
            <w:fldChar w:fldCharType="separate"/>
          </w:r>
          <w:r>
            <w:rPr>
              <w:rFonts w:hint="eastAsia" w:hAnsi="宋体" w:cs="宋体"/>
              <w:snapToGrid w:val="0"/>
              <w:color w:val="auto"/>
              <w:kern w:val="0"/>
            </w:rPr>
            <w:t>格式</w:t>
          </w:r>
          <w:r>
            <w:rPr>
              <w:rFonts w:hint="eastAsia" w:hAnsi="宋体" w:cs="宋体"/>
              <w:bCs/>
              <w:snapToGrid w:val="0"/>
              <w:color w:val="auto"/>
              <w:kern w:val="0"/>
              <w:szCs w:val="24"/>
            </w:rPr>
            <w:t>十 项目监理机构组成人员汇总表</w:t>
          </w:r>
          <w:r>
            <w:rPr>
              <w:color w:val="auto"/>
            </w:rPr>
            <w:tab/>
          </w:r>
          <w:r>
            <w:rPr>
              <w:color w:val="auto"/>
            </w:rPr>
            <w:fldChar w:fldCharType="begin"/>
          </w:r>
          <w:r>
            <w:rPr>
              <w:color w:val="auto"/>
            </w:rPr>
            <w:instrText xml:space="preserve"> PAGEREF _Toc23262 \h </w:instrText>
          </w:r>
          <w:r>
            <w:rPr>
              <w:color w:val="auto"/>
            </w:rPr>
            <w:fldChar w:fldCharType="separate"/>
          </w:r>
          <w:r>
            <w:rPr>
              <w:color w:val="auto"/>
            </w:rPr>
            <w:t>79</w:t>
          </w:r>
          <w:r>
            <w:rPr>
              <w:color w:val="auto"/>
            </w:rPr>
            <w:fldChar w:fldCharType="end"/>
          </w:r>
          <w:r>
            <w:rPr>
              <w:color w:val="auto"/>
            </w:rPr>
            <w:fldChar w:fldCharType="end"/>
          </w:r>
        </w:p>
        <w:p w14:paraId="05A4C5DE">
          <w:pPr>
            <w:pStyle w:val="14"/>
            <w:tabs>
              <w:tab w:val="right" w:leader="dot" w:pos="9072"/>
            </w:tabs>
            <w:spacing w:line="440" w:lineRule="exact"/>
            <w:rPr>
              <w:color w:val="auto"/>
            </w:rPr>
          </w:pPr>
          <w:r>
            <w:rPr>
              <w:color w:val="auto"/>
            </w:rPr>
            <w:fldChar w:fldCharType="begin"/>
          </w:r>
          <w:r>
            <w:rPr>
              <w:color w:val="auto"/>
            </w:rPr>
            <w:instrText xml:space="preserve"> HYPERLINK \l "_Toc4835" </w:instrText>
          </w:r>
          <w:r>
            <w:rPr>
              <w:color w:val="auto"/>
            </w:rPr>
            <w:fldChar w:fldCharType="separate"/>
          </w:r>
          <w:r>
            <w:rPr>
              <w:rFonts w:hint="eastAsia" w:hAnsi="宋体" w:cs="宋体"/>
              <w:bCs/>
              <w:smallCaps w:val="0"/>
              <w:snapToGrid w:val="0"/>
              <w:color w:val="auto"/>
              <w:kern w:val="0"/>
              <w:szCs w:val="24"/>
            </w:rPr>
            <w:t>格式十一  总监理工程师简历表</w:t>
          </w:r>
          <w:r>
            <w:rPr>
              <w:color w:val="auto"/>
            </w:rPr>
            <w:tab/>
          </w:r>
          <w:r>
            <w:rPr>
              <w:color w:val="auto"/>
            </w:rPr>
            <w:fldChar w:fldCharType="begin"/>
          </w:r>
          <w:r>
            <w:rPr>
              <w:color w:val="auto"/>
            </w:rPr>
            <w:instrText xml:space="preserve"> PAGEREF _Toc4835 \h </w:instrText>
          </w:r>
          <w:r>
            <w:rPr>
              <w:color w:val="auto"/>
            </w:rPr>
            <w:fldChar w:fldCharType="separate"/>
          </w:r>
          <w:r>
            <w:rPr>
              <w:color w:val="auto"/>
            </w:rPr>
            <w:t>80</w:t>
          </w:r>
          <w:r>
            <w:rPr>
              <w:color w:val="auto"/>
            </w:rPr>
            <w:fldChar w:fldCharType="end"/>
          </w:r>
          <w:r>
            <w:rPr>
              <w:color w:val="auto"/>
            </w:rPr>
            <w:fldChar w:fldCharType="end"/>
          </w:r>
        </w:p>
        <w:p w14:paraId="30577A5D">
          <w:pPr>
            <w:pStyle w:val="14"/>
            <w:tabs>
              <w:tab w:val="right" w:leader="dot" w:pos="9072"/>
            </w:tabs>
            <w:spacing w:line="440" w:lineRule="exact"/>
            <w:rPr>
              <w:color w:val="auto"/>
            </w:rPr>
          </w:pPr>
          <w:r>
            <w:rPr>
              <w:color w:val="auto"/>
            </w:rPr>
            <w:fldChar w:fldCharType="begin"/>
          </w:r>
          <w:r>
            <w:rPr>
              <w:color w:val="auto"/>
            </w:rPr>
            <w:instrText xml:space="preserve"> HYPERLINK \l "_Toc4821" </w:instrText>
          </w:r>
          <w:r>
            <w:rPr>
              <w:color w:val="auto"/>
            </w:rPr>
            <w:fldChar w:fldCharType="separate"/>
          </w:r>
          <w:r>
            <w:rPr>
              <w:rFonts w:hint="eastAsia" w:hAnsi="宋体" w:cs="宋体"/>
              <w:bCs/>
              <w:smallCaps w:val="0"/>
              <w:snapToGrid w:val="0"/>
              <w:color w:val="auto"/>
              <w:kern w:val="0"/>
              <w:szCs w:val="24"/>
            </w:rPr>
            <w:t>格式十二  其他拟派人员简历表</w:t>
          </w:r>
          <w:r>
            <w:rPr>
              <w:color w:val="auto"/>
            </w:rPr>
            <w:tab/>
          </w:r>
          <w:r>
            <w:rPr>
              <w:color w:val="auto"/>
            </w:rPr>
            <w:fldChar w:fldCharType="begin"/>
          </w:r>
          <w:r>
            <w:rPr>
              <w:color w:val="auto"/>
            </w:rPr>
            <w:instrText xml:space="preserve"> PAGEREF _Toc4821 \h </w:instrText>
          </w:r>
          <w:r>
            <w:rPr>
              <w:color w:val="auto"/>
            </w:rPr>
            <w:fldChar w:fldCharType="separate"/>
          </w:r>
          <w:r>
            <w:rPr>
              <w:color w:val="auto"/>
            </w:rPr>
            <w:t>81</w:t>
          </w:r>
          <w:r>
            <w:rPr>
              <w:color w:val="auto"/>
            </w:rPr>
            <w:fldChar w:fldCharType="end"/>
          </w:r>
          <w:r>
            <w:rPr>
              <w:color w:val="auto"/>
            </w:rPr>
            <w:fldChar w:fldCharType="end"/>
          </w:r>
        </w:p>
        <w:p w14:paraId="29284A09">
          <w:pPr>
            <w:pStyle w:val="13"/>
            <w:tabs>
              <w:tab w:val="right" w:leader="dot" w:pos="9072"/>
            </w:tabs>
            <w:spacing w:line="440" w:lineRule="exact"/>
            <w:rPr>
              <w:b/>
              <w:bCs/>
              <w:color w:val="auto"/>
            </w:rPr>
          </w:pPr>
          <w:r>
            <w:rPr>
              <w:color w:val="auto"/>
            </w:rPr>
            <w:fldChar w:fldCharType="begin"/>
          </w:r>
          <w:r>
            <w:rPr>
              <w:color w:val="auto"/>
            </w:rPr>
            <w:instrText xml:space="preserve"> HYPERLINK \l "_Toc26988" </w:instrText>
          </w:r>
          <w:r>
            <w:rPr>
              <w:color w:val="auto"/>
            </w:rPr>
            <w:fldChar w:fldCharType="separate"/>
          </w:r>
          <w:r>
            <w:rPr>
              <w:rFonts w:hint="eastAsia" w:hAnsi="宋体" w:cs="宋体"/>
              <w:b/>
              <w:bCs/>
              <w:color w:val="auto"/>
              <w:kern w:val="44"/>
              <w:szCs w:val="22"/>
            </w:rPr>
            <w:t>第六章   建设工程监理合同</w:t>
          </w:r>
          <w:r>
            <w:rPr>
              <w:b/>
              <w:bCs/>
              <w:color w:val="auto"/>
            </w:rPr>
            <w:tab/>
          </w:r>
          <w:r>
            <w:rPr>
              <w:b/>
              <w:bCs/>
              <w:color w:val="auto"/>
            </w:rPr>
            <w:fldChar w:fldCharType="begin"/>
          </w:r>
          <w:r>
            <w:rPr>
              <w:b/>
              <w:bCs/>
              <w:color w:val="auto"/>
            </w:rPr>
            <w:instrText xml:space="preserve"> PAGEREF _Toc26988 \h </w:instrText>
          </w:r>
          <w:r>
            <w:rPr>
              <w:b/>
              <w:bCs/>
              <w:color w:val="auto"/>
            </w:rPr>
            <w:fldChar w:fldCharType="separate"/>
          </w:r>
          <w:r>
            <w:rPr>
              <w:b/>
              <w:bCs/>
              <w:color w:val="auto"/>
            </w:rPr>
            <w:t>82</w:t>
          </w:r>
          <w:r>
            <w:rPr>
              <w:b/>
              <w:bCs/>
              <w:color w:val="auto"/>
            </w:rPr>
            <w:fldChar w:fldCharType="end"/>
          </w:r>
          <w:r>
            <w:rPr>
              <w:b/>
              <w:bCs/>
              <w:color w:val="auto"/>
            </w:rPr>
            <w:fldChar w:fldCharType="end"/>
          </w:r>
        </w:p>
        <w:p w14:paraId="52709B0A">
          <w:pPr>
            <w:widowControl/>
            <w:spacing w:line="460" w:lineRule="exact"/>
            <w:rPr>
              <w:rFonts w:hAnsi="宋体" w:cs="宋体"/>
              <w:color w:val="auto"/>
              <w:szCs w:val="24"/>
            </w:rPr>
          </w:pPr>
          <w:r>
            <w:rPr>
              <w:rFonts w:hint="eastAsia" w:hAnsi="宋体" w:cs="宋体"/>
              <w:color w:val="auto"/>
              <w:szCs w:val="24"/>
            </w:rPr>
            <w:fldChar w:fldCharType="end"/>
          </w:r>
        </w:p>
        <w:p w14:paraId="6EFE9746">
          <w:pPr>
            <w:widowControl/>
            <w:spacing w:line="460" w:lineRule="exact"/>
            <w:rPr>
              <w:rFonts w:hAnsi="宋体" w:cs="宋体"/>
              <w:color w:val="auto"/>
              <w:szCs w:val="24"/>
            </w:rPr>
          </w:pPr>
          <w:bookmarkStart w:id="304" w:name="_GoBack"/>
          <w:bookmarkEnd w:id="304"/>
        </w:p>
        <w:p w14:paraId="01534D24">
          <w:pPr>
            <w:widowControl/>
            <w:spacing w:line="460" w:lineRule="exact"/>
            <w:rPr>
              <w:rFonts w:hAnsi="宋体" w:cs="宋体"/>
              <w:color w:val="auto"/>
              <w:szCs w:val="24"/>
            </w:rPr>
          </w:pPr>
        </w:p>
        <w:p w14:paraId="35B29CFB">
          <w:pPr>
            <w:widowControl/>
            <w:spacing w:line="460" w:lineRule="exact"/>
            <w:rPr>
              <w:rFonts w:hAnsi="宋体" w:cs="宋体"/>
              <w:color w:val="auto"/>
              <w:szCs w:val="24"/>
            </w:rPr>
          </w:pPr>
        </w:p>
        <w:p w14:paraId="56776514">
          <w:pPr>
            <w:widowControl/>
            <w:spacing w:line="460" w:lineRule="exact"/>
            <w:rPr>
              <w:rFonts w:hAnsi="宋体" w:cs="宋体"/>
              <w:color w:val="auto"/>
              <w:szCs w:val="24"/>
            </w:rPr>
          </w:pPr>
        </w:p>
        <w:p w14:paraId="24180E13">
          <w:pPr>
            <w:widowControl/>
            <w:spacing w:line="460" w:lineRule="exact"/>
            <w:rPr>
              <w:rFonts w:hAnsi="宋体" w:cs="宋体"/>
              <w:color w:val="auto"/>
              <w:szCs w:val="24"/>
            </w:rPr>
          </w:pPr>
        </w:p>
        <w:p w14:paraId="2FBC3CE8">
          <w:pPr>
            <w:widowControl/>
            <w:spacing w:line="460" w:lineRule="exact"/>
            <w:rPr>
              <w:rFonts w:hAnsi="宋体" w:cs="宋体"/>
              <w:color w:val="auto"/>
              <w:szCs w:val="24"/>
            </w:rPr>
          </w:pPr>
        </w:p>
        <w:p w14:paraId="76E4C2C0">
          <w:pPr>
            <w:widowControl/>
            <w:spacing w:line="460" w:lineRule="exact"/>
            <w:rPr>
              <w:rFonts w:hAnsi="宋体" w:cs="宋体"/>
              <w:color w:val="auto"/>
              <w:szCs w:val="24"/>
            </w:rPr>
          </w:pPr>
        </w:p>
        <w:p w14:paraId="45C30A7C">
          <w:pPr>
            <w:widowControl/>
            <w:spacing w:line="460" w:lineRule="exact"/>
            <w:rPr>
              <w:rFonts w:hAnsi="宋体" w:cs="宋体"/>
              <w:color w:val="auto"/>
              <w:szCs w:val="24"/>
            </w:rPr>
          </w:pPr>
        </w:p>
        <w:p w14:paraId="1D7DD121">
          <w:pPr>
            <w:widowControl/>
            <w:spacing w:line="460" w:lineRule="exact"/>
            <w:rPr>
              <w:rFonts w:hAnsi="宋体" w:cs="宋体"/>
              <w:color w:val="auto"/>
              <w:szCs w:val="24"/>
            </w:rPr>
          </w:pPr>
        </w:p>
        <w:p w14:paraId="301ABB7A">
          <w:pPr>
            <w:widowControl/>
            <w:spacing w:line="460" w:lineRule="exact"/>
            <w:rPr>
              <w:rFonts w:hAnsi="宋体" w:cs="宋体"/>
              <w:color w:val="auto"/>
              <w:szCs w:val="24"/>
            </w:rPr>
          </w:pPr>
        </w:p>
        <w:p w14:paraId="32F4963F">
          <w:pPr>
            <w:widowControl/>
            <w:spacing w:line="460" w:lineRule="exact"/>
            <w:rPr>
              <w:rFonts w:hAnsi="宋体" w:cs="宋体"/>
              <w:color w:val="auto"/>
              <w:szCs w:val="24"/>
            </w:rPr>
          </w:pPr>
        </w:p>
        <w:p w14:paraId="41763B39">
          <w:pPr>
            <w:widowControl/>
            <w:spacing w:line="460" w:lineRule="exact"/>
            <w:rPr>
              <w:rFonts w:hAnsi="宋体" w:cs="宋体"/>
              <w:color w:val="auto"/>
              <w:szCs w:val="24"/>
            </w:rPr>
          </w:pPr>
        </w:p>
      </w:sdtContent>
    </w:sdt>
    <w:p w14:paraId="09EC08F5">
      <w:pPr>
        <w:rPr>
          <w:color w:val="auto"/>
        </w:rPr>
      </w:pPr>
    </w:p>
    <w:p w14:paraId="33717942">
      <w:pPr>
        <w:rPr>
          <w:color w:val="auto"/>
        </w:rPr>
      </w:pPr>
      <w:bookmarkStart w:id="0" w:name="_Toc23833"/>
    </w:p>
    <w:p w14:paraId="3B208EB8">
      <w:pPr>
        <w:pStyle w:val="2"/>
        <w:wordWrap w:val="0"/>
        <w:autoSpaceDE/>
        <w:autoSpaceDN/>
        <w:snapToGrid w:val="0"/>
        <w:spacing w:line="440" w:lineRule="exact"/>
        <w:jc w:val="center"/>
        <w:rPr>
          <w:rFonts w:ascii="Times New Roman"/>
          <w:b/>
          <w:snapToGrid w:val="0"/>
          <w:color w:val="auto"/>
          <w:sz w:val="32"/>
          <w:szCs w:val="22"/>
        </w:rPr>
      </w:pPr>
      <w:r>
        <w:rPr>
          <w:rFonts w:hint="eastAsia" w:ascii="Times New Roman"/>
          <w:b/>
          <w:snapToGrid w:val="0"/>
          <w:color w:val="auto"/>
          <w:sz w:val="32"/>
          <w:szCs w:val="22"/>
        </w:rPr>
        <w:t>第一章 投标人须知</w:t>
      </w:r>
      <w:bookmarkEnd w:id="0"/>
    </w:p>
    <w:p w14:paraId="4B05FFEE">
      <w:pPr>
        <w:pStyle w:val="3"/>
        <w:wordWrap w:val="0"/>
        <w:autoSpaceDE/>
        <w:autoSpaceDN/>
        <w:snapToGrid w:val="0"/>
        <w:spacing w:before="260" w:after="260" w:line="440" w:lineRule="exact"/>
        <w:jc w:val="both"/>
        <w:rPr>
          <w:rFonts w:ascii="Times New Roman"/>
          <w:b/>
          <w:snapToGrid w:val="0"/>
          <w:color w:val="auto"/>
        </w:rPr>
      </w:pPr>
      <w:bookmarkStart w:id="1" w:name="_Hlt127175444"/>
      <w:bookmarkEnd w:id="1"/>
      <w:bookmarkStart w:id="2" w:name="_Toc4883"/>
      <w:bookmarkStart w:id="3" w:name="_Toc31123"/>
      <w:bookmarkStart w:id="4" w:name="_Hlt120077520"/>
      <w:r>
        <w:rPr>
          <w:rFonts w:hint="eastAsia" w:ascii="Times New Roman"/>
          <w:b/>
          <w:snapToGrid w:val="0"/>
          <w:color w:val="auto"/>
        </w:rPr>
        <w:t>第一节 投标人须知前附表</w:t>
      </w:r>
      <w:bookmarkEnd w:id="2"/>
      <w:bookmarkEnd w:id="3"/>
    </w:p>
    <w:tbl>
      <w:tblPr>
        <w:tblStyle w:val="16"/>
        <w:tblW w:w="9302" w:type="dxa"/>
        <w:tblInd w:w="-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21"/>
        <w:gridCol w:w="1725"/>
        <w:gridCol w:w="6856"/>
      </w:tblGrid>
      <w:tr w14:paraId="1F14E6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80" w:hRule="atLeast"/>
        </w:trPr>
        <w:tc>
          <w:tcPr>
            <w:tcW w:w="721" w:type="dxa"/>
            <w:tcBorders>
              <w:top w:val="single" w:color="auto" w:sz="4" w:space="0"/>
              <w:left w:val="single" w:color="auto" w:sz="4" w:space="0"/>
              <w:bottom w:val="single" w:color="auto" w:sz="4" w:space="0"/>
              <w:right w:val="single" w:color="auto" w:sz="4" w:space="0"/>
            </w:tcBorders>
            <w:vAlign w:val="center"/>
          </w:tcPr>
          <w:p w14:paraId="3C122948">
            <w:pPr>
              <w:wordWrap w:val="0"/>
              <w:adjustRightInd w:val="0"/>
              <w:snapToGrid w:val="0"/>
              <w:spacing w:line="360" w:lineRule="exact"/>
              <w:jc w:val="center"/>
              <w:rPr>
                <w:rFonts w:hAnsi="宋体" w:cs="宋体"/>
                <w:b/>
                <w:bCs/>
                <w:snapToGrid w:val="0"/>
                <w:color w:val="auto"/>
                <w:kern w:val="0"/>
                <w:szCs w:val="24"/>
              </w:rPr>
            </w:pPr>
            <w:r>
              <w:rPr>
                <w:rFonts w:hint="eastAsia" w:hAnsi="宋体" w:cs="宋体"/>
                <w:b/>
                <w:bCs/>
                <w:snapToGrid w:val="0"/>
                <w:color w:val="auto"/>
                <w:kern w:val="0"/>
                <w:szCs w:val="24"/>
              </w:rPr>
              <w:t>序号</w:t>
            </w:r>
          </w:p>
        </w:tc>
        <w:tc>
          <w:tcPr>
            <w:tcW w:w="1725" w:type="dxa"/>
            <w:tcBorders>
              <w:top w:val="single" w:color="auto" w:sz="4" w:space="0"/>
              <w:left w:val="single" w:color="auto" w:sz="4" w:space="0"/>
              <w:bottom w:val="single" w:color="auto" w:sz="4" w:space="0"/>
              <w:right w:val="single" w:color="auto" w:sz="4" w:space="0"/>
            </w:tcBorders>
            <w:vAlign w:val="center"/>
          </w:tcPr>
          <w:p w14:paraId="6D2A427E">
            <w:pPr>
              <w:wordWrap w:val="0"/>
              <w:adjustRightInd w:val="0"/>
              <w:snapToGrid w:val="0"/>
              <w:spacing w:line="240" w:lineRule="auto"/>
              <w:jc w:val="center"/>
              <w:rPr>
                <w:rFonts w:hAnsi="宋体" w:cs="宋体"/>
                <w:b/>
                <w:bCs/>
                <w:snapToGrid w:val="0"/>
                <w:color w:val="auto"/>
                <w:kern w:val="0"/>
                <w:szCs w:val="24"/>
              </w:rPr>
            </w:pPr>
            <w:r>
              <w:rPr>
                <w:rFonts w:hint="eastAsia" w:hAnsi="宋体" w:cs="宋体"/>
                <w:b/>
                <w:bCs/>
                <w:snapToGrid w:val="0"/>
                <w:color w:val="auto"/>
                <w:kern w:val="0"/>
                <w:szCs w:val="24"/>
              </w:rPr>
              <w:t>内容</w:t>
            </w:r>
          </w:p>
        </w:tc>
        <w:tc>
          <w:tcPr>
            <w:tcW w:w="6856" w:type="dxa"/>
            <w:tcBorders>
              <w:top w:val="single" w:color="auto" w:sz="4" w:space="0"/>
              <w:left w:val="single" w:color="auto" w:sz="4" w:space="0"/>
              <w:bottom w:val="single" w:color="auto" w:sz="4" w:space="0"/>
              <w:right w:val="single" w:color="auto" w:sz="4" w:space="0"/>
            </w:tcBorders>
            <w:vAlign w:val="center"/>
          </w:tcPr>
          <w:p w14:paraId="19322450">
            <w:pPr>
              <w:tabs>
                <w:tab w:val="left" w:pos="1180"/>
              </w:tabs>
              <w:wordWrap w:val="0"/>
              <w:adjustRightInd w:val="0"/>
              <w:snapToGrid w:val="0"/>
              <w:spacing w:line="360" w:lineRule="exact"/>
              <w:jc w:val="center"/>
              <w:rPr>
                <w:rFonts w:hAnsi="宋体" w:cs="宋体"/>
                <w:b/>
                <w:bCs/>
                <w:snapToGrid w:val="0"/>
                <w:color w:val="auto"/>
                <w:kern w:val="0"/>
                <w:szCs w:val="24"/>
              </w:rPr>
            </w:pPr>
            <w:r>
              <w:rPr>
                <w:rFonts w:hint="eastAsia" w:hAnsi="宋体" w:cs="宋体"/>
                <w:b/>
                <w:bCs/>
                <w:snapToGrid w:val="0"/>
                <w:color w:val="auto"/>
                <w:kern w:val="0"/>
                <w:szCs w:val="24"/>
              </w:rPr>
              <w:t>说明与要求</w:t>
            </w:r>
          </w:p>
        </w:tc>
      </w:tr>
      <w:tr w14:paraId="4F09C7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80" w:hRule="exact"/>
        </w:trPr>
        <w:tc>
          <w:tcPr>
            <w:tcW w:w="721" w:type="dxa"/>
            <w:tcBorders>
              <w:top w:val="single" w:color="auto" w:sz="4" w:space="0"/>
              <w:left w:val="single" w:color="auto" w:sz="4" w:space="0"/>
              <w:bottom w:val="single" w:color="auto" w:sz="4" w:space="0"/>
              <w:right w:val="single" w:color="auto" w:sz="4" w:space="0"/>
            </w:tcBorders>
            <w:vAlign w:val="center"/>
          </w:tcPr>
          <w:p w14:paraId="211ACB4A">
            <w:pPr>
              <w:wordWrap w:val="0"/>
              <w:adjustRightInd w:val="0"/>
              <w:snapToGrid w:val="0"/>
              <w:spacing w:line="400" w:lineRule="exact"/>
              <w:jc w:val="center"/>
              <w:rPr>
                <w:rFonts w:hAnsi="宋体" w:cs="宋体"/>
                <w:snapToGrid w:val="0"/>
                <w:color w:val="auto"/>
                <w:kern w:val="0"/>
                <w:szCs w:val="24"/>
              </w:rPr>
            </w:pPr>
            <w:r>
              <w:rPr>
                <w:rFonts w:hint="eastAsia" w:hAnsi="宋体" w:cs="宋体"/>
                <w:snapToGrid w:val="0"/>
                <w:color w:val="auto"/>
                <w:kern w:val="0"/>
                <w:szCs w:val="24"/>
              </w:rPr>
              <w:t>1</w:t>
            </w:r>
          </w:p>
        </w:tc>
        <w:tc>
          <w:tcPr>
            <w:tcW w:w="1725" w:type="dxa"/>
            <w:tcBorders>
              <w:top w:val="single" w:color="auto" w:sz="4" w:space="0"/>
              <w:left w:val="single" w:color="auto" w:sz="4" w:space="0"/>
              <w:bottom w:val="single" w:color="auto" w:sz="4" w:space="0"/>
              <w:right w:val="single" w:color="auto" w:sz="4" w:space="0"/>
            </w:tcBorders>
            <w:vAlign w:val="center"/>
          </w:tcPr>
          <w:p w14:paraId="6A805164">
            <w:pPr>
              <w:wordWrap w:val="0"/>
              <w:adjustRightInd w:val="0"/>
              <w:snapToGrid w:val="0"/>
              <w:spacing w:line="360" w:lineRule="exact"/>
              <w:jc w:val="center"/>
              <w:rPr>
                <w:rFonts w:hAnsi="宋体" w:cs="宋体"/>
                <w:snapToGrid w:val="0"/>
                <w:color w:val="auto"/>
                <w:kern w:val="0"/>
                <w:szCs w:val="24"/>
              </w:rPr>
            </w:pPr>
            <w:r>
              <w:rPr>
                <w:rFonts w:hint="eastAsia" w:hAnsi="宋体" w:cs="宋体"/>
                <w:snapToGrid w:val="0"/>
                <w:color w:val="auto"/>
                <w:kern w:val="0"/>
                <w:szCs w:val="24"/>
              </w:rPr>
              <w:t>项目名称</w:t>
            </w:r>
          </w:p>
        </w:tc>
        <w:tc>
          <w:tcPr>
            <w:tcW w:w="6856" w:type="dxa"/>
            <w:tcBorders>
              <w:top w:val="single" w:color="auto" w:sz="4" w:space="0"/>
              <w:left w:val="single" w:color="auto" w:sz="4" w:space="0"/>
              <w:bottom w:val="single" w:color="auto" w:sz="4" w:space="0"/>
              <w:right w:val="single" w:color="auto" w:sz="4" w:space="0"/>
            </w:tcBorders>
            <w:vAlign w:val="center"/>
          </w:tcPr>
          <w:p w14:paraId="70763670">
            <w:pPr>
              <w:wordWrap w:val="0"/>
              <w:adjustRightInd w:val="0"/>
              <w:snapToGrid w:val="0"/>
              <w:spacing w:line="360" w:lineRule="exact"/>
              <w:ind w:firstLine="480" w:firstLineChars="200"/>
              <w:jc w:val="left"/>
              <w:rPr>
                <w:rFonts w:hint="default" w:hAnsi="宋体" w:eastAsia="宋体" w:cs="宋体"/>
                <w:snapToGrid w:val="0"/>
                <w:color w:val="auto"/>
                <w:kern w:val="0"/>
                <w:szCs w:val="24"/>
                <w:lang w:val="en-US" w:eastAsia="zh-CN"/>
              </w:rPr>
            </w:pPr>
            <w:r>
              <w:rPr>
                <w:rFonts w:hint="eastAsia" w:hAnsi="宋体" w:cs="宋体"/>
                <w:snapToGrid w:val="0"/>
                <w:color w:val="auto"/>
                <w:kern w:val="0"/>
                <w:szCs w:val="24"/>
                <w:lang w:eastAsia="zh-CN"/>
              </w:rPr>
              <w:t>翁源产业园区产城融合基础设施配套项目(创新原料药产业园主干道二期)</w:t>
            </w:r>
            <w:r>
              <w:rPr>
                <w:rFonts w:hint="eastAsia" w:hAnsi="宋体" w:cs="宋体"/>
                <w:snapToGrid w:val="0"/>
                <w:color w:val="auto"/>
                <w:kern w:val="0"/>
                <w:szCs w:val="24"/>
                <w:lang w:val="en-US" w:eastAsia="zh-CN"/>
              </w:rPr>
              <w:t>施工监理</w:t>
            </w:r>
          </w:p>
        </w:tc>
      </w:tr>
      <w:tr w14:paraId="49A10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721" w:type="dxa"/>
            <w:tcBorders>
              <w:top w:val="single" w:color="auto" w:sz="4" w:space="0"/>
              <w:left w:val="single" w:color="auto" w:sz="4" w:space="0"/>
              <w:bottom w:val="single" w:color="auto" w:sz="4" w:space="0"/>
              <w:right w:val="single" w:color="auto" w:sz="4" w:space="0"/>
            </w:tcBorders>
            <w:vAlign w:val="center"/>
          </w:tcPr>
          <w:p w14:paraId="0DA08179">
            <w:pPr>
              <w:wordWrap w:val="0"/>
              <w:adjustRightInd w:val="0"/>
              <w:snapToGrid w:val="0"/>
              <w:spacing w:line="400" w:lineRule="exact"/>
              <w:jc w:val="center"/>
              <w:rPr>
                <w:rFonts w:hAnsi="宋体" w:cs="宋体"/>
                <w:snapToGrid w:val="0"/>
                <w:color w:val="auto"/>
                <w:kern w:val="0"/>
                <w:szCs w:val="24"/>
              </w:rPr>
            </w:pPr>
            <w:r>
              <w:rPr>
                <w:rFonts w:hint="eastAsia" w:hAnsi="宋体" w:cs="宋体"/>
                <w:snapToGrid w:val="0"/>
                <w:color w:val="auto"/>
                <w:kern w:val="0"/>
                <w:szCs w:val="24"/>
              </w:rPr>
              <w:t>2</w:t>
            </w:r>
          </w:p>
        </w:tc>
        <w:tc>
          <w:tcPr>
            <w:tcW w:w="1725" w:type="dxa"/>
            <w:tcBorders>
              <w:top w:val="single" w:color="auto" w:sz="4" w:space="0"/>
              <w:left w:val="single" w:color="auto" w:sz="4" w:space="0"/>
              <w:bottom w:val="single" w:color="auto" w:sz="4" w:space="0"/>
              <w:right w:val="single" w:color="auto" w:sz="4" w:space="0"/>
            </w:tcBorders>
            <w:vAlign w:val="center"/>
          </w:tcPr>
          <w:p w14:paraId="61B2A869">
            <w:pPr>
              <w:wordWrap w:val="0"/>
              <w:adjustRightInd w:val="0"/>
              <w:snapToGrid w:val="0"/>
              <w:spacing w:line="360" w:lineRule="exact"/>
              <w:jc w:val="center"/>
              <w:rPr>
                <w:rFonts w:hAnsi="宋体" w:cs="宋体"/>
                <w:snapToGrid w:val="0"/>
                <w:color w:val="auto"/>
                <w:kern w:val="0"/>
                <w:szCs w:val="24"/>
              </w:rPr>
            </w:pPr>
            <w:r>
              <w:rPr>
                <w:rFonts w:hint="eastAsia" w:hAnsi="宋体" w:cs="宋体"/>
                <w:snapToGrid w:val="0"/>
                <w:color w:val="auto"/>
                <w:kern w:val="0"/>
                <w:szCs w:val="24"/>
              </w:rPr>
              <w:t>项目业主</w:t>
            </w:r>
          </w:p>
        </w:tc>
        <w:tc>
          <w:tcPr>
            <w:tcW w:w="6856" w:type="dxa"/>
            <w:tcBorders>
              <w:top w:val="single" w:color="auto" w:sz="4" w:space="0"/>
              <w:left w:val="single" w:color="auto" w:sz="4" w:space="0"/>
              <w:bottom w:val="single" w:color="auto" w:sz="4" w:space="0"/>
              <w:right w:val="single" w:color="auto" w:sz="4" w:space="0"/>
            </w:tcBorders>
            <w:vAlign w:val="center"/>
          </w:tcPr>
          <w:p w14:paraId="0B0E0D24">
            <w:pPr>
              <w:wordWrap w:val="0"/>
              <w:adjustRightInd w:val="0"/>
              <w:snapToGrid w:val="0"/>
              <w:spacing w:line="360" w:lineRule="exact"/>
              <w:ind w:firstLine="480" w:firstLineChars="200"/>
              <w:jc w:val="left"/>
              <w:rPr>
                <w:rFonts w:hAnsi="宋体" w:cs="宋体"/>
                <w:snapToGrid w:val="0"/>
                <w:color w:val="auto"/>
                <w:kern w:val="0"/>
                <w:szCs w:val="24"/>
              </w:rPr>
            </w:pPr>
            <w:r>
              <w:rPr>
                <w:rFonts w:hint="eastAsia" w:hAnsi="宋体" w:cs="宋体"/>
                <w:snapToGrid w:val="0"/>
                <w:color w:val="auto"/>
                <w:kern w:val="0"/>
                <w:szCs w:val="24"/>
                <w:lang w:val="en-US" w:eastAsia="zh-CN"/>
              </w:rPr>
              <w:t>广东翁源经济开发区管理委员会</w:t>
            </w:r>
          </w:p>
        </w:tc>
      </w:tr>
      <w:tr w14:paraId="47B568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721" w:type="dxa"/>
            <w:tcBorders>
              <w:top w:val="single" w:color="auto" w:sz="4" w:space="0"/>
              <w:left w:val="single" w:color="auto" w:sz="4" w:space="0"/>
              <w:bottom w:val="single" w:color="auto" w:sz="4" w:space="0"/>
              <w:right w:val="single" w:color="auto" w:sz="4" w:space="0"/>
            </w:tcBorders>
            <w:vAlign w:val="center"/>
          </w:tcPr>
          <w:p w14:paraId="07823009">
            <w:pPr>
              <w:wordWrap w:val="0"/>
              <w:adjustRightInd w:val="0"/>
              <w:snapToGrid w:val="0"/>
              <w:spacing w:line="400" w:lineRule="exact"/>
              <w:jc w:val="center"/>
              <w:rPr>
                <w:rFonts w:hAnsi="宋体" w:cs="宋体"/>
                <w:snapToGrid w:val="0"/>
                <w:color w:val="auto"/>
                <w:kern w:val="0"/>
                <w:szCs w:val="24"/>
              </w:rPr>
            </w:pPr>
            <w:r>
              <w:rPr>
                <w:rFonts w:hint="eastAsia" w:hAnsi="宋体" w:cs="宋体"/>
                <w:snapToGrid w:val="0"/>
                <w:color w:val="auto"/>
                <w:kern w:val="0"/>
                <w:szCs w:val="24"/>
              </w:rPr>
              <w:t>3</w:t>
            </w:r>
          </w:p>
        </w:tc>
        <w:tc>
          <w:tcPr>
            <w:tcW w:w="1725" w:type="dxa"/>
            <w:tcBorders>
              <w:top w:val="single" w:color="auto" w:sz="4" w:space="0"/>
              <w:left w:val="single" w:color="auto" w:sz="4" w:space="0"/>
              <w:bottom w:val="single" w:color="auto" w:sz="4" w:space="0"/>
              <w:right w:val="single" w:color="auto" w:sz="4" w:space="0"/>
            </w:tcBorders>
            <w:vAlign w:val="center"/>
          </w:tcPr>
          <w:p w14:paraId="2B9B19C3">
            <w:pPr>
              <w:wordWrap w:val="0"/>
              <w:adjustRightInd w:val="0"/>
              <w:snapToGrid w:val="0"/>
              <w:spacing w:line="360" w:lineRule="exact"/>
              <w:jc w:val="center"/>
              <w:rPr>
                <w:rFonts w:hAnsi="宋体" w:cs="宋体"/>
                <w:snapToGrid w:val="0"/>
                <w:color w:val="auto"/>
                <w:kern w:val="0"/>
                <w:szCs w:val="24"/>
              </w:rPr>
            </w:pPr>
            <w:r>
              <w:rPr>
                <w:rFonts w:hint="eastAsia" w:hAnsi="宋体" w:cs="宋体"/>
                <w:snapToGrid w:val="0"/>
                <w:color w:val="auto"/>
                <w:kern w:val="0"/>
                <w:szCs w:val="24"/>
              </w:rPr>
              <w:t>项目批准部门</w:t>
            </w:r>
          </w:p>
        </w:tc>
        <w:tc>
          <w:tcPr>
            <w:tcW w:w="6856" w:type="dxa"/>
            <w:tcBorders>
              <w:top w:val="single" w:color="auto" w:sz="4" w:space="0"/>
              <w:left w:val="single" w:color="auto" w:sz="4" w:space="0"/>
              <w:bottom w:val="single" w:color="auto" w:sz="4" w:space="0"/>
              <w:right w:val="single" w:color="auto" w:sz="4" w:space="0"/>
            </w:tcBorders>
            <w:vAlign w:val="center"/>
          </w:tcPr>
          <w:p w14:paraId="227D8ECD">
            <w:pPr>
              <w:wordWrap w:val="0"/>
              <w:adjustRightInd w:val="0"/>
              <w:snapToGrid w:val="0"/>
              <w:spacing w:line="360" w:lineRule="exact"/>
              <w:ind w:firstLine="480" w:firstLineChars="200"/>
              <w:jc w:val="left"/>
              <w:rPr>
                <w:rFonts w:hAnsi="宋体" w:cs="宋体"/>
                <w:snapToGrid w:val="0"/>
                <w:color w:val="auto"/>
                <w:kern w:val="0"/>
                <w:szCs w:val="24"/>
              </w:rPr>
            </w:pPr>
            <w:r>
              <w:rPr>
                <w:rFonts w:hint="eastAsia" w:hAnsi="宋体" w:cs="宋体"/>
                <w:snapToGrid w:val="0"/>
                <w:color w:val="auto"/>
                <w:kern w:val="0"/>
                <w:szCs w:val="24"/>
              </w:rPr>
              <w:t>翁源县发展和改革局</w:t>
            </w:r>
          </w:p>
        </w:tc>
      </w:tr>
      <w:tr w14:paraId="3BC53D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721" w:type="dxa"/>
            <w:tcBorders>
              <w:top w:val="single" w:color="auto" w:sz="4" w:space="0"/>
              <w:left w:val="single" w:color="auto" w:sz="4" w:space="0"/>
              <w:bottom w:val="single" w:color="auto" w:sz="4" w:space="0"/>
              <w:right w:val="single" w:color="auto" w:sz="4" w:space="0"/>
            </w:tcBorders>
            <w:vAlign w:val="center"/>
          </w:tcPr>
          <w:p w14:paraId="1AE55CF2">
            <w:pPr>
              <w:wordWrap w:val="0"/>
              <w:adjustRightInd w:val="0"/>
              <w:snapToGrid w:val="0"/>
              <w:spacing w:line="400" w:lineRule="exact"/>
              <w:jc w:val="center"/>
              <w:rPr>
                <w:rFonts w:hAnsi="宋体" w:cs="宋体"/>
                <w:snapToGrid w:val="0"/>
                <w:color w:val="auto"/>
                <w:kern w:val="0"/>
                <w:szCs w:val="24"/>
              </w:rPr>
            </w:pPr>
            <w:r>
              <w:rPr>
                <w:rFonts w:hint="eastAsia" w:hAnsi="宋体" w:cs="宋体"/>
                <w:snapToGrid w:val="0"/>
                <w:color w:val="auto"/>
                <w:kern w:val="0"/>
                <w:szCs w:val="24"/>
              </w:rPr>
              <w:t>4</w:t>
            </w:r>
          </w:p>
        </w:tc>
        <w:tc>
          <w:tcPr>
            <w:tcW w:w="1725" w:type="dxa"/>
            <w:tcBorders>
              <w:top w:val="single" w:color="auto" w:sz="4" w:space="0"/>
              <w:left w:val="single" w:color="auto" w:sz="4" w:space="0"/>
              <w:bottom w:val="single" w:color="auto" w:sz="4" w:space="0"/>
              <w:right w:val="single" w:color="auto" w:sz="4" w:space="0"/>
            </w:tcBorders>
            <w:vAlign w:val="center"/>
          </w:tcPr>
          <w:p w14:paraId="4C93B0D8">
            <w:pPr>
              <w:wordWrap w:val="0"/>
              <w:adjustRightInd w:val="0"/>
              <w:snapToGrid w:val="0"/>
              <w:spacing w:line="360" w:lineRule="exact"/>
              <w:jc w:val="center"/>
              <w:rPr>
                <w:rFonts w:hAnsi="宋体" w:cs="宋体"/>
                <w:snapToGrid w:val="0"/>
                <w:color w:val="auto"/>
                <w:kern w:val="0"/>
                <w:szCs w:val="24"/>
              </w:rPr>
            </w:pPr>
            <w:r>
              <w:rPr>
                <w:rFonts w:hint="eastAsia" w:hAnsi="宋体" w:cs="宋体"/>
                <w:snapToGrid w:val="0"/>
                <w:color w:val="auto"/>
                <w:kern w:val="0"/>
                <w:szCs w:val="24"/>
              </w:rPr>
              <w:t>项目批准文号</w:t>
            </w:r>
          </w:p>
        </w:tc>
        <w:tc>
          <w:tcPr>
            <w:tcW w:w="6856" w:type="dxa"/>
            <w:tcBorders>
              <w:top w:val="single" w:color="auto" w:sz="4" w:space="0"/>
              <w:left w:val="single" w:color="auto" w:sz="4" w:space="0"/>
              <w:bottom w:val="single" w:color="auto" w:sz="4" w:space="0"/>
              <w:right w:val="single" w:color="auto" w:sz="4" w:space="0"/>
            </w:tcBorders>
            <w:vAlign w:val="center"/>
          </w:tcPr>
          <w:p w14:paraId="699ECE08">
            <w:pPr>
              <w:pStyle w:val="23"/>
              <w:spacing w:line="400" w:lineRule="exact"/>
              <w:ind w:firstLine="480" w:firstLineChars="200"/>
              <w:jc w:val="left"/>
              <w:rPr>
                <w:rFonts w:hint="eastAsia" w:ascii="宋体" w:hAnsi="宋体" w:eastAsia="宋体" w:cs="宋体"/>
                <w:snapToGrid w:val="0"/>
                <w:color w:val="auto"/>
                <w:kern w:val="0"/>
                <w:sz w:val="24"/>
                <w:lang w:eastAsia="zh-CN"/>
              </w:rPr>
            </w:pPr>
            <w:r>
              <w:rPr>
                <w:rFonts w:hint="eastAsia" w:ascii="宋体" w:hAnsi="宋体" w:cs="宋体"/>
                <w:snapToGrid w:val="0"/>
                <w:color w:val="auto"/>
                <w:kern w:val="0"/>
                <w:sz w:val="24"/>
                <w:lang w:eastAsia="zh-CN"/>
              </w:rPr>
              <w:t>翁发改投审〔2021〕13号</w:t>
            </w:r>
            <w:r>
              <w:rPr>
                <w:rFonts w:hint="eastAsia" w:ascii="宋体" w:hAnsi="宋体" w:cs="宋体"/>
                <w:snapToGrid w:val="0"/>
                <w:color w:val="auto"/>
                <w:kern w:val="0"/>
                <w:sz w:val="24"/>
              </w:rPr>
              <w:t>、</w:t>
            </w:r>
            <w:r>
              <w:rPr>
                <w:rFonts w:hint="eastAsia" w:ascii="宋体" w:hAnsi="宋体" w:cs="宋体"/>
                <w:snapToGrid w:val="0"/>
                <w:color w:val="auto"/>
                <w:kern w:val="0"/>
                <w:sz w:val="24"/>
                <w:lang w:eastAsia="zh-CN"/>
              </w:rPr>
              <w:t>翁发改投审〔2024〕74号</w:t>
            </w:r>
          </w:p>
        </w:tc>
      </w:tr>
      <w:tr w14:paraId="3B0EBC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721" w:type="dxa"/>
            <w:tcBorders>
              <w:top w:val="single" w:color="auto" w:sz="4" w:space="0"/>
              <w:left w:val="single" w:color="auto" w:sz="4" w:space="0"/>
              <w:bottom w:val="single" w:color="auto" w:sz="4" w:space="0"/>
              <w:right w:val="single" w:color="auto" w:sz="4" w:space="0"/>
            </w:tcBorders>
            <w:vAlign w:val="center"/>
          </w:tcPr>
          <w:p w14:paraId="7CA26325">
            <w:pPr>
              <w:wordWrap w:val="0"/>
              <w:adjustRightInd w:val="0"/>
              <w:snapToGrid w:val="0"/>
              <w:spacing w:line="400" w:lineRule="exact"/>
              <w:jc w:val="center"/>
              <w:rPr>
                <w:rFonts w:hAnsi="宋体" w:cs="宋体"/>
                <w:snapToGrid w:val="0"/>
                <w:color w:val="auto"/>
                <w:kern w:val="0"/>
                <w:szCs w:val="24"/>
              </w:rPr>
            </w:pPr>
            <w:r>
              <w:rPr>
                <w:rFonts w:hint="eastAsia" w:hAnsi="宋体" w:cs="宋体"/>
                <w:snapToGrid w:val="0"/>
                <w:color w:val="auto"/>
                <w:kern w:val="0"/>
                <w:szCs w:val="24"/>
              </w:rPr>
              <w:t>5</w:t>
            </w:r>
          </w:p>
        </w:tc>
        <w:tc>
          <w:tcPr>
            <w:tcW w:w="1725" w:type="dxa"/>
            <w:tcBorders>
              <w:top w:val="single" w:color="auto" w:sz="4" w:space="0"/>
              <w:left w:val="single" w:color="auto" w:sz="4" w:space="0"/>
              <w:bottom w:val="single" w:color="auto" w:sz="4" w:space="0"/>
              <w:right w:val="single" w:color="auto" w:sz="4" w:space="0"/>
            </w:tcBorders>
            <w:vAlign w:val="center"/>
          </w:tcPr>
          <w:p w14:paraId="1F38BC14">
            <w:pPr>
              <w:wordWrap w:val="0"/>
              <w:adjustRightInd w:val="0"/>
              <w:snapToGrid w:val="0"/>
              <w:spacing w:line="360" w:lineRule="exact"/>
              <w:jc w:val="center"/>
              <w:rPr>
                <w:rFonts w:hAnsi="宋体" w:cs="宋体"/>
                <w:snapToGrid w:val="0"/>
                <w:color w:val="auto"/>
                <w:kern w:val="0"/>
                <w:szCs w:val="24"/>
              </w:rPr>
            </w:pPr>
            <w:r>
              <w:rPr>
                <w:rFonts w:hint="eastAsia" w:hAnsi="宋体" w:cs="宋体"/>
                <w:snapToGrid w:val="0"/>
                <w:color w:val="auto"/>
                <w:kern w:val="0"/>
                <w:szCs w:val="24"/>
              </w:rPr>
              <w:t>项目代码</w:t>
            </w:r>
          </w:p>
        </w:tc>
        <w:tc>
          <w:tcPr>
            <w:tcW w:w="6856" w:type="dxa"/>
            <w:tcBorders>
              <w:top w:val="single" w:color="auto" w:sz="4" w:space="0"/>
              <w:left w:val="single" w:color="auto" w:sz="4" w:space="0"/>
              <w:bottom w:val="single" w:color="auto" w:sz="4" w:space="0"/>
              <w:right w:val="single" w:color="auto" w:sz="4" w:space="0"/>
            </w:tcBorders>
            <w:vAlign w:val="center"/>
          </w:tcPr>
          <w:p w14:paraId="41BD2D72">
            <w:pPr>
              <w:pStyle w:val="23"/>
              <w:spacing w:line="400" w:lineRule="exact"/>
              <w:ind w:firstLine="480" w:firstLineChars="200"/>
              <w:jc w:val="left"/>
              <w:rPr>
                <w:rFonts w:hint="eastAsia" w:ascii="宋体" w:hAnsi="宋体" w:eastAsia="宋体" w:cs="宋体"/>
                <w:snapToGrid w:val="0"/>
                <w:color w:val="auto"/>
                <w:kern w:val="0"/>
                <w:sz w:val="24"/>
                <w:lang w:eastAsia="zh-CN"/>
              </w:rPr>
            </w:pPr>
            <w:r>
              <w:rPr>
                <w:rFonts w:hint="eastAsia" w:ascii="宋体" w:hAnsi="宋体" w:cs="宋体"/>
                <w:snapToGrid w:val="0"/>
                <w:color w:val="auto"/>
                <w:kern w:val="0"/>
                <w:sz w:val="24"/>
                <w:lang w:eastAsia="zh-CN"/>
              </w:rPr>
              <w:t>2110-440229-04-01-834756</w:t>
            </w:r>
          </w:p>
        </w:tc>
      </w:tr>
      <w:tr w14:paraId="64FC6A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25" w:hRule="exact"/>
        </w:trPr>
        <w:tc>
          <w:tcPr>
            <w:tcW w:w="721" w:type="dxa"/>
            <w:tcBorders>
              <w:top w:val="single" w:color="auto" w:sz="4" w:space="0"/>
              <w:left w:val="single" w:color="auto" w:sz="4" w:space="0"/>
              <w:bottom w:val="single" w:color="auto" w:sz="4" w:space="0"/>
              <w:right w:val="single" w:color="auto" w:sz="4" w:space="0"/>
            </w:tcBorders>
            <w:vAlign w:val="center"/>
          </w:tcPr>
          <w:p w14:paraId="1BB67312">
            <w:pPr>
              <w:wordWrap w:val="0"/>
              <w:adjustRightInd w:val="0"/>
              <w:snapToGrid w:val="0"/>
              <w:spacing w:line="400" w:lineRule="exact"/>
              <w:jc w:val="center"/>
              <w:rPr>
                <w:rFonts w:hAnsi="宋体" w:cs="宋体"/>
                <w:snapToGrid w:val="0"/>
                <w:color w:val="auto"/>
                <w:kern w:val="0"/>
                <w:szCs w:val="24"/>
              </w:rPr>
            </w:pPr>
            <w:r>
              <w:rPr>
                <w:rFonts w:hint="eastAsia" w:hAnsi="宋体" w:cs="宋体"/>
                <w:snapToGrid w:val="0"/>
                <w:color w:val="auto"/>
                <w:kern w:val="0"/>
                <w:szCs w:val="24"/>
              </w:rPr>
              <w:t>6</w:t>
            </w:r>
          </w:p>
        </w:tc>
        <w:tc>
          <w:tcPr>
            <w:tcW w:w="1725" w:type="dxa"/>
            <w:tcBorders>
              <w:top w:val="single" w:color="auto" w:sz="4" w:space="0"/>
              <w:left w:val="single" w:color="auto" w:sz="4" w:space="0"/>
              <w:bottom w:val="single" w:color="auto" w:sz="4" w:space="0"/>
              <w:right w:val="single" w:color="auto" w:sz="4" w:space="0"/>
            </w:tcBorders>
            <w:vAlign w:val="center"/>
          </w:tcPr>
          <w:p w14:paraId="029DEF30">
            <w:pPr>
              <w:wordWrap w:val="0"/>
              <w:adjustRightInd w:val="0"/>
              <w:snapToGrid w:val="0"/>
              <w:spacing w:line="360" w:lineRule="exact"/>
              <w:jc w:val="center"/>
              <w:rPr>
                <w:rFonts w:hAnsi="宋体" w:cs="宋体"/>
                <w:color w:val="auto"/>
                <w:kern w:val="0"/>
                <w:szCs w:val="24"/>
              </w:rPr>
            </w:pPr>
            <w:r>
              <w:rPr>
                <w:rFonts w:hint="eastAsia" w:hAnsi="宋体" w:cs="宋体"/>
                <w:color w:val="auto"/>
                <w:kern w:val="0"/>
                <w:szCs w:val="24"/>
              </w:rPr>
              <w:t>资金来源</w:t>
            </w:r>
          </w:p>
          <w:p w14:paraId="250FD3DE">
            <w:pPr>
              <w:wordWrap w:val="0"/>
              <w:adjustRightInd w:val="0"/>
              <w:snapToGrid w:val="0"/>
              <w:spacing w:line="360" w:lineRule="exact"/>
              <w:jc w:val="center"/>
              <w:rPr>
                <w:rFonts w:hAnsi="宋体" w:cs="宋体"/>
                <w:color w:val="auto"/>
                <w:kern w:val="0"/>
                <w:szCs w:val="24"/>
              </w:rPr>
            </w:pPr>
            <w:r>
              <w:rPr>
                <w:rFonts w:hint="eastAsia" w:hAnsi="宋体" w:cs="宋体"/>
                <w:color w:val="auto"/>
                <w:kern w:val="0"/>
                <w:szCs w:val="24"/>
              </w:rPr>
              <w:t>及出资比例</w:t>
            </w:r>
          </w:p>
        </w:tc>
        <w:tc>
          <w:tcPr>
            <w:tcW w:w="6856" w:type="dxa"/>
            <w:tcBorders>
              <w:top w:val="single" w:color="auto" w:sz="4" w:space="0"/>
              <w:left w:val="single" w:color="auto" w:sz="4" w:space="0"/>
              <w:bottom w:val="single" w:color="auto" w:sz="4" w:space="0"/>
              <w:right w:val="single" w:color="auto" w:sz="4" w:space="0"/>
            </w:tcBorders>
            <w:vAlign w:val="center"/>
          </w:tcPr>
          <w:p w14:paraId="52089B66">
            <w:pPr>
              <w:wordWrap w:val="0"/>
              <w:adjustRightInd w:val="0"/>
              <w:snapToGrid w:val="0"/>
              <w:spacing w:line="360" w:lineRule="exact"/>
              <w:ind w:firstLine="480" w:firstLineChars="200"/>
              <w:jc w:val="left"/>
              <w:rPr>
                <w:rFonts w:hAnsi="宋体" w:cs="宋体"/>
                <w:color w:val="auto"/>
                <w:kern w:val="0"/>
                <w:szCs w:val="24"/>
              </w:rPr>
            </w:pPr>
            <w:r>
              <w:rPr>
                <w:rFonts w:hint="eastAsia" w:hAnsi="宋体" w:cs="宋体"/>
                <w:color w:val="auto"/>
                <w:kern w:val="0"/>
                <w:szCs w:val="24"/>
                <w:lang w:eastAsia="zh-CN"/>
              </w:rPr>
              <w:t>地方专项债及地方财政统筹解决</w:t>
            </w:r>
            <w:r>
              <w:rPr>
                <w:rFonts w:hint="eastAsia" w:hAnsi="宋体" w:cs="宋体"/>
                <w:color w:val="auto"/>
                <w:kern w:val="0"/>
                <w:szCs w:val="24"/>
              </w:rPr>
              <w:t>，100%</w:t>
            </w:r>
          </w:p>
        </w:tc>
      </w:tr>
      <w:tr w14:paraId="33C003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721" w:type="dxa"/>
            <w:tcBorders>
              <w:top w:val="single" w:color="auto" w:sz="4" w:space="0"/>
              <w:left w:val="single" w:color="auto" w:sz="4" w:space="0"/>
              <w:bottom w:val="single" w:color="auto" w:sz="4" w:space="0"/>
              <w:right w:val="single" w:color="auto" w:sz="4" w:space="0"/>
            </w:tcBorders>
            <w:vAlign w:val="center"/>
          </w:tcPr>
          <w:p w14:paraId="27FBFABF">
            <w:pPr>
              <w:wordWrap w:val="0"/>
              <w:adjustRightInd w:val="0"/>
              <w:snapToGrid w:val="0"/>
              <w:spacing w:line="400" w:lineRule="exact"/>
              <w:jc w:val="center"/>
              <w:rPr>
                <w:rFonts w:hAnsi="宋体" w:cs="宋体"/>
                <w:snapToGrid w:val="0"/>
                <w:color w:val="auto"/>
                <w:kern w:val="0"/>
                <w:szCs w:val="24"/>
              </w:rPr>
            </w:pPr>
            <w:r>
              <w:rPr>
                <w:rFonts w:hint="eastAsia" w:hAnsi="宋体" w:cs="宋体"/>
                <w:snapToGrid w:val="0"/>
                <w:color w:val="auto"/>
                <w:kern w:val="0"/>
                <w:szCs w:val="24"/>
              </w:rPr>
              <w:t>7</w:t>
            </w:r>
          </w:p>
        </w:tc>
        <w:tc>
          <w:tcPr>
            <w:tcW w:w="1725" w:type="dxa"/>
            <w:tcBorders>
              <w:top w:val="single" w:color="auto" w:sz="4" w:space="0"/>
              <w:left w:val="single" w:color="auto" w:sz="4" w:space="0"/>
              <w:bottom w:val="single" w:color="auto" w:sz="4" w:space="0"/>
              <w:right w:val="single" w:color="auto" w:sz="4" w:space="0"/>
            </w:tcBorders>
            <w:vAlign w:val="center"/>
          </w:tcPr>
          <w:p w14:paraId="6885E9C6">
            <w:pPr>
              <w:wordWrap w:val="0"/>
              <w:adjustRightInd w:val="0"/>
              <w:snapToGrid w:val="0"/>
              <w:spacing w:line="360" w:lineRule="exact"/>
              <w:jc w:val="center"/>
              <w:rPr>
                <w:rFonts w:hAnsi="宋体" w:cs="宋体"/>
                <w:snapToGrid w:val="0"/>
                <w:color w:val="auto"/>
                <w:kern w:val="0"/>
                <w:szCs w:val="24"/>
              </w:rPr>
            </w:pPr>
            <w:r>
              <w:rPr>
                <w:rFonts w:hint="eastAsia" w:hAnsi="宋体" w:cs="宋体"/>
                <w:snapToGrid w:val="0"/>
                <w:color w:val="auto"/>
                <w:kern w:val="0"/>
                <w:szCs w:val="24"/>
              </w:rPr>
              <w:t>招标人</w:t>
            </w:r>
          </w:p>
        </w:tc>
        <w:tc>
          <w:tcPr>
            <w:tcW w:w="6856" w:type="dxa"/>
            <w:tcBorders>
              <w:top w:val="single" w:color="auto" w:sz="4" w:space="0"/>
              <w:left w:val="single" w:color="auto" w:sz="4" w:space="0"/>
              <w:bottom w:val="single" w:color="auto" w:sz="4" w:space="0"/>
              <w:right w:val="single" w:color="auto" w:sz="4" w:space="0"/>
            </w:tcBorders>
            <w:vAlign w:val="center"/>
          </w:tcPr>
          <w:p w14:paraId="58847A09">
            <w:pPr>
              <w:wordWrap w:val="0"/>
              <w:adjustRightInd w:val="0"/>
              <w:snapToGrid w:val="0"/>
              <w:spacing w:line="360" w:lineRule="exact"/>
              <w:ind w:firstLine="480" w:firstLineChars="200"/>
              <w:jc w:val="left"/>
              <w:rPr>
                <w:rFonts w:hAnsi="宋体" w:cs="宋体"/>
                <w:snapToGrid w:val="0"/>
                <w:color w:val="auto"/>
                <w:kern w:val="0"/>
                <w:szCs w:val="24"/>
              </w:rPr>
            </w:pPr>
            <w:r>
              <w:rPr>
                <w:rFonts w:hint="eastAsia" w:hAnsi="宋体" w:cs="宋体"/>
                <w:snapToGrid w:val="0"/>
                <w:color w:val="auto"/>
                <w:kern w:val="0"/>
                <w:sz w:val="24"/>
                <w:szCs w:val="24"/>
                <w:highlight w:val="none"/>
                <w:lang w:eastAsia="zh-CN"/>
              </w:rPr>
              <w:t>翁源县公共资产管理中心</w:t>
            </w:r>
            <w:r>
              <w:rPr>
                <w:rFonts w:hint="eastAsia" w:hAnsi="宋体" w:cs="宋体"/>
                <w:snapToGrid w:val="0"/>
                <w:color w:val="auto"/>
                <w:kern w:val="0"/>
                <w:szCs w:val="24"/>
              </w:rPr>
              <w:t xml:space="preserve"> </w:t>
            </w:r>
          </w:p>
        </w:tc>
      </w:tr>
      <w:tr w14:paraId="3012C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721" w:type="dxa"/>
            <w:tcBorders>
              <w:top w:val="single" w:color="auto" w:sz="4" w:space="0"/>
              <w:left w:val="single" w:color="auto" w:sz="4" w:space="0"/>
              <w:bottom w:val="single" w:color="auto" w:sz="4" w:space="0"/>
              <w:right w:val="single" w:color="auto" w:sz="4" w:space="0"/>
            </w:tcBorders>
            <w:vAlign w:val="center"/>
          </w:tcPr>
          <w:p w14:paraId="0E9EEE60">
            <w:pPr>
              <w:wordWrap w:val="0"/>
              <w:adjustRightInd w:val="0"/>
              <w:snapToGrid w:val="0"/>
              <w:spacing w:line="400" w:lineRule="exact"/>
              <w:jc w:val="center"/>
              <w:rPr>
                <w:rFonts w:hAnsi="宋体" w:cs="宋体"/>
                <w:snapToGrid w:val="0"/>
                <w:color w:val="auto"/>
                <w:kern w:val="0"/>
                <w:szCs w:val="24"/>
              </w:rPr>
            </w:pPr>
            <w:r>
              <w:rPr>
                <w:rFonts w:hint="eastAsia" w:hAnsi="宋体" w:cs="宋体"/>
                <w:snapToGrid w:val="0"/>
                <w:color w:val="auto"/>
                <w:kern w:val="0"/>
                <w:szCs w:val="24"/>
              </w:rPr>
              <w:t>8</w:t>
            </w:r>
          </w:p>
        </w:tc>
        <w:tc>
          <w:tcPr>
            <w:tcW w:w="1725" w:type="dxa"/>
            <w:tcBorders>
              <w:top w:val="single" w:color="auto" w:sz="4" w:space="0"/>
              <w:left w:val="single" w:color="auto" w:sz="4" w:space="0"/>
              <w:bottom w:val="single" w:color="auto" w:sz="4" w:space="0"/>
              <w:right w:val="single" w:color="auto" w:sz="4" w:space="0"/>
            </w:tcBorders>
            <w:vAlign w:val="center"/>
          </w:tcPr>
          <w:p w14:paraId="62D7F6F0">
            <w:pPr>
              <w:wordWrap w:val="0"/>
              <w:adjustRightInd w:val="0"/>
              <w:snapToGrid w:val="0"/>
              <w:spacing w:line="360" w:lineRule="exact"/>
              <w:jc w:val="center"/>
              <w:rPr>
                <w:rFonts w:hAnsi="宋体" w:cs="宋体"/>
                <w:snapToGrid w:val="0"/>
                <w:color w:val="auto"/>
                <w:kern w:val="0"/>
                <w:szCs w:val="24"/>
              </w:rPr>
            </w:pPr>
            <w:r>
              <w:rPr>
                <w:rFonts w:hint="eastAsia" w:hAnsi="宋体" w:cs="宋体"/>
                <w:snapToGrid w:val="0"/>
                <w:color w:val="auto"/>
                <w:kern w:val="0"/>
                <w:szCs w:val="24"/>
              </w:rPr>
              <w:t>招标代理机构</w:t>
            </w:r>
          </w:p>
        </w:tc>
        <w:tc>
          <w:tcPr>
            <w:tcW w:w="6856" w:type="dxa"/>
            <w:tcBorders>
              <w:top w:val="single" w:color="auto" w:sz="4" w:space="0"/>
              <w:left w:val="single" w:color="auto" w:sz="4" w:space="0"/>
              <w:bottom w:val="single" w:color="auto" w:sz="4" w:space="0"/>
              <w:right w:val="single" w:color="auto" w:sz="4" w:space="0"/>
            </w:tcBorders>
            <w:vAlign w:val="center"/>
          </w:tcPr>
          <w:p w14:paraId="6D1CE985">
            <w:pPr>
              <w:wordWrap w:val="0"/>
              <w:adjustRightInd w:val="0"/>
              <w:snapToGrid w:val="0"/>
              <w:spacing w:line="360" w:lineRule="exact"/>
              <w:ind w:firstLine="480" w:firstLineChars="200"/>
              <w:jc w:val="left"/>
              <w:rPr>
                <w:rFonts w:hAnsi="宋体" w:cs="宋体"/>
                <w:snapToGrid w:val="0"/>
                <w:color w:val="auto"/>
                <w:kern w:val="0"/>
                <w:szCs w:val="24"/>
              </w:rPr>
            </w:pPr>
            <w:r>
              <w:rPr>
                <w:rFonts w:hint="eastAsia" w:hAnsi="宋体" w:cs="宋体"/>
                <w:snapToGrid w:val="0"/>
                <w:color w:val="auto"/>
                <w:kern w:val="0"/>
                <w:szCs w:val="24"/>
                <w:lang w:eastAsia="zh-CN"/>
              </w:rPr>
              <w:t>韶关市嘉泓工程咨询有限公司</w:t>
            </w:r>
            <w:r>
              <w:rPr>
                <w:rFonts w:hint="eastAsia" w:hAnsi="宋体" w:cs="宋体"/>
                <w:snapToGrid w:val="0"/>
                <w:color w:val="auto"/>
                <w:kern w:val="0"/>
                <w:szCs w:val="24"/>
              </w:rPr>
              <w:t xml:space="preserve"> </w:t>
            </w:r>
          </w:p>
        </w:tc>
      </w:tr>
      <w:tr w14:paraId="0F03E4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721" w:type="dxa"/>
            <w:tcBorders>
              <w:top w:val="single" w:color="auto" w:sz="4" w:space="0"/>
              <w:left w:val="single" w:color="auto" w:sz="4" w:space="0"/>
              <w:bottom w:val="single" w:color="auto" w:sz="4" w:space="0"/>
              <w:right w:val="single" w:color="auto" w:sz="4" w:space="0"/>
            </w:tcBorders>
            <w:vAlign w:val="center"/>
          </w:tcPr>
          <w:p w14:paraId="44FDA5B9">
            <w:pPr>
              <w:wordWrap w:val="0"/>
              <w:adjustRightInd w:val="0"/>
              <w:snapToGrid w:val="0"/>
              <w:spacing w:line="400" w:lineRule="exact"/>
              <w:jc w:val="center"/>
              <w:rPr>
                <w:rFonts w:hAnsi="宋体" w:cs="宋体"/>
                <w:snapToGrid w:val="0"/>
                <w:color w:val="auto"/>
                <w:kern w:val="0"/>
                <w:szCs w:val="24"/>
              </w:rPr>
            </w:pPr>
            <w:r>
              <w:rPr>
                <w:rFonts w:hint="eastAsia" w:hAnsi="宋体" w:cs="宋体"/>
                <w:snapToGrid w:val="0"/>
                <w:color w:val="auto"/>
                <w:kern w:val="0"/>
                <w:szCs w:val="24"/>
              </w:rPr>
              <w:t>9</w:t>
            </w:r>
          </w:p>
        </w:tc>
        <w:tc>
          <w:tcPr>
            <w:tcW w:w="1725" w:type="dxa"/>
            <w:tcBorders>
              <w:top w:val="single" w:color="auto" w:sz="4" w:space="0"/>
              <w:left w:val="single" w:color="auto" w:sz="4" w:space="0"/>
              <w:bottom w:val="single" w:color="auto" w:sz="4" w:space="0"/>
              <w:right w:val="single" w:color="auto" w:sz="4" w:space="0"/>
            </w:tcBorders>
            <w:vAlign w:val="center"/>
          </w:tcPr>
          <w:p w14:paraId="5F97BB74">
            <w:pPr>
              <w:wordWrap w:val="0"/>
              <w:adjustRightInd w:val="0"/>
              <w:snapToGrid w:val="0"/>
              <w:spacing w:line="360" w:lineRule="exact"/>
              <w:jc w:val="center"/>
              <w:rPr>
                <w:rFonts w:hAnsi="宋体" w:cs="宋体"/>
                <w:snapToGrid w:val="0"/>
                <w:color w:val="auto"/>
                <w:kern w:val="0"/>
                <w:szCs w:val="24"/>
              </w:rPr>
            </w:pPr>
            <w:r>
              <w:rPr>
                <w:rFonts w:hint="eastAsia" w:hAnsi="宋体" w:cs="宋体"/>
                <w:snapToGrid w:val="0"/>
                <w:color w:val="auto"/>
                <w:kern w:val="0"/>
                <w:szCs w:val="24"/>
              </w:rPr>
              <w:t>施工单位</w:t>
            </w:r>
          </w:p>
        </w:tc>
        <w:tc>
          <w:tcPr>
            <w:tcW w:w="6856" w:type="dxa"/>
            <w:tcBorders>
              <w:top w:val="single" w:color="auto" w:sz="4" w:space="0"/>
              <w:left w:val="single" w:color="auto" w:sz="4" w:space="0"/>
              <w:bottom w:val="single" w:color="auto" w:sz="4" w:space="0"/>
              <w:right w:val="single" w:color="auto" w:sz="4" w:space="0"/>
            </w:tcBorders>
            <w:vAlign w:val="center"/>
          </w:tcPr>
          <w:p w14:paraId="19819445">
            <w:pPr>
              <w:wordWrap w:val="0"/>
              <w:adjustRightInd w:val="0"/>
              <w:snapToGrid w:val="0"/>
              <w:spacing w:line="400" w:lineRule="exact"/>
              <w:ind w:firstLine="480" w:firstLineChars="200"/>
              <w:rPr>
                <w:rFonts w:hAnsi="宋体" w:cs="宋体"/>
                <w:bCs/>
                <w:snapToGrid w:val="0"/>
                <w:color w:val="auto"/>
                <w:kern w:val="0"/>
                <w:szCs w:val="24"/>
              </w:rPr>
            </w:pPr>
            <w:r>
              <w:rPr>
                <w:rFonts w:hint="eastAsia" w:hAnsi="宋体" w:cs="宋体"/>
                <w:bCs/>
                <w:snapToGrid w:val="0"/>
                <w:color w:val="auto"/>
                <w:kern w:val="0"/>
                <w:szCs w:val="24"/>
              </w:rPr>
              <w:t>待定</w:t>
            </w:r>
          </w:p>
        </w:tc>
      </w:tr>
      <w:tr w14:paraId="6F611B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25" w:hRule="exact"/>
        </w:trPr>
        <w:tc>
          <w:tcPr>
            <w:tcW w:w="721" w:type="dxa"/>
            <w:tcBorders>
              <w:top w:val="single" w:color="auto" w:sz="4" w:space="0"/>
              <w:left w:val="single" w:color="auto" w:sz="4" w:space="0"/>
              <w:bottom w:val="single" w:color="auto" w:sz="4" w:space="0"/>
              <w:right w:val="single" w:color="auto" w:sz="4" w:space="0"/>
            </w:tcBorders>
            <w:vAlign w:val="center"/>
          </w:tcPr>
          <w:p w14:paraId="0CB891BF">
            <w:pPr>
              <w:wordWrap w:val="0"/>
              <w:adjustRightInd w:val="0"/>
              <w:snapToGrid w:val="0"/>
              <w:spacing w:line="400" w:lineRule="exact"/>
              <w:jc w:val="center"/>
              <w:rPr>
                <w:rFonts w:hAnsi="宋体" w:cs="宋体"/>
                <w:snapToGrid w:val="0"/>
                <w:color w:val="auto"/>
                <w:kern w:val="0"/>
                <w:szCs w:val="24"/>
              </w:rPr>
            </w:pPr>
            <w:r>
              <w:rPr>
                <w:rFonts w:hint="eastAsia" w:hAnsi="宋体" w:cs="宋体"/>
                <w:snapToGrid w:val="0"/>
                <w:color w:val="auto"/>
                <w:kern w:val="0"/>
                <w:szCs w:val="24"/>
              </w:rPr>
              <w:t>10</w:t>
            </w:r>
          </w:p>
        </w:tc>
        <w:tc>
          <w:tcPr>
            <w:tcW w:w="1725" w:type="dxa"/>
            <w:tcBorders>
              <w:top w:val="single" w:color="auto" w:sz="4" w:space="0"/>
              <w:left w:val="single" w:color="auto" w:sz="4" w:space="0"/>
              <w:bottom w:val="single" w:color="auto" w:sz="4" w:space="0"/>
              <w:right w:val="single" w:color="auto" w:sz="4" w:space="0"/>
            </w:tcBorders>
            <w:vAlign w:val="center"/>
          </w:tcPr>
          <w:p w14:paraId="18DE4890">
            <w:pPr>
              <w:wordWrap w:val="0"/>
              <w:adjustRightInd w:val="0"/>
              <w:snapToGrid w:val="0"/>
              <w:spacing w:line="360" w:lineRule="exact"/>
              <w:jc w:val="center"/>
              <w:rPr>
                <w:rFonts w:hAnsi="宋体" w:cs="宋体"/>
                <w:snapToGrid w:val="0"/>
                <w:color w:val="auto"/>
                <w:kern w:val="0"/>
                <w:szCs w:val="24"/>
              </w:rPr>
            </w:pPr>
            <w:r>
              <w:rPr>
                <w:rFonts w:hint="eastAsia" w:hAnsi="宋体" w:cs="宋体"/>
                <w:snapToGrid w:val="0"/>
                <w:color w:val="auto"/>
                <w:kern w:val="0"/>
                <w:szCs w:val="24"/>
              </w:rPr>
              <w:t>建设地点</w:t>
            </w:r>
          </w:p>
        </w:tc>
        <w:tc>
          <w:tcPr>
            <w:tcW w:w="6856" w:type="dxa"/>
            <w:tcBorders>
              <w:top w:val="single" w:color="auto" w:sz="4" w:space="0"/>
              <w:left w:val="single" w:color="auto" w:sz="4" w:space="0"/>
              <w:bottom w:val="single" w:color="auto" w:sz="4" w:space="0"/>
              <w:right w:val="single" w:color="auto" w:sz="4" w:space="0"/>
            </w:tcBorders>
            <w:vAlign w:val="center"/>
          </w:tcPr>
          <w:p w14:paraId="4D9156A7">
            <w:pPr>
              <w:wordWrap w:val="0"/>
              <w:adjustRightInd w:val="0"/>
              <w:snapToGrid w:val="0"/>
              <w:spacing w:line="400" w:lineRule="exact"/>
              <w:ind w:firstLine="480" w:firstLineChars="200"/>
              <w:rPr>
                <w:rFonts w:hAnsi="宋体" w:cs="宋体"/>
                <w:bCs/>
                <w:snapToGrid w:val="0"/>
                <w:color w:val="auto"/>
                <w:kern w:val="0"/>
                <w:szCs w:val="24"/>
              </w:rPr>
            </w:pPr>
            <w:r>
              <w:rPr>
                <w:rFonts w:hint="eastAsia"/>
                <w:snapToGrid w:val="0"/>
                <w:color w:val="auto"/>
                <w:kern w:val="0"/>
                <w:sz w:val="24"/>
                <w:u w:val="none"/>
                <w:lang w:eastAsia="zh-CN"/>
              </w:rPr>
              <w:t>韶关市翁源县翁源产业园区</w:t>
            </w:r>
          </w:p>
        </w:tc>
      </w:tr>
      <w:tr w14:paraId="21D4F5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321" w:hRule="exact"/>
        </w:trPr>
        <w:tc>
          <w:tcPr>
            <w:tcW w:w="721" w:type="dxa"/>
            <w:tcBorders>
              <w:top w:val="single" w:color="auto" w:sz="4" w:space="0"/>
              <w:left w:val="single" w:color="auto" w:sz="4" w:space="0"/>
              <w:bottom w:val="single" w:color="auto" w:sz="4" w:space="0"/>
              <w:right w:val="single" w:color="auto" w:sz="4" w:space="0"/>
            </w:tcBorders>
            <w:vAlign w:val="center"/>
          </w:tcPr>
          <w:p w14:paraId="1174BF64">
            <w:pPr>
              <w:wordWrap w:val="0"/>
              <w:adjustRightInd w:val="0"/>
              <w:snapToGrid w:val="0"/>
              <w:spacing w:line="400" w:lineRule="exact"/>
              <w:jc w:val="center"/>
              <w:rPr>
                <w:rFonts w:hAnsi="宋体" w:cs="宋体"/>
                <w:snapToGrid w:val="0"/>
                <w:color w:val="auto"/>
                <w:kern w:val="0"/>
                <w:szCs w:val="24"/>
              </w:rPr>
            </w:pPr>
            <w:r>
              <w:rPr>
                <w:rFonts w:hint="eastAsia" w:hAnsi="宋体" w:cs="宋体"/>
                <w:snapToGrid w:val="0"/>
                <w:color w:val="auto"/>
                <w:kern w:val="0"/>
                <w:szCs w:val="24"/>
              </w:rPr>
              <w:t>11</w:t>
            </w:r>
          </w:p>
        </w:tc>
        <w:tc>
          <w:tcPr>
            <w:tcW w:w="1725" w:type="dxa"/>
            <w:tcBorders>
              <w:top w:val="single" w:color="auto" w:sz="4" w:space="0"/>
              <w:left w:val="single" w:color="auto" w:sz="4" w:space="0"/>
              <w:bottom w:val="single" w:color="auto" w:sz="4" w:space="0"/>
              <w:right w:val="single" w:color="auto" w:sz="4" w:space="0"/>
            </w:tcBorders>
            <w:vAlign w:val="center"/>
          </w:tcPr>
          <w:p w14:paraId="692FAE37">
            <w:pPr>
              <w:wordWrap w:val="0"/>
              <w:adjustRightInd w:val="0"/>
              <w:snapToGrid w:val="0"/>
              <w:spacing w:line="360" w:lineRule="exact"/>
              <w:jc w:val="center"/>
              <w:rPr>
                <w:rFonts w:hAnsi="宋体" w:cs="宋体"/>
                <w:snapToGrid w:val="0"/>
                <w:color w:val="auto"/>
                <w:kern w:val="0"/>
                <w:szCs w:val="24"/>
              </w:rPr>
            </w:pPr>
            <w:r>
              <w:rPr>
                <w:rFonts w:hint="eastAsia" w:hAnsi="宋体" w:cs="宋体"/>
                <w:snapToGrid w:val="0"/>
                <w:color w:val="auto"/>
                <w:kern w:val="0"/>
                <w:szCs w:val="24"/>
              </w:rPr>
              <w:t>建设内容和规模</w:t>
            </w:r>
          </w:p>
        </w:tc>
        <w:tc>
          <w:tcPr>
            <w:tcW w:w="6856" w:type="dxa"/>
            <w:tcBorders>
              <w:top w:val="single" w:color="auto" w:sz="4" w:space="0"/>
              <w:left w:val="single" w:color="auto" w:sz="4" w:space="0"/>
              <w:bottom w:val="single" w:color="auto" w:sz="4" w:space="0"/>
              <w:right w:val="single" w:color="auto" w:sz="4" w:space="0"/>
            </w:tcBorders>
            <w:vAlign w:val="center"/>
          </w:tcPr>
          <w:p w14:paraId="753B18AB">
            <w:pPr>
              <w:wordWrap w:val="0"/>
              <w:adjustRightInd w:val="0"/>
              <w:snapToGrid w:val="0"/>
              <w:spacing w:line="400" w:lineRule="exact"/>
              <w:ind w:firstLine="480" w:firstLineChars="200"/>
              <w:rPr>
                <w:rFonts w:hAnsi="宋体" w:cs="宋体"/>
                <w:snapToGrid w:val="0"/>
                <w:color w:val="auto"/>
                <w:kern w:val="0"/>
                <w:szCs w:val="24"/>
              </w:rPr>
            </w:pPr>
            <w:r>
              <w:rPr>
                <w:rFonts w:hint="eastAsia" w:hAnsi="宋体" w:cs="宋体"/>
                <w:snapToGrid w:val="0"/>
                <w:color w:val="auto"/>
                <w:kern w:val="0"/>
                <w:szCs w:val="24"/>
                <w:lang w:eastAsia="zh-CN"/>
              </w:rPr>
              <w:t>续建园区主干道路，长约2公里，包括（道路工程、雨水工程、污水工程、交通工程、照明工程、绿化工程、电力工程、通信工程、箱涵工程</w:t>
            </w:r>
            <w:r>
              <w:rPr>
                <w:rFonts w:hint="eastAsia" w:hAnsi="宋体" w:cs="宋体"/>
                <w:snapToGrid w:val="0"/>
                <w:color w:val="auto"/>
                <w:kern w:val="0"/>
                <w:szCs w:val="24"/>
              </w:rPr>
              <w:t>。</w:t>
            </w:r>
          </w:p>
          <w:p w14:paraId="1B7F3922">
            <w:pPr>
              <w:wordWrap w:val="0"/>
              <w:adjustRightInd w:val="0"/>
              <w:snapToGrid w:val="0"/>
              <w:spacing w:line="400" w:lineRule="exact"/>
              <w:ind w:firstLine="480" w:firstLineChars="200"/>
              <w:rPr>
                <w:rFonts w:hAnsi="宋体" w:cs="宋体"/>
                <w:snapToGrid w:val="0"/>
                <w:color w:val="auto"/>
                <w:kern w:val="0"/>
                <w:szCs w:val="24"/>
              </w:rPr>
            </w:pPr>
          </w:p>
        </w:tc>
      </w:tr>
      <w:tr w14:paraId="572D1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5" w:hRule="exact"/>
        </w:trPr>
        <w:tc>
          <w:tcPr>
            <w:tcW w:w="721" w:type="dxa"/>
            <w:tcBorders>
              <w:top w:val="single" w:color="auto" w:sz="4" w:space="0"/>
              <w:left w:val="single" w:color="auto" w:sz="4" w:space="0"/>
              <w:bottom w:val="single" w:color="auto" w:sz="4" w:space="0"/>
              <w:right w:val="single" w:color="auto" w:sz="4" w:space="0"/>
            </w:tcBorders>
            <w:vAlign w:val="center"/>
          </w:tcPr>
          <w:p w14:paraId="21151AC9">
            <w:pPr>
              <w:wordWrap w:val="0"/>
              <w:adjustRightInd w:val="0"/>
              <w:snapToGrid w:val="0"/>
              <w:spacing w:line="400" w:lineRule="exact"/>
              <w:jc w:val="center"/>
              <w:rPr>
                <w:rFonts w:hAnsi="宋体" w:cs="宋体"/>
                <w:snapToGrid w:val="0"/>
                <w:color w:val="auto"/>
                <w:kern w:val="0"/>
                <w:szCs w:val="24"/>
              </w:rPr>
            </w:pPr>
            <w:r>
              <w:rPr>
                <w:rFonts w:hint="eastAsia" w:hAnsi="宋体" w:cs="宋体"/>
                <w:snapToGrid w:val="0"/>
                <w:color w:val="auto"/>
                <w:kern w:val="0"/>
                <w:szCs w:val="24"/>
              </w:rPr>
              <w:t>12</w:t>
            </w:r>
          </w:p>
        </w:tc>
        <w:tc>
          <w:tcPr>
            <w:tcW w:w="1725" w:type="dxa"/>
            <w:tcBorders>
              <w:top w:val="single" w:color="auto" w:sz="4" w:space="0"/>
              <w:left w:val="single" w:color="auto" w:sz="4" w:space="0"/>
              <w:bottom w:val="single" w:color="auto" w:sz="4" w:space="0"/>
              <w:right w:val="single" w:color="auto" w:sz="4" w:space="0"/>
            </w:tcBorders>
            <w:vAlign w:val="center"/>
          </w:tcPr>
          <w:p w14:paraId="5CE495D9">
            <w:pPr>
              <w:wordWrap w:val="0"/>
              <w:adjustRightInd w:val="0"/>
              <w:snapToGrid w:val="0"/>
              <w:spacing w:line="360" w:lineRule="exact"/>
              <w:jc w:val="center"/>
              <w:rPr>
                <w:rFonts w:hAnsi="宋体" w:cs="宋体"/>
                <w:snapToGrid w:val="0"/>
                <w:color w:val="auto"/>
                <w:kern w:val="0"/>
                <w:szCs w:val="24"/>
              </w:rPr>
            </w:pPr>
            <w:r>
              <w:rPr>
                <w:rFonts w:hint="eastAsia" w:hAnsi="宋体" w:cs="宋体"/>
                <w:snapToGrid w:val="0"/>
                <w:color w:val="auto"/>
                <w:kern w:val="0"/>
                <w:szCs w:val="24"/>
              </w:rPr>
              <w:t>项目总投资</w:t>
            </w:r>
          </w:p>
        </w:tc>
        <w:tc>
          <w:tcPr>
            <w:tcW w:w="6856" w:type="dxa"/>
            <w:tcBorders>
              <w:top w:val="single" w:color="auto" w:sz="4" w:space="0"/>
              <w:left w:val="single" w:color="auto" w:sz="4" w:space="0"/>
              <w:bottom w:val="single" w:color="auto" w:sz="4" w:space="0"/>
              <w:right w:val="single" w:color="auto" w:sz="4" w:space="0"/>
            </w:tcBorders>
            <w:vAlign w:val="center"/>
          </w:tcPr>
          <w:p w14:paraId="1BEF1AB0">
            <w:pPr>
              <w:wordWrap w:val="0"/>
              <w:adjustRightInd w:val="0"/>
              <w:snapToGrid w:val="0"/>
              <w:spacing w:line="360" w:lineRule="exact"/>
              <w:ind w:firstLine="480" w:firstLineChars="200"/>
              <w:jc w:val="left"/>
              <w:rPr>
                <w:rFonts w:hAnsi="宋体" w:cs="宋体"/>
                <w:snapToGrid w:val="0"/>
                <w:color w:val="auto"/>
                <w:kern w:val="0"/>
                <w:szCs w:val="24"/>
              </w:rPr>
            </w:pPr>
            <w:r>
              <w:rPr>
                <w:rFonts w:hint="eastAsia" w:hAnsi="宋体" w:cs="宋体"/>
                <w:snapToGrid w:val="0"/>
                <w:color w:val="auto"/>
                <w:kern w:val="0"/>
                <w:szCs w:val="24"/>
                <w:lang w:eastAsia="zh-CN"/>
              </w:rPr>
              <w:t>项目估算总投资113134.94万元，本次招标项目建安工程费</w:t>
            </w:r>
            <w:r>
              <w:rPr>
                <w:rFonts w:hint="eastAsia" w:hAnsi="宋体" w:cs="宋体"/>
                <w:snapToGrid w:val="0"/>
                <w:color w:val="auto"/>
                <w:kern w:val="0"/>
                <w:szCs w:val="24"/>
                <w:lang w:val="en-US" w:eastAsia="zh-CN"/>
              </w:rPr>
              <w:t>4988.00</w:t>
            </w:r>
            <w:r>
              <w:rPr>
                <w:rFonts w:hint="eastAsia" w:hAnsi="宋体" w:cs="宋体"/>
                <w:snapToGrid w:val="0"/>
                <w:color w:val="auto"/>
                <w:kern w:val="0"/>
                <w:szCs w:val="24"/>
                <w:lang w:eastAsia="zh-CN"/>
              </w:rPr>
              <w:t>万元，本次招标监理服务费为59万元</w:t>
            </w:r>
            <w:r>
              <w:rPr>
                <w:rFonts w:hint="eastAsia" w:hAnsi="宋体" w:cs="宋体"/>
                <w:snapToGrid w:val="0"/>
                <w:color w:val="auto"/>
                <w:kern w:val="0"/>
                <w:szCs w:val="24"/>
              </w:rPr>
              <w:t>。</w:t>
            </w:r>
          </w:p>
          <w:p w14:paraId="770189E7">
            <w:pPr>
              <w:wordWrap w:val="0"/>
              <w:adjustRightInd w:val="0"/>
              <w:snapToGrid w:val="0"/>
              <w:spacing w:line="360" w:lineRule="exact"/>
              <w:ind w:firstLine="480" w:firstLineChars="200"/>
              <w:jc w:val="left"/>
              <w:rPr>
                <w:rFonts w:hAnsi="宋体" w:cs="宋体"/>
                <w:snapToGrid w:val="0"/>
                <w:color w:val="auto"/>
                <w:kern w:val="0"/>
                <w:szCs w:val="24"/>
              </w:rPr>
            </w:pPr>
          </w:p>
        </w:tc>
      </w:tr>
      <w:tr w14:paraId="52E2A3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13" w:hRule="exact"/>
        </w:trPr>
        <w:tc>
          <w:tcPr>
            <w:tcW w:w="721" w:type="dxa"/>
            <w:tcBorders>
              <w:top w:val="single" w:color="auto" w:sz="4" w:space="0"/>
              <w:left w:val="single" w:color="auto" w:sz="4" w:space="0"/>
              <w:bottom w:val="single" w:color="auto" w:sz="4" w:space="0"/>
              <w:right w:val="single" w:color="auto" w:sz="4" w:space="0"/>
            </w:tcBorders>
            <w:vAlign w:val="center"/>
          </w:tcPr>
          <w:p w14:paraId="69AB732E">
            <w:pPr>
              <w:wordWrap w:val="0"/>
              <w:adjustRightInd w:val="0"/>
              <w:snapToGrid w:val="0"/>
              <w:spacing w:line="400" w:lineRule="exact"/>
              <w:jc w:val="center"/>
              <w:rPr>
                <w:rFonts w:hAnsi="宋体" w:cs="宋体"/>
                <w:snapToGrid w:val="0"/>
                <w:color w:val="auto"/>
                <w:kern w:val="0"/>
                <w:szCs w:val="24"/>
              </w:rPr>
            </w:pPr>
            <w:r>
              <w:rPr>
                <w:rFonts w:hint="eastAsia" w:hAnsi="宋体" w:cs="宋体"/>
                <w:snapToGrid w:val="0"/>
                <w:color w:val="auto"/>
                <w:kern w:val="0"/>
                <w:szCs w:val="24"/>
              </w:rPr>
              <w:t>13</w:t>
            </w:r>
          </w:p>
        </w:tc>
        <w:tc>
          <w:tcPr>
            <w:tcW w:w="1725" w:type="dxa"/>
            <w:tcBorders>
              <w:top w:val="single" w:color="auto" w:sz="4" w:space="0"/>
              <w:left w:val="single" w:color="auto" w:sz="4" w:space="0"/>
              <w:bottom w:val="single" w:color="auto" w:sz="4" w:space="0"/>
              <w:right w:val="single" w:color="auto" w:sz="4" w:space="0"/>
            </w:tcBorders>
            <w:vAlign w:val="center"/>
          </w:tcPr>
          <w:p w14:paraId="1C779CC4">
            <w:pPr>
              <w:wordWrap w:val="0"/>
              <w:adjustRightInd w:val="0"/>
              <w:snapToGrid w:val="0"/>
              <w:spacing w:line="360" w:lineRule="exact"/>
              <w:jc w:val="center"/>
              <w:rPr>
                <w:rFonts w:hAnsi="宋体" w:cs="宋体"/>
                <w:snapToGrid w:val="0"/>
                <w:color w:val="auto"/>
                <w:kern w:val="0"/>
                <w:szCs w:val="24"/>
              </w:rPr>
            </w:pPr>
            <w:r>
              <w:rPr>
                <w:rFonts w:hint="eastAsia" w:hAnsi="宋体" w:cs="宋体"/>
                <w:snapToGrid w:val="0"/>
                <w:color w:val="auto"/>
                <w:kern w:val="0"/>
                <w:szCs w:val="24"/>
              </w:rPr>
              <w:t>招标范围</w:t>
            </w:r>
          </w:p>
        </w:tc>
        <w:tc>
          <w:tcPr>
            <w:tcW w:w="6856" w:type="dxa"/>
            <w:tcBorders>
              <w:top w:val="single" w:color="auto" w:sz="4" w:space="0"/>
              <w:left w:val="single" w:color="auto" w:sz="4" w:space="0"/>
              <w:bottom w:val="single" w:color="auto" w:sz="4" w:space="0"/>
              <w:right w:val="single" w:color="auto" w:sz="4" w:space="0"/>
            </w:tcBorders>
            <w:vAlign w:val="center"/>
          </w:tcPr>
          <w:p w14:paraId="7D73D7B0">
            <w:pPr>
              <w:wordWrap w:val="0"/>
              <w:adjustRightInd w:val="0"/>
              <w:snapToGrid w:val="0"/>
              <w:spacing w:line="400" w:lineRule="exact"/>
              <w:ind w:firstLine="480" w:firstLineChars="200"/>
              <w:rPr>
                <w:rFonts w:hAnsi="宋体" w:cs="宋体"/>
                <w:bCs/>
                <w:snapToGrid w:val="0"/>
                <w:color w:val="auto"/>
                <w:kern w:val="0"/>
                <w:szCs w:val="24"/>
              </w:rPr>
            </w:pPr>
            <w:r>
              <w:rPr>
                <w:rFonts w:hint="eastAsia" w:hAnsi="宋体" w:cs="宋体"/>
                <w:bCs/>
                <w:snapToGrid w:val="0"/>
                <w:color w:val="auto"/>
                <w:kern w:val="0"/>
                <w:szCs w:val="24"/>
              </w:rPr>
              <w:t>项目建设施工阶段监理（含施工准备阶段、施工阶段、工程竣工结算阶段和保修阶段监理）</w:t>
            </w:r>
          </w:p>
        </w:tc>
      </w:tr>
      <w:tr w14:paraId="232E68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4" w:hRule="exact"/>
        </w:trPr>
        <w:tc>
          <w:tcPr>
            <w:tcW w:w="721" w:type="dxa"/>
            <w:tcBorders>
              <w:top w:val="single" w:color="auto" w:sz="4" w:space="0"/>
              <w:left w:val="single" w:color="auto" w:sz="4" w:space="0"/>
              <w:bottom w:val="single" w:color="auto" w:sz="4" w:space="0"/>
              <w:right w:val="single" w:color="auto" w:sz="4" w:space="0"/>
            </w:tcBorders>
            <w:vAlign w:val="center"/>
          </w:tcPr>
          <w:p w14:paraId="27217C37">
            <w:pPr>
              <w:wordWrap w:val="0"/>
              <w:adjustRightInd w:val="0"/>
              <w:snapToGrid w:val="0"/>
              <w:spacing w:line="400" w:lineRule="exact"/>
              <w:jc w:val="center"/>
              <w:rPr>
                <w:rFonts w:hAnsi="宋体" w:cs="宋体"/>
                <w:snapToGrid w:val="0"/>
                <w:color w:val="auto"/>
                <w:kern w:val="0"/>
                <w:szCs w:val="24"/>
              </w:rPr>
            </w:pPr>
            <w:r>
              <w:rPr>
                <w:rFonts w:hint="eastAsia" w:hAnsi="宋体" w:cs="宋体"/>
                <w:snapToGrid w:val="0"/>
                <w:color w:val="auto"/>
                <w:kern w:val="0"/>
                <w:szCs w:val="24"/>
              </w:rPr>
              <w:t>14</w:t>
            </w:r>
          </w:p>
        </w:tc>
        <w:tc>
          <w:tcPr>
            <w:tcW w:w="1725" w:type="dxa"/>
            <w:tcBorders>
              <w:top w:val="single" w:color="auto" w:sz="4" w:space="0"/>
              <w:left w:val="single" w:color="auto" w:sz="4" w:space="0"/>
              <w:bottom w:val="single" w:color="auto" w:sz="4" w:space="0"/>
              <w:right w:val="single" w:color="auto" w:sz="4" w:space="0"/>
            </w:tcBorders>
            <w:vAlign w:val="center"/>
          </w:tcPr>
          <w:p w14:paraId="495A4C56">
            <w:pPr>
              <w:wordWrap w:val="0"/>
              <w:adjustRightInd w:val="0"/>
              <w:snapToGrid w:val="0"/>
              <w:spacing w:line="360" w:lineRule="exact"/>
              <w:jc w:val="center"/>
              <w:rPr>
                <w:rFonts w:hAnsi="宋体" w:cs="宋体"/>
                <w:snapToGrid w:val="0"/>
                <w:color w:val="auto"/>
                <w:kern w:val="0"/>
                <w:szCs w:val="24"/>
              </w:rPr>
            </w:pPr>
            <w:r>
              <w:rPr>
                <w:rFonts w:hint="eastAsia" w:hAnsi="宋体" w:cs="宋体"/>
                <w:snapToGrid w:val="0"/>
                <w:color w:val="auto"/>
                <w:kern w:val="0"/>
                <w:szCs w:val="24"/>
              </w:rPr>
              <w:t>标段划分</w:t>
            </w:r>
          </w:p>
        </w:tc>
        <w:tc>
          <w:tcPr>
            <w:tcW w:w="6856" w:type="dxa"/>
            <w:tcBorders>
              <w:top w:val="single" w:color="auto" w:sz="4" w:space="0"/>
              <w:left w:val="single" w:color="auto" w:sz="4" w:space="0"/>
              <w:bottom w:val="single" w:color="auto" w:sz="4" w:space="0"/>
              <w:right w:val="single" w:color="auto" w:sz="4" w:space="0"/>
            </w:tcBorders>
            <w:vAlign w:val="center"/>
          </w:tcPr>
          <w:p w14:paraId="58857245">
            <w:pPr>
              <w:wordWrap w:val="0"/>
              <w:adjustRightInd w:val="0"/>
              <w:snapToGrid w:val="0"/>
              <w:spacing w:line="400" w:lineRule="exact"/>
              <w:ind w:firstLine="480" w:firstLineChars="200"/>
              <w:rPr>
                <w:rFonts w:hAnsi="宋体" w:cs="宋体"/>
                <w:snapToGrid w:val="0"/>
                <w:color w:val="auto"/>
                <w:kern w:val="0"/>
                <w:szCs w:val="24"/>
              </w:rPr>
            </w:pPr>
            <w:r>
              <w:rPr>
                <w:rFonts w:hint="eastAsia" w:hAnsi="宋体" w:cs="宋体"/>
                <w:snapToGrid w:val="0"/>
                <w:color w:val="auto"/>
                <w:kern w:val="0"/>
                <w:szCs w:val="24"/>
              </w:rPr>
              <w:t>本招标项目不划分标段。</w:t>
            </w:r>
          </w:p>
        </w:tc>
      </w:tr>
      <w:tr w14:paraId="32ADE7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77" w:hRule="atLeast"/>
        </w:trPr>
        <w:tc>
          <w:tcPr>
            <w:tcW w:w="721" w:type="dxa"/>
            <w:tcBorders>
              <w:top w:val="single" w:color="auto" w:sz="4" w:space="0"/>
              <w:left w:val="single" w:color="auto" w:sz="4" w:space="0"/>
              <w:bottom w:val="single" w:color="auto" w:sz="4" w:space="0"/>
              <w:right w:val="single" w:color="auto" w:sz="4" w:space="0"/>
            </w:tcBorders>
            <w:vAlign w:val="center"/>
          </w:tcPr>
          <w:p w14:paraId="629D820E">
            <w:pPr>
              <w:wordWrap w:val="0"/>
              <w:adjustRightInd w:val="0"/>
              <w:snapToGrid w:val="0"/>
              <w:spacing w:line="400" w:lineRule="exact"/>
              <w:jc w:val="center"/>
              <w:rPr>
                <w:rFonts w:hAnsi="宋体" w:cs="宋体"/>
                <w:snapToGrid w:val="0"/>
                <w:color w:val="auto"/>
                <w:kern w:val="0"/>
                <w:szCs w:val="24"/>
              </w:rPr>
            </w:pPr>
            <w:r>
              <w:rPr>
                <w:rFonts w:hint="eastAsia" w:hAnsi="宋体" w:cs="宋体"/>
                <w:snapToGrid w:val="0"/>
                <w:color w:val="auto"/>
                <w:kern w:val="0"/>
                <w:szCs w:val="24"/>
              </w:rPr>
              <w:t>15</w:t>
            </w:r>
          </w:p>
        </w:tc>
        <w:tc>
          <w:tcPr>
            <w:tcW w:w="1725" w:type="dxa"/>
            <w:tcBorders>
              <w:top w:val="single" w:color="auto" w:sz="4" w:space="0"/>
              <w:left w:val="single" w:color="auto" w:sz="4" w:space="0"/>
              <w:bottom w:val="single" w:color="auto" w:sz="4" w:space="0"/>
              <w:right w:val="single" w:color="auto" w:sz="4" w:space="0"/>
            </w:tcBorders>
            <w:vAlign w:val="center"/>
          </w:tcPr>
          <w:p w14:paraId="665D96A6">
            <w:pPr>
              <w:wordWrap w:val="0"/>
              <w:adjustRightInd w:val="0"/>
              <w:snapToGrid w:val="0"/>
              <w:spacing w:line="360" w:lineRule="exact"/>
              <w:jc w:val="center"/>
              <w:rPr>
                <w:rFonts w:hAnsi="宋体" w:cs="宋体"/>
                <w:snapToGrid w:val="0"/>
                <w:color w:val="auto"/>
                <w:kern w:val="0"/>
                <w:szCs w:val="24"/>
              </w:rPr>
            </w:pPr>
            <w:r>
              <w:rPr>
                <w:rFonts w:hint="eastAsia" w:hAnsi="宋体" w:cs="宋体"/>
                <w:snapToGrid w:val="0"/>
                <w:color w:val="auto"/>
                <w:kern w:val="0"/>
                <w:szCs w:val="24"/>
              </w:rPr>
              <w:t>投标人资格要求</w:t>
            </w:r>
          </w:p>
        </w:tc>
        <w:tc>
          <w:tcPr>
            <w:tcW w:w="6856" w:type="dxa"/>
            <w:tcBorders>
              <w:top w:val="single" w:color="auto" w:sz="4" w:space="0"/>
              <w:left w:val="single" w:color="auto" w:sz="4" w:space="0"/>
              <w:bottom w:val="single" w:color="auto" w:sz="4" w:space="0"/>
              <w:right w:val="single" w:color="auto" w:sz="4" w:space="0"/>
            </w:tcBorders>
            <w:vAlign w:val="center"/>
          </w:tcPr>
          <w:p w14:paraId="2E5E2276">
            <w:pPr>
              <w:wordWrap w:val="0"/>
              <w:adjustRightInd w:val="0"/>
              <w:snapToGrid w:val="0"/>
              <w:spacing w:line="440" w:lineRule="exact"/>
              <w:ind w:firstLine="480" w:firstLineChars="200"/>
              <w:rPr>
                <w:rFonts w:hAnsi="宋体" w:cs="宋体"/>
                <w:color w:val="auto"/>
                <w:szCs w:val="24"/>
              </w:rPr>
            </w:pPr>
            <w:r>
              <w:rPr>
                <w:rFonts w:hint="eastAsia" w:hAnsi="宋体" w:cs="宋体"/>
                <w:color w:val="auto"/>
                <w:szCs w:val="24"/>
              </w:rPr>
              <w:t>1．本次招标不接受联合体投标。</w:t>
            </w:r>
          </w:p>
          <w:p w14:paraId="59FD0268">
            <w:pPr>
              <w:wordWrap w:val="0"/>
              <w:adjustRightInd w:val="0"/>
              <w:snapToGrid w:val="0"/>
              <w:spacing w:line="440" w:lineRule="exact"/>
              <w:ind w:firstLine="480" w:firstLineChars="200"/>
              <w:rPr>
                <w:rFonts w:hAnsi="宋体" w:cs="宋体"/>
                <w:color w:val="auto"/>
                <w:szCs w:val="24"/>
              </w:rPr>
            </w:pPr>
            <w:r>
              <w:rPr>
                <w:rFonts w:hint="eastAsia" w:hAnsi="宋体" w:cs="宋体"/>
                <w:color w:val="auto"/>
                <w:szCs w:val="24"/>
              </w:rPr>
              <w:t>2．资质要求</w:t>
            </w:r>
          </w:p>
          <w:p w14:paraId="23E5FD17">
            <w:pPr>
              <w:wordWrap w:val="0"/>
              <w:adjustRightInd w:val="0"/>
              <w:snapToGrid w:val="0"/>
              <w:spacing w:line="440" w:lineRule="exact"/>
              <w:ind w:firstLine="480" w:firstLineChars="200"/>
              <w:jc w:val="left"/>
              <w:rPr>
                <w:rFonts w:hAnsi="宋体" w:cs="宋体"/>
                <w:color w:val="auto"/>
                <w:szCs w:val="24"/>
              </w:rPr>
            </w:pPr>
            <w:r>
              <w:rPr>
                <w:rFonts w:hint="eastAsia" w:hAnsi="宋体" w:cs="宋体"/>
                <w:color w:val="auto"/>
                <w:szCs w:val="24"/>
              </w:rPr>
              <w:t>2.1 投标人须具备独立法人资格，按国家法律经营。</w:t>
            </w:r>
          </w:p>
          <w:p w14:paraId="34394DF2">
            <w:pPr>
              <w:wordWrap w:val="0"/>
              <w:adjustRightInd w:val="0"/>
              <w:snapToGrid w:val="0"/>
              <w:spacing w:line="440" w:lineRule="exact"/>
              <w:ind w:firstLine="480" w:firstLineChars="200"/>
              <w:jc w:val="left"/>
              <w:rPr>
                <w:rFonts w:hAnsi="宋体" w:cs="宋体"/>
                <w:color w:val="auto"/>
                <w:szCs w:val="24"/>
              </w:rPr>
            </w:pPr>
            <w:r>
              <w:rPr>
                <w:rFonts w:hint="eastAsia" w:hAnsi="宋体" w:cs="宋体"/>
                <w:color w:val="auto"/>
                <w:szCs w:val="24"/>
              </w:rPr>
              <w:t>2.2 投标人须具备以下资质：投标人必须是具有工程监理综合资质或</w:t>
            </w:r>
            <w:r>
              <w:rPr>
                <w:rFonts w:hint="eastAsia" w:hAnsi="宋体" w:cs="宋体"/>
                <w:color w:val="auto"/>
                <w:szCs w:val="24"/>
                <w:lang w:eastAsia="zh-CN"/>
              </w:rPr>
              <w:t>市政公用工程专业监理乙级以上（含乙级）资质</w:t>
            </w:r>
            <w:r>
              <w:rPr>
                <w:rFonts w:hint="eastAsia" w:hAnsi="宋体" w:cs="宋体"/>
                <w:color w:val="auto"/>
                <w:szCs w:val="24"/>
              </w:rPr>
              <w:t>的独立法人。</w:t>
            </w:r>
          </w:p>
          <w:p w14:paraId="6D0A55F3">
            <w:pPr>
              <w:wordWrap w:val="0"/>
              <w:adjustRightInd w:val="0"/>
              <w:snapToGrid w:val="0"/>
              <w:spacing w:line="440" w:lineRule="exact"/>
              <w:ind w:firstLine="480" w:firstLineChars="200"/>
              <w:jc w:val="left"/>
              <w:rPr>
                <w:rFonts w:hAnsi="宋体" w:cs="宋体"/>
                <w:color w:val="auto"/>
                <w:szCs w:val="24"/>
              </w:rPr>
            </w:pPr>
            <w:r>
              <w:rPr>
                <w:rFonts w:hint="eastAsia" w:hAnsi="宋体" w:cs="宋体"/>
                <w:color w:val="auto"/>
                <w:szCs w:val="24"/>
              </w:rPr>
              <w:t>2.3 投标人的企业相关证书到期的，均按该证书的发证机构相关行业主管部门最新文件执行（如自动顺延或资质延续有关事项的通知），投标人必须将相关文件（经核准延续的资质证书或提供了延续申请的相关证明材料，如“三库一平台”提交申请截图、申请回执等）附在该证书后面中，证明在开标日继续有效。</w:t>
            </w:r>
          </w:p>
          <w:p w14:paraId="7D103380">
            <w:pPr>
              <w:wordWrap w:val="0"/>
              <w:adjustRightInd w:val="0"/>
              <w:snapToGrid w:val="0"/>
              <w:spacing w:line="440" w:lineRule="exact"/>
              <w:ind w:firstLine="480" w:firstLineChars="200"/>
              <w:jc w:val="left"/>
              <w:rPr>
                <w:rFonts w:hAnsi="宋体" w:cs="宋体"/>
                <w:color w:val="auto"/>
                <w:szCs w:val="24"/>
              </w:rPr>
            </w:pPr>
            <w:r>
              <w:rPr>
                <w:rFonts w:hint="eastAsia" w:hAnsi="宋体" w:cs="宋体"/>
                <w:color w:val="auto"/>
                <w:szCs w:val="24"/>
              </w:rPr>
              <w:t>3．相关人员要求</w:t>
            </w:r>
          </w:p>
          <w:p w14:paraId="0812C5D6">
            <w:pPr>
              <w:wordWrap w:val="0"/>
              <w:adjustRightInd w:val="0"/>
              <w:snapToGrid w:val="0"/>
              <w:spacing w:line="440" w:lineRule="exact"/>
              <w:ind w:firstLine="480" w:firstLineChars="200"/>
              <w:jc w:val="left"/>
              <w:rPr>
                <w:rFonts w:hAnsi="宋体" w:cs="宋体"/>
                <w:color w:val="auto"/>
                <w:szCs w:val="24"/>
              </w:rPr>
            </w:pPr>
            <w:r>
              <w:rPr>
                <w:rFonts w:hint="eastAsia" w:hAnsi="宋体" w:cs="宋体"/>
                <w:color w:val="auto"/>
                <w:szCs w:val="24"/>
              </w:rPr>
              <w:t>3.1 拟派总监理工程师为市政公用工程专业注册监理工程师，应持有国家住建部印发的有效注册证书，其担任总监理工程师职务的其他在施（包括已中标未开工、已开工未竣工）建设工程项目不得超过</w:t>
            </w:r>
            <w:r>
              <w:rPr>
                <w:rFonts w:hint="eastAsia" w:hAnsi="宋体" w:cs="宋体"/>
                <w:color w:val="auto"/>
                <w:szCs w:val="24"/>
                <w:u w:val="single"/>
              </w:rPr>
              <w:t xml:space="preserve"> 2 </w:t>
            </w:r>
            <w:r>
              <w:rPr>
                <w:rFonts w:hint="eastAsia" w:hAnsi="宋体" w:cs="宋体"/>
                <w:color w:val="auto"/>
                <w:szCs w:val="24"/>
              </w:rPr>
              <w:t>个。</w:t>
            </w:r>
          </w:p>
          <w:p w14:paraId="4A7A000A">
            <w:pPr>
              <w:wordWrap w:val="0"/>
              <w:adjustRightInd w:val="0"/>
              <w:snapToGrid w:val="0"/>
              <w:spacing w:line="440" w:lineRule="exact"/>
              <w:ind w:firstLine="480" w:firstLineChars="200"/>
              <w:jc w:val="left"/>
              <w:rPr>
                <w:rFonts w:hAnsi="宋体" w:cs="宋体"/>
                <w:color w:val="auto"/>
                <w:szCs w:val="24"/>
              </w:rPr>
            </w:pPr>
            <w:r>
              <w:rPr>
                <w:rFonts w:hint="eastAsia" w:hAnsi="宋体" w:cs="宋体"/>
                <w:color w:val="auto"/>
                <w:szCs w:val="24"/>
              </w:rPr>
              <w:t>拟派总监理工程师现阶段有担任其他在施建设工程项目总监理工程师职务的，须得到任职项目建设单位书面同意后方可担任本招标项目总监理工程师。</w:t>
            </w:r>
          </w:p>
          <w:p w14:paraId="4D2A7177">
            <w:pPr>
              <w:wordWrap w:val="0"/>
              <w:adjustRightInd w:val="0"/>
              <w:snapToGrid w:val="0"/>
              <w:spacing w:line="440" w:lineRule="exact"/>
              <w:ind w:firstLine="480" w:firstLineChars="200"/>
              <w:jc w:val="left"/>
              <w:rPr>
                <w:rFonts w:hAnsi="宋体" w:cs="宋体"/>
                <w:color w:val="auto"/>
                <w:szCs w:val="24"/>
              </w:rPr>
            </w:pPr>
            <w:r>
              <w:rPr>
                <w:rFonts w:hint="eastAsia" w:hAnsi="宋体" w:cs="宋体"/>
                <w:color w:val="auto"/>
                <w:szCs w:val="24"/>
              </w:rPr>
              <w:t>3.2 投标人与其拟派往本项目监理机构的所有人员之间必须具备合法、唯一的劳动聘用关系。拟派人员中具备注册执业资格的，其注册单位须与投标人保持一致。</w:t>
            </w:r>
          </w:p>
          <w:p w14:paraId="280F50FE">
            <w:pPr>
              <w:wordWrap w:val="0"/>
              <w:adjustRightInd w:val="0"/>
              <w:snapToGrid w:val="0"/>
              <w:spacing w:line="440" w:lineRule="exact"/>
              <w:ind w:firstLine="480" w:firstLineChars="200"/>
              <w:jc w:val="left"/>
              <w:rPr>
                <w:rFonts w:hAnsi="宋体" w:cs="宋体"/>
                <w:color w:val="auto"/>
                <w:szCs w:val="24"/>
              </w:rPr>
            </w:pPr>
            <w:r>
              <w:rPr>
                <w:rFonts w:hint="eastAsia" w:hAnsi="宋体" w:cs="宋体"/>
                <w:color w:val="auto"/>
                <w:szCs w:val="24"/>
              </w:rPr>
              <w:t>4．禁止投标条款</w:t>
            </w:r>
          </w:p>
          <w:p w14:paraId="70DE0043">
            <w:pPr>
              <w:wordWrap w:val="0"/>
              <w:adjustRightInd w:val="0"/>
              <w:snapToGrid w:val="0"/>
              <w:spacing w:line="440" w:lineRule="exact"/>
              <w:ind w:firstLine="480" w:firstLineChars="200"/>
              <w:jc w:val="left"/>
              <w:rPr>
                <w:rFonts w:hAnsi="宋体" w:cs="宋体"/>
                <w:color w:val="auto"/>
                <w:szCs w:val="24"/>
              </w:rPr>
            </w:pPr>
            <w:r>
              <w:rPr>
                <w:rFonts w:hint="eastAsia" w:hAnsi="宋体" w:cs="宋体"/>
                <w:color w:val="auto"/>
                <w:szCs w:val="24"/>
              </w:rPr>
              <w:t>4.1 投标人不得存在下列情形之一：</w:t>
            </w:r>
          </w:p>
          <w:p w14:paraId="62FAF71D">
            <w:pPr>
              <w:wordWrap w:val="0"/>
              <w:adjustRightInd w:val="0"/>
              <w:snapToGrid w:val="0"/>
              <w:spacing w:line="400" w:lineRule="exact"/>
              <w:ind w:firstLine="480" w:firstLineChars="200"/>
              <w:jc w:val="left"/>
              <w:rPr>
                <w:rFonts w:hAnsi="宋体" w:cs="宋体"/>
                <w:color w:val="auto"/>
                <w:szCs w:val="24"/>
              </w:rPr>
            </w:pPr>
            <w:r>
              <w:rPr>
                <w:rFonts w:hint="eastAsia" w:hAnsi="宋体" w:cs="宋体"/>
                <w:color w:val="auto"/>
                <w:szCs w:val="24"/>
              </w:rPr>
              <w:t>（1）为招标人不具有独立法人资格的附属机构（单位）；</w:t>
            </w:r>
          </w:p>
          <w:p w14:paraId="58324F77">
            <w:pPr>
              <w:wordWrap w:val="0"/>
              <w:adjustRightInd w:val="0"/>
              <w:snapToGrid w:val="0"/>
              <w:spacing w:line="400" w:lineRule="exact"/>
              <w:ind w:firstLine="480" w:firstLineChars="200"/>
              <w:jc w:val="left"/>
              <w:rPr>
                <w:rFonts w:hAnsi="宋体" w:cs="宋体"/>
                <w:color w:val="auto"/>
                <w:szCs w:val="24"/>
              </w:rPr>
            </w:pPr>
            <w:r>
              <w:rPr>
                <w:rFonts w:hint="eastAsia" w:hAnsi="宋体" w:cs="宋体"/>
                <w:color w:val="auto"/>
                <w:szCs w:val="24"/>
              </w:rPr>
              <w:t>（2）与招标人存在利害关系且可能影响招标公正性；</w:t>
            </w:r>
          </w:p>
          <w:p w14:paraId="70CC580F">
            <w:pPr>
              <w:wordWrap w:val="0"/>
              <w:adjustRightInd w:val="0"/>
              <w:snapToGrid w:val="0"/>
              <w:spacing w:line="400" w:lineRule="exact"/>
              <w:ind w:firstLine="480" w:firstLineChars="200"/>
              <w:jc w:val="left"/>
              <w:rPr>
                <w:rFonts w:hAnsi="宋体" w:cs="宋体"/>
                <w:color w:val="auto"/>
                <w:szCs w:val="24"/>
              </w:rPr>
            </w:pPr>
            <w:r>
              <w:rPr>
                <w:rFonts w:hint="eastAsia" w:hAnsi="宋体" w:cs="宋体"/>
                <w:color w:val="auto"/>
                <w:szCs w:val="24"/>
              </w:rPr>
              <w:t>（3）与本招标项目的其他投标人为同一个单位负责人；</w:t>
            </w:r>
          </w:p>
          <w:p w14:paraId="28AE0E19">
            <w:pPr>
              <w:wordWrap w:val="0"/>
              <w:adjustRightInd w:val="0"/>
              <w:snapToGrid w:val="0"/>
              <w:spacing w:line="400" w:lineRule="exact"/>
              <w:ind w:firstLine="480" w:firstLineChars="200"/>
              <w:jc w:val="left"/>
              <w:rPr>
                <w:rFonts w:hAnsi="宋体" w:cs="宋体"/>
                <w:color w:val="auto"/>
                <w:szCs w:val="24"/>
              </w:rPr>
            </w:pPr>
            <w:r>
              <w:rPr>
                <w:rFonts w:hint="eastAsia" w:hAnsi="宋体" w:cs="宋体"/>
                <w:color w:val="auto"/>
                <w:szCs w:val="24"/>
              </w:rPr>
              <w:t>（4）与本招标项目的其他投标人存在控股、管理关系；</w:t>
            </w:r>
          </w:p>
          <w:p w14:paraId="261D9C7A">
            <w:pPr>
              <w:wordWrap w:val="0"/>
              <w:adjustRightInd w:val="0"/>
              <w:snapToGrid w:val="0"/>
              <w:spacing w:line="400" w:lineRule="exact"/>
              <w:ind w:firstLine="480" w:firstLineChars="200"/>
              <w:jc w:val="left"/>
              <w:rPr>
                <w:rFonts w:hAnsi="宋体" w:cs="宋体"/>
                <w:color w:val="auto"/>
                <w:szCs w:val="24"/>
              </w:rPr>
            </w:pPr>
            <w:r>
              <w:rPr>
                <w:rFonts w:hint="eastAsia" w:hAnsi="宋体" w:cs="宋体"/>
                <w:color w:val="auto"/>
                <w:szCs w:val="24"/>
              </w:rPr>
              <w:t>（5）为本招标项目的代建人；</w:t>
            </w:r>
          </w:p>
          <w:p w14:paraId="0034009B">
            <w:pPr>
              <w:wordWrap w:val="0"/>
              <w:adjustRightInd w:val="0"/>
              <w:snapToGrid w:val="0"/>
              <w:spacing w:line="400" w:lineRule="exact"/>
              <w:ind w:firstLine="480" w:firstLineChars="200"/>
              <w:jc w:val="left"/>
              <w:rPr>
                <w:rFonts w:hAnsi="宋体" w:cs="宋体"/>
                <w:color w:val="auto"/>
                <w:szCs w:val="24"/>
              </w:rPr>
            </w:pPr>
            <w:r>
              <w:rPr>
                <w:rFonts w:hint="eastAsia" w:hAnsi="宋体" w:cs="宋体"/>
                <w:color w:val="auto"/>
                <w:szCs w:val="24"/>
              </w:rPr>
              <w:t>（6）为本招标项目的招标代理机构；</w:t>
            </w:r>
          </w:p>
          <w:p w14:paraId="4611B146">
            <w:pPr>
              <w:wordWrap w:val="0"/>
              <w:adjustRightInd w:val="0"/>
              <w:snapToGrid w:val="0"/>
              <w:spacing w:line="400" w:lineRule="exact"/>
              <w:ind w:firstLine="480" w:firstLineChars="200"/>
              <w:jc w:val="left"/>
              <w:rPr>
                <w:rFonts w:hAnsi="宋体" w:cs="宋体"/>
                <w:color w:val="auto"/>
                <w:szCs w:val="24"/>
              </w:rPr>
            </w:pPr>
            <w:r>
              <w:rPr>
                <w:rFonts w:hint="eastAsia" w:hAnsi="宋体" w:cs="宋体"/>
                <w:color w:val="auto"/>
                <w:szCs w:val="24"/>
              </w:rPr>
              <w:t>（7）与本招标项目的代建人或招标代理机构同为一个法定代表人；</w:t>
            </w:r>
          </w:p>
          <w:p w14:paraId="50B6B2F1">
            <w:pPr>
              <w:wordWrap w:val="0"/>
              <w:adjustRightInd w:val="0"/>
              <w:snapToGrid w:val="0"/>
              <w:spacing w:line="400" w:lineRule="exact"/>
              <w:ind w:firstLine="480" w:firstLineChars="200"/>
              <w:jc w:val="left"/>
              <w:rPr>
                <w:rFonts w:hAnsi="宋体" w:cs="宋体"/>
                <w:color w:val="auto"/>
                <w:szCs w:val="24"/>
              </w:rPr>
            </w:pPr>
            <w:r>
              <w:rPr>
                <w:rFonts w:hint="eastAsia" w:hAnsi="宋体" w:cs="宋体"/>
                <w:color w:val="auto"/>
                <w:szCs w:val="24"/>
              </w:rPr>
              <w:t>（8）与本招标项目的代建人或招标代理机构存在控股或参股关系；</w:t>
            </w:r>
          </w:p>
          <w:p w14:paraId="661A8433">
            <w:pPr>
              <w:wordWrap w:val="0"/>
              <w:adjustRightInd w:val="0"/>
              <w:snapToGrid w:val="0"/>
              <w:spacing w:line="400" w:lineRule="exact"/>
              <w:ind w:firstLine="480" w:firstLineChars="200"/>
              <w:jc w:val="left"/>
              <w:rPr>
                <w:rFonts w:hAnsi="宋体" w:cs="宋体"/>
                <w:color w:val="auto"/>
                <w:szCs w:val="24"/>
              </w:rPr>
            </w:pPr>
            <w:r>
              <w:rPr>
                <w:rFonts w:hint="eastAsia" w:hAnsi="宋体" w:cs="宋体"/>
                <w:color w:val="auto"/>
                <w:szCs w:val="24"/>
              </w:rPr>
              <w:t>（9）与本招标项目的</w:t>
            </w:r>
            <w:r>
              <w:rPr>
                <w:rFonts w:hint="eastAsia" w:hAnsi="宋体" w:cs="宋体"/>
                <w:color w:val="auto"/>
                <w:szCs w:val="24"/>
                <w:lang w:eastAsia="zh-CN"/>
              </w:rPr>
              <w:t>施工单位</w:t>
            </w:r>
            <w:r>
              <w:rPr>
                <w:rFonts w:hint="eastAsia" w:hAnsi="宋体" w:cs="宋体"/>
                <w:color w:val="auto"/>
                <w:szCs w:val="24"/>
              </w:rPr>
              <w:t>以及建筑材料、建筑构配件和设备供应商有隶属关系或者其他利害关系；</w:t>
            </w:r>
          </w:p>
          <w:p w14:paraId="5C10A36D">
            <w:pPr>
              <w:wordWrap w:val="0"/>
              <w:adjustRightInd w:val="0"/>
              <w:snapToGrid w:val="0"/>
              <w:spacing w:line="400" w:lineRule="exact"/>
              <w:ind w:firstLine="480" w:firstLineChars="200"/>
              <w:jc w:val="left"/>
              <w:rPr>
                <w:rFonts w:hAnsi="宋体" w:cs="宋体"/>
                <w:color w:val="auto"/>
                <w:szCs w:val="24"/>
              </w:rPr>
            </w:pPr>
            <w:r>
              <w:rPr>
                <w:rFonts w:hint="eastAsia" w:hAnsi="宋体" w:cs="宋体"/>
                <w:color w:val="auto"/>
                <w:szCs w:val="24"/>
              </w:rPr>
              <w:t>（10）被依法暂停或者取消投标资格；</w:t>
            </w:r>
          </w:p>
          <w:p w14:paraId="5B6F850F">
            <w:pPr>
              <w:wordWrap w:val="0"/>
              <w:adjustRightInd w:val="0"/>
              <w:snapToGrid w:val="0"/>
              <w:spacing w:line="400" w:lineRule="exact"/>
              <w:ind w:firstLine="480" w:firstLineChars="200"/>
              <w:jc w:val="left"/>
              <w:rPr>
                <w:rFonts w:hAnsi="宋体" w:cs="宋体"/>
                <w:color w:val="auto"/>
                <w:szCs w:val="24"/>
              </w:rPr>
            </w:pPr>
            <w:r>
              <w:rPr>
                <w:rFonts w:hint="eastAsia" w:hAnsi="宋体" w:cs="宋体"/>
                <w:color w:val="auto"/>
                <w:szCs w:val="24"/>
              </w:rPr>
              <w:t>（11）被责令停产停业、暂扣或者吊销许可证、暂扣或者吊销执照；</w:t>
            </w:r>
          </w:p>
          <w:p w14:paraId="24C3A5AF">
            <w:pPr>
              <w:wordWrap w:val="0"/>
              <w:adjustRightInd w:val="0"/>
              <w:snapToGrid w:val="0"/>
              <w:spacing w:line="400" w:lineRule="exact"/>
              <w:ind w:firstLine="480" w:firstLineChars="200"/>
              <w:jc w:val="left"/>
              <w:rPr>
                <w:rFonts w:hAnsi="宋体" w:cs="宋体"/>
                <w:color w:val="auto"/>
                <w:szCs w:val="24"/>
              </w:rPr>
            </w:pPr>
            <w:r>
              <w:rPr>
                <w:rFonts w:hint="eastAsia" w:hAnsi="宋体" w:cs="宋体"/>
                <w:color w:val="auto"/>
                <w:szCs w:val="24"/>
              </w:rPr>
              <w:t>（12）进入清算程序，或被宣告破产，或其他丧失履约能力的情形；</w:t>
            </w:r>
          </w:p>
          <w:p w14:paraId="52D1907D">
            <w:pPr>
              <w:wordWrap w:val="0"/>
              <w:adjustRightInd w:val="0"/>
              <w:snapToGrid w:val="0"/>
              <w:spacing w:line="400" w:lineRule="exact"/>
              <w:ind w:firstLine="480" w:firstLineChars="200"/>
              <w:jc w:val="left"/>
              <w:rPr>
                <w:rFonts w:hAnsi="宋体" w:cs="宋体"/>
                <w:color w:val="auto"/>
                <w:szCs w:val="24"/>
              </w:rPr>
            </w:pPr>
            <w:r>
              <w:rPr>
                <w:rFonts w:hint="eastAsia" w:hAnsi="宋体" w:cs="宋体"/>
                <w:color w:val="auto"/>
                <w:szCs w:val="24"/>
              </w:rPr>
              <w:t>（13）在最近三年内发生重大监理质量问题（以相关行业主管部门的行政处罚决定或司法机关出具的有关法律文书为准）；</w:t>
            </w:r>
          </w:p>
          <w:p w14:paraId="09459502">
            <w:pPr>
              <w:wordWrap w:val="0"/>
              <w:adjustRightInd w:val="0"/>
              <w:snapToGrid w:val="0"/>
              <w:spacing w:line="400" w:lineRule="exact"/>
              <w:ind w:firstLine="240" w:firstLineChars="100"/>
              <w:jc w:val="left"/>
              <w:rPr>
                <w:rFonts w:hAnsi="宋体" w:cs="宋体"/>
                <w:color w:val="auto"/>
                <w:szCs w:val="24"/>
              </w:rPr>
            </w:pPr>
            <w:r>
              <w:rPr>
                <w:rFonts w:hint="eastAsia" w:hAnsi="宋体" w:cs="宋体"/>
                <w:color w:val="auto"/>
                <w:szCs w:val="24"/>
              </w:rPr>
              <w:sym w:font="Wingdings" w:char="00D8"/>
            </w:r>
            <w:r>
              <w:rPr>
                <w:rFonts w:hint="eastAsia" w:hAnsi="宋体" w:cs="宋体"/>
                <w:color w:val="auto"/>
                <w:szCs w:val="24"/>
              </w:rPr>
              <w:t xml:space="preserve"> （14）</w:t>
            </w:r>
            <w:r>
              <w:rPr>
                <w:rFonts w:hint="eastAsia" w:hAnsi="宋体" w:cs="宋体"/>
                <w:color w:val="auto"/>
                <w:kern w:val="0"/>
              </w:rPr>
              <w:t>被“信用中国”网站（https://www.creditchina.gov.cn）发布的《法人和非法人组织公共信用信息报告》列为严重失信主体名单的</w:t>
            </w:r>
            <w:r>
              <w:rPr>
                <w:rFonts w:hint="eastAsia" w:hAnsi="宋体" w:cs="宋体"/>
                <w:color w:val="auto"/>
                <w:szCs w:val="24"/>
              </w:rPr>
              <w:t>。</w:t>
            </w:r>
          </w:p>
          <w:p w14:paraId="1A8F9817">
            <w:pPr>
              <w:wordWrap w:val="0"/>
              <w:adjustRightInd w:val="0"/>
              <w:snapToGrid w:val="0"/>
              <w:spacing w:line="440" w:lineRule="exact"/>
              <w:ind w:firstLine="480" w:firstLineChars="200"/>
              <w:rPr>
                <w:rFonts w:hAnsi="宋体" w:cs="宋体"/>
                <w:color w:val="auto"/>
                <w:szCs w:val="24"/>
              </w:rPr>
            </w:pPr>
            <w:r>
              <w:rPr>
                <w:rFonts w:hint="eastAsia" w:hAnsi="宋体" w:cs="宋体"/>
                <w:color w:val="auto"/>
                <w:szCs w:val="24"/>
              </w:rPr>
              <w:t>4.2 招标人拒绝以下名单中的单位参加本次投标：</w:t>
            </w:r>
          </w:p>
          <w:tbl>
            <w:tblPr>
              <w:tblStyle w:val="16"/>
              <w:tblW w:w="6705" w:type="dxa"/>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625"/>
              <w:gridCol w:w="3360"/>
            </w:tblGrid>
            <w:tr w14:paraId="4F481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20" w:type="dxa"/>
                  <w:vAlign w:val="center"/>
                </w:tcPr>
                <w:p w14:paraId="50BABBA4">
                  <w:pPr>
                    <w:wordWrap w:val="0"/>
                    <w:adjustRightInd w:val="0"/>
                    <w:snapToGrid w:val="0"/>
                    <w:spacing w:line="240" w:lineRule="auto"/>
                    <w:jc w:val="center"/>
                    <w:rPr>
                      <w:rFonts w:hAnsi="宋体" w:cs="宋体"/>
                      <w:snapToGrid w:val="0"/>
                      <w:color w:val="auto"/>
                      <w:kern w:val="0"/>
                      <w:szCs w:val="24"/>
                    </w:rPr>
                  </w:pPr>
                  <w:r>
                    <w:rPr>
                      <w:rFonts w:hint="eastAsia" w:hAnsi="宋体" w:cs="宋体"/>
                      <w:snapToGrid w:val="0"/>
                      <w:color w:val="auto"/>
                      <w:kern w:val="0"/>
                      <w:szCs w:val="24"/>
                    </w:rPr>
                    <w:t>序号</w:t>
                  </w:r>
                </w:p>
              </w:tc>
              <w:tc>
                <w:tcPr>
                  <w:tcW w:w="2625" w:type="dxa"/>
                  <w:vAlign w:val="center"/>
                </w:tcPr>
                <w:p w14:paraId="7422DF54">
                  <w:pPr>
                    <w:wordWrap w:val="0"/>
                    <w:adjustRightInd w:val="0"/>
                    <w:snapToGrid w:val="0"/>
                    <w:spacing w:line="240" w:lineRule="auto"/>
                    <w:jc w:val="center"/>
                    <w:rPr>
                      <w:rFonts w:hAnsi="宋体" w:cs="宋体"/>
                      <w:snapToGrid w:val="0"/>
                      <w:color w:val="auto"/>
                      <w:kern w:val="0"/>
                      <w:szCs w:val="24"/>
                    </w:rPr>
                  </w:pPr>
                  <w:r>
                    <w:rPr>
                      <w:rFonts w:hint="eastAsia" w:hAnsi="宋体" w:cs="宋体"/>
                      <w:snapToGrid w:val="0"/>
                      <w:color w:val="auto"/>
                      <w:kern w:val="0"/>
                      <w:szCs w:val="24"/>
                    </w:rPr>
                    <w:t>单位名称</w:t>
                  </w:r>
                </w:p>
              </w:tc>
              <w:tc>
                <w:tcPr>
                  <w:tcW w:w="3360" w:type="dxa"/>
                  <w:vAlign w:val="center"/>
                </w:tcPr>
                <w:p w14:paraId="03213699">
                  <w:pPr>
                    <w:wordWrap w:val="0"/>
                    <w:adjustRightInd w:val="0"/>
                    <w:snapToGrid w:val="0"/>
                    <w:spacing w:line="240" w:lineRule="auto"/>
                    <w:jc w:val="center"/>
                    <w:rPr>
                      <w:rFonts w:hAnsi="宋体" w:cs="宋体"/>
                      <w:snapToGrid w:val="0"/>
                      <w:color w:val="auto"/>
                      <w:kern w:val="0"/>
                      <w:szCs w:val="24"/>
                    </w:rPr>
                  </w:pPr>
                  <w:r>
                    <w:rPr>
                      <w:rFonts w:hint="eastAsia" w:hAnsi="宋体" w:cs="宋体"/>
                      <w:snapToGrid w:val="0"/>
                      <w:color w:val="auto"/>
                      <w:kern w:val="0"/>
                      <w:szCs w:val="24"/>
                    </w:rPr>
                    <w:t>拒绝原因</w:t>
                  </w:r>
                </w:p>
              </w:tc>
            </w:tr>
            <w:tr w14:paraId="716BF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20" w:type="dxa"/>
                  <w:vAlign w:val="center"/>
                </w:tcPr>
                <w:p w14:paraId="594BB1D1">
                  <w:pPr>
                    <w:pStyle w:val="24"/>
                    <w:wordWrap w:val="0"/>
                    <w:adjustRightInd w:val="0"/>
                    <w:snapToGrid w:val="0"/>
                    <w:jc w:val="center"/>
                    <w:rPr>
                      <w:rFonts w:hint="eastAsia" w:ascii="宋体" w:hAnsi="宋体" w:eastAsia="宋体" w:cs="宋体"/>
                      <w:snapToGrid w:val="0"/>
                      <w:color w:val="auto"/>
                      <w:kern w:val="0"/>
                      <w:sz w:val="24"/>
                      <w:lang w:val="en-US" w:eastAsia="zh-CN"/>
                    </w:rPr>
                  </w:pPr>
                  <w:r>
                    <w:rPr>
                      <w:rFonts w:hint="eastAsia" w:ascii="宋体" w:hAnsi="宋体" w:cs="宋体"/>
                      <w:snapToGrid w:val="0"/>
                      <w:color w:val="auto"/>
                      <w:kern w:val="0"/>
                      <w:sz w:val="24"/>
                      <w:lang w:val="en-US" w:eastAsia="zh-CN"/>
                    </w:rPr>
                    <w:t>1</w:t>
                  </w:r>
                </w:p>
              </w:tc>
              <w:tc>
                <w:tcPr>
                  <w:tcW w:w="2625" w:type="dxa"/>
                  <w:vAlign w:val="center"/>
                </w:tcPr>
                <w:p w14:paraId="6FE6C173">
                  <w:pPr>
                    <w:pStyle w:val="24"/>
                    <w:wordWrap w:val="0"/>
                    <w:adjustRightInd w:val="0"/>
                    <w:snapToGrid w:val="0"/>
                    <w:jc w:val="center"/>
                    <w:rPr>
                      <w:rFonts w:hint="eastAsia" w:ascii="宋体" w:hAnsi="宋体" w:cs="宋体"/>
                      <w:color w:val="auto"/>
                      <w:sz w:val="24"/>
                    </w:rPr>
                  </w:pPr>
                  <w:r>
                    <w:rPr>
                      <w:rFonts w:hint="eastAsia" w:ascii="宋体" w:hAnsi="宋体" w:cs="宋体"/>
                      <w:color w:val="auto"/>
                      <w:sz w:val="24"/>
                      <w:lang w:val="en-US" w:eastAsia="zh-CN"/>
                    </w:rPr>
                    <w:t>广东翁源经济开发区管理委员会</w:t>
                  </w:r>
                </w:p>
              </w:tc>
              <w:tc>
                <w:tcPr>
                  <w:tcW w:w="3360" w:type="dxa"/>
                  <w:vAlign w:val="center"/>
                </w:tcPr>
                <w:p w14:paraId="22FA5A36">
                  <w:pPr>
                    <w:pStyle w:val="24"/>
                    <w:wordWrap w:val="0"/>
                    <w:adjustRightInd w:val="0"/>
                    <w:snapToGrid w:val="0"/>
                    <w:jc w:val="center"/>
                    <w:rPr>
                      <w:rFonts w:hint="eastAsia" w:ascii="宋体" w:hAnsi="宋体" w:eastAsia="宋体" w:cs="宋体"/>
                      <w:color w:val="auto"/>
                      <w:sz w:val="24"/>
                      <w:lang w:val="en-US" w:eastAsia="zh-CN"/>
                    </w:rPr>
                  </w:pPr>
                  <w:r>
                    <w:rPr>
                      <w:rFonts w:hint="eastAsia" w:ascii="宋体" w:hAnsi="宋体" w:cs="宋体"/>
                      <w:color w:val="auto"/>
                      <w:sz w:val="24"/>
                    </w:rPr>
                    <w:t>为本招标项目的</w:t>
                  </w:r>
                  <w:r>
                    <w:rPr>
                      <w:rFonts w:hint="eastAsia" w:ascii="宋体" w:hAnsi="宋体" w:cs="宋体"/>
                      <w:color w:val="auto"/>
                      <w:sz w:val="24"/>
                      <w:lang w:val="en-US" w:eastAsia="zh-CN"/>
                    </w:rPr>
                    <w:t>业主</w:t>
                  </w:r>
                </w:p>
              </w:tc>
            </w:tr>
            <w:tr w14:paraId="7B887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20" w:type="dxa"/>
                  <w:vAlign w:val="center"/>
                </w:tcPr>
                <w:p w14:paraId="30025893">
                  <w:pPr>
                    <w:pStyle w:val="24"/>
                    <w:wordWrap w:val="0"/>
                    <w:adjustRightInd w:val="0"/>
                    <w:snapToGrid w:val="0"/>
                    <w:jc w:val="center"/>
                    <w:rPr>
                      <w:rFonts w:ascii="宋体" w:hAnsi="宋体" w:cs="宋体"/>
                      <w:snapToGrid w:val="0"/>
                      <w:color w:val="auto"/>
                      <w:kern w:val="0"/>
                      <w:sz w:val="24"/>
                    </w:rPr>
                  </w:pPr>
                  <w:r>
                    <w:rPr>
                      <w:rFonts w:hint="eastAsia" w:ascii="宋体" w:hAnsi="宋体" w:cs="宋体"/>
                      <w:snapToGrid w:val="0"/>
                      <w:color w:val="auto"/>
                      <w:kern w:val="0"/>
                      <w:sz w:val="24"/>
                    </w:rPr>
                    <w:t>2</w:t>
                  </w:r>
                </w:p>
              </w:tc>
              <w:tc>
                <w:tcPr>
                  <w:tcW w:w="2625" w:type="dxa"/>
                  <w:vAlign w:val="center"/>
                </w:tcPr>
                <w:p w14:paraId="76F94972">
                  <w:pPr>
                    <w:pStyle w:val="24"/>
                    <w:wordWrap w:val="0"/>
                    <w:adjustRightInd w:val="0"/>
                    <w:snapToGrid w:val="0"/>
                    <w:jc w:val="center"/>
                    <w:rPr>
                      <w:rFonts w:hint="eastAsia" w:ascii="宋体" w:hAnsi="宋体" w:eastAsia="宋体" w:cs="宋体"/>
                      <w:color w:val="auto"/>
                      <w:sz w:val="24"/>
                      <w:lang w:eastAsia="zh-CN"/>
                    </w:rPr>
                  </w:pPr>
                  <w:r>
                    <w:rPr>
                      <w:rFonts w:hint="eastAsia" w:ascii="宋体" w:hAnsi="宋体" w:cs="宋体"/>
                      <w:snapToGrid w:val="0"/>
                      <w:color w:val="auto"/>
                      <w:kern w:val="0"/>
                      <w:sz w:val="24"/>
                      <w:szCs w:val="24"/>
                      <w:highlight w:val="none"/>
                      <w:lang w:eastAsia="zh-CN"/>
                    </w:rPr>
                    <w:t>翁源县公共资产管理中心</w:t>
                  </w:r>
                </w:p>
              </w:tc>
              <w:tc>
                <w:tcPr>
                  <w:tcW w:w="3360" w:type="dxa"/>
                  <w:vAlign w:val="center"/>
                </w:tcPr>
                <w:p w14:paraId="34C0781D">
                  <w:pPr>
                    <w:pStyle w:val="24"/>
                    <w:wordWrap w:val="0"/>
                    <w:adjustRightInd w:val="0"/>
                    <w:snapToGrid w:val="0"/>
                    <w:jc w:val="center"/>
                    <w:rPr>
                      <w:rFonts w:ascii="宋体" w:hAnsi="宋体" w:cs="宋体"/>
                      <w:color w:val="auto"/>
                      <w:sz w:val="24"/>
                    </w:rPr>
                  </w:pPr>
                  <w:r>
                    <w:rPr>
                      <w:rFonts w:hint="eastAsia" w:ascii="宋体" w:hAnsi="宋体" w:cs="宋体"/>
                      <w:color w:val="auto"/>
                      <w:sz w:val="24"/>
                    </w:rPr>
                    <w:t>为本招标项目的招标人</w:t>
                  </w:r>
                </w:p>
              </w:tc>
            </w:tr>
            <w:tr w14:paraId="7268A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20" w:type="dxa"/>
                  <w:vAlign w:val="center"/>
                </w:tcPr>
                <w:p w14:paraId="1719968F">
                  <w:pPr>
                    <w:pStyle w:val="24"/>
                    <w:wordWrap w:val="0"/>
                    <w:adjustRightInd w:val="0"/>
                    <w:snapToGrid w:val="0"/>
                    <w:jc w:val="center"/>
                    <w:rPr>
                      <w:rFonts w:ascii="宋体" w:hAnsi="宋体" w:cs="宋体"/>
                      <w:snapToGrid w:val="0"/>
                      <w:color w:val="auto"/>
                      <w:kern w:val="0"/>
                      <w:sz w:val="24"/>
                    </w:rPr>
                  </w:pPr>
                  <w:r>
                    <w:rPr>
                      <w:rFonts w:hint="eastAsia" w:ascii="宋体" w:hAnsi="宋体" w:cs="宋体"/>
                      <w:snapToGrid w:val="0"/>
                      <w:color w:val="auto"/>
                      <w:kern w:val="0"/>
                      <w:sz w:val="24"/>
                    </w:rPr>
                    <w:t>3</w:t>
                  </w:r>
                </w:p>
              </w:tc>
              <w:tc>
                <w:tcPr>
                  <w:tcW w:w="2625" w:type="dxa"/>
                  <w:vAlign w:val="center"/>
                </w:tcPr>
                <w:p w14:paraId="210C23D4">
                  <w:pPr>
                    <w:pStyle w:val="24"/>
                    <w:wordWrap w:val="0"/>
                    <w:adjustRightInd w:val="0"/>
                    <w:snapToGrid w:val="0"/>
                    <w:jc w:val="center"/>
                    <w:rPr>
                      <w:rFonts w:hint="eastAsia" w:ascii="宋体" w:hAnsi="宋体" w:eastAsia="宋体" w:cs="宋体"/>
                      <w:color w:val="auto"/>
                      <w:sz w:val="24"/>
                      <w:lang w:eastAsia="zh-CN"/>
                    </w:rPr>
                  </w:pPr>
                  <w:r>
                    <w:rPr>
                      <w:rFonts w:hint="eastAsia" w:ascii="宋体" w:hAnsi="宋体" w:cs="宋体"/>
                      <w:color w:val="auto"/>
                      <w:sz w:val="24"/>
                      <w:lang w:eastAsia="zh-CN"/>
                    </w:rPr>
                    <w:t>韶关市嘉泓工程咨询有限公司</w:t>
                  </w:r>
                </w:p>
              </w:tc>
              <w:tc>
                <w:tcPr>
                  <w:tcW w:w="3360" w:type="dxa"/>
                  <w:vAlign w:val="center"/>
                </w:tcPr>
                <w:p w14:paraId="7509C657">
                  <w:pPr>
                    <w:pStyle w:val="24"/>
                    <w:wordWrap w:val="0"/>
                    <w:adjustRightInd w:val="0"/>
                    <w:snapToGrid w:val="0"/>
                    <w:jc w:val="center"/>
                    <w:rPr>
                      <w:rFonts w:ascii="宋体" w:hAnsi="宋体" w:cs="宋体"/>
                      <w:color w:val="auto"/>
                      <w:sz w:val="24"/>
                    </w:rPr>
                  </w:pPr>
                  <w:r>
                    <w:rPr>
                      <w:rFonts w:hint="eastAsia" w:ascii="宋体" w:hAnsi="宋体" w:cs="宋体"/>
                      <w:color w:val="auto"/>
                      <w:sz w:val="24"/>
                    </w:rPr>
                    <w:t>为本招标项目的招标代理机构</w:t>
                  </w:r>
                </w:p>
              </w:tc>
            </w:tr>
            <w:tr w14:paraId="386A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20" w:type="dxa"/>
                  <w:vAlign w:val="center"/>
                </w:tcPr>
                <w:p w14:paraId="5B243367">
                  <w:pPr>
                    <w:pStyle w:val="24"/>
                    <w:wordWrap w:val="0"/>
                    <w:adjustRightInd w:val="0"/>
                    <w:snapToGrid w:val="0"/>
                    <w:jc w:val="center"/>
                    <w:rPr>
                      <w:rFonts w:ascii="宋体" w:hAnsi="宋体" w:cs="宋体"/>
                      <w:snapToGrid w:val="0"/>
                      <w:color w:val="auto"/>
                      <w:kern w:val="0"/>
                      <w:sz w:val="24"/>
                    </w:rPr>
                  </w:pPr>
                  <w:r>
                    <w:rPr>
                      <w:rFonts w:hint="eastAsia" w:ascii="宋体" w:hAnsi="宋体" w:cs="宋体"/>
                      <w:snapToGrid w:val="0"/>
                      <w:color w:val="auto"/>
                      <w:kern w:val="0"/>
                      <w:sz w:val="24"/>
                    </w:rPr>
                    <w:t>4</w:t>
                  </w:r>
                </w:p>
              </w:tc>
              <w:tc>
                <w:tcPr>
                  <w:tcW w:w="2625" w:type="dxa"/>
                  <w:vAlign w:val="center"/>
                </w:tcPr>
                <w:p w14:paraId="65E376E9">
                  <w:pPr>
                    <w:pStyle w:val="24"/>
                    <w:wordWrap w:val="0"/>
                    <w:adjustRightInd w:val="0"/>
                    <w:snapToGrid w:val="0"/>
                    <w:jc w:val="center"/>
                    <w:rPr>
                      <w:rFonts w:hint="eastAsia" w:ascii="宋体" w:hAnsi="宋体" w:eastAsia="宋体" w:cs="宋体"/>
                      <w:color w:val="auto"/>
                      <w:sz w:val="24"/>
                      <w:lang w:eastAsia="zh-CN"/>
                    </w:rPr>
                  </w:pPr>
                  <w:r>
                    <w:rPr>
                      <w:rFonts w:hint="eastAsia" w:ascii="宋体" w:hAnsi="宋体" w:cs="宋体"/>
                      <w:color w:val="auto"/>
                      <w:sz w:val="24"/>
                      <w:lang w:eastAsia="zh-CN"/>
                    </w:rPr>
                    <w:t>福建建盛工程管理有限公司</w:t>
                  </w:r>
                </w:p>
              </w:tc>
              <w:tc>
                <w:tcPr>
                  <w:tcW w:w="3360" w:type="dxa"/>
                  <w:vAlign w:val="center"/>
                </w:tcPr>
                <w:p w14:paraId="6EDAE717">
                  <w:pPr>
                    <w:pStyle w:val="24"/>
                    <w:wordWrap w:val="0"/>
                    <w:adjustRightInd w:val="0"/>
                    <w:snapToGrid w:val="0"/>
                    <w:jc w:val="center"/>
                    <w:rPr>
                      <w:rFonts w:ascii="宋体" w:hAnsi="宋体" w:cs="宋体"/>
                      <w:color w:val="auto"/>
                      <w:sz w:val="24"/>
                    </w:rPr>
                  </w:pPr>
                  <w:r>
                    <w:rPr>
                      <w:rFonts w:hint="eastAsia" w:ascii="宋体" w:hAnsi="宋体" w:cs="宋体"/>
                      <w:color w:val="auto"/>
                      <w:sz w:val="24"/>
                    </w:rPr>
                    <w:t>为本项目的可研编制单位</w:t>
                  </w:r>
                </w:p>
              </w:tc>
            </w:tr>
            <w:tr w14:paraId="6223D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20" w:type="dxa"/>
                  <w:vAlign w:val="center"/>
                </w:tcPr>
                <w:p w14:paraId="52778C1A">
                  <w:pPr>
                    <w:pStyle w:val="24"/>
                    <w:wordWrap w:val="0"/>
                    <w:adjustRightInd w:val="0"/>
                    <w:snapToGrid w:val="0"/>
                    <w:jc w:val="center"/>
                    <w:rPr>
                      <w:rFonts w:ascii="宋体" w:hAnsi="宋体" w:cs="宋体"/>
                      <w:snapToGrid w:val="0"/>
                      <w:color w:val="auto"/>
                      <w:kern w:val="0"/>
                      <w:sz w:val="24"/>
                    </w:rPr>
                  </w:pPr>
                  <w:r>
                    <w:rPr>
                      <w:rFonts w:hint="eastAsia" w:ascii="宋体" w:hAnsi="宋体" w:cs="宋体"/>
                      <w:snapToGrid w:val="0"/>
                      <w:color w:val="auto"/>
                      <w:kern w:val="0"/>
                      <w:sz w:val="24"/>
                    </w:rPr>
                    <w:t>5</w:t>
                  </w:r>
                </w:p>
              </w:tc>
              <w:tc>
                <w:tcPr>
                  <w:tcW w:w="2625" w:type="dxa"/>
                  <w:vAlign w:val="center"/>
                </w:tcPr>
                <w:p w14:paraId="156622E6">
                  <w:pPr>
                    <w:pStyle w:val="24"/>
                    <w:wordWrap w:val="0"/>
                    <w:adjustRightInd w:val="0"/>
                    <w:snapToGrid w:val="0"/>
                    <w:jc w:val="center"/>
                    <w:rPr>
                      <w:rFonts w:ascii="宋体" w:hAnsi="宋体" w:cs="宋体"/>
                      <w:color w:val="auto"/>
                      <w:sz w:val="24"/>
                    </w:rPr>
                  </w:pPr>
                  <w:r>
                    <w:rPr>
                      <w:rFonts w:ascii="宋体" w:hAnsi="宋体" w:cs="宋体"/>
                      <w:color w:val="auto"/>
                      <w:sz w:val="24"/>
                    </w:rPr>
                    <w:t>广东省华源建设项目管理有限公司</w:t>
                  </w:r>
                </w:p>
              </w:tc>
              <w:tc>
                <w:tcPr>
                  <w:tcW w:w="3360" w:type="dxa"/>
                  <w:vAlign w:val="center"/>
                </w:tcPr>
                <w:p w14:paraId="69314191">
                  <w:pPr>
                    <w:pStyle w:val="24"/>
                    <w:wordWrap w:val="0"/>
                    <w:adjustRightInd w:val="0"/>
                    <w:snapToGrid w:val="0"/>
                    <w:jc w:val="center"/>
                    <w:rPr>
                      <w:rFonts w:ascii="宋体" w:hAnsi="宋体" w:cs="宋体"/>
                      <w:color w:val="auto"/>
                      <w:sz w:val="24"/>
                    </w:rPr>
                  </w:pPr>
                  <w:r>
                    <w:rPr>
                      <w:rFonts w:hint="eastAsia" w:ascii="宋体" w:hAnsi="宋体" w:cs="宋体"/>
                      <w:color w:val="auto"/>
                      <w:sz w:val="24"/>
                    </w:rPr>
                    <w:t>为本项目的预算编制单位</w:t>
                  </w:r>
                </w:p>
              </w:tc>
            </w:tr>
            <w:tr w14:paraId="00724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20" w:type="dxa"/>
                  <w:vAlign w:val="center"/>
                </w:tcPr>
                <w:p w14:paraId="2FB74626">
                  <w:pPr>
                    <w:pStyle w:val="24"/>
                    <w:wordWrap w:val="0"/>
                    <w:adjustRightInd w:val="0"/>
                    <w:snapToGrid w:val="0"/>
                    <w:jc w:val="center"/>
                    <w:rPr>
                      <w:rFonts w:ascii="宋体" w:hAnsi="宋体" w:cs="宋体"/>
                      <w:snapToGrid w:val="0"/>
                      <w:color w:val="auto"/>
                      <w:kern w:val="0"/>
                      <w:sz w:val="24"/>
                    </w:rPr>
                  </w:pPr>
                  <w:r>
                    <w:rPr>
                      <w:rFonts w:hint="eastAsia" w:ascii="宋体" w:hAnsi="宋体" w:cs="宋体"/>
                      <w:snapToGrid w:val="0"/>
                      <w:color w:val="auto"/>
                      <w:kern w:val="0"/>
                      <w:sz w:val="24"/>
                    </w:rPr>
                    <w:t>6</w:t>
                  </w:r>
                </w:p>
              </w:tc>
              <w:tc>
                <w:tcPr>
                  <w:tcW w:w="2625" w:type="dxa"/>
                  <w:vAlign w:val="center"/>
                </w:tcPr>
                <w:p w14:paraId="3F885A02">
                  <w:pPr>
                    <w:pStyle w:val="24"/>
                    <w:wordWrap w:val="0"/>
                    <w:adjustRightInd w:val="0"/>
                    <w:snapToGrid w:val="0"/>
                    <w:jc w:val="center"/>
                    <w:rPr>
                      <w:rFonts w:hint="eastAsia" w:ascii="宋体" w:hAnsi="宋体" w:eastAsia="宋体" w:cs="宋体"/>
                      <w:color w:val="auto"/>
                      <w:sz w:val="24"/>
                      <w:lang w:eastAsia="zh-CN"/>
                    </w:rPr>
                  </w:pPr>
                  <w:r>
                    <w:rPr>
                      <w:rFonts w:hint="eastAsia" w:ascii="宋体" w:hAnsi="宋体" w:cs="宋体"/>
                      <w:color w:val="auto"/>
                      <w:sz w:val="24"/>
                      <w:lang w:eastAsia="zh-CN"/>
                    </w:rPr>
                    <w:t>广东省建筑设计研究院集团股份有限公司</w:t>
                  </w:r>
                </w:p>
              </w:tc>
              <w:tc>
                <w:tcPr>
                  <w:tcW w:w="3360" w:type="dxa"/>
                  <w:vAlign w:val="center"/>
                </w:tcPr>
                <w:p w14:paraId="15D33D83">
                  <w:pPr>
                    <w:pStyle w:val="24"/>
                    <w:wordWrap w:val="0"/>
                    <w:adjustRightInd w:val="0"/>
                    <w:snapToGrid w:val="0"/>
                    <w:jc w:val="center"/>
                    <w:rPr>
                      <w:rFonts w:ascii="宋体" w:hAnsi="宋体" w:cs="宋体"/>
                      <w:color w:val="auto"/>
                      <w:sz w:val="24"/>
                    </w:rPr>
                  </w:pPr>
                  <w:r>
                    <w:rPr>
                      <w:rFonts w:hint="eastAsia" w:ascii="宋体" w:hAnsi="宋体" w:cs="宋体"/>
                      <w:color w:val="auto"/>
                      <w:sz w:val="24"/>
                    </w:rPr>
                    <w:t>为本项目的勘察设计单位</w:t>
                  </w:r>
                </w:p>
              </w:tc>
            </w:tr>
            <w:tr w14:paraId="644F7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20" w:type="dxa"/>
                  <w:vAlign w:val="center"/>
                </w:tcPr>
                <w:p w14:paraId="67266022">
                  <w:pPr>
                    <w:pStyle w:val="24"/>
                    <w:wordWrap w:val="0"/>
                    <w:adjustRightInd w:val="0"/>
                    <w:snapToGrid w:val="0"/>
                    <w:jc w:val="center"/>
                    <w:rPr>
                      <w:rFonts w:ascii="宋体" w:hAnsi="宋体" w:cs="宋体"/>
                      <w:snapToGrid w:val="0"/>
                      <w:color w:val="auto"/>
                      <w:kern w:val="0"/>
                      <w:sz w:val="24"/>
                    </w:rPr>
                  </w:pPr>
                  <w:r>
                    <w:rPr>
                      <w:rFonts w:hint="eastAsia" w:ascii="宋体" w:hAnsi="宋体" w:cs="宋体"/>
                      <w:snapToGrid w:val="0"/>
                      <w:color w:val="auto"/>
                      <w:kern w:val="0"/>
                      <w:sz w:val="24"/>
                    </w:rPr>
                    <w:t>7</w:t>
                  </w:r>
                </w:p>
              </w:tc>
              <w:tc>
                <w:tcPr>
                  <w:tcW w:w="2625" w:type="dxa"/>
                  <w:vAlign w:val="center"/>
                </w:tcPr>
                <w:p w14:paraId="0290A72F">
                  <w:pPr>
                    <w:pStyle w:val="24"/>
                    <w:wordWrap w:val="0"/>
                    <w:adjustRightInd w:val="0"/>
                    <w:snapToGrid w:val="0"/>
                    <w:jc w:val="center"/>
                    <w:rPr>
                      <w:rFonts w:ascii="宋体" w:hAnsi="宋体" w:cs="宋体"/>
                      <w:color w:val="auto"/>
                      <w:sz w:val="24"/>
                    </w:rPr>
                  </w:pPr>
                  <w:r>
                    <w:rPr>
                      <w:rFonts w:ascii="宋体" w:hAnsi="宋体" w:cs="宋体"/>
                      <w:color w:val="auto"/>
                      <w:sz w:val="24"/>
                    </w:rPr>
                    <w:t>翁源县龙兴测绘服务有限公司</w:t>
                  </w:r>
                </w:p>
              </w:tc>
              <w:tc>
                <w:tcPr>
                  <w:tcW w:w="3360" w:type="dxa"/>
                  <w:vAlign w:val="center"/>
                </w:tcPr>
                <w:p w14:paraId="2A8534F2">
                  <w:pPr>
                    <w:pStyle w:val="24"/>
                    <w:wordWrap w:val="0"/>
                    <w:adjustRightInd w:val="0"/>
                    <w:snapToGrid w:val="0"/>
                    <w:jc w:val="center"/>
                    <w:rPr>
                      <w:rFonts w:ascii="宋体" w:hAnsi="宋体" w:cs="宋体"/>
                      <w:color w:val="auto"/>
                      <w:sz w:val="24"/>
                    </w:rPr>
                  </w:pPr>
                  <w:r>
                    <w:rPr>
                      <w:rFonts w:hint="eastAsia" w:ascii="宋体" w:hAnsi="宋体" w:cs="宋体"/>
                      <w:color w:val="auto"/>
                      <w:sz w:val="24"/>
                    </w:rPr>
                    <w:t>为本项目的</w:t>
                  </w:r>
                  <w:r>
                    <w:rPr>
                      <w:rFonts w:hint="eastAsia" w:ascii="宋体" w:hAnsi="宋体" w:cs="宋体"/>
                      <w:color w:val="auto"/>
                      <w:sz w:val="24"/>
                      <w:lang w:val="en-US" w:eastAsia="zh-CN"/>
                    </w:rPr>
                    <w:t>测绘测量</w:t>
                  </w:r>
                  <w:r>
                    <w:rPr>
                      <w:rFonts w:hint="eastAsia" w:ascii="宋体" w:hAnsi="宋体" w:cs="宋体"/>
                      <w:color w:val="auto"/>
                      <w:sz w:val="24"/>
                    </w:rPr>
                    <w:t>单位</w:t>
                  </w:r>
                </w:p>
              </w:tc>
            </w:tr>
            <w:tr w14:paraId="1C7BE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20" w:type="dxa"/>
                  <w:vAlign w:val="center"/>
                </w:tcPr>
                <w:p w14:paraId="727DC60F">
                  <w:pPr>
                    <w:pStyle w:val="24"/>
                    <w:wordWrap w:val="0"/>
                    <w:adjustRightInd w:val="0"/>
                    <w:snapToGrid w:val="0"/>
                    <w:jc w:val="center"/>
                    <w:rPr>
                      <w:rFonts w:hint="eastAsia" w:ascii="宋体" w:hAnsi="宋体" w:eastAsia="宋体" w:cs="宋体"/>
                      <w:snapToGrid w:val="0"/>
                      <w:color w:val="auto"/>
                      <w:kern w:val="0"/>
                      <w:sz w:val="24"/>
                      <w:lang w:eastAsia="zh-CN"/>
                    </w:rPr>
                  </w:pPr>
                  <w:r>
                    <w:rPr>
                      <w:rFonts w:hint="eastAsia" w:ascii="宋体" w:hAnsi="宋体" w:cs="宋体"/>
                      <w:snapToGrid w:val="0"/>
                      <w:color w:val="auto"/>
                      <w:kern w:val="0"/>
                      <w:sz w:val="24"/>
                      <w:lang w:val="en-US" w:eastAsia="zh-CN"/>
                    </w:rPr>
                    <w:t>8</w:t>
                  </w:r>
                </w:p>
              </w:tc>
              <w:tc>
                <w:tcPr>
                  <w:tcW w:w="2625" w:type="dxa"/>
                  <w:vAlign w:val="center"/>
                </w:tcPr>
                <w:p w14:paraId="1B76F0B4">
                  <w:pPr>
                    <w:spacing w:line="400" w:lineRule="exact"/>
                    <w:jc w:val="center"/>
                    <w:rPr>
                      <w:rFonts w:hint="default" w:hAnsi="宋体" w:eastAsia="宋体" w:cs="宋体"/>
                      <w:color w:val="auto"/>
                      <w:szCs w:val="24"/>
                      <w:lang w:val="en-US" w:eastAsia="zh-CN"/>
                    </w:rPr>
                  </w:pPr>
                  <w:r>
                    <w:rPr>
                      <w:rFonts w:hint="eastAsia" w:hAnsi="宋体" w:cs="宋体"/>
                      <w:color w:val="auto"/>
                      <w:szCs w:val="24"/>
                      <w:lang w:val="en-US" w:eastAsia="zh-CN"/>
                    </w:rPr>
                    <w:t>博智兴华工程顾问有限公司</w:t>
                  </w:r>
                </w:p>
              </w:tc>
              <w:tc>
                <w:tcPr>
                  <w:tcW w:w="3360" w:type="dxa"/>
                  <w:vAlign w:val="center"/>
                </w:tcPr>
                <w:p w14:paraId="6046FA48">
                  <w:pPr>
                    <w:spacing w:line="400" w:lineRule="exact"/>
                    <w:jc w:val="center"/>
                    <w:rPr>
                      <w:rFonts w:hAnsi="宋体" w:cs="宋体"/>
                      <w:color w:val="auto"/>
                      <w:szCs w:val="24"/>
                    </w:rPr>
                  </w:pPr>
                  <w:r>
                    <w:rPr>
                      <w:rFonts w:hint="eastAsia" w:hAnsi="宋体" w:cs="宋体"/>
                      <w:color w:val="auto"/>
                      <w:szCs w:val="24"/>
                    </w:rPr>
                    <w:t>为本项目的概算审核单位</w:t>
                  </w:r>
                </w:p>
              </w:tc>
            </w:tr>
          </w:tbl>
          <w:p w14:paraId="1C2BFE09">
            <w:pPr>
              <w:wordWrap w:val="0"/>
              <w:adjustRightInd w:val="0"/>
              <w:snapToGrid w:val="0"/>
              <w:spacing w:line="440" w:lineRule="exact"/>
              <w:ind w:firstLine="480" w:firstLineChars="200"/>
              <w:jc w:val="left"/>
              <w:rPr>
                <w:rFonts w:hAnsi="宋体" w:cs="宋体"/>
                <w:color w:val="auto"/>
                <w:szCs w:val="24"/>
              </w:rPr>
            </w:pPr>
            <w:r>
              <w:rPr>
                <w:rFonts w:hint="eastAsia" w:hAnsi="宋体" w:cs="宋体"/>
                <w:color w:val="auto"/>
                <w:szCs w:val="24"/>
              </w:rPr>
              <w:t>5．其他要求</w:t>
            </w:r>
          </w:p>
          <w:p w14:paraId="13184198">
            <w:pPr>
              <w:wordWrap w:val="0"/>
              <w:adjustRightInd w:val="0"/>
              <w:snapToGrid w:val="0"/>
              <w:spacing w:line="440" w:lineRule="exact"/>
              <w:ind w:firstLine="480" w:firstLineChars="200"/>
              <w:jc w:val="left"/>
              <w:rPr>
                <w:rFonts w:hAnsi="宋体" w:cs="宋体"/>
                <w:color w:val="auto"/>
                <w:szCs w:val="24"/>
              </w:rPr>
            </w:pPr>
            <w:r>
              <w:rPr>
                <w:rFonts w:hint="eastAsia" w:hAnsi="宋体" w:cs="宋体"/>
                <w:color w:val="auto"/>
                <w:szCs w:val="24"/>
              </w:rPr>
              <w:t>省外企业及其拟派往本项目管理机构的所有人员均须按照《广东省住房和城乡建设厅关于取消省外建筑企业和人员进粤信息备案有关工作的通知》（粤建市﹝2015﹞52号）规定在“进粤企业和人员诚信信息登记平台”录入相关信息并通过数据规范检查。</w:t>
            </w:r>
          </w:p>
        </w:tc>
      </w:tr>
      <w:tr w14:paraId="1F5268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trPr>
        <w:tc>
          <w:tcPr>
            <w:tcW w:w="721" w:type="dxa"/>
            <w:tcBorders>
              <w:top w:val="single" w:color="auto" w:sz="4" w:space="0"/>
              <w:left w:val="single" w:color="auto" w:sz="4" w:space="0"/>
              <w:bottom w:val="single" w:color="auto" w:sz="4" w:space="0"/>
              <w:right w:val="single" w:color="auto" w:sz="4" w:space="0"/>
            </w:tcBorders>
            <w:vAlign w:val="center"/>
          </w:tcPr>
          <w:p w14:paraId="1658249F">
            <w:pPr>
              <w:wordWrap w:val="0"/>
              <w:adjustRightInd w:val="0"/>
              <w:snapToGrid w:val="0"/>
              <w:spacing w:line="400" w:lineRule="exact"/>
              <w:jc w:val="center"/>
              <w:rPr>
                <w:rFonts w:hAnsi="宋体" w:cs="宋体"/>
                <w:snapToGrid w:val="0"/>
                <w:color w:val="auto"/>
                <w:kern w:val="0"/>
                <w:szCs w:val="24"/>
              </w:rPr>
            </w:pPr>
            <w:r>
              <w:rPr>
                <w:rFonts w:hint="eastAsia" w:hAnsi="宋体" w:cs="宋体"/>
                <w:snapToGrid w:val="0"/>
                <w:color w:val="auto"/>
                <w:kern w:val="0"/>
                <w:szCs w:val="24"/>
              </w:rPr>
              <w:t>16</w:t>
            </w:r>
          </w:p>
        </w:tc>
        <w:tc>
          <w:tcPr>
            <w:tcW w:w="1725" w:type="dxa"/>
            <w:tcBorders>
              <w:top w:val="single" w:color="auto" w:sz="4" w:space="0"/>
              <w:left w:val="single" w:color="auto" w:sz="4" w:space="0"/>
              <w:bottom w:val="single" w:color="auto" w:sz="4" w:space="0"/>
              <w:right w:val="single" w:color="auto" w:sz="4" w:space="0"/>
            </w:tcBorders>
            <w:vAlign w:val="center"/>
          </w:tcPr>
          <w:p w14:paraId="7E6C1E40">
            <w:pPr>
              <w:wordWrap w:val="0"/>
              <w:adjustRightInd w:val="0"/>
              <w:snapToGrid w:val="0"/>
              <w:spacing w:line="360" w:lineRule="exact"/>
              <w:jc w:val="center"/>
              <w:rPr>
                <w:rFonts w:hAnsi="宋体" w:cs="宋体"/>
                <w:snapToGrid w:val="0"/>
                <w:color w:val="auto"/>
                <w:kern w:val="0"/>
                <w:szCs w:val="24"/>
              </w:rPr>
            </w:pPr>
            <w:r>
              <w:rPr>
                <w:rFonts w:hint="eastAsia" w:hAnsi="宋体" w:cs="宋体"/>
                <w:snapToGrid w:val="0"/>
                <w:color w:val="auto"/>
                <w:kern w:val="0"/>
                <w:szCs w:val="24"/>
              </w:rPr>
              <w:t>服务期限</w:t>
            </w:r>
          </w:p>
        </w:tc>
        <w:tc>
          <w:tcPr>
            <w:tcW w:w="6856" w:type="dxa"/>
            <w:tcBorders>
              <w:top w:val="single" w:color="auto" w:sz="4" w:space="0"/>
              <w:left w:val="single" w:color="auto" w:sz="4" w:space="0"/>
              <w:bottom w:val="single" w:color="auto" w:sz="4" w:space="0"/>
              <w:right w:val="single" w:color="auto" w:sz="4" w:space="0"/>
            </w:tcBorders>
            <w:vAlign w:val="center"/>
          </w:tcPr>
          <w:p w14:paraId="12EAB7CF">
            <w:pPr>
              <w:wordWrap w:val="0"/>
              <w:adjustRightInd w:val="0"/>
              <w:snapToGrid w:val="0"/>
              <w:spacing w:line="440" w:lineRule="exact"/>
              <w:ind w:firstLine="480" w:firstLineChars="200"/>
              <w:jc w:val="left"/>
              <w:rPr>
                <w:rFonts w:hAnsi="宋体" w:cs="宋体"/>
                <w:snapToGrid w:val="0"/>
                <w:color w:val="auto"/>
                <w:kern w:val="0"/>
                <w:szCs w:val="24"/>
              </w:rPr>
            </w:pPr>
            <w:r>
              <w:rPr>
                <w:rFonts w:hint="eastAsia" w:hAnsi="宋体" w:cs="宋体"/>
                <w:snapToGrid w:val="0"/>
                <w:color w:val="auto"/>
                <w:kern w:val="0"/>
                <w:szCs w:val="24"/>
              </w:rPr>
              <w:t>监理服务期从监理合同签订之日起计，至本工程缺陷责任保修期结束且本工程结算金额经政府主管部门审定且双方的责任义务履行完毕时止。</w:t>
            </w:r>
          </w:p>
        </w:tc>
      </w:tr>
      <w:tr w14:paraId="4BF984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91" w:hRule="atLeast"/>
        </w:trPr>
        <w:tc>
          <w:tcPr>
            <w:tcW w:w="721" w:type="dxa"/>
            <w:tcBorders>
              <w:top w:val="single" w:color="auto" w:sz="4" w:space="0"/>
              <w:left w:val="single" w:color="auto" w:sz="4" w:space="0"/>
              <w:bottom w:val="single" w:color="auto" w:sz="4" w:space="0"/>
              <w:right w:val="single" w:color="auto" w:sz="4" w:space="0"/>
            </w:tcBorders>
            <w:vAlign w:val="center"/>
          </w:tcPr>
          <w:p w14:paraId="0B982FCD">
            <w:pPr>
              <w:wordWrap w:val="0"/>
              <w:adjustRightInd w:val="0"/>
              <w:snapToGrid w:val="0"/>
              <w:spacing w:line="400" w:lineRule="exact"/>
              <w:jc w:val="center"/>
              <w:rPr>
                <w:rFonts w:hAnsi="宋体" w:cs="宋体"/>
                <w:snapToGrid w:val="0"/>
                <w:color w:val="auto"/>
                <w:kern w:val="0"/>
                <w:szCs w:val="24"/>
              </w:rPr>
            </w:pPr>
            <w:r>
              <w:rPr>
                <w:rFonts w:hint="eastAsia" w:hAnsi="宋体" w:cs="宋体"/>
                <w:snapToGrid w:val="0"/>
                <w:color w:val="auto"/>
                <w:kern w:val="0"/>
                <w:szCs w:val="24"/>
              </w:rPr>
              <w:t>17</w:t>
            </w:r>
          </w:p>
        </w:tc>
        <w:tc>
          <w:tcPr>
            <w:tcW w:w="1725" w:type="dxa"/>
            <w:tcBorders>
              <w:top w:val="single" w:color="auto" w:sz="4" w:space="0"/>
              <w:left w:val="single" w:color="auto" w:sz="4" w:space="0"/>
              <w:bottom w:val="single" w:color="auto" w:sz="4" w:space="0"/>
              <w:right w:val="single" w:color="auto" w:sz="4" w:space="0"/>
            </w:tcBorders>
            <w:vAlign w:val="center"/>
          </w:tcPr>
          <w:p w14:paraId="252DAABE">
            <w:pPr>
              <w:wordWrap w:val="0"/>
              <w:adjustRightInd w:val="0"/>
              <w:snapToGrid w:val="0"/>
              <w:spacing w:line="360" w:lineRule="exact"/>
              <w:jc w:val="center"/>
              <w:rPr>
                <w:rFonts w:hAnsi="宋体" w:cs="宋体"/>
                <w:snapToGrid w:val="0"/>
                <w:color w:val="auto"/>
                <w:kern w:val="0"/>
                <w:szCs w:val="24"/>
              </w:rPr>
            </w:pPr>
            <w:r>
              <w:rPr>
                <w:rFonts w:hint="eastAsia" w:hAnsi="宋体" w:cs="宋体"/>
                <w:snapToGrid w:val="0"/>
                <w:color w:val="auto"/>
                <w:kern w:val="0"/>
                <w:szCs w:val="24"/>
              </w:rPr>
              <w:t>服务标准</w:t>
            </w:r>
          </w:p>
        </w:tc>
        <w:tc>
          <w:tcPr>
            <w:tcW w:w="6856" w:type="dxa"/>
            <w:tcBorders>
              <w:top w:val="single" w:color="auto" w:sz="4" w:space="0"/>
              <w:left w:val="single" w:color="auto" w:sz="4" w:space="0"/>
              <w:bottom w:val="single" w:color="auto" w:sz="4" w:space="0"/>
              <w:right w:val="single" w:color="auto" w:sz="4" w:space="0"/>
            </w:tcBorders>
            <w:vAlign w:val="center"/>
          </w:tcPr>
          <w:p w14:paraId="249C988C">
            <w:pPr>
              <w:wordWrap w:val="0"/>
              <w:adjustRightInd w:val="0"/>
              <w:snapToGrid w:val="0"/>
              <w:spacing w:line="400" w:lineRule="exact"/>
              <w:ind w:firstLine="480" w:firstLineChars="200"/>
              <w:jc w:val="left"/>
              <w:rPr>
                <w:rFonts w:hAnsi="宋体" w:cs="宋体"/>
                <w:snapToGrid w:val="0"/>
                <w:color w:val="auto"/>
                <w:kern w:val="0"/>
                <w:szCs w:val="24"/>
              </w:rPr>
            </w:pPr>
            <w:r>
              <w:rPr>
                <w:rFonts w:hint="eastAsia" w:hAnsi="宋体" w:cs="宋体"/>
                <w:snapToGrid w:val="0"/>
                <w:color w:val="auto"/>
                <w:kern w:val="0"/>
                <w:szCs w:val="24"/>
              </w:rPr>
              <w:t>工程质量达到合格标准。</w:t>
            </w:r>
          </w:p>
        </w:tc>
      </w:tr>
      <w:tr w14:paraId="6C06A9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atLeast"/>
        </w:trPr>
        <w:tc>
          <w:tcPr>
            <w:tcW w:w="721" w:type="dxa"/>
            <w:tcBorders>
              <w:top w:val="single" w:color="auto" w:sz="4" w:space="0"/>
              <w:left w:val="single" w:color="auto" w:sz="4" w:space="0"/>
              <w:bottom w:val="single" w:color="auto" w:sz="4" w:space="0"/>
              <w:right w:val="single" w:color="auto" w:sz="4" w:space="0"/>
            </w:tcBorders>
            <w:vAlign w:val="center"/>
          </w:tcPr>
          <w:p w14:paraId="437D99C3">
            <w:pPr>
              <w:wordWrap w:val="0"/>
              <w:adjustRightInd w:val="0"/>
              <w:snapToGrid w:val="0"/>
              <w:spacing w:line="400" w:lineRule="exact"/>
              <w:jc w:val="center"/>
              <w:rPr>
                <w:rFonts w:hAnsi="宋体" w:cs="宋体"/>
                <w:snapToGrid w:val="0"/>
                <w:color w:val="auto"/>
                <w:kern w:val="0"/>
                <w:szCs w:val="24"/>
              </w:rPr>
            </w:pPr>
            <w:r>
              <w:rPr>
                <w:rFonts w:hint="eastAsia" w:hAnsi="宋体" w:cs="宋体"/>
                <w:snapToGrid w:val="0"/>
                <w:color w:val="auto"/>
                <w:kern w:val="0"/>
                <w:szCs w:val="24"/>
              </w:rPr>
              <w:t>18</w:t>
            </w:r>
          </w:p>
        </w:tc>
        <w:tc>
          <w:tcPr>
            <w:tcW w:w="1725" w:type="dxa"/>
            <w:tcBorders>
              <w:top w:val="single" w:color="auto" w:sz="4" w:space="0"/>
              <w:left w:val="single" w:color="auto" w:sz="4" w:space="0"/>
              <w:bottom w:val="single" w:color="auto" w:sz="4" w:space="0"/>
              <w:right w:val="single" w:color="auto" w:sz="4" w:space="0"/>
            </w:tcBorders>
            <w:vAlign w:val="center"/>
          </w:tcPr>
          <w:p w14:paraId="7A1CA6E1">
            <w:pPr>
              <w:wordWrap w:val="0"/>
              <w:adjustRightInd w:val="0"/>
              <w:snapToGrid w:val="0"/>
              <w:spacing w:line="360" w:lineRule="exact"/>
              <w:jc w:val="center"/>
              <w:rPr>
                <w:rFonts w:hAnsi="宋体" w:cs="宋体"/>
                <w:snapToGrid w:val="0"/>
                <w:color w:val="auto"/>
                <w:kern w:val="0"/>
                <w:szCs w:val="24"/>
              </w:rPr>
            </w:pPr>
            <w:r>
              <w:rPr>
                <w:rFonts w:hint="eastAsia" w:hAnsi="宋体" w:cs="宋体"/>
                <w:snapToGrid w:val="0"/>
                <w:color w:val="auto"/>
                <w:kern w:val="0"/>
                <w:szCs w:val="24"/>
              </w:rPr>
              <w:t>最高投标限价</w:t>
            </w:r>
          </w:p>
        </w:tc>
        <w:tc>
          <w:tcPr>
            <w:tcW w:w="6856" w:type="dxa"/>
            <w:tcBorders>
              <w:top w:val="single" w:color="auto" w:sz="4" w:space="0"/>
              <w:left w:val="single" w:color="auto" w:sz="4" w:space="0"/>
              <w:bottom w:val="single" w:color="auto" w:sz="4" w:space="0"/>
              <w:right w:val="single" w:color="auto" w:sz="4" w:space="0"/>
            </w:tcBorders>
            <w:vAlign w:val="center"/>
          </w:tcPr>
          <w:p w14:paraId="32BADDA7">
            <w:pPr>
              <w:wordWrap w:val="0"/>
              <w:adjustRightInd w:val="0"/>
              <w:snapToGrid w:val="0"/>
              <w:spacing w:line="400" w:lineRule="exact"/>
              <w:ind w:firstLine="480" w:firstLineChars="200"/>
              <w:rPr>
                <w:rFonts w:hAnsi="宋体" w:cs="宋体"/>
                <w:snapToGrid w:val="0"/>
                <w:color w:val="auto"/>
                <w:kern w:val="0"/>
                <w:szCs w:val="24"/>
              </w:rPr>
            </w:pPr>
            <w:r>
              <w:rPr>
                <w:rFonts w:hint="eastAsia" w:hAnsi="宋体" w:cs="宋体"/>
                <w:bCs/>
                <w:color w:val="auto"/>
                <w:szCs w:val="24"/>
              </w:rPr>
              <w:t>详见招标文件“第一章 投标人须知 8 最高投标限价”</w:t>
            </w:r>
          </w:p>
        </w:tc>
      </w:tr>
      <w:tr w14:paraId="451E44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48" w:hRule="atLeast"/>
        </w:trPr>
        <w:tc>
          <w:tcPr>
            <w:tcW w:w="721" w:type="dxa"/>
            <w:tcBorders>
              <w:top w:val="single" w:color="auto" w:sz="4" w:space="0"/>
              <w:left w:val="single" w:color="auto" w:sz="4" w:space="0"/>
              <w:bottom w:val="single" w:color="auto" w:sz="4" w:space="0"/>
              <w:right w:val="single" w:color="auto" w:sz="4" w:space="0"/>
            </w:tcBorders>
            <w:vAlign w:val="center"/>
          </w:tcPr>
          <w:p w14:paraId="5C2F4CB4">
            <w:pPr>
              <w:wordWrap w:val="0"/>
              <w:adjustRightInd w:val="0"/>
              <w:snapToGrid w:val="0"/>
              <w:spacing w:line="400" w:lineRule="exact"/>
              <w:jc w:val="center"/>
              <w:rPr>
                <w:rFonts w:hAnsi="宋体" w:cs="宋体"/>
                <w:snapToGrid w:val="0"/>
                <w:color w:val="auto"/>
                <w:kern w:val="0"/>
                <w:szCs w:val="24"/>
              </w:rPr>
            </w:pPr>
            <w:r>
              <w:rPr>
                <w:rFonts w:hint="eastAsia" w:hAnsi="宋体" w:cs="宋体"/>
                <w:snapToGrid w:val="0"/>
                <w:color w:val="auto"/>
                <w:kern w:val="0"/>
                <w:szCs w:val="24"/>
              </w:rPr>
              <w:t>19</w:t>
            </w:r>
          </w:p>
        </w:tc>
        <w:tc>
          <w:tcPr>
            <w:tcW w:w="1725" w:type="dxa"/>
            <w:tcBorders>
              <w:top w:val="single" w:color="auto" w:sz="4" w:space="0"/>
              <w:left w:val="single" w:color="auto" w:sz="4" w:space="0"/>
              <w:bottom w:val="single" w:color="auto" w:sz="4" w:space="0"/>
              <w:right w:val="single" w:color="auto" w:sz="4" w:space="0"/>
            </w:tcBorders>
            <w:vAlign w:val="center"/>
          </w:tcPr>
          <w:p w14:paraId="0F21AC99">
            <w:pPr>
              <w:wordWrap w:val="0"/>
              <w:adjustRightInd w:val="0"/>
              <w:snapToGrid w:val="0"/>
              <w:spacing w:line="360" w:lineRule="exact"/>
              <w:jc w:val="center"/>
              <w:rPr>
                <w:rFonts w:hAnsi="宋体" w:cs="宋体"/>
                <w:snapToGrid w:val="0"/>
                <w:color w:val="auto"/>
                <w:kern w:val="0"/>
                <w:szCs w:val="24"/>
              </w:rPr>
            </w:pPr>
            <w:r>
              <w:rPr>
                <w:rFonts w:hint="eastAsia" w:hAnsi="宋体" w:cs="宋体"/>
                <w:snapToGrid w:val="0"/>
                <w:color w:val="auto"/>
                <w:kern w:val="0"/>
                <w:szCs w:val="24"/>
              </w:rPr>
              <w:t>投标保证金</w:t>
            </w:r>
          </w:p>
        </w:tc>
        <w:tc>
          <w:tcPr>
            <w:tcW w:w="6856" w:type="dxa"/>
            <w:tcBorders>
              <w:top w:val="single" w:color="auto" w:sz="4" w:space="0"/>
              <w:left w:val="single" w:color="auto" w:sz="4" w:space="0"/>
              <w:bottom w:val="single" w:color="auto" w:sz="4" w:space="0"/>
              <w:right w:val="single" w:color="auto" w:sz="4" w:space="0"/>
            </w:tcBorders>
            <w:vAlign w:val="center"/>
          </w:tcPr>
          <w:p w14:paraId="2E07BDCA">
            <w:pPr>
              <w:snapToGrid w:val="0"/>
              <w:spacing w:line="400" w:lineRule="exact"/>
              <w:ind w:firstLine="480" w:firstLineChars="200"/>
              <w:rPr>
                <w:rFonts w:hAnsi="宋体" w:cs="宋体"/>
                <w:color w:val="auto"/>
              </w:rPr>
            </w:pPr>
            <w:r>
              <w:rPr>
                <w:rFonts w:hint="eastAsia" w:hAnsi="宋体" w:cs="宋体"/>
                <w:color w:val="auto"/>
              </w:rPr>
              <w:t>1.投标人须缴纳金额为人民币</w:t>
            </w:r>
            <w:r>
              <w:rPr>
                <w:rFonts w:hint="eastAsia" w:hAnsi="宋体" w:cs="宋体"/>
                <w:color w:val="auto"/>
                <w:u w:val="single"/>
                <w:lang w:eastAsia="zh-CN"/>
              </w:rPr>
              <w:t>10000.00元</w:t>
            </w:r>
            <w:r>
              <w:rPr>
                <w:rFonts w:hint="eastAsia" w:hAnsi="宋体" w:cs="宋体"/>
                <w:color w:val="auto"/>
              </w:rPr>
              <w:t>的投标保证。</w:t>
            </w:r>
          </w:p>
          <w:p w14:paraId="0CB02873">
            <w:pPr>
              <w:snapToGrid w:val="0"/>
              <w:spacing w:line="400" w:lineRule="exact"/>
              <w:ind w:firstLine="480" w:firstLineChars="200"/>
              <w:rPr>
                <w:rFonts w:hAnsi="宋体" w:cs="宋体"/>
                <w:color w:val="auto"/>
              </w:rPr>
            </w:pPr>
            <w:r>
              <w:rPr>
                <w:rFonts w:hint="eastAsia" w:hAnsi="宋体" w:cs="宋体"/>
                <w:color w:val="auto"/>
              </w:rPr>
              <w:t>2.投标保证的形式包括投标保证金、投标保证担保、投标保证保险三种，由投标人自主选择。</w:t>
            </w:r>
          </w:p>
          <w:p w14:paraId="3E1814CA">
            <w:pPr>
              <w:snapToGrid w:val="0"/>
              <w:spacing w:line="400" w:lineRule="exact"/>
              <w:ind w:firstLine="480" w:firstLineChars="200"/>
              <w:rPr>
                <w:rFonts w:hAnsi="宋体" w:cs="宋体"/>
                <w:color w:val="auto"/>
              </w:rPr>
            </w:pPr>
            <w:r>
              <w:rPr>
                <w:rFonts w:hint="eastAsia" w:hAnsi="宋体" w:cs="宋体"/>
                <w:color w:val="auto"/>
              </w:rPr>
              <w:t>（1）采用投标保证金的，投标人在建设工程交易系统获取招标文件完毕后，即可在系统申请缴纳投标保证金，获取本次招标投标保证金缴纳账号。投标人必须于投标保证金到账截止时间（本章第二节“重要事项时间地点一览表”）前，从其基本账户将投标保证金转账到指定的缴纳账号。逾期到账的、从非投标人基本账户转出的，其投标无效。</w:t>
            </w:r>
          </w:p>
          <w:p w14:paraId="0F5770E1">
            <w:pPr>
              <w:snapToGrid w:val="0"/>
              <w:spacing w:line="400" w:lineRule="exact"/>
              <w:ind w:firstLine="480" w:firstLineChars="200"/>
              <w:rPr>
                <w:rFonts w:hAnsi="宋体" w:cs="宋体"/>
                <w:color w:val="auto"/>
              </w:rPr>
            </w:pPr>
            <w:r>
              <w:rPr>
                <w:rFonts w:hint="eastAsia" w:hAnsi="宋体" w:cs="宋体"/>
                <w:color w:val="auto"/>
              </w:rPr>
              <w:t>（2）采用投标保证担保的，投标人应提交有效的电子保函，电子保函的有效期不得短于投标有效期。投标人必须在投标保证担保截止时间（见本章第二节“重要事项时间地点一览表”）前，使用工程建设交易系统完成网上办理电子保函。</w:t>
            </w:r>
          </w:p>
          <w:p w14:paraId="4B2555C2">
            <w:pPr>
              <w:snapToGrid w:val="0"/>
              <w:spacing w:line="400" w:lineRule="exact"/>
              <w:ind w:firstLine="480" w:firstLineChars="200"/>
              <w:rPr>
                <w:rFonts w:hAnsi="宋体" w:cs="宋体"/>
                <w:color w:val="auto"/>
              </w:rPr>
            </w:pPr>
            <w:r>
              <w:rPr>
                <w:rFonts w:hint="eastAsia" w:hAnsi="宋体" w:cs="宋体"/>
                <w:color w:val="auto"/>
              </w:rPr>
              <w:t>（3）采用投标保证保险的，投标人须在投标保证保险投保截止时间（见本章第二节“重要事项时间地点一览表”）前，使用建设工程交易系统完成网上投保。投标人可在系统选择保险机构、录入投保信息、支付保费、打印电子保单，电子保单的有效期不得短于投标有效期。投标人可登录全国公共资源交易平台（广东省·韶关市）（https://ygp.gdzwfw.gov.cn/ggzy-portal/#/440200/index），在【服务指南】栏目中下载《韶关市公共资源建设工程交易系统-投标人操作指南》，了解网上投保具体操作流程。逾期投保的，其投标无效。</w:t>
            </w:r>
          </w:p>
          <w:p w14:paraId="26AD3B22">
            <w:pPr>
              <w:wordWrap w:val="0"/>
              <w:adjustRightInd w:val="0"/>
              <w:snapToGrid w:val="0"/>
              <w:spacing w:line="400" w:lineRule="exact"/>
              <w:ind w:firstLine="480" w:firstLineChars="200"/>
              <w:rPr>
                <w:rFonts w:hAnsi="宋体" w:cs="宋体"/>
                <w:snapToGrid w:val="0"/>
                <w:color w:val="auto"/>
                <w:kern w:val="0"/>
                <w:szCs w:val="24"/>
              </w:rPr>
            </w:pPr>
            <w:r>
              <w:rPr>
                <w:rFonts w:hint="eastAsia" w:hAnsi="宋体" w:cs="宋体"/>
                <w:color w:val="auto"/>
              </w:rPr>
              <w:t>温馨提醒：投标人采用投标保证担保或投标保证保险的，为避免在评标过程中因有效期发生争议，建议投标人将银行保函或电子保单有效期设置为较招标文件规定的投标有效期延长不少于20个日历天。</w:t>
            </w:r>
          </w:p>
        </w:tc>
      </w:tr>
      <w:tr w14:paraId="23DDDB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80" w:hRule="atLeast"/>
        </w:trPr>
        <w:tc>
          <w:tcPr>
            <w:tcW w:w="721" w:type="dxa"/>
            <w:tcBorders>
              <w:top w:val="single" w:color="auto" w:sz="4" w:space="0"/>
              <w:left w:val="single" w:color="auto" w:sz="4" w:space="0"/>
              <w:bottom w:val="single" w:color="auto" w:sz="4" w:space="0"/>
              <w:right w:val="single" w:color="auto" w:sz="4" w:space="0"/>
            </w:tcBorders>
            <w:vAlign w:val="center"/>
          </w:tcPr>
          <w:p w14:paraId="29586B23">
            <w:pPr>
              <w:wordWrap w:val="0"/>
              <w:adjustRightInd w:val="0"/>
              <w:snapToGrid w:val="0"/>
              <w:spacing w:line="400" w:lineRule="exact"/>
              <w:jc w:val="center"/>
              <w:rPr>
                <w:rFonts w:hAnsi="宋体" w:cs="宋体"/>
                <w:snapToGrid w:val="0"/>
                <w:color w:val="auto"/>
                <w:kern w:val="0"/>
                <w:szCs w:val="24"/>
              </w:rPr>
            </w:pPr>
            <w:r>
              <w:rPr>
                <w:rFonts w:hint="eastAsia" w:hAnsi="宋体" w:cs="宋体"/>
                <w:snapToGrid w:val="0"/>
                <w:color w:val="auto"/>
                <w:kern w:val="0"/>
                <w:szCs w:val="24"/>
              </w:rPr>
              <w:t>20</w:t>
            </w:r>
          </w:p>
        </w:tc>
        <w:tc>
          <w:tcPr>
            <w:tcW w:w="1725" w:type="dxa"/>
            <w:tcBorders>
              <w:top w:val="single" w:color="auto" w:sz="4" w:space="0"/>
              <w:left w:val="single" w:color="auto" w:sz="4" w:space="0"/>
              <w:bottom w:val="single" w:color="auto" w:sz="4" w:space="0"/>
              <w:right w:val="single" w:color="auto" w:sz="4" w:space="0"/>
            </w:tcBorders>
            <w:vAlign w:val="center"/>
          </w:tcPr>
          <w:p w14:paraId="391A0C4D">
            <w:pPr>
              <w:wordWrap w:val="0"/>
              <w:adjustRightInd w:val="0"/>
              <w:snapToGrid w:val="0"/>
              <w:spacing w:line="360" w:lineRule="exact"/>
              <w:jc w:val="center"/>
              <w:rPr>
                <w:rFonts w:hAnsi="宋体" w:cs="宋体"/>
                <w:snapToGrid w:val="0"/>
                <w:color w:val="auto"/>
                <w:kern w:val="0"/>
                <w:szCs w:val="24"/>
              </w:rPr>
            </w:pPr>
            <w:r>
              <w:rPr>
                <w:rFonts w:hint="eastAsia" w:hAnsi="宋体" w:cs="宋体"/>
                <w:snapToGrid w:val="0"/>
                <w:color w:val="auto"/>
                <w:kern w:val="0"/>
                <w:szCs w:val="24"/>
              </w:rPr>
              <w:t>投标有效期</w:t>
            </w:r>
          </w:p>
        </w:tc>
        <w:tc>
          <w:tcPr>
            <w:tcW w:w="6856" w:type="dxa"/>
            <w:tcBorders>
              <w:top w:val="single" w:color="auto" w:sz="4" w:space="0"/>
              <w:left w:val="single" w:color="auto" w:sz="4" w:space="0"/>
              <w:bottom w:val="single" w:color="auto" w:sz="4" w:space="0"/>
              <w:right w:val="single" w:color="auto" w:sz="4" w:space="0"/>
            </w:tcBorders>
            <w:vAlign w:val="center"/>
          </w:tcPr>
          <w:p w14:paraId="2625FC6C">
            <w:pPr>
              <w:wordWrap w:val="0"/>
              <w:adjustRightInd w:val="0"/>
              <w:snapToGrid w:val="0"/>
              <w:spacing w:line="400" w:lineRule="exact"/>
              <w:ind w:firstLine="480" w:firstLineChars="200"/>
              <w:rPr>
                <w:rFonts w:hAnsi="宋体" w:cs="宋体"/>
                <w:snapToGrid w:val="0"/>
                <w:color w:val="auto"/>
                <w:kern w:val="0"/>
                <w:szCs w:val="24"/>
              </w:rPr>
            </w:pPr>
            <w:r>
              <w:rPr>
                <w:rFonts w:hint="eastAsia" w:hAnsi="宋体" w:cs="宋体"/>
                <w:snapToGrid w:val="0"/>
                <w:color w:val="auto"/>
                <w:kern w:val="0"/>
                <w:szCs w:val="24"/>
              </w:rPr>
              <w:t>本次招标的投标有效期为</w:t>
            </w:r>
            <w:r>
              <w:rPr>
                <w:rFonts w:hint="eastAsia" w:hAnsi="宋体" w:cs="宋体"/>
                <w:snapToGrid w:val="0"/>
                <w:color w:val="auto"/>
                <w:kern w:val="0"/>
                <w:szCs w:val="24"/>
                <w:u w:val="single"/>
              </w:rPr>
              <w:t xml:space="preserve"> 90 </w:t>
            </w:r>
            <w:r>
              <w:rPr>
                <w:rFonts w:hint="eastAsia" w:hAnsi="宋体" w:cs="宋体"/>
                <w:snapToGrid w:val="0"/>
                <w:color w:val="auto"/>
                <w:kern w:val="0"/>
                <w:szCs w:val="24"/>
              </w:rPr>
              <w:t>个日历天。</w:t>
            </w:r>
          </w:p>
        </w:tc>
      </w:tr>
      <w:tr w14:paraId="489C91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9" w:hRule="exact"/>
        </w:trPr>
        <w:tc>
          <w:tcPr>
            <w:tcW w:w="721" w:type="dxa"/>
            <w:tcBorders>
              <w:top w:val="single" w:color="auto" w:sz="4" w:space="0"/>
              <w:left w:val="single" w:color="auto" w:sz="4" w:space="0"/>
              <w:bottom w:val="single" w:color="auto" w:sz="4" w:space="0"/>
              <w:right w:val="single" w:color="auto" w:sz="4" w:space="0"/>
            </w:tcBorders>
            <w:vAlign w:val="center"/>
          </w:tcPr>
          <w:p w14:paraId="549B784F">
            <w:pPr>
              <w:wordWrap w:val="0"/>
              <w:adjustRightInd w:val="0"/>
              <w:snapToGrid w:val="0"/>
              <w:spacing w:line="400" w:lineRule="exact"/>
              <w:jc w:val="center"/>
              <w:rPr>
                <w:rFonts w:hAnsi="宋体" w:cs="宋体"/>
                <w:snapToGrid w:val="0"/>
                <w:color w:val="auto"/>
                <w:kern w:val="0"/>
                <w:szCs w:val="24"/>
              </w:rPr>
            </w:pPr>
            <w:r>
              <w:rPr>
                <w:rFonts w:hint="eastAsia" w:hAnsi="宋体" w:cs="宋体"/>
                <w:snapToGrid w:val="0"/>
                <w:color w:val="auto"/>
                <w:kern w:val="0"/>
                <w:szCs w:val="24"/>
              </w:rPr>
              <w:t>21</w:t>
            </w:r>
          </w:p>
        </w:tc>
        <w:tc>
          <w:tcPr>
            <w:tcW w:w="1725" w:type="dxa"/>
            <w:tcBorders>
              <w:top w:val="single" w:color="auto" w:sz="4" w:space="0"/>
              <w:left w:val="single" w:color="auto" w:sz="4" w:space="0"/>
              <w:bottom w:val="single" w:color="auto" w:sz="4" w:space="0"/>
              <w:right w:val="single" w:color="auto" w:sz="4" w:space="0"/>
            </w:tcBorders>
            <w:vAlign w:val="center"/>
          </w:tcPr>
          <w:p w14:paraId="6EA03D43">
            <w:pPr>
              <w:wordWrap w:val="0"/>
              <w:adjustRightInd w:val="0"/>
              <w:snapToGrid w:val="0"/>
              <w:spacing w:line="240" w:lineRule="auto"/>
              <w:jc w:val="center"/>
              <w:rPr>
                <w:rFonts w:hAnsi="宋体" w:cs="宋体"/>
                <w:snapToGrid w:val="0"/>
                <w:color w:val="auto"/>
                <w:kern w:val="0"/>
                <w:szCs w:val="24"/>
              </w:rPr>
            </w:pPr>
            <w:r>
              <w:rPr>
                <w:rFonts w:hint="eastAsia" w:hAnsi="宋体" w:cs="宋体"/>
                <w:snapToGrid w:val="0"/>
                <w:color w:val="auto"/>
                <w:kern w:val="0"/>
                <w:szCs w:val="24"/>
              </w:rPr>
              <w:t>投标文件</w:t>
            </w:r>
          </w:p>
          <w:p w14:paraId="50D3E521">
            <w:pPr>
              <w:wordWrap w:val="0"/>
              <w:adjustRightInd w:val="0"/>
              <w:snapToGrid w:val="0"/>
              <w:spacing w:line="240" w:lineRule="auto"/>
              <w:jc w:val="center"/>
              <w:rPr>
                <w:rFonts w:hAnsi="宋体" w:cs="宋体"/>
                <w:snapToGrid w:val="0"/>
                <w:color w:val="auto"/>
                <w:kern w:val="0"/>
                <w:szCs w:val="24"/>
              </w:rPr>
            </w:pPr>
            <w:r>
              <w:rPr>
                <w:rFonts w:hint="eastAsia" w:hAnsi="宋体" w:cs="宋体"/>
                <w:snapToGrid w:val="0"/>
                <w:color w:val="auto"/>
                <w:kern w:val="0"/>
                <w:szCs w:val="24"/>
              </w:rPr>
              <w:t>组成</w:t>
            </w:r>
          </w:p>
        </w:tc>
        <w:tc>
          <w:tcPr>
            <w:tcW w:w="6856" w:type="dxa"/>
            <w:tcBorders>
              <w:top w:val="single" w:color="auto" w:sz="4" w:space="0"/>
              <w:left w:val="single" w:color="auto" w:sz="4" w:space="0"/>
              <w:bottom w:val="single" w:color="auto" w:sz="4" w:space="0"/>
              <w:right w:val="single" w:color="auto" w:sz="4" w:space="0"/>
            </w:tcBorders>
            <w:vAlign w:val="center"/>
          </w:tcPr>
          <w:p w14:paraId="435B8D20">
            <w:pPr>
              <w:wordWrap w:val="0"/>
              <w:adjustRightInd w:val="0"/>
              <w:snapToGrid w:val="0"/>
              <w:spacing w:line="240" w:lineRule="auto"/>
              <w:ind w:firstLine="480" w:firstLineChars="200"/>
              <w:rPr>
                <w:rFonts w:hAnsi="宋体" w:cs="宋体"/>
                <w:snapToGrid w:val="0"/>
                <w:color w:val="auto"/>
                <w:kern w:val="0"/>
                <w:szCs w:val="24"/>
              </w:rPr>
            </w:pPr>
            <w:r>
              <w:rPr>
                <w:rFonts w:hint="eastAsia" w:hAnsi="宋体" w:cs="宋体"/>
                <w:snapToGrid w:val="0"/>
                <w:color w:val="auto"/>
                <w:kern w:val="0"/>
                <w:szCs w:val="24"/>
              </w:rPr>
              <w:t>投标文件包括商务标书、监理大纲两个分册。</w:t>
            </w:r>
          </w:p>
        </w:tc>
      </w:tr>
      <w:tr w14:paraId="134AD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trPr>
        <w:tc>
          <w:tcPr>
            <w:tcW w:w="721" w:type="dxa"/>
            <w:tcBorders>
              <w:top w:val="single" w:color="auto" w:sz="4" w:space="0"/>
              <w:left w:val="single" w:color="auto" w:sz="4" w:space="0"/>
              <w:bottom w:val="single" w:color="auto" w:sz="4" w:space="0"/>
              <w:right w:val="single" w:color="auto" w:sz="4" w:space="0"/>
            </w:tcBorders>
            <w:vAlign w:val="center"/>
          </w:tcPr>
          <w:p w14:paraId="6A3CAAAA">
            <w:pPr>
              <w:wordWrap w:val="0"/>
              <w:adjustRightInd w:val="0"/>
              <w:snapToGrid w:val="0"/>
              <w:spacing w:line="440" w:lineRule="exact"/>
              <w:jc w:val="center"/>
              <w:rPr>
                <w:rFonts w:hAnsi="宋体" w:cs="宋体"/>
                <w:snapToGrid w:val="0"/>
                <w:color w:val="auto"/>
                <w:kern w:val="0"/>
                <w:szCs w:val="24"/>
              </w:rPr>
            </w:pPr>
            <w:r>
              <w:rPr>
                <w:rFonts w:hint="eastAsia" w:hAnsi="宋体" w:cs="宋体"/>
                <w:snapToGrid w:val="0"/>
                <w:color w:val="auto"/>
                <w:kern w:val="0"/>
                <w:szCs w:val="24"/>
              </w:rPr>
              <w:t>22</w:t>
            </w:r>
          </w:p>
        </w:tc>
        <w:tc>
          <w:tcPr>
            <w:tcW w:w="1725" w:type="dxa"/>
            <w:tcBorders>
              <w:top w:val="single" w:color="auto" w:sz="4" w:space="0"/>
              <w:left w:val="single" w:color="auto" w:sz="4" w:space="0"/>
              <w:bottom w:val="single" w:color="auto" w:sz="4" w:space="0"/>
              <w:right w:val="single" w:color="auto" w:sz="4" w:space="0"/>
            </w:tcBorders>
            <w:vAlign w:val="center"/>
          </w:tcPr>
          <w:p w14:paraId="496588B9">
            <w:pPr>
              <w:wordWrap w:val="0"/>
              <w:adjustRightInd w:val="0"/>
              <w:snapToGrid w:val="0"/>
              <w:spacing w:line="440" w:lineRule="exact"/>
              <w:jc w:val="center"/>
              <w:rPr>
                <w:rFonts w:hAnsi="宋体" w:cs="宋体"/>
                <w:snapToGrid w:val="0"/>
                <w:color w:val="auto"/>
                <w:kern w:val="0"/>
                <w:szCs w:val="24"/>
              </w:rPr>
            </w:pPr>
            <w:r>
              <w:rPr>
                <w:rFonts w:hint="eastAsia" w:hAnsi="宋体" w:cs="宋体"/>
                <w:snapToGrid w:val="0"/>
                <w:color w:val="auto"/>
                <w:kern w:val="0"/>
                <w:szCs w:val="24"/>
              </w:rPr>
              <w:t>评标方法</w:t>
            </w:r>
          </w:p>
        </w:tc>
        <w:tc>
          <w:tcPr>
            <w:tcW w:w="6856" w:type="dxa"/>
            <w:tcBorders>
              <w:top w:val="single" w:color="auto" w:sz="4" w:space="0"/>
              <w:left w:val="single" w:color="auto" w:sz="4" w:space="0"/>
              <w:bottom w:val="single" w:color="auto" w:sz="4" w:space="0"/>
              <w:right w:val="single" w:color="auto" w:sz="4" w:space="0"/>
            </w:tcBorders>
            <w:vAlign w:val="center"/>
          </w:tcPr>
          <w:p w14:paraId="4E06522C">
            <w:pPr>
              <w:wordWrap w:val="0"/>
              <w:adjustRightInd w:val="0"/>
              <w:snapToGrid w:val="0"/>
              <w:spacing w:line="440" w:lineRule="exact"/>
              <w:rPr>
                <w:rFonts w:hAnsi="宋体" w:cs="宋体"/>
                <w:snapToGrid w:val="0"/>
                <w:color w:val="auto"/>
                <w:kern w:val="0"/>
                <w:szCs w:val="24"/>
              </w:rPr>
            </w:pPr>
            <w:r>
              <w:rPr>
                <w:rFonts w:hint="eastAsia" w:hAnsi="宋体" w:cs="宋体"/>
                <w:snapToGrid w:val="0"/>
                <w:color w:val="auto"/>
                <w:kern w:val="0"/>
                <w:szCs w:val="24"/>
              </w:rPr>
              <w:t xml:space="preserve">    综合评估法</w:t>
            </w:r>
          </w:p>
        </w:tc>
      </w:tr>
      <w:tr w14:paraId="7F6E2B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90" w:hRule="atLeast"/>
        </w:trPr>
        <w:tc>
          <w:tcPr>
            <w:tcW w:w="721" w:type="dxa"/>
            <w:tcBorders>
              <w:top w:val="single" w:color="auto" w:sz="4" w:space="0"/>
              <w:left w:val="single" w:color="auto" w:sz="4" w:space="0"/>
              <w:bottom w:val="single" w:color="auto" w:sz="4" w:space="0"/>
              <w:right w:val="single" w:color="auto" w:sz="4" w:space="0"/>
            </w:tcBorders>
            <w:vAlign w:val="center"/>
          </w:tcPr>
          <w:p w14:paraId="272E1C98">
            <w:pPr>
              <w:wordWrap w:val="0"/>
              <w:adjustRightInd w:val="0"/>
              <w:snapToGrid w:val="0"/>
              <w:spacing w:line="440" w:lineRule="exact"/>
              <w:jc w:val="center"/>
              <w:rPr>
                <w:rFonts w:hAnsi="宋体" w:cs="宋体"/>
                <w:snapToGrid w:val="0"/>
                <w:color w:val="auto"/>
                <w:kern w:val="0"/>
                <w:szCs w:val="24"/>
              </w:rPr>
            </w:pPr>
            <w:r>
              <w:rPr>
                <w:rFonts w:hint="eastAsia" w:hAnsi="宋体" w:cs="宋体"/>
                <w:snapToGrid w:val="0"/>
                <w:color w:val="auto"/>
                <w:kern w:val="0"/>
                <w:szCs w:val="24"/>
              </w:rPr>
              <w:t>23</w:t>
            </w:r>
          </w:p>
        </w:tc>
        <w:tc>
          <w:tcPr>
            <w:tcW w:w="1725" w:type="dxa"/>
            <w:tcBorders>
              <w:top w:val="single" w:color="auto" w:sz="4" w:space="0"/>
              <w:left w:val="single" w:color="auto" w:sz="4" w:space="0"/>
              <w:bottom w:val="single" w:color="auto" w:sz="4" w:space="0"/>
              <w:right w:val="single" w:color="auto" w:sz="4" w:space="0"/>
            </w:tcBorders>
            <w:vAlign w:val="center"/>
          </w:tcPr>
          <w:p w14:paraId="7C2B5BB3">
            <w:pPr>
              <w:wordWrap w:val="0"/>
              <w:adjustRightInd w:val="0"/>
              <w:snapToGrid w:val="0"/>
              <w:spacing w:line="240" w:lineRule="auto"/>
              <w:jc w:val="center"/>
              <w:rPr>
                <w:rFonts w:hAnsi="宋体" w:cs="宋体"/>
                <w:snapToGrid w:val="0"/>
                <w:color w:val="auto"/>
                <w:kern w:val="0"/>
                <w:szCs w:val="24"/>
              </w:rPr>
            </w:pPr>
            <w:r>
              <w:rPr>
                <w:rFonts w:hint="eastAsia" w:hAnsi="宋体" w:cs="宋体"/>
                <w:snapToGrid w:val="0"/>
                <w:color w:val="auto"/>
                <w:kern w:val="0"/>
                <w:szCs w:val="24"/>
              </w:rPr>
              <w:t>监理大纲</w:t>
            </w:r>
          </w:p>
          <w:p w14:paraId="7F67B695">
            <w:pPr>
              <w:wordWrap w:val="0"/>
              <w:adjustRightInd w:val="0"/>
              <w:snapToGrid w:val="0"/>
              <w:spacing w:line="240" w:lineRule="auto"/>
              <w:jc w:val="center"/>
              <w:rPr>
                <w:rFonts w:hAnsi="宋体" w:cs="宋体"/>
                <w:snapToGrid w:val="0"/>
                <w:color w:val="auto"/>
                <w:kern w:val="0"/>
                <w:szCs w:val="24"/>
              </w:rPr>
            </w:pPr>
            <w:r>
              <w:rPr>
                <w:rFonts w:hint="eastAsia" w:hAnsi="宋体" w:cs="宋体"/>
                <w:snapToGrid w:val="0"/>
                <w:color w:val="auto"/>
                <w:kern w:val="0"/>
                <w:szCs w:val="24"/>
              </w:rPr>
              <w:t>评审方式</w:t>
            </w:r>
          </w:p>
        </w:tc>
        <w:tc>
          <w:tcPr>
            <w:tcW w:w="6856" w:type="dxa"/>
            <w:tcBorders>
              <w:top w:val="single" w:color="auto" w:sz="4" w:space="0"/>
              <w:left w:val="single" w:color="auto" w:sz="4" w:space="0"/>
              <w:bottom w:val="single" w:color="auto" w:sz="4" w:space="0"/>
              <w:right w:val="single" w:color="auto" w:sz="4" w:space="0"/>
            </w:tcBorders>
            <w:vAlign w:val="center"/>
          </w:tcPr>
          <w:p w14:paraId="032E48CE">
            <w:pPr>
              <w:wordWrap w:val="0"/>
              <w:adjustRightInd w:val="0"/>
              <w:snapToGrid w:val="0"/>
              <w:spacing w:line="240" w:lineRule="auto"/>
              <w:ind w:firstLine="480" w:firstLineChars="200"/>
              <w:rPr>
                <w:rFonts w:hAnsi="宋体" w:cs="宋体"/>
                <w:snapToGrid w:val="0"/>
                <w:color w:val="auto"/>
                <w:kern w:val="0"/>
                <w:szCs w:val="24"/>
              </w:rPr>
            </w:pPr>
            <w:r>
              <w:rPr>
                <w:rFonts w:hint="eastAsia" w:hAnsi="宋体" w:cs="宋体"/>
                <w:snapToGrid w:val="0"/>
                <w:color w:val="auto"/>
                <w:kern w:val="0"/>
                <w:szCs w:val="24"/>
              </w:rPr>
              <w:t>本次招标监理大纲</w:t>
            </w:r>
            <w:r>
              <w:rPr>
                <w:rFonts w:hint="eastAsia" w:hAnsi="宋体" w:cs="宋体"/>
                <w:snapToGrid w:val="0"/>
                <w:color w:val="auto"/>
                <w:kern w:val="0"/>
                <w:szCs w:val="24"/>
                <w:u w:val="single"/>
              </w:rPr>
              <w:t xml:space="preserve"> 不采用 </w:t>
            </w:r>
            <w:r>
              <w:rPr>
                <w:rFonts w:hint="eastAsia" w:hAnsi="宋体" w:cs="宋体"/>
                <w:snapToGrid w:val="0"/>
                <w:color w:val="auto"/>
                <w:kern w:val="0"/>
                <w:szCs w:val="24"/>
              </w:rPr>
              <w:t>“暗标”方式进行评审。</w:t>
            </w:r>
          </w:p>
        </w:tc>
      </w:tr>
      <w:tr w14:paraId="6B048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90" w:hRule="atLeast"/>
        </w:trPr>
        <w:tc>
          <w:tcPr>
            <w:tcW w:w="721" w:type="dxa"/>
            <w:tcBorders>
              <w:top w:val="single" w:color="auto" w:sz="4" w:space="0"/>
              <w:left w:val="single" w:color="auto" w:sz="4" w:space="0"/>
              <w:bottom w:val="single" w:color="auto" w:sz="4" w:space="0"/>
              <w:right w:val="single" w:color="auto" w:sz="4" w:space="0"/>
            </w:tcBorders>
            <w:vAlign w:val="center"/>
          </w:tcPr>
          <w:p w14:paraId="29331149">
            <w:pPr>
              <w:wordWrap w:val="0"/>
              <w:adjustRightInd w:val="0"/>
              <w:snapToGrid w:val="0"/>
              <w:spacing w:line="440" w:lineRule="exact"/>
              <w:jc w:val="center"/>
              <w:rPr>
                <w:rFonts w:hAnsi="宋体" w:cs="宋体"/>
                <w:snapToGrid w:val="0"/>
                <w:color w:val="auto"/>
                <w:kern w:val="0"/>
                <w:szCs w:val="24"/>
              </w:rPr>
            </w:pPr>
            <w:r>
              <w:rPr>
                <w:rFonts w:hint="eastAsia" w:hAnsi="宋体" w:cs="宋体"/>
                <w:snapToGrid w:val="0"/>
                <w:color w:val="auto"/>
                <w:kern w:val="0"/>
                <w:szCs w:val="24"/>
              </w:rPr>
              <w:t>24</w:t>
            </w:r>
          </w:p>
        </w:tc>
        <w:tc>
          <w:tcPr>
            <w:tcW w:w="1725" w:type="dxa"/>
            <w:tcBorders>
              <w:top w:val="single" w:color="auto" w:sz="4" w:space="0"/>
              <w:left w:val="single" w:color="auto" w:sz="4" w:space="0"/>
              <w:bottom w:val="single" w:color="auto" w:sz="4" w:space="0"/>
              <w:right w:val="single" w:color="auto" w:sz="4" w:space="0"/>
            </w:tcBorders>
            <w:vAlign w:val="center"/>
          </w:tcPr>
          <w:p w14:paraId="0EA8FE34">
            <w:pPr>
              <w:wordWrap w:val="0"/>
              <w:adjustRightInd w:val="0"/>
              <w:snapToGrid w:val="0"/>
              <w:spacing w:line="440" w:lineRule="exact"/>
              <w:jc w:val="center"/>
              <w:rPr>
                <w:rFonts w:hAnsi="宋体" w:cs="宋体"/>
                <w:snapToGrid w:val="0"/>
                <w:color w:val="auto"/>
                <w:kern w:val="0"/>
                <w:szCs w:val="24"/>
              </w:rPr>
            </w:pPr>
            <w:r>
              <w:rPr>
                <w:rFonts w:hint="eastAsia" w:hAnsi="宋体" w:cs="宋体"/>
                <w:snapToGrid w:val="0"/>
                <w:color w:val="auto"/>
                <w:kern w:val="0"/>
                <w:szCs w:val="24"/>
              </w:rPr>
              <w:t>评标委员会</w:t>
            </w:r>
          </w:p>
        </w:tc>
        <w:tc>
          <w:tcPr>
            <w:tcW w:w="6856" w:type="dxa"/>
            <w:tcBorders>
              <w:top w:val="single" w:color="auto" w:sz="4" w:space="0"/>
              <w:left w:val="single" w:color="auto" w:sz="4" w:space="0"/>
              <w:bottom w:val="single" w:color="auto" w:sz="4" w:space="0"/>
              <w:right w:val="single" w:color="auto" w:sz="4" w:space="0"/>
            </w:tcBorders>
            <w:vAlign w:val="center"/>
          </w:tcPr>
          <w:p w14:paraId="43DAD916">
            <w:pPr>
              <w:wordWrap w:val="0"/>
              <w:adjustRightInd w:val="0"/>
              <w:snapToGrid w:val="0"/>
              <w:spacing w:line="440" w:lineRule="exact"/>
              <w:ind w:firstLine="480" w:firstLineChars="200"/>
              <w:rPr>
                <w:rFonts w:hAnsi="宋体" w:cs="宋体"/>
                <w:snapToGrid w:val="0"/>
                <w:color w:val="auto"/>
                <w:kern w:val="0"/>
                <w:szCs w:val="24"/>
              </w:rPr>
            </w:pPr>
            <w:r>
              <w:rPr>
                <w:rFonts w:hint="eastAsia" w:hAnsi="宋体" w:cs="宋体"/>
                <w:snapToGrid w:val="0"/>
                <w:color w:val="auto"/>
                <w:kern w:val="0"/>
                <w:szCs w:val="24"/>
              </w:rPr>
              <w:t>评标委员会由</w:t>
            </w:r>
            <w:r>
              <w:rPr>
                <w:rFonts w:hint="eastAsia" w:hAnsi="宋体" w:cs="宋体"/>
                <w:snapToGrid w:val="0"/>
                <w:color w:val="auto"/>
                <w:kern w:val="0"/>
                <w:szCs w:val="24"/>
                <w:u w:val="single"/>
              </w:rPr>
              <w:t xml:space="preserve"> 5 </w:t>
            </w:r>
            <w:r>
              <w:rPr>
                <w:rFonts w:hint="eastAsia" w:hAnsi="宋体" w:cs="宋体"/>
                <w:snapToGrid w:val="0"/>
                <w:color w:val="auto"/>
                <w:kern w:val="0"/>
                <w:szCs w:val="24"/>
              </w:rPr>
              <w:t>人组成，其中招标人代表</w:t>
            </w:r>
            <w:r>
              <w:rPr>
                <w:rFonts w:hint="eastAsia" w:hAnsi="宋体" w:cs="宋体"/>
                <w:snapToGrid w:val="0"/>
                <w:color w:val="auto"/>
                <w:kern w:val="0"/>
                <w:szCs w:val="24"/>
                <w:u w:val="single"/>
              </w:rPr>
              <w:t xml:space="preserve"> 0 </w:t>
            </w:r>
            <w:r>
              <w:rPr>
                <w:rFonts w:hint="eastAsia" w:hAnsi="宋体" w:cs="宋体"/>
                <w:snapToGrid w:val="0"/>
                <w:color w:val="auto"/>
                <w:kern w:val="0"/>
                <w:szCs w:val="24"/>
              </w:rPr>
              <w:t>人，专家</w:t>
            </w:r>
            <w:r>
              <w:rPr>
                <w:rFonts w:hint="eastAsia" w:hAnsi="宋体" w:cs="宋体"/>
                <w:snapToGrid w:val="0"/>
                <w:color w:val="auto"/>
                <w:kern w:val="0"/>
                <w:szCs w:val="24"/>
                <w:u w:val="single"/>
              </w:rPr>
              <w:t xml:space="preserve"> 5 </w:t>
            </w:r>
            <w:r>
              <w:rPr>
                <w:rFonts w:hint="eastAsia" w:hAnsi="宋体" w:cs="宋体"/>
                <w:snapToGrid w:val="0"/>
                <w:color w:val="auto"/>
                <w:kern w:val="0"/>
                <w:szCs w:val="24"/>
              </w:rPr>
              <w:t>人。专家从广东省综合评标评审专家库</w:t>
            </w:r>
            <w:r>
              <w:rPr>
                <w:rFonts w:hint="eastAsia" w:hAnsi="宋体" w:cs="宋体"/>
                <w:snapToGrid w:val="0"/>
                <w:color w:val="auto"/>
                <w:kern w:val="0"/>
                <w:szCs w:val="24"/>
                <w:lang w:val="en-US" w:eastAsia="zh-CN"/>
              </w:rPr>
              <w:t>-韶关区域</w:t>
            </w:r>
            <w:r>
              <w:rPr>
                <w:rFonts w:hint="eastAsia" w:hAnsi="宋体" w:cs="宋体"/>
                <w:snapToGrid w:val="0"/>
                <w:color w:val="auto"/>
                <w:kern w:val="0"/>
                <w:szCs w:val="24"/>
              </w:rPr>
              <w:t>中随机抽取，其中技术类专家</w:t>
            </w:r>
            <w:r>
              <w:rPr>
                <w:rFonts w:hint="eastAsia" w:hAnsi="宋体" w:cs="宋体"/>
                <w:snapToGrid w:val="0"/>
                <w:color w:val="auto"/>
                <w:kern w:val="0"/>
                <w:szCs w:val="24"/>
                <w:u w:val="single"/>
              </w:rPr>
              <w:t xml:space="preserve"> 3 </w:t>
            </w:r>
            <w:r>
              <w:rPr>
                <w:rFonts w:hint="eastAsia" w:hAnsi="宋体" w:cs="宋体"/>
                <w:snapToGrid w:val="0"/>
                <w:color w:val="auto"/>
                <w:kern w:val="0"/>
                <w:szCs w:val="24"/>
              </w:rPr>
              <w:t>人，经济类专家</w:t>
            </w:r>
            <w:r>
              <w:rPr>
                <w:rFonts w:hint="eastAsia" w:hAnsi="宋体" w:cs="宋体"/>
                <w:snapToGrid w:val="0"/>
                <w:color w:val="auto"/>
                <w:kern w:val="0"/>
                <w:szCs w:val="24"/>
                <w:u w:val="single"/>
              </w:rPr>
              <w:t xml:space="preserve"> 2 </w:t>
            </w:r>
            <w:r>
              <w:rPr>
                <w:rFonts w:hint="eastAsia" w:hAnsi="宋体" w:cs="宋体"/>
                <w:snapToGrid w:val="0"/>
                <w:color w:val="auto"/>
                <w:kern w:val="0"/>
                <w:szCs w:val="24"/>
              </w:rPr>
              <w:t>人。</w:t>
            </w:r>
          </w:p>
        </w:tc>
      </w:tr>
      <w:tr w14:paraId="36EE7B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90" w:hRule="atLeast"/>
        </w:trPr>
        <w:tc>
          <w:tcPr>
            <w:tcW w:w="721" w:type="dxa"/>
            <w:tcBorders>
              <w:top w:val="single" w:color="auto" w:sz="4" w:space="0"/>
              <w:left w:val="single" w:color="auto" w:sz="4" w:space="0"/>
              <w:bottom w:val="single" w:color="auto" w:sz="4" w:space="0"/>
              <w:right w:val="single" w:color="auto" w:sz="4" w:space="0"/>
            </w:tcBorders>
            <w:vAlign w:val="center"/>
          </w:tcPr>
          <w:p w14:paraId="2C01BB41">
            <w:pPr>
              <w:wordWrap w:val="0"/>
              <w:adjustRightInd w:val="0"/>
              <w:snapToGrid w:val="0"/>
              <w:spacing w:line="440" w:lineRule="exact"/>
              <w:jc w:val="center"/>
              <w:rPr>
                <w:rFonts w:hAnsi="宋体" w:cs="宋体"/>
                <w:snapToGrid w:val="0"/>
                <w:color w:val="auto"/>
                <w:kern w:val="0"/>
                <w:szCs w:val="24"/>
              </w:rPr>
            </w:pPr>
            <w:r>
              <w:rPr>
                <w:rFonts w:hint="eastAsia" w:hAnsi="宋体" w:cs="宋体"/>
                <w:snapToGrid w:val="0"/>
                <w:color w:val="auto"/>
                <w:kern w:val="0"/>
                <w:szCs w:val="24"/>
              </w:rPr>
              <w:t>25</w:t>
            </w:r>
          </w:p>
        </w:tc>
        <w:tc>
          <w:tcPr>
            <w:tcW w:w="1725" w:type="dxa"/>
            <w:tcBorders>
              <w:top w:val="single" w:color="auto" w:sz="4" w:space="0"/>
              <w:left w:val="single" w:color="auto" w:sz="4" w:space="0"/>
              <w:bottom w:val="single" w:color="auto" w:sz="4" w:space="0"/>
              <w:right w:val="single" w:color="auto" w:sz="4" w:space="0"/>
            </w:tcBorders>
            <w:vAlign w:val="center"/>
          </w:tcPr>
          <w:p w14:paraId="1CFFABF6">
            <w:pPr>
              <w:wordWrap w:val="0"/>
              <w:adjustRightInd w:val="0"/>
              <w:snapToGrid w:val="0"/>
              <w:spacing w:line="440" w:lineRule="exact"/>
              <w:jc w:val="center"/>
              <w:rPr>
                <w:rFonts w:hAnsi="宋体" w:cs="宋体"/>
                <w:snapToGrid w:val="0"/>
                <w:color w:val="auto"/>
                <w:kern w:val="0"/>
                <w:szCs w:val="24"/>
              </w:rPr>
            </w:pPr>
            <w:r>
              <w:rPr>
                <w:rFonts w:hint="eastAsia" w:hAnsi="宋体" w:cs="宋体"/>
                <w:snapToGrid w:val="0"/>
                <w:color w:val="auto"/>
                <w:kern w:val="0"/>
                <w:szCs w:val="24"/>
              </w:rPr>
              <w:t>招标人</w:t>
            </w:r>
          </w:p>
          <w:p w14:paraId="2A33F973">
            <w:pPr>
              <w:wordWrap w:val="0"/>
              <w:adjustRightInd w:val="0"/>
              <w:snapToGrid w:val="0"/>
              <w:spacing w:line="440" w:lineRule="exact"/>
              <w:jc w:val="center"/>
              <w:rPr>
                <w:rFonts w:hAnsi="宋体" w:cs="宋体"/>
                <w:snapToGrid w:val="0"/>
                <w:color w:val="auto"/>
                <w:kern w:val="0"/>
                <w:szCs w:val="24"/>
              </w:rPr>
            </w:pPr>
            <w:r>
              <w:rPr>
                <w:rFonts w:hint="eastAsia" w:hAnsi="宋体" w:cs="宋体"/>
                <w:snapToGrid w:val="0"/>
                <w:color w:val="auto"/>
                <w:kern w:val="0"/>
                <w:szCs w:val="24"/>
              </w:rPr>
              <w:t>联系方式</w:t>
            </w:r>
          </w:p>
        </w:tc>
        <w:tc>
          <w:tcPr>
            <w:tcW w:w="6856" w:type="dxa"/>
            <w:tcBorders>
              <w:top w:val="single" w:color="auto" w:sz="4" w:space="0"/>
              <w:left w:val="single" w:color="auto" w:sz="4" w:space="0"/>
              <w:bottom w:val="single" w:color="auto" w:sz="4" w:space="0"/>
              <w:right w:val="single" w:color="auto" w:sz="4" w:space="0"/>
            </w:tcBorders>
            <w:vAlign w:val="center"/>
          </w:tcPr>
          <w:p w14:paraId="66680917">
            <w:pPr>
              <w:pStyle w:val="24"/>
              <w:spacing w:line="440" w:lineRule="exact"/>
              <w:ind w:firstLine="480" w:firstLineChars="200"/>
              <w:jc w:val="left"/>
              <w:rPr>
                <w:rFonts w:hint="eastAsia" w:ascii="宋体" w:hAnsi="宋体" w:eastAsia="宋体" w:cs="宋体"/>
                <w:snapToGrid w:val="0"/>
                <w:color w:val="auto"/>
                <w:kern w:val="0"/>
                <w:sz w:val="24"/>
                <w:lang w:eastAsia="zh-CN"/>
              </w:rPr>
            </w:pPr>
            <w:r>
              <w:rPr>
                <w:rFonts w:hint="eastAsia" w:ascii="宋体" w:hAnsi="宋体" w:cs="宋体"/>
                <w:snapToGrid w:val="0"/>
                <w:color w:val="auto"/>
                <w:kern w:val="0"/>
                <w:sz w:val="24"/>
              </w:rPr>
              <w:t>单位名称：</w:t>
            </w:r>
            <w:r>
              <w:rPr>
                <w:rFonts w:hint="eastAsia" w:ascii="宋体" w:hAnsi="宋体" w:cs="宋体"/>
                <w:snapToGrid w:val="0"/>
                <w:color w:val="auto"/>
                <w:kern w:val="0"/>
                <w:sz w:val="24"/>
                <w:lang w:eastAsia="zh-CN"/>
              </w:rPr>
              <w:t>翁源县公共资产管理中心</w:t>
            </w:r>
          </w:p>
          <w:p w14:paraId="35681EAC">
            <w:pPr>
              <w:pStyle w:val="23"/>
              <w:spacing w:line="440" w:lineRule="exact"/>
              <w:ind w:firstLine="480" w:firstLineChars="200"/>
              <w:jc w:val="left"/>
              <w:rPr>
                <w:rFonts w:hint="eastAsia" w:ascii="宋体" w:hAnsi="宋体" w:eastAsia="宋体" w:cs="宋体"/>
                <w:snapToGrid w:val="0"/>
                <w:color w:val="auto"/>
                <w:kern w:val="0"/>
                <w:sz w:val="24"/>
                <w:lang w:val="zh-CN" w:eastAsia="zh-CN"/>
              </w:rPr>
            </w:pPr>
            <w:r>
              <w:rPr>
                <w:rFonts w:hint="eastAsia" w:ascii="宋体" w:hAnsi="宋体" w:cs="宋体"/>
                <w:snapToGrid w:val="0"/>
                <w:color w:val="auto"/>
                <w:kern w:val="0"/>
                <w:sz w:val="24"/>
              </w:rPr>
              <w:t>办公地址：</w:t>
            </w:r>
            <w:r>
              <w:rPr>
                <w:rFonts w:hint="eastAsia" w:ascii="宋体" w:hAnsi="宋体" w:cs="宋体"/>
                <w:snapToGrid w:val="0"/>
                <w:color w:val="auto"/>
                <w:kern w:val="0"/>
                <w:sz w:val="24"/>
                <w:lang w:eastAsia="zh-CN"/>
              </w:rPr>
              <w:t>翁源县前进路33号</w:t>
            </w:r>
          </w:p>
          <w:p w14:paraId="4606D050">
            <w:pPr>
              <w:pStyle w:val="24"/>
              <w:spacing w:line="440" w:lineRule="exact"/>
              <w:ind w:firstLine="480" w:firstLineChars="200"/>
              <w:jc w:val="left"/>
              <w:rPr>
                <w:rFonts w:hint="eastAsia" w:ascii="宋体" w:hAnsi="宋体" w:eastAsia="宋体" w:cs="宋体"/>
                <w:snapToGrid w:val="0"/>
                <w:color w:val="auto"/>
                <w:kern w:val="0"/>
                <w:sz w:val="24"/>
                <w:lang w:eastAsia="zh-CN"/>
              </w:rPr>
            </w:pPr>
            <w:r>
              <w:rPr>
                <w:rFonts w:hint="eastAsia" w:ascii="宋体" w:hAnsi="宋体" w:cs="宋体"/>
                <w:snapToGrid w:val="0"/>
                <w:color w:val="auto"/>
                <w:kern w:val="0"/>
                <w:sz w:val="24"/>
              </w:rPr>
              <w:t>联系人（部门）：</w:t>
            </w:r>
            <w:r>
              <w:rPr>
                <w:rFonts w:hint="eastAsia" w:ascii="宋体" w:hAnsi="宋体" w:cs="宋体"/>
                <w:snapToGrid w:val="0"/>
                <w:color w:val="auto"/>
                <w:kern w:val="0"/>
                <w:sz w:val="24"/>
                <w:szCs w:val="24"/>
                <w:highlight w:val="none"/>
                <w:lang w:eastAsia="zh-CN"/>
              </w:rPr>
              <w:t>温先生</w:t>
            </w:r>
          </w:p>
          <w:p w14:paraId="6507B1BC">
            <w:pPr>
              <w:wordWrap w:val="0"/>
              <w:adjustRightInd w:val="0"/>
              <w:snapToGrid w:val="0"/>
              <w:spacing w:line="440" w:lineRule="exact"/>
              <w:ind w:firstLine="480" w:firstLineChars="200"/>
              <w:rPr>
                <w:rFonts w:hint="eastAsia" w:hAnsi="宋体" w:eastAsia="宋体" w:cs="宋体"/>
                <w:snapToGrid w:val="0"/>
                <w:color w:val="auto"/>
                <w:kern w:val="0"/>
                <w:szCs w:val="24"/>
                <w:lang w:eastAsia="zh-CN"/>
              </w:rPr>
            </w:pPr>
            <w:r>
              <w:rPr>
                <w:rFonts w:hint="eastAsia" w:hAnsi="宋体" w:cs="宋体"/>
                <w:snapToGrid w:val="0"/>
                <w:color w:val="auto"/>
                <w:kern w:val="0"/>
              </w:rPr>
              <w:t>联系电话：</w:t>
            </w:r>
            <w:r>
              <w:rPr>
                <w:rFonts w:hint="eastAsia" w:hAnsi="宋体" w:cs="宋体"/>
                <w:snapToGrid w:val="0"/>
                <w:color w:val="auto"/>
                <w:kern w:val="0"/>
                <w:sz w:val="24"/>
                <w:szCs w:val="24"/>
                <w:highlight w:val="none"/>
                <w:lang w:eastAsia="zh-CN"/>
              </w:rPr>
              <w:t>0751-2823612</w:t>
            </w:r>
          </w:p>
        </w:tc>
      </w:tr>
      <w:tr w14:paraId="1C3D2F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685" w:hRule="atLeast"/>
        </w:trPr>
        <w:tc>
          <w:tcPr>
            <w:tcW w:w="721" w:type="dxa"/>
            <w:tcBorders>
              <w:top w:val="single" w:color="auto" w:sz="4" w:space="0"/>
              <w:left w:val="single" w:color="auto" w:sz="4" w:space="0"/>
              <w:bottom w:val="single" w:color="auto" w:sz="4" w:space="0"/>
              <w:right w:val="single" w:color="auto" w:sz="4" w:space="0"/>
            </w:tcBorders>
            <w:vAlign w:val="center"/>
          </w:tcPr>
          <w:p w14:paraId="4F3FA96E">
            <w:pPr>
              <w:wordWrap w:val="0"/>
              <w:adjustRightInd w:val="0"/>
              <w:snapToGrid w:val="0"/>
              <w:spacing w:line="440" w:lineRule="exact"/>
              <w:jc w:val="center"/>
              <w:rPr>
                <w:rFonts w:hAnsi="宋体" w:cs="宋体"/>
                <w:snapToGrid w:val="0"/>
                <w:color w:val="auto"/>
                <w:kern w:val="0"/>
                <w:szCs w:val="24"/>
              </w:rPr>
            </w:pPr>
            <w:r>
              <w:rPr>
                <w:rFonts w:hint="eastAsia" w:hAnsi="宋体" w:cs="宋体"/>
                <w:snapToGrid w:val="0"/>
                <w:color w:val="auto"/>
                <w:kern w:val="0"/>
                <w:szCs w:val="24"/>
              </w:rPr>
              <w:t>26</w:t>
            </w:r>
          </w:p>
        </w:tc>
        <w:tc>
          <w:tcPr>
            <w:tcW w:w="1725" w:type="dxa"/>
            <w:tcBorders>
              <w:top w:val="single" w:color="auto" w:sz="4" w:space="0"/>
              <w:left w:val="single" w:color="auto" w:sz="4" w:space="0"/>
              <w:bottom w:val="single" w:color="auto" w:sz="4" w:space="0"/>
              <w:right w:val="single" w:color="auto" w:sz="4" w:space="0"/>
            </w:tcBorders>
            <w:vAlign w:val="center"/>
          </w:tcPr>
          <w:p w14:paraId="7CB921FF">
            <w:pPr>
              <w:wordWrap w:val="0"/>
              <w:adjustRightInd w:val="0"/>
              <w:snapToGrid w:val="0"/>
              <w:spacing w:line="440" w:lineRule="exact"/>
              <w:jc w:val="center"/>
              <w:rPr>
                <w:rFonts w:hAnsi="宋体" w:cs="宋体"/>
                <w:snapToGrid w:val="0"/>
                <w:color w:val="auto"/>
                <w:kern w:val="0"/>
                <w:szCs w:val="24"/>
              </w:rPr>
            </w:pPr>
            <w:r>
              <w:rPr>
                <w:rFonts w:hint="eastAsia" w:hAnsi="宋体" w:cs="宋体"/>
                <w:snapToGrid w:val="0"/>
                <w:color w:val="auto"/>
                <w:kern w:val="0"/>
                <w:szCs w:val="24"/>
              </w:rPr>
              <w:t>招标代理机构</w:t>
            </w:r>
          </w:p>
          <w:p w14:paraId="6AA265C8">
            <w:pPr>
              <w:wordWrap w:val="0"/>
              <w:adjustRightInd w:val="0"/>
              <w:snapToGrid w:val="0"/>
              <w:spacing w:line="440" w:lineRule="exact"/>
              <w:jc w:val="center"/>
              <w:rPr>
                <w:rFonts w:hAnsi="宋体" w:cs="宋体"/>
                <w:snapToGrid w:val="0"/>
                <w:color w:val="auto"/>
                <w:kern w:val="0"/>
                <w:szCs w:val="24"/>
              </w:rPr>
            </w:pPr>
            <w:r>
              <w:rPr>
                <w:rFonts w:hint="eastAsia" w:hAnsi="宋体" w:cs="宋体"/>
                <w:snapToGrid w:val="0"/>
                <w:color w:val="auto"/>
                <w:kern w:val="0"/>
                <w:szCs w:val="24"/>
              </w:rPr>
              <w:t>联系方式</w:t>
            </w:r>
          </w:p>
        </w:tc>
        <w:tc>
          <w:tcPr>
            <w:tcW w:w="6856" w:type="dxa"/>
            <w:tcBorders>
              <w:top w:val="single" w:color="auto" w:sz="4" w:space="0"/>
              <w:left w:val="single" w:color="auto" w:sz="4" w:space="0"/>
              <w:bottom w:val="single" w:color="auto" w:sz="4" w:space="0"/>
              <w:right w:val="single" w:color="auto" w:sz="4" w:space="0"/>
            </w:tcBorders>
            <w:vAlign w:val="center"/>
          </w:tcPr>
          <w:p w14:paraId="4420E81D">
            <w:pPr>
              <w:wordWrap w:val="0"/>
              <w:adjustRightInd w:val="0"/>
              <w:snapToGrid w:val="0"/>
              <w:spacing w:line="460" w:lineRule="exact"/>
              <w:ind w:firstLine="480" w:firstLineChars="200"/>
              <w:jc w:val="left"/>
              <w:rPr>
                <w:rFonts w:hint="eastAsia" w:hAnsi="宋体" w:eastAsia="宋体" w:cs="宋体"/>
                <w:snapToGrid w:val="0"/>
                <w:color w:val="auto"/>
                <w:kern w:val="0"/>
                <w:szCs w:val="24"/>
                <w:lang w:eastAsia="zh-CN"/>
              </w:rPr>
            </w:pPr>
            <w:r>
              <w:rPr>
                <w:rFonts w:hint="eastAsia" w:hAnsi="宋体" w:cs="宋体"/>
                <w:snapToGrid w:val="0"/>
                <w:color w:val="auto"/>
                <w:kern w:val="0"/>
                <w:szCs w:val="24"/>
              </w:rPr>
              <w:t>单位名称：</w:t>
            </w:r>
            <w:r>
              <w:rPr>
                <w:rFonts w:hint="eastAsia" w:hAnsi="宋体" w:cs="宋体"/>
                <w:snapToGrid w:val="0"/>
                <w:color w:val="auto"/>
                <w:kern w:val="0"/>
                <w:szCs w:val="24"/>
                <w:lang w:eastAsia="zh-CN"/>
              </w:rPr>
              <w:t>韶关市嘉泓工程咨询有限公司</w:t>
            </w:r>
          </w:p>
          <w:p w14:paraId="6796CC99">
            <w:pPr>
              <w:wordWrap w:val="0"/>
              <w:adjustRightInd w:val="0"/>
              <w:snapToGrid w:val="0"/>
              <w:spacing w:line="460" w:lineRule="exact"/>
              <w:ind w:firstLine="480" w:firstLineChars="200"/>
              <w:jc w:val="left"/>
              <w:rPr>
                <w:rFonts w:hint="default" w:hAnsi="宋体" w:eastAsia="宋体" w:cs="宋体"/>
                <w:snapToGrid w:val="0"/>
                <w:color w:val="auto"/>
                <w:kern w:val="0"/>
                <w:szCs w:val="24"/>
                <w:lang w:val="en-US" w:eastAsia="zh-CN"/>
              </w:rPr>
            </w:pPr>
            <w:r>
              <w:rPr>
                <w:rFonts w:hint="eastAsia" w:hAnsi="宋体" w:cs="宋体"/>
                <w:snapToGrid w:val="0"/>
                <w:color w:val="auto"/>
                <w:kern w:val="0"/>
                <w:szCs w:val="24"/>
              </w:rPr>
              <w:t>办公地址：</w:t>
            </w:r>
            <w:r>
              <w:rPr>
                <w:rFonts w:hint="eastAsia" w:hAnsi="宋体" w:cs="宋体"/>
                <w:snapToGrid w:val="0"/>
                <w:color w:val="auto"/>
                <w:kern w:val="0"/>
                <w:szCs w:val="24"/>
                <w:lang w:val="en-US" w:eastAsia="zh-CN"/>
              </w:rPr>
              <w:t>韶关市武江区沐溪大道168号韶关市辉越科技创业服务有限公司科研服务楼A5101</w:t>
            </w:r>
          </w:p>
          <w:p w14:paraId="089B139D">
            <w:pPr>
              <w:wordWrap w:val="0"/>
              <w:adjustRightInd w:val="0"/>
              <w:snapToGrid w:val="0"/>
              <w:spacing w:line="460" w:lineRule="exact"/>
              <w:ind w:firstLine="480" w:firstLineChars="200"/>
              <w:jc w:val="left"/>
              <w:rPr>
                <w:rFonts w:hint="default" w:hAnsi="宋体" w:eastAsia="宋体" w:cs="宋体"/>
                <w:snapToGrid w:val="0"/>
                <w:color w:val="auto"/>
                <w:kern w:val="0"/>
                <w:szCs w:val="24"/>
                <w:lang w:val="en-US" w:eastAsia="zh-CN"/>
              </w:rPr>
            </w:pPr>
            <w:r>
              <w:rPr>
                <w:rFonts w:hint="eastAsia" w:hAnsi="宋体" w:cs="宋体"/>
                <w:snapToGrid w:val="0"/>
                <w:color w:val="auto"/>
                <w:kern w:val="0"/>
                <w:szCs w:val="24"/>
              </w:rPr>
              <w:t>联系人（部门）：</w:t>
            </w:r>
            <w:r>
              <w:rPr>
                <w:rFonts w:hint="eastAsia" w:hAnsi="宋体" w:cs="宋体"/>
                <w:snapToGrid w:val="0"/>
                <w:color w:val="auto"/>
                <w:kern w:val="0"/>
                <w:szCs w:val="24"/>
                <w:lang w:val="en-US" w:eastAsia="zh-CN"/>
              </w:rPr>
              <w:t>陈小姐</w:t>
            </w:r>
          </w:p>
          <w:p w14:paraId="7441CEAA">
            <w:pPr>
              <w:wordWrap w:val="0"/>
              <w:adjustRightInd w:val="0"/>
              <w:snapToGrid w:val="0"/>
              <w:spacing w:line="440" w:lineRule="exact"/>
              <w:ind w:firstLine="480" w:firstLineChars="200"/>
              <w:jc w:val="left"/>
              <w:rPr>
                <w:rFonts w:hint="default" w:hAnsi="宋体" w:eastAsia="宋体" w:cs="宋体"/>
                <w:snapToGrid w:val="0"/>
                <w:color w:val="auto"/>
                <w:kern w:val="0"/>
                <w:szCs w:val="24"/>
                <w:lang w:val="en-US" w:eastAsia="zh-CN"/>
              </w:rPr>
            </w:pPr>
            <w:r>
              <w:rPr>
                <w:rFonts w:hint="eastAsia" w:hAnsi="宋体" w:cs="宋体"/>
                <w:snapToGrid w:val="0"/>
                <w:color w:val="auto"/>
                <w:kern w:val="0"/>
                <w:szCs w:val="24"/>
              </w:rPr>
              <w:t>联系电话：</w:t>
            </w:r>
            <w:r>
              <w:rPr>
                <w:rFonts w:hint="eastAsia" w:hAnsi="宋体" w:cs="宋体"/>
                <w:snapToGrid w:val="0"/>
                <w:color w:val="auto"/>
                <w:kern w:val="0"/>
                <w:szCs w:val="24"/>
                <w:lang w:val="en-US" w:eastAsia="zh-CN"/>
              </w:rPr>
              <w:t>15914872737</w:t>
            </w:r>
          </w:p>
        </w:tc>
      </w:tr>
      <w:tr w14:paraId="3D4F83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779" w:hRule="atLeast"/>
        </w:trPr>
        <w:tc>
          <w:tcPr>
            <w:tcW w:w="721" w:type="dxa"/>
            <w:tcBorders>
              <w:top w:val="single" w:color="auto" w:sz="4" w:space="0"/>
              <w:left w:val="single" w:color="auto" w:sz="4" w:space="0"/>
              <w:bottom w:val="single" w:color="auto" w:sz="4" w:space="0"/>
              <w:right w:val="single" w:color="auto" w:sz="4" w:space="0"/>
            </w:tcBorders>
            <w:vAlign w:val="center"/>
          </w:tcPr>
          <w:p w14:paraId="12B2EBDC">
            <w:pPr>
              <w:wordWrap w:val="0"/>
              <w:adjustRightInd w:val="0"/>
              <w:snapToGrid w:val="0"/>
              <w:spacing w:line="440" w:lineRule="exact"/>
              <w:jc w:val="center"/>
              <w:rPr>
                <w:rFonts w:hAnsi="宋体" w:cs="宋体"/>
                <w:snapToGrid w:val="0"/>
                <w:color w:val="auto"/>
                <w:kern w:val="0"/>
                <w:szCs w:val="24"/>
              </w:rPr>
            </w:pPr>
            <w:r>
              <w:rPr>
                <w:rFonts w:hint="eastAsia" w:hAnsi="宋体" w:cs="宋体"/>
                <w:snapToGrid w:val="0"/>
                <w:color w:val="auto"/>
                <w:kern w:val="0"/>
                <w:szCs w:val="24"/>
              </w:rPr>
              <w:t>27</w:t>
            </w:r>
          </w:p>
        </w:tc>
        <w:tc>
          <w:tcPr>
            <w:tcW w:w="1725" w:type="dxa"/>
            <w:tcBorders>
              <w:top w:val="single" w:color="auto" w:sz="4" w:space="0"/>
              <w:left w:val="single" w:color="auto" w:sz="4" w:space="0"/>
              <w:bottom w:val="single" w:color="auto" w:sz="4" w:space="0"/>
              <w:right w:val="single" w:color="auto" w:sz="4" w:space="0"/>
            </w:tcBorders>
            <w:vAlign w:val="center"/>
          </w:tcPr>
          <w:p w14:paraId="24C8E460">
            <w:pPr>
              <w:wordWrap w:val="0"/>
              <w:adjustRightInd w:val="0"/>
              <w:snapToGrid w:val="0"/>
              <w:spacing w:line="440" w:lineRule="exact"/>
              <w:jc w:val="center"/>
              <w:rPr>
                <w:rFonts w:hAnsi="宋体" w:cs="宋体"/>
                <w:snapToGrid w:val="0"/>
                <w:color w:val="auto"/>
                <w:kern w:val="0"/>
                <w:szCs w:val="24"/>
              </w:rPr>
            </w:pPr>
            <w:r>
              <w:rPr>
                <w:rFonts w:hint="eastAsia" w:hAnsi="宋体" w:cs="宋体"/>
                <w:snapToGrid w:val="0"/>
                <w:color w:val="auto"/>
                <w:kern w:val="0"/>
                <w:szCs w:val="24"/>
              </w:rPr>
              <w:t>交易场所</w:t>
            </w:r>
          </w:p>
          <w:p w14:paraId="4A44C0D5">
            <w:pPr>
              <w:wordWrap w:val="0"/>
              <w:adjustRightInd w:val="0"/>
              <w:snapToGrid w:val="0"/>
              <w:spacing w:line="440" w:lineRule="exact"/>
              <w:jc w:val="center"/>
              <w:rPr>
                <w:rFonts w:hAnsi="宋体" w:cs="宋体"/>
                <w:snapToGrid w:val="0"/>
                <w:color w:val="auto"/>
                <w:kern w:val="0"/>
                <w:szCs w:val="24"/>
              </w:rPr>
            </w:pPr>
            <w:r>
              <w:rPr>
                <w:rFonts w:hint="eastAsia" w:hAnsi="宋体" w:cs="宋体"/>
                <w:snapToGrid w:val="0"/>
                <w:color w:val="auto"/>
                <w:kern w:val="0"/>
                <w:szCs w:val="24"/>
              </w:rPr>
              <w:t>联系方式</w:t>
            </w:r>
          </w:p>
        </w:tc>
        <w:tc>
          <w:tcPr>
            <w:tcW w:w="6856" w:type="dxa"/>
            <w:tcBorders>
              <w:top w:val="single" w:color="auto" w:sz="4" w:space="0"/>
              <w:left w:val="single" w:color="auto" w:sz="4" w:space="0"/>
              <w:bottom w:val="single" w:color="auto" w:sz="4" w:space="0"/>
              <w:right w:val="single" w:color="auto" w:sz="4" w:space="0"/>
            </w:tcBorders>
            <w:vAlign w:val="center"/>
          </w:tcPr>
          <w:p w14:paraId="1984D6C5">
            <w:pPr>
              <w:spacing w:line="440" w:lineRule="exact"/>
              <w:ind w:firstLine="480" w:firstLineChars="200"/>
              <w:rPr>
                <w:rFonts w:hAnsi="宋体" w:cs="宋体"/>
                <w:color w:val="auto"/>
                <w:szCs w:val="24"/>
              </w:rPr>
            </w:pPr>
            <w:r>
              <w:rPr>
                <w:rFonts w:hint="eastAsia" w:hAnsi="宋体" w:cs="宋体"/>
                <w:color w:val="auto"/>
                <w:szCs w:val="24"/>
              </w:rPr>
              <w:t>单位名称：韶关市公共资源交易中心</w:t>
            </w:r>
          </w:p>
          <w:p w14:paraId="708E1865">
            <w:pPr>
              <w:spacing w:line="440" w:lineRule="exact"/>
              <w:ind w:firstLine="480" w:firstLineChars="200"/>
              <w:rPr>
                <w:rFonts w:hAnsi="宋体" w:cs="宋体"/>
                <w:color w:val="auto"/>
                <w:szCs w:val="24"/>
              </w:rPr>
            </w:pPr>
            <w:r>
              <w:rPr>
                <w:rFonts w:hint="eastAsia" w:hAnsi="宋体" w:cs="宋体"/>
                <w:color w:val="auto"/>
                <w:szCs w:val="24"/>
              </w:rPr>
              <w:t>办公地址：翁源县龙仙镇朝阳路63号韶关市公共资源交易中心翁源分中心</w:t>
            </w:r>
          </w:p>
          <w:p w14:paraId="03F32709">
            <w:pPr>
              <w:spacing w:line="440" w:lineRule="exact"/>
              <w:ind w:firstLine="480" w:firstLineChars="200"/>
              <w:rPr>
                <w:rFonts w:hAnsi="宋体" w:cs="宋体"/>
                <w:color w:val="auto"/>
                <w:szCs w:val="24"/>
              </w:rPr>
            </w:pPr>
            <w:r>
              <w:rPr>
                <w:rFonts w:hint="eastAsia" w:hAnsi="宋体" w:cs="宋体"/>
                <w:color w:val="auto"/>
                <w:szCs w:val="24"/>
              </w:rPr>
              <w:t xml:space="preserve">联系人（部门）：工程交易股 </w:t>
            </w:r>
          </w:p>
          <w:p w14:paraId="4C3CE568">
            <w:pPr>
              <w:wordWrap w:val="0"/>
              <w:adjustRightInd w:val="0"/>
              <w:snapToGrid w:val="0"/>
              <w:spacing w:line="440" w:lineRule="exact"/>
              <w:ind w:firstLine="480" w:firstLineChars="200"/>
              <w:jc w:val="left"/>
              <w:rPr>
                <w:rFonts w:hAnsi="宋体" w:cs="宋体"/>
                <w:snapToGrid w:val="0"/>
                <w:color w:val="auto"/>
                <w:kern w:val="0"/>
                <w:szCs w:val="24"/>
              </w:rPr>
            </w:pPr>
            <w:r>
              <w:rPr>
                <w:rFonts w:hint="eastAsia" w:hAnsi="宋体" w:cs="宋体"/>
                <w:color w:val="auto"/>
                <w:szCs w:val="24"/>
              </w:rPr>
              <w:t>联系电话：0751-2815819</w:t>
            </w:r>
          </w:p>
        </w:tc>
      </w:tr>
      <w:tr w14:paraId="32939A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90" w:hRule="atLeast"/>
        </w:trPr>
        <w:tc>
          <w:tcPr>
            <w:tcW w:w="721" w:type="dxa"/>
            <w:tcBorders>
              <w:top w:val="single" w:color="auto" w:sz="4" w:space="0"/>
              <w:left w:val="single" w:color="auto" w:sz="4" w:space="0"/>
              <w:bottom w:val="single" w:color="auto" w:sz="4" w:space="0"/>
              <w:right w:val="single" w:color="auto" w:sz="4" w:space="0"/>
            </w:tcBorders>
            <w:vAlign w:val="center"/>
          </w:tcPr>
          <w:p w14:paraId="5171B211">
            <w:pPr>
              <w:wordWrap w:val="0"/>
              <w:adjustRightInd w:val="0"/>
              <w:snapToGrid w:val="0"/>
              <w:spacing w:line="440" w:lineRule="exact"/>
              <w:jc w:val="center"/>
              <w:rPr>
                <w:rFonts w:hAnsi="宋体" w:cs="宋体"/>
                <w:snapToGrid w:val="0"/>
                <w:color w:val="auto"/>
                <w:kern w:val="0"/>
                <w:szCs w:val="24"/>
              </w:rPr>
            </w:pPr>
            <w:r>
              <w:rPr>
                <w:rFonts w:hint="eastAsia" w:hAnsi="宋体" w:cs="宋体"/>
                <w:snapToGrid w:val="0"/>
                <w:color w:val="auto"/>
                <w:kern w:val="0"/>
                <w:szCs w:val="24"/>
              </w:rPr>
              <w:t>28</w:t>
            </w:r>
          </w:p>
        </w:tc>
        <w:tc>
          <w:tcPr>
            <w:tcW w:w="1725" w:type="dxa"/>
            <w:tcBorders>
              <w:top w:val="single" w:color="auto" w:sz="4" w:space="0"/>
              <w:left w:val="single" w:color="auto" w:sz="4" w:space="0"/>
              <w:bottom w:val="single" w:color="auto" w:sz="4" w:space="0"/>
              <w:right w:val="single" w:color="auto" w:sz="4" w:space="0"/>
            </w:tcBorders>
            <w:vAlign w:val="center"/>
          </w:tcPr>
          <w:p w14:paraId="3DDF6B0B">
            <w:pPr>
              <w:wordWrap w:val="0"/>
              <w:adjustRightInd w:val="0"/>
              <w:snapToGrid w:val="0"/>
              <w:spacing w:line="440" w:lineRule="exact"/>
              <w:jc w:val="center"/>
              <w:rPr>
                <w:rFonts w:hAnsi="宋体" w:cs="宋体"/>
                <w:snapToGrid w:val="0"/>
                <w:color w:val="auto"/>
                <w:kern w:val="0"/>
                <w:szCs w:val="24"/>
              </w:rPr>
            </w:pPr>
            <w:r>
              <w:rPr>
                <w:rFonts w:hint="eastAsia" w:hAnsi="宋体" w:cs="宋体"/>
                <w:snapToGrid w:val="0"/>
                <w:color w:val="auto"/>
                <w:kern w:val="0"/>
                <w:szCs w:val="24"/>
              </w:rPr>
              <w:t>行政监督部门</w:t>
            </w:r>
          </w:p>
          <w:p w14:paraId="5433EDE1">
            <w:pPr>
              <w:wordWrap w:val="0"/>
              <w:adjustRightInd w:val="0"/>
              <w:snapToGrid w:val="0"/>
              <w:spacing w:line="440" w:lineRule="exact"/>
              <w:jc w:val="center"/>
              <w:rPr>
                <w:rFonts w:hAnsi="宋体" w:cs="宋体"/>
                <w:snapToGrid w:val="0"/>
                <w:color w:val="auto"/>
                <w:kern w:val="0"/>
                <w:szCs w:val="24"/>
              </w:rPr>
            </w:pPr>
            <w:r>
              <w:rPr>
                <w:rFonts w:hint="eastAsia" w:hAnsi="宋体" w:cs="宋体"/>
                <w:snapToGrid w:val="0"/>
                <w:color w:val="auto"/>
                <w:kern w:val="0"/>
                <w:szCs w:val="24"/>
              </w:rPr>
              <w:t>联系方式</w:t>
            </w:r>
          </w:p>
        </w:tc>
        <w:tc>
          <w:tcPr>
            <w:tcW w:w="6856" w:type="dxa"/>
            <w:tcBorders>
              <w:top w:val="single" w:color="auto" w:sz="4" w:space="0"/>
              <w:left w:val="single" w:color="auto" w:sz="4" w:space="0"/>
              <w:bottom w:val="single" w:color="auto" w:sz="4" w:space="0"/>
              <w:right w:val="single" w:color="auto" w:sz="4" w:space="0"/>
            </w:tcBorders>
            <w:vAlign w:val="center"/>
          </w:tcPr>
          <w:p w14:paraId="7957D5CC">
            <w:pPr>
              <w:spacing w:line="440" w:lineRule="exact"/>
              <w:ind w:firstLine="480" w:firstLineChars="200"/>
              <w:jc w:val="left"/>
              <w:rPr>
                <w:rFonts w:hAnsi="宋体" w:cs="宋体"/>
                <w:color w:val="auto"/>
                <w:szCs w:val="24"/>
              </w:rPr>
            </w:pPr>
            <w:r>
              <w:rPr>
                <w:rFonts w:hint="eastAsia" w:hAnsi="宋体" w:cs="宋体"/>
                <w:color w:val="auto"/>
                <w:szCs w:val="24"/>
              </w:rPr>
              <w:t>单位名称：翁源县住房和城乡建设管理局</w:t>
            </w:r>
          </w:p>
          <w:p w14:paraId="0DCB5329">
            <w:pPr>
              <w:spacing w:line="440" w:lineRule="exact"/>
              <w:ind w:firstLine="480" w:firstLineChars="200"/>
              <w:jc w:val="left"/>
              <w:rPr>
                <w:rFonts w:hAnsi="宋体" w:cs="宋体"/>
                <w:color w:val="auto"/>
                <w:szCs w:val="24"/>
              </w:rPr>
            </w:pPr>
            <w:r>
              <w:rPr>
                <w:rFonts w:hint="eastAsia" w:hAnsi="宋体" w:cs="宋体"/>
                <w:color w:val="auto"/>
                <w:szCs w:val="24"/>
              </w:rPr>
              <w:t>办公地址：翁源县龙仙镇朝阳路186号</w:t>
            </w:r>
          </w:p>
          <w:p w14:paraId="0B55A5FD">
            <w:pPr>
              <w:spacing w:line="440" w:lineRule="exact"/>
              <w:ind w:firstLine="480" w:firstLineChars="200"/>
              <w:jc w:val="left"/>
              <w:rPr>
                <w:rFonts w:hAnsi="宋体" w:cs="宋体"/>
                <w:color w:val="auto"/>
                <w:szCs w:val="24"/>
              </w:rPr>
            </w:pPr>
            <w:r>
              <w:rPr>
                <w:rFonts w:hint="eastAsia" w:hAnsi="宋体" w:cs="宋体"/>
                <w:color w:val="auto"/>
                <w:szCs w:val="24"/>
              </w:rPr>
              <w:t>联系人(部门)：建管股</w:t>
            </w:r>
          </w:p>
          <w:p w14:paraId="4AE0E419">
            <w:pPr>
              <w:wordWrap w:val="0"/>
              <w:adjustRightInd w:val="0"/>
              <w:snapToGrid w:val="0"/>
              <w:spacing w:line="440" w:lineRule="exact"/>
              <w:ind w:firstLine="480" w:firstLineChars="200"/>
              <w:jc w:val="left"/>
              <w:rPr>
                <w:rFonts w:hAnsi="宋体" w:cs="宋体"/>
                <w:snapToGrid w:val="0"/>
                <w:color w:val="auto"/>
                <w:kern w:val="0"/>
                <w:szCs w:val="24"/>
              </w:rPr>
            </w:pPr>
            <w:r>
              <w:rPr>
                <w:rFonts w:hint="eastAsia" w:hAnsi="宋体" w:cs="宋体"/>
                <w:color w:val="auto"/>
                <w:szCs w:val="24"/>
              </w:rPr>
              <w:t>联系电话：0751-2870501 </w:t>
            </w:r>
            <w:r>
              <w:rPr>
                <w:rFonts w:hint="eastAsia" w:hAnsi="宋体" w:cs="宋体"/>
                <w:snapToGrid w:val="0"/>
                <w:color w:val="auto"/>
                <w:kern w:val="0"/>
                <w:szCs w:val="24"/>
              </w:rPr>
              <w:t> </w:t>
            </w:r>
          </w:p>
        </w:tc>
      </w:tr>
      <w:bookmarkEnd w:id="4"/>
      <w:tr w14:paraId="57FAC6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18" w:hRule="atLeast"/>
        </w:trPr>
        <w:tc>
          <w:tcPr>
            <w:tcW w:w="721" w:type="dxa"/>
            <w:tcBorders>
              <w:top w:val="single" w:color="auto" w:sz="4" w:space="0"/>
              <w:left w:val="single" w:color="auto" w:sz="4" w:space="0"/>
              <w:bottom w:val="single" w:color="auto" w:sz="4" w:space="0"/>
              <w:right w:val="single" w:color="auto" w:sz="4" w:space="0"/>
            </w:tcBorders>
            <w:vAlign w:val="center"/>
          </w:tcPr>
          <w:p w14:paraId="3C169149">
            <w:pPr>
              <w:wordWrap w:val="0"/>
              <w:adjustRightInd w:val="0"/>
              <w:snapToGrid w:val="0"/>
              <w:spacing w:line="440" w:lineRule="exact"/>
              <w:jc w:val="center"/>
              <w:rPr>
                <w:rFonts w:hAnsi="宋体" w:cs="宋体"/>
                <w:snapToGrid w:val="0"/>
                <w:color w:val="auto"/>
                <w:kern w:val="0"/>
                <w:szCs w:val="24"/>
              </w:rPr>
            </w:pPr>
            <w:bookmarkStart w:id="5" w:name="_Toc122769943"/>
            <w:bookmarkStart w:id="6" w:name="_Toc122859103"/>
            <w:bookmarkStart w:id="7" w:name="_Toc122671103"/>
            <w:r>
              <w:rPr>
                <w:rFonts w:hint="eastAsia" w:hAnsi="宋体" w:cs="宋体"/>
                <w:snapToGrid w:val="0"/>
                <w:color w:val="auto"/>
                <w:kern w:val="0"/>
                <w:szCs w:val="24"/>
              </w:rPr>
              <w:t>29</w:t>
            </w:r>
          </w:p>
        </w:tc>
        <w:tc>
          <w:tcPr>
            <w:tcW w:w="1725" w:type="dxa"/>
            <w:tcBorders>
              <w:top w:val="single" w:color="auto" w:sz="4" w:space="0"/>
              <w:left w:val="single" w:color="auto" w:sz="4" w:space="0"/>
              <w:bottom w:val="single" w:color="auto" w:sz="4" w:space="0"/>
              <w:right w:val="single" w:color="auto" w:sz="4" w:space="0"/>
            </w:tcBorders>
            <w:vAlign w:val="center"/>
          </w:tcPr>
          <w:p w14:paraId="20D04B7C">
            <w:pPr>
              <w:wordWrap w:val="0"/>
              <w:adjustRightInd w:val="0"/>
              <w:snapToGrid w:val="0"/>
              <w:spacing w:line="440" w:lineRule="exact"/>
              <w:jc w:val="center"/>
              <w:rPr>
                <w:rFonts w:hAnsi="宋体" w:cs="宋体"/>
                <w:snapToGrid w:val="0"/>
                <w:color w:val="auto"/>
                <w:kern w:val="0"/>
                <w:szCs w:val="24"/>
              </w:rPr>
            </w:pPr>
            <w:r>
              <w:rPr>
                <w:rFonts w:hint="eastAsia" w:hAnsi="宋体" w:cs="宋体"/>
                <w:snapToGrid w:val="0"/>
                <w:color w:val="auto"/>
                <w:kern w:val="0"/>
                <w:szCs w:val="24"/>
              </w:rPr>
              <w:t>术语</w:t>
            </w:r>
          </w:p>
        </w:tc>
        <w:tc>
          <w:tcPr>
            <w:tcW w:w="6856" w:type="dxa"/>
            <w:tcBorders>
              <w:top w:val="single" w:color="auto" w:sz="4" w:space="0"/>
              <w:left w:val="single" w:color="auto" w:sz="4" w:space="0"/>
              <w:bottom w:val="single" w:color="auto" w:sz="4" w:space="0"/>
              <w:right w:val="single" w:color="auto" w:sz="4" w:space="0"/>
            </w:tcBorders>
            <w:vAlign w:val="center"/>
          </w:tcPr>
          <w:p w14:paraId="031332CD">
            <w:pPr>
              <w:wordWrap w:val="0"/>
              <w:adjustRightInd w:val="0"/>
              <w:snapToGrid w:val="0"/>
              <w:spacing w:line="240" w:lineRule="auto"/>
              <w:ind w:firstLine="480" w:firstLineChars="200"/>
              <w:jc w:val="left"/>
              <w:rPr>
                <w:rFonts w:hAnsi="宋体" w:cs="宋体"/>
                <w:snapToGrid w:val="0"/>
                <w:color w:val="auto"/>
                <w:kern w:val="0"/>
                <w:szCs w:val="24"/>
              </w:rPr>
            </w:pPr>
            <w:r>
              <w:rPr>
                <w:rFonts w:hint="eastAsia" w:hAnsi="宋体" w:cs="宋体"/>
                <w:snapToGrid w:val="0"/>
                <w:color w:val="auto"/>
                <w:kern w:val="0"/>
                <w:szCs w:val="24"/>
              </w:rPr>
              <w:t>1．“监理”是指监理人受委托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1C666FBE">
            <w:pPr>
              <w:wordWrap w:val="0"/>
              <w:adjustRightInd w:val="0"/>
              <w:snapToGrid w:val="0"/>
              <w:spacing w:line="240" w:lineRule="auto"/>
              <w:ind w:firstLine="480" w:firstLineChars="200"/>
              <w:jc w:val="left"/>
              <w:rPr>
                <w:rFonts w:hAnsi="宋体" w:cs="宋体"/>
                <w:snapToGrid w:val="0"/>
                <w:color w:val="auto"/>
                <w:kern w:val="0"/>
                <w:szCs w:val="24"/>
              </w:rPr>
            </w:pPr>
            <w:r>
              <w:rPr>
                <w:rFonts w:hint="eastAsia" w:hAnsi="宋体" w:cs="宋体"/>
                <w:snapToGrid w:val="0"/>
                <w:color w:val="auto"/>
                <w:kern w:val="0"/>
                <w:szCs w:val="24"/>
              </w:rPr>
              <w:t>2．“相关服务”是指监理人受委托人的委托，按照合同约定，在勘察、设计、保修等阶段提供的服务活动。</w:t>
            </w:r>
          </w:p>
        </w:tc>
      </w:tr>
      <w:bookmarkEnd w:id="5"/>
      <w:bookmarkEnd w:id="6"/>
      <w:bookmarkEnd w:id="7"/>
      <w:tr w14:paraId="4D087F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018" w:hRule="atLeast"/>
        </w:trPr>
        <w:tc>
          <w:tcPr>
            <w:tcW w:w="721" w:type="dxa"/>
            <w:tcBorders>
              <w:top w:val="single" w:color="auto" w:sz="4" w:space="0"/>
              <w:left w:val="single" w:color="auto" w:sz="4" w:space="0"/>
              <w:bottom w:val="single" w:color="auto" w:sz="4" w:space="0"/>
              <w:right w:val="single" w:color="auto" w:sz="4" w:space="0"/>
            </w:tcBorders>
            <w:vAlign w:val="center"/>
          </w:tcPr>
          <w:p w14:paraId="2FAA4A1D">
            <w:pPr>
              <w:wordWrap w:val="0"/>
              <w:adjustRightInd w:val="0"/>
              <w:snapToGrid w:val="0"/>
              <w:spacing w:line="440" w:lineRule="exact"/>
              <w:jc w:val="center"/>
              <w:rPr>
                <w:rFonts w:hAnsi="宋体" w:cs="宋体"/>
                <w:snapToGrid w:val="0"/>
                <w:color w:val="auto"/>
                <w:kern w:val="0"/>
                <w:szCs w:val="24"/>
              </w:rPr>
            </w:pPr>
            <w:r>
              <w:rPr>
                <w:rFonts w:hint="eastAsia" w:hAnsi="宋体" w:cs="宋体"/>
                <w:snapToGrid w:val="0"/>
                <w:color w:val="auto"/>
                <w:kern w:val="0"/>
                <w:szCs w:val="24"/>
              </w:rPr>
              <w:t>30</w:t>
            </w:r>
          </w:p>
        </w:tc>
        <w:tc>
          <w:tcPr>
            <w:tcW w:w="1725" w:type="dxa"/>
            <w:tcBorders>
              <w:top w:val="single" w:color="auto" w:sz="4" w:space="0"/>
              <w:left w:val="single" w:color="auto" w:sz="4" w:space="0"/>
              <w:bottom w:val="single" w:color="auto" w:sz="4" w:space="0"/>
              <w:right w:val="single" w:color="auto" w:sz="4" w:space="0"/>
            </w:tcBorders>
            <w:vAlign w:val="center"/>
          </w:tcPr>
          <w:p w14:paraId="5CF5E41B">
            <w:pPr>
              <w:wordWrap w:val="0"/>
              <w:adjustRightInd w:val="0"/>
              <w:snapToGrid w:val="0"/>
              <w:spacing w:line="440" w:lineRule="exact"/>
              <w:jc w:val="center"/>
              <w:rPr>
                <w:rFonts w:hAnsi="宋体" w:cs="宋体"/>
                <w:snapToGrid w:val="0"/>
                <w:color w:val="auto"/>
                <w:kern w:val="0"/>
                <w:szCs w:val="24"/>
              </w:rPr>
            </w:pPr>
            <w:r>
              <w:rPr>
                <w:rFonts w:hint="eastAsia" w:hAnsi="宋体" w:cs="宋体"/>
                <w:snapToGrid w:val="0"/>
                <w:color w:val="auto"/>
                <w:kern w:val="0"/>
                <w:szCs w:val="24"/>
              </w:rPr>
              <w:t>其他费用</w:t>
            </w:r>
          </w:p>
        </w:tc>
        <w:tc>
          <w:tcPr>
            <w:tcW w:w="6856" w:type="dxa"/>
            <w:tcBorders>
              <w:top w:val="single" w:color="auto" w:sz="4" w:space="0"/>
              <w:left w:val="single" w:color="auto" w:sz="4" w:space="0"/>
              <w:bottom w:val="single" w:color="auto" w:sz="4" w:space="0"/>
              <w:right w:val="single" w:color="auto" w:sz="4" w:space="0"/>
            </w:tcBorders>
            <w:vAlign w:val="center"/>
          </w:tcPr>
          <w:p w14:paraId="4F4A206B">
            <w:pPr>
              <w:pStyle w:val="6"/>
              <w:spacing w:line="440" w:lineRule="exact"/>
              <w:ind w:firstLine="480" w:firstLineChars="200"/>
              <w:rPr>
                <w:rFonts w:hAnsi="宋体" w:cs="宋体"/>
                <w:snapToGrid w:val="0"/>
                <w:color w:val="auto"/>
                <w:szCs w:val="24"/>
              </w:rPr>
            </w:pPr>
            <w:r>
              <w:rPr>
                <w:rFonts w:hint="eastAsia" w:hAnsi="宋体" w:cs="宋体"/>
                <w:color w:val="auto"/>
                <w:kern w:val="2"/>
              </w:rPr>
              <w:t>本项目的招标代理服务费及评标专家酬劳由中标人支付，由投标人在投标报价时综合考虑在内。招标代理服务费参照</w:t>
            </w:r>
            <w:r>
              <w:rPr>
                <w:rFonts w:hint="eastAsia" w:hAnsi="宋体" w:cs="宋体"/>
                <w:color w:val="auto"/>
                <w:kern w:val="2"/>
                <w:lang w:eastAsia="zh-CN"/>
              </w:rPr>
              <w:t>参照《招标代理服务收费管理暂行办法》计价格[2002]1980号文，以最终中标金额为计算基数计算并下浮20%</w:t>
            </w:r>
            <w:r>
              <w:rPr>
                <w:rFonts w:hint="eastAsia" w:hAnsi="宋体" w:cs="宋体"/>
                <w:color w:val="auto"/>
                <w:kern w:val="2"/>
              </w:rPr>
              <w:t>计取</w:t>
            </w:r>
            <w:r>
              <w:rPr>
                <w:rFonts w:hint="eastAsia" w:hAnsi="宋体" w:cs="宋体"/>
                <w:color w:val="auto"/>
                <w:kern w:val="2"/>
                <w:lang w:eastAsia="zh-CN"/>
              </w:rPr>
              <w:t>，</w:t>
            </w:r>
            <w:r>
              <w:rPr>
                <w:rFonts w:hint="eastAsia" w:hAnsi="宋体" w:cs="宋体"/>
                <w:color w:val="auto"/>
                <w:kern w:val="2"/>
                <w:lang w:val="en-US" w:eastAsia="zh-CN"/>
              </w:rPr>
              <w:t>不足一万元按一万元收取</w:t>
            </w:r>
            <w:r>
              <w:rPr>
                <w:rFonts w:hint="eastAsia" w:hAnsi="宋体" w:cs="宋体"/>
                <w:color w:val="auto"/>
                <w:kern w:val="2"/>
              </w:rPr>
              <w:t>。中标人在领取中标通知书前须向招标代理机构一次性支付（评标专家酬劳先由招标代理垫付，以评标结束当日的评标专家酬劳签收表总额为准）。</w:t>
            </w:r>
          </w:p>
        </w:tc>
      </w:tr>
    </w:tbl>
    <w:p w14:paraId="3FDF4474">
      <w:pPr>
        <w:pStyle w:val="3"/>
        <w:wordWrap w:val="0"/>
        <w:autoSpaceDE/>
        <w:autoSpaceDN/>
        <w:snapToGrid w:val="0"/>
        <w:spacing w:before="260" w:after="260" w:line="440" w:lineRule="exact"/>
        <w:jc w:val="both"/>
        <w:rPr>
          <w:rFonts w:ascii="Times New Roman"/>
          <w:b/>
          <w:snapToGrid w:val="0"/>
          <w:color w:val="auto"/>
        </w:rPr>
        <w:sectPr>
          <w:footerReference r:id="rId6" w:type="default"/>
          <w:endnotePr>
            <w:numFmt w:val="decimal"/>
          </w:endnotePr>
          <w:pgSz w:w="11906" w:h="16838"/>
          <w:pgMar w:top="1417" w:right="1417" w:bottom="1417" w:left="1417" w:header="850" w:footer="992" w:gutter="0"/>
          <w:pgNumType w:start="1"/>
          <w:cols w:space="0" w:num="1"/>
          <w:docGrid w:linePitch="327" w:charSpace="0"/>
        </w:sectPr>
      </w:pPr>
    </w:p>
    <w:p w14:paraId="21171EA6">
      <w:pPr>
        <w:pStyle w:val="3"/>
        <w:wordWrap w:val="0"/>
        <w:autoSpaceDE/>
        <w:autoSpaceDN/>
        <w:snapToGrid w:val="0"/>
        <w:spacing w:after="120" w:afterLines="50" w:line="440" w:lineRule="exact"/>
        <w:jc w:val="both"/>
        <w:rPr>
          <w:rFonts w:ascii="Times New Roman"/>
          <w:snapToGrid w:val="0"/>
          <w:color w:val="auto"/>
        </w:rPr>
      </w:pPr>
      <w:bookmarkStart w:id="8" w:name="_Toc714"/>
      <w:bookmarkStart w:id="9" w:name="_Toc465"/>
      <w:r>
        <w:rPr>
          <w:rFonts w:hint="eastAsia" w:ascii="Times New Roman"/>
          <w:b/>
          <w:snapToGrid w:val="0"/>
          <w:color w:val="auto"/>
        </w:rPr>
        <w:t>第二节 重要事项时间地点一览表</w:t>
      </w:r>
      <w:bookmarkEnd w:id="8"/>
      <w:bookmarkEnd w:id="9"/>
    </w:p>
    <w:tbl>
      <w:tblPr>
        <w:tblStyle w:val="16"/>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411"/>
        <w:gridCol w:w="1472"/>
        <w:gridCol w:w="7296"/>
      </w:tblGrid>
      <w:tr w14:paraId="0CB52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94" w:hRule="atLeast"/>
          <w:jc w:val="center"/>
        </w:trPr>
        <w:tc>
          <w:tcPr>
            <w:tcW w:w="411" w:type="dxa"/>
            <w:shd w:val="clear" w:color="auto" w:fill="FFFFFF"/>
            <w:vAlign w:val="center"/>
          </w:tcPr>
          <w:p w14:paraId="34656373">
            <w:pPr>
              <w:pStyle w:val="24"/>
              <w:wordWrap w:val="0"/>
              <w:adjustRightInd w:val="0"/>
              <w:snapToGrid w:val="0"/>
              <w:spacing w:after="260" w:line="440" w:lineRule="exact"/>
              <w:jc w:val="left"/>
              <w:rPr>
                <w:rFonts w:ascii="宋体" w:hAnsi="宋体" w:cs="宋体"/>
                <w:color w:val="auto"/>
                <w:sz w:val="24"/>
              </w:rPr>
            </w:pPr>
            <w:r>
              <w:rPr>
                <w:rFonts w:hint="eastAsia" w:ascii="宋体" w:hAnsi="宋体" w:cs="宋体"/>
                <w:b/>
                <w:bCs/>
                <w:snapToGrid w:val="0"/>
                <w:color w:val="auto"/>
                <w:kern w:val="0"/>
                <w:sz w:val="24"/>
              </w:rPr>
              <w:t xml:space="preserve"> </w:t>
            </w:r>
            <w:r>
              <w:rPr>
                <w:rFonts w:hint="eastAsia" w:ascii="宋体" w:hAnsi="宋体" w:cs="宋体"/>
                <w:color w:val="auto"/>
                <w:sz w:val="24"/>
              </w:rPr>
              <w:t>1</w:t>
            </w:r>
          </w:p>
        </w:tc>
        <w:tc>
          <w:tcPr>
            <w:tcW w:w="1472" w:type="dxa"/>
            <w:shd w:val="clear" w:color="auto" w:fill="FFFFFF"/>
            <w:vAlign w:val="center"/>
          </w:tcPr>
          <w:p w14:paraId="7BA716C3">
            <w:pPr>
              <w:pStyle w:val="15"/>
              <w:spacing w:before="0" w:beforeAutospacing="0" w:after="0" w:afterAutospacing="0" w:line="360" w:lineRule="atLeast"/>
              <w:jc w:val="center"/>
              <w:rPr>
                <w:color w:val="auto"/>
              </w:rPr>
            </w:pPr>
            <w:r>
              <w:rPr>
                <w:rFonts w:hint="eastAsia"/>
                <w:color w:val="auto"/>
              </w:rPr>
              <w:t>招标公告</w:t>
            </w:r>
          </w:p>
          <w:p w14:paraId="306102D0">
            <w:pPr>
              <w:pStyle w:val="15"/>
              <w:spacing w:before="0" w:beforeAutospacing="0" w:after="0" w:afterAutospacing="0" w:line="360" w:lineRule="atLeast"/>
              <w:jc w:val="center"/>
              <w:rPr>
                <w:color w:val="auto"/>
              </w:rPr>
            </w:pPr>
            <w:r>
              <w:rPr>
                <w:rFonts w:hint="eastAsia"/>
                <w:color w:val="auto"/>
              </w:rPr>
              <w:t>发布时间</w:t>
            </w:r>
          </w:p>
        </w:tc>
        <w:tc>
          <w:tcPr>
            <w:tcW w:w="7296" w:type="dxa"/>
            <w:shd w:val="clear" w:color="auto" w:fill="FFFFFF"/>
            <w:vAlign w:val="center"/>
          </w:tcPr>
          <w:p w14:paraId="1907839E">
            <w:pPr>
              <w:pStyle w:val="15"/>
              <w:spacing w:before="0" w:beforeAutospacing="0" w:after="150" w:afterAutospacing="0" w:line="360" w:lineRule="atLeast"/>
              <w:ind w:left="240" w:hanging="240" w:hangingChars="100"/>
              <w:rPr>
                <w:color w:val="auto"/>
              </w:rPr>
            </w:pPr>
            <w:r>
              <w:rPr>
                <w:rFonts w:hint="eastAsia"/>
                <w:color w:val="auto"/>
              </w:rPr>
              <w:t> </w:t>
            </w:r>
            <w:r>
              <w:rPr>
                <w:rFonts w:hint="eastAsia"/>
                <w:color w:val="auto"/>
                <w:u w:val="single"/>
                <w:lang w:val="en-US" w:eastAsia="zh-CN"/>
              </w:rPr>
              <w:t>2025</w:t>
            </w:r>
            <w:r>
              <w:rPr>
                <w:rFonts w:hint="eastAsia"/>
                <w:color w:val="auto"/>
              </w:rPr>
              <w:t>年</w:t>
            </w:r>
            <w:r>
              <w:rPr>
                <w:rFonts w:hint="eastAsia"/>
                <w:color w:val="auto"/>
                <w:u w:val="single"/>
                <w:lang w:val="en-US" w:eastAsia="zh-CN"/>
              </w:rPr>
              <w:t>05</w:t>
            </w:r>
            <w:r>
              <w:rPr>
                <w:rFonts w:hint="eastAsia"/>
                <w:color w:val="auto"/>
              </w:rPr>
              <w:t>月</w:t>
            </w:r>
            <w:r>
              <w:rPr>
                <w:rFonts w:hint="eastAsia"/>
                <w:color w:val="auto"/>
                <w:u w:val="single"/>
                <w:lang w:val="en-US" w:eastAsia="zh-CN"/>
              </w:rPr>
              <w:t>21</w:t>
            </w:r>
            <w:r>
              <w:rPr>
                <w:rFonts w:hint="eastAsia"/>
                <w:color w:val="auto"/>
              </w:rPr>
              <w:t>日</w:t>
            </w:r>
            <w:r>
              <w:rPr>
                <w:rFonts w:hint="eastAsia"/>
                <w:color w:val="auto"/>
                <w:u w:val="single"/>
                <w:lang w:val="en-US" w:eastAsia="zh-CN"/>
              </w:rPr>
              <w:t>18</w:t>
            </w:r>
            <w:r>
              <w:rPr>
                <w:rFonts w:hint="eastAsia"/>
                <w:color w:val="auto"/>
              </w:rPr>
              <w:t>时</w:t>
            </w:r>
            <w:r>
              <w:rPr>
                <w:rFonts w:hint="eastAsia"/>
                <w:color w:val="auto"/>
                <w:u w:val="single"/>
                <w:lang w:val="en-US" w:eastAsia="zh-CN"/>
              </w:rPr>
              <w:t>00</w:t>
            </w:r>
            <w:r>
              <w:rPr>
                <w:rFonts w:hint="eastAsia"/>
                <w:color w:val="auto"/>
              </w:rPr>
              <w:t>分</w:t>
            </w:r>
          </w:p>
        </w:tc>
      </w:tr>
      <w:tr w14:paraId="70A5C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94" w:hRule="atLeast"/>
          <w:jc w:val="center"/>
        </w:trPr>
        <w:tc>
          <w:tcPr>
            <w:tcW w:w="411" w:type="dxa"/>
            <w:shd w:val="clear" w:color="auto" w:fill="FFFFFF"/>
            <w:vAlign w:val="center"/>
          </w:tcPr>
          <w:p w14:paraId="4755C3D4">
            <w:pPr>
              <w:pStyle w:val="15"/>
              <w:spacing w:before="0" w:beforeAutospacing="0" w:after="150" w:afterAutospacing="0" w:line="360" w:lineRule="atLeast"/>
              <w:jc w:val="center"/>
              <w:rPr>
                <w:color w:val="auto"/>
              </w:rPr>
            </w:pPr>
            <w:r>
              <w:rPr>
                <w:rFonts w:hint="eastAsia"/>
                <w:color w:val="auto"/>
              </w:rPr>
              <w:t>2</w:t>
            </w:r>
          </w:p>
        </w:tc>
        <w:tc>
          <w:tcPr>
            <w:tcW w:w="1472" w:type="dxa"/>
            <w:shd w:val="clear" w:color="auto" w:fill="FFFFFF"/>
            <w:vAlign w:val="center"/>
          </w:tcPr>
          <w:p w14:paraId="2EC09D8B">
            <w:pPr>
              <w:pStyle w:val="15"/>
              <w:spacing w:before="0" w:beforeAutospacing="0" w:after="0" w:afterAutospacing="0" w:line="360" w:lineRule="atLeast"/>
              <w:jc w:val="center"/>
              <w:rPr>
                <w:color w:val="auto"/>
              </w:rPr>
            </w:pPr>
            <w:r>
              <w:rPr>
                <w:rFonts w:hint="eastAsia"/>
                <w:color w:val="auto"/>
              </w:rPr>
              <w:t>获取招标文件截止时间</w:t>
            </w:r>
          </w:p>
        </w:tc>
        <w:tc>
          <w:tcPr>
            <w:tcW w:w="7296" w:type="dxa"/>
            <w:shd w:val="clear" w:color="auto" w:fill="FFFFFF"/>
            <w:vAlign w:val="center"/>
          </w:tcPr>
          <w:p w14:paraId="618A6329">
            <w:pPr>
              <w:pStyle w:val="15"/>
              <w:spacing w:before="0" w:beforeAutospacing="0" w:after="150" w:afterAutospacing="0" w:line="360" w:lineRule="atLeast"/>
              <w:rPr>
                <w:color w:val="auto"/>
              </w:rPr>
            </w:pPr>
            <w:r>
              <w:rPr>
                <w:rFonts w:hint="eastAsia"/>
                <w:color w:val="auto"/>
              </w:rPr>
              <w:t> </w:t>
            </w:r>
            <w:r>
              <w:rPr>
                <w:rFonts w:hint="eastAsia"/>
                <w:color w:val="auto"/>
                <w:u w:val="single"/>
                <w:lang w:val="en-US" w:eastAsia="zh-CN"/>
              </w:rPr>
              <w:t>2025</w:t>
            </w:r>
            <w:r>
              <w:rPr>
                <w:rFonts w:hint="eastAsia"/>
                <w:color w:val="auto"/>
              </w:rPr>
              <w:t>年</w:t>
            </w:r>
            <w:r>
              <w:rPr>
                <w:rFonts w:hint="eastAsia"/>
                <w:color w:val="auto"/>
                <w:u w:val="single"/>
                <w:lang w:val="en-US" w:eastAsia="zh-CN"/>
              </w:rPr>
              <w:t>06</w:t>
            </w:r>
            <w:r>
              <w:rPr>
                <w:rFonts w:hint="eastAsia"/>
                <w:color w:val="auto"/>
              </w:rPr>
              <w:t>月</w:t>
            </w:r>
            <w:r>
              <w:rPr>
                <w:rFonts w:hint="eastAsia"/>
                <w:color w:val="auto"/>
                <w:u w:val="single"/>
                <w:lang w:val="en-US" w:eastAsia="zh-CN"/>
              </w:rPr>
              <w:t>11</w:t>
            </w:r>
            <w:r>
              <w:rPr>
                <w:rFonts w:hint="eastAsia"/>
                <w:color w:val="auto"/>
              </w:rPr>
              <w:t>日</w:t>
            </w:r>
            <w:r>
              <w:rPr>
                <w:rFonts w:hint="eastAsia"/>
                <w:color w:val="auto"/>
                <w:u w:val="single"/>
                <w:lang w:val="en-US" w:eastAsia="zh-CN"/>
              </w:rPr>
              <w:t>10</w:t>
            </w:r>
            <w:r>
              <w:rPr>
                <w:rFonts w:hint="eastAsia"/>
                <w:color w:val="auto"/>
              </w:rPr>
              <w:t>时</w:t>
            </w:r>
            <w:r>
              <w:rPr>
                <w:rFonts w:hint="eastAsia"/>
                <w:color w:val="auto"/>
                <w:u w:val="single"/>
                <w:lang w:val="en-US" w:eastAsia="zh-CN"/>
              </w:rPr>
              <w:t>00</w:t>
            </w:r>
            <w:r>
              <w:rPr>
                <w:rFonts w:hint="eastAsia"/>
                <w:color w:val="auto"/>
              </w:rPr>
              <w:t>分</w:t>
            </w:r>
          </w:p>
        </w:tc>
      </w:tr>
      <w:tr w14:paraId="441D4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94" w:hRule="atLeast"/>
          <w:jc w:val="center"/>
        </w:trPr>
        <w:tc>
          <w:tcPr>
            <w:tcW w:w="411" w:type="dxa"/>
            <w:shd w:val="clear" w:color="auto" w:fill="FFFFFF"/>
            <w:vAlign w:val="center"/>
          </w:tcPr>
          <w:p w14:paraId="63F9843F">
            <w:pPr>
              <w:pStyle w:val="15"/>
              <w:spacing w:before="0" w:beforeAutospacing="0" w:after="150" w:afterAutospacing="0" w:line="360" w:lineRule="atLeast"/>
              <w:jc w:val="center"/>
              <w:rPr>
                <w:color w:val="auto"/>
              </w:rPr>
            </w:pPr>
            <w:r>
              <w:rPr>
                <w:rFonts w:hint="eastAsia"/>
                <w:color w:val="auto"/>
              </w:rPr>
              <w:t>3</w:t>
            </w:r>
          </w:p>
        </w:tc>
        <w:tc>
          <w:tcPr>
            <w:tcW w:w="1472" w:type="dxa"/>
            <w:shd w:val="clear" w:color="auto" w:fill="FFFFFF"/>
            <w:vAlign w:val="center"/>
          </w:tcPr>
          <w:p w14:paraId="1668908E">
            <w:pPr>
              <w:pStyle w:val="15"/>
              <w:spacing w:before="0" w:beforeAutospacing="0" w:after="0" w:afterAutospacing="0" w:line="360" w:lineRule="atLeast"/>
              <w:jc w:val="center"/>
              <w:rPr>
                <w:color w:val="auto"/>
              </w:rPr>
            </w:pPr>
            <w:r>
              <w:rPr>
                <w:rFonts w:hint="eastAsia"/>
                <w:color w:val="auto"/>
              </w:rPr>
              <w:t>网上提问</w:t>
            </w:r>
          </w:p>
          <w:p w14:paraId="20BADE1D">
            <w:pPr>
              <w:pStyle w:val="15"/>
              <w:spacing w:before="0" w:beforeAutospacing="0" w:after="0" w:afterAutospacing="0" w:line="360" w:lineRule="atLeast"/>
              <w:jc w:val="center"/>
              <w:rPr>
                <w:color w:val="auto"/>
              </w:rPr>
            </w:pPr>
            <w:r>
              <w:rPr>
                <w:rFonts w:hint="eastAsia"/>
                <w:color w:val="auto"/>
              </w:rPr>
              <w:t>截止时间</w:t>
            </w:r>
          </w:p>
        </w:tc>
        <w:tc>
          <w:tcPr>
            <w:tcW w:w="7296" w:type="dxa"/>
            <w:shd w:val="clear" w:color="auto" w:fill="FFFFFF"/>
            <w:vAlign w:val="center"/>
          </w:tcPr>
          <w:p w14:paraId="73409DA6">
            <w:pPr>
              <w:pStyle w:val="15"/>
              <w:spacing w:before="0" w:beforeAutospacing="0" w:after="150" w:afterAutospacing="0" w:line="360" w:lineRule="atLeast"/>
              <w:rPr>
                <w:color w:val="auto"/>
              </w:rPr>
            </w:pPr>
            <w:r>
              <w:rPr>
                <w:rFonts w:hint="eastAsia"/>
                <w:color w:val="auto"/>
              </w:rPr>
              <w:t> </w:t>
            </w:r>
            <w:r>
              <w:rPr>
                <w:rFonts w:hint="eastAsia"/>
                <w:color w:val="auto"/>
                <w:u w:val="single"/>
                <w:lang w:val="en-US" w:eastAsia="zh-CN"/>
              </w:rPr>
              <w:t>2025</w:t>
            </w:r>
            <w:r>
              <w:rPr>
                <w:rFonts w:hint="eastAsia"/>
                <w:color w:val="auto"/>
              </w:rPr>
              <w:t>年</w:t>
            </w:r>
            <w:r>
              <w:rPr>
                <w:rFonts w:hint="eastAsia"/>
                <w:color w:val="auto"/>
                <w:u w:val="single"/>
                <w:lang w:val="en-US" w:eastAsia="zh-CN"/>
              </w:rPr>
              <w:t>06</w:t>
            </w:r>
            <w:r>
              <w:rPr>
                <w:rFonts w:hint="eastAsia"/>
                <w:color w:val="auto"/>
              </w:rPr>
              <w:t>月</w:t>
            </w:r>
            <w:r>
              <w:rPr>
                <w:rFonts w:hint="eastAsia"/>
                <w:color w:val="auto"/>
                <w:u w:val="single"/>
                <w:lang w:val="en-US" w:eastAsia="zh-CN"/>
              </w:rPr>
              <w:t>01</w:t>
            </w:r>
            <w:r>
              <w:rPr>
                <w:rFonts w:hint="eastAsia"/>
                <w:color w:val="auto"/>
              </w:rPr>
              <w:t>日</w:t>
            </w:r>
            <w:r>
              <w:rPr>
                <w:rFonts w:hint="eastAsia"/>
                <w:color w:val="auto"/>
                <w:u w:val="single"/>
              </w:rPr>
              <w:t xml:space="preserve">16 </w:t>
            </w:r>
            <w:r>
              <w:rPr>
                <w:rFonts w:hint="eastAsia"/>
                <w:color w:val="auto"/>
              </w:rPr>
              <w:t>时</w:t>
            </w:r>
            <w:r>
              <w:rPr>
                <w:rFonts w:hint="eastAsia"/>
                <w:color w:val="auto"/>
                <w:u w:val="single"/>
              </w:rPr>
              <w:t>00</w:t>
            </w:r>
            <w:r>
              <w:rPr>
                <w:rFonts w:hint="eastAsia"/>
                <w:color w:val="auto"/>
              </w:rPr>
              <w:t>分</w:t>
            </w:r>
          </w:p>
        </w:tc>
      </w:tr>
      <w:tr w14:paraId="38577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94" w:hRule="atLeast"/>
          <w:jc w:val="center"/>
        </w:trPr>
        <w:tc>
          <w:tcPr>
            <w:tcW w:w="411" w:type="dxa"/>
            <w:shd w:val="clear" w:color="auto" w:fill="FFFFFF"/>
            <w:vAlign w:val="center"/>
          </w:tcPr>
          <w:p w14:paraId="4CF61CCE">
            <w:pPr>
              <w:pStyle w:val="15"/>
              <w:spacing w:before="0" w:beforeAutospacing="0" w:after="150" w:afterAutospacing="0" w:line="360" w:lineRule="atLeast"/>
              <w:jc w:val="center"/>
              <w:rPr>
                <w:color w:val="auto"/>
              </w:rPr>
            </w:pPr>
            <w:r>
              <w:rPr>
                <w:rFonts w:hint="eastAsia"/>
                <w:color w:val="auto"/>
              </w:rPr>
              <w:t>4</w:t>
            </w:r>
          </w:p>
        </w:tc>
        <w:tc>
          <w:tcPr>
            <w:tcW w:w="1472" w:type="dxa"/>
            <w:shd w:val="clear" w:color="auto" w:fill="FFFFFF"/>
            <w:vAlign w:val="center"/>
          </w:tcPr>
          <w:p w14:paraId="08ACE681">
            <w:pPr>
              <w:pStyle w:val="15"/>
              <w:spacing w:before="0" w:beforeAutospacing="0" w:after="0" w:afterAutospacing="0" w:line="360" w:lineRule="atLeast"/>
              <w:jc w:val="center"/>
              <w:rPr>
                <w:color w:val="auto"/>
              </w:rPr>
            </w:pPr>
            <w:r>
              <w:rPr>
                <w:rFonts w:hint="eastAsia"/>
                <w:color w:val="auto"/>
              </w:rPr>
              <w:t>网上答疑</w:t>
            </w:r>
          </w:p>
          <w:p w14:paraId="632A9DE0">
            <w:pPr>
              <w:pStyle w:val="15"/>
              <w:spacing w:before="0" w:beforeAutospacing="0" w:after="0" w:afterAutospacing="0" w:line="360" w:lineRule="atLeast"/>
              <w:jc w:val="center"/>
              <w:rPr>
                <w:color w:val="auto"/>
              </w:rPr>
            </w:pPr>
            <w:r>
              <w:rPr>
                <w:rFonts w:hint="eastAsia"/>
                <w:color w:val="auto"/>
              </w:rPr>
              <w:t>时间</w:t>
            </w:r>
          </w:p>
        </w:tc>
        <w:tc>
          <w:tcPr>
            <w:tcW w:w="7296" w:type="dxa"/>
            <w:shd w:val="clear" w:color="auto" w:fill="FFFFFF"/>
            <w:vAlign w:val="center"/>
          </w:tcPr>
          <w:p w14:paraId="3108198B">
            <w:pPr>
              <w:pStyle w:val="15"/>
              <w:spacing w:before="0" w:beforeAutospacing="0" w:after="150" w:afterAutospacing="0" w:line="360" w:lineRule="atLeast"/>
              <w:ind w:left="240" w:hanging="240" w:hangingChars="100"/>
              <w:rPr>
                <w:color w:val="auto"/>
              </w:rPr>
            </w:pPr>
            <w:r>
              <w:rPr>
                <w:rFonts w:hint="eastAsia"/>
                <w:color w:val="auto"/>
              </w:rPr>
              <w:t> </w:t>
            </w:r>
            <w:r>
              <w:rPr>
                <w:rFonts w:hint="eastAsia"/>
                <w:color w:val="auto"/>
                <w:u w:val="single"/>
                <w:lang w:val="en-US" w:eastAsia="zh-CN"/>
              </w:rPr>
              <w:t>2025</w:t>
            </w:r>
            <w:r>
              <w:rPr>
                <w:rFonts w:hint="eastAsia"/>
                <w:color w:val="auto"/>
              </w:rPr>
              <w:t>年</w:t>
            </w:r>
            <w:r>
              <w:rPr>
                <w:rFonts w:hint="eastAsia"/>
                <w:color w:val="auto"/>
                <w:u w:val="single"/>
                <w:lang w:val="en-US" w:eastAsia="zh-CN"/>
              </w:rPr>
              <w:t xml:space="preserve"> 06</w:t>
            </w:r>
            <w:r>
              <w:rPr>
                <w:rFonts w:hint="eastAsia"/>
                <w:color w:val="auto"/>
              </w:rPr>
              <w:t>月</w:t>
            </w:r>
            <w:r>
              <w:rPr>
                <w:rFonts w:hint="eastAsia"/>
                <w:color w:val="auto"/>
                <w:u w:val="single"/>
                <w:lang w:val="en-US" w:eastAsia="zh-CN"/>
              </w:rPr>
              <w:t>01</w:t>
            </w:r>
            <w:r>
              <w:rPr>
                <w:rFonts w:hint="eastAsia"/>
                <w:color w:val="auto"/>
              </w:rPr>
              <w:t>日</w:t>
            </w:r>
            <w:r>
              <w:rPr>
                <w:rFonts w:hint="eastAsia"/>
                <w:color w:val="auto"/>
                <w:kern w:val="2"/>
                <w:u w:val="single"/>
              </w:rPr>
              <w:t xml:space="preserve">16 </w:t>
            </w:r>
            <w:r>
              <w:rPr>
                <w:rFonts w:hint="eastAsia"/>
                <w:color w:val="auto"/>
                <w:kern w:val="2"/>
              </w:rPr>
              <w:t>时</w:t>
            </w:r>
            <w:r>
              <w:rPr>
                <w:rFonts w:hint="eastAsia"/>
                <w:color w:val="auto"/>
                <w:kern w:val="2"/>
                <w:u w:val="single"/>
              </w:rPr>
              <w:t>30</w:t>
            </w:r>
            <w:r>
              <w:rPr>
                <w:rFonts w:hint="eastAsia"/>
                <w:color w:val="auto"/>
                <w:kern w:val="2"/>
              </w:rPr>
              <w:t>分至</w:t>
            </w:r>
            <w:r>
              <w:rPr>
                <w:rFonts w:hint="eastAsia"/>
                <w:color w:val="auto"/>
                <w:u w:val="single"/>
                <w:lang w:val="en-US" w:eastAsia="zh-CN"/>
              </w:rPr>
              <w:t>2025</w:t>
            </w:r>
            <w:r>
              <w:rPr>
                <w:rFonts w:hint="eastAsia"/>
                <w:color w:val="auto"/>
              </w:rPr>
              <w:t>年</w:t>
            </w:r>
            <w:r>
              <w:rPr>
                <w:rFonts w:hint="eastAsia"/>
                <w:color w:val="auto"/>
                <w:u w:val="single"/>
                <w:lang w:val="en-US" w:eastAsia="zh-CN"/>
              </w:rPr>
              <w:t>06</w:t>
            </w:r>
            <w:r>
              <w:rPr>
                <w:rFonts w:hint="eastAsia"/>
                <w:color w:val="auto"/>
              </w:rPr>
              <w:t>月</w:t>
            </w:r>
            <w:r>
              <w:rPr>
                <w:rFonts w:hint="eastAsia"/>
                <w:color w:val="auto"/>
                <w:u w:val="single"/>
                <w:lang w:val="en-US" w:eastAsia="zh-CN"/>
              </w:rPr>
              <w:t>04</w:t>
            </w:r>
            <w:r>
              <w:rPr>
                <w:rFonts w:hint="eastAsia"/>
                <w:color w:val="auto"/>
              </w:rPr>
              <w:t>日</w:t>
            </w:r>
            <w:r>
              <w:rPr>
                <w:rFonts w:hint="eastAsia"/>
                <w:color w:val="auto"/>
                <w:kern w:val="2"/>
                <w:u w:val="single"/>
              </w:rPr>
              <w:t>16</w:t>
            </w:r>
            <w:r>
              <w:rPr>
                <w:rFonts w:hint="eastAsia"/>
                <w:color w:val="auto"/>
                <w:kern w:val="2"/>
              </w:rPr>
              <w:t>时</w:t>
            </w:r>
            <w:r>
              <w:rPr>
                <w:rFonts w:hint="eastAsia"/>
                <w:color w:val="auto"/>
                <w:kern w:val="2"/>
                <w:u w:val="single"/>
              </w:rPr>
              <w:t>00</w:t>
            </w:r>
            <w:r>
              <w:rPr>
                <w:rFonts w:hint="eastAsia"/>
                <w:color w:val="auto"/>
                <w:kern w:val="2"/>
              </w:rPr>
              <w:t>分</w:t>
            </w:r>
          </w:p>
        </w:tc>
      </w:tr>
      <w:tr w14:paraId="446F0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20" w:hRule="atLeast"/>
          <w:jc w:val="center"/>
        </w:trPr>
        <w:tc>
          <w:tcPr>
            <w:tcW w:w="411" w:type="dxa"/>
            <w:shd w:val="clear" w:color="auto" w:fill="FFFFFF"/>
            <w:vAlign w:val="center"/>
          </w:tcPr>
          <w:p w14:paraId="22289DAF">
            <w:pPr>
              <w:pStyle w:val="15"/>
              <w:spacing w:before="0" w:beforeAutospacing="0" w:after="150" w:afterAutospacing="0" w:line="360" w:lineRule="atLeast"/>
              <w:jc w:val="center"/>
              <w:rPr>
                <w:color w:val="auto"/>
              </w:rPr>
            </w:pPr>
            <w:r>
              <w:rPr>
                <w:rFonts w:hint="eastAsia"/>
                <w:color w:val="auto"/>
              </w:rPr>
              <w:t>5</w:t>
            </w:r>
          </w:p>
        </w:tc>
        <w:tc>
          <w:tcPr>
            <w:tcW w:w="1472" w:type="dxa"/>
            <w:shd w:val="clear" w:color="auto" w:fill="FFFFFF"/>
            <w:vAlign w:val="center"/>
          </w:tcPr>
          <w:p w14:paraId="6B4BB7BF">
            <w:pPr>
              <w:pStyle w:val="15"/>
              <w:spacing w:before="0" w:beforeAutospacing="0" w:after="0" w:afterAutospacing="0" w:line="360" w:lineRule="atLeast"/>
              <w:jc w:val="center"/>
              <w:rPr>
                <w:color w:val="auto"/>
              </w:rPr>
            </w:pPr>
            <w:r>
              <w:rPr>
                <w:rFonts w:hint="eastAsia"/>
                <w:color w:val="auto"/>
              </w:rPr>
              <w:t>投标保证缴</w:t>
            </w:r>
          </w:p>
          <w:p w14:paraId="5112CAAA">
            <w:pPr>
              <w:pStyle w:val="15"/>
              <w:spacing w:before="0" w:beforeAutospacing="0" w:after="0" w:afterAutospacing="0" w:line="360" w:lineRule="atLeast"/>
              <w:jc w:val="center"/>
              <w:rPr>
                <w:color w:val="auto"/>
              </w:rPr>
            </w:pPr>
            <w:r>
              <w:rPr>
                <w:rFonts w:hint="eastAsia"/>
                <w:color w:val="auto"/>
              </w:rPr>
              <w:t>纳截止时间</w:t>
            </w:r>
          </w:p>
        </w:tc>
        <w:tc>
          <w:tcPr>
            <w:tcW w:w="7296" w:type="dxa"/>
            <w:shd w:val="clear" w:color="auto" w:fill="FFFFFF"/>
            <w:vAlign w:val="center"/>
          </w:tcPr>
          <w:p w14:paraId="2AF3EF22">
            <w:pPr>
              <w:pStyle w:val="15"/>
              <w:spacing w:before="0" w:beforeAutospacing="0" w:after="150" w:afterAutospacing="0" w:line="360" w:lineRule="atLeast"/>
              <w:ind w:firstLine="240" w:firstLineChars="100"/>
              <w:rPr>
                <w:color w:val="auto"/>
              </w:rPr>
            </w:pPr>
            <w:r>
              <w:rPr>
                <w:rFonts w:hint="eastAsia"/>
                <w:color w:val="auto"/>
              </w:rPr>
              <w:t xml:space="preserve">投标保证金到账截止时间：  </w:t>
            </w:r>
            <w:r>
              <w:rPr>
                <w:rFonts w:hint="eastAsia"/>
                <w:color w:val="auto"/>
                <w:u w:val="single"/>
                <w:lang w:val="en-US" w:eastAsia="zh-CN"/>
              </w:rPr>
              <w:t>2025</w:t>
            </w:r>
            <w:r>
              <w:rPr>
                <w:rFonts w:hint="eastAsia"/>
                <w:color w:val="auto"/>
              </w:rPr>
              <w:t>年</w:t>
            </w:r>
            <w:r>
              <w:rPr>
                <w:rFonts w:hint="eastAsia"/>
                <w:color w:val="auto"/>
                <w:u w:val="single"/>
                <w:lang w:val="en-US" w:eastAsia="zh-CN"/>
              </w:rPr>
              <w:t>06</w:t>
            </w:r>
            <w:r>
              <w:rPr>
                <w:rFonts w:hint="eastAsia"/>
                <w:color w:val="auto"/>
              </w:rPr>
              <w:t>月</w:t>
            </w:r>
            <w:r>
              <w:rPr>
                <w:rFonts w:hint="eastAsia"/>
                <w:color w:val="auto"/>
                <w:u w:val="single"/>
                <w:lang w:val="en-US" w:eastAsia="zh-CN"/>
              </w:rPr>
              <w:t>10</w:t>
            </w:r>
            <w:r>
              <w:rPr>
                <w:rFonts w:hint="eastAsia"/>
                <w:color w:val="auto"/>
              </w:rPr>
              <w:t>日</w:t>
            </w:r>
            <w:r>
              <w:rPr>
                <w:rFonts w:hint="eastAsia"/>
                <w:color w:val="auto"/>
                <w:u w:val="single"/>
                <w:lang w:val="en-US" w:eastAsia="zh-CN"/>
              </w:rPr>
              <w:t>10</w:t>
            </w:r>
            <w:r>
              <w:rPr>
                <w:rFonts w:hint="eastAsia"/>
                <w:color w:val="auto"/>
              </w:rPr>
              <w:t>时</w:t>
            </w:r>
            <w:r>
              <w:rPr>
                <w:rFonts w:hint="eastAsia"/>
                <w:color w:val="auto"/>
                <w:u w:val="single"/>
                <w:lang w:val="en-US" w:eastAsia="zh-CN"/>
              </w:rPr>
              <w:t>00</w:t>
            </w:r>
            <w:r>
              <w:rPr>
                <w:rFonts w:hint="eastAsia"/>
                <w:color w:val="auto"/>
              </w:rPr>
              <w:t>分；</w:t>
            </w:r>
          </w:p>
          <w:p w14:paraId="602001A9">
            <w:pPr>
              <w:pStyle w:val="15"/>
              <w:spacing w:before="0" w:beforeAutospacing="0" w:after="150" w:afterAutospacing="0" w:line="360" w:lineRule="atLeast"/>
              <w:ind w:firstLine="240" w:firstLineChars="100"/>
              <w:rPr>
                <w:color w:val="auto"/>
              </w:rPr>
            </w:pPr>
            <w:r>
              <w:rPr>
                <w:rFonts w:hint="eastAsia"/>
                <w:color w:val="auto"/>
              </w:rPr>
              <w:t>投标保证担保办理截止时间：</w:t>
            </w:r>
            <w:r>
              <w:rPr>
                <w:rFonts w:hint="eastAsia"/>
                <w:color w:val="auto"/>
                <w:u w:val="single"/>
                <w:lang w:val="en-US" w:eastAsia="zh-CN"/>
              </w:rPr>
              <w:t>2025</w:t>
            </w:r>
            <w:r>
              <w:rPr>
                <w:rFonts w:hint="eastAsia"/>
                <w:color w:val="auto"/>
              </w:rPr>
              <w:t>年</w:t>
            </w:r>
            <w:r>
              <w:rPr>
                <w:rFonts w:hint="eastAsia"/>
                <w:color w:val="auto"/>
                <w:u w:val="single"/>
                <w:lang w:val="en-US" w:eastAsia="zh-CN"/>
              </w:rPr>
              <w:t>06</w:t>
            </w:r>
            <w:r>
              <w:rPr>
                <w:rFonts w:hint="eastAsia"/>
                <w:color w:val="auto"/>
              </w:rPr>
              <w:t>月</w:t>
            </w:r>
            <w:r>
              <w:rPr>
                <w:rFonts w:hint="eastAsia"/>
                <w:color w:val="auto"/>
                <w:u w:val="single"/>
                <w:lang w:val="en-US" w:eastAsia="zh-CN"/>
              </w:rPr>
              <w:t>10</w:t>
            </w:r>
            <w:r>
              <w:rPr>
                <w:rFonts w:hint="eastAsia"/>
                <w:color w:val="auto"/>
              </w:rPr>
              <w:t>日</w:t>
            </w:r>
            <w:r>
              <w:rPr>
                <w:rFonts w:hint="eastAsia"/>
                <w:color w:val="auto"/>
                <w:u w:val="single"/>
                <w:lang w:val="en-US" w:eastAsia="zh-CN"/>
              </w:rPr>
              <w:t>10</w:t>
            </w:r>
            <w:r>
              <w:rPr>
                <w:rFonts w:hint="eastAsia"/>
                <w:color w:val="auto"/>
              </w:rPr>
              <w:t>时</w:t>
            </w:r>
            <w:r>
              <w:rPr>
                <w:rFonts w:hint="eastAsia"/>
                <w:color w:val="auto"/>
                <w:u w:val="single"/>
                <w:lang w:val="en-US" w:eastAsia="zh-CN"/>
              </w:rPr>
              <w:t>00</w:t>
            </w:r>
            <w:r>
              <w:rPr>
                <w:rFonts w:hint="eastAsia"/>
                <w:color w:val="auto"/>
              </w:rPr>
              <w:t>分；</w:t>
            </w:r>
          </w:p>
          <w:p w14:paraId="189F4CA3">
            <w:pPr>
              <w:pStyle w:val="15"/>
              <w:spacing w:before="0" w:beforeAutospacing="0" w:after="150" w:afterAutospacing="0" w:line="360" w:lineRule="atLeast"/>
              <w:ind w:firstLine="240" w:firstLineChars="100"/>
              <w:rPr>
                <w:color w:val="auto"/>
              </w:rPr>
            </w:pPr>
            <w:r>
              <w:rPr>
                <w:rFonts w:hint="eastAsia"/>
                <w:snapToGrid w:val="0"/>
                <w:color w:val="auto"/>
              </w:rPr>
              <w:t>投标保证保险投保截止时间：</w:t>
            </w:r>
            <w:r>
              <w:rPr>
                <w:rFonts w:hint="eastAsia"/>
                <w:color w:val="auto"/>
                <w:u w:val="single"/>
                <w:lang w:val="en-US" w:eastAsia="zh-CN"/>
              </w:rPr>
              <w:t>2025</w:t>
            </w:r>
            <w:r>
              <w:rPr>
                <w:rFonts w:hint="eastAsia"/>
                <w:color w:val="auto"/>
              </w:rPr>
              <w:t>年</w:t>
            </w:r>
            <w:r>
              <w:rPr>
                <w:rFonts w:hint="eastAsia"/>
                <w:color w:val="auto"/>
                <w:u w:val="single"/>
                <w:lang w:val="en-US" w:eastAsia="zh-CN"/>
              </w:rPr>
              <w:t>06</w:t>
            </w:r>
            <w:r>
              <w:rPr>
                <w:rFonts w:hint="eastAsia"/>
                <w:color w:val="auto"/>
              </w:rPr>
              <w:t>月</w:t>
            </w:r>
            <w:r>
              <w:rPr>
                <w:rFonts w:hint="eastAsia"/>
                <w:color w:val="auto"/>
                <w:u w:val="single"/>
                <w:lang w:val="en-US" w:eastAsia="zh-CN"/>
              </w:rPr>
              <w:t>10</w:t>
            </w:r>
            <w:r>
              <w:rPr>
                <w:rFonts w:hint="eastAsia"/>
                <w:color w:val="auto"/>
              </w:rPr>
              <w:t>日</w:t>
            </w:r>
            <w:r>
              <w:rPr>
                <w:rFonts w:hint="eastAsia"/>
                <w:color w:val="auto"/>
                <w:u w:val="single"/>
                <w:lang w:val="en-US" w:eastAsia="zh-CN"/>
              </w:rPr>
              <w:t>10</w:t>
            </w:r>
            <w:r>
              <w:rPr>
                <w:rFonts w:hint="eastAsia"/>
                <w:color w:val="auto"/>
              </w:rPr>
              <w:t>时</w:t>
            </w:r>
            <w:r>
              <w:rPr>
                <w:rFonts w:hint="eastAsia"/>
                <w:color w:val="auto"/>
                <w:u w:val="single"/>
                <w:lang w:val="en-US" w:eastAsia="zh-CN"/>
              </w:rPr>
              <w:t>00</w:t>
            </w:r>
            <w:r>
              <w:rPr>
                <w:rFonts w:hint="eastAsia"/>
                <w:color w:val="auto"/>
              </w:rPr>
              <w:t>分</w:t>
            </w:r>
            <w:r>
              <w:rPr>
                <w:rFonts w:hint="eastAsia"/>
                <w:snapToGrid w:val="0"/>
                <w:color w:val="auto"/>
              </w:rPr>
              <w:t>。</w:t>
            </w:r>
          </w:p>
        </w:tc>
      </w:tr>
      <w:tr w14:paraId="532EC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50" w:hRule="atLeast"/>
          <w:jc w:val="center"/>
        </w:trPr>
        <w:tc>
          <w:tcPr>
            <w:tcW w:w="411" w:type="dxa"/>
            <w:shd w:val="clear" w:color="auto" w:fill="FFFFFF"/>
            <w:vAlign w:val="center"/>
          </w:tcPr>
          <w:p w14:paraId="6C7140EB">
            <w:pPr>
              <w:pStyle w:val="15"/>
              <w:spacing w:before="0" w:beforeAutospacing="0" w:after="150" w:afterAutospacing="0" w:line="360" w:lineRule="atLeast"/>
              <w:jc w:val="center"/>
              <w:rPr>
                <w:color w:val="auto"/>
              </w:rPr>
            </w:pPr>
            <w:r>
              <w:rPr>
                <w:rFonts w:hint="eastAsia"/>
                <w:color w:val="auto"/>
              </w:rPr>
              <w:t>6</w:t>
            </w:r>
          </w:p>
        </w:tc>
        <w:tc>
          <w:tcPr>
            <w:tcW w:w="1472" w:type="dxa"/>
            <w:shd w:val="clear" w:color="auto" w:fill="FFFFFF"/>
            <w:vAlign w:val="center"/>
          </w:tcPr>
          <w:p w14:paraId="77D779B8">
            <w:pPr>
              <w:pStyle w:val="15"/>
              <w:spacing w:before="0" w:beforeAutospacing="0" w:after="0" w:afterAutospacing="0" w:line="360" w:lineRule="atLeast"/>
              <w:jc w:val="center"/>
              <w:rPr>
                <w:color w:val="auto"/>
              </w:rPr>
            </w:pPr>
            <w:r>
              <w:rPr>
                <w:rFonts w:hint="eastAsia"/>
                <w:color w:val="auto"/>
              </w:rPr>
              <w:t>电子投标</w:t>
            </w:r>
          </w:p>
          <w:p w14:paraId="48778912">
            <w:pPr>
              <w:pStyle w:val="15"/>
              <w:spacing w:before="0" w:beforeAutospacing="0" w:after="0" w:afterAutospacing="0" w:line="360" w:lineRule="atLeast"/>
              <w:jc w:val="center"/>
              <w:rPr>
                <w:color w:val="auto"/>
              </w:rPr>
            </w:pPr>
            <w:r>
              <w:rPr>
                <w:rFonts w:hint="eastAsia"/>
                <w:color w:val="auto"/>
              </w:rPr>
              <w:t>截止时间</w:t>
            </w:r>
          </w:p>
        </w:tc>
        <w:tc>
          <w:tcPr>
            <w:tcW w:w="7296" w:type="dxa"/>
            <w:shd w:val="clear" w:color="auto" w:fill="FFFFFF"/>
            <w:vAlign w:val="center"/>
          </w:tcPr>
          <w:p w14:paraId="536039C4">
            <w:pPr>
              <w:pStyle w:val="15"/>
              <w:spacing w:before="0" w:beforeAutospacing="0" w:after="150" w:afterAutospacing="0" w:line="360" w:lineRule="atLeast"/>
              <w:rPr>
                <w:color w:val="auto"/>
              </w:rPr>
            </w:pPr>
            <w:r>
              <w:rPr>
                <w:rFonts w:hint="eastAsia"/>
                <w:color w:val="auto"/>
              </w:rPr>
              <w:t> </w:t>
            </w:r>
            <w:r>
              <w:rPr>
                <w:rFonts w:hint="eastAsia"/>
                <w:color w:val="auto"/>
                <w:u w:val="single"/>
                <w:lang w:val="en-US" w:eastAsia="zh-CN"/>
              </w:rPr>
              <w:t>2025</w:t>
            </w:r>
            <w:r>
              <w:rPr>
                <w:rFonts w:hint="eastAsia"/>
                <w:color w:val="auto"/>
              </w:rPr>
              <w:t>年</w:t>
            </w:r>
            <w:r>
              <w:rPr>
                <w:rFonts w:hint="eastAsia" w:ascii="宋体" w:hAnsi="宋体" w:eastAsia="宋体" w:cs="宋体"/>
                <w:color w:val="auto"/>
                <w:sz w:val="24"/>
                <w:szCs w:val="24"/>
                <w:u w:val="single"/>
                <w:lang w:val="en-US" w:eastAsia="zh-CN"/>
              </w:rPr>
              <w:t>06</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11</w:t>
            </w:r>
            <w:r>
              <w:rPr>
                <w:rFonts w:hint="eastAsia" w:ascii="宋体" w:hAnsi="宋体" w:eastAsia="宋体" w:cs="宋体"/>
                <w:color w:val="auto"/>
                <w:sz w:val="24"/>
                <w:szCs w:val="24"/>
              </w:rPr>
              <w:t>日</w:t>
            </w:r>
            <w:r>
              <w:rPr>
                <w:rFonts w:hint="eastAsia" w:ascii="宋体" w:hAnsi="宋体" w:eastAsia="宋体" w:cs="宋体"/>
                <w:color w:val="auto"/>
                <w:sz w:val="24"/>
                <w:szCs w:val="24"/>
                <w:u w:val="single"/>
                <w:lang w:val="en-US" w:eastAsia="zh-CN"/>
              </w:rPr>
              <w:t>10</w:t>
            </w:r>
            <w:r>
              <w:rPr>
                <w:rFonts w:hint="eastAsia" w:ascii="宋体" w:hAnsi="宋体" w:eastAsia="宋体" w:cs="宋体"/>
                <w:color w:val="auto"/>
                <w:sz w:val="24"/>
                <w:szCs w:val="24"/>
              </w:rPr>
              <w:t>时</w:t>
            </w:r>
            <w:r>
              <w:rPr>
                <w:rFonts w:hint="eastAsia" w:ascii="宋体" w:hAnsi="宋体" w:eastAsia="宋体" w:cs="宋体"/>
                <w:color w:val="auto"/>
                <w:sz w:val="24"/>
                <w:szCs w:val="24"/>
                <w:u w:val="single"/>
                <w:lang w:val="en-US" w:eastAsia="zh-CN"/>
              </w:rPr>
              <w:t>00</w:t>
            </w:r>
            <w:r>
              <w:rPr>
                <w:rFonts w:hint="eastAsia" w:ascii="宋体" w:hAnsi="宋体" w:eastAsia="宋体" w:cs="宋体"/>
                <w:color w:val="auto"/>
                <w:sz w:val="24"/>
                <w:szCs w:val="24"/>
              </w:rPr>
              <w:t>分</w:t>
            </w:r>
          </w:p>
        </w:tc>
      </w:tr>
      <w:tr w14:paraId="0F5E3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77" w:hRule="atLeast"/>
          <w:jc w:val="center"/>
        </w:trPr>
        <w:tc>
          <w:tcPr>
            <w:tcW w:w="411" w:type="dxa"/>
            <w:shd w:val="clear" w:color="auto" w:fill="FFFFFF"/>
            <w:vAlign w:val="center"/>
          </w:tcPr>
          <w:p w14:paraId="5CCF46FA">
            <w:pPr>
              <w:pStyle w:val="24"/>
              <w:wordWrap w:val="0"/>
              <w:adjustRightInd w:val="0"/>
              <w:snapToGrid w:val="0"/>
              <w:spacing w:line="360" w:lineRule="exact"/>
              <w:jc w:val="center"/>
              <w:rPr>
                <w:rFonts w:ascii="宋体" w:hAnsi="宋体" w:cs="宋体"/>
                <w:color w:val="auto"/>
                <w:kern w:val="0"/>
                <w:sz w:val="24"/>
              </w:rPr>
            </w:pPr>
            <w:r>
              <w:rPr>
                <w:rFonts w:hint="eastAsia" w:ascii="宋体" w:hAnsi="宋体" w:cs="宋体"/>
                <w:color w:val="auto"/>
                <w:kern w:val="0"/>
                <w:sz w:val="24"/>
              </w:rPr>
              <w:t>7</w:t>
            </w:r>
          </w:p>
        </w:tc>
        <w:tc>
          <w:tcPr>
            <w:tcW w:w="1472" w:type="dxa"/>
            <w:shd w:val="clear" w:color="auto" w:fill="FFFFFF"/>
            <w:vAlign w:val="center"/>
          </w:tcPr>
          <w:p w14:paraId="750A0996">
            <w:pPr>
              <w:pStyle w:val="24"/>
              <w:wordWrap w:val="0"/>
              <w:adjustRightInd w:val="0"/>
              <w:snapToGrid w:val="0"/>
              <w:spacing w:line="360" w:lineRule="exact"/>
              <w:jc w:val="center"/>
              <w:rPr>
                <w:rFonts w:ascii="宋体" w:hAnsi="宋体" w:cs="宋体"/>
                <w:color w:val="auto"/>
                <w:kern w:val="0"/>
                <w:sz w:val="24"/>
              </w:rPr>
            </w:pPr>
            <w:r>
              <w:rPr>
                <w:rFonts w:hint="eastAsia" w:ascii="宋体" w:hAnsi="宋体" w:cs="宋体"/>
                <w:color w:val="auto"/>
                <w:kern w:val="0"/>
                <w:sz w:val="24"/>
              </w:rPr>
              <w:t>投标相关资料（如有）</w:t>
            </w:r>
          </w:p>
          <w:p w14:paraId="144302E7">
            <w:pPr>
              <w:pStyle w:val="24"/>
              <w:wordWrap w:val="0"/>
              <w:adjustRightInd w:val="0"/>
              <w:snapToGrid w:val="0"/>
              <w:spacing w:line="360" w:lineRule="exact"/>
              <w:jc w:val="center"/>
              <w:rPr>
                <w:rFonts w:ascii="宋体" w:hAnsi="宋体" w:cs="宋体"/>
                <w:color w:val="auto"/>
                <w:kern w:val="0"/>
                <w:sz w:val="24"/>
              </w:rPr>
            </w:pPr>
            <w:r>
              <w:rPr>
                <w:rFonts w:hint="eastAsia" w:ascii="宋体" w:hAnsi="宋体" w:cs="宋体"/>
                <w:color w:val="auto"/>
                <w:kern w:val="0"/>
                <w:sz w:val="24"/>
              </w:rPr>
              <w:t>递交时间</w:t>
            </w:r>
          </w:p>
        </w:tc>
        <w:tc>
          <w:tcPr>
            <w:tcW w:w="7296" w:type="dxa"/>
            <w:shd w:val="clear" w:color="auto" w:fill="FFFFFF"/>
            <w:vAlign w:val="center"/>
          </w:tcPr>
          <w:p w14:paraId="7F8C0BA9">
            <w:pPr>
              <w:pStyle w:val="24"/>
              <w:wordWrap w:val="0"/>
              <w:adjustRightInd w:val="0"/>
              <w:snapToGrid w:val="0"/>
              <w:spacing w:line="400" w:lineRule="exact"/>
              <w:jc w:val="left"/>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eastAsia="宋体" w:cs="宋体"/>
                <w:color w:val="auto"/>
                <w:sz w:val="24"/>
                <w:szCs w:val="24"/>
                <w:u w:val="single"/>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06</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11</w:t>
            </w:r>
            <w:r>
              <w:rPr>
                <w:rFonts w:hint="eastAsia" w:ascii="宋体" w:hAnsi="宋体" w:eastAsia="宋体" w:cs="宋体"/>
                <w:color w:val="auto"/>
                <w:sz w:val="24"/>
                <w:szCs w:val="24"/>
              </w:rPr>
              <w:t>日</w:t>
            </w:r>
            <w:r>
              <w:rPr>
                <w:rFonts w:hint="eastAsia" w:ascii="宋体" w:hAnsi="宋体" w:eastAsia="宋体" w:cs="宋体"/>
                <w:color w:val="auto"/>
                <w:sz w:val="24"/>
                <w:szCs w:val="24"/>
                <w:u w:val="single"/>
                <w:lang w:val="en-US" w:eastAsia="zh-CN"/>
              </w:rPr>
              <w:t>09</w:t>
            </w:r>
            <w:r>
              <w:rPr>
                <w:rFonts w:hint="eastAsia" w:ascii="宋体" w:hAnsi="宋体" w:eastAsia="宋体" w:cs="宋体"/>
                <w:color w:val="auto"/>
                <w:sz w:val="24"/>
                <w:szCs w:val="24"/>
              </w:rPr>
              <w:t>时</w:t>
            </w:r>
            <w:r>
              <w:rPr>
                <w:rFonts w:hint="eastAsia" w:ascii="宋体" w:hAnsi="宋体" w:cs="宋体"/>
                <w:color w:val="auto"/>
                <w:sz w:val="24"/>
                <w:szCs w:val="24"/>
                <w:u w:val="single"/>
                <w:lang w:val="en-US" w:eastAsia="zh-CN"/>
              </w:rPr>
              <w:t>3</w:t>
            </w:r>
            <w:r>
              <w:rPr>
                <w:rFonts w:hint="eastAsia" w:ascii="宋体" w:hAnsi="宋体" w:eastAsia="宋体" w:cs="宋体"/>
                <w:color w:val="auto"/>
                <w:sz w:val="24"/>
                <w:szCs w:val="24"/>
                <w:u w:val="single"/>
                <w:lang w:val="en-US" w:eastAsia="zh-CN"/>
              </w:rPr>
              <w:t>0</w:t>
            </w:r>
            <w:r>
              <w:rPr>
                <w:rFonts w:hint="eastAsia" w:ascii="宋体" w:hAnsi="宋体" w:eastAsia="宋体" w:cs="宋体"/>
                <w:color w:val="auto"/>
                <w:sz w:val="24"/>
                <w:szCs w:val="24"/>
              </w:rPr>
              <w:t>分至</w:t>
            </w:r>
            <w:r>
              <w:rPr>
                <w:rFonts w:hint="eastAsia" w:ascii="宋体" w:hAnsi="宋体" w:eastAsia="宋体" w:cs="宋体"/>
                <w:color w:val="auto"/>
                <w:sz w:val="24"/>
                <w:szCs w:val="24"/>
                <w:u w:val="single"/>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06</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11</w:t>
            </w:r>
            <w:r>
              <w:rPr>
                <w:rFonts w:hint="eastAsia" w:ascii="宋体" w:hAnsi="宋体" w:eastAsia="宋体" w:cs="宋体"/>
                <w:color w:val="auto"/>
                <w:sz w:val="24"/>
                <w:szCs w:val="24"/>
              </w:rPr>
              <w:t>日</w:t>
            </w:r>
            <w:r>
              <w:rPr>
                <w:rFonts w:hint="eastAsia" w:ascii="宋体" w:hAnsi="宋体" w:eastAsia="宋体" w:cs="宋体"/>
                <w:color w:val="auto"/>
                <w:sz w:val="24"/>
                <w:szCs w:val="24"/>
                <w:u w:val="single"/>
                <w:lang w:val="en-US" w:eastAsia="zh-CN"/>
              </w:rPr>
              <w:t>10</w:t>
            </w:r>
            <w:r>
              <w:rPr>
                <w:rFonts w:hint="eastAsia" w:ascii="宋体" w:hAnsi="宋体" w:eastAsia="宋体" w:cs="宋体"/>
                <w:color w:val="auto"/>
                <w:sz w:val="24"/>
                <w:szCs w:val="24"/>
              </w:rPr>
              <w:t>时</w:t>
            </w:r>
            <w:r>
              <w:rPr>
                <w:rFonts w:hint="eastAsia" w:ascii="宋体" w:hAnsi="宋体" w:eastAsia="宋体" w:cs="宋体"/>
                <w:color w:val="auto"/>
                <w:sz w:val="24"/>
                <w:szCs w:val="24"/>
                <w:u w:val="single"/>
                <w:lang w:val="en-US" w:eastAsia="zh-CN"/>
              </w:rPr>
              <w:t>00</w:t>
            </w:r>
            <w:r>
              <w:rPr>
                <w:rFonts w:hint="eastAsia" w:ascii="宋体" w:hAnsi="宋体" w:eastAsia="宋体" w:cs="宋体"/>
                <w:color w:val="auto"/>
                <w:sz w:val="24"/>
                <w:szCs w:val="24"/>
              </w:rPr>
              <w:t>分</w:t>
            </w:r>
          </w:p>
        </w:tc>
      </w:tr>
      <w:tr w14:paraId="1882F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77" w:hRule="atLeast"/>
          <w:jc w:val="center"/>
        </w:trPr>
        <w:tc>
          <w:tcPr>
            <w:tcW w:w="411" w:type="dxa"/>
            <w:shd w:val="clear" w:color="auto" w:fill="FFFFFF"/>
            <w:vAlign w:val="center"/>
          </w:tcPr>
          <w:p w14:paraId="103E696D">
            <w:pPr>
              <w:pStyle w:val="24"/>
              <w:wordWrap w:val="0"/>
              <w:adjustRightInd w:val="0"/>
              <w:snapToGrid w:val="0"/>
              <w:spacing w:line="360" w:lineRule="exact"/>
              <w:jc w:val="center"/>
              <w:rPr>
                <w:rFonts w:ascii="宋体" w:hAnsi="宋体" w:cs="宋体"/>
                <w:color w:val="auto"/>
                <w:kern w:val="0"/>
                <w:sz w:val="24"/>
              </w:rPr>
            </w:pPr>
            <w:r>
              <w:rPr>
                <w:rFonts w:hint="eastAsia" w:ascii="宋体" w:hAnsi="宋体" w:cs="宋体"/>
                <w:color w:val="auto"/>
                <w:kern w:val="0"/>
                <w:sz w:val="24"/>
              </w:rPr>
              <w:t>8</w:t>
            </w:r>
          </w:p>
        </w:tc>
        <w:tc>
          <w:tcPr>
            <w:tcW w:w="1472" w:type="dxa"/>
            <w:shd w:val="clear" w:color="auto" w:fill="FFFFFF"/>
            <w:vAlign w:val="center"/>
          </w:tcPr>
          <w:p w14:paraId="5B0043CD">
            <w:pPr>
              <w:pStyle w:val="24"/>
              <w:wordWrap w:val="0"/>
              <w:adjustRightInd w:val="0"/>
              <w:snapToGrid w:val="0"/>
              <w:spacing w:line="360" w:lineRule="exact"/>
              <w:jc w:val="center"/>
              <w:rPr>
                <w:rFonts w:ascii="宋体" w:hAnsi="宋体" w:cs="宋体"/>
                <w:color w:val="auto"/>
                <w:kern w:val="0"/>
                <w:sz w:val="24"/>
              </w:rPr>
            </w:pPr>
            <w:r>
              <w:rPr>
                <w:rFonts w:hint="eastAsia" w:ascii="宋体" w:hAnsi="宋体" w:cs="宋体"/>
                <w:color w:val="auto"/>
                <w:kern w:val="0"/>
                <w:sz w:val="24"/>
              </w:rPr>
              <w:t>投标相关资料（如有）</w:t>
            </w:r>
          </w:p>
          <w:p w14:paraId="0BB6DF94">
            <w:pPr>
              <w:pStyle w:val="24"/>
              <w:wordWrap w:val="0"/>
              <w:adjustRightInd w:val="0"/>
              <w:snapToGrid w:val="0"/>
              <w:spacing w:line="360" w:lineRule="exact"/>
              <w:jc w:val="center"/>
              <w:rPr>
                <w:rFonts w:ascii="宋体" w:hAnsi="宋体" w:cs="宋体"/>
                <w:color w:val="auto"/>
                <w:kern w:val="0"/>
                <w:sz w:val="24"/>
              </w:rPr>
            </w:pPr>
            <w:r>
              <w:rPr>
                <w:rFonts w:hint="eastAsia" w:ascii="宋体" w:hAnsi="宋体" w:cs="宋体"/>
                <w:color w:val="auto"/>
                <w:kern w:val="0"/>
                <w:sz w:val="24"/>
              </w:rPr>
              <w:t>递交地点</w:t>
            </w:r>
          </w:p>
        </w:tc>
        <w:tc>
          <w:tcPr>
            <w:tcW w:w="7296" w:type="dxa"/>
            <w:shd w:val="clear" w:color="auto" w:fill="FFFFFF"/>
            <w:vAlign w:val="center"/>
          </w:tcPr>
          <w:p w14:paraId="564FF115">
            <w:pPr>
              <w:pStyle w:val="24"/>
              <w:wordWrap w:val="0"/>
              <w:adjustRightInd w:val="0"/>
              <w:snapToGrid w:val="0"/>
              <w:spacing w:line="400" w:lineRule="exact"/>
              <w:ind w:firstLine="240" w:firstLineChars="100"/>
              <w:jc w:val="left"/>
              <w:rPr>
                <w:rFonts w:ascii="宋体" w:hAnsi="宋体" w:cs="宋体"/>
                <w:color w:val="auto"/>
                <w:kern w:val="0"/>
                <w:sz w:val="24"/>
              </w:rPr>
            </w:pPr>
            <w:r>
              <w:rPr>
                <w:rFonts w:hint="eastAsia" w:ascii="宋体" w:hAnsi="宋体" w:cs="宋体"/>
                <w:color w:val="auto"/>
                <w:kern w:val="0"/>
                <w:sz w:val="24"/>
              </w:rPr>
              <w:t>递交场所：</w:t>
            </w:r>
            <w:r>
              <w:rPr>
                <w:rFonts w:hint="eastAsia" w:ascii="宋体" w:hAnsi="宋体" w:cs="宋体"/>
                <w:color w:val="auto"/>
                <w:sz w:val="24"/>
                <w:u w:val="single"/>
              </w:rPr>
              <w:t>韶关市公共资源交易中心翁源分中心</w:t>
            </w:r>
            <w:r>
              <w:rPr>
                <w:rFonts w:hint="eastAsia" w:ascii="宋体" w:hAnsi="宋体" w:cs="宋体"/>
                <w:color w:val="auto"/>
                <w:sz w:val="24"/>
              </w:rPr>
              <w:t>，地址：</w:t>
            </w:r>
            <w:r>
              <w:rPr>
                <w:rFonts w:hint="eastAsia" w:ascii="宋体" w:hAnsi="宋体" w:cs="宋体"/>
                <w:color w:val="auto"/>
                <w:sz w:val="24"/>
                <w:u w:val="single"/>
              </w:rPr>
              <w:t>翁源县龙仙镇朝阳路63号韶关市公共资源交易中心翁源分中心</w:t>
            </w:r>
            <w:r>
              <w:rPr>
                <w:rFonts w:hint="eastAsia" w:ascii="宋体" w:hAnsi="宋体" w:cs="宋体"/>
                <w:color w:val="auto"/>
                <w:sz w:val="24"/>
              </w:rPr>
              <w:t>，具体房间号以当日现场通知为准。</w:t>
            </w:r>
          </w:p>
        </w:tc>
      </w:tr>
      <w:tr w14:paraId="351EA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37" w:hRule="atLeast"/>
          <w:jc w:val="center"/>
        </w:trPr>
        <w:tc>
          <w:tcPr>
            <w:tcW w:w="411" w:type="dxa"/>
            <w:shd w:val="clear" w:color="auto" w:fill="FFFFFF"/>
            <w:vAlign w:val="center"/>
          </w:tcPr>
          <w:p w14:paraId="2F62A28A">
            <w:pPr>
              <w:pStyle w:val="15"/>
              <w:spacing w:before="0" w:beforeAutospacing="0" w:after="150" w:afterAutospacing="0" w:line="360" w:lineRule="atLeast"/>
              <w:jc w:val="center"/>
              <w:rPr>
                <w:color w:val="auto"/>
              </w:rPr>
            </w:pPr>
            <w:r>
              <w:rPr>
                <w:rFonts w:hint="eastAsia"/>
                <w:color w:val="auto"/>
              </w:rPr>
              <w:t>9</w:t>
            </w:r>
          </w:p>
        </w:tc>
        <w:tc>
          <w:tcPr>
            <w:tcW w:w="1472" w:type="dxa"/>
            <w:shd w:val="clear" w:color="auto" w:fill="FFFFFF"/>
            <w:vAlign w:val="center"/>
          </w:tcPr>
          <w:p w14:paraId="15B92E58">
            <w:pPr>
              <w:pStyle w:val="15"/>
              <w:spacing w:before="0" w:beforeAutospacing="0" w:after="0" w:afterAutospacing="0" w:line="360" w:lineRule="atLeast"/>
              <w:jc w:val="center"/>
              <w:rPr>
                <w:color w:val="auto"/>
              </w:rPr>
            </w:pPr>
            <w:r>
              <w:rPr>
                <w:rFonts w:hint="eastAsia"/>
                <w:color w:val="auto"/>
              </w:rPr>
              <w:t>开标时间</w:t>
            </w:r>
          </w:p>
        </w:tc>
        <w:tc>
          <w:tcPr>
            <w:tcW w:w="7296" w:type="dxa"/>
            <w:shd w:val="clear" w:color="auto" w:fill="FFFFFF"/>
            <w:vAlign w:val="center"/>
          </w:tcPr>
          <w:p w14:paraId="32C89437">
            <w:pPr>
              <w:pStyle w:val="15"/>
              <w:spacing w:before="0" w:beforeAutospacing="0" w:after="150" w:afterAutospacing="0" w:line="360" w:lineRule="atLeast"/>
              <w:rPr>
                <w:color w:val="auto"/>
              </w:rPr>
            </w:pPr>
            <w:r>
              <w:rPr>
                <w:rFonts w:hint="eastAsia"/>
                <w:color w:val="auto"/>
              </w:rPr>
              <w:t> </w:t>
            </w:r>
            <w:r>
              <w:rPr>
                <w:rFonts w:hint="eastAsia"/>
                <w:color w:val="auto"/>
                <w:u w:val="single"/>
                <w:lang w:val="en-US" w:eastAsia="zh-CN"/>
              </w:rPr>
              <w:t>2025</w:t>
            </w:r>
            <w:r>
              <w:rPr>
                <w:rFonts w:hint="eastAsia"/>
                <w:color w:val="auto"/>
              </w:rPr>
              <w:t>年</w:t>
            </w:r>
            <w:r>
              <w:rPr>
                <w:rFonts w:hint="eastAsia"/>
                <w:color w:val="auto"/>
                <w:u w:val="single"/>
                <w:lang w:val="en-US" w:eastAsia="zh-CN"/>
              </w:rPr>
              <w:t>06</w:t>
            </w:r>
            <w:r>
              <w:rPr>
                <w:rFonts w:hint="eastAsia"/>
                <w:color w:val="auto"/>
              </w:rPr>
              <w:t>月</w:t>
            </w:r>
            <w:r>
              <w:rPr>
                <w:rFonts w:hint="eastAsia"/>
                <w:color w:val="auto"/>
                <w:u w:val="single"/>
                <w:lang w:val="en-US" w:eastAsia="zh-CN"/>
              </w:rPr>
              <w:t>11</w:t>
            </w:r>
            <w:r>
              <w:rPr>
                <w:rFonts w:hint="eastAsia"/>
                <w:color w:val="auto"/>
              </w:rPr>
              <w:t>日</w:t>
            </w:r>
            <w:r>
              <w:rPr>
                <w:rFonts w:hint="eastAsia"/>
                <w:color w:val="auto"/>
                <w:u w:val="single"/>
                <w:lang w:val="en-US" w:eastAsia="zh-CN"/>
              </w:rPr>
              <w:t>10</w:t>
            </w:r>
            <w:r>
              <w:rPr>
                <w:rFonts w:hint="eastAsia"/>
                <w:color w:val="auto"/>
              </w:rPr>
              <w:t>时</w:t>
            </w:r>
            <w:r>
              <w:rPr>
                <w:rFonts w:hint="eastAsia"/>
                <w:color w:val="auto"/>
                <w:u w:val="single"/>
                <w:lang w:val="en-US" w:eastAsia="zh-CN"/>
              </w:rPr>
              <w:t>00</w:t>
            </w:r>
            <w:r>
              <w:rPr>
                <w:rFonts w:hint="eastAsia"/>
                <w:color w:val="auto"/>
              </w:rPr>
              <w:t>分</w:t>
            </w:r>
          </w:p>
        </w:tc>
      </w:tr>
      <w:tr w14:paraId="6E8BF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85" w:hRule="atLeast"/>
          <w:jc w:val="center"/>
        </w:trPr>
        <w:tc>
          <w:tcPr>
            <w:tcW w:w="411" w:type="dxa"/>
            <w:shd w:val="clear" w:color="auto" w:fill="FFFFFF"/>
            <w:vAlign w:val="center"/>
          </w:tcPr>
          <w:p w14:paraId="46BB1FDD">
            <w:pPr>
              <w:pStyle w:val="15"/>
              <w:spacing w:before="0" w:beforeAutospacing="0" w:after="150" w:afterAutospacing="0" w:line="360" w:lineRule="atLeast"/>
              <w:jc w:val="center"/>
              <w:rPr>
                <w:color w:val="auto"/>
              </w:rPr>
            </w:pPr>
            <w:r>
              <w:rPr>
                <w:rFonts w:hint="eastAsia"/>
                <w:color w:val="auto"/>
              </w:rPr>
              <w:t>10</w:t>
            </w:r>
          </w:p>
        </w:tc>
        <w:tc>
          <w:tcPr>
            <w:tcW w:w="1472" w:type="dxa"/>
            <w:shd w:val="clear" w:color="auto" w:fill="FFFFFF"/>
            <w:vAlign w:val="center"/>
          </w:tcPr>
          <w:p w14:paraId="74267AC0">
            <w:pPr>
              <w:pStyle w:val="15"/>
              <w:spacing w:before="0" w:beforeAutospacing="0" w:after="0" w:afterAutospacing="0" w:line="360" w:lineRule="atLeast"/>
              <w:jc w:val="center"/>
              <w:rPr>
                <w:color w:val="auto"/>
              </w:rPr>
            </w:pPr>
            <w:r>
              <w:rPr>
                <w:rFonts w:hint="eastAsia"/>
                <w:color w:val="auto"/>
              </w:rPr>
              <w:t>开标地点</w:t>
            </w:r>
          </w:p>
        </w:tc>
        <w:tc>
          <w:tcPr>
            <w:tcW w:w="7296" w:type="dxa"/>
            <w:shd w:val="clear" w:color="auto" w:fill="FFFFFF"/>
            <w:vAlign w:val="center"/>
          </w:tcPr>
          <w:p w14:paraId="20AA3A2A">
            <w:pPr>
              <w:pStyle w:val="15"/>
              <w:spacing w:before="0" w:beforeAutospacing="0" w:after="150" w:afterAutospacing="0" w:line="360" w:lineRule="atLeast"/>
              <w:ind w:firstLine="210"/>
              <w:rPr>
                <w:color w:val="auto"/>
              </w:rPr>
            </w:pPr>
            <w:r>
              <w:rPr>
                <w:rFonts w:hint="eastAsia"/>
                <w:color w:val="auto"/>
                <w:kern w:val="2"/>
              </w:rPr>
              <w:t>开标场所：</w:t>
            </w:r>
            <w:r>
              <w:rPr>
                <w:rFonts w:hint="eastAsia"/>
                <w:color w:val="auto"/>
                <w:kern w:val="2"/>
                <w:u w:val="single"/>
              </w:rPr>
              <w:t>韶关市公共资源交易中心翁源分中心</w:t>
            </w:r>
            <w:r>
              <w:rPr>
                <w:rFonts w:hint="eastAsia"/>
                <w:color w:val="auto"/>
                <w:kern w:val="2"/>
              </w:rPr>
              <w:t>，地址：</w:t>
            </w:r>
            <w:r>
              <w:rPr>
                <w:rFonts w:hint="eastAsia"/>
                <w:color w:val="auto"/>
                <w:kern w:val="2"/>
                <w:u w:val="single"/>
              </w:rPr>
              <w:t>翁源县龙仙镇朝阳路63号韶关市公共资源交易中心翁源分中心</w:t>
            </w:r>
            <w:r>
              <w:rPr>
                <w:rFonts w:hint="eastAsia"/>
                <w:color w:val="auto"/>
                <w:kern w:val="2"/>
              </w:rPr>
              <w:t>，具体房间号以当日现场通知为准。</w:t>
            </w:r>
          </w:p>
        </w:tc>
      </w:tr>
      <w:tr w14:paraId="386C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450" w:hRule="atLeast"/>
          <w:jc w:val="center"/>
        </w:trPr>
        <w:tc>
          <w:tcPr>
            <w:tcW w:w="411" w:type="dxa"/>
            <w:shd w:val="clear" w:color="auto" w:fill="FFFFFF"/>
            <w:vAlign w:val="center"/>
          </w:tcPr>
          <w:p w14:paraId="073CB041">
            <w:pPr>
              <w:pStyle w:val="15"/>
              <w:spacing w:before="0" w:beforeAutospacing="0" w:after="150" w:afterAutospacing="0" w:line="360" w:lineRule="atLeast"/>
              <w:jc w:val="center"/>
              <w:rPr>
                <w:color w:val="auto"/>
              </w:rPr>
            </w:pPr>
            <w:r>
              <w:rPr>
                <w:rFonts w:hint="eastAsia"/>
                <w:color w:val="auto"/>
              </w:rPr>
              <w:t>11</w:t>
            </w:r>
          </w:p>
        </w:tc>
        <w:tc>
          <w:tcPr>
            <w:tcW w:w="1472" w:type="dxa"/>
            <w:shd w:val="clear" w:color="auto" w:fill="FFFFFF"/>
            <w:vAlign w:val="center"/>
          </w:tcPr>
          <w:p w14:paraId="614BC862">
            <w:pPr>
              <w:pStyle w:val="24"/>
              <w:wordWrap w:val="0"/>
              <w:adjustRightInd w:val="0"/>
              <w:snapToGrid w:val="0"/>
              <w:spacing w:line="360" w:lineRule="exact"/>
              <w:jc w:val="center"/>
              <w:rPr>
                <w:rFonts w:ascii="宋体" w:hAnsi="宋体" w:cs="宋体"/>
                <w:color w:val="auto"/>
                <w:kern w:val="0"/>
                <w:sz w:val="24"/>
              </w:rPr>
            </w:pPr>
            <w:r>
              <w:rPr>
                <w:rFonts w:hint="eastAsia" w:ascii="宋体" w:hAnsi="宋体" w:cs="宋体"/>
                <w:color w:val="auto"/>
                <w:kern w:val="0"/>
                <w:sz w:val="24"/>
              </w:rPr>
              <w:t>其他</w:t>
            </w:r>
          </w:p>
        </w:tc>
        <w:tc>
          <w:tcPr>
            <w:tcW w:w="7296" w:type="dxa"/>
            <w:shd w:val="clear" w:color="auto" w:fill="FFFFFF"/>
            <w:vAlign w:val="center"/>
          </w:tcPr>
          <w:p w14:paraId="42F87E61">
            <w:pPr>
              <w:pStyle w:val="24"/>
              <w:wordWrap w:val="0"/>
              <w:adjustRightInd w:val="0"/>
              <w:snapToGrid w:val="0"/>
              <w:spacing w:line="400" w:lineRule="exact"/>
              <w:ind w:firstLine="240" w:firstLineChars="100"/>
              <w:jc w:val="left"/>
              <w:rPr>
                <w:rFonts w:ascii="宋体" w:hAnsi="宋体" w:cs="宋体"/>
                <w:color w:val="auto"/>
                <w:kern w:val="0"/>
                <w:sz w:val="24"/>
              </w:rPr>
            </w:pPr>
            <w:r>
              <w:rPr>
                <w:rFonts w:hint="eastAsia" w:ascii="宋体" w:hAnsi="宋体" w:cs="宋体"/>
                <w:color w:val="auto"/>
                <w:kern w:val="0"/>
                <w:sz w:val="24"/>
              </w:rPr>
              <w:t>投标人应按有关计划时间安排办理企业CA认证、企业入库等，投标人自行下载招标文件、资料文件及招标答疑书等。若由于投标人自身原因未能及时取得上述资料的，由此发生的任何责任由投标人自负。</w:t>
            </w:r>
          </w:p>
        </w:tc>
      </w:tr>
    </w:tbl>
    <w:p w14:paraId="60C32297">
      <w:pPr>
        <w:pStyle w:val="21"/>
        <w:rPr>
          <w:color w:val="auto"/>
        </w:rPr>
        <w:sectPr>
          <w:endnotePr>
            <w:numFmt w:val="decimal"/>
          </w:endnotePr>
          <w:pgSz w:w="11906" w:h="16838"/>
          <w:pgMar w:top="1417" w:right="1417" w:bottom="1417" w:left="1417" w:header="850" w:footer="992" w:gutter="0"/>
          <w:cols w:space="0" w:num="1"/>
          <w:docGrid w:linePitch="327" w:charSpace="0"/>
        </w:sectPr>
      </w:pPr>
    </w:p>
    <w:p w14:paraId="7C83CC94">
      <w:pPr>
        <w:pStyle w:val="3"/>
        <w:rPr>
          <w:b/>
          <w:bCs/>
          <w:color w:val="auto"/>
        </w:rPr>
      </w:pPr>
      <w:bookmarkStart w:id="10" w:name="_Hlt87793819"/>
      <w:bookmarkEnd w:id="10"/>
      <w:bookmarkStart w:id="11" w:name="_Toc29916"/>
      <w:bookmarkStart w:id="12" w:name="_Toc12738"/>
      <w:bookmarkStart w:id="13" w:name="_Hlt69698754"/>
      <w:bookmarkStart w:id="14" w:name="_Hlt69698705"/>
      <w:r>
        <w:rPr>
          <w:rFonts w:hint="eastAsia"/>
          <w:b/>
          <w:bCs/>
          <w:color w:val="auto"/>
        </w:rPr>
        <w:t>第三节 投标人须知</w:t>
      </w:r>
      <w:bookmarkStart w:id="15" w:name="_Hlt69669159"/>
      <w:bookmarkEnd w:id="15"/>
      <w:r>
        <w:rPr>
          <w:rFonts w:hint="eastAsia"/>
          <w:b/>
          <w:bCs/>
          <w:color w:val="auto"/>
        </w:rPr>
        <w:t>正文</w:t>
      </w:r>
      <w:bookmarkEnd w:id="11"/>
      <w:bookmarkEnd w:id="12"/>
    </w:p>
    <w:bookmarkEnd w:id="13"/>
    <w:bookmarkEnd w:id="14"/>
    <w:p w14:paraId="1AC929BF">
      <w:pPr>
        <w:wordWrap w:val="0"/>
        <w:adjustRightInd w:val="0"/>
        <w:snapToGrid w:val="0"/>
        <w:spacing w:before="240" w:beforeLines="100" w:line="460" w:lineRule="exact"/>
        <w:ind w:firstLine="480" w:firstLineChars="200"/>
        <w:rPr>
          <w:rFonts w:ascii="Times New Roman"/>
          <w:b/>
          <w:snapToGrid w:val="0"/>
          <w:color w:val="auto"/>
        </w:rPr>
      </w:pPr>
      <w:r>
        <w:rPr>
          <w:rFonts w:hint="eastAsia" w:hAnsi="宋体" w:cs="宋体"/>
          <w:color w:val="auto"/>
          <w:szCs w:val="24"/>
          <w:u w:val="single"/>
          <w:lang w:eastAsia="zh-CN"/>
        </w:rPr>
        <w:t>翁源产业园区产城融合基础设施配套项目</w:t>
      </w:r>
      <w:r>
        <w:rPr>
          <w:rFonts w:hint="eastAsia" w:hAnsi="宋体" w:cs="宋体"/>
          <w:snapToGrid w:val="0"/>
          <w:color w:val="auto"/>
          <w:kern w:val="0"/>
        </w:rPr>
        <w:t>业</w:t>
      </w:r>
      <w:r>
        <w:rPr>
          <w:rFonts w:hint="eastAsia" w:hAnsi="宋体" w:cs="宋体"/>
          <w:color w:val="auto"/>
          <w:kern w:val="0"/>
          <w:szCs w:val="22"/>
        </w:rPr>
        <w:t>经</w:t>
      </w:r>
      <w:r>
        <w:rPr>
          <w:rFonts w:hint="eastAsia" w:hAnsi="宋体" w:cs="宋体"/>
          <w:color w:val="auto"/>
          <w:kern w:val="0"/>
          <w:szCs w:val="22"/>
          <w:u w:val="single"/>
        </w:rPr>
        <w:t>翁源县发展和改革局</w:t>
      </w:r>
      <w:r>
        <w:rPr>
          <w:rFonts w:hint="eastAsia" w:hAnsi="宋体" w:cs="宋体"/>
          <w:color w:val="auto"/>
          <w:kern w:val="0"/>
          <w:szCs w:val="22"/>
        </w:rPr>
        <w:t>以</w:t>
      </w:r>
      <w:r>
        <w:rPr>
          <w:rFonts w:hint="eastAsia" w:hAnsi="宋体" w:cs="宋体"/>
          <w:color w:val="auto"/>
          <w:kern w:val="0"/>
          <w:szCs w:val="22"/>
          <w:u w:val="single"/>
          <w:lang w:eastAsia="zh-CN"/>
        </w:rPr>
        <w:t>《</w:t>
      </w:r>
      <w:r>
        <w:rPr>
          <w:rFonts w:hint="eastAsia" w:hAnsi="宋体" w:cs="宋体"/>
          <w:color w:val="auto"/>
          <w:kern w:val="0"/>
          <w:szCs w:val="22"/>
          <w:u w:val="single"/>
        </w:rPr>
        <w:t>翁源县发展和改革局关于</w:t>
      </w:r>
      <w:r>
        <w:rPr>
          <w:rFonts w:hint="eastAsia" w:hAnsi="宋体" w:cs="宋体"/>
          <w:color w:val="auto"/>
          <w:kern w:val="0"/>
          <w:szCs w:val="22"/>
          <w:u w:val="single"/>
          <w:lang w:eastAsia="zh-CN"/>
        </w:rPr>
        <w:t>翁源产业园区产城融合基础设施配套项目</w:t>
      </w:r>
      <w:r>
        <w:rPr>
          <w:rFonts w:hint="eastAsia" w:hAnsi="宋体" w:cs="宋体"/>
          <w:color w:val="auto"/>
          <w:kern w:val="0"/>
          <w:szCs w:val="22"/>
          <w:u w:val="single"/>
        </w:rPr>
        <w:t>可行性研究报告的批复</w:t>
      </w:r>
      <w:r>
        <w:rPr>
          <w:rFonts w:hint="eastAsia" w:hAnsi="宋体" w:cs="宋体"/>
          <w:color w:val="auto"/>
          <w:kern w:val="0"/>
          <w:szCs w:val="22"/>
          <w:u w:val="single"/>
          <w:lang w:eastAsia="zh-CN"/>
        </w:rPr>
        <w:t>》</w:t>
      </w:r>
      <w:r>
        <w:rPr>
          <w:rFonts w:hint="eastAsia" w:hAnsi="宋体" w:cs="宋体"/>
          <w:color w:val="auto"/>
          <w:kern w:val="0"/>
          <w:szCs w:val="22"/>
          <w:u w:val="single"/>
        </w:rPr>
        <w:t>（</w:t>
      </w:r>
      <w:r>
        <w:rPr>
          <w:rFonts w:hint="eastAsia" w:hAnsi="宋体" w:cs="宋体"/>
          <w:color w:val="auto"/>
          <w:kern w:val="0"/>
          <w:szCs w:val="22"/>
          <w:u w:val="single"/>
          <w:lang w:eastAsia="zh-CN"/>
        </w:rPr>
        <w:t>翁发改投审〔2021〕13号</w:t>
      </w:r>
      <w:r>
        <w:rPr>
          <w:rFonts w:hint="eastAsia" w:hAnsi="宋体" w:cs="宋体"/>
          <w:color w:val="auto"/>
          <w:kern w:val="0"/>
          <w:szCs w:val="22"/>
          <w:u w:val="single"/>
        </w:rPr>
        <w:t>）、</w:t>
      </w:r>
      <w:r>
        <w:rPr>
          <w:rFonts w:hint="eastAsia" w:hAnsi="宋体" w:cs="宋体"/>
          <w:color w:val="auto"/>
          <w:kern w:val="0"/>
          <w:szCs w:val="22"/>
          <w:u w:val="single"/>
          <w:lang w:eastAsia="zh-CN"/>
        </w:rPr>
        <w:t>《</w:t>
      </w:r>
      <w:r>
        <w:rPr>
          <w:rFonts w:hint="eastAsia" w:hAnsi="宋体" w:cs="宋体"/>
          <w:color w:val="auto"/>
          <w:kern w:val="0"/>
          <w:szCs w:val="22"/>
          <w:u w:val="single"/>
        </w:rPr>
        <w:t>翁源县发展和改革局关于</w:t>
      </w:r>
      <w:r>
        <w:rPr>
          <w:rFonts w:hint="eastAsia" w:hAnsi="宋体" w:cs="宋体"/>
          <w:color w:val="auto"/>
          <w:kern w:val="0"/>
          <w:szCs w:val="22"/>
          <w:u w:val="single"/>
          <w:lang w:eastAsia="zh-CN"/>
        </w:rPr>
        <w:t>翁源产业园区产城融合基础设施配套项目</w:t>
      </w:r>
      <w:r>
        <w:rPr>
          <w:rFonts w:hint="eastAsia" w:hAnsi="宋体" w:cs="宋体"/>
          <w:color w:val="auto"/>
          <w:kern w:val="0"/>
          <w:szCs w:val="22"/>
          <w:u w:val="single"/>
        </w:rPr>
        <w:t>变更的复函</w:t>
      </w:r>
      <w:r>
        <w:rPr>
          <w:rFonts w:hint="eastAsia" w:hAnsi="宋体" w:cs="宋体"/>
          <w:color w:val="auto"/>
          <w:kern w:val="0"/>
          <w:szCs w:val="22"/>
          <w:u w:val="single"/>
          <w:lang w:eastAsia="zh-CN"/>
        </w:rPr>
        <w:t>》</w:t>
      </w:r>
      <w:r>
        <w:rPr>
          <w:rFonts w:hint="eastAsia" w:hAnsi="宋体" w:cs="宋体"/>
          <w:color w:val="auto"/>
          <w:kern w:val="0"/>
          <w:szCs w:val="22"/>
          <w:u w:val="single"/>
        </w:rPr>
        <w:t>（</w:t>
      </w:r>
      <w:r>
        <w:rPr>
          <w:rFonts w:hint="eastAsia" w:hAnsi="宋体" w:cs="宋体"/>
          <w:color w:val="auto"/>
          <w:kern w:val="0"/>
          <w:szCs w:val="22"/>
          <w:u w:val="single"/>
          <w:lang w:eastAsia="zh-CN"/>
        </w:rPr>
        <w:t>翁发改投审〔2024〕74号</w:t>
      </w:r>
      <w:r>
        <w:rPr>
          <w:rFonts w:hint="eastAsia" w:hAnsi="宋体" w:cs="宋体"/>
          <w:color w:val="auto"/>
          <w:kern w:val="0"/>
          <w:szCs w:val="22"/>
          <w:u w:val="single"/>
        </w:rPr>
        <w:t>）</w:t>
      </w:r>
      <w:r>
        <w:rPr>
          <w:rFonts w:hint="eastAsia" w:hAnsi="宋体" w:cs="宋体"/>
          <w:color w:val="auto"/>
          <w:kern w:val="0"/>
          <w:szCs w:val="22"/>
        </w:rPr>
        <w:t>文批准建设，项目代码为</w:t>
      </w:r>
      <w:r>
        <w:rPr>
          <w:rFonts w:hint="eastAsia" w:hAnsi="宋体" w:cs="宋体"/>
          <w:color w:val="auto"/>
          <w:kern w:val="0"/>
          <w:szCs w:val="22"/>
          <w:u w:val="single"/>
          <w:lang w:eastAsia="zh-CN"/>
        </w:rPr>
        <w:t>2110-440229-04-01-834756</w:t>
      </w:r>
      <w:r>
        <w:rPr>
          <w:rFonts w:hint="eastAsia" w:hAnsi="宋体" w:cs="宋体"/>
          <w:color w:val="auto"/>
          <w:kern w:val="0"/>
          <w:szCs w:val="22"/>
        </w:rPr>
        <w:t>。本项目业主为</w:t>
      </w:r>
      <w:r>
        <w:rPr>
          <w:rFonts w:hint="eastAsia" w:hAnsi="宋体" w:cs="宋体"/>
          <w:color w:val="auto"/>
          <w:kern w:val="0"/>
          <w:szCs w:val="22"/>
          <w:u w:val="single"/>
          <w:lang w:val="en-US" w:eastAsia="zh-CN"/>
        </w:rPr>
        <w:t>广东翁源经济开发区管理委员会</w:t>
      </w:r>
      <w:r>
        <w:rPr>
          <w:rFonts w:hint="eastAsia" w:hAnsi="宋体" w:cs="宋体"/>
          <w:color w:val="auto"/>
          <w:kern w:val="0"/>
          <w:szCs w:val="22"/>
        </w:rPr>
        <w:t>，建设资金来</w:t>
      </w:r>
      <w:r>
        <w:rPr>
          <w:rFonts w:hint="eastAsia" w:hAnsi="宋体" w:cs="宋体"/>
          <w:color w:val="auto"/>
          <w:kern w:val="0"/>
          <w:szCs w:val="22"/>
          <w:lang w:val="en-US" w:eastAsia="zh-CN"/>
        </w:rPr>
        <w:t>源：</w:t>
      </w:r>
      <w:r>
        <w:rPr>
          <w:rFonts w:hint="eastAsia" w:hAnsi="宋体" w:cs="宋体"/>
          <w:color w:val="auto"/>
          <w:kern w:val="0"/>
          <w:szCs w:val="22"/>
          <w:u w:val="single"/>
          <w:lang w:val="en-US" w:eastAsia="zh-CN"/>
        </w:rPr>
        <w:t>地方专项债及地方财政统筹解决</w:t>
      </w:r>
      <w:r>
        <w:rPr>
          <w:rFonts w:hint="eastAsia" w:hAnsi="宋体" w:cs="宋体"/>
          <w:color w:val="auto"/>
          <w:kern w:val="0"/>
          <w:szCs w:val="22"/>
        </w:rPr>
        <w:t>，</w:t>
      </w:r>
      <w:r>
        <w:rPr>
          <w:rFonts w:hint="eastAsia" w:hAnsi="宋体" w:cs="宋体"/>
          <w:snapToGrid w:val="0"/>
          <w:color w:val="auto"/>
          <w:kern w:val="0"/>
        </w:rPr>
        <w:t>出资比例为</w:t>
      </w:r>
      <w:r>
        <w:rPr>
          <w:rFonts w:hint="eastAsia" w:hAnsi="宋体" w:cs="宋体"/>
          <w:snapToGrid w:val="0"/>
          <w:color w:val="auto"/>
          <w:kern w:val="0"/>
          <w:u w:val="single"/>
        </w:rPr>
        <w:t>100%</w:t>
      </w:r>
      <w:r>
        <w:rPr>
          <w:rFonts w:hint="eastAsia" w:hAnsi="宋体" w:cs="宋体"/>
          <w:snapToGrid w:val="0"/>
          <w:color w:val="auto"/>
          <w:kern w:val="0"/>
        </w:rPr>
        <w:t>，</w:t>
      </w:r>
      <w:r>
        <w:rPr>
          <w:rFonts w:hint="eastAsia" w:hAnsi="宋体" w:cs="宋体"/>
          <w:color w:val="auto"/>
          <w:kern w:val="0"/>
          <w:szCs w:val="22"/>
        </w:rPr>
        <w:t>招标人为</w:t>
      </w:r>
      <w:r>
        <w:rPr>
          <w:rFonts w:hint="eastAsia" w:hAnsi="宋体" w:cs="宋体"/>
          <w:color w:val="auto"/>
          <w:kern w:val="0"/>
          <w:sz w:val="24"/>
          <w:szCs w:val="22"/>
          <w:highlight w:val="none"/>
          <w:u w:val="single"/>
          <w:lang w:eastAsia="zh-CN"/>
        </w:rPr>
        <w:t>翁源县公共资产管理中心</w:t>
      </w:r>
      <w:r>
        <w:rPr>
          <w:rFonts w:hint="eastAsia" w:hAnsi="宋体" w:cs="宋体"/>
          <w:color w:val="auto"/>
          <w:kern w:val="0"/>
          <w:szCs w:val="22"/>
        </w:rPr>
        <w:t>，</w:t>
      </w:r>
      <w:r>
        <w:rPr>
          <w:rFonts w:hint="eastAsia" w:hAnsi="宋体" w:cs="宋体"/>
          <w:snapToGrid w:val="0"/>
          <w:color w:val="auto"/>
          <w:kern w:val="0"/>
        </w:rPr>
        <w:t>招标代理机构为</w:t>
      </w:r>
      <w:r>
        <w:rPr>
          <w:rFonts w:hint="eastAsia" w:hAnsi="宋体" w:cs="宋体"/>
          <w:snapToGrid w:val="0"/>
          <w:color w:val="auto"/>
          <w:kern w:val="0"/>
          <w:u w:val="single"/>
          <w:lang w:eastAsia="zh-CN"/>
        </w:rPr>
        <w:t>韶关市嘉泓工程咨询有限公司</w:t>
      </w:r>
      <w:r>
        <w:rPr>
          <w:rFonts w:hint="eastAsia" w:hAnsi="宋体" w:cs="宋体"/>
          <w:snapToGrid w:val="0"/>
          <w:color w:val="auto"/>
          <w:kern w:val="0"/>
        </w:rPr>
        <w:t>。项目已具备招标条件，现对该项目的</w:t>
      </w:r>
      <w:r>
        <w:rPr>
          <w:rFonts w:hint="eastAsia" w:hAnsi="宋体" w:cs="宋体"/>
          <w:snapToGrid w:val="0"/>
          <w:color w:val="auto"/>
          <w:kern w:val="0"/>
          <w:u w:val="single"/>
          <w:lang w:eastAsia="zh-CN"/>
        </w:rPr>
        <w:t>翁源产业园区产城融合基础设施配套项目(创新原料药产业园主干道二期)</w:t>
      </w:r>
      <w:r>
        <w:rPr>
          <w:rFonts w:hint="eastAsia" w:hAnsi="宋体" w:cs="宋体"/>
          <w:snapToGrid w:val="0"/>
          <w:color w:val="auto"/>
          <w:kern w:val="0"/>
          <w:u w:val="single"/>
        </w:rPr>
        <w:t>施工监理</w:t>
      </w:r>
      <w:r>
        <w:rPr>
          <w:rFonts w:hint="eastAsia" w:hAnsi="宋体" w:cs="宋体"/>
          <w:snapToGrid w:val="0"/>
          <w:color w:val="auto"/>
          <w:kern w:val="0"/>
        </w:rPr>
        <w:t>进行公开招标。</w:t>
      </w:r>
      <w:bookmarkStart w:id="16" w:name="_Hlt74474735"/>
      <w:bookmarkEnd w:id="16"/>
      <w:bookmarkStart w:id="17" w:name="_Hlt87948285"/>
      <w:bookmarkEnd w:id="17"/>
      <w:bookmarkStart w:id="18" w:name="_Hlt78795222"/>
      <w:bookmarkEnd w:id="18"/>
      <w:bookmarkStart w:id="19" w:name="_Hlt109358474"/>
      <w:bookmarkEnd w:id="19"/>
      <w:bookmarkStart w:id="20" w:name="_Hlt119991399"/>
      <w:bookmarkEnd w:id="20"/>
    </w:p>
    <w:p w14:paraId="0C8AC8C2">
      <w:pPr>
        <w:pStyle w:val="24"/>
        <w:wordWrap w:val="0"/>
        <w:adjustRightInd w:val="0"/>
        <w:snapToGrid w:val="0"/>
        <w:spacing w:line="440" w:lineRule="exact"/>
        <w:ind w:firstLine="480"/>
        <w:jc w:val="left"/>
        <w:outlineLvl w:val="2"/>
        <w:rPr>
          <w:b/>
          <w:bCs/>
          <w:snapToGrid w:val="0"/>
          <w:color w:val="auto"/>
          <w:kern w:val="0"/>
          <w:sz w:val="24"/>
        </w:rPr>
      </w:pPr>
      <w:bookmarkStart w:id="21" w:name="_Toc25314"/>
      <w:r>
        <w:rPr>
          <w:rFonts w:hint="eastAsia"/>
          <w:b/>
          <w:bCs/>
          <w:snapToGrid w:val="0"/>
          <w:color w:val="auto"/>
          <w:kern w:val="0"/>
          <w:sz w:val="24"/>
        </w:rPr>
        <w:t>1．项目概况、招标范围和标段划分、投标费用</w:t>
      </w:r>
      <w:bookmarkEnd w:id="21"/>
    </w:p>
    <w:p w14:paraId="18D0D43C">
      <w:pPr>
        <w:pStyle w:val="24"/>
        <w:wordWrap w:val="0"/>
        <w:adjustRightInd w:val="0"/>
        <w:snapToGrid w:val="0"/>
        <w:spacing w:line="460" w:lineRule="exact"/>
        <w:ind w:firstLine="480"/>
        <w:jc w:val="left"/>
        <w:rPr>
          <w:rFonts w:ascii="宋体" w:hAnsi="宋体" w:cs="宋体"/>
          <w:snapToGrid w:val="0"/>
          <w:color w:val="auto"/>
          <w:kern w:val="0"/>
          <w:sz w:val="24"/>
        </w:rPr>
      </w:pPr>
      <w:r>
        <w:rPr>
          <w:rFonts w:hint="eastAsia" w:ascii="宋体" w:hAnsi="宋体" w:cs="宋体"/>
          <w:b/>
          <w:bCs/>
          <w:snapToGrid w:val="0"/>
          <w:color w:val="auto"/>
          <w:kern w:val="0"/>
          <w:sz w:val="24"/>
        </w:rPr>
        <w:t>1.1</w:t>
      </w:r>
      <w:r>
        <w:rPr>
          <w:rFonts w:hint="eastAsia" w:ascii="宋体" w:hAnsi="宋体" w:cs="宋体"/>
          <w:snapToGrid w:val="0"/>
          <w:color w:val="auto"/>
          <w:kern w:val="0"/>
          <w:sz w:val="24"/>
        </w:rPr>
        <w:t xml:space="preserve"> 项目概况</w:t>
      </w:r>
    </w:p>
    <w:p w14:paraId="08D63C60">
      <w:pPr>
        <w:pStyle w:val="24"/>
        <w:wordWrap w:val="0"/>
        <w:adjustRightInd w:val="0"/>
        <w:snapToGrid w:val="0"/>
        <w:spacing w:line="460" w:lineRule="exact"/>
        <w:ind w:firstLine="480"/>
        <w:jc w:val="left"/>
        <w:rPr>
          <w:rFonts w:hint="default" w:ascii="宋体" w:hAnsi="宋体" w:eastAsia="宋体" w:cs="宋体"/>
          <w:snapToGrid w:val="0"/>
          <w:color w:val="auto"/>
          <w:kern w:val="0"/>
          <w:sz w:val="24"/>
          <w:lang w:val="en-US" w:eastAsia="zh-CN"/>
        </w:rPr>
      </w:pPr>
      <w:r>
        <w:rPr>
          <w:rFonts w:hint="eastAsia" w:ascii="宋体" w:hAnsi="宋体" w:cs="宋体"/>
          <w:b/>
          <w:bCs/>
          <w:snapToGrid w:val="0"/>
          <w:color w:val="auto"/>
          <w:kern w:val="0"/>
          <w:sz w:val="24"/>
        </w:rPr>
        <w:t>1.1.1</w:t>
      </w:r>
      <w:r>
        <w:rPr>
          <w:rFonts w:hint="eastAsia" w:ascii="宋体" w:hAnsi="宋体" w:cs="宋体"/>
          <w:snapToGrid w:val="0"/>
          <w:color w:val="auto"/>
          <w:kern w:val="0"/>
          <w:sz w:val="24"/>
        </w:rPr>
        <w:t xml:space="preserve"> 建设地点：</w:t>
      </w:r>
      <w:r>
        <w:rPr>
          <w:rFonts w:hint="eastAsia"/>
          <w:snapToGrid w:val="0"/>
          <w:color w:val="auto"/>
          <w:kern w:val="0"/>
          <w:sz w:val="24"/>
          <w:u w:val="none"/>
          <w:lang w:eastAsia="zh-CN"/>
        </w:rPr>
        <w:t>韶关市翁源县翁源产业园区。</w:t>
      </w:r>
    </w:p>
    <w:p w14:paraId="4F076800">
      <w:pPr>
        <w:pStyle w:val="24"/>
        <w:wordWrap w:val="0"/>
        <w:adjustRightInd w:val="0"/>
        <w:snapToGrid w:val="0"/>
        <w:spacing w:line="460" w:lineRule="exact"/>
        <w:ind w:firstLine="480"/>
        <w:jc w:val="left"/>
        <w:rPr>
          <w:rFonts w:ascii="宋体" w:hAnsi="宋体" w:cs="宋体"/>
          <w:snapToGrid w:val="0"/>
          <w:color w:val="auto"/>
          <w:kern w:val="0"/>
          <w:sz w:val="24"/>
        </w:rPr>
      </w:pPr>
      <w:r>
        <w:rPr>
          <w:rFonts w:hint="eastAsia" w:ascii="宋体" w:hAnsi="宋体" w:eastAsia="宋体" w:cs="宋体"/>
          <w:b/>
          <w:bCs/>
          <w:snapToGrid w:val="0"/>
          <w:color w:val="auto"/>
          <w:kern w:val="0"/>
          <w:sz w:val="24"/>
        </w:rPr>
        <w:t xml:space="preserve">1.1.2 </w:t>
      </w:r>
      <w:r>
        <w:rPr>
          <w:rFonts w:hint="eastAsia"/>
          <w:snapToGrid w:val="0"/>
          <w:color w:val="auto"/>
          <w:kern w:val="0"/>
          <w:sz w:val="24"/>
        </w:rPr>
        <w:t>建设内容和规模：</w:t>
      </w:r>
      <w:r>
        <w:rPr>
          <w:rFonts w:hint="eastAsia" w:ascii="宋体" w:hAnsi="宋体" w:cs="宋体"/>
          <w:snapToGrid w:val="0"/>
          <w:color w:val="auto"/>
          <w:kern w:val="0"/>
          <w:sz w:val="24"/>
          <w:lang w:eastAsia="zh-CN"/>
        </w:rPr>
        <w:t>续建园区主干道路，长约2公里，包括（道路工程、雨水工程、污水工程、交通工程、照明工程、绿化工程、电力工程、通信工程、箱涵工程</w:t>
      </w:r>
      <w:r>
        <w:rPr>
          <w:rFonts w:hint="eastAsia" w:ascii="宋体" w:hAnsi="宋体" w:cs="宋体"/>
          <w:snapToGrid w:val="0"/>
          <w:color w:val="auto"/>
          <w:kern w:val="0"/>
          <w:sz w:val="24"/>
        </w:rPr>
        <w:t>。</w:t>
      </w:r>
    </w:p>
    <w:p w14:paraId="3AA53A3B">
      <w:pPr>
        <w:pStyle w:val="24"/>
        <w:wordWrap w:val="0"/>
        <w:adjustRightInd w:val="0"/>
        <w:snapToGrid w:val="0"/>
        <w:spacing w:line="460" w:lineRule="exact"/>
        <w:ind w:firstLine="480"/>
        <w:jc w:val="left"/>
        <w:rPr>
          <w:rFonts w:ascii="宋体" w:hAnsi="宋体" w:cs="宋体"/>
          <w:snapToGrid w:val="0"/>
          <w:color w:val="auto"/>
          <w:kern w:val="0"/>
          <w:sz w:val="24"/>
          <w:u w:val="single"/>
        </w:rPr>
      </w:pPr>
      <w:r>
        <w:rPr>
          <w:rFonts w:hint="eastAsia" w:ascii="宋体" w:hAnsi="宋体" w:cs="宋体"/>
          <w:b/>
          <w:bCs/>
          <w:snapToGrid w:val="0"/>
          <w:color w:val="auto"/>
          <w:kern w:val="0"/>
          <w:sz w:val="24"/>
        </w:rPr>
        <w:t xml:space="preserve">1.1.3 </w:t>
      </w:r>
      <w:r>
        <w:rPr>
          <w:rFonts w:hint="eastAsia" w:ascii="宋体" w:hAnsi="宋体" w:cs="宋体"/>
          <w:snapToGrid w:val="0"/>
          <w:color w:val="auto"/>
          <w:kern w:val="0"/>
          <w:sz w:val="24"/>
        </w:rPr>
        <w:t>项目总投资：</w:t>
      </w:r>
      <w:r>
        <w:rPr>
          <w:rFonts w:hint="eastAsia" w:ascii="宋体" w:hAnsi="宋体" w:cs="宋体"/>
          <w:snapToGrid w:val="0"/>
          <w:color w:val="auto"/>
          <w:kern w:val="0"/>
          <w:sz w:val="24"/>
          <w:lang w:eastAsia="zh-CN"/>
        </w:rPr>
        <w:t>项目估算总投资113134.94万元，本次招标项目建安工程费</w:t>
      </w:r>
      <w:r>
        <w:rPr>
          <w:rFonts w:hint="eastAsia" w:ascii="宋体" w:hAnsi="宋体" w:cs="宋体"/>
          <w:snapToGrid w:val="0"/>
          <w:color w:val="auto"/>
          <w:kern w:val="0"/>
          <w:sz w:val="24"/>
          <w:lang w:val="en-US" w:eastAsia="zh-CN"/>
        </w:rPr>
        <w:t>4988.00</w:t>
      </w:r>
      <w:r>
        <w:rPr>
          <w:rFonts w:hint="eastAsia" w:ascii="宋体" w:hAnsi="宋体" w:cs="宋体"/>
          <w:snapToGrid w:val="0"/>
          <w:color w:val="auto"/>
          <w:kern w:val="0"/>
          <w:sz w:val="24"/>
          <w:lang w:eastAsia="zh-CN"/>
        </w:rPr>
        <w:t>元，本次招标监理服务费为59万元</w:t>
      </w:r>
      <w:r>
        <w:rPr>
          <w:rFonts w:hint="eastAsia" w:ascii="宋体" w:hAnsi="宋体" w:cs="宋体"/>
          <w:snapToGrid w:val="0"/>
          <w:color w:val="auto"/>
          <w:kern w:val="0"/>
          <w:sz w:val="24"/>
        </w:rPr>
        <w:t>。</w:t>
      </w:r>
    </w:p>
    <w:p w14:paraId="79A3BED2">
      <w:pPr>
        <w:pStyle w:val="24"/>
        <w:wordWrap w:val="0"/>
        <w:adjustRightInd w:val="0"/>
        <w:snapToGrid w:val="0"/>
        <w:spacing w:line="460" w:lineRule="exact"/>
        <w:ind w:firstLine="480"/>
        <w:jc w:val="left"/>
        <w:rPr>
          <w:rFonts w:ascii="宋体" w:hAnsi="宋体" w:cs="宋体"/>
          <w:b/>
          <w:bCs/>
          <w:snapToGrid w:val="0"/>
          <w:color w:val="auto"/>
          <w:kern w:val="0"/>
          <w:sz w:val="24"/>
        </w:rPr>
      </w:pPr>
      <w:r>
        <w:rPr>
          <w:rFonts w:hint="eastAsia" w:ascii="宋体" w:hAnsi="宋体" w:cs="宋体"/>
          <w:b/>
          <w:bCs/>
          <w:snapToGrid w:val="0"/>
          <w:color w:val="auto"/>
          <w:kern w:val="0"/>
          <w:sz w:val="24"/>
        </w:rPr>
        <w:t xml:space="preserve">1.2 </w:t>
      </w:r>
      <w:r>
        <w:rPr>
          <w:rFonts w:hint="eastAsia" w:ascii="宋体" w:hAnsi="宋体" w:cs="宋体"/>
          <w:snapToGrid w:val="0"/>
          <w:color w:val="auto"/>
          <w:kern w:val="0"/>
          <w:sz w:val="24"/>
        </w:rPr>
        <w:t>招标范围和标段划分</w:t>
      </w:r>
    </w:p>
    <w:p w14:paraId="33A6FC1E">
      <w:pPr>
        <w:pStyle w:val="24"/>
        <w:wordWrap w:val="0"/>
        <w:adjustRightInd w:val="0"/>
        <w:snapToGrid w:val="0"/>
        <w:spacing w:line="460" w:lineRule="exact"/>
        <w:ind w:firstLine="480"/>
        <w:jc w:val="left"/>
        <w:rPr>
          <w:rFonts w:ascii="宋体" w:hAnsi="宋体" w:cs="宋体"/>
          <w:snapToGrid w:val="0"/>
          <w:color w:val="auto"/>
          <w:kern w:val="0"/>
          <w:sz w:val="24"/>
        </w:rPr>
      </w:pPr>
      <w:r>
        <w:rPr>
          <w:rFonts w:hint="eastAsia" w:ascii="宋体" w:hAnsi="宋体" w:cs="宋体"/>
          <w:b/>
          <w:bCs/>
          <w:snapToGrid w:val="0"/>
          <w:color w:val="auto"/>
          <w:kern w:val="0"/>
          <w:sz w:val="24"/>
        </w:rPr>
        <w:t>1.2.1</w:t>
      </w:r>
      <w:r>
        <w:rPr>
          <w:rFonts w:hint="eastAsia" w:ascii="宋体" w:hAnsi="宋体" w:cs="宋体"/>
          <w:snapToGrid w:val="0"/>
          <w:color w:val="auto"/>
          <w:kern w:val="0"/>
          <w:sz w:val="24"/>
        </w:rPr>
        <w:t xml:space="preserve"> 招标范围</w:t>
      </w:r>
    </w:p>
    <w:p w14:paraId="21BD98CC">
      <w:pPr>
        <w:pStyle w:val="24"/>
        <w:wordWrap w:val="0"/>
        <w:adjustRightInd w:val="0"/>
        <w:snapToGrid w:val="0"/>
        <w:spacing w:line="460" w:lineRule="exact"/>
        <w:ind w:firstLine="480"/>
        <w:jc w:val="left"/>
        <w:rPr>
          <w:rFonts w:ascii="宋体" w:hAnsi="宋体" w:cs="宋体"/>
          <w:snapToGrid w:val="0"/>
          <w:color w:val="auto"/>
          <w:kern w:val="0"/>
          <w:sz w:val="24"/>
        </w:rPr>
      </w:pPr>
      <w:r>
        <w:rPr>
          <w:rFonts w:hint="eastAsia" w:ascii="宋体" w:hAnsi="宋体" w:cs="宋体"/>
          <w:snapToGrid w:val="0"/>
          <w:color w:val="auto"/>
          <w:kern w:val="0"/>
          <w:sz w:val="24"/>
        </w:rPr>
        <w:t>监理：项目建设施工阶段监理（含施工准备阶段、施工阶段、工程竣工结算阶段和保修阶段监理）</w:t>
      </w:r>
    </w:p>
    <w:p w14:paraId="1418269F">
      <w:pPr>
        <w:wordWrap w:val="0"/>
        <w:adjustRightInd w:val="0"/>
        <w:snapToGrid w:val="0"/>
        <w:spacing w:line="460" w:lineRule="exact"/>
        <w:ind w:firstLine="480"/>
        <w:rPr>
          <w:rFonts w:hAnsi="宋体" w:cs="宋体"/>
          <w:b/>
          <w:bCs/>
          <w:snapToGrid w:val="0"/>
          <w:color w:val="auto"/>
          <w:kern w:val="0"/>
          <w:szCs w:val="24"/>
        </w:rPr>
      </w:pPr>
      <w:r>
        <w:rPr>
          <w:rFonts w:hint="eastAsia" w:hAnsi="宋体" w:cs="宋体"/>
          <w:b/>
          <w:bCs/>
          <w:snapToGrid w:val="0"/>
          <w:color w:val="auto"/>
          <w:kern w:val="0"/>
          <w:szCs w:val="24"/>
        </w:rPr>
        <w:t>1.2.2</w:t>
      </w:r>
      <w:r>
        <w:rPr>
          <w:rFonts w:hint="eastAsia" w:hAnsi="宋体" w:cs="宋体"/>
          <w:snapToGrid w:val="0"/>
          <w:color w:val="auto"/>
          <w:kern w:val="0"/>
          <w:szCs w:val="24"/>
        </w:rPr>
        <w:t xml:space="preserve"> 标段划分：本招标项目不划分标段。</w:t>
      </w:r>
    </w:p>
    <w:p w14:paraId="257351E1">
      <w:pPr>
        <w:wordWrap w:val="0"/>
        <w:adjustRightInd w:val="0"/>
        <w:snapToGrid w:val="0"/>
        <w:spacing w:line="460" w:lineRule="exact"/>
        <w:ind w:firstLine="532" w:firstLineChars="221"/>
        <w:rPr>
          <w:rFonts w:hAnsi="宋体" w:cs="宋体"/>
          <w:snapToGrid w:val="0"/>
          <w:color w:val="auto"/>
          <w:kern w:val="0"/>
          <w:szCs w:val="24"/>
        </w:rPr>
      </w:pPr>
      <w:r>
        <w:rPr>
          <w:rFonts w:hint="eastAsia" w:hAnsi="宋体" w:cs="宋体"/>
          <w:b/>
          <w:bCs/>
          <w:snapToGrid w:val="0"/>
          <w:color w:val="auto"/>
          <w:kern w:val="0"/>
          <w:szCs w:val="24"/>
        </w:rPr>
        <w:t>1.3</w:t>
      </w:r>
      <w:r>
        <w:rPr>
          <w:rFonts w:hint="eastAsia" w:hAnsi="宋体" w:cs="宋体"/>
          <w:snapToGrid w:val="0"/>
          <w:color w:val="auto"/>
          <w:kern w:val="0"/>
          <w:szCs w:val="24"/>
        </w:rPr>
        <w:t xml:space="preserve"> 投标费用：投标人应承担所有准备和参加投标的相关费用，不论投标结果如何，招标人均无义务和责任承担这些费用。</w:t>
      </w:r>
    </w:p>
    <w:p w14:paraId="6EFF178B">
      <w:pPr>
        <w:pStyle w:val="3"/>
        <w:wordWrap w:val="0"/>
        <w:autoSpaceDE/>
        <w:autoSpaceDN/>
        <w:snapToGrid w:val="0"/>
        <w:spacing w:line="460" w:lineRule="exact"/>
        <w:ind w:firstLine="480"/>
        <w:jc w:val="both"/>
        <w:rPr>
          <w:rFonts w:hAnsi="宋体" w:cs="宋体"/>
          <w:b/>
          <w:snapToGrid w:val="0"/>
          <w:color w:val="auto"/>
          <w:szCs w:val="24"/>
        </w:rPr>
      </w:pPr>
      <w:bookmarkStart w:id="22" w:name="_Toc31707"/>
      <w:bookmarkStart w:id="23" w:name="_Toc31795"/>
      <w:r>
        <w:rPr>
          <w:rFonts w:hint="eastAsia" w:hAnsi="宋体" w:cs="宋体"/>
          <w:b/>
          <w:snapToGrid w:val="0"/>
          <w:color w:val="auto"/>
          <w:szCs w:val="24"/>
        </w:rPr>
        <w:t>2．投标人资格要求</w:t>
      </w:r>
      <w:bookmarkEnd w:id="22"/>
      <w:bookmarkEnd w:id="23"/>
      <w:bookmarkStart w:id="24" w:name="_Hlt74496495"/>
      <w:bookmarkEnd w:id="24"/>
    </w:p>
    <w:p w14:paraId="7DCF6EB0">
      <w:pPr>
        <w:pStyle w:val="24"/>
        <w:wordWrap w:val="0"/>
        <w:adjustRightInd w:val="0"/>
        <w:snapToGrid w:val="0"/>
        <w:spacing w:line="460" w:lineRule="exact"/>
        <w:ind w:firstLine="482" w:firstLineChars="200"/>
        <w:jc w:val="left"/>
        <w:rPr>
          <w:rFonts w:ascii="宋体" w:hAnsi="宋体" w:cs="宋体"/>
          <w:snapToGrid w:val="0"/>
          <w:color w:val="auto"/>
          <w:kern w:val="0"/>
          <w:sz w:val="24"/>
        </w:rPr>
      </w:pPr>
      <w:r>
        <w:rPr>
          <w:rFonts w:hint="eastAsia" w:ascii="宋体" w:hAnsi="宋体" w:cs="宋体"/>
          <w:b/>
          <w:bCs/>
          <w:snapToGrid w:val="0"/>
          <w:color w:val="auto"/>
          <w:kern w:val="0"/>
          <w:sz w:val="24"/>
        </w:rPr>
        <w:t>2.1</w:t>
      </w:r>
      <w:r>
        <w:rPr>
          <w:rFonts w:hint="eastAsia" w:ascii="宋体" w:hAnsi="宋体" w:cs="宋体"/>
          <w:snapToGrid w:val="0"/>
          <w:color w:val="auto"/>
          <w:kern w:val="0"/>
          <w:sz w:val="24"/>
        </w:rPr>
        <w:t xml:space="preserve"> 本次招标不接受联合体投标。</w:t>
      </w:r>
    </w:p>
    <w:p w14:paraId="54585D24">
      <w:pPr>
        <w:pStyle w:val="24"/>
        <w:wordWrap w:val="0"/>
        <w:adjustRightInd w:val="0"/>
        <w:snapToGrid w:val="0"/>
        <w:spacing w:line="460" w:lineRule="exact"/>
        <w:ind w:firstLine="480"/>
        <w:jc w:val="left"/>
        <w:rPr>
          <w:rFonts w:ascii="宋体" w:hAnsi="宋体" w:cs="宋体"/>
          <w:snapToGrid w:val="0"/>
          <w:color w:val="auto"/>
          <w:kern w:val="0"/>
          <w:sz w:val="24"/>
        </w:rPr>
      </w:pPr>
      <w:r>
        <w:rPr>
          <w:rFonts w:hint="eastAsia" w:ascii="宋体" w:hAnsi="宋体" w:cs="宋体"/>
          <w:b/>
          <w:bCs/>
          <w:snapToGrid w:val="0"/>
          <w:color w:val="auto"/>
          <w:kern w:val="0"/>
          <w:sz w:val="24"/>
        </w:rPr>
        <w:t>2.2</w:t>
      </w:r>
      <w:r>
        <w:rPr>
          <w:rFonts w:hint="eastAsia" w:ascii="宋体" w:hAnsi="宋体" w:cs="宋体"/>
          <w:snapToGrid w:val="0"/>
          <w:color w:val="auto"/>
          <w:kern w:val="0"/>
          <w:sz w:val="24"/>
        </w:rPr>
        <w:t xml:space="preserve"> 资格资质要求</w:t>
      </w:r>
    </w:p>
    <w:p w14:paraId="1F24D91A">
      <w:pPr>
        <w:pStyle w:val="24"/>
        <w:wordWrap w:val="0"/>
        <w:adjustRightInd w:val="0"/>
        <w:snapToGrid w:val="0"/>
        <w:spacing w:line="460" w:lineRule="exact"/>
        <w:ind w:firstLine="480"/>
        <w:jc w:val="left"/>
        <w:rPr>
          <w:rFonts w:ascii="宋体" w:hAnsi="宋体" w:cs="宋体"/>
          <w:snapToGrid w:val="0"/>
          <w:color w:val="auto"/>
          <w:kern w:val="0"/>
          <w:sz w:val="24"/>
        </w:rPr>
      </w:pPr>
      <w:r>
        <w:rPr>
          <w:rFonts w:hint="eastAsia" w:ascii="宋体" w:hAnsi="宋体" w:cs="宋体"/>
          <w:b/>
          <w:bCs/>
          <w:snapToGrid w:val="0"/>
          <w:color w:val="auto"/>
          <w:kern w:val="0"/>
          <w:sz w:val="24"/>
        </w:rPr>
        <w:t>2.2.1</w:t>
      </w:r>
      <w:r>
        <w:rPr>
          <w:rFonts w:hint="eastAsia" w:ascii="宋体" w:hAnsi="宋体" w:cs="宋体"/>
          <w:snapToGrid w:val="0"/>
          <w:color w:val="auto"/>
          <w:kern w:val="0"/>
          <w:sz w:val="24"/>
        </w:rPr>
        <w:t xml:space="preserve"> 投标人须具备独立法人资格，按国家法律经营。</w:t>
      </w:r>
    </w:p>
    <w:p w14:paraId="1D8CE58E">
      <w:pPr>
        <w:wordWrap w:val="0"/>
        <w:adjustRightInd w:val="0"/>
        <w:snapToGrid w:val="0"/>
        <w:spacing w:line="460" w:lineRule="exact"/>
        <w:ind w:firstLine="482" w:firstLineChars="200"/>
        <w:jc w:val="left"/>
        <w:rPr>
          <w:rFonts w:hAnsi="宋体" w:cs="宋体"/>
          <w:snapToGrid w:val="0"/>
          <w:color w:val="auto"/>
          <w:kern w:val="0"/>
          <w:szCs w:val="24"/>
        </w:rPr>
      </w:pPr>
      <w:r>
        <w:rPr>
          <w:rFonts w:hint="eastAsia" w:hAnsi="宋体" w:cs="宋体"/>
          <w:b/>
          <w:bCs/>
          <w:snapToGrid w:val="0"/>
          <w:color w:val="auto"/>
          <w:kern w:val="0"/>
          <w:szCs w:val="24"/>
        </w:rPr>
        <w:t>2.2.2</w:t>
      </w:r>
      <w:r>
        <w:rPr>
          <w:rFonts w:hint="eastAsia" w:hAnsi="宋体" w:cs="宋体"/>
          <w:snapToGrid w:val="0"/>
          <w:color w:val="auto"/>
          <w:kern w:val="0"/>
          <w:szCs w:val="24"/>
        </w:rPr>
        <w:t xml:space="preserve"> 投标人须具备以下资质：投标人必须是具有工程监理综合资质或</w:t>
      </w:r>
      <w:r>
        <w:rPr>
          <w:rFonts w:hint="eastAsia" w:hAnsi="宋体" w:cs="宋体"/>
          <w:color w:val="auto"/>
          <w:szCs w:val="24"/>
          <w:lang w:eastAsia="zh-CN"/>
        </w:rPr>
        <w:t>市政公用工程专业监理乙级以上（含乙级）资质</w:t>
      </w:r>
      <w:r>
        <w:rPr>
          <w:rFonts w:hint="eastAsia" w:hAnsi="宋体" w:cs="宋体"/>
          <w:snapToGrid w:val="0"/>
          <w:color w:val="auto"/>
          <w:kern w:val="0"/>
          <w:szCs w:val="24"/>
        </w:rPr>
        <w:t>的独立法人。</w:t>
      </w:r>
    </w:p>
    <w:p w14:paraId="69618B17">
      <w:pPr>
        <w:wordWrap w:val="0"/>
        <w:adjustRightInd w:val="0"/>
        <w:snapToGrid w:val="0"/>
        <w:spacing w:line="440" w:lineRule="exact"/>
        <w:ind w:firstLine="482" w:firstLineChars="200"/>
        <w:jc w:val="left"/>
        <w:rPr>
          <w:rFonts w:hAnsi="宋体" w:cs="宋体"/>
          <w:color w:val="auto"/>
          <w:szCs w:val="24"/>
        </w:rPr>
      </w:pPr>
      <w:r>
        <w:rPr>
          <w:rFonts w:hint="eastAsia" w:hAnsi="宋体" w:cs="宋体"/>
          <w:b/>
          <w:bCs/>
          <w:snapToGrid w:val="0"/>
          <w:color w:val="auto"/>
          <w:kern w:val="0"/>
          <w:szCs w:val="24"/>
        </w:rPr>
        <w:t>2.2.3</w:t>
      </w:r>
      <w:r>
        <w:rPr>
          <w:rFonts w:hint="eastAsia" w:hAnsi="宋体" w:cs="宋体"/>
          <w:snapToGrid w:val="0"/>
          <w:color w:val="auto"/>
          <w:kern w:val="0"/>
          <w:szCs w:val="24"/>
        </w:rPr>
        <w:t xml:space="preserve"> </w:t>
      </w:r>
      <w:r>
        <w:rPr>
          <w:rFonts w:hint="eastAsia" w:hAnsi="宋体" w:cs="宋体"/>
          <w:color w:val="auto"/>
          <w:szCs w:val="24"/>
        </w:rPr>
        <w:t>投标人的企业相关证书到期的，均按该证书的发证机构相关行业主管部门最新文件执行（如自动顺延或资质延续有关事项的通知），投标人必须将相关文件（经核准延续的资质证书或提供了延续申请的相关证明材料，如“三库一平台”提交申请截图、申请回执等）附在该证书后面中，证明在开标日继续有效。</w:t>
      </w:r>
    </w:p>
    <w:p w14:paraId="1E24E622">
      <w:pPr>
        <w:pStyle w:val="24"/>
        <w:wordWrap w:val="0"/>
        <w:adjustRightInd w:val="0"/>
        <w:snapToGrid w:val="0"/>
        <w:spacing w:line="460" w:lineRule="exact"/>
        <w:ind w:firstLine="480"/>
        <w:jc w:val="left"/>
        <w:rPr>
          <w:rFonts w:ascii="宋体" w:hAnsi="宋体" w:cs="宋体"/>
          <w:snapToGrid w:val="0"/>
          <w:color w:val="auto"/>
          <w:kern w:val="0"/>
          <w:sz w:val="24"/>
        </w:rPr>
      </w:pPr>
      <w:r>
        <w:rPr>
          <w:rFonts w:hint="eastAsia" w:ascii="宋体" w:hAnsi="宋体" w:cs="宋体"/>
          <w:b/>
          <w:bCs/>
          <w:snapToGrid w:val="0"/>
          <w:color w:val="auto"/>
          <w:kern w:val="0"/>
          <w:sz w:val="24"/>
        </w:rPr>
        <w:t>2.3</w:t>
      </w:r>
      <w:r>
        <w:rPr>
          <w:rFonts w:hint="eastAsia" w:ascii="宋体" w:hAnsi="宋体" w:cs="宋体"/>
          <w:snapToGrid w:val="0"/>
          <w:color w:val="auto"/>
          <w:kern w:val="0"/>
          <w:sz w:val="24"/>
        </w:rPr>
        <w:t xml:space="preserve"> 相关人员要求</w:t>
      </w:r>
    </w:p>
    <w:p w14:paraId="388C70A5">
      <w:pPr>
        <w:pStyle w:val="24"/>
        <w:wordWrap w:val="0"/>
        <w:adjustRightInd w:val="0"/>
        <w:snapToGrid w:val="0"/>
        <w:spacing w:line="460" w:lineRule="exact"/>
        <w:ind w:firstLine="480"/>
        <w:jc w:val="left"/>
        <w:rPr>
          <w:rFonts w:ascii="宋体" w:hAnsi="宋体" w:cs="宋体"/>
          <w:snapToGrid w:val="0"/>
          <w:color w:val="auto"/>
          <w:kern w:val="0"/>
          <w:sz w:val="24"/>
        </w:rPr>
      </w:pPr>
      <w:r>
        <w:rPr>
          <w:rFonts w:hint="eastAsia" w:ascii="宋体" w:hAnsi="宋体" w:cs="宋体"/>
          <w:b/>
          <w:bCs/>
          <w:snapToGrid w:val="0"/>
          <w:color w:val="auto"/>
          <w:kern w:val="0"/>
          <w:sz w:val="24"/>
        </w:rPr>
        <w:t>2.3.1</w:t>
      </w:r>
      <w:r>
        <w:rPr>
          <w:rFonts w:hint="eastAsia" w:ascii="宋体" w:hAnsi="宋体" w:cs="宋体"/>
          <w:snapToGrid w:val="0"/>
          <w:color w:val="auto"/>
          <w:kern w:val="0"/>
          <w:sz w:val="24"/>
        </w:rPr>
        <w:t xml:space="preserve"> 投标人拟派总监理工程师为市政公用工程专业注册监理工程师，应持有国家住建部印发的有效注册证书，其担任总监理工程师职务的其他在施（包括已中标未开工、已开工未竣工）建设工程项目不得超过</w:t>
      </w:r>
      <w:r>
        <w:rPr>
          <w:rFonts w:hint="eastAsia" w:ascii="宋体" w:hAnsi="宋体" w:cs="宋体"/>
          <w:snapToGrid w:val="0"/>
          <w:color w:val="auto"/>
          <w:kern w:val="0"/>
          <w:sz w:val="24"/>
          <w:u w:val="single"/>
        </w:rPr>
        <w:t xml:space="preserve"> 2 </w:t>
      </w:r>
      <w:r>
        <w:rPr>
          <w:rFonts w:hint="eastAsia" w:ascii="宋体" w:hAnsi="宋体" w:cs="宋体"/>
          <w:snapToGrid w:val="0"/>
          <w:color w:val="auto"/>
          <w:kern w:val="0"/>
          <w:sz w:val="24"/>
        </w:rPr>
        <w:t>个。</w:t>
      </w:r>
    </w:p>
    <w:p w14:paraId="4AAB70D1">
      <w:pPr>
        <w:pStyle w:val="24"/>
        <w:wordWrap w:val="0"/>
        <w:adjustRightInd w:val="0"/>
        <w:snapToGrid w:val="0"/>
        <w:spacing w:line="460" w:lineRule="exact"/>
        <w:ind w:firstLine="480"/>
        <w:jc w:val="left"/>
        <w:rPr>
          <w:rFonts w:ascii="宋体" w:hAnsi="宋体" w:cs="宋体"/>
          <w:snapToGrid w:val="0"/>
          <w:color w:val="auto"/>
          <w:kern w:val="0"/>
          <w:sz w:val="24"/>
        </w:rPr>
      </w:pPr>
      <w:r>
        <w:rPr>
          <w:rFonts w:hint="eastAsia" w:ascii="宋体" w:hAnsi="宋体" w:cs="宋体"/>
          <w:snapToGrid w:val="0"/>
          <w:color w:val="auto"/>
          <w:kern w:val="0"/>
          <w:sz w:val="24"/>
        </w:rPr>
        <w:t>拟派总监理工程师现阶段有担任其他在施建设工程项目总监理工程师职务的，须得到任职项目建设单位书面同意后方可担任本招标项目总监理工程师。</w:t>
      </w:r>
    </w:p>
    <w:p w14:paraId="41335CCA">
      <w:pPr>
        <w:pStyle w:val="24"/>
        <w:wordWrap w:val="0"/>
        <w:adjustRightInd w:val="0"/>
        <w:snapToGrid w:val="0"/>
        <w:spacing w:line="460" w:lineRule="exact"/>
        <w:ind w:firstLine="482" w:firstLineChars="200"/>
        <w:jc w:val="left"/>
        <w:rPr>
          <w:rFonts w:ascii="宋体" w:hAnsi="宋体" w:cs="宋体"/>
          <w:snapToGrid w:val="0"/>
          <w:color w:val="auto"/>
          <w:kern w:val="0"/>
          <w:sz w:val="24"/>
        </w:rPr>
      </w:pPr>
      <w:r>
        <w:rPr>
          <w:rFonts w:hint="eastAsia" w:ascii="宋体" w:hAnsi="宋体" w:cs="宋体"/>
          <w:b/>
          <w:bCs/>
          <w:snapToGrid w:val="0"/>
          <w:color w:val="auto"/>
          <w:kern w:val="0"/>
          <w:sz w:val="24"/>
        </w:rPr>
        <w:t>2.3.2</w:t>
      </w:r>
      <w:r>
        <w:rPr>
          <w:rFonts w:hint="eastAsia" w:ascii="宋体" w:hAnsi="宋体" w:cs="宋体"/>
          <w:snapToGrid w:val="0"/>
          <w:color w:val="auto"/>
          <w:kern w:val="0"/>
          <w:sz w:val="24"/>
        </w:rPr>
        <w:t xml:space="preserve"> 投标人与其拟派往本项目监理机构的所有人员之间必须具备合法、唯一的劳动聘用关系。拟派人员中具备注册执业资格的，其注册单位须与投标人保持一致。</w:t>
      </w:r>
    </w:p>
    <w:p w14:paraId="4A8DC8D5">
      <w:pPr>
        <w:pStyle w:val="24"/>
        <w:wordWrap w:val="0"/>
        <w:adjustRightInd w:val="0"/>
        <w:snapToGrid w:val="0"/>
        <w:spacing w:line="460" w:lineRule="exact"/>
        <w:ind w:firstLine="480"/>
        <w:jc w:val="left"/>
        <w:rPr>
          <w:rFonts w:ascii="宋体" w:hAnsi="宋体" w:cs="宋体"/>
          <w:snapToGrid w:val="0"/>
          <w:color w:val="auto"/>
          <w:kern w:val="0"/>
          <w:sz w:val="24"/>
        </w:rPr>
      </w:pPr>
      <w:r>
        <w:rPr>
          <w:rFonts w:hint="eastAsia" w:ascii="宋体" w:hAnsi="宋体" w:cs="宋体"/>
          <w:b/>
          <w:bCs/>
          <w:snapToGrid w:val="0"/>
          <w:color w:val="auto"/>
          <w:kern w:val="0"/>
          <w:sz w:val="24"/>
        </w:rPr>
        <w:t>2.4</w:t>
      </w:r>
      <w:r>
        <w:rPr>
          <w:rFonts w:hint="eastAsia" w:ascii="宋体" w:hAnsi="宋体" w:cs="宋体"/>
          <w:snapToGrid w:val="0"/>
          <w:color w:val="auto"/>
          <w:kern w:val="0"/>
          <w:sz w:val="24"/>
        </w:rPr>
        <w:t xml:space="preserve"> 禁止投标条款</w:t>
      </w:r>
    </w:p>
    <w:p w14:paraId="01CF6609">
      <w:pPr>
        <w:pStyle w:val="24"/>
        <w:wordWrap w:val="0"/>
        <w:adjustRightInd w:val="0"/>
        <w:snapToGrid w:val="0"/>
        <w:spacing w:line="460" w:lineRule="exact"/>
        <w:ind w:firstLine="480"/>
        <w:jc w:val="left"/>
        <w:rPr>
          <w:rFonts w:ascii="宋体" w:hAnsi="宋体" w:cs="宋体"/>
          <w:snapToGrid w:val="0"/>
          <w:color w:val="auto"/>
          <w:kern w:val="0"/>
          <w:sz w:val="24"/>
        </w:rPr>
      </w:pPr>
      <w:r>
        <w:rPr>
          <w:rFonts w:hint="eastAsia" w:ascii="宋体" w:hAnsi="宋体" w:cs="宋体"/>
          <w:b/>
          <w:bCs/>
          <w:snapToGrid w:val="0"/>
          <w:color w:val="auto"/>
          <w:kern w:val="0"/>
          <w:sz w:val="24"/>
        </w:rPr>
        <w:t>2.4.1</w:t>
      </w:r>
      <w:r>
        <w:rPr>
          <w:rFonts w:hint="eastAsia" w:ascii="宋体" w:hAnsi="宋体" w:cs="宋体"/>
          <w:snapToGrid w:val="0"/>
          <w:color w:val="auto"/>
          <w:kern w:val="0"/>
          <w:sz w:val="24"/>
        </w:rPr>
        <w:t xml:space="preserve"> 投标人不得存在下列情形之一：</w:t>
      </w:r>
    </w:p>
    <w:p w14:paraId="28C2B56D">
      <w:pPr>
        <w:pStyle w:val="24"/>
        <w:wordWrap w:val="0"/>
        <w:adjustRightInd w:val="0"/>
        <w:snapToGrid w:val="0"/>
        <w:spacing w:line="460" w:lineRule="exact"/>
        <w:ind w:firstLine="480"/>
        <w:jc w:val="left"/>
        <w:rPr>
          <w:rFonts w:ascii="宋体" w:hAnsi="宋体" w:cs="宋体"/>
          <w:snapToGrid w:val="0"/>
          <w:color w:val="auto"/>
          <w:kern w:val="0"/>
          <w:sz w:val="24"/>
        </w:rPr>
      </w:pPr>
      <w:r>
        <w:rPr>
          <w:rFonts w:hint="eastAsia" w:ascii="宋体" w:hAnsi="宋体" w:cs="宋体"/>
          <w:snapToGrid w:val="0"/>
          <w:color w:val="auto"/>
          <w:kern w:val="0"/>
          <w:sz w:val="24"/>
        </w:rPr>
        <w:t>（1）为招标人不具有独立法人资格的附属机构（单位）；</w:t>
      </w:r>
    </w:p>
    <w:p w14:paraId="1B796AAC">
      <w:pPr>
        <w:pStyle w:val="24"/>
        <w:wordWrap w:val="0"/>
        <w:adjustRightInd w:val="0"/>
        <w:snapToGrid w:val="0"/>
        <w:spacing w:line="460" w:lineRule="exact"/>
        <w:ind w:firstLine="480"/>
        <w:jc w:val="left"/>
        <w:rPr>
          <w:rFonts w:ascii="宋体" w:hAnsi="宋体" w:cs="宋体"/>
          <w:snapToGrid w:val="0"/>
          <w:color w:val="auto"/>
          <w:kern w:val="0"/>
          <w:sz w:val="24"/>
        </w:rPr>
      </w:pPr>
      <w:r>
        <w:rPr>
          <w:rFonts w:hint="eastAsia" w:ascii="宋体" w:hAnsi="宋体" w:cs="宋体"/>
          <w:snapToGrid w:val="0"/>
          <w:color w:val="auto"/>
          <w:kern w:val="0"/>
          <w:sz w:val="24"/>
        </w:rPr>
        <w:t>（2）与招标人存在利害关系且可能影响招标公正性；</w:t>
      </w:r>
    </w:p>
    <w:p w14:paraId="05EF6C52">
      <w:pPr>
        <w:pStyle w:val="24"/>
        <w:wordWrap w:val="0"/>
        <w:adjustRightInd w:val="0"/>
        <w:snapToGrid w:val="0"/>
        <w:spacing w:line="460" w:lineRule="exact"/>
        <w:ind w:firstLine="480"/>
        <w:jc w:val="left"/>
        <w:rPr>
          <w:rFonts w:ascii="宋体" w:hAnsi="宋体" w:cs="宋体"/>
          <w:snapToGrid w:val="0"/>
          <w:color w:val="auto"/>
          <w:kern w:val="0"/>
          <w:sz w:val="24"/>
        </w:rPr>
      </w:pPr>
      <w:r>
        <w:rPr>
          <w:rFonts w:hint="eastAsia" w:ascii="宋体" w:hAnsi="宋体" w:cs="宋体"/>
          <w:snapToGrid w:val="0"/>
          <w:color w:val="auto"/>
          <w:kern w:val="0"/>
          <w:sz w:val="24"/>
        </w:rPr>
        <w:t>（3）与本招标项目的其他投标人为同一个单位负责人；</w:t>
      </w:r>
    </w:p>
    <w:p w14:paraId="6D77514A">
      <w:pPr>
        <w:pStyle w:val="24"/>
        <w:wordWrap w:val="0"/>
        <w:adjustRightInd w:val="0"/>
        <w:snapToGrid w:val="0"/>
        <w:spacing w:line="460" w:lineRule="exact"/>
        <w:ind w:firstLine="480"/>
        <w:jc w:val="left"/>
        <w:rPr>
          <w:rFonts w:ascii="宋体" w:hAnsi="宋体" w:cs="宋体"/>
          <w:snapToGrid w:val="0"/>
          <w:color w:val="auto"/>
          <w:kern w:val="0"/>
          <w:sz w:val="24"/>
        </w:rPr>
      </w:pPr>
      <w:r>
        <w:rPr>
          <w:rFonts w:hint="eastAsia" w:ascii="宋体" w:hAnsi="宋体" w:cs="宋体"/>
          <w:snapToGrid w:val="0"/>
          <w:color w:val="auto"/>
          <w:kern w:val="0"/>
          <w:sz w:val="24"/>
        </w:rPr>
        <w:t>（4）与本招标项目的其他投标人存在控股、管理关系；</w:t>
      </w:r>
    </w:p>
    <w:p w14:paraId="40F3B9AF">
      <w:pPr>
        <w:pStyle w:val="24"/>
        <w:wordWrap w:val="0"/>
        <w:adjustRightInd w:val="0"/>
        <w:snapToGrid w:val="0"/>
        <w:spacing w:line="460" w:lineRule="exact"/>
        <w:ind w:firstLine="480"/>
        <w:jc w:val="left"/>
        <w:rPr>
          <w:rFonts w:ascii="宋体" w:hAnsi="宋体" w:cs="宋体"/>
          <w:snapToGrid w:val="0"/>
          <w:color w:val="auto"/>
          <w:kern w:val="0"/>
          <w:sz w:val="24"/>
        </w:rPr>
      </w:pPr>
      <w:r>
        <w:rPr>
          <w:rFonts w:hint="eastAsia" w:ascii="宋体" w:hAnsi="宋体" w:cs="宋体"/>
          <w:snapToGrid w:val="0"/>
          <w:color w:val="auto"/>
          <w:kern w:val="0"/>
          <w:sz w:val="24"/>
        </w:rPr>
        <w:t>（5）为本招标项目的代建人；</w:t>
      </w:r>
    </w:p>
    <w:p w14:paraId="0B7A699C">
      <w:pPr>
        <w:pStyle w:val="24"/>
        <w:wordWrap w:val="0"/>
        <w:adjustRightInd w:val="0"/>
        <w:snapToGrid w:val="0"/>
        <w:spacing w:line="460" w:lineRule="exact"/>
        <w:ind w:firstLine="480"/>
        <w:jc w:val="left"/>
        <w:rPr>
          <w:rFonts w:ascii="宋体" w:hAnsi="宋体" w:cs="宋体"/>
          <w:snapToGrid w:val="0"/>
          <w:color w:val="auto"/>
          <w:kern w:val="0"/>
          <w:sz w:val="24"/>
        </w:rPr>
      </w:pPr>
      <w:r>
        <w:rPr>
          <w:rFonts w:hint="eastAsia" w:ascii="宋体" w:hAnsi="宋体" w:cs="宋体"/>
          <w:snapToGrid w:val="0"/>
          <w:color w:val="auto"/>
          <w:kern w:val="0"/>
          <w:sz w:val="24"/>
        </w:rPr>
        <w:t>（6）为本招标项目的招标代理机构；</w:t>
      </w:r>
    </w:p>
    <w:p w14:paraId="7CF7F87C">
      <w:pPr>
        <w:pStyle w:val="24"/>
        <w:wordWrap w:val="0"/>
        <w:adjustRightInd w:val="0"/>
        <w:snapToGrid w:val="0"/>
        <w:spacing w:line="460" w:lineRule="exact"/>
        <w:ind w:firstLine="480"/>
        <w:jc w:val="left"/>
        <w:rPr>
          <w:rFonts w:ascii="宋体" w:hAnsi="宋体" w:cs="宋体"/>
          <w:snapToGrid w:val="0"/>
          <w:color w:val="auto"/>
          <w:kern w:val="0"/>
          <w:sz w:val="24"/>
        </w:rPr>
      </w:pPr>
      <w:r>
        <w:rPr>
          <w:rFonts w:hint="eastAsia" w:ascii="宋体" w:hAnsi="宋体" w:cs="宋体"/>
          <w:snapToGrid w:val="0"/>
          <w:color w:val="auto"/>
          <w:kern w:val="0"/>
          <w:sz w:val="24"/>
        </w:rPr>
        <w:t>（7）与本招标项目的代建人或招标代理机构同为一个法定代表人；</w:t>
      </w:r>
    </w:p>
    <w:p w14:paraId="3537CD31">
      <w:pPr>
        <w:pStyle w:val="24"/>
        <w:wordWrap w:val="0"/>
        <w:adjustRightInd w:val="0"/>
        <w:snapToGrid w:val="0"/>
        <w:spacing w:line="460" w:lineRule="exact"/>
        <w:ind w:firstLine="480"/>
        <w:jc w:val="left"/>
        <w:rPr>
          <w:rFonts w:ascii="宋体" w:hAnsi="宋体" w:cs="宋体"/>
          <w:snapToGrid w:val="0"/>
          <w:color w:val="auto"/>
          <w:kern w:val="0"/>
          <w:sz w:val="24"/>
        </w:rPr>
      </w:pPr>
      <w:r>
        <w:rPr>
          <w:rFonts w:hint="eastAsia" w:ascii="宋体" w:hAnsi="宋体" w:cs="宋体"/>
          <w:snapToGrid w:val="0"/>
          <w:color w:val="auto"/>
          <w:kern w:val="0"/>
          <w:sz w:val="24"/>
        </w:rPr>
        <w:t>（8）与本招标项目的代建人或招标代理机构存在控股或参股关系；</w:t>
      </w:r>
    </w:p>
    <w:p w14:paraId="2D351FF2">
      <w:pPr>
        <w:pStyle w:val="24"/>
        <w:wordWrap w:val="0"/>
        <w:adjustRightInd w:val="0"/>
        <w:snapToGrid w:val="0"/>
        <w:spacing w:line="460" w:lineRule="exact"/>
        <w:ind w:firstLine="480"/>
        <w:jc w:val="left"/>
        <w:rPr>
          <w:rFonts w:ascii="宋体" w:hAnsi="宋体" w:cs="宋体"/>
          <w:snapToGrid w:val="0"/>
          <w:color w:val="auto"/>
          <w:kern w:val="0"/>
          <w:sz w:val="24"/>
        </w:rPr>
      </w:pPr>
      <w:r>
        <w:rPr>
          <w:rFonts w:hint="eastAsia" w:ascii="宋体" w:hAnsi="宋体" w:cs="宋体"/>
          <w:snapToGrid w:val="0"/>
          <w:color w:val="auto"/>
          <w:kern w:val="0"/>
          <w:sz w:val="24"/>
        </w:rPr>
        <w:t>（9）与本招标项目的</w:t>
      </w:r>
      <w:r>
        <w:rPr>
          <w:rFonts w:hint="eastAsia" w:ascii="宋体" w:hAnsi="宋体" w:cs="宋体"/>
          <w:snapToGrid w:val="0"/>
          <w:color w:val="auto"/>
          <w:kern w:val="0"/>
          <w:sz w:val="24"/>
          <w:lang w:eastAsia="zh-CN"/>
        </w:rPr>
        <w:t>施工单位</w:t>
      </w:r>
      <w:r>
        <w:rPr>
          <w:rFonts w:hint="eastAsia" w:ascii="宋体" w:hAnsi="宋体" w:cs="宋体"/>
          <w:snapToGrid w:val="0"/>
          <w:color w:val="auto"/>
          <w:kern w:val="0"/>
          <w:sz w:val="24"/>
        </w:rPr>
        <w:t>以及建筑材料、建筑构配件和设备供应商有隶属关系或者其他利害关系；</w:t>
      </w:r>
    </w:p>
    <w:p w14:paraId="09394AAE">
      <w:pPr>
        <w:pStyle w:val="24"/>
        <w:wordWrap w:val="0"/>
        <w:adjustRightInd w:val="0"/>
        <w:snapToGrid w:val="0"/>
        <w:spacing w:line="460" w:lineRule="exact"/>
        <w:ind w:firstLine="480"/>
        <w:jc w:val="left"/>
        <w:rPr>
          <w:rFonts w:ascii="宋体" w:hAnsi="宋体" w:cs="宋体"/>
          <w:snapToGrid w:val="0"/>
          <w:color w:val="auto"/>
          <w:kern w:val="0"/>
          <w:sz w:val="24"/>
        </w:rPr>
      </w:pPr>
      <w:r>
        <w:rPr>
          <w:rFonts w:hint="eastAsia" w:ascii="宋体" w:hAnsi="宋体" w:cs="宋体"/>
          <w:snapToGrid w:val="0"/>
          <w:color w:val="auto"/>
          <w:kern w:val="0"/>
          <w:sz w:val="24"/>
        </w:rPr>
        <w:t>（10）被依法暂停或者取消投标资格；</w:t>
      </w:r>
    </w:p>
    <w:p w14:paraId="3F4454D3">
      <w:pPr>
        <w:pStyle w:val="24"/>
        <w:wordWrap w:val="0"/>
        <w:adjustRightInd w:val="0"/>
        <w:snapToGrid w:val="0"/>
        <w:spacing w:line="460" w:lineRule="exact"/>
        <w:ind w:firstLine="480"/>
        <w:jc w:val="left"/>
        <w:rPr>
          <w:rFonts w:ascii="宋体" w:hAnsi="宋体" w:cs="宋体"/>
          <w:snapToGrid w:val="0"/>
          <w:color w:val="auto"/>
          <w:kern w:val="0"/>
          <w:sz w:val="24"/>
        </w:rPr>
      </w:pPr>
      <w:r>
        <w:rPr>
          <w:rFonts w:hint="eastAsia" w:ascii="宋体" w:hAnsi="宋体" w:cs="宋体"/>
          <w:snapToGrid w:val="0"/>
          <w:color w:val="auto"/>
          <w:kern w:val="0"/>
          <w:sz w:val="24"/>
        </w:rPr>
        <w:t>（11）被责令停产停业、暂扣或者吊销许可证、暂扣或者吊销执照；</w:t>
      </w:r>
    </w:p>
    <w:p w14:paraId="24C82288">
      <w:pPr>
        <w:pStyle w:val="24"/>
        <w:wordWrap w:val="0"/>
        <w:adjustRightInd w:val="0"/>
        <w:snapToGrid w:val="0"/>
        <w:spacing w:line="460" w:lineRule="exact"/>
        <w:ind w:firstLine="480"/>
        <w:jc w:val="left"/>
        <w:rPr>
          <w:rFonts w:ascii="宋体" w:hAnsi="宋体" w:cs="宋体"/>
          <w:snapToGrid w:val="0"/>
          <w:color w:val="auto"/>
          <w:kern w:val="0"/>
          <w:sz w:val="24"/>
        </w:rPr>
      </w:pPr>
      <w:r>
        <w:rPr>
          <w:rFonts w:hint="eastAsia" w:ascii="宋体" w:hAnsi="宋体" w:cs="宋体"/>
          <w:snapToGrid w:val="0"/>
          <w:color w:val="auto"/>
          <w:kern w:val="0"/>
          <w:sz w:val="24"/>
        </w:rPr>
        <w:t>（12）进入清算程序，或被宣告破产，或其他丧失履约能力的情形；</w:t>
      </w:r>
    </w:p>
    <w:p w14:paraId="37F2342B">
      <w:pPr>
        <w:pStyle w:val="24"/>
        <w:wordWrap w:val="0"/>
        <w:adjustRightInd w:val="0"/>
        <w:snapToGrid w:val="0"/>
        <w:spacing w:line="460" w:lineRule="exact"/>
        <w:ind w:firstLine="480"/>
        <w:jc w:val="left"/>
        <w:rPr>
          <w:rFonts w:ascii="宋体" w:hAnsi="宋体" w:cs="宋体"/>
          <w:snapToGrid w:val="0"/>
          <w:color w:val="auto"/>
          <w:kern w:val="0"/>
          <w:sz w:val="24"/>
        </w:rPr>
      </w:pPr>
      <w:r>
        <w:rPr>
          <w:rFonts w:hint="eastAsia" w:ascii="宋体" w:hAnsi="宋体" w:cs="宋体"/>
          <w:snapToGrid w:val="0"/>
          <w:color w:val="auto"/>
          <w:kern w:val="0"/>
          <w:sz w:val="24"/>
        </w:rPr>
        <w:t>（13）在最近三年内发生重大监理质量问题（以相关行业主管部门的行政处罚决定或司法机关出具的有关法律文书为准）；</w:t>
      </w:r>
    </w:p>
    <w:p w14:paraId="54B34341">
      <w:pPr>
        <w:pStyle w:val="24"/>
        <w:wordWrap w:val="0"/>
        <w:adjustRightInd w:val="0"/>
        <w:snapToGrid w:val="0"/>
        <w:spacing w:line="460" w:lineRule="exact"/>
        <w:ind w:firstLine="480" w:firstLineChars="200"/>
        <w:jc w:val="left"/>
        <w:rPr>
          <w:rFonts w:ascii="宋体" w:hAnsi="宋体" w:cs="宋体"/>
          <w:snapToGrid w:val="0"/>
          <w:color w:val="auto"/>
          <w:kern w:val="0"/>
          <w:sz w:val="24"/>
        </w:rPr>
      </w:pPr>
      <w:r>
        <w:rPr>
          <w:rFonts w:hint="eastAsia" w:ascii="宋体" w:hAnsi="宋体" w:cs="宋体"/>
          <w:snapToGrid w:val="0"/>
          <w:color w:val="auto"/>
          <w:kern w:val="0"/>
          <w:sz w:val="24"/>
        </w:rPr>
        <w:t>（14）</w:t>
      </w:r>
      <w:r>
        <w:rPr>
          <w:rFonts w:hint="eastAsia" w:ascii="宋体" w:hAnsi="宋体" w:cs="宋体"/>
          <w:color w:val="auto"/>
          <w:kern w:val="0"/>
          <w:sz w:val="24"/>
        </w:rPr>
        <w:t>被“信用中国”网站（https://www.creditchina.gov.cn）发布的《法人和非法人组织公共信用信息报告》列为严重失信主体名单的</w:t>
      </w:r>
      <w:r>
        <w:rPr>
          <w:rFonts w:hint="eastAsia" w:ascii="宋体" w:hAnsi="宋体" w:cs="宋体"/>
          <w:snapToGrid w:val="0"/>
          <w:color w:val="auto"/>
          <w:kern w:val="0"/>
          <w:sz w:val="24"/>
        </w:rPr>
        <w:t>。</w:t>
      </w:r>
    </w:p>
    <w:p w14:paraId="64E2A908">
      <w:pPr>
        <w:pStyle w:val="24"/>
        <w:wordWrap w:val="0"/>
        <w:adjustRightInd w:val="0"/>
        <w:snapToGrid w:val="0"/>
        <w:spacing w:line="460" w:lineRule="exact"/>
        <w:ind w:firstLine="482" w:firstLineChars="200"/>
        <w:jc w:val="left"/>
        <w:rPr>
          <w:rFonts w:ascii="宋体" w:hAnsi="宋体" w:cs="宋体"/>
          <w:snapToGrid w:val="0"/>
          <w:color w:val="auto"/>
          <w:kern w:val="0"/>
          <w:sz w:val="24"/>
        </w:rPr>
      </w:pPr>
      <w:r>
        <w:rPr>
          <w:rFonts w:hint="eastAsia" w:ascii="宋体" w:hAnsi="宋体" w:cs="宋体"/>
          <w:b/>
          <w:bCs/>
          <w:snapToGrid w:val="0"/>
          <w:color w:val="auto"/>
          <w:kern w:val="0"/>
          <w:sz w:val="24"/>
        </w:rPr>
        <w:t>2.4.2</w:t>
      </w:r>
      <w:r>
        <w:rPr>
          <w:rFonts w:hint="eastAsia" w:ascii="宋体" w:hAnsi="宋体" w:cs="宋体"/>
          <w:snapToGrid w:val="0"/>
          <w:color w:val="auto"/>
          <w:kern w:val="0"/>
          <w:sz w:val="24"/>
        </w:rPr>
        <w:t xml:space="preserve"> 招标人拒绝以下名单中的单位参加本次投标：</w:t>
      </w:r>
    </w:p>
    <w:tbl>
      <w:tblPr>
        <w:tblStyle w:val="16"/>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4398"/>
        <w:gridCol w:w="3546"/>
      </w:tblGrid>
      <w:tr w14:paraId="54C4F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55" w:type="dxa"/>
            <w:vAlign w:val="center"/>
          </w:tcPr>
          <w:p w14:paraId="59EAEE1B">
            <w:pPr>
              <w:wordWrap w:val="0"/>
              <w:adjustRightInd w:val="0"/>
              <w:snapToGrid w:val="0"/>
              <w:spacing w:line="240" w:lineRule="auto"/>
              <w:jc w:val="center"/>
              <w:rPr>
                <w:rFonts w:hAnsi="宋体" w:cs="宋体"/>
                <w:snapToGrid w:val="0"/>
                <w:color w:val="auto"/>
                <w:kern w:val="0"/>
                <w:szCs w:val="24"/>
              </w:rPr>
            </w:pPr>
            <w:r>
              <w:rPr>
                <w:rFonts w:hint="eastAsia" w:hAnsi="宋体" w:cs="宋体"/>
                <w:snapToGrid w:val="0"/>
                <w:color w:val="auto"/>
                <w:kern w:val="0"/>
                <w:szCs w:val="24"/>
              </w:rPr>
              <w:t>序号</w:t>
            </w:r>
          </w:p>
        </w:tc>
        <w:tc>
          <w:tcPr>
            <w:tcW w:w="4398" w:type="dxa"/>
            <w:vAlign w:val="center"/>
          </w:tcPr>
          <w:p w14:paraId="3F087CC2">
            <w:pPr>
              <w:wordWrap w:val="0"/>
              <w:adjustRightInd w:val="0"/>
              <w:snapToGrid w:val="0"/>
              <w:spacing w:line="240" w:lineRule="auto"/>
              <w:jc w:val="center"/>
              <w:rPr>
                <w:rFonts w:hAnsi="宋体" w:cs="宋体"/>
                <w:snapToGrid w:val="0"/>
                <w:color w:val="auto"/>
                <w:kern w:val="0"/>
                <w:szCs w:val="24"/>
              </w:rPr>
            </w:pPr>
            <w:r>
              <w:rPr>
                <w:rFonts w:hint="eastAsia" w:hAnsi="宋体" w:cs="宋体"/>
                <w:snapToGrid w:val="0"/>
                <w:color w:val="auto"/>
                <w:kern w:val="0"/>
                <w:szCs w:val="24"/>
              </w:rPr>
              <w:t>单位名称</w:t>
            </w:r>
          </w:p>
        </w:tc>
        <w:tc>
          <w:tcPr>
            <w:tcW w:w="3546" w:type="dxa"/>
            <w:vAlign w:val="center"/>
          </w:tcPr>
          <w:p w14:paraId="2080D159">
            <w:pPr>
              <w:wordWrap w:val="0"/>
              <w:adjustRightInd w:val="0"/>
              <w:snapToGrid w:val="0"/>
              <w:spacing w:line="240" w:lineRule="auto"/>
              <w:jc w:val="center"/>
              <w:rPr>
                <w:rFonts w:hAnsi="宋体" w:cs="宋体"/>
                <w:snapToGrid w:val="0"/>
                <w:color w:val="auto"/>
                <w:kern w:val="0"/>
                <w:szCs w:val="24"/>
              </w:rPr>
            </w:pPr>
            <w:r>
              <w:rPr>
                <w:rFonts w:hint="eastAsia" w:hAnsi="宋体" w:cs="宋体"/>
                <w:snapToGrid w:val="0"/>
                <w:color w:val="auto"/>
                <w:kern w:val="0"/>
                <w:szCs w:val="24"/>
              </w:rPr>
              <w:t>拒绝原因</w:t>
            </w:r>
          </w:p>
        </w:tc>
      </w:tr>
      <w:tr w14:paraId="03A26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55" w:type="dxa"/>
            <w:vAlign w:val="center"/>
          </w:tcPr>
          <w:p w14:paraId="003AF703">
            <w:pPr>
              <w:pStyle w:val="24"/>
              <w:wordWrap w:val="0"/>
              <w:adjustRightInd w:val="0"/>
              <w:snapToGrid w:val="0"/>
              <w:jc w:val="center"/>
              <w:rPr>
                <w:rFonts w:hint="eastAsia" w:ascii="宋体" w:hAnsi="宋体" w:eastAsia="宋体" w:cs="宋体"/>
                <w:snapToGrid w:val="0"/>
                <w:color w:val="auto"/>
                <w:kern w:val="0"/>
                <w:sz w:val="24"/>
                <w:lang w:val="en-US" w:eastAsia="zh-CN"/>
              </w:rPr>
            </w:pPr>
            <w:r>
              <w:rPr>
                <w:rFonts w:hint="eastAsia" w:ascii="宋体" w:hAnsi="宋体" w:cs="宋体"/>
                <w:snapToGrid w:val="0"/>
                <w:color w:val="auto"/>
                <w:kern w:val="0"/>
                <w:sz w:val="24"/>
                <w:lang w:val="en-US" w:eastAsia="zh-CN"/>
              </w:rPr>
              <w:t>1</w:t>
            </w:r>
          </w:p>
        </w:tc>
        <w:tc>
          <w:tcPr>
            <w:tcW w:w="4398" w:type="dxa"/>
            <w:vAlign w:val="center"/>
          </w:tcPr>
          <w:p w14:paraId="7411F933">
            <w:pPr>
              <w:pStyle w:val="24"/>
              <w:wordWrap w:val="0"/>
              <w:adjustRightInd w:val="0"/>
              <w:snapToGrid w:val="0"/>
              <w:jc w:val="center"/>
              <w:rPr>
                <w:rFonts w:hint="eastAsia" w:ascii="宋体" w:hAnsi="宋体" w:cs="宋体"/>
                <w:color w:val="auto"/>
                <w:sz w:val="24"/>
              </w:rPr>
            </w:pPr>
            <w:r>
              <w:rPr>
                <w:rFonts w:hint="eastAsia" w:ascii="宋体" w:hAnsi="宋体" w:cs="宋体"/>
                <w:color w:val="auto"/>
                <w:sz w:val="24"/>
                <w:lang w:val="en-US" w:eastAsia="zh-CN"/>
              </w:rPr>
              <w:t>广东翁源经济开发区管理委员会</w:t>
            </w:r>
          </w:p>
        </w:tc>
        <w:tc>
          <w:tcPr>
            <w:tcW w:w="3546" w:type="dxa"/>
            <w:vAlign w:val="center"/>
          </w:tcPr>
          <w:p w14:paraId="02125319">
            <w:pPr>
              <w:pStyle w:val="24"/>
              <w:wordWrap w:val="0"/>
              <w:adjustRightInd w:val="0"/>
              <w:snapToGrid w:val="0"/>
              <w:jc w:val="center"/>
              <w:rPr>
                <w:rFonts w:hint="eastAsia" w:ascii="宋体" w:hAnsi="宋体" w:eastAsia="宋体" w:cs="宋体"/>
                <w:color w:val="auto"/>
                <w:sz w:val="24"/>
                <w:lang w:val="en-US" w:eastAsia="zh-CN"/>
              </w:rPr>
            </w:pPr>
            <w:r>
              <w:rPr>
                <w:rFonts w:hint="eastAsia" w:ascii="宋体" w:hAnsi="宋体" w:cs="宋体"/>
                <w:color w:val="auto"/>
                <w:sz w:val="24"/>
              </w:rPr>
              <w:t>为本招标项目的</w:t>
            </w:r>
            <w:r>
              <w:rPr>
                <w:rFonts w:hint="eastAsia" w:ascii="宋体" w:hAnsi="宋体" w:cs="宋体"/>
                <w:color w:val="auto"/>
                <w:sz w:val="24"/>
                <w:lang w:val="en-US" w:eastAsia="zh-CN"/>
              </w:rPr>
              <w:t>业主</w:t>
            </w:r>
          </w:p>
        </w:tc>
      </w:tr>
      <w:tr w14:paraId="310B2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5" w:type="dxa"/>
            <w:vAlign w:val="center"/>
          </w:tcPr>
          <w:p w14:paraId="157124B8">
            <w:pPr>
              <w:pStyle w:val="24"/>
              <w:wordWrap w:val="0"/>
              <w:adjustRightInd w:val="0"/>
              <w:snapToGrid w:val="0"/>
              <w:jc w:val="center"/>
              <w:rPr>
                <w:rFonts w:ascii="宋体" w:hAnsi="宋体" w:cs="宋体"/>
                <w:snapToGrid w:val="0"/>
                <w:color w:val="auto"/>
                <w:kern w:val="0"/>
                <w:sz w:val="24"/>
              </w:rPr>
            </w:pPr>
            <w:r>
              <w:rPr>
                <w:rFonts w:hint="eastAsia" w:ascii="宋体" w:hAnsi="宋体" w:cs="宋体"/>
                <w:snapToGrid w:val="0"/>
                <w:color w:val="auto"/>
                <w:kern w:val="0"/>
                <w:sz w:val="24"/>
              </w:rPr>
              <w:t>2</w:t>
            </w:r>
          </w:p>
        </w:tc>
        <w:tc>
          <w:tcPr>
            <w:tcW w:w="4398" w:type="dxa"/>
            <w:vAlign w:val="center"/>
          </w:tcPr>
          <w:p w14:paraId="1082FD9B">
            <w:pPr>
              <w:pStyle w:val="24"/>
              <w:wordWrap w:val="0"/>
              <w:adjustRightInd w:val="0"/>
              <w:snapToGrid w:val="0"/>
              <w:jc w:val="center"/>
              <w:rPr>
                <w:rFonts w:hint="eastAsia" w:ascii="宋体" w:hAnsi="宋体" w:eastAsia="宋体" w:cs="宋体"/>
                <w:color w:val="auto"/>
                <w:sz w:val="24"/>
                <w:lang w:eastAsia="zh-CN"/>
              </w:rPr>
            </w:pPr>
            <w:r>
              <w:rPr>
                <w:rFonts w:hint="eastAsia" w:ascii="宋体" w:hAnsi="宋体" w:cs="宋体"/>
                <w:snapToGrid w:val="0"/>
                <w:color w:val="auto"/>
                <w:kern w:val="0"/>
                <w:sz w:val="24"/>
                <w:szCs w:val="24"/>
                <w:highlight w:val="none"/>
                <w:lang w:eastAsia="zh-CN"/>
              </w:rPr>
              <w:t>翁源县公共资产管理中心</w:t>
            </w:r>
          </w:p>
        </w:tc>
        <w:tc>
          <w:tcPr>
            <w:tcW w:w="3546" w:type="dxa"/>
            <w:vAlign w:val="center"/>
          </w:tcPr>
          <w:p w14:paraId="78E37718">
            <w:pPr>
              <w:pStyle w:val="24"/>
              <w:wordWrap w:val="0"/>
              <w:adjustRightInd w:val="0"/>
              <w:snapToGrid w:val="0"/>
              <w:jc w:val="center"/>
              <w:rPr>
                <w:rFonts w:ascii="宋体" w:hAnsi="宋体" w:cs="宋体"/>
                <w:color w:val="auto"/>
                <w:sz w:val="24"/>
              </w:rPr>
            </w:pPr>
            <w:r>
              <w:rPr>
                <w:rFonts w:hint="eastAsia" w:ascii="宋体" w:hAnsi="宋体" w:cs="宋体"/>
                <w:color w:val="auto"/>
                <w:sz w:val="24"/>
              </w:rPr>
              <w:t>为本招标项目的招标人</w:t>
            </w:r>
          </w:p>
        </w:tc>
      </w:tr>
      <w:tr w14:paraId="62CB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55" w:type="dxa"/>
            <w:vAlign w:val="center"/>
          </w:tcPr>
          <w:p w14:paraId="232BD533">
            <w:pPr>
              <w:pStyle w:val="24"/>
              <w:wordWrap w:val="0"/>
              <w:adjustRightInd w:val="0"/>
              <w:snapToGrid w:val="0"/>
              <w:jc w:val="center"/>
              <w:rPr>
                <w:rFonts w:ascii="宋体" w:hAnsi="宋体" w:cs="宋体"/>
                <w:snapToGrid w:val="0"/>
                <w:color w:val="auto"/>
                <w:kern w:val="0"/>
                <w:sz w:val="24"/>
              </w:rPr>
            </w:pPr>
            <w:r>
              <w:rPr>
                <w:rFonts w:hint="eastAsia" w:ascii="宋体" w:hAnsi="宋体" w:cs="宋体"/>
                <w:snapToGrid w:val="0"/>
                <w:color w:val="auto"/>
                <w:kern w:val="0"/>
                <w:sz w:val="24"/>
              </w:rPr>
              <w:t>3</w:t>
            </w:r>
          </w:p>
        </w:tc>
        <w:tc>
          <w:tcPr>
            <w:tcW w:w="4398" w:type="dxa"/>
            <w:vAlign w:val="center"/>
          </w:tcPr>
          <w:p w14:paraId="7242C732">
            <w:pPr>
              <w:pStyle w:val="24"/>
              <w:wordWrap w:val="0"/>
              <w:adjustRightInd w:val="0"/>
              <w:snapToGrid w:val="0"/>
              <w:jc w:val="center"/>
              <w:rPr>
                <w:rFonts w:hint="eastAsia" w:ascii="宋体" w:hAnsi="宋体" w:eastAsia="宋体" w:cs="宋体"/>
                <w:color w:val="auto"/>
                <w:sz w:val="24"/>
                <w:lang w:eastAsia="zh-CN"/>
              </w:rPr>
            </w:pPr>
            <w:r>
              <w:rPr>
                <w:rFonts w:hint="eastAsia" w:ascii="宋体" w:hAnsi="宋体" w:cs="宋体"/>
                <w:color w:val="auto"/>
                <w:sz w:val="24"/>
                <w:lang w:eastAsia="zh-CN"/>
              </w:rPr>
              <w:t>韶关市嘉泓工程咨询有限公司</w:t>
            </w:r>
          </w:p>
        </w:tc>
        <w:tc>
          <w:tcPr>
            <w:tcW w:w="3546" w:type="dxa"/>
            <w:vAlign w:val="center"/>
          </w:tcPr>
          <w:p w14:paraId="576CDEED">
            <w:pPr>
              <w:pStyle w:val="24"/>
              <w:wordWrap w:val="0"/>
              <w:adjustRightInd w:val="0"/>
              <w:snapToGrid w:val="0"/>
              <w:jc w:val="center"/>
              <w:rPr>
                <w:rFonts w:ascii="宋体" w:hAnsi="宋体" w:cs="宋体"/>
                <w:color w:val="auto"/>
                <w:sz w:val="24"/>
              </w:rPr>
            </w:pPr>
            <w:r>
              <w:rPr>
                <w:rFonts w:hint="eastAsia" w:ascii="宋体" w:hAnsi="宋体" w:cs="宋体"/>
                <w:color w:val="auto"/>
                <w:sz w:val="24"/>
              </w:rPr>
              <w:t>为本招标项目的招标代理机构</w:t>
            </w:r>
          </w:p>
        </w:tc>
      </w:tr>
      <w:tr w14:paraId="12F3A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55" w:type="dxa"/>
            <w:vAlign w:val="center"/>
          </w:tcPr>
          <w:p w14:paraId="690CF2DD">
            <w:pPr>
              <w:pStyle w:val="24"/>
              <w:wordWrap w:val="0"/>
              <w:adjustRightInd w:val="0"/>
              <w:snapToGrid w:val="0"/>
              <w:jc w:val="center"/>
              <w:rPr>
                <w:rFonts w:ascii="宋体" w:hAnsi="宋体" w:cs="宋体"/>
                <w:snapToGrid w:val="0"/>
                <w:color w:val="auto"/>
                <w:kern w:val="0"/>
                <w:sz w:val="24"/>
              </w:rPr>
            </w:pPr>
            <w:r>
              <w:rPr>
                <w:rFonts w:hint="eastAsia" w:ascii="宋体" w:hAnsi="宋体" w:cs="宋体"/>
                <w:snapToGrid w:val="0"/>
                <w:color w:val="auto"/>
                <w:kern w:val="0"/>
                <w:sz w:val="24"/>
              </w:rPr>
              <w:t>4</w:t>
            </w:r>
          </w:p>
        </w:tc>
        <w:tc>
          <w:tcPr>
            <w:tcW w:w="4398" w:type="dxa"/>
            <w:vAlign w:val="center"/>
          </w:tcPr>
          <w:p w14:paraId="7422D82E">
            <w:pPr>
              <w:pStyle w:val="24"/>
              <w:wordWrap w:val="0"/>
              <w:adjustRightInd w:val="0"/>
              <w:snapToGrid w:val="0"/>
              <w:jc w:val="center"/>
              <w:rPr>
                <w:rFonts w:hint="eastAsia" w:ascii="宋体" w:hAnsi="宋体" w:eastAsia="宋体" w:cs="宋体"/>
                <w:color w:val="auto"/>
                <w:sz w:val="24"/>
                <w:lang w:eastAsia="zh-CN"/>
              </w:rPr>
            </w:pPr>
            <w:r>
              <w:rPr>
                <w:rFonts w:hint="eastAsia" w:ascii="宋体" w:hAnsi="宋体" w:cs="宋体"/>
                <w:color w:val="auto"/>
                <w:sz w:val="24"/>
                <w:lang w:eastAsia="zh-CN"/>
              </w:rPr>
              <w:t>福建建盛工程管理有限公司</w:t>
            </w:r>
          </w:p>
        </w:tc>
        <w:tc>
          <w:tcPr>
            <w:tcW w:w="3546" w:type="dxa"/>
            <w:vAlign w:val="center"/>
          </w:tcPr>
          <w:p w14:paraId="47F141D6">
            <w:pPr>
              <w:pStyle w:val="24"/>
              <w:wordWrap w:val="0"/>
              <w:adjustRightInd w:val="0"/>
              <w:snapToGrid w:val="0"/>
              <w:jc w:val="center"/>
              <w:rPr>
                <w:rFonts w:ascii="宋体" w:hAnsi="宋体" w:cs="宋体"/>
                <w:color w:val="auto"/>
                <w:sz w:val="24"/>
              </w:rPr>
            </w:pPr>
            <w:r>
              <w:rPr>
                <w:rFonts w:hint="eastAsia" w:ascii="宋体" w:hAnsi="宋体" w:cs="宋体"/>
                <w:color w:val="auto"/>
                <w:sz w:val="24"/>
              </w:rPr>
              <w:t>为本项目的可研编制单位</w:t>
            </w:r>
          </w:p>
        </w:tc>
      </w:tr>
      <w:tr w14:paraId="48421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5" w:type="dxa"/>
            <w:vAlign w:val="center"/>
          </w:tcPr>
          <w:p w14:paraId="2E885187">
            <w:pPr>
              <w:pStyle w:val="24"/>
              <w:wordWrap w:val="0"/>
              <w:adjustRightInd w:val="0"/>
              <w:snapToGrid w:val="0"/>
              <w:jc w:val="center"/>
              <w:rPr>
                <w:rFonts w:ascii="宋体" w:hAnsi="宋体" w:cs="宋体"/>
                <w:snapToGrid w:val="0"/>
                <w:color w:val="auto"/>
                <w:kern w:val="0"/>
                <w:sz w:val="24"/>
              </w:rPr>
            </w:pPr>
            <w:r>
              <w:rPr>
                <w:rFonts w:hint="eastAsia" w:ascii="宋体" w:hAnsi="宋体" w:cs="宋体"/>
                <w:snapToGrid w:val="0"/>
                <w:color w:val="auto"/>
                <w:kern w:val="0"/>
                <w:sz w:val="24"/>
              </w:rPr>
              <w:t>5</w:t>
            </w:r>
          </w:p>
        </w:tc>
        <w:tc>
          <w:tcPr>
            <w:tcW w:w="4398" w:type="dxa"/>
            <w:vAlign w:val="center"/>
          </w:tcPr>
          <w:p w14:paraId="28BA700F">
            <w:pPr>
              <w:pStyle w:val="24"/>
              <w:wordWrap w:val="0"/>
              <w:adjustRightInd w:val="0"/>
              <w:snapToGrid w:val="0"/>
              <w:jc w:val="center"/>
              <w:rPr>
                <w:rFonts w:ascii="宋体" w:hAnsi="宋体" w:cs="宋体"/>
                <w:color w:val="auto"/>
                <w:sz w:val="24"/>
              </w:rPr>
            </w:pPr>
            <w:r>
              <w:rPr>
                <w:rFonts w:ascii="宋体" w:hAnsi="宋体" w:cs="宋体"/>
                <w:color w:val="auto"/>
                <w:sz w:val="24"/>
              </w:rPr>
              <w:t>广东省华源建设项目管理有限公司</w:t>
            </w:r>
          </w:p>
        </w:tc>
        <w:tc>
          <w:tcPr>
            <w:tcW w:w="3546" w:type="dxa"/>
            <w:vAlign w:val="center"/>
          </w:tcPr>
          <w:p w14:paraId="3B41E425">
            <w:pPr>
              <w:pStyle w:val="24"/>
              <w:wordWrap w:val="0"/>
              <w:adjustRightInd w:val="0"/>
              <w:snapToGrid w:val="0"/>
              <w:jc w:val="center"/>
              <w:rPr>
                <w:rFonts w:ascii="宋体" w:hAnsi="宋体" w:cs="宋体"/>
                <w:color w:val="auto"/>
                <w:sz w:val="24"/>
              </w:rPr>
            </w:pPr>
            <w:r>
              <w:rPr>
                <w:rFonts w:hint="eastAsia" w:ascii="宋体" w:hAnsi="宋体" w:cs="宋体"/>
                <w:color w:val="auto"/>
                <w:sz w:val="24"/>
              </w:rPr>
              <w:t>为本项目的预算编制单位</w:t>
            </w:r>
          </w:p>
        </w:tc>
      </w:tr>
      <w:tr w14:paraId="47AF1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5" w:type="dxa"/>
            <w:vAlign w:val="center"/>
          </w:tcPr>
          <w:p w14:paraId="31EF62A2">
            <w:pPr>
              <w:pStyle w:val="24"/>
              <w:wordWrap w:val="0"/>
              <w:adjustRightInd w:val="0"/>
              <w:snapToGrid w:val="0"/>
              <w:jc w:val="center"/>
              <w:rPr>
                <w:rFonts w:ascii="宋体" w:hAnsi="宋体" w:cs="宋体"/>
                <w:snapToGrid w:val="0"/>
                <w:color w:val="auto"/>
                <w:kern w:val="0"/>
                <w:sz w:val="24"/>
              </w:rPr>
            </w:pPr>
            <w:r>
              <w:rPr>
                <w:rFonts w:hint="eastAsia" w:ascii="宋体" w:hAnsi="宋体" w:cs="宋体"/>
                <w:snapToGrid w:val="0"/>
                <w:color w:val="auto"/>
                <w:kern w:val="0"/>
                <w:sz w:val="24"/>
              </w:rPr>
              <w:t>6</w:t>
            </w:r>
          </w:p>
        </w:tc>
        <w:tc>
          <w:tcPr>
            <w:tcW w:w="4398" w:type="dxa"/>
            <w:vAlign w:val="center"/>
          </w:tcPr>
          <w:p w14:paraId="78EF9D8A">
            <w:pPr>
              <w:pStyle w:val="24"/>
              <w:wordWrap w:val="0"/>
              <w:adjustRightInd w:val="0"/>
              <w:snapToGrid w:val="0"/>
              <w:jc w:val="center"/>
              <w:rPr>
                <w:rFonts w:hint="eastAsia" w:ascii="宋体" w:hAnsi="宋体" w:eastAsia="宋体" w:cs="宋体"/>
                <w:color w:val="auto"/>
                <w:sz w:val="24"/>
                <w:lang w:eastAsia="zh-CN"/>
              </w:rPr>
            </w:pPr>
            <w:r>
              <w:rPr>
                <w:rFonts w:hint="eastAsia" w:ascii="宋体" w:hAnsi="宋体" w:cs="宋体"/>
                <w:color w:val="auto"/>
                <w:sz w:val="24"/>
                <w:lang w:eastAsia="zh-CN"/>
              </w:rPr>
              <w:t>广东省建筑设计研究院集团股份有限公司</w:t>
            </w:r>
          </w:p>
        </w:tc>
        <w:tc>
          <w:tcPr>
            <w:tcW w:w="3546" w:type="dxa"/>
            <w:vAlign w:val="center"/>
          </w:tcPr>
          <w:p w14:paraId="6FD992C6">
            <w:pPr>
              <w:pStyle w:val="24"/>
              <w:wordWrap w:val="0"/>
              <w:adjustRightInd w:val="0"/>
              <w:snapToGrid w:val="0"/>
              <w:jc w:val="center"/>
              <w:rPr>
                <w:rFonts w:ascii="宋体" w:hAnsi="宋体" w:cs="宋体"/>
                <w:color w:val="auto"/>
                <w:sz w:val="24"/>
              </w:rPr>
            </w:pPr>
            <w:r>
              <w:rPr>
                <w:rFonts w:hint="eastAsia" w:ascii="宋体" w:hAnsi="宋体" w:cs="宋体"/>
                <w:color w:val="auto"/>
                <w:sz w:val="24"/>
              </w:rPr>
              <w:t>为本项目的勘察设计单位</w:t>
            </w:r>
          </w:p>
        </w:tc>
      </w:tr>
      <w:tr w14:paraId="088AB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55" w:type="dxa"/>
            <w:vAlign w:val="center"/>
          </w:tcPr>
          <w:p w14:paraId="18280427">
            <w:pPr>
              <w:pStyle w:val="24"/>
              <w:wordWrap w:val="0"/>
              <w:adjustRightInd w:val="0"/>
              <w:snapToGrid w:val="0"/>
              <w:jc w:val="center"/>
              <w:rPr>
                <w:rFonts w:ascii="宋体" w:hAnsi="宋体" w:cs="宋体"/>
                <w:snapToGrid w:val="0"/>
                <w:color w:val="auto"/>
                <w:kern w:val="0"/>
                <w:sz w:val="24"/>
              </w:rPr>
            </w:pPr>
            <w:r>
              <w:rPr>
                <w:rFonts w:hint="eastAsia" w:ascii="宋体" w:hAnsi="宋体" w:cs="宋体"/>
                <w:snapToGrid w:val="0"/>
                <w:color w:val="auto"/>
                <w:kern w:val="0"/>
                <w:sz w:val="24"/>
              </w:rPr>
              <w:t>7</w:t>
            </w:r>
          </w:p>
        </w:tc>
        <w:tc>
          <w:tcPr>
            <w:tcW w:w="4398" w:type="dxa"/>
            <w:vAlign w:val="center"/>
          </w:tcPr>
          <w:p w14:paraId="17C69FC7">
            <w:pPr>
              <w:pStyle w:val="24"/>
              <w:wordWrap w:val="0"/>
              <w:adjustRightInd w:val="0"/>
              <w:snapToGrid w:val="0"/>
              <w:jc w:val="center"/>
              <w:rPr>
                <w:rFonts w:ascii="宋体" w:hAnsi="宋体" w:cs="宋体"/>
                <w:color w:val="auto"/>
                <w:sz w:val="24"/>
              </w:rPr>
            </w:pPr>
            <w:r>
              <w:rPr>
                <w:rFonts w:ascii="宋体" w:hAnsi="宋体" w:cs="宋体"/>
                <w:color w:val="auto"/>
                <w:sz w:val="24"/>
              </w:rPr>
              <w:t>翁源县龙兴测绘服务有限公司</w:t>
            </w:r>
          </w:p>
        </w:tc>
        <w:tc>
          <w:tcPr>
            <w:tcW w:w="3546" w:type="dxa"/>
            <w:vAlign w:val="center"/>
          </w:tcPr>
          <w:p w14:paraId="58B3B2DE">
            <w:pPr>
              <w:pStyle w:val="24"/>
              <w:wordWrap w:val="0"/>
              <w:adjustRightInd w:val="0"/>
              <w:snapToGrid w:val="0"/>
              <w:jc w:val="center"/>
              <w:rPr>
                <w:rFonts w:ascii="宋体" w:hAnsi="宋体" w:cs="宋体"/>
                <w:color w:val="auto"/>
                <w:sz w:val="24"/>
              </w:rPr>
            </w:pPr>
            <w:r>
              <w:rPr>
                <w:rFonts w:hint="eastAsia" w:ascii="宋体" w:hAnsi="宋体" w:cs="宋体"/>
                <w:color w:val="auto"/>
                <w:sz w:val="24"/>
              </w:rPr>
              <w:t>为本项目的</w:t>
            </w:r>
            <w:r>
              <w:rPr>
                <w:rFonts w:hint="eastAsia" w:ascii="宋体" w:hAnsi="宋体" w:cs="宋体"/>
                <w:color w:val="auto"/>
                <w:sz w:val="24"/>
                <w:lang w:val="en-US" w:eastAsia="zh-CN"/>
              </w:rPr>
              <w:t>测绘测量</w:t>
            </w:r>
            <w:r>
              <w:rPr>
                <w:rFonts w:hint="eastAsia" w:ascii="宋体" w:hAnsi="宋体" w:cs="宋体"/>
                <w:color w:val="auto"/>
                <w:sz w:val="24"/>
              </w:rPr>
              <w:t>单位</w:t>
            </w:r>
          </w:p>
        </w:tc>
      </w:tr>
      <w:tr w14:paraId="0B053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55" w:type="dxa"/>
            <w:vAlign w:val="center"/>
          </w:tcPr>
          <w:p w14:paraId="660E779A">
            <w:pPr>
              <w:pStyle w:val="24"/>
              <w:wordWrap w:val="0"/>
              <w:adjustRightInd w:val="0"/>
              <w:snapToGrid w:val="0"/>
              <w:jc w:val="center"/>
              <w:rPr>
                <w:rFonts w:hint="eastAsia" w:ascii="宋体" w:hAnsi="宋体" w:eastAsia="宋体" w:cs="宋体"/>
                <w:snapToGrid w:val="0"/>
                <w:color w:val="auto"/>
                <w:kern w:val="0"/>
                <w:sz w:val="24"/>
                <w:lang w:eastAsia="zh-CN"/>
              </w:rPr>
            </w:pPr>
            <w:r>
              <w:rPr>
                <w:rFonts w:hint="eastAsia" w:ascii="宋体" w:hAnsi="宋体" w:cs="宋体"/>
                <w:snapToGrid w:val="0"/>
                <w:color w:val="auto"/>
                <w:kern w:val="0"/>
                <w:sz w:val="24"/>
                <w:lang w:val="en-US" w:eastAsia="zh-CN"/>
              </w:rPr>
              <w:t>8</w:t>
            </w:r>
          </w:p>
        </w:tc>
        <w:tc>
          <w:tcPr>
            <w:tcW w:w="4398" w:type="dxa"/>
            <w:vAlign w:val="center"/>
          </w:tcPr>
          <w:p w14:paraId="464789F5">
            <w:pPr>
              <w:spacing w:line="400" w:lineRule="exact"/>
              <w:jc w:val="center"/>
              <w:rPr>
                <w:rFonts w:hint="default" w:hAnsi="宋体" w:eastAsia="宋体" w:cs="宋体"/>
                <w:color w:val="auto"/>
                <w:szCs w:val="24"/>
                <w:lang w:val="en-US" w:eastAsia="zh-CN"/>
              </w:rPr>
            </w:pPr>
            <w:r>
              <w:rPr>
                <w:rFonts w:hint="eastAsia" w:hAnsi="宋体" w:cs="宋体"/>
                <w:color w:val="auto"/>
                <w:szCs w:val="24"/>
                <w:lang w:val="en-US" w:eastAsia="zh-CN"/>
              </w:rPr>
              <w:t>博智兴华工程顾问有限公司</w:t>
            </w:r>
          </w:p>
        </w:tc>
        <w:tc>
          <w:tcPr>
            <w:tcW w:w="3546" w:type="dxa"/>
            <w:vAlign w:val="center"/>
          </w:tcPr>
          <w:p w14:paraId="06ED8085">
            <w:pPr>
              <w:spacing w:line="400" w:lineRule="exact"/>
              <w:jc w:val="center"/>
              <w:rPr>
                <w:rFonts w:hAnsi="宋体" w:cs="宋体"/>
                <w:color w:val="auto"/>
                <w:szCs w:val="24"/>
              </w:rPr>
            </w:pPr>
            <w:r>
              <w:rPr>
                <w:rFonts w:hint="eastAsia" w:hAnsi="宋体" w:cs="宋体"/>
                <w:color w:val="auto"/>
                <w:szCs w:val="24"/>
              </w:rPr>
              <w:t>为本项目的概算审核单位</w:t>
            </w:r>
          </w:p>
        </w:tc>
      </w:tr>
    </w:tbl>
    <w:p w14:paraId="2E9B51A3">
      <w:pPr>
        <w:pStyle w:val="24"/>
        <w:wordWrap w:val="0"/>
        <w:adjustRightInd w:val="0"/>
        <w:snapToGrid w:val="0"/>
        <w:spacing w:before="120" w:beforeLines="50" w:line="460" w:lineRule="exact"/>
        <w:ind w:firstLine="482" w:firstLineChars="200"/>
        <w:jc w:val="left"/>
        <w:rPr>
          <w:rFonts w:ascii="宋体" w:hAnsi="宋体" w:cs="宋体"/>
          <w:snapToGrid w:val="0"/>
          <w:color w:val="auto"/>
          <w:kern w:val="0"/>
          <w:sz w:val="24"/>
        </w:rPr>
      </w:pPr>
      <w:r>
        <w:rPr>
          <w:rFonts w:hint="eastAsia" w:ascii="宋体" w:hAnsi="宋体" w:cs="宋体"/>
          <w:b/>
          <w:bCs/>
          <w:snapToGrid w:val="0"/>
          <w:color w:val="auto"/>
          <w:kern w:val="0"/>
          <w:sz w:val="24"/>
        </w:rPr>
        <w:t>2.5</w:t>
      </w:r>
      <w:r>
        <w:rPr>
          <w:rFonts w:hint="eastAsia" w:ascii="宋体" w:hAnsi="宋体" w:cs="宋体"/>
          <w:snapToGrid w:val="0"/>
          <w:color w:val="auto"/>
          <w:kern w:val="0"/>
          <w:sz w:val="24"/>
        </w:rPr>
        <w:t xml:space="preserve"> 其他要求</w:t>
      </w:r>
    </w:p>
    <w:p w14:paraId="7D189C92">
      <w:pPr>
        <w:pStyle w:val="24"/>
        <w:wordWrap w:val="0"/>
        <w:adjustRightInd w:val="0"/>
        <w:snapToGrid w:val="0"/>
        <w:spacing w:line="460" w:lineRule="exact"/>
        <w:ind w:firstLine="480" w:firstLineChars="200"/>
        <w:jc w:val="left"/>
        <w:rPr>
          <w:rFonts w:ascii="宋体" w:hAnsi="宋体" w:cs="宋体"/>
          <w:snapToGrid w:val="0"/>
          <w:color w:val="auto"/>
          <w:kern w:val="0"/>
          <w:sz w:val="24"/>
        </w:rPr>
      </w:pPr>
      <w:r>
        <w:rPr>
          <w:rFonts w:hint="eastAsia" w:ascii="宋体" w:hAnsi="宋体" w:cs="宋体"/>
          <w:snapToGrid w:val="0"/>
          <w:color w:val="auto"/>
          <w:kern w:val="0"/>
          <w:sz w:val="24"/>
        </w:rPr>
        <w:t>省外企业及其拟派往本项目管理机构的所有人员均须按照《广东省住房和城乡建设厅关于取消省外建筑企业和人员进粤信息备案有关工作的通知》（粤建市﹝2015﹞52号）规定在“进粤企业和人员诚信信息登记平台”录入相关信息并通过数据规范检查。</w:t>
      </w:r>
    </w:p>
    <w:p w14:paraId="457627A2">
      <w:pPr>
        <w:pStyle w:val="24"/>
        <w:wordWrap w:val="0"/>
        <w:adjustRightInd w:val="0"/>
        <w:snapToGrid w:val="0"/>
        <w:spacing w:before="120" w:beforeLines="50" w:line="460" w:lineRule="exact"/>
        <w:ind w:firstLine="482" w:firstLineChars="200"/>
        <w:jc w:val="left"/>
        <w:outlineLvl w:val="2"/>
        <w:rPr>
          <w:rFonts w:ascii="宋体" w:hAnsi="宋体" w:cs="宋体"/>
          <w:b/>
          <w:bCs/>
          <w:snapToGrid w:val="0"/>
          <w:color w:val="auto"/>
          <w:kern w:val="0"/>
          <w:sz w:val="24"/>
        </w:rPr>
      </w:pPr>
      <w:bookmarkStart w:id="25" w:name="_Toc7762"/>
      <w:r>
        <w:rPr>
          <w:rFonts w:hint="eastAsia" w:ascii="宋体" w:hAnsi="宋体" w:cs="宋体"/>
          <w:b/>
          <w:bCs/>
          <w:snapToGrid w:val="0"/>
          <w:color w:val="auto"/>
          <w:kern w:val="0"/>
          <w:sz w:val="24"/>
        </w:rPr>
        <w:t>3．获取招标文件</w:t>
      </w:r>
      <w:bookmarkEnd w:id="25"/>
    </w:p>
    <w:p w14:paraId="71BFAD05">
      <w:pPr>
        <w:pStyle w:val="24"/>
        <w:wordWrap w:val="0"/>
        <w:adjustRightInd w:val="0"/>
        <w:snapToGrid w:val="0"/>
        <w:spacing w:line="440" w:lineRule="exact"/>
        <w:ind w:firstLine="480" w:firstLineChars="200"/>
        <w:jc w:val="left"/>
        <w:rPr>
          <w:rFonts w:ascii="宋体" w:hAnsi="宋体" w:cs="宋体"/>
          <w:color w:val="auto"/>
          <w:sz w:val="24"/>
          <w:shd w:val="clear" w:color="auto" w:fill="FFFFFF"/>
        </w:rPr>
      </w:pPr>
      <w:r>
        <w:rPr>
          <w:rFonts w:hint="eastAsia" w:ascii="宋体" w:hAnsi="宋体" w:cs="宋体"/>
          <w:snapToGrid w:val="0"/>
          <w:color w:val="auto"/>
          <w:kern w:val="0"/>
          <w:sz w:val="24"/>
        </w:rPr>
        <w:t xml:space="preserve">3.1 </w:t>
      </w:r>
      <w:r>
        <w:rPr>
          <w:rFonts w:hint="eastAsia" w:ascii="宋体" w:hAnsi="宋体" w:cs="宋体"/>
          <w:color w:val="auto"/>
          <w:sz w:val="24"/>
          <w:shd w:val="clear" w:color="auto" w:fill="FFFFFF"/>
        </w:rPr>
        <w:t xml:space="preserve">本次招标实行电子投标。本项目招标文件随招标公告一并在全国公共资源交易平台（广东省·韶关市）（https://ygp.gdzwfw.gov.cn/ggzy-portal/#/440200/index）网站发布，招标文件一经在全国公共资源交易平台（广东省·韶关市）发布，视为发送投标人，招标文件及相关附件由投标人自行在全国公共资源交易平台（广东省·韶关市）网站下载。投标人请于招标文件获取期间（见本章第二节“重要事项时间地点一览表”）登录全国公共资源交易平台（广东省·韶关市）（https://ygp.gdzwfw.gov.cn/ggzy-portal/#/440200/index）进行下载招标文件及相关附件，并于电子投标截止时间（见“重要事项时间地点一览表”）前完成电子投标。   </w:t>
      </w:r>
    </w:p>
    <w:p w14:paraId="3A67CE48">
      <w:pPr>
        <w:pStyle w:val="24"/>
        <w:wordWrap w:val="0"/>
        <w:adjustRightInd w:val="0"/>
        <w:snapToGrid w:val="0"/>
        <w:spacing w:line="440" w:lineRule="exact"/>
        <w:ind w:firstLine="480" w:firstLineChars="200"/>
        <w:jc w:val="left"/>
        <w:rPr>
          <w:rFonts w:ascii="宋体" w:hAnsi="宋体" w:cs="宋体"/>
          <w:snapToGrid w:val="0"/>
          <w:color w:val="auto"/>
          <w:kern w:val="0"/>
          <w:sz w:val="24"/>
        </w:rPr>
      </w:pPr>
      <w:r>
        <w:rPr>
          <w:rFonts w:hint="eastAsia" w:ascii="宋体" w:hAnsi="宋体" w:cs="宋体"/>
          <w:color w:val="auto"/>
          <w:sz w:val="24"/>
          <w:shd w:val="clear" w:color="auto" w:fill="FFFFFF"/>
        </w:rPr>
        <w:t>投标人可登录全国公共资源交易平台（广东省·韶关市）（https://ygp.gdzwfw.gov.cn/ggzy-portal/#/440200/index），在【服务指南】栏目中下载《韶关市公共资源建设工程交易系统-投标人操作指南》，了解网上获取招标文件操作流程。技术咨询电话：0751-8379671伍先生，业务咨询电话：0751-8633211、8633071。</w:t>
      </w:r>
    </w:p>
    <w:p w14:paraId="48676419">
      <w:pPr>
        <w:pStyle w:val="15"/>
        <w:spacing w:before="0" w:beforeAutospacing="0" w:after="0" w:afterAutospacing="0" w:line="440" w:lineRule="exact"/>
        <w:ind w:firstLine="480" w:firstLineChars="200"/>
        <w:rPr>
          <w:snapToGrid w:val="0"/>
          <w:color w:val="auto"/>
        </w:rPr>
      </w:pPr>
      <w:r>
        <w:rPr>
          <w:rFonts w:hint="eastAsia"/>
          <w:snapToGrid w:val="0"/>
          <w:color w:val="auto"/>
        </w:rPr>
        <w:t>3.2 只有申领了数字证书（CA）、“粤企签”或GDCA/SZCA/NETCA等符合法律法规规定的电子印章，并在交易系统中完成企业信息数据入库的投标人，方可使用建设工程交易系统进行招标文件及相关附件的获取和电子投标。首次在韶关市参与建设工程招标投标活动的投标人，必须在平台系统上传企业相关资料办理企业入库事宜。投标人可登录全国公共资源交易平台（广东省·韶关市）（https://ygp.gdzwfw.gov.cn/ggzy-portal/#/440200/index）办理企业入库、数字证书及电子印章事宜，具体请在平台查阅相应的交易指引。已入库企业有关信息（如单位名称、基本账号、资质、人员等）发生变化的，须及时在交易系统进行相应变更。投标人未及时变更信息而造成的损失和后果，由投标人自行承担。</w:t>
      </w:r>
    </w:p>
    <w:p w14:paraId="5CD8E015">
      <w:pPr>
        <w:pStyle w:val="15"/>
        <w:spacing w:before="0" w:beforeAutospacing="0" w:after="0" w:afterAutospacing="0" w:line="440" w:lineRule="exact"/>
        <w:ind w:firstLine="480" w:firstLineChars="200"/>
        <w:rPr>
          <w:bCs/>
          <w:color w:val="auto"/>
        </w:rPr>
      </w:pPr>
      <w:r>
        <w:rPr>
          <w:rFonts w:hint="eastAsia"/>
          <w:snapToGrid w:val="0"/>
          <w:color w:val="auto"/>
        </w:rPr>
        <w:t>电子印章：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CA数字证书）。投标人应当到相关服务机构办理并取得数字证书介质和应用。电子印章包括机构法人电子形式印章，单位法定代表人、被委托人及其他个人的电子形式印章。电子印章与手写签名或者盖章具有同等的法律效力。</w:t>
      </w:r>
      <w:r>
        <w:rPr>
          <w:rFonts w:hint="eastAsia"/>
          <w:bCs/>
          <w:color w:val="auto"/>
        </w:rPr>
        <w:t xml:space="preserve"> </w:t>
      </w:r>
    </w:p>
    <w:p w14:paraId="3FC7E4FC">
      <w:pPr>
        <w:pStyle w:val="24"/>
        <w:wordWrap w:val="0"/>
        <w:adjustRightInd w:val="0"/>
        <w:snapToGrid w:val="0"/>
        <w:spacing w:line="460" w:lineRule="exact"/>
        <w:ind w:firstLine="480"/>
        <w:jc w:val="left"/>
        <w:rPr>
          <w:rFonts w:ascii="宋体" w:hAnsi="宋体" w:cs="宋体"/>
          <w:color w:val="auto"/>
          <w:sz w:val="24"/>
          <w:shd w:val="clear" w:color="auto" w:fill="FFFFFF"/>
        </w:rPr>
      </w:pPr>
      <w:r>
        <w:rPr>
          <w:rFonts w:hint="eastAsia" w:ascii="宋体" w:hAnsi="宋体" w:cs="宋体"/>
          <w:color w:val="auto"/>
          <w:kern w:val="0"/>
          <w:sz w:val="24"/>
        </w:rPr>
        <w:t>已入库企业的有关信息（如单位名称、基本账号、资质、人员等）发生变化的，应及时在建设工程交易系统进行相应变更。投标人未及时变更而造成的损失和后果，由投标人自行承担。</w:t>
      </w:r>
    </w:p>
    <w:p w14:paraId="4F65DA19">
      <w:pPr>
        <w:pStyle w:val="24"/>
        <w:wordWrap w:val="0"/>
        <w:adjustRightInd w:val="0"/>
        <w:snapToGrid w:val="0"/>
        <w:spacing w:line="460" w:lineRule="exact"/>
        <w:ind w:firstLine="480"/>
        <w:jc w:val="left"/>
        <w:rPr>
          <w:rFonts w:ascii="宋体" w:hAnsi="宋体" w:cs="宋体"/>
          <w:color w:val="auto"/>
          <w:sz w:val="24"/>
          <w:shd w:val="clear" w:color="auto" w:fill="FFFFFF"/>
        </w:rPr>
      </w:pPr>
      <w:r>
        <w:rPr>
          <w:rFonts w:hint="eastAsia" w:ascii="宋体" w:hAnsi="宋体" w:cs="宋体"/>
          <w:color w:val="auto"/>
          <w:sz w:val="24"/>
          <w:shd w:val="clear" w:color="auto" w:fill="FFFFFF"/>
        </w:rPr>
        <w:t>3.3 投标保证</w:t>
      </w:r>
    </w:p>
    <w:p w14:paraId="0FD7369A">
      <w:pPr>
        <w:pStyle w:val="24"/>
        <w:wordWrap w:val="0"/>
        <w:adjustRightInd w:val="0"/>
        <w:snapToGrid w:val="0"/>
        <w:spacing w:line="460" w:lineRule="exact"/>
        <w:ind w:firstLine="480"/>
        <w:jc w:val="left"/>
        <w:rPr>
          <w:rFonts w:ascii="宋体" w:hAnsi="宋体" w:cs="宋体"/>
          <w:color w:val="auto"/>
          <w:sz w:val="24"/>
          <w:shd w:val="clear" w:color="auto" w:fill="FFFFFF"/>
        </w:rPr>
      </w:pPr>
      <w:r>
        <w:rPr>
          <w:rFonts w:hint="eastAsia" w:ascii="宋体" w:hAnsi="宋体" w:cs="宋体"/>
          <w:color w:val="auto"/>
          <w:sz w:val="24"/>
          <w:shd w:val="clear" w:color="auto" w:fill="FFFFFF"/>
        </w:rPr>
        <w:t>3.3.1 投标人须缴纳金额为人民币</w:t>
      </w:r>
      <w:r>
        <w:rPr>
          <w:rFonts w:hint="eastAsia" w:ascii="宋体" w:hAnsi="宋体" w:cs="宋体"/>
          <w:color w:val="auto"/>
          <w:sz w:val="24"/>
          <w:u w:val="single"/>
          <w:shd w:val="clear" w:color="auto" w:fill="FFFFFF"/>
          <w:lang w:eastAsia="zh-CN"/>
        </w:rPr>
        <w:t>10000.00元</w:t>
      </w:r>
      <w:r>
        <w:rPr>
          <w:rFonts w:hint="eastAsia" w:ascii="宋体" w:hAnsi="宋体" w:cs="宋体"/>
          <w:color w:val="auto"/>
          <w:sz w:val="24"/>
          <w:shd w:val="clear" w:color="auto" w:fill="FFFFFF"/>
        </w:rPr>
        <w:t xml:space="preserve">的投标保证。 </w:t>
      </w:r>
    </w:p>
    <w:p w14:paraId="24C99E8F">
      <w:pPr>
        <w:pStyle w:val="24"/>
        <w:wordWrap w:val="0"/>
        <w:adjustRightInd w:val="0"/>
        <w:snapToGrid w:val="0"/>
        <w:spacing w:line="460" w:lineRule="exact"/>
        <w:ind w:firstLine="480"/>
        <w:jc w:val="left"/>
        <w:rPr>
          <w:rFonts w:ascii="宋体" w:hAnsi="宋体" w:cs="宋体"/>
          <w:color w:val="auto"/>
          <w:sz w:val="24"/>
          <w:shd w:val="clear" w:color="auto" w:fill="FFFFFF"/>
        </w:rPr>
      </w:pPr>
      <w:r>
        <w:rPr>
          <w:rFonts w:hint="eastAsia" w:ascii="宋体" w:hAnsi="宋体" w:cs="宋体"/>
          <w:color w:val="auto"/>
          <w:sz w:val="24"/>
          <w:shd w:val="clear" w:color="auto" w:fill="FFFFFF"/>
        </w:rPr>
        <w:t>3.3.2 投标保证的形式包括投标保证金、投标保证担保、投标保证保险三种，由投标人自主选择。</w:t>
      </w:r>
    </w:p>
    <w:p w14:paraId="6FBC2F95">
      <w:pPr>
        <w:snapToGrid w:val="0"/>
        <w:spacing w:line="440" w:lineRule="exact"/>
        <w:ind w:firstLine="480" w:firstLineChars="200"/>
        <w:rPr>
          <w:rFonts w:hAnsi="宋体" w:cs="宋体"/>
          <w:color w:val="auto"/>
        </w:rPr>
      </w:pPr>
      <w:r>
        <w:rPr>
          <w:rFonts w:hint="eastAsia" w:hAnsi="宋体" w:cs="宋体"/>
          <w:color w:val="auto"/>
        </w:rPr>
        <w:t>（1）采用投标保证金的，投标人在建设工程交易系统获取招标文件完毕后，即可在系统申请缴纳投标保证金，获取本次招标投标保证金缴纳账号。投标人必须于投标保证金到账截止时间（本章第二节“重要事项时间地点一览表”）前，从其基本账户将投标保证金转账到指定的缴纳账号。逾期到账的、从非投标人基本账户转出的，其投标无效。</w:t>
      </w:r>
    </w:p>
    <w:p w14:paraId="2768BEAB">
      <w:pPr>
        <w:snapToGrid w:val="0"/>
        <w:spacing w:line="440" w:lineRule="exact"/>
        <w:ind w:firstLine="480" w:firstLineChars="200"/>
        <w:rPr>
          <w:rFonts w:hAnsi="宋体" w:cs="宋体"/>
          <w:color w:val="auto"/>
        </w:rPr>
      </w:pPr>
      <w:r>
        <w:rPr>
          <w:rFonts w:hint="eastAsia" w:hAnsi="宋体" w:cs="宋体"/>
          <w:color w:val="auto"/>
        </w:rPr>
        <w:t>（2）采用投标保证担保的，投标人应提交有效的电子保函，电子保函的有效期不得短于投标有效期。投标人必须在投标保证担保截止时间（见本章第二节“重要事项时间地点一览表”）前，使用工程建设交易系统完成网上办理电子保函。</w:t>
      </w:r>
    </w:p>
    <w:p w14:paraId="6404ED13">
      <w:pPr>
        <w:snapToGrid w:val="0"/>
        <w:spacing w:line="440" w:lineRule="exact"/>
        <w:ind w:firstLine="480" w:firstLineChars="200"/>
        <w:rPr>
          <w:rFonts w:hAnsi="宋体" w:cs="宋体"/>
          <w:color w:val="auto"/>
        </w:rPr>
      </w:pPr>
      <w:r>
        <w:rPr>
          <w:rFonts w:hint="eastAsia" w:hAnsi="宋体" w:cs="宋体"/>
          <w:color w:val="auto"/>
        </w:rPr>
        <w:t>（3）采用投标保证保险的，投标人须在投标保证保险投保截止时间（见本章第二节“重要事项时间地点一览表”）前，使用建设工程交易系统完成网上投保。投标人可在系统选择保险机构、录入投保信息、支付保费、打印电子保单，电子保单的有效期不得短于投标有效期。投标人可登录全国公共资源交易平台（广东省·韶关市）（https://ygp.gdzwfw.gov.cn/ggzy-portal/#/440200/index），在【服务指南】栏目中下载《韶关市公共资源建设工程交易系统-投标人操作指南》，了解网上投保具体操作流程。逾期投保的，其投标无效。</w:t>
      </w:r>
    </w:p>
    <w:p w14:paraId="3281DA21">
      <w:pPr>
        <w:pStyle w:val="24"/>
        <w:wordWrap w:val="0"/>
        <w:adjustRightInd w:val="0"/>
        <w:snapToGrid w:val="0"/>
        <w:spacing w:line="460" w:lineRule="exact"/>
        <w:ind w:firstLine="480"/>
        <w:jc w:val="left"/>
        <w:rPr>
          <w:rFonts w:ascii="宋体" w:hAnsi="宋体" w:cs="宋体"/>
          <w:color w:val="auto"/>
          <w:sz w:val="24"/>
          <w:shd w:val="clear" w:color="auto" w:fill="FFFFFF"/>
        </w:rPr>
      </w:pPr>
      <w:r>
        <w:rPr>
          <w:rFonts w:hint="eastAsia" w:ascii="宋体" w:hAnsi="宋体" w:cs="宋体"/>
          <w:color w:val="auto"/>
          <w:sz w:val="24"/>
        </w:rPr>
        <w:t>温馨提醒：投标人采用投标保证担保或投标保证保险的，为避免在评标过程中因有效期发生争议，建议投标人将银行保函或电子保单有效期设置为较招标文件规定的投标有效期</w:t>
      </w:r>
      <w:r>
        <w:rPr>
          <w:rFonts w:hint="eastAsia" w:hAnsi="宋体" w:cs="宋体"/>
          <w:color w:val="auto"/>
          <w:sz w:val="24"/>
        </w:rPr>
        <w:t>延长</w:t>
      </w:r>
      <w:r>
        <w:rPr>
          <w:rFonts w:hint="eastAsia" w:ascii="宋体" w:hAnsi="宋体" w:cs="宋体"/>
          <w:color w:val="auto"/>
          <w:sz w:val="24"/>
        </w:rPr>
        <w:t>不少于20个日历天。</w:t>
      </w:r>
    </w:p>
    <w:p w14:paraId="02F6D739">
      <w:pPr>
        <w:tabs>
          <w:tab w:val="left" w:pos="7020"/>
        </w:tabs>
        <w:wordWrap w:val="0"/>
        <w:adjustRightInd w:val="0"/>
        <w:snapToGrid w:val="0"/>
        <w:spacing w:line="460" w:lineRule="exact"/>
        <w:ind w:firstLine="482" w:firstLineChars="200"/>
        <w:rPr>
          <w:rFonts w:hAnsi="宋体" w:cs="宋体"/>
          <w:snapToGrid w:val="0"/>
          <w:color w:val="auto"/>
          <w:kern w:val="0"/>
        </w:rPr>
      </w:pPr>
      <w:r>
        <w:rPr>
          <w:rFonts w:hint="eastAsia" w:hAnsi="宋体" w:cs="宋体"/>
          <w:b/>
          <w:bCs/>
          <w:snapToGrid w:val="0"/>
          <w:color w:val="auto"/>
          <w:kern w:val="0"/>
        </w:rPr>
        <w:t>3.4</w:t>
      </w:r>
      <w:r>
        <w:rPr>
          <w:rFonts w:hint="eastAsia" w:hAnsi="宋体" w:cs="宋体"/>
          <w:snapToGrid w:val="0"/>
          <w:color w:val="auto"/>
          <w:kern w:val="0"/>
        </w:rPr>
        <w:t xml:space="preserve"> 若投标人因自身原因未能正确完成获取招标文件、电子投标、缴纳投标保证的，其投标无效。</w:t>
      </w:r>
    </w:p>
    <w:p w14:paraId="7C2830A8">
      <w:pPr>
        <w:tabs>
          <w:tab w:val="left" w:pos="7020"/>
        </w:tabs>
        <w:wordWrap w:val="0"/>
        <w:adjustRightInd w:val="0"/>
        <w:snapToGrid w:val="0"/>
        <w:spacing w:line="460" w:lineRule="exact"/>
        <w:ind w:firstLine="482" w:firstLineChars="200"/>
        <w:outlineLvl w:val="2"/>
        <w:rPr>
          <w:rFonts w:hAnsi="宋体" w:cs="宋体"/>
          <w:snapToGrid w:val="0"/>
          <w:color w:val="auto"/>
          <w:kern w:val="0"/>
        </w:rPr>
      </w:pPr>
      <w:bookmarkStart w:id="26" w:name="_Toc22391"/>
      <w:r>
        <w:rPr>
          <w:rFonts w:hint="eastAsia" w:hAnsi="宋体" w:cs="宋体"/>
          <w:b/>
          <w:bCs/>
          <w:snapToGrid w:val="0"/>
          <w:color w:val="auto"/>
          <w:kern w:val="0"/>
        </w:rPr>
        <w:t>4．服务期限</w:t>
      </w:r>
      <w:bookmarkEnd w:id="26"/>
    </w:p>
    <w:p w14:paraId="77E6D004">
      <w:pPr>
        <w:tabs>
          <w:tab w:val="left" w:pos="7020"/>
        </w:tabs>
        <w:wordWrap w:val="0"/>
        <w:adjustRightInd w:val="0"/>
        <w:snapToGrid w:val="0"/>
        <w:spacing w:line="460" w:lineRule="exact"/>
        <w:ind w:firstLine="482" w:firstLineChars="200"/>
        <w:rPr>
          <w:rFonts w:hAnsi="宋体" w:cs="宋体"/>
          <w:snapToGrid w:val="0"/>
          <w:color w:val="auto"/>
          <w:kern w:val="0"/>
        </w:rPr>
      </w:pPr>
      <w:r>
        <w:rPr>
          <w:rFonts w:hint="eastAsia" w:hAnsi="宋体" w:cs="宋体"/>
          <w:b/>
          <w:bCs/>
          <w:snapToGrid w:val="0"/>
          <w:color w:val="auto"/>
          <w:kern w:val="0"/>
        </w:rPr>
        <w:t>4.1</w:t>
      </w:r>
      <w:r>
        <w:rPr>
          <w:rFonts w:hint="eastAsia" w:hAnsi="宋体" w:cs="宋体"/>
          <w:snapToGrid w:val="0"/>
          <w:color w:val="auto"/>
          <w:kern w:val="0"/>
        </w:rPr>
        <w:t xml:space="preserve"> 监理：监理服务期从监理合同签订之日起计，至本工程缺陷责任保修期结束且本工程结算金额经政府主管部门审定且双方的责任义务履行完毕时止。</w:t>
      </w:r>
    </w:p>
    <w:p w14:paraId="0445E431">
      <w:pPr>
        <w:pStyle w:val="3"/>
        <w:wordWrap w:val="0"/>
        <w:autoSpaceDE/>
        <w:autoSpaceDN/>
        <w:snapToGrid w:val="0"/>
        <w:spacing w:line="460" w:lineRule="exact"/>
        <w:ind w:firstLine="480"/>
        <w:jc w:val="both"/>
        <w:rPr>
          <w:rFonts w:hAnsi="宋体" w:cs="宋体"/>
          <w:b/>
          <w:snapToGrid w:val="0"/>
          <w:color w:val="auto"/>
        </w:rPr>
      </w:pPr>
      <w:bookmarkStart w:id="27" w:name="_Toc10746"/>
      <w:bookmarkStart w:id="28" w:name="_Toc20574"/>
      <w:r>
        <w:rPr>
          <w:rFonts w:hint="eastAsia" w:hAnsi="宋体" w:cs="宋体"/>
          <w:b/>
          <w:snapToGrid w:val="0"/>
          <w:color w:val="auto"/>
        </w:rPr>
        <w:t>5．服务标准</w:t>
      </w:r>
      <w:bookmarkEnd w:id="27"/>
      <w:bookmarkEnd w:id="28"/>
    </w:p>
    <w:p w14:paraId="68FDA3B3">
      <w:pPr>
        <w:wordWrap w:val="0"/>
        <w:adjustRightInd w:val="0"/>
        <w:snapToGrid w:val="0"/>
        <w:spacing w:line="460" w:lineRule="exact"/>
        <w:ind w:firstLine="482" w:firstLineChars="200"/>
        <w:rPr>
          <w:rFonts w:hAnsi="宋体" w:cs="宋体"/>
          <w:snapToGrid w:val="0"/>
          <w:color w:val="auto"/>
          <w:kern w:val="0"/>
        </w:rPr>
      </w:pPr>
      <w:r>
        <w:rPr>
          <w:rFonts w:hint="eastAsia" w:hAnsi="宋体" w:cs="宋体"/>
          <w:b/>
          <w:bCs/>
          <w:snapToGrid w:val="0"/>
          <w:color w:val="auto"/>
          <w:kern w:val="0"/>
        </w:rPr>
        <w:t>5.1</w:t>
      </w:r>
      <w:r>
        <w:rPr>
          <w:rFonts w:hint="eastAsia" w:hAnsi="宋体" w:cs="宋体"/>
          <w:snapToGrid w:val="0"/>
          <w:color w:val="auto"/>
          <w:kern w:val="0"/>
        </w:rPr>
        <w:t xml:space="preserve"> 监理：</w:t>
      </w:r>
      <w:r>
        <w:rPr>
          <w:rFonts w:hint="eastAsia" w:hAnsi="宋体" w:cs="宋体"/>
          <w:color w:val="auto"/>
          <w:szCs w:val="24"/>
        </w:rPr>
        <w:t>工程质量达到合格标准。</w:t>
      </w:r>
      <w:r>
        <w:rPr>
          <w:rFonts w:hint="eastAsia" w:hAnsi="宋体" w:cs="宋体"/>
          <w:snapToGrid w:val="0"/>
          <w:color w:val="auto"/>
          <w:kern w:val="0"/>
        </w:rPr>
        <w:t xml:space="preserve"> </w:t>
      </w:r>
    </w:p>
    <w:p w14:paraId="2B7947B3">
      <w:pPr>
        <w:pStyle w:val="3"/>
        <w:wordWrap w:val="0"/>
        <w:autoSpaceDE/>
        <w:autoSpaceDN/>
        <w:snapToGrid w:val="0"/>
        <w:spacing w:line="460" w:lineRule="exact"/>
        <w:ind w:firstLine="482" w:firstLineChars="200"/>
        <w:jc w:val="both"/>
        <w:rPr>
          <w:rFonts w:hAnsi="宋体" w:cs="宋体"/>
          <w:b/>
          <w:snapToGrid w:val="0"/>
          <w:color w:val="auto"/>
        </w:rPr>
      </w:pPr>
      <w:bookmarkStart w:id="29" w:name="_Toc32757"/>
      <w:bookmarkStart w:id="30" w:name="_Toc9941"/>
      <w:r>
        <w:rPr>
          <w:rFonts w:hint="eastAsia" w:hAnsi="宋体" w:cs="宋体"/>
          <w:b/>
          <w:snapToGrid w:val="0"/>
          <w:color w:val="auto"/>
        </w:rPr>
        <w:t>6．现场踏勘</w:t>
      </w:r>
      <w:bookmarkEnd w:id="29"/>
      <w:bookmarkEnd w:id="30"/>
    </w:p>
    <w:p w14:paraId="22DBCA2C">
      <w:pPr>
        <w:wordWrap w:val="0"/>
        <w:adjustRightInd w:val="0"/>
        <w:snapToGrid w:val="0"/>
        <w:spacing w:line="460" w:lineRule="exact"/>
        <w:ind w:firstLine="482" w:firstLineChars="200"/>
        <w:rPr>
          <w:rFonts w:hAnsi="宋体" w:cs="宋体"/>
          <w:snapToGrid w:val="0"/>
          <w:color w:val="auto"/>
          <w:kern w:val="0"/>
        </w:rPr>
      </w:pPr>
      <w:r>
        <w:rPr>
          <w:rFonts w:hint="eastAsia" w:hAnsi="宋体" w:cs="宋体"/>
          <w:b/>
          <w:bCs/>
          <w:snapToGrid w:val="0"/>
          <w:color w:val="auto"/>
          <w:kern w:val="0"/>
        </w:rPr>
        <w:t>6.1</w:t>
      </w:r>
      <w:r>
        <w:rPr>
          <w:rFonts w:hint="eastAsia" w:hAnsi="宋体" w:cs="宋体"/>
          <w:snapToGrid w:val="0"/>
          <w:color w:val="auto"/>
          <w:kern w:val="0"/>
        </w:rPr>
        <w:t xml:space="preserve"> 招标人不组织现场踏勘，但会在招标文件及有关设计文件中明确告知招标项目的具体位置和周边环境，并在现场设置足以识别的标识或提供足以表明招标项目具体位置的文字或图片。投标人需要了解现场情况的，可自行进行现场踏勘。</w:t>
      </w:r>
    </w:p>
    <w:p w14:paraId="253E478D">
      <w:pPr>
        <w:wordWrap w:val="0"/>
        <w:adjustRightInd w:val="0"/>
        <w:snapToGrid w:val="0"/>
        <w:spacing w:line="460" w:lineRule="exact"/>
        <w:ind w:firstLine="482" w:firstLineChars="200"/>
        <w:rPr>
          <w:rFonts w:hAnsi="宋体" w:cs="宋体"/>
          <w:snapToGrid w:val="0"/>
          <w:color w:val="auto"/>
          <w:kern w:val="0"/>
        </w:rPr>
      </w:pPr>
      <w:r>
        <w:rPr>
          <w:rFonts w:hint="eastAsia" w:hAnsi="宋体" w:cs="宋体"/>
          <w:b/>
          <w:bCs/>
          <w:snapToGrid w:val="0"/>
          <w:color w:val="auto"/>
          <w:kern w:val="0"/>
        </w:rPr>
        <w:t>6.2</w:t>
      </w:r>
      <w:r>
        <w:rPr>
          <w:rFonts w:hint="eastAsia" w:hAnsi="宋体" w:cs="宋体"/>
          <w:snapToGrid w:val="0"/>
          <w:color w:val="auto"/>
          <w:kern w:val="0"/>
        </w:rPr>
        <w:t xml:space="preserve"> 在现场踏勘过程中，投标人应确保自身安全，投标人如果发生人身伤亡、财物或其他损失，法律法规有规定的按有关规定处理，没有规定的由投标人自行负责。</w:t>
      </w:r>
    </w:p>
    <w:p w14:paraId="4DD647B3">
      <w:pPr>
        <w:wordWrap w:val="0"/>
        <w:adjustRightInd w:val="0"/>
        <w:snapToGrid w:val="0"/>
        <w:spacing w:line="460" w:lineRule="exact"/>
        <w:ind w:firstLine="560"/>
        <w:rPr>
          <w:rFonts w:hAnsi="宋体" w:cs="宋体"/>
          <w:b/>
          <w:snapToGrid w:val="0"/>
          <w:color w:val="auto"/>
        </w:rPr>
      </w:pPr>
      <w:r>
        <w:rPr>
          <w:rFonts w:hint="eastAsia" w:hAnsi="宋体" w:cs="宋体"/>
          <w:b/>
          <w:bCs/>
          <w:snapToGrid w:val="0"/>
          <w:color w:val="auto"/>
          <w:kern w:val="0"/>
        </w:rPr>
        <w:t>6.3</w:t>
      </w:r>
      <w:r>
        <w:rPr>
          <w:rFonts w:hint="eastAsia" w:hAnsi="宋体" w:cs="宋体"/>
          <w:snapToGrid w:val="0"/>
          <w:color w:val="auto"/>
          <w:kern w:val="0"/>
        </w:rPr>
        <w:t xml:space="preserve"> 现场踏勘期间的交通、食宿由投标人自行安排，费用自理。</w:t>
      </w:r>
    </w:p>
    <w:p w14:paraId="7A2D0004">
      <w:pPr>
        <w:pStyle w:val="3"/>
        <w:wordWrap w:val="0"/>
        <w:autoSpaceDE/>
        <w:autoSpaceDN/>
        <w:snapToGrid w:val="0"/>
        <w:spacing w:line="460" w:lineRule="exact"/>
        <w:ind w:firstLine="482" w:firstLineChars="200"/>
        <w:jc w:val="both"/>
        <w:rPr>
          <w:rFonts w:hAnsi="宋体" w:cs="宋体"/>
          <w:b/>
          <w:snapToGrid w:val="0"/>
          <w:color w:val="auto"/>
        </w:rPr>
      </w:pPr>
      <w:bookmarkStart w:id="31" w:name="_Toc5461"/>
      <w:bookmarkStart w:id="32" w:name="_Toc8198"/>
      <w:r>
        <w:rPr>
          <w:rFonts w:hint="eastAsia" w:hAnsi="宋体" w:cs="宋体"/>
          <w:b/>
          <w:snapToGrid w:val="0"/>
          <w:color w:val="auto"/>
        </w:rPr>
        <w:t>7．招标文件的提问和答疑</w:t>
      </w:r>
      <w:bookmarkEnd w:id="31"/>
      <w:bookmarkEnd w:id="32"/>
      <w:bookmarkStart w:id="33" w:name="_Hlt74496410"/>
      <w:bookmarkEnd w:id="33"/>
    </w:p>
    <w:p w14:paraId="35075027">
      <w:pPr>
        <w:wordWrap w:val="0"/>
        <w:adjustRightInd w:val="0"/>
        <w:snapToGrid w:val="0"/>
        <w:spacing w:line="460" w:lineRule="exact"/>
        <w:ind w:firstLine="482" w:firstLineChars="200"/>
        <w:rPr>
          <w:rFonts w:hAnsi="宋体" w:cs="宋体"/>
          <w:snapToGrid w:val="0"/>
          <w:color w:val="auto"/>
          <w:kern w:val="0"/>
          <w:szCs w:val="24"/>
          <w:lang w:bidi="ar"/>
        </w:rPr>
      </w:pPr>
      <w:r>
        <w:rPr>
          <w:rFonts w:hint="eastAsia" w:hAnsi="宋体" w:cs="宋体"/>
          <w:b/>
          <w:bCs/>
          <w:snapToGrid w:val="0"/>
          <w:color w:val="auto"/>
          <w:kern w:val="0"/>
        </w:rPr>
        <w:t>7.1</w:t>
      </w:r>
      <w:r>
        <w:rPr>
          <w:rFonts w:hint="eastAsia" w:hAnsi="宋体" w:cs="宋体"/>
          <w:snapToGrid w:val="0"/>
          <w:color w:val="auto"/>
          <w:kern w:val="0"/>
        </w:rPr>
        <w:t xml:space="preserve"> 投标人若对招标文件有疑问，应在提问截止时间（见本章第二节“重要事项时间地点一览表”）前使用建设工程交易系统提出问题。未在指定时间前、未采用指定方式提出的，招标人不予受理</w:t>
      </w:r>
      <w:r>
        <w:rPr>
          <w:rFonts w:hint="eastAsia" w:hAnsi="宋体" w:cs="宋体"/>
          <w:snapToGrid w:val="0"/>
          <w:color w:val="auto"/>
          <w:kern w:val="0"/>
          <w:szCs w:val="24"/>
          <w:lang w:bidi="ar"/>
        </w:rPr>
        <w:t>。</w:t>
      </w:r>
    </w:p>
    <w:p w14:paraId="704D756F">
      <w:pPr>
        <w:wordWrap w:val="0"/>
        <w:adjustRightInd w:val="0"/>
        <w:snapToGrid w:val="0"/>
        <w:spacing w:line="460" w:lineRule="exact"/>
        <w:ind w:firstLine="560"/>
        <w:rPr>
          <w:rFonts w:hAnsi="宋体" w:cs="宋体"/>
          <w:snapToGrid w:val="0"/>
          <w:color w:val="auto"/>
          <w:kern w:val="0"/>
        </w:rPr>
      </w:pPr>
      <w:r>
        <w:rPr>
          <w:rFonts w:hint="eastAsia" w:hAnsi="宋体" w:cs="宋体"/>
          <w:b/>
          <w:bCs/>
          <w:snapToGrid w:val="0"/>
          <w:color w:val="auto"/>
          <w:kern w:val="0"/>
        </w:rPr>
        <w:t xml:space="preserve">7.2 </w:t>
      </w:r>
      <w:r>
        <w:rPr>
          <w:rFonts w:hint="eastAsia" w:hAnsi="宋体" w:cs="宋体"/>
          <w:snapToGrid w:val="0"/>
          <w:color w:val="auto"/>
          <w:kern w:val="0"/>
        </w:rPr>
        <w:t>招标人在提问截止时间（见本章第二节“重要事项时间地点一览表”）后3日内，一次性对收到的所有问题作出答复，并形成答疑（或修改）公告在发布招标公告的媒介上公开发布。答疑（或修改）公告一旦发布，即视所有潜在投标人已经知悉答疑（或修改）内容，投标人未及时关注而造成的损失和后果，由投标人自行承担。</w:t>
      </w:r>
    </w:p>
    <w:p w14:paraId="3870ACF0">
      <w:pPr>
        <w:wordWrap w:val="0"/>
        <w:adjustRightInd w:val="0"/>
        <w:snapToGrid w:val="0"/>
        <w:spacing w:line="460" w:lineRule="exact"/>
        <w:ind w:firstLine="560"/>
        <w:rPr>
          <w:rFonts w:hAnsi="宋体" w:cs="宋体"/>
          <w:snapToGrid w:val="0"/>
          <w:color w:val="auto"/>
          <w:kern w:val="0"/>
        </w:rPr>
      </w:pPr>
      <w:r>
        <w:rPr>
          <w:rFonts w:hint="eastAsia" w:hAnsi="宋体" w:cs="宋体"/>
          <w:b/>
          <w:bCs/>
          <w:snapToGrid w:val="0"/>
          <w:color w:val="auto"/>
          <w:kern w:val="0"/>
        </w:rPr>
        <w:t>7.3</w:t>
      </w:r>
      <w:r>
        <w:rPr>
          <w:rFonts w:hint="eastAsia" w:hAnsi="宋体" w:cs="宋体"/>
          <w:snapToGrid w:val="0"/>
          <w:color w:val="auto"/>
          <w:kern w:val="0"/>
        </w:rPr>
        <w:t xml:space="preserve"> 招标人对招标文件所作的答疑（或修改）公告，构成招标文件的组成部分。</w:t>
      </w:r>
    </w:p>
    <w:p w14:paraId="17D31595">
      <w:pPr>
        <w:pStyle w:val="3"/>
        <w:wordWrap w:val="0"/>
        <w:autoSpaceDE/>
        <w:autoSpaceDN/>
        <w:snapToGrid w:val="0"/>
        <w:spacing w:line="460" w:lineRule="exact"/>
        <w:ind w:firstLine="480"/>
        <w:jc w:val="both"/>
        <w:rPr>
          <w:rFonts w:hAnsi="宋体" w:cs="宋体"/>
          <w:b/>
          <w:snapToGrid w:val="0"/>
          <w:color w:val="auto"/>
        </w:rPr>
      </w:pPr>
      <w:bookmarkStart w:id="34" w:name="_Hlt92513711"/>
      <w:bookmarkEnd w:id="34"/>
      <w:bookmarkStart w:id="35" w:name="_Hlt92513715"/>
      <w:bookmarkEnd w:id="35"/>
      <w:bookmarkStart w:id="36" w:name="_Hlt69699188"/>
      <w:bookmarkEnd w:id="36"/>
      <w:bookmarkStart w:id="37" w:name="_Toc23036"/>
      <w:bookmarkStart w:id="38" w:name="_Toc5082"/>
      <w:r>
        <w:rPr>
          <w:rFonts w:hint="eastAsia" w:hAnsi="宋体" w:cs="宋体"/>
          <w:b/>
          <w:snapToGrid w:val="0"/>
          <w:color w:val="auto"/>
        </w:rPr>
        <w:t>8．最高投标限价</w:t>
      </w:r>
      <w:bookmarkEnd w:id="37"/>
      <w:bookmarkEnd w:id="38"/>
    </w:p>
    <w:p w14:paraId="49930C60">
      <w:pPr>
        <w:wordWrap w:val="0"/>
        <w:adjustRightInd w:val="0"/>
        <w:snapToGrid w:val="0"/>
        <w:ind w:firstLine="482" w:firstLineChars="200"/>
        <w:rPr>
          <w:rFonts w:hAnsi="宋体" w:cs="宋体"/>
          <w:snapToGrid w:val="0"/>
          <w:color w:val="auto"/>
          <w:kern w:val="0"/>
        </w:rPr>
      </w:pPr>
      <w:r>
        <w:rPr>
          <w:rFonts w:hint="eastAsia" w:hAnsi="宋体" w:cs="宋体"/>
          <w:b/>
          <w:bCs/>
          <w:snapToGrid w:val="0"/>
          <w:color w:val="auto"/>
          <w:kern w:val="0"/>
        </w:rPr>
        <w:t>8.1</w:t>
      </w:r>
      <w:r>
        <w:rPr>
          <w:rFonts w:hint="eastAsia" w:hAnsi="宋体" w:cs="宋体"/>
          <w:snapToGrid w:val="0"/>
          <w:color w:val="auto"/>
          <w:kern w:val="0"/>
        </w:rPr>
        <w:t xml:space="preserve"> 本招标项目参考以下依据编制最高投标限价：</w:t>
      </w:r>
    </w:p>
    <w:p w14:paraId="36AA2F06">
      <w:pPr>
        <w:wordWrap w:val="0"/>
        <w:adjustRightInd w:val="0"/>
        <w:snapToGrid w:val="0"/>
        <w:ind w:firstLine="480" w:firstLineChars="200"/>
        <w:rPr>
          <w:rFonts w:hAnsi="宋体" w:cs="宋体"/>
          <w:snapToGrid w:val="0"/>
          <w:color w:val="auto"/>
          <w:kern w:val="0"/>
        </w:rPr>
      </w:pPr>
      <w:r>
        <w:rPr>
          <w:rFonts w:hint="eastAsia" w:hAnsi="宋体" w:cs="宋体"/>
          <w:snapToGrid w:val="0"/>
          <w:color w:val="auto"/>
          <w:kern w:val="0"/>
        </w:rPr>
        <w:t>（1）项目总投资；</w:t>
      </w:r>
    </w:p>
    <w:p w14:paraId="5A8F006A">
      <w:pPr>
        <w:wordWrap w:val="0"/>
        <w:adjustRightInd w:val="0"/>
        <w:snapToGrid w:val="0"/>
        <w:ind w:firstLine="480" w:firstLineChars="200"/>
        <w:rPr>
          <w:rFonts w:hAnsi="宋体" w:cs="宋体"/>
          <w:snapToGrid w:val="0"/>
          <w:color w:val="auto"/>
          <w:kern w:val="0"/>
        </w:rPr>
      </w:pPr>
      <w:r>
        <w:rPr>
          <w:rFonts w:hint="eastAsia" w:hAnsi="宋体" w:cs="宋体"/>
          <w:snapToGrid w:val="0"/>
          <w:color w:val="auto"/>
          <w:kern w:val="0"/>
        </w:rPr>
        <w:t>（2）《建设工程监理与相关服务收费标准》；</w:t>
      </w:r>
    </w:p>
    <w:p w14:paraId="034CABF7">
      <w:pPr>
        <w:wordWrap w:val="0"/>
        <w:adjustRightInd w:val="0"/>
        <w:snapToGrid w:val="0"/>
        <w:ind w:firstLine="480" w:firstLineChars="200"/>
        <w:rPr>
          <w:rFonts w:hAnsi="宋体" w:cs="宋体"/>
          <w:snapToGrid w:val="0"/>
          <w:color w:val="auto"/>
          <w:kern w:val="0"/>
        </w:rPr>
      </w:pPr>
      <w:r>
        <w:rPr>
          <w:rFonts w:hint="eastAsia" w:hAnsi="宋体" w:cs="宋体"/>
          <w:snapToGrid w:val="0"/>
          <w:color w:val="auto"/>
          <w:kern w:val="0"/>
        </w:rPr>
        <w:t>（3）监理及相关服务内容；</w:t>
      </w:r>
    </w:p>
    <w:p w14:paraId="69B68899">
      <w:pPr>
        <w:wordWrap w:val="0"/>
        <w:adjustRightInd w:val="0"/>
        <w:snapToGrid w:val="0"/>
        <w:ind w:firstLine="480" w:firstLineChars="200"/>
        <w:rPr>
          <w:rFonts w:hAnsi="宋体" w:cs="宋体"/>
          <w:snapToGrid w:val="0"/>
          <w:color w:val="auto"/>
          <w:kern w:val="0"/>
        </w:rPr>
      </w:pPr>
      <w:r>
        <w:rPr>
          <w:rFonts w:hint="eastAsia" w:hAnsi="宋体" w:cs="宋体"/>
          <w:snapToGrid w:val="0"/>
          <w:color w:val="auto"/>
          <w:kern w:val="0"/>
        </w:rPr>
        <w:t>（4）施工现场情况、工程特点；</w:t>
      </w:r>
    </w:p>
    <w:p w14:paraId="09022856">
      <w:pPr>
        <w:wordWrap w:val="0"/>
        <w:adjustRightInd w:val="0"/>
        <w:snapToGrid w:val="0"/>
        <w:ind w:firstLine="480" w:firstLineChars="200"/>
        <w:rPr>
          <w:rFonts w:hAnsi="宋体" w:cs="宋体"/>
          <w:snapToGrid w:val="0"/>
          <w:color w:val="auto"/>
          <w:kern w:val="0"/>
        </w:rPr>
      </w:pPr>
      <w:r>
        <w:rPr>
          <w:rFonts w:hint="eastAsia" w:hAnsi="宋体" w:cs="宋体"/>
          <w:snapToGrid w:val="0"/>
          <w:color w:val="auto"/>
          <w:kern w:val="0"/>
        </w:rPr>
        <w:t>（5）项目所在地市场价格。</w:t>
      </w:r>
    </w:p>
    <w:p w14:paraId="01C18B1A">
      <w:pPr>
        <w:pStyle w:val="21"/>
        <w:spacing w:line="360" w:lineRule="auto"/>
        <w:jc w:val="left"/>
        <w:rPr>
          <w:rFonts w:ascii="宋体" w:hAnsi="宋体" w:cs="宋体"/>
          <w:b w:val="0"/>
          <w:bCs/>
          <w:color w:val="auto"/>
          <w:sz w:val="24"/>
        </w:rPr>
      </w:pPr>
      <w:r>
        <w:rPr>
          <w:rFonts w:hint="eastAsia" w:ascii="宋体" w:hAnsi="宋体" w:cs="宋体"/>
          <w:bCs/>
          <w:snapToGrid w:val="0"/>
          <w:color w:val="auto"/>
          <w:kern w:val="0"/>
          <w:sz w:val="24"/>
        </w:rPr>
        <w:t xml:space="preserve">   8.2</w:t>
      </w:r>
      <w:r>
        <w:rPr>
          <w:rFonts w:hint="eastAsia" w:ascii="宋体" w:hAnsi="宋体" w:cs="宋体"/>
          <w:snapToGrid w:val="0"/>
          <w:color w:val="auto"/>
          <w:kern w:val="0"/>
          <w:sz w:val="24"/>
        </w:rPr>
        <w:t xml:space="preserve"> </w:t>
      </w:r>
      <w:r>
        <w:rPr>
          <w:rFonts w:hint="eastAsia" w:ascii="宋体" w:hAnsi="宋体" w:cs="宋体"/>
          <w:b w:val="0"/>
          <w:bCs/>
          <w:snapToGrid w:val="0"/>
          <w:color w:val="auto"/>
          <w:kern w:val="0"/>
          <w:sz w:val="24"/>
        </w:rPr>
        <w:t>本次招标最高投标限价为人民币（大写）：</w:t>
      </w:r>
      <w:r>
        <w:rPr>
          <w:rFonts w:hint="eastAsia" w:hAnsi="宋体" w:cs="宋体"/>
          <w:b w:val="0"/>
          <w:bCs/>
          <w:snapToGrid w:val="0"/>
          <w:color w:val="auto"/>
          <w:kern w:val="0"/>
          <w:sz w:val="24"/>
          <w:u w:val="single"/>
          <w:lang w:val="en-US" w:eastAsia="zh-CN"/>
        </w:rPr>
        <w:t>伍拾玖万元整</w:t>
      </w:r>
      <w:r>
        <w:rPr>
          <w:rFonts w:hint="eastAsia" w:hAnsi="宋体" w:cs="宋体"/>
          <w:b w:val="0"/>
          <w:bCs/>
          <w:snapToGrid w:val="0"/>
          <w:color w:val="auto"/>
          <w:kern w:val="0"/>
          <w:sz w:val="24"/>
          <w:u w:val="single"/>
        </w:rPr>
        <w:t>（小写：</w:t>
      </w:r>
      <w:r>
        <w:rPr>
          <w:rFonts w:hint="eastAsia" w:ascii="宋体" w:hAnsi="宋体" w:cs="宋体"/>
          <w:b w:val="0"/>
          <w:bCs/>
          <w:snapToGrid w:val="0"/>
          <w:color w:val="auto"/>
          <w:kern w:val="0"/>
          <w:sz w:val="24"/>
          <w:u w:val="single"/>
        </w:rPr>
        <w:t>¥</w:t>
      </w:r>
      <w:r>
        <w:rPr>
          <w:rFonts w:hint="eastAsia" w:ascii="宋体" w:hAnsi="宋体" w:cs="宋体"/>
          <w:b w:val="0"/>
          <w:bCs/>
          <w:snapToGrid w:val="0"/>
          <w:color w:val="auto"/>
          <w:kern w:val="0"/>
          <w:sz w:val="24"/>
          <w:u w:val="single"/>
          <w:lang w:val="en-US" w:eastAsia="zh-CN"/>
        </w:rPr>
        <w:t>590000.00</w:t>
      </w:r>
      <w:r>
        <w:rPr>
          <w:rFonts w:hint="eastAsia" w:ascii="宋体" w:hAnsi="宋体" w:cs="宋体"/>
          <w:b w:val="0"/>
          <w:bCs/>
          <w:snapToGrid w:val="0"/>
          <w:color w:val="auto"/>
          <w:kern w:val="0"/>
          <w:sz w:val="24"/>
          <w:u w:val="single"/>
        </w:rPr>
        <w:t>元）；监理服务费投标取费费率上限为</w:t>
      </w:r>
      <w:r>
        <w:rPr>
          <w:rFonts w:hint="eastAsia" w:ascii="宋体" w:hAnsi="宋体" w:cs="宋体"/>
          <w:b w:val="0"/>
          <w:bCs/>
          <w:snapToGrid w:val="0"/>
          <w:color w:val="auto"/>
          <w:kern w:val="0"/>
          <w:sz w:val="24"/>
          <w:u w:val="single"/>
          <w:lang w:val="en-US" w:eastAsia="zh-CN"/>
        </w:rPr>
        <w:t>1.183</w:t>
      </w:r>
      <w:r>
        <w:rPr>
          <w:rFonts w:hint="eastAsia" w:ascii="宋体" w:hAnsi="宋体" w:cs="宋体"/>
          <w:b w:val="0"/>
          <w:bCs/>
          <w:snapToGrid w:val="0"/>
          <w:color w:val="auto"/>
          <w:kern w:val="0"/>
          <w:sz w:val="24"/>
          <w:u w:val="single"/>
        </w:rPr>
        <w:t>%。</w:t>
      </w:r>
    </w:p>
    <w:p w14:paraId="53EA46D2">
      <w:pPr>
        <w:pStyle w:val="3"/>
        <w:wordWrap w:val="0"/>
        <w:autoSpaceDE/>
        <w:autoSpaceDN/>
        <w:snapToGrid w:val="0"/>
        <w:ind w:firstLine="482" w:firstLineChars="200"/>
        <w:jc w:val="both"/>
        <w:rPr>
          <w:rFonts w:hAnsi="宋体" w:cs="宋体"/>
          <w:b/>
          <w:snapToGrid w:val="0"/>
          <w:color w:val="auto"/>
        </w:rPr>
      </w:pPr>
      <w:bookmarkStart w:id="39" w:name="_Toc7437"/>
      <w:bookmarkStart w:id="40" w:name="_Toc6959"/>
      <w:r>
        <w:rPr>
          <w:rFonts w:hint="eastAsia" w:hAnsi="宋体" w:cs="宋体"/>
          <w:b/>
          <w:snapToGrid w:val="0"/>
          <w:color w:val="auto"/>
        </w:rPr>
        <w:t>9．投标报价</w:t>
      </w:r>
      <w:bookmarkEnd w:id="39"/>
      <w:bookmarkEnd w:id="40"/>
      <w:bookmarkStart w:id="41" w:name="_Hlt74498519"/>
      <w:bookmarkEnd w:id="41"/>
    </w:p>
    <w:p w14:paraId="707117FD">
      <w:pPr>
        <w:wordWrap w:val="0"/>
        <w:adjustRightInd w:val="0"/>
        <w:snapToGrid w:val="0"/>
        <w:ind w:firstLine="482" w:firstLineChars="200"/>
        <w:rPr>
          <w:rFonts w:hAnsi="宋体" w:cs="宋体"/>
          <w:snapToGrid w:val="0"/>
          <w:color w:val="auto"/>
          <w:kern w:val="0"/>
        </w:rPr>
      </w:pPr>
      <w:r>
        <w:rPr>
          <w:rFonts w:hint="eastAsia" w:hAnsi="宋体" w:cs="宋体"/>
          <w:b/>
          <w:bCs/>
          <w:snapToGrid w:val="0"/>
          <w:color w:val="auto"/>
          <w:kern w:val="0"/>
        </w:rPr>
        <w:t>9.1</w:t>
      </w:r>
      <w:r>
        <w:rPr>
          <w:rFonts w:hint="eastAsia" w:hAnsi="宋体" w:cs="宋体"/>
          <w:snapToGrid w:val="0"/>
          <w:color w:val="auto"/>
          <w:kern w:val="0"/>
        </w:rPr>
        <w:t xml:space="preserve"> 本次招标采用填报</w:t>
      </w:r>
      <w:r>
        <w:rPr>
          <w:rFonts w:hint="eastAsia" w:hAnsi="宋体" w:cs="宋体"/>
          <w:snapToGrid w:val="0"/>
          <w:color w:val="auto"/>
          <w:kern w:val="0"/>
          <w:u w:val="single"/>
        </w:rPr>
        <w:t xml:space="preserve"> </w:t>
      </w:r>
      <w:r>
        <w:rPr>
          <w:rFonts w:hint="eastAsia" w:ascii="Times New Roman"/>
          <w:snapToGrid w:val="0"/>
          <w:color w:val="auto"/>
          <w:kern w:val="0"/>
          <w:u w:val="single"/>
        </w:rPr>
        <w:t xml:space="preserve">投标报价及取费费率 </w:t>
      </w:r>
      <w:r>
        <w:rPr>
          <w:rFonts w:hint="eastAsia" w:ascii="Times New Roman"/>
          <w:snapToGrid w:val="0"/>
          <w:color w:val="auto"/>
          <w:kern w:val="0"/>
        </w:rPr>
        <w:t>的方式进行报价</w:t>
      </w:r>
      <w:r>
        <w:rPr>
          <w:rFonts w:hint="eastAsia" w:hAnsi="宋体" w:cs="宋体"/>
          <w:snapToGrid w:val="0"/>
          <w:color w:val="auto"/>
          <w:kern w:val="0"/>
        </w:rPr>
        <w:t>。</w:t>
      </w:r>
      <w:r>
        <w:rPr>
          <w:rFonts w:hint="eastAsia" w:ascii="Times New Roman"/>
          <w:snapToGrid w:val="0"/>
          <w:color w:val="auto"/>
          <w:kern w:val="0"/>
        </w:rPr>
        <w:t>投标人应在《投标函》（格式二）中进行报价。</w:t>
      </w:r>
    </w:p>
    <w:p w14:paraId="742BCEF4">
      <w:pPr>
        <w:wordWrap w:val="0"/>
        <w:adjustRightInd w:val="0"/>
        <w:snapToGrid w:val="0"/>
        <w:spacing w:line="460" w:lineRule="exact"/>
        <w:ind w:firstLine="482" w:firstLineChars="200"/>
        <w:rPr>
          <w:rFonts w:hAnsi="宋体" w:cs="宋体"/>
          <w:snapToGrid w:val="0"/>
          <w:color w:val="auto"/>
          <w:kern w:val="0"/>
        </w:rPr>
      </w:pPr>
      <w:r>
        <w:rPr>
          <w:rFonts w:hint="eastAsia" w:hAnsi="宋体" w:cs="宋体"/>
          <w:b/>
          <w:bCs/>
          <w:snapToGrid w:val="0"/>
          <w:color w:val="auto"/>
          <w:kern w:val="0"/>
        </w:rPr>
        <w:t>9.2</w:t>
      </w:r>
      <w:r>
        <w:rPr>
          <w:rFonts w:hint="eastAsia" w:hAnsi="宋体" w:cs="宋体"/>
          <w:snapToGrid w:val="0"/>
          <w:color w:val="auto"/>
          <w:kern w:val="0"/>
        </w:rPr>
        <w:t xml:space="preserve"> 所有报价均以人民币“元”为单位，并保留两位小数。投标取费费率=投标总价÷建安工程费暂定价×100%，并保留3位小数。</w:t>
      </w:r>
    </w:p>
    <w:p w14:paraId="501FAE53">
      <w:pPr>
        <w:wordWrap w:val="0"/>
        <w:adjustRightInd w:val="0"/>
        <w:snapToGrid w:val="0"/>
        <w:spacing w:line="460" w:lineRule="exact"/>
        <w:ind w:firstLine="482" w:firstLineChars="200"/>
        <w:rPr>
          <w:rFonts w:hAnsi="宋体" w:cs="宋体"/>
          <w:snapToGrid w:val="0"/>
          <w:color w:val="auto"/>
          <w:kern w:val="0"/>
          <w:szCs w:val="24"/>
        </w:rPr>
      </w:pPr>
      <w:r>
        <w:rPr>
          <w:rFonts w:hint="eastAsia" w:hAnsi="宋体" w:cs="宋体"/>
          <w:b/>
          <w:bCs/>
          <w:snapToGrid w:val="0"/>
          <w:color w:val="auto"/>
          <w:kern w:val="0"/>
        </w:rPr>
        <w:t xml:space="preserve">9.3 </w:t>
      </w:r>
      <w:r>
        <w:rPr>
          <w:rFonts w:hint="eastAsia" w:hAnsi="宋体" w:cs="宋体"/>
          <w:snapToGrid w:val="0"/>
          <w:color w:val="auto"/>
          <w:kern w:val="0"/>
          <w:szCs w:val="24"/>
        </w:rPr>
        <w:t>在最高投标限价范围内，投标人自行报价。监理服务费结算时以县财政投资评审中心审核后的建安工程费为计算依据。结算价按以下方式结算：监理服务费=县财政投资评审中心审核后的建安工程费×监理服务费的中标费率；监理服务费的中标费率，四舍五入保留三位小数。本项目的建安工程费暂定价为人民币</w:t>
      </w:r>
      <w:r>
        <w:rPr>
          <w:rFonts w:hint="eastAsia" w:hAnsi="宋体" w:cs="宋体"/>
          <w:snapToGrid w:val="0"/>
          <w:color w:val="auto"/>
          <w:kern w:val="0"/>
          <w:szCs w:val="24"/>
          <w:lang w:val="en-US" w:eastAsia="zh-CN"/>
        </w:rPr>
        <w:t>4988.00万</w:t>
      </w:r>
      <w:r>
        <w:rPr>
          <w:rFonts w:hint="eastAsia" w:hAnsi="宋体" w:cs="宋体"/>
          <w:snapToGrid w:val="0"/>
          <w:color w:val="auto"/>
          <w:kern w:val="0"/>
          <w:szCs w:val="24"/>
        </w:rPr>
        <w:t>元。</w:t>
      </w:r>
    </w:p>
    <w:p w14:paraId="7AD562F0">
      <w:pPr>
        <w:wordWrap w:val="0"/>
        <w:adjustRightInd w:val="0"/>
        <w:snapToGrid w:val="0"/>
        <w:spacing w:line="460" w:lineRule="exact"/>
        <w:ind w:firstLine="482" w:firstLineChars="200"/>
        <w:rPr>
          <w:rFonts w:hAnsi="宋体" w:cs="宋体"/>
          <w:snapToGrid w:val="0"/>
          <w:color w:val="auto"/>
          <w:kern w:val="0"/>
          <w:szCs w:val="24"/>
        </w:rPr>
      </w:pPr>
      <w:r>
        <w:rPr>
          <w:rFonts w:hint="eastAsia" w:hAnsi="宋体" w:cs="宋体"/>
          <w:b/>
          <w:bCs/>
          <w:snapToGrid w:val="0"/>
          <w:color w:val="auto"/>
          <w:kern w:val="0"/>
          <w:szCs w:val="24"/>
        </w:rPr>
        <w:t>9.4</w:t>
      </w:r>
      <w:r>
        <w:rPr>
          <w:rFonts w:hint="eastAsia" w:hAnsi="宋体" w:cs="宋体"/>
          <w:snapToGrid w:val="0"/>
          <w:color w:val="auto"/>
          <w:kern w:val="0"/>
          <w:szCs w:val="24"/>
        </w:rPr>
        <w:t xml:space="preserve"> 投标人只允许有一个投标总价。投标总价必须同时用大、小写表示，大、小写报价应保持一致，若不一致，以大写报价为准。</w:t>
      </w:r>
    </w:p>
    <w:p w14:paraId="7ED3D49D">
      <w:pPr>
        <w:wordWrap w:val="0"/>
        <w:adjustRightInd w:val="0"/>
        <w:snapToGrid w:val="0"/>
        <w:spacing w:line="460" w:lineRule="exact"/>
        <w:ind w:firstLine="482" w:firstLineChars="200"/>
        <w:rPr>
          <w:rFonts w:hAnsi="宋体" w:cs="宋体"/>
          <w:snapToGrid w:val="0"/>
          <w:color w:val="auto"/>
          <w:kern w:val="0"/>
          <w:szCs w:val="24"/>
        </w:rPr>
      </w:pPr>
      <w:r>
        <w:rPr>
          <w:rFonts w:hint="eastAsia" w:hAnsi="宋体" w:cs="宋体"/>
          <w:b/>
          <w:bCs/>
          <w:snapToGrid w:val="0"/>
          <w:color w:val="auto"/>
          <w:kern w:val="0"/>
          <w:szCs w:val="24"/>
        </w:rPr>
        <w:t>9.5</w:t>
      </w:r>
      <w:r>
        <w:rPr>
          <w:rFonts w:hint="eastAsia" w:hAnsi="宋体" w:cs="宋体"/>
          <w:snapToGrid w:val="0"/>
          <w:color w:val="auto"/>
          <w:kern w:val="0"/>
          <w:szCs w:val="24"/>
        </w:rPr>
        <w:t>投标总价应包括国家规定的增值税税金。本次招标增值税税金按</w:t>
      </w:r>
      <w:r>
        <w:rPr>
          <w:rFonts w:hint="eastAsia" w:hAnsi="宋体" w:cs="宋体"/>
          <w:snapToGrid w:val="0"/>
          <w:color w:val="auto"/>
          <w:kern w:val="0"/>
          <w:szCs w:val="24"/>
          <w:u w:val="single"/>
        </w:rPr>
        <w:t xml:space="preserve"> 一般 </w:t>
      </w:r>
      <w:r>
        <w:rPr>
          <w:rFonts w:hint="eastAsia" w:hAnsi="宋体" w:cs="宋体"/>
          <w:snapToGrid w:val="0"/>
          <w:color w:val="auto"/>
          <w:kern w:val="0"/>
          <w:szCs w:val="24"/>
        </w:rPr>
        <w:t>计税方法计算。</w:t>
      </w:r>
    </w:p>
    <w:p w14:paraId="1E5D2059">
      <w:pPr>
        <w:wordWrap w:val="0"/>
        <w:adjustRightInd w:val="0"/>
        <w:snapToGrid w:val="0"/>
        <w:spacing w:line="440" w:lineRule="exact"/>
        <w:ind w:firstLine="482" w:firstLineChars="200"/>
        <w:rPr>
          <w:rFonts w:ascii="Times New Roman"/>
          <w:snapToGrid w:val="0"/>
          <w:color w:val="auto"/>
          <w:kern w:val="0"/>
        </w:rPr>
      </w:pPr>
      <w:r>
        <w:rPr>
          <w:rFonts w:hint="eastAsia" w:hAnsi="宋体" w:cs="宋体"/>
          <w:b/>
          <w:bCs/>
          <w:snapToGrid w:val="0"/>
          <w:color w:val="auto"/>
          <w:kern w:val="0"/>
          <w:szCs w:val="24"/>
        </w:rPr>
        <w:t>9.6</w:t>
      </w:r>
      <w:r>
        <w:rPr>
          <w:rFonts w:hint="eastAsia" w:hAnsi="宋体" w:cs="宋体"/>
          <w:snapToGrid w:val="0"/>
          <w:color w:val="auto"/>
          <w:kern w:val="0"/>
          <w:szCs w:val="24"/>
        </w:rPr>
        <w:t xml:space="preserve"> </w:t>
      </w:r>
      <w:r>
        <w:rPr>
          <w:rFonts w:hint="eastAsia" w:ascii="Times New Roman"/>
          <w:snapToGrid w:val="0"/>
          <w:color w:val="auto"/>
          <w:kern w:val="0"/>
        </w:rPr>
        <w:t>投标总价不得高于最高投标限价，也不得低于成本。</w:t>
      </w:r>
    </w:p>
    <w:p w14:paraId="729000B5">
      <w:pPr>
        <w:wordWrap w:val="0"/>
        <w:adjustRightInd w:val="0"/>
        <w:snapToGrid w:val="0"/>
        <w:spacing w:line="460" w:lineRule="exact"/>
        <w:ind w:firstLine="482" w:firstLineChars="200"/>
        <w:rPr>
          <w:rFonts w:hAnsi="宋体" w:cs="宋体"/>
          <w:b/>
          <w:snapToGrid w:val="0"/>
          <w:color w:val="auto"/>
          <w:szCs w:val="24"/>
        </w:rPr>
      </w:pPr>
      <w:r>
        <w:rPr>
          <w:rFonts w:hint="eastAsia" w:hAnsi="宋体" w:cs="宋体"/>
          <w:b/>
          <w:bCs/>
          <w:snapToGrid w:val="0"/>
          <w:color w:val="auto"/>
          <w:kern w:val="0"/>
          <w:szCs w:val="24"/>
        </w:rPr>
        <w:t>9.7</w:t>
      </w:r>
      <w:r>
        <w:rPr>
          <w:rFonts w:hint="eastAsia" w:hAnsi="宋体" w:cs="宋体"/>
          <w:snapToGrid w:val="0"/>
          <w:color w:val="auto"/>
          <w:kern w:val="0"/>
          <w:szCs w:val="24"/>
        </w:rPr>
        <w:t xml:space="preserve"> 投标人应充分了解招标项目的总体情况以及影响投标报价的其他要素。</w:t>
      </w:r>
      <w:bookmarkStart w:id="42" w:name="_（十）投标文件的编制、包装、密封"/>
      <w:bookmarkEnd w:id="42"/>
    </w:p>
    <w:p w14:paraId="15BB24E9">
      <w:pPr>
        <w:pStyle w:val="3"/>
        <w:wordWrap w:val="0"/>
        <w:autoSpaceDE/>
        <w:autoSpaceDN/>
        <w:snapToGrid w:val="0"/>
        <w:spacing w:line="460" w:lineRule="exact"/>
        <w:ind w:firstLine="480"/>
        <w:jc w:val="both"/>
        <w:rPr>
          <w:rFonts w:hAnsi="宋体" w:cs="宋体"/>
          <w:b/>
          <w:strike/>
          <w:snapToGrid w:val="0"/>
          <w:color w:val="auto"/>
          <w:szCs w:val="24"/>
        </w:rPr>
      </w:pPr>
      <w:bookmarkStart w:id="43" w:name="_Toc6576"/>
      <w:bookmarkStart w:id="44" w:name="_Toc684"/>
      <w:r>
        <w:rPr>
          <w:rFonts w:hint="eastAsia" w:hAnsi="宋体" w:cs="宋体"/>
          <w:b/>
          <w:snapToGrid w:val="0"/>
          <w:color w:val="auto"/>
          <w:szCs w:val="24"/>
        </w:rPr>
        <w:t>10．投标文件的编制</w:t>
      </w:r>
      <w:bookmarkStart w:id="45" w:name="_Hlt69208262"/>
      <w:bookmarkEnd w:id="45"/>
      <w:bookmarkStart w:id="46" w:name="_Hlt69332370"/>
      <w:bookmarkEnd w:id="46"/>
      <w:r>
        <w:rPr>
          <w:rFonts w:hint="eastAsia" w:hAnsi="宋体" w:cs="宋体"/>
          <w:b/>
          <w:snapToGrid w:val="0"/>
          <w:color w:val="auto"/>
          <w:szCs w:val="24"/>
        </w:rPr>
        <w:t>要求</w:t>
      </w:r>
      <w:bookmarkEnd w:id="43"/>
      <w:bookmarkEnd w:id="44"/>
      <w:bookmarkStart w:id="47" w:name="_Hlt78768224"/>
      <w:bookmarkEnd w:id="47"/>
      <w:bookmarkStart w:id="48" w:name="_Hlt74497202"/>
      <w:bookmarkEnd w:id="48"/>
      <w:bookmarkStart w:id="49" w:name="_Hlt74495594"/>
      <w:bookmarkEnd w:id="49"/>
    </w:p>
    <w:p w14:paraId="24CCDB38">
      <w:pPr>
        <w:wordWrap w:val="0"/>
        <w:adjustRightInd w:val="0"/>
        <w:snapToGrid w:val="0"/>
        <w:spacing w:line="460" w:lineRule="exact"/>
        <w:ind w:firstLine="482" w:firstLineChars="200"/>
        <w:rPr>
          <w:rFonts w:hAnsi="宋体" w:cs="宋体"/>
          <w:b/>
          <w:snapToGrid w:val="0"/>
          <w:color w:val="auto"/>
          <w:kern w:val="0"/>
          <w:szCs w:val="24"/>
        </w:rPr>
      </w:pPr>
      <w:r>
        <w:rPr>
          <w:rFonts w:hint="eastAsia" w:hAnsi="宋体" w:cs="宋体"/>
          <w:b/>
          <w:bCs/>
          <w:snapToGrid w:val="0"/>
          <w:color w:val="auto"/>
          <w:kern w:val="0"/>
          <w:szCs w:val="24"/>
        </w:rPr>
        <w:t>10.1</w:t>
      </w:r>
      <w:r>
        <w:rPr>
          <w:rFonts w:hint="eastAsia" w:hAnsi="宋体" w:cs="宋体"/>
          <w:bCs/>
          <w:snapToGrid w:val="0"/>
          <w:color w:val="auto"/>
          <w:kern w:val="0"/>
          <w:szCs w:val="24"/>
        </w:rPr>
        <w:t xml:space="preserve"> 一般要求</w:t>
      </w:r>
    </w:p>
    <w:p w14:paraId="3CA907ED">
      <w:pPr>
        <w:pStyle w:val="8"/>
        <w:wordWrap w:val="0"/>
        <w:adjustRightInd w:val="0"/>
        <w:snapToGrid w:val="0"/>
        <w:spacing w:line="460" w:lineRule="exact"/>
        <w:ind w:firstLineChars="0"/>
        <w:rPr>
          <w:rFonts w:hAnsi="宋体" w:cs="宋体"/>
          <w:snapToGrid w:val="0"/>
          <w:color w:val="auto"/>
          <w:kern w:val="0"/>
          <w:szCs w:val="24"/>
        </w:rPr>
      </w:pPr>
      <w:bookmarkStart w:id="50" w:name="_Hlt74496890"/>
      <w:bookmarkEnd w:id="50"/>
      <w:r>
        <w:rPr>
          <w:rFonts w:hint="eastAsia" w:hAnsi="宋体" w:cs="宋体"/>
          <w:snapToGrid w:val="0"/>
          <w:color w:val="auto"/>
          <w:kern w:val="0"/>
          <w:szCs w:val="24"/>
        </w:rPr>
        <w:t>投标文件应按第五章 投标文件格式规定的内容，投标人提交的投标文件应当使用招标文件所提供的投标文件全部格式。</w:t>
      </w:r>
    </w:p>
    <w:p w14:paraId="180AB40B">
      <w:pPr>
        <w:pStyle w:val="8"/>
        <w:wordWrap w:val="0"/>
        <w:adjustRightInd w:val="0"/>
        <w:snapToGrid w:val="0"/>
        <w:spacing w:line="460" w:lineRule="exact"/>
        <w:ind w:firstLineChars="0"/>
        <w:rPr>
          <w:rFonts w:hAnsi="宋体" w:cs="宋体"/>
          <w:snapToGrid w:val="0"/>
          <w:color w:val="auto"/>
          <w:kern w:val="0"/>
          <w:szCs w:val="24"/>
        </w:rPr>
      </w:pPr>
      <w:r>
        <w:rPr>
          <w:rFonts w:hint="eastAsia" w:hAnsi="宋体" w:cs="宋体"/>
          <w:b/>
          <w:bCs/>
          <w:snapToGrid w:val="0"/>
          <w:color w:val="auto"/>
          <w:kern w:val="0"/>
          <w:szCs w:val="24"/>
        </w:rPr>
        <w:t>10.1.1</w:t>
      </w:r>
      <w:r>
        <w:rPr>
          <w:rFonts w:hint="eastAsia" w:hAnsi="宋体" w:cs="宋体"/>
          <w:snapToGrid w:val="0"/>
          <w:color w:val="auto"/>
          <w:kern w:val="0"/>
          <w:szCs w:val="24"/>
        </w:rPr>
        <w:t>投标人必须响应招标文件，并在充分理解招标文件的基础上编制投标文件。因投标文件不符合招标文件的要求而造成的损失和后果，由投标人自行承担。</w:t>
      </w:r>
    </w:p>
    <w:p w14:paraId="7E87A356">
      <w:pPr>
        <w:pStyle w:val="8"/>
        <w:wordWrap w:val="0"/>
        <w:adjustRightInd w:val="0"/>
        <w:snapToGrid w:val="0"/>
        <w:spacing w:line="460" w:lineRule="exact"/>
        <w:ind w:firstLineChars="0"/>
        <w:rPr>
          <w:rFonts w:hAnsi="宋体" w:cs="宋体"/>
          <w:snapToGrid w:val="0"/>
          <w:color w:val="auto"/>
          <w:kern w:val="0"/>
          <w:szCs w:val="24"/>
        </w:rPr>
      </w:pPr>
      <w:r>
        <w:rPr>
          <w:rFonts w:hint="eastAsia" w:hAnsi="宋体" w:cs="宋体"/>
          <w:b/>
          <w:bCs/>
          <w:snapToGrid w:val="0"/>
          <w:color w:val="auto"/>
          <w:kern w:val="0"/>
          <w:szCs w:val="24"/>
        </w:rPr>
        <w:t>10.1.2</w:t>
      </w:r>
      <w:r>
        <w:rPr>
          <w:rFonts w:hint="eastAsia" w:hAnsi="宋体" w:cs="宋体"/>
          <w:snapToGrid w:val="0"/>
          <w:color w:val="auto"/>
          <w:kern w:val="0"/>
          <w:szCs w:val="24"/>
        </w:rPr>
        <w:t xml:space="preserve"> 投标文件包括商务标书、监理大纲两个分册。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韶关市公共资源建设工程交易系统-投标人操作指南》。</w:t>
      </w:r>
    </w:p>
    <w:p w14:paraId="5866B624">
      <w:pPr>
        <w:pStyle w:val="8"/>
        <w:wordWrap w:val="0"/>
        <w:adjustRightInd w:val="0"/>
        <w:snapToGrid w:val="0"/>
        <w:spacing w:line="460" w:lineRule="exact"/>
        <w:ind w:firstLineChars="0"/>
        <w:rPr>
          <w:rFonts w:hAnsi="宋体" w:cs="宋体"/>
          <w:snapToGrid w:val="0"/>
          <w:color w:val="auto"/>
          <w:kern w:val="0"/>
          <w:szCs w:val="24"/>
        </w:rPr>
      </w:pPr>
      <w:r>
        <w:rPr>
          <w:rFonts w:hint="eastAsia" w:hAnsi="宋体" w:cs="宋体"/>
          <w:b/>
          <w:bCs/>
          <w:snapToGrid w:val="0"/>
          <w:color w:val="auto"/>
          <w:kern w:val="0"/>
          <w:szCs w:val="24"/>
        </w:rPr>
        <w:t>10.1.3</w:t>
      </w:r>
      <w:r>
        <w:rPr>
          <w:rFonts w:hint="eastAsia" w:hAnsi="宋体" w:cs="宋体"/>
          <w:snapToGrid w:val="0"/>
          <w:color w:val="auto"/>
          <w:kern w:val="0"/>
          <w:szCs w:val="24"/>
        </w:rPr>
        <w:t xml:space="preserve"> 投标文件需按以下要求签字、盖章：</w:t>
      </w:r>
    </w:p>
    <w:p w14:paraId="15B139BB">
      <w:pPr>
        <w:pStyle w:val="8"/>
        <w:wordWrap w:val="0"/>
        <w:adjustRightInd w:val="0"/>
        <w:snapToGrid w:val="0"/>
        <w:spacing w:line="460" w:lineRule="exact"/>
        <w:ind w:firstLineChars="0"/>
        <w:rPr>
          <w:rFonts w:hAnsi="宋体" w:cs="宋体"/>
          <w:snapToGrid w:val="0"/>
          <w:color w:val="auto"/>
          <w:kern w:val="0"/>
          <w:szCs w:val="24"/>
        </w:rPr>
      </w:pPr>
      <w:r>
        <w:rPr>
          <w:rFonts w:hint="eastAsia" w:hAnsi="宋体" w:cs="宋体"/>
          <w:b/>
          <w:bCs/>
          <w:snapToGrid w:val="0"/>
          <w:color w:val="auto"/>
          <w:kern w:val="0"/>
          <w:szCs w:val="24"/>
        </w:rPr>
        <w:t>10.1.3.1</w:t>
      </w:r>
      <w:r>
        <w:rPr>
          <w:rFonts w:hint="eastAsia" w:hAnsi="宋体" w:cs="宋体"/>
          <w:snapToGrid w:val="0"/>
          <w:color w:val="auto"/>
          <w:kern w:val="0"/>
          <w:szCs w:val="24"/>
        </w:rPr>
        <w:t xml:space="preserve"> 投标文件封面、组成内容中凡注明“签字”处由要求的人员签字或电子签章；凡注明“签字或盖章”处由要求的人员签字或盖其私章（电子印章）；凡注明“签字并盖执业印章”处由要求的人员签字并盖其执业印章。</w:t>
      </w:r>
    </w:p>
    <w:p w14:paraId="6A342EBB">
      <w:pPr>
        <w:pStyle w:val="8"/>
        <w:wordWrap w:val="0"/>
        <w:adjustRightInd w:val="0"/>
        <w:snapToGrid w:val="0"/>
        <w:spacing w:line="460" w:lineRule="exact"/>
        <w:ind w:firstLineChars="0"/>
        <w:rPr>
          <w:rFonts w:hAnsi="宋体" w:cs="宋体"/>
          <w:snapToGrid w:val="0"/>
          <w:color w:val="auto"/>
          <w:kern w:val="0"/>
          <w:szCs w:val="24"/>
        </w:rPr>
      </w:pPr>
      <w:r>
        <w:rPr>
          <w:rFonts w:hint="eastAsia" w:hAnsi="宋体" w:cs="宋体"/>
          <w:b/>
          <w:bCs/>
          <w:snapToGrid w:val="0"/>
          <w:color w:val="auto"/>
          <w:kern w:val="0"/>
          <w:szCs w:val="24"/>
        </w:rPr>
        <w:t>10.1.3.2</w:t>
      </w:r>
      <w:r>
        <w:rPr>
          <w:rFonts w:hint="eastAsia" w:hAnsi="宋体" w:cs="宋体"/>
          <w:snapToGrid w:val="0"/>
          <w:color w:val="auto"/>
          <w:kern w:val="0"/>
          <w:szCs w:val="24"/>
        </w:rPr>
        <w:t xml:space="preserve"> 投标文件封套、封面、组成内容中凡要求录入投标人名称且注明“盖单位章”处盖单位法人公章（电子印章）。</w:t>
      </w:r>
    </w:p>
    <w:p w14:paraId="4C208BBB">
      <w:pPr>
        <w:pStyle w:val="8"/>
        <w:wordWrap w:val="0"/>
        <w:adjustRightInd w:val="0"/>
        <w:snapToGrid w:val="0"/>
        <w:spacing w:line="460" w:lineRule="exact"/>
        <w:ind w:firstLineChars="0"/>
        <w:rPr>
          <w:rFonts w:hAnsi="宋体" w:cs="宋体"/>
          <w:snapToGrid w:val="0"/>
          <w:color w:val="auto"/>
          <w:kern w:val="0"/>
          <w:szCs w:val="24"/>
        </w:rPr>
      </w:pPr>
      <w:r>
        <w:rPr>
          <w:rFonts w:hint="eastAsia" w:hAnsi="宋体" w:cs="宋体"/>
          <w:b/>
          <w:bCs/>
          <w:snapToGrid w:val="0"/>
          <w:color w:val="auto"/>
          <w:kern w:val="0"/>
          <w:szCs w:val="24"/>
        </w:rPr>
        <w:t>10.1.3.3</w:t>
      </w:r>
      <w:r>
        <w:rPr>
          <w:rFonts w:hint="eastAsia" w:hAnsi="宋体" w:cs="宋体"/>
          <w:snapToGrid w:val="0"/>
          <w:color w:val="auto"/>
          <w:kern w:val="0"/>
          <w:szCs w:val="24"/>
        </w:rPr>
        <w:t xml:space="preserve"> 投标文件的签字均为签字人本人亲笔署名或签章（电子印章），其余部分的扫描件无须另行签字、盖章。</w:t>
      </w:r>
    </w:p>
    <w:p w14:paraId="05429A01">
      <w:pPr>
        <w:wordWrap w:val="0"/>
        <w:adjustRightInd w:val="0"/>
        <w:snapToGrid w:val="0"/>
        <w:spacing w:line="460" w:lineRule="exact"/>
        <w:ind w:firstLine="560"/>
        <w:rPr>
          <w:rFonts w:hAnsi="宋体" w:cs="宋体"/>
          <w:snapToGrid w:val="0"/>
          <w:color w:val="auto"/>
          <w:kern w:val="0"/>
          <w:szCs w:val="24"/>
        </w:rPr>
      </w:pPr>
      <w:r>
        <w:rPr>
          <w:rFonts w:hint="eastAsia" w:hAnsi="宋体" w:cs="宋体"/>
          <w:b/>
          <w:bCs/>
          <w:snapToGrid w:val="0"/>
          <w:color w:val="auto"/>
          <w:kern w:val="0"/>
          <w:szCs w:val="24"/>
        </w:rPr>
        <w:t>10.1.4</w:t>
      </w:r>
      <w:r>
        <w:rPr>
          <w:rFonts w:hint="eastAsia" w:hAnsi="宋体" w:cs="宋体"/>
          <w:snapToGrid w:val="0"/>
          <w:color w:val="auto"/>
          <w:kern w:val="0"/>
          <w:szCs w:val="24"/>
        </w:rPr>
        <w:t xml:space="preserve"> 联合体投标的，除《联合体协议书》外，由联合体牵头人按以上要求签亲笔署名或签章（电子印章）即可。</w:t>
      </w:r>
      <w:r>
        <w:rPr>
          <w:rFonts w:hint="eastAsia" w:hAnsi="宋体" w:cs="宋体"/>
          <w:b/>
          <w:bCs/>
          <w:snapToGrid w:val="0"/>
          <w:color w:val="auto"/>
          <w:kern w:val="0"/>
          <w:szCs w:val="24"/>
        </w:rPr>
        <w:t>（本项目不适用）</w:t>
      </w:r>
    </w:p>
    <w:p w14:paraId="3AAD55A4">
      <w:pPr>
        <w:wordWrap w:val="0"/>
        <w:adjustRightInd w:val="0"/>
        <w:snapToGrid w:val="0"/>
        <w:spacing w:line="460" w:lineRule="exact"/>
        <w:ind w:firstLine="560"/>
        <w:rPr>
          <w:rFonts w:hAnsi="宋体" w:cs="宋体"/>
          <w:b/>
          <w:snapToGrid w:val="0"/>
          <w:color w:val="auto"/>
          <w:kern w:val="0"/>
          <w:szCs w:val="24"/>
        </w:rPr>
      </w:pPr>
      <w:bookmarkStart w:id="51" w:name="_Toc257031159"/>
      <w:bookmarkStart w:id="52" w:name="_Toc274313880"/>
      <w:r>
        <w:rPr>
          <w:rFonts w:hint="eastAsia" w:hAnsi="宋体" w:cs="宋体"/>
          <w:b/>
          <w:bCs/>
          <w:snapToGrid w:val="0"/>
          <w:color w:val="auto"/>
          <w:kern w:val="0"/>
          <w:szCs w:val="24"/>
        </w:rPr>
        <w:t>10.2</w:t>
      </w:r>
      <w:r>
        <w:rPr>
          <w:rFonts w:hint="eastAsia" w:hAnsi="宋体" w:cs="宋体"/>
          <w:bCs/>
          <w:snapToGrid w:val="0"/>
          <w:color w:val="auto"/>
          <w:kern w:val="0"/>
          <w:szCs w:val="24"/>
        </w:rPr>
        <w:t xml:space="preserve"> 商务标书的编制要求</w:t>
      </w:r>
      <w:bookmarkEnd w:id="51"/>
      <w:bookmarkEnd w:id="52"/>
    </w:p>
    <w:p w14:paraId="4B30E0AC">
      <w:pPr>
        <w:wordWrap w:val="0"/>
        <w:adjustRightInd w:val="0"/>
        <w:snapToGrid w:val="0"/>
        <w:spacing w:line="460" w:lineRule="exact"/>
        <w:ind w:firstLine="561"/>
        <w:rPr>
          <w:rFonts w:hAnsi="宋体" w:cs="宋体"/>
          <w:snapToGrid w:val="0"/>
          <w:color w:val="auto"/>
          <w:kern w:val="0"/>
          <w:szCs w:val="24"/>
          <w:u w:val="single"/>
        </w:rPr>
      </w:pPr>
      <w:r>
        <w:rPr>
          <w:rFonts w:hint="eastAsia" w:hAnsi="宋体" w:cs="宋体"/>
          <w:b/>
          <w:bCs/>
          <w:snapToGrid w:val="0"/>
          <w:color w:val="auto"/>
          <w:kern w:val="0"/>
          <w:szCs w:val="24"/>
        </w:rPr>
        <w:t>10.2.1</w:t>
      </w:r>
      <w:r>
        <w:rPr>
          <w:rFonts w:hint="eastAsia" w:hAnsi="宋体" w:cs="宋体"/>
          <w:snapToGrid w:val="0"/>
          <w:color w:val="auto"/>
          <w:kern w:val="0"/>
          <w:szCs w:val="24"/>
        </w:rPr>
        <w:t xml:space="preserve"> </w:t>
      </w:r>
      <w:r>
        <w:rPr>
          <w:rFonts w:hint="eastAsia" w:hAnsi="宋体" w:cs="宋体"/>
          <w:bCs/>
          <w:snapToGrid w:val="0"/>
          <w:color w:val="auto"/>
          <w:kern w:val="0"/>
          <w:szCs w:val="24"/>
        </w:rPr>
        <w:t>商务标书</w:t>
      </w:r>
      <w:r>
        <w:rPr>
          <w:rFonts w:hint="eastAsia" w:hAnsi="宋体" w:cs="宋体"/>
          <w:snapToGrid w:val="0"/>
          <w:color w:val="auto"/>
          <w:kern w:val="0"/>
          <w:szCs w:val="24"/>
        </w:rPr>
        <w:t>包括但不限于以下内容：</w:t>
      </w:r>
    </w:p>
    <w:p w14:paraId="0F753C16">
      <w:pPr>
        <w:wordWrap w:val="0"/>
        <w:adjustRightInd w:val="0"/>
        <w:snapToGrid w:val="0"/>
        <w:spacing w:line="460" w:lineRule="exact"/>
        <w:rPr>
          <w:rFonts w:hAnsi="宋体" w:cs="宋体"/>
          <w:snapToGrid w:val="0"/>
          <w:color w:val="auto"/>
          <w:kern w:val="0"/>
          <w:szCs w:val="24"/>
        </w:rPr>
      </w:pPr>
      <w:r>
        <w:rPr>
          <w:rFonts w:hint="eastAsia" w:hAnsi="宋体" w:cs="宋体"/>
          <w:snapToGrid w:val="0"/>
          <w:color w:val="auto"/>
          <w:kern w:val="0"/>
          <w:szCs w:val="24"/>
        </w:rPr>
        <w:t xml:space="preserve">    （1）封面（格式一）；</w:t>
      </w:r>
    </w:p>
    <w:p w14:paraId="4451554F">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（2）目录；</w:t>
      </w:r>
    </w:p>
    <w:p w14:paraId="01269C4A">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（3）《投标函》（格式二）；</w:t>
      </w:r>
    </w:p>
    <w:p w14:paraId="6F10F7A2">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（4）《各项承诺一览表》（格式三）；</w:t>
      </w:r>
    </w:p>
    <w:p w14:paraId="7BC32FD6">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（5）《授权委托书》（格式四）；</w:t>
      </w:r>
    </w:p>
    <w:p w14:paraId="5A283888">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（6）《法定代表人身份证明》（格式五）；</w:t>
      </w:r>
    </w:p>
    <w:p w14:paraId="1F6C4E36">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7）投标保证缴纳证明（投标人采用投标保证金的，附建设工程交易系统《缴纳投标保证金通知书》页面截图和银行转账单扫描件；采用投标保证担保的，附银行保函扫描件；采用投标保证保险的，附电子保单和《交易平台保证金缴纳信息》页面截图）。</w:t>
      </w:r>
    </w:p>
    <w:p w14:paraId="1945599E">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（8）《投标人基本情况表》（格式六）及所附资料；</w:t>
      </w:r>
    </w:p>
    <w:p w14:paraId="6A008023">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（9）《总监理工程师任职声明》（格式七或格式八，由投标人根据拟派总监理工程师任职情况选用）；</w:t>
      </w:r>
    </w:p>
    <w:p w14:paraId="4B02DB1C">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（10）《总监理工程师任职项目情况表》（格式九）及所附资料；</w:t>
      </w:r>
    </w:p>
    <w:p w14:paraId="3AE9DA0C">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（11）《项目监理机构组成人员汇总表》（格式十）；</w:t>
      </w:r>
    </w:p>
    <w:p w14:paraId="0B2475C9">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（12）《总监理工程师简历表》（格式十一）及所附资料；</w:t>
      </w:r>
    </w:p>
    <w:p w14:paraId="28BC1527">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（13）《其他拟派人员简历表》（格式十二）及所附资料；</w:t>
      </w:r>
    </w:p>
    <w:p w14:paraId="5525616F">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（14）详细评审阶段要求提供的评审资料（详见本节第</w:t>
      </w:r>
      <w:r>
        <w:rPr>
          <w:rFonts w:hint="eastAsia" w:hAnsi="宋体" w:cs="宋体"/>
          <w:b/>
          <w:bCs/>
          <w:snapToGrid w:val="0"/>
          <w:color w:val="auto"/>
          <w:kern w:val="0"/>
          <w:szCs w:val="24"/>
        </w:rPr>
        <w:t>15.5.1</w:t>
      </w:r>
      <w:r>
        <w:rPr>
          <w:rFonts w:hint="eastAsia" w:hAnsi="宋体" w:cs="宋体"/>
          <w:snapToGrid w:val="0"/>
          <w:color w:val="auto"/>
          <w:kern w:val="0"/>
          <w:szCs w:val="24"/>
        </w:rPr>
        <w:t>目）；</w:t>
      </w:r>
    </w:p>
    <w:p w14:paraId="445CDE17">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15）投标人认为有必要补充的其他资料。（例如投标人已经工商变更，但其员工执业资格注册证书上的企业名称未能在投标期间完成变更的书面说明和佐证材料；外省企业所在省、地级市住建部门或其授权的组织（机构）关于企业资质、人员资格有效期自动顺延或延续办理的相关文件等）。</w:t>
      </w:r>
    </w:p>
    <w:p w14:paraId="7C52505D">
      <w:pPr>
        <w:wordWrap w:val="0"/>
        <w:adjustRightInd w:val="0"/>
        <w:snapToGrid w:val="0"/>
        <w:spacing w:line="460" w:lineRule="exact"/>
        <w:ind w:firstLine="482" w:firstLineChars="200"/>
        <w:rPr>
          <w:rFonts w:hAnsi="宋体" w:cs="宋体"/>
          <w:snapToGrid w:val="0"/>
          <w:color w:val="auto"/>
          <w:kern w:val="0"/>
          <w:szCs w:val="24"/>
        </w:rPr>
      </w:pPr>
      <w:r>
        <w:rPr>
          <w:rFonts w:hint="eastAsia" w:hAnsi="宋体" w:cs="宋体"/>
          <w:b/>
          <w:bCs/>
          <w:snapToGrid w:val="0"/>
          <w:color w:val="auto"/>
          <w:kern w:val="0"/>
          <w:szCs w:val="24"/>
        </w:rPr>
        <w:t>10.2.2</w:t>
      </w:r>
      <w:r>
        <w:rPr>
          <w:rFonts w:hint="eastAsia" w:hAnsi="宋体" w:cs="宋体"/>
          <w:snapToGrid w:val="0"/>
          <w:color w:val="auto"/>
          <w:kern w:val="0"/>
          <w:szCs w:val="24"/>
        </w:rPr>
        <w:t xml:space="preserve"> 本节第</w:t>
      </w:r>
      <w:r>
        <w:rPr>
          <w:rFonts w:hint="eastAsia" w:hAnsi="宋体" w:cs="宋体"/>
          <w:b/>
          <w:bCs/>
          <w:snapToGrid w:val="0"/>
          <w:color w:val="auto"/>
          <w:kern w:val="0"/>
          <w:szCs w:val="24"/>
        </w:rPr>
        <w:t>10.2.1</w:t>
      </w:r>
      <w:r>
        <w:rPr>
          <w:rFonts w:hint="eastAsia" w:hAnsi="宋体" w:cs="宋体"/>
          <w:snapToGrid w:val="0"/>
          <w:color w:val="auto"/>
          <w:kern w:val="0"/>
          <w:szCs w:val="24"/>
        </w:rPr>
        <w:t>目中所列出的商务标书组成内容中，第（1）至第（13）项所有投标人均应提供。</w:t>
      </w:r>
      <w:r>
        <w:rPr>
          <w:rFonts w:hint="eastAsia" w:hAnsi="宋体" w:cs="宋体"/>
          <w:b/>
          <w:bCs/>
          <w:snapToGrid w:val="0"/>
          <w:color w:val="auto"/>
          <w:kern w:val="0"/>
          <w:szCs w:val="24"/>
        </w:rPr>
        <w:t>但拟派总监理工程师现阶段未担任任何在施建设工程项目总监理工程师的，无需提供第（10）项内容。</w:t>
      </w:r>
    </w:p>
    <w:p w14:paraId="0D844BF9">
      <w:pPr>
        <w:wordWrap w:val="0"/>
        <w:adjustRightInd w:val="0"/>
        <w:snapToGrid w:val="0"/>
        <w:spacing w:line="460" w:lineRule="exact"/>
        <w:ind w:firstLine="482" w:firstLineChars="200"/>
        <w:rPr>
          <w:rFonts w:hAnsi="宋体" w:cs="宋体"/>
          <w:b/>
          <w:bCs/>
          <w:snapToGrid w:val="0"/>
          <w:color w:val="auto"/>
          <w:kern w:val="0"/>
          <w:szCs w:val="24"/>
        </w:rPr>
      </w:pPr>
      <w:r>
        <w:rPr>
          <w:rFonts w:hint="eastAsia" w:hAnsi="宋体" w:cs="宋体"/>
          <w:b/>
          <w:bCs/>
          <w:snapToGrid w:val="0"/>
          <w:color w:val="auto"/>
          <w:kern w:val="0"/>
          <w:szCs w:val="24"/>
        </w:rPr>
        <w:t>10.2.3</w:t>
      </w:r>
      <w:r>
        <w:rPr>
          <w:rFonts w:hint="eastAsia" w:hAnsi="宋体" w:cs="宋体"/>
          <w:snapToGrid w:val="0"/>
          <w:color w:val="auto"/>
          <w:kern w:val="0"/>
          <w:szCs w:val="24"/>
        </w:rPr>
        <w:t xml:space="preserve"> 商务标书的组成内容按本节第</w:t>
      </w:r>
      <w:r>
        <w:rPr>
          <w:rFonts w:hint="eastAsia" w:hAnsi="宋体" w:cs="宋体"/>
          <w:b/>
          <w:bCs/>
          <w:snapToGrid w:val="0"/>
          <w:color w:val="auto"/>
          <w:kern w:val="0"/>
          <w:szCs w:val="24"/>
        </w:rPr>
        <w:t>10.2.1</w:t>
      </w:r>
      <w:r>
        <w:rPr>
          <w:rFonts w:hint="eastAsia" w:hAnsi="宋体" w:cs="宋体"/>
          <w:snapToGrid w:val="0"/>
          <w:color w:val="auto"/>
          <w:kern w:val="0"/>
          <w:szCs w:val="24"/>
        </w:rPr>
        <w:t>目规定的顺序整理、编排后，逐页（页码起始从封面开始）连续标记页码。</w:t>
      </w:r>
    </w:p>
    <w:p w14:paraId="08F72765">
      <w:pPr>
        <w:wordWrap w:val="0"/>
        <w:adjustRightInd w:val="0"/>
        <w:snapToGrid w:val="0"/>
        <w:spacing w:line="460" w:lineRule="exact"/>
        <w:ind w:firstLine="480"/>
        <w:rPr>
          <w:rFonts w:hAnsi="宋体" w:cs="宋体"/>
          <w:bCs/>
          <w:snapToGrid w:val="0"/>
          <w:color w:val="auto"/>
          <w:kern w:val="0"/>
          <w:szCs w:val="24"/>
        </w:rPr>
      </w:pPr>
      <w:r>
        <w:rPr>
          <w:rFonts w:hint="eastAsia" w:hAnsi="宋体" w:cs="宋体"/>
          <w:b/>
          <w:bCs/>
          <w:snapToGrid w:val="0"/>
          <w:color w:val="auto"/>
          <w:kern w:val="0"/>
          <w:szCs w:val="24"/>
        </w:rPr>
        <w:t>10.3</w:t>
      </w:r>
      <w:r>
        <w:rPr>
          <w:rFonts w:hint="eastAsia" w:hAnsi="宋体" w:cs="宋体"/>
          <w:bCs/>
          <w:snapToGrid w:val="0"/>
          <w:color w:val="auto"/>
          <w:kern w:val="0"/>
          <w:szCs w:val="24"/>
        </w:rPr>
        <w:t xml:space="preserve"> 监理大纲的编制要求</w:t>
      </w:r>
    </w:p>
    <w:p w14:paraId="6FF6909B">
      <w:pPr>
        <w:wordWrap w:val="0"/>
        <w:adjustRightInd w:val="0"/>
        <w:snapToGrid w:val="0"/>
        <w:spacing w:line="460" w:lineRule="exact"/>
        <w:ind w:firstLine="480"/>
        <w:rPr>
          <w:rFonts w:hAnsi="宋体" w:cs="宋体"/>
          <w:bCs/>
          <w:snapToGrid w:val="0"/>
          <w:color w:val="auto"/>
          <w:kern w:val="0"/>
          <w:szCs w:val="24"/>
        </w:rPr>
      </w:pPr>
      <w:r>
        <w:rPr>
          <w:rFonts w:hint="eastAsia" w:hAnsi="宋体" w:cs="宋体"/>
          <w:b/>
          <w:snapToGrid w:val="0"/>
          <w:color w:val="auto"/>
          <w:kern w:val="0"/>
          <w:szCs w:val="24"/>
        </w:rPr>
        <w:t>10.3.1</w:t>
      </w:r>
      <w:r>
        <w:rPr>
          <w:rFonts w:hint="eastAsia" w:hAnsi="宋体" w:cs="宋体"/>
          <w:bCs/>
          <w:snapToGrid w:val="0"/>
          <w:color w:val="auto"/>
          <w:kern w:val="0"/>
          <w:szCs w:val="24"/>
        </w:rPr>
        <w:t xml:space="preserve"> 监理大纲</w:t>
      </w:r>
      <w:r>
        <w:rPr>
          <w:rFonts w:hint="eastAsia" w:hAnsi="宋体" w:cs="宋体"/>
          <w:snapToGrid w:val="0"/>
          <w:color w:val="auto"/>
          <w:kern w:val="0"/>
          <w:szCs w:val="24"/>
        </w:rPr>
        <w:t>的编制依据包括且不限于</w:t>
      </w:r>
      <w:r>
        <w:rPr>
          <w:rFonts w:hint="eastAsia" w:hAnsi="宋体" w:cs="宋体"/>
          <w:bCs/>
          <w:snapToGrid w:val="0"/>
          <w:color w:val="auto"/>
          <w:kern w:val="0"/>
          <w:szCs w:val="24"/>
        </w:rPr>
        <w:t>：</w:t>
      </w:r>
    </w:p>
    <w:p w14:paraId="1C599E52">
      <w:pPr>
        <w:wordWrap w:val="0"/>
        <w:adjustRightInd w:val="0"/>
        <w:snapToGrid w:val="0"/>
        <w:spacing w:line="460" w:lineRule="exact"/>
        <w:ind w:firstLine="480"/>
        <w:rPr>
          <w:rFonts w:hAnsi="宋体" w:cs="宋体"/>
          <w:bCs/>
          <w:snapToGrid w:val="0"/>
          <w:color w:val="auto"/>
          <w:kern w:val="0"/>
          <w:szCs w:val="24"/>
        </w:rPr>
      </w:pPr>
      <w:r>
        <w:rPr>
          <w:rFonts w:hint="eastAsia" w:hAnsi="宋体" w:cs="宋体"/>
          <w:bCs/>
          <w:snapToGrid w:val="0"/>
          <w:color w:val="auto"/>
          <w:kern w:val="0"/>
          <w:szCs w:val="24"/>
        </w:rPr>
        <w:t>（1）招标文件及</w:t>
      </w:r>
      <w:r>
        <w:rPr>
          <w:rFonts w:hint="eastAsia" w:hAnsi="宋体" w:cs="宋体"/>
          <w:snapToGrid w:val="0"/>
          <w:color w:val="auto"/>
          <w:kern w:val="0"/>
          <w:szCs w:val="24"/>
        </w:rPr>
        <w:t>其答疑（或修改）公告；</w:t>
      </w:r>
    </w:p>
    <w:p w14:paraId="228888CE">
      <w:pPr>
        <w:wordWrap w:val="0"/>
        <w:adjustRightInd w:val="0"/>
        <w:snapToGrid w:val="0"/>
        <w:spacing w:line="460" w:lineRule="exact"/>
        <w:ind w:firstLine="480"/>
        <w:rPr>
          <w:rFonts w:hAnsi="宋体" w:cs="宋体"/>
          <w:bCs/>
          <w:snapToGrid w:val="0"/>
          <w:color w:val="auto"/>
          <w:kern w:val="0"/>
          <w:szCs w:val="24"/>
        </w:rPr>
      </w:pPr>
      <w:r>
        <w:rPr>
          <w:rFonts w:hint="eastAsia" w:hAnsi="宋体" w:cs="宋体"/>
          <w:bCs/>
          <w:snapToGrid w:val="0"/>
          <w:color w:val="auto"/>
          <w:kern w:val="0"/>
          <w:szCs w:val="24"/>
        </w:rPr>
        <w:t>（2）施工现场情况、工程特点；</w:t>
      </w:r>
    </w:p>
    <w:p w14:paraId="74FC3749">
      <w:pPr>
        <w:wordWrap w:val="0"/>
        <w:adjustRightInd w:val="0"/>
        <w:snapToGrid w:val="0"/>
        <w:spacing w:line="460" w:lineRule="exact"/>
        <w:ind w:firstLine="480"/>
        <w:rPr>
          <w:rFonts w:hAnsi="宋体" w:cs="宋体"/>
          <w:bCs/>
          <w:snapToGrid w:val="0"/>
          <w:color w:val="auto"/>
          <w:kern w:val="0"/>
          <w:szCs w:val="24"/>
        </w:rPr>
      </w:pPr>
      <w:r>
        <w:rPr>
          <w:rFonts w:hint="eastAsia" w:hAnsi="宋体" w:cs="宋体"/>
          <w:bCs/>
          <w:snapToGrid w:val="0"/>
          <w:color w:val="auto"/>
          <w:kern w:val="0"/>
          <w:szCs w:val="24"/>
        </w:rPr>
        <w:t>（3）相关法律、法规、规定；</w:t>
      </w:r>
    </w:p>
    <w:p w14:paraId="70FBC661">
      <w:pPr>
        <w:wordWrap w:val="0"/>
        <w:adjustRightInd w:val="0"/>
        <w:snapToGrid w:val="0"/>
        <w:spacing w:line="460" w:lineRule="exact"/>
        <w:ind w:firstLine="480"/>
        <w:rPr>
          <w:rFonts w:hAnsi="宋体" w:cs="宋体"/>
          <w:bCs/>
          <w:snapToGrid w:val="0"/>
          <w:color w:val="auto"/>
          <w:kern w:val="0"/>
          <w:szCs w:val="24"/>
        </w:rPr>
      </w:pPr>
      <w:r>
        <w:rPr>
          <w:rFonts w:hint="eastAsia" w:hAnsi="宋体" w:cs="宋体"/>
          <w:bCs/>
          <w:snapToGrid w:val="0"/>
          <w:color w:val="auto"/>
          <w:kern w:val="0"/>
          <w:szCs w:val="24"/>
        </w:rPr>
        <w:t>（4）国家、广东省、韶关市关于施工现场管理、施工工艺、绿色施工、安全防护、文明施工、环境保护等方面的标准、规范、技术资料。如《广东省住房和城乡建设厅绿色施工导则》《广东省建设工程施工扬尘污染防治管理办法（试行）》等；</w:t>
      </w:r>
    </w:p>
    <w:p w14:paraId="692CEB07">
      <w:pPr>
        <w:wordWrap w:val="0"/>
        <w:adjustRightInd w:val="0"/>
        <w:snapToGrid w:val="0"/>
        <w:spacing w:line="460" w:lineRule="exact"/>
        <w:ind w:firstLine="482" w:firstLineChars="200"/>
        <w:rPr>
          <w:rFonts w:hAnsi="宋体" w:cs="宋体"/>
          <w:snapToGrid w:val="0"/>
          <w:color w:val="auto"/>
          <w:kern w:val="0"/>
          <w:szCs w:val="24"/>
        </w:rPr>
      </w:pPr>
      <w:r>
        <w:rPr>
          <w:rFonts w:hint="eastAsia" w:hAnsi="宋体" w:cs="宋体"/>
          <w:b/>
          <w:snapToGrid w:val="0"/>
          <w:color w:val="auto"/>
          <w:kern w:val="0"/>
          <w:szCs w:val="24"/>
        </w:rPr>
        <w:t>10.3.2</w:t>
      </w:r>
      <w:r>
        <w:rPr>
          <w:rFonts w:hint="eastAsia" w:hAnsi="宋体" w:cs="宋体"/>
          <w:bCs/>
          <w:snapToGrid w:val="0"/>
          <w:color w:val="auto"/>
          <w:kern w:val="0"/>
          <w:szCs w:val="24"/>
        </w:rPr>
        <w:t xml:space="preserve"> 监理大纲</w:t>
      </w:r>
      <w:r>
        <w:rPr>
          <w:rFonts w:hint="eastAsia" w:hAnsi="宋体" w:cs="宋体"/>
          <w:snapToGrid w:val="0"/>
          <w:color w:val="auto"/>
          <w:kern w:val="0"/>
          <w:szCs w:val="24"/>
        </w:rPr>
        <w:t>包括但不限于以下内容：</w:t>
      </w:r>
    </w:p>
    <w:p w14:paraId="18A90A4D">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（1）封面（格式一）；</w:t>
      </w:r>
    </w:p>
    <w:p w14:paraId="7C7295F8">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（2）目录；</w:t>
      </w:r>
    </w:p>
    <w:p w14:paraId="0D08AD18">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（3）监理工程概况；</w:t>
      </w:r>
    </w:p>
    <w:p w14:paraId="1C09FBDB">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（4）监理及相关服务的范围、内容；</w:t>
      </w:r>
    </w:p>
    <w:p w14:paraId="348740A2">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（5）监理及相关服务的依据、目标；</w:t>
      </w:r>
    </w:p>
    <w:p w14:paraId="610776DC">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（6）项目监理机构设置（框图）、岗位职责；</w:t>
      </w:r>
    </w:p>
    <w:p w14:paraId="6FE81560">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（7）监理及相关服务的工作程序、方法和制度；</w:t>
      </w:r>
    </w:p>
    <w:p w14:paraId="1E22B51E">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（8）拟投入的监理及相关服务人员；</w:t>
      </w:r>
    </w:p>
    <w:p w14:paraId="1E4C7B99">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（9）质量、进度、造价、安全、绿色施工监理措施；</w:t>
      </w:r>
    </w:p>
    <w:p w14:paraId="6868312B">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（10）合同、信息管理方案；</w:t>
      </w:r>
    </w:p>
    <w:p w14:paraId="2B6DF909">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（11）组织协调内容及措施；</w:t>
      </w:r>
    </w:p>
    <w:p w14:paraId="014E34E0">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（12）监理及相关服务的工作重点、难点分析；</w:t>
      </w:r>
    </w:p>
    <w:p w14:paraId="0815240E">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（13）对本工程监理及相关服务的合理化建议。</w:t>
      </w:r>
    </w:p>
    <w:p w14:paraId="592D575E">
      <w:pPr>
        <w:wordWrap w:val="0"/>
        <w:adjustRightInd w:val="0"/>
        <w:snapToGrid w:val="0"/>
        <w:spacing w:line="460" w:lineRule="exact"/>
        <w:ind w:firstLine="482" w:firstLineChars="200"/>
        <w:rPr>
          <w:rFonts w:hAnsi="宋体" w:cs="宋体"/>
          <w:snapToGrid w:val="0"/>
          <w:color w:val="auto"/>
          <w:kern w:val="0"/>
          <w:szCs w:val="24"/>
        </w:rPr>
      </w:pPr>
      <w:r>
        <w:rPr>
          <w:rFonts w:hint="eastAsia" w:hAnsi="宋体" w:cs="宋体"/>
          <w:b/>
          <w:bCs/>
          <w:snapToGrid w:val="0"/>
          <w:color w:val="auto"/>
          <w:kern w:val="0"/>
          <w:szCs w:val="24"/>
        </w:rPr>
        <w:t>10.3.3</w:t>
      </w:r>
      <w:r>
        <w:rPr>
          <w:rFonts w:hint="eastAsia" w:hAnsi="宋体" w:cs="宋体"/>
          <w:snapToGrid w:val="0"/>
          <w:color w:val="auto"/>
          <w:kern w:val="0"/>
          <w:szCs w:val="24"/>
        </w:rPr>
        <w:t xml:space="preserve"> 本节第</w:t>
      </w:r>
      <w:r>
        <w:rPr>
          <w:rFonts w:hint="eastAsia" w:hAnsi="宋体" w:cs="宋体"/>
          <w:b/>
          <w:bCs/>
          <w:snapToGrid w:val="0"/>
          <w:color w:val="auto"/>
          <w:kern w:val="0"/>
          <w:szCs w:val="24"/>
        </w:rPr>
        <w:t>10.3.2</w:t>
      </w:r>
      <w:r>
        <w:rPr>
          <w:rFonts w:hint="eastAsia" w:hAnsi="宋体" w:cs="宋体"/>
          <w:snapToGrid w:val="0"/>
          <w:color w:val="auto"/>
          <w:kern w:val="0"/>
          <w:szCs w:val="24"/>
        </w:rPr>
        <w:t>目中所列出的</w:t>
      </w:r>
      <w:r>
        <w:rPr>
          <w:rFonts w:hint="eastAsia" w:hAnsi="宋体" w:cs="宋体"/>
          <w:bCs/>
          <w:snapToGrid w:val="0"/>
          <w:color w:val="auto"/>
          <w:kern w:val="0"/>
          <w:szCs w:val="24"/>
        </w:rPr>
        <w:t>监理大纲</w:t>
      </w:r>
      <w:r>
        <w:rPr>
          <w:rFonts w:hint="eastAsia" w:hAnsi="宋体" w:cs="宋体"/>
          <w:snapToGrid w:val="0"/>
          <w:color w:val="auto"/>
          <w:kern w:val="0"/>
          <w:szCs w:val="24"/>
        </w:rPr>
        <w:t>组成内容，所有投标人均应提供。</w:t>
      </w:r>
    </w:p>
    <w:p w14:paraId="2FB622A6">
      <w:pPr>
        <w:wordWrap w:val="0"/>
        <w:adjustRightInd w:val="0"/>
        <w:snapToGrid w:val="0"/>
        <w:spacing w:line="460" w:lineRule="exact"/>
        <w:ind w:firstLine="482" w:firstLineChars="200"/>
        <w:rPr>
          <w:rFonts w:hAnsi="宋体" w:cs="宋体"/>
          <w:snapToGrid w:val="0"/>
          <w:color w:val="auto"/>
          <w:kern w:val="0"/>
          <w:szCs w:val="24"/>
        </w:rPr>
      </w:pPr>
      <w:r>
        <w:rPr>
          <w:rFonts w:hint="eastAsia" w:hAnsi="宋体" w:cs="宋体"/>
          <w:b/>
          <w:bCs/>
          <w:snapToGrid w:val="0"/>
          <w:color w:val="auto"/>
          <w:kern w:val="0"/>
          <w:szCs w:val="24"/>
        </w:rPr>
        <w:t>10.3.4</w:t>
      </w:r>
      <w:r>
        <w:rPr>
          <w:rFonts w:hint="eastAsia" w:hAnsi="宋体" w:cs="宋体"/>
          <w:snapToGrid w:val="0"/>
          <w:color w:val="auto"/>
          <w:kern w:val="0"/>
          <w:szCs w:val="24"/>
        </w:rPr>
        <w:t xml:space="preserve"> </w:t>
      </w:r>
      <w:r>
        <w:rPr>
          <w:rFonts w:hint="eastAsia" w:hAnsi="宋体" w:cs="宋体"/>
          <w:bCs/>
          <w:snapToGrid w:val="0"/>
          <w:color w:val="auto"/>
          <w:kern w:val="0"/>
          <w:szCs w:val="24"/>
        </w:rPr>
        <w:t>监理大纲</w:t>
      </w:r>
      <w:r>
        <w:rPr>
          <w:rFonts w:hint="eastAsia" w:hAnsi="宋体" w:cs="宋体"/>
          <w:snapToGrid w:val="0"/>
          <w:color w:val="auto"/>
          <w:kern w:val="0"/>
          <w:szCs w:val="24"/>
        </w:rPr>
        <w:t>的组成内容按本节第</w:t>
      </w:r>
      <w:r>
        <w:rPr>
          <w:rFonts w:hint="eastAsia" w:hAnsi="宋体" w:cs="宋体"/>
          <w:b/>
          <w:bCs/>
          <w:snapToGrid w:val="0"/>
          <w:color w:val="auto"/>
          <w:kern w:val="0"/>
          <w:szCs w:val="24"/>
        </w:rPr>
        <w:t>10.3.2</w:t>
      </w:r>
      <w:r>
        <w:rPr>
          <w:rFonts w:hint="eastAsia" w:hAnsi="宋体" w:cs="宋体"/>
          <w:snapToGrid w:val="0"/>
          <w:color w:val="auto"/>
          <w:kern w:val="0"/>
          <w:szCs w:val="24"/>
        </w:rPr>
        <w:t>目规定的顺序整理、编排后，逐页（页码起始从封面开始）连续标记页码。</w:t>
      </w:r>
    </w:p>
    <w:p w14:paraId="093ADA38">
      <w:pPr>
        <w:pStyle w:val="3"/>
        <w:wordWrap w:val="0"/>
        <w:autoSpaceDE/>
        <w:autoSpaceDN/>
        <w:snapToGrid w:val="0"/>
        <w:spacing w:line="460" w:lineRule="exact"/>
        <w:ind w:firstLine="480"/>
        <w:jc w:val="both"/>
        <w:rPr>
          <w:rFonts w:hAnsi="宋体" w:cs="宋体"/>
          <w:b/>
          <w:snapToGrid w:val="0"/>
          <w:color w:val="auto"/>
          <w:szCs w:val="24"/>
        </w:rPr>
      </w:pPr>
      <w:bookmarkStart w:id="53" w:name="_Toc2864"/>
      <w:bookmarkStart w:id="54" w:name="_Toc18720"/>
      <w:r>
        <w:rPr>
          <w:rFonts w:hint="eastAsia" w:hAnsi="宋体" w:cs="宋体"/>
          <w:b/>
          <w:snapToGrid w:val="0"/>
          <w:color w:val="auto"/>
          <w:szCs w:val="24"/>
        </w:rPr>
        <w:t>11．</w:t>
      </w:r>
      <w:bookmarkEnd w:id="53"/>
      <w:r>
        <w:rPr>
          <w:rFonts w:hint="eastAsia" w:hAnsi="宋体" w:cs="宋体"/>
          <w:b/>
          <w:snapToGrid w:val="0"/>
          <w:color w:val="auto"/>
          <w:szCs w:val="24"/>
        </w:rPr>
        <w:t>电子投标</w:t>
      </w:r>
      <w:bookmarkEnd w:id="54"/>
    </w:p>
    <w:p w14:paraId="58BFBDCC">
      <w:pPr>
        <w:pStyle w:val="24"/>
        <w:wordWrap w:val="0"/>
        <w:adjustRightInd w:val="0"/>
        <w:snapToGrid w:val="0"/>
        <w:spacing w:line="460" w:lineRule="exact"/>
        <w:ind w:firstLine="482" w:firstLineChars="200"/>
        <w:jc w:val="left"/>
        <w:rPr>
          <w:rFonts w:ascii="宋体" w:hAnsi="宋体" w:cs="宋体"/>
          <w:snapToGrid w:val="0"/>
          <w:color w:val="auto"/>
          <w:kern w:val="0"/>
          <w:sz w:val="24"/>
        </w:rPr>
      </w:pPr>
      <w:r>
        <w:rPr>
          <w:rFonts w:hint="eastAsia" w:ascii="宋体" w:hAnsi="宋体" w:cs="宋体"/>
          <w:b/>
          <w:bCs/>
          <w:snapToGrid w:val="0"/>
          <w:color w:val="auto"/>
          <w:kern w:val="0"/>
          <w:sz w:val="24"/>
        </w:rPr>
        <w:t>11.1</w:t>
      </w:r>
      <w:r>
        <w:rPr>
          <w:rFonts w:hint="eastAsia" w:ascii="宋体" w:hAnsi="宋体" w:cs="宋体"/>
          <w:snapToGrid w:val="0"/>
          <w:color w:val="auto"/>
          <w:kern w:val="0"/>
          <w:sz w:val="24"/>
        </w:rPr>
        <w:t>在建设工程交易系统上传加盖了电子印章的投标文件、录入相关信息及标书页码信息，（页码起始从封面开始）并提交投标标书，提交标书为已加密投标文件。具体操作参照</w:t>
      </w:r>
      <w:r>
        <w:rPr>
          <w:rFonts w:hint="eastAsia"/>
          <w:color w:val="auto"/>
        </w:rPr>
        <w:t>《韶关市公共资源建设工程交易系统-投标人操作指南（电子评标）》</w:t>
      </w:r>
      <w:r>
        <w:rPr>
          <w:rFonts w:hint="eastAsia" w:ascii="宋体" w:hAnsi="宋体" w:cs="宋体"/>
          <w:snapToGrid w:val="0"/>
          <w:color w:val="auto"/>
          <w:kern w:val="0"/>
          <w:sz w:val="24"/>
        </w:rPr>
        <w:t>。本项目评标采用全流程电子化进行招标投标（投标人应根据韶关市公共资源建设工程交易系统进行编辑投标相关内容、按招标文件电子投标要求上传已加盖电子印章投标文件，否则将自行承担不利后果）。投标文件完成上传后，投标人应使用 CA 数字证书对投标文件进行文件加密，形成加密的投标文件并提交标书。</w:t>
      </w:r>
    </w:p>
    <w:p w14:paraId="77DD4C29">
      <w:pPr>
        <w:pStyle w:val="24"/>
        <w:wordWrap w:val="0"/>
        <w:adjustRightInd w:val="0"/>
        <w:snapToGrid w:val="0"/>
        <w:spacing w:line="460" w:lineRule="exact"/>
        <w:ind w:firstLine="482" w:firstLineChars="200"/>
        <w:jc w:val="left"/>
        <w:rPr>
          <w:rFonts w:ascii="宋体" w:hAnsi="宋体" w:cs="宋体"/>
          <w:snapToGrid w:val="0"/>
          <w:color w:val="auto"/>
          <w:kern w:val="0"/>
          <w:sz w:val="24"/>
        </w:rPr>
      </w:pPr>
      <w:r>
        <w:rPr>
          <w:rFonts w:hint="eastAsia" w:ascii="宋体" w:hAnsi="宋体" w:cs="宋体"/>
          <w:b/>
          <w:bCs/>
          <w:snapToGrid w:val="0"/>
          <w:color w:val="auto"/>
          <w:kern w:val="0"/>
          <w:sz w:val="24"/>
        </w:rPr>
        <w:t>11.2</w:t>
      </w:r>
      <w:r>
        <w:rPr>
          <w:rFonts w:hint="eastAsia" w:ascii="宋体" w:hAnsi="宋体" w:cs="宋体"/>
          <w:snapToGrid w:val="0"/>
          <w:color w:val="auto"/>
          <w:kern w:val="0"/>
          <w:sz w:val="24"/>
        </w:rPr>
        <w:t>电子投标文件的修改、撤回：在提交投标文件截止时间前，投标人可以修改或撤回未解密的电子投标文件，并于提交投标文件截止时间前将重新上传修改后的电子投标文件至系统，到达投标文件提交截止时间后投标人不得撤回、补充、修改和更换投标文件。</w:t>
      </w:r>
    </w:p>
    <w:p w14:paraId="6E2AF390">
      <w:pPr>
        <w:ind w:firstLine="482" w:firstLineChars="200"/>
        <w:rPr>
          <w:rFonts w:hAnsi="宋体" w:cs="宋体"/>
          <w:snapToGrid w:val="0"/>
          <w:color w:val="auto"/>
          <w:kern w:val="0"/>
          <w:szCs w:val="24"/>
        </w:rPr>
      </w:pPr>
      <w:r>
        <w:rPr>
          <w:rFonts w:hint="eastAsia" w:hAnsi="宋体" w:cs="宋体"/>
          <w:b/>
          <w:bCs/>
          <w:snapToGrid w:val="0"/>
          <w:color w:val="auto"/>
          <w:kern w:val="0"/>
          <w:szCs w:val="24"/>
        </w:rPr>
        <w:t xml:space="preserve">11.3 </w:t>
      </w:r>
      <w:r>
        <w:rPr>
          <w:rFonts w:hint="eastAsia" w:hAnsi="宋体" w:cs="宋体"/>
          <w:snapToGrid w:val="0"/>
          <w:color w:val="auto"/>
          <w:kern w:val="0"/>
          <w:szCs w:val="24"/>
        </w:rPr>
        <w:t>电子投标解密失败及突发情况的补救</w:t>
      </w:r>
    </w:p>
    <w:p w14:paraId="62F54D24">
      <w:pPr>
        <w:pStyle w:val="24"/>
        <w:wordWrap w:val="0"/>
        <w:adjustRightInd w:val="0"/>
        <w:snapToGrid w:val="0"/>
        <w:spacing w:line="460" w:lineRule="exact"/>
        <w:ind w:firstLine="482" w:firstLineChars="200"/>
        <w:jc w:val="left"/>
        <w:rPr>
          <w:rFonts w:ascii="宋体" w:hAnsi="宋体" w:cs="宋体"/>
          <w:snapToGrid w:val="0"/>
          <w:color w:val="auto"/>
          <w:kern w:val="0"/>
          <w:sz w:val="24"/>
        </w:rPr>
      </w:pPr>
      <w:r>
        <w:rPr>
          <w:rFonts w:hint="eastAsia" w:ascii="宋体" w:hAnsi="宋体" w:cs="宋体"/>
          <w:b/>
          <w:bCs/>
          <w:snapToGrid w:val="0"/>
          <w:color w:val="auto"/>
          <w:kern w:val="0"/>
          <w:sz w:val="24"/>
        </w:rPr>
        <w:t>11.3.1</w:t>
      </w:r>
      <w:r>
        <w:rPr>
          <w:rFonts w:hint="eastAsia" w:ascii="宋体" w:hAnsi="宋体" w:cs="宋体"/>
          <w:snapToGrid w:val="0"/>
          <w:color w:val="auto"/>
          <w:kern w:val="0"/>
          <w:sz w:val="24"/>
        </w:rPr>
        <w:t xml:space="preserve">按照交易平台关于全流程电子化项目的相关指南进行操作。详见：全国公共资源交易平台（广东省·韶关市）（https://ygp.gdzwfw.gov.cn/ggzy-portal/#/440200/index）【服务指南】栏目发布的最新版操作指引。  </w:t>
      </w:r>
    </w:p>
    <w:p w14:paraId="217586CD">
      <w:pPr>
        <w:pStyle w:val="24"/>
        <w:wordWrap w:val="0"/>
        <w:adjustRightInd w:val="0"/>
        <w:snapToGrid w:val="0"/>
        <w:spacing w:line="460" w:lineRule="exact"/>
        <w:ind w:firstLine="482" w:firstLineChars="200"/>
        <w:jc w:val="left"/>
        <w:rPr>
          <w:rFonts w:ascii="宋体" w:hAnsi="宋体" w:cs="宋体"/>
          <w:snapToGrid w:val="0"/>
          <w:color w:val="auto"/>
          <w:kern w:val="0"/>
          <w:sz w:val="24"/>
        </w:rPr>
      </w:pPr>
      <w:r>
        <w:rPr>
          <w:rFonts w:hint="eastAsia" w:ascii="宋体" w:hAnsi="宋体" w:cs="宋体"/>
          <w:b/>
          <w:bCs/>
          <w:snapToGrid w:val="0"/>
          <w:color w:val="auto"/>
          <w:kern w:val="0"/>
          <w:sz w:val="24"/>
        </w:rPr>
        <w:t>11.3.2</w:t>
      </w:r>
      <w:r>
        <w:rPr>
          <w:rFonts w:hint="eastAsia" w:ascii="宋体" w:hAnsi="宋体" w:cs="宋体"/>
          <w:snapToGrid w:val="0"/>
          <w:color w:val="auto"/>
          <w:kern w:val="0"/>
          <w:sz w:val="24"/>
        </w:rPr>
        <w:t>补救方案：</w:t>
      </w:r>
    </w:p>
    <w:p w14:paraId="0DD2E88F">
      <w:pPr>
        <w:pStyle w:val="24"/>
        <w:wordWrap w:val="0"/>
        <w:adjustRightInd w:val="0"/>
        <w:snapToGrid w:val="0"/>
        <w:spacing w:line="460" w:lineRule="exact"/>
        <w:ind w:firstLine="480" w:firstLineChars="200"/>
        <w:jc w:val="left"/>
        <w:rPr>
          <w:rFonts w:ascii="宋体" w:hAnsi="宋体" w:cs="宋体"/>
          <w:snapToGrid w:val="0"/>
          <w:color w:val="auto"/>
          <w:kern w:val="0"/>
          <w:sz w:val="24"/>
        </w:rPr>
      </w:pPr>
      <w:r>
        <w:rPr>
          <w:rFonts w:hint="eastAsia" w:ascii="宋体" w:hAnsi="宋体" w:cs="宋体"/>
          <w:snapToGrid w:val="0"/>
          <w:color w:val="auto"/>
          <w:kern w:val="0"/>
          <w:sz w:val="24"/>
        </w:rPr>
        <w:t>投标文件解密失败的补救方案：在规定时间内，因投标人之外原因(指网络瘫痪、服务器损坏、交易系统故障短期无法恢复)等导致的电子投标文件解密失败，在开标现场解密环节由代理授权后，解密失败投标人可在建设工程交易系统在规定时间（代理机构授权后30分钟内）内重新提交投标文件继续开标程序。</w:t>
      </w:r>
    </w:p>
    <w:p w14:paraId="233DFF5D">
      <w:pPr>
        <w:pStyle w:val="24"/>
        <w:wordWrap w:val="0"/>
        <w:adjustRightInd w:val="0"/>
        <w:snapToGrid w:val="0"/>
        <w:spacing w:line="460" w:lineRule="exact"/>
        <w:ind w:firstLine="480" w:firstLineChars="200"/>
        <w:jc w:val="left"/>
        <w:rPr>
          <w:rFonts w:ascii="宋体" w:hAnsi="宋体" w:cs="宋体"/>
          <w:snapToGrid w:val="0"/>
          <w:color w:val="auto"/>
          <w:kern w:val="0"/>
          <w:sz w:val="24"/>
        </w:rPr>
      </w:pPr>
      <w:r>
        <w:rPr>
          <w:rFonts w:hint="eastAsia" w:ascii="宋体" w:hAnsi="宋体" w:cs="宋体"/>
          <w:snapToGrid w:val="0"/>
          <w:color w:val="auto"/>
          <w:kern w:val="0"/>
          <w:sz w:val="24"/>
        </w:rPr>
        <w:t>（2）评标时突发情况的补救方案：在评标过程中，因主场或副场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p>
    <w:p w14:paraId="2437BC2A">
      <w:pPr>
        <w:pStyle w:val="24"/>
        <w:wordWrap w:val="0"/>
        <w:adjustRightInd w:val="0"/>
        <w:snapToGrid w:val="0"/>
        <w:spacing w:line="460" w:lineRule="exact"/>
        <w:ind w:firstLine="480" w:firstLineChars="200"/>
        <w:jc w:val="left"/>
        <w:rPr>
          <w:rFonts w:ascii="宋体" w:hAnsi="宋体" w:cs="宋体"/>
          <w:snapToGrid w:val="0"/>
          <w:color w:val="auto"/>
          <w:kern w:val="0"/>
          <w:sz w:val="24"/>
        </w:rPr>
      </w:pPr>
      <w:r>
        <w:rPr>
          <w:rFonts w:hint="eastAsia" w:ascii="宋体" w:hAnsi="宋体" w:cs="宋体"/>
          <w:snapToGrid w:val="0"/>
          <w:color w:val="auto"/>
          <w:kern w:val="0"/>
          <w:sz w:val="24"/>
        </w:rPr>
        <w:t>（3）除发生上述情况外，开标评标均以投标人通过交易平台网上提交的电子投标文件为准。</w:t>
      </w:r>
    </w:p>
    <w:p w14:paraId="6B4AF315">
      <w:pPr>
        <w:pStyle w:val="3"/>
        <w:wordWrap w:val="0"/>
        <w:autoSpaceDE/>
        <w:autoSpaceDN/>
        <w:snapToGrid w:val="0"/>
        <w:spacing w:line="460" w:lineRule="exact"/>
        <w:ind w:firstLine="480"/>
        <w:jc w:val="both"/>
        <w:rPr>
          <w:rFonts w:hAnsi="宋体" w:cs="宋体"/>
          <w:b/>
          <w:snapToGrid w:val="0"/>
          <w:color w:val="auto"/>
          <w:szCs w:val="24"/>
        </w:rPr>
      </w:pPr>
      <w:bookmarkStart w:id="55" w:name="_Toc16552"/>
      <w:r>
        <w:rPr>
          <w:rFonts w:hint="eastAsia" w:hAnsi="宋体" w:cs="宋体"/>
          <w:b/>
          <w:snapToGrid w:val="0"/>
          <w:color w:val="auto"/>
          <w:szCs w:val="24"/>
        </w:rPr>
        <w:t>12. 投标文件的提交</w:t>
      </w:r>
      <w:bookmarkEnd w:id="55"/>
    </w:p>
    <w:p w14:paraId="3DBC050D">
      <w:pPr>
        <w:pStyle w:val="24"/>
        <w:wordWrap w:val="0"/>
        <w:adjustRightInd w:val="0"/>
        <w:snapToGrid w:val="0"/>
        <w:spacing w:line="460" w:lineRule="exact"/>
        <w:ind w:firstLine="482" w:firstLineChars="200"/>
        <w:jc w:val="left"/>
        <w:rPr>
          <w:rFonts w:ascii="宋体" w:hAnsi="宋体" w:cs="宋体"/>
          <w:snapToGrid w:val="0"/>
          <w:color w:val="auto"/>
          <w:kern w:val="0"/>
          <w:sz w:val="24"/>
        </w:rPr>
      </w:pPr>
      <w:r>
        <w:rPr>
          <w:rFonts w:hint="eastAsia" w:ascii="宋体" w:hAnsi="宋体" w:cs="宋体"/>
          <w:b/>
          <w:bCs/>
          <w:snapToGrid w:val="0"/>
          <w:color w:val="auto"/>
          <w:kern w:val="0"/>
          <w:sz w:val="24"/>
        </w:rPr>
        <w:t>12.1</w:t>
      </w:r>
      <w:r>
        <w:rPr>
          <w:rFonts w:hint="eastAsia" w:ascii="宋体" w:hAnsi="宋体" w:cs="宋体"/>
          <w:snapToGrid w:val="0"/>
          <w:color w:val="auto"/>
          <w:kern w:val="0"/>
          <w:sz w:val="24"/>
        </w:rPr>
        <w:t>在电子投标截止时间前，投标人通过全国公共资源交易平台（广东省·韶关市）提交已加密投标文件。逾期提交的电子投标文件，全国公共资源交易平台（广东省·韶关市）将予以拒收。</w:t>
      </w:r>
    </w:p>
    <w:p w14:paraId="7F6F9DD3">
      <w:pPr>
        <w:pStyle w:val="24"/>
        <w:wordWrap w:val="0"/>
        <w:adjustRightInd w:val="0"/>
        <w:snapToGrid w:val="0"/>
        <w:spacing w:line="460" w:lineRule="exact"/>
        <w:ind w:firstLine="482" w:firstLineChars="200"/>
        <w:jc w:val="left"/>
        <w:rPr>
          <w:rFonts w:ascii="宋体" w:hAnsi="宋体" w:cs="宋体"/>
          <w:snapToGrid w:val="0"/>
          <w:color w:val="auto"/>
          <w:kern w:val="0"/>
          <w:sz w:val="24"/>
        </w:rPr>
      </w:pPr>
      <w:r>
        <w:rPr>
          <w:rFonts w:hint="eastAsia" w:ascii="宋体" w:hAnsi="宋体" w:cs="宋体"/>
          <w:b/>
          <w:bCs/>
          <w:snapToGrid w:val="0"/>
          <w:color w:val="auto"/>
          <w:kern w:val="0"/>
          <w:sz w:val="24"/>
        </w:rPr>
        <w:t>12.2</w:t>
      </w:r>
      <w:r>
        <w:rPr>
          <w:rFonts w:hint="eastAsia" w:ascii="宋体" w:hAnsi="宋体" w:cs="宋体"/>
          <w:snapToGrid w:val="0"/>
          <w:color w:val="auto"/>
          <w:kern w:val="0"/>
          <w:sz w:val="24"/>
        </w:rPr>
        <w:t>投标文件提交截止时间（同电子投标截止时间）：见本章第二节“重要事项时间地点一览表”。</w:t>
      </w:r>
    </w:p>
    <w:p w14:paraId="251E365C">
      <w:pPr>
        <w:pStyle w:val="24"/>
        <w:wordWrap w:val="0"/>
        <w:adjustRightInd w:val="0"/>
        <w:snapToGrid w:val="0"/>
        <w:spacing w:line="460" w:lineRule="exact"/>
        <w:ind w:firstLine="482" w:firstLineChars="200"/>
        <w:jc w:val="left"/>
        <w:rPr>
          <w:rFonts w:ascii="宋体" w:hAnsi="宋体" w:cs="宋体"/>
          <w:b/>
          <w:bCs/>
          <w:snapToGrid w:val="0"/>
          <w:color w:val="auto"/>
          <w:kern w:val="0"/>
          <w:sz w:val="24"/>
        </w:rPr>
      </w:pPr>
      <w:r>
        <w:rPr>
          <w:rFonts w:hint="eastAsia" w:ascii="宋体" w:hAnsi="宋体" w:cs="宋体"/>
          <w:b/>
          <w:bCs/>
          <w:snapToGrid w:val="0"/>
          <w:color w:val="auto"/>
          <w:kern w:val="0"/>
          <w:sz w:val="24"/>
        </w:rPr>
        <w:t>12.3</w:t>
      </w:r>
      <w:r>
        <w:rPr>
          <w:rFonts w:hint="eastAsia" w:ascii="宋体" w:hAnsi="宋体" w:cs="宋体"/>
          <w:snapToGrid w:val="0"/>
          <w:color w:val="auto"/>
          <w:kern w:val="0"/>
          <w:sz w:val="24"/>
        </w:rPr>
        <w:t>代理机构对因不可抗力事件造成的投标文件的损坏、丢失的，不承担责任。</w:t>
      </w:r>
      <w:r>
        <w:rPr>
          <w:rFonts w:hint="eastAsia" w:ascii="宋体" w:hAnsi="宋体" w:cs="宋体"/>
          <w:b/>
          <w:bCs/>
          <w:snapToGrid w:val="0"/>
          <w:color w:val="auto"/>
          <w:kern w:val="0"/>
          <w:sz w:val="24"/>
        </w:rPr>
        <w:t xml:space="preserve">  </w:t>
      </w:r>
    </w:p>
    <w:p w14:paraId="2E540516">
      <w:pPr>
        <w:pStyle w:val="24"/>
        <w:wordWrap w:val="0"/>
        <w:adjustRightInd w:val="0"/>
        <w:snapToGrid w:val="0"/>
        <w:spacing w:line="460" w:lineRule="exact"/>
        <w:ind w:firstLine="482" w:firstLineChars="200"/>
        <w:jc w:val="left"/>
        <w:rPr>
          <w:rFonts w:ascii="宋体" w:hAnsi="宋体" w:cs="宋体"/>
          <w:snapToGrid w:val="0"/>
          <w:color w:val="auto"/>
          <w:kern w:val="0"/>
          <w:sz w:val="24"/>
        </w:rPr>
      </w:pPr>
      <w:r>
        <w:rPr>
          <w:rFonts w:hint="eastAsia" w:ascii="宋体" w:hAnsi="宋体" w:cs="宋体"/>
          <w:b/>
          <w:bCs/>
          <w:snapToGrid w:val="0"/>
          <w:color w:val="auto"/>
          <w:kern w:val="0"/>
          <w:sz w:val="24"/>
        </w:rPr>
        <w:t xml:space="preserve">12.4 </w:t>
      </w:r>
      <w:r>
        <w:rPr>
          <w:rFonts w:hint="eastAsia" w:ascii="宋体" w:hAnsi="宋体" w:cs="宋体"/>
          <w:snapToGrid w:val="0"/>
          <w:color w:val="auto"/>
          <w:kern w:val="0"/>
          <w:sz w:val="24"/>
        </w:rPr>
        <w:t>投标人法定代表人或其委托代理人（以下简称“投标人代表”）应在指定的时间和地点递交以下的资料</w:t>
      </w:r>
      <w:r>
        <w:rPr>
          <w:rFonts w:hint="eastAsia" w:ascii="宋体" w:hAnsi="宋体" w:cs="宋体"/>
          <w:b/>
          <w:bCs/>
          <w:snapToGrid w:val="0"/>
          <w:color w:val="auto"/>
          <w:kern w:val="0"/>
          <w:sz w:val="24"/>
        </w:rPr>
        <w:t>（如有）</w:t>
      </w:r>
      <w:r>
        <w:rPr>
          <w:rFonts w:hint="eastAsia" w:ascii="宋体" w:hAnsi="宋体" w:cs="宋体"/>
          <w:snapToGrid w:val="0"/>
          <w:color w:val="auto"/>
          <w:kern w:val="0"/>
          <w:sz w:val="24"/>
        </w:rPr>
        <w:t>：招标文件要求提交的用于评审的证书、证件、证明原件（附一式</w:t>
      </w:r>
      <w:r>
        <w:rPr>
          <w:rFonts w:hint="eastAsia" w:ascii="宋体" w:hAnsi="宋体" w:cs="宋体"/>
          <w:snapToGrid w:val="0"/>
          <w:color w:val="auto"/>
          <w:kern w:val="0"/>
          <w:sz w:val="24"/>
          <w:u w:val="single"/>
        </w:rPr>
        <w:t xml:space="preserve"> 两 </w:t>
      </w:r>
      <w:r>
        <w:rPr>
          <w:rFonts w:hint="eastAsia" w:ascii="宋体" w:hAnsi="宋体" w:cs="宋体"/>
          <w:snapToGrid w:val="0"/>
          <w:color w:val="auto"/>
          <w:kern w:val="0"/>
          <w:sz w:val="24"/>
        </w:rPr>
        <w:t>份清单）。</w:t>
      </w:r>
    </w:p>
    <w:p w14:paraId="4820C7D3">
      <w:pPr>
        <w:pStyle w:val="24"/>
        <w:wordWrap w:val="0"/>
        <w:adjustRightInd w:val="0"/>
        <w:snapToGrid w:val="0"/>
        <w:spacing w:line="460" w:lineRule="exact"/>
        <w:ind w:firstLine="482" w:firstLineChars="200"/>
        <w:jc w:val="left"/>
        <w:rPr>
          <w:rFonts w:ascii="宋体" w:hAnsi="宋体" w:cs="宋体"/>
          <w:snapToGrid w:val="0"/>
          <w:color w:val="auto"/>
          <w:kern w:val="0"/>
          <w:sz w:val="24"/>
        </w:rPr>
      </w:pPr>
      <w:r>
        <w:rPr>
          <w:rFonts w:hint="eastAsia" w:ascii="宋体" w:hAnsi="宋体" w:cs="宋体"/>
          <w:b/>
          <w:bCs/>
          <w:snapToGrid w:val="0"/>
          <w:color w:val="auto"/>
          <w:kern w:val="0"/>
          <w:sz w:val="24"/>
        </w:rPr>
        <w:t>12.5</w:t>
      </w:r>
      <w:r>
        <w:rPr>
          <w:rFonts w:hint="eastAsia" w:ascii="宋体" w:hAnsi="宋体" w:cs="宋体"/>
          <w:snapToGrid w:val="0"/>
          <w:color w:val="auto"/>
          <w:kern w:val="0"/>
          <w:sz w:val="24"/>
        </w:rPr>
        <w:t>出现下述情形之一，属于未成功提交投标文件，按无效投标处理：</w:t>
      </w:r>
    </w:p>
    <w:p w14:paraId="0C5D91C6">
      <w:pPr>
        <w:pStyle w:val="24"/>
        <w:wordWrap w:val="0"/>
        <w:adjustRightInd w:val="0"/>
        <w:snapToGrid w:val="0"/>
        <w:spacing w:line="460" w:lineRule="exact"/>
        <w:ind w:firstLine="480" w:firstLineChars="200"/>
        <w:jc w:val="left"/>
        <w:rPr>
          <w:rFonts w:ascii="宋体" w:hAnsi="宋体" w:cs="宋体"/>
          <w:snapToGrid w:val="0"/>
          <w:color w:val="auto"/>
          <w:kern w:val="0"/>
          <w:sz w:val="24"/>
        </w:rPr>
      </w:pPr>
      <w:r>
        <w:rPr>
          <w:rFonts w:hint="eastAsia" w:ascii="宋体" w:hAnsi="宋体" w:cs="宋体"/>
          <w:snapToGrid w:val="0"/>
          <w:color w:val="auto"/>
          <w:kern w:val="0"/>
          <w:sz w:val="24"/>
        </w:rPr>
        <w:t>（1）至电子投标截止时间时，投标文件未完整上传或未提交投标。</w:t>
      </w:r>
    </w:p>
    <w:p w14:paraId="6275F748">
      <w:pPr>
        <w:pStyle w:val="24"/>
        <w:wordWrap w:val="0"/>
        <w:adjustRightInd w:val="0"/>
        <w:snapToGrid w:val="0"/>
        <w:spacing w:line="460" w:lineRule="exact"/>
        <w:ind w:firstLine="480" w:firstLineChars="200"/>
        <w:jc w:val="left"/>
        <w:rPr>
          <w:rFonts w:ascii="宋体" w:hAnsi="宋体" w:cs="宋体"/>
          <w:snapToGrid w:val="0"/>
          <w:color w:val="auto"/>
          <w:kern w:val="0"/>
          <w:sz w:val="24"/>
        </w:rPr>
      </w:pPr>
      <w:r>
        <w:rPr>
          <w:rFonts w:hint="eastAsia" w:ascii="宋体" w:hAnsi="宋体" w:cs="宋体"/>
          <w:snapToGrid w:val="0"/>
          <w:color w:val="auto"/>
          <w:kern w:val="0"/>
          <w:sz w:val="24"/>
        </w:rPr>
        <w:t>（2）投标文件未按投标格式中注明需签字盖章的要求进行签名（含电子签名）和加盖电子印章，或签名（含电子签名）或电子印章不完整的。</w:t>
      </w:r>
    </w:p>
    <w:p w14:paraId="655ED079">
      <w:pPr>
        <w:pStyle w:val="24"/>
        <w:wordWrap w:val="0"/>
        <w:adjustRightInd w:val="0"/>
        <w:snapToGrid w:val="0"/>
        <w:spacing w:line="460" w:lineRule="exact"/>
        <w:ind w:firstLine="480" w:firstLineChars="200"/>
        <w:jc w:val="left"/>
        <w:rPr>
          <w:rFonts w:ascii="宋体" w:hAnsi="宋体" w:cs="宋体"/>
          <w:snapToGrid w:val="0"/>
          <w:color w:val="auto"/>
          <w:kern w:val="0"/>
          <w:sz w:val="24"/>
        </w:rPr>
      </w:pPr>
      <w:r>
        <w:rPr>
          <w:rFonts w:hint="eastAsia" w:ascii="宋体" w:hAnsi="宋体" w:cs="宋体"/>
          <w:snapToGrid w:val="0"/>
          <w:color w:val="auto"/>
          <w:kern w:val="0"/>
          <w:sz w:val="24"/>
        </w:rPr>
        <w:t>（3）解密失败且在规定时间内未重新提交投标文件的；</w:t>
      </w:r>
    </w:p>
    <w:p w14:paraId="0DA9D62C">
      <w:pPr>
        <w:pStyle w:val="24"/>
        <w:wordWrap w:val="0"/>
        <w:adjustRightInd w:val="0"/>
        <w:snapToGrid w:val="0"/>
        <w:spacing w:line="460" w:lineRule="exact"/>
        <w:ind w:firstLine="480" w:firstLineChars="200"/>
        <w:jc w:val="left"/>
        <w:rPr>
          <w:rFonts w:ascii="宋体" w:hAnsi="宋体" w:cs="宋体"/>
          <w:snapToGrid w:val="0"/>
          <w:color w:val="auto"/>
          <w:kern w:val="0"/>
          <w:sz w:val="24"/>
        </w:rPr>
      </w:pPr>
      <w:r>
        <w:rPr>
          <w:rFonts w:hint="eastAsia" w:ascii="宋体" w:hAnsi="宋体" w:cs="宋体"/>
          <w:snapToGrid w:val="0"/>
          <w:color w:val="auto"/>
          <w:kern w:val="0"/>
          <w:sz w:val="24"/>
        </w:rPr>
        <w:t>（4）投标文件损坏或格式不正确的。</w:t>
      </w:r>
    </w:p>
    <w:p w14:paraId="6F9A090D">
      <w:pPr>
        <w:wordWrap w:val="0"/>
        <w:adjustRightInd w:val="0"/>
        <w:snapToGrid w:val="0"/>
        <w:spacing w:line="460" w:lineRule="exact"/>
        <w:ind w:firstLine="482" w:firstLineChars="200"/>
        <w:outlineLvl w:val="2"/>
        <w:rPr>
          <w:rFonts w:hAnsi="宋体" w:cs="宋体"/>
          <w:snapToGrid w:val="0"/>
          <w:color w:val="auto"/>
          <w:kern w:val="0"/>
          <w:szCs w:val="24"/>
        </w:rPr>
      </w:pPr>
      <w:bookmarkStart w:id="56" w:name="_Toc29810"/>
      <w:r>
        <w:rPr>
          <w:rFonts w:hint="eastAsia" w:hAnsi="宋体" w:cs="宋体"/>
          <w:b/>
          <w:snapToGrid w:val="0"/>
          <w:color w:val="auto"/>
          <w:kern w:val="0"/>
          <w:szCs w:val="24"/>
        </w:rPr>
        <w:t>13．投标有效期</w:t>
      </w:r>
      <w:bookmarkEnd w:id="56"/>
    </w:p>
    <w:p w14:paraId="65B5D299">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本次招标投标有效期为</w:t>
      </w:r>
      <w:r>
        <w:rPr>
          <w:rFonts w:hint="eastAsia" w:hAnsi="宋体" w:cs="宋体"/>
          <w:snapToGrid w:val="0"/>
          <w:color w:val="auto"/>
          <w:kern w:val="0"/>
          <w:szCs w:val="24"/>
          <w:u w:val="single"/>
        </w:rPr>
        <w:t xml:space="preserve">  90  </w:t>
      </w:r>
      <w:r>
        <w:rPr>
          <w:rFonts w:hint="eastAsia" w:hAnsi="宋体" w:cs="宋体"/>
          <w:snapToGrid w:val="0"/>
          <w:color w:val="auto"/>
          <w:kern w:val="0"/>
          <w:szCs w:val="24"/>
        </w:rPr>
        <w:t>个日历天，自招标人或其授权的招标代理机构接收投标人递交的投标文件之日起计。在此期间，投标人不得撤销或修改其投标文件，否则其投标保证不予退还。</w:t>
      </w:r>
    </w:p>
    <w:p w14:paraId="73E58E53">
      <w:pPr>
        <w:wordWrap w:val="0"/>
        <w:adjustRightInd w:val="0"/>
        <w:snapToGrid w:val="0"/>
        <w:spacing w:line="460" w:lineRule="exact"/>
        <w:ind w:firstLine="482" w:firstLineChars="200"/>
        <w:outlineLvl w:val="2"/>
        <w:rPr>
          <w:rFonts w:hAnsi="宋体" w:cs="宋体"/>
          <w:snapToGrid w:val="0"/>
          <w:color w:val="auto"/>
          <w:kern w:val="0"/>
          <w:szCs w:val="24"/>
        </w:rPr>
      </w:pPr>
      <w:bookmarkStart w:id="57" w:name="_Toc17952"/>
      <w:r>
        <w:rPr>
          <w:rFonts w:hint="eastAsia" w:hAnsi="宋体" w:cs="宋体"/>
          <w:b/>
          <w:snapToGrid w:val="0"/>
          <w:color w:val="auto"/>
          <w:kern w:val="0"/>
          <w:szCs w:val="24"/>
        </w:rPr>
        <w:t>14．开标</w:t>
      </w:r>
      <w:bookmarkEnd w:id="57"/>
    </w:p>
    <w:p w14:paraId="78B7596B">
      <w:pPr>
        <w:pStyle w:val="24"/>
        <w:wordWrap w:val="0"/>
        <w:adjustRightInd w:val="0"/>
        <w:snapToGrid w:val="0"/>
        <w:spacing w:line="460" w:lineRule="exact"/>
        <w:ind w:firstLine="480"/>
        <w:jc w:val="left"/>
        <w:rPr>
          <w:rFonts w:ascii="宋体" w:hAnsi="宋体" w:cs="宋体"/>
          <w:snapToGrid w:val="0"/>
          <w:color w:val="auto"/>
          <w:kern w:val="0"/>
          <w:sz w:val="24"/>
        </w:rPr>
      </w:pPr>
      <w:r>
        <w:rPr>
          <w:rFonts w:hint="eastAsia" w:ascii="宋体" w:hAnsi="宋体" w:cs="宋体"/>
          <w:b/>
          <w:bCs/>
          <w:snapToGrid w:val="0"/>
          <w:color w:val="auto"/>
          <w:kern w:val="0"/>
          <w:sz w:val="24"/>
        </w:rPr>
        <w:t>14.1</w:t>
      </w:r>
      <w:r>
        <w:rPr>
          <w:rFonts w:hint="eastAsia" w:ascii="宋体" w:hAnsi="宋体" w:cs="宋体"/>
          <w:snapToGrid w:val="0"/>
          <w:color w:val="auto"/>
          <w:kern w:val="0"/>
          <w:sz w:val="24"/>
        </w:rPr>
        <w:t xml:space="preserve"> 招标人邀请所有正确获取招标文件、电子投标、缴纳投标保证的投标人参加开标，投标人可自主决定是否参加。投标人可登录交易平台观看开标实况、提出异议或进行澄清、确认等操作（具体按招标文件和系统操作手册为准）。投标人不参加开标的，视其默认开标结果，以及放弃在开标期间见证、监督、投诉、申辩的权利。</w:t>
      </w:r>
    </w:p>
    <w:p w14:paraId="52F490BB">
      <w:pPr>
        <w:pStyle w:val="24"/>
        <w:wordWrap w:val="0"/>
        <w:adjustRightInd w:val="0"/>
        <w:snapToGrid w:val="0"/>
        <w:spacing w:line="460" w:lineRule="exact"/>
        <w:ind w:firstLine="480"/>
        <w:jc w:val="left"/>
        <w:rPr>
          <w:rFonts w:ascii="宋体" w:hAnsi="宋体" w:cs="宋体"/>
          <w:snapToGrid w:val="0"/>
          <w:color w:val="auto"/>
          <w:kern w:val="0"/>
          <w:sz w:val="24"/>
        </w:rPr>
      </w:pPr>
      <w:r>
        <w:rPr>
          <w:rFonts w:hint="eastAsia" w:ascii="宋体" w:hAnsi="宋体" w:cs="宋体"/>
          <w:b/>
          <w:bCs/>
          <w:snapToGrid w:val="0"/>
          <w:color w:val="auto"/>
          <w:kern w:val="0"/>
          <w:sz w:val="24"/>
        </w:rPr>
        <w:t>14.1.1</w:t>
      </w:r>
      <w:r>
        <w:rPr>
          <w:rFonts w:hint="eastAsia" w:ascii="宋体" w:hAnsi="宋体" w:cs="宋体"/>
          <w:snapToGrid w:val="0"/>
          <w:color w:val="auto"/>
          <w:kern w:val="0"/>
          <w:sz w:val="24"/>
        </w:rPr>
        <w:t xml:space="preserve"> 开标时间和地点：见本章第二节“重要事项时间地点一览表”。</w:t>
      </w:r>
    </w:p>
    <w:p w14:paraId="27117988">
      <w:pPr>
        <w:pStyle w:val="24"/>
        <w:wordWrap w:val="0"/>
        <w:adjustRightInd w:val="0"/>
        <w:snapToGrid w:val="0"/>
        <w:spacing w:line="460" w:lineRule="exact"/>
        <w:ind w:firstLine="480"/>
        <w:jc w:val="left"/>
        <w:rPr>
          <w:rFonts w:ascii="宋体" w:hAnsi="宋体" w:cs="宋体"/>
          <w:snapToGrid w:val="0"/>
          <w:color w:val="auto"/>
          <w:kern w:val="0"/>
          <w:sz w:val="24"/>
        </w:rPr>
      </w:pPr>
      <w:r>
        <w:rPr>
          <w:rFonts w:hint="eastAsia" w:ascii="宋体" w:hAnsi="宋体" w:cs="宋体"/>
          <w:b/>
          <w:bCs/>
          <w:snapToGrid w:val="0"/>
          <w:color w:val="auto"/>
          <w:kern w:val="0"/>
          <w:sz w:val="24"/>
        </w:rPr>
        <w:t>14.1.2</w:t>
      </w:r>
      <w:r>
        <w:rPr>
          <w:rFonts w:hint="eastAsia" w:ascii="宋体" w:hAnsi="宋体" w:cs="宋体"/>
          <w:snapToGrid w:val="0"/>
          <w:color w:val="auto"/>
          <w:kern w:val="0"/>
          <w:sz w:val="24"/>
        </w:rPr>
        <w:t xml:space="preserve"> 开标前24小时，若建设工程交易系统显示缴纳投标保证（包括投标保证金、投标保证担保、投标保证保险）的投标人数量不足3个时，招标人将取消原定于次日召开的开标活动。投标人可在投标保证缴纳截止时间（见本章第二节“重要事项时间地点一览表”）至电子投标截止时间（见本章第二节“重要事项时间地点一览表”）期间登录全国公共资源交易平台（广东省·韶关市）（https://ygp.gdzwfw.gov.cn/ggzy-portal/#/440200/index）查询是否发布了取消开标活动的相关信息。</w:t>
      </w:r>
    </w:p>
    <w:p w14:paraId="4CB17B66">
      <w:pPr>
        <w:pStyle w:val="24"/>
        <w:wordWrap w:val="0"/>
        <w:adjustRightInd w:val="0"/>
        <w:snapToGrid w:val="0"/>
        <w:spacing w:line="460" w:lineRule="exact"/>
        <w:ind w:firstLine="480"/>
        <w:jc w:val="left"/>
        <w:rPr>
          <w:rFonts w:ascii="宋体" w:hAnsi="宋体" w:cs="宋体"/>
          <w:snapToGrid w:val="0"/>
          <w:color w:val="auto"/>
          <w:kern w:val="0"/>
          <w:sz w:val="24"/>
        </w:rPr>
      </w:pPr>
      <w:r>
        <w:rPr>
          <w:rFonts w:hint="eastAsia" w:ascii="宋体" w:hAnsi="宋体" w:cs="宋体"/>
          <w:snapToGrid w:val="0"/>
          <w:color w:val="auto"/>
          <w:kern w:val="0"/>
          <w:sz w:val="24"/>
        </w:rPr>
        <w:t>14.1.3本项目实行全流程电子化招标投标，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478B10E0">
      <w:pPr>
        <w:wordWrap w:val="0"/>
        <w:adjustRightInd w:val="0"/>
        <w:snapToGrid w:val="0"/>
        <w:spacing w:line="460" w:lineRule="exact"/>
        <w:ind w:firstLine="482" w:firstLineChars="200"/>
        <w:rPr>
          <w:rFonts w:hAnsi="宋体" w:cs="宋体"/>
          <w:snapToGrid w:val="0"/>
          <w:color w:val="auto"/>
          <w:kern w:val="0"/>
          <w:szCs w:val="24"/>
        </w:rPr>
      </w:pPr>
      <w:r>
        <w:rPr>
          <w:rFonts w:hint="eastAsia" w:hAnsi="宋体" w:cs="宋体"/>
          <w:b/>
          <w:bCs/>
          <w:snapToGrid w:val="0"/>
          <w:color w:val="auto"/>
          <w:kern w:val="0"/>
          <w:szCs w:val="24"/>
        </w:rPr>
        <w:t>14.2</w:t>
      </w:r>
      <w:r>
        <w:rPr>
          <w:rFonts w:hint="eastAsia" w:hAnsi="宋体" w:cs="宋体"/>
          <w:snapToGrid w:val="0"/>
          <w:color w:val="auto"/>
          <w:kern w:val="0"/>
          <w:szCs w:val="24"/>
        </w:rPr>
        <w:t xml:space="preserve"> 开标程序</w:t>
      </w:r>
    </w:p>
    <w:p w14:paraId="160B199E">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（1）主持人（招标人代表或招标人授权的招标代理机构人员）宣读开标纪律。</w:t>
      </w:r>
    </w:p>
    <w:p w14:paraId="1D3C3076">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（2）主持人宣布唱标人、记录人、见证人、监督人等有关人员姓名。</w:t>
      </w:r>
    </w:p>
    <w:p w14:paraId="5469AAF2">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（3）招标代理机构在交易场所工作人员见证下对投标人的电子投标信息进行解密，建设工程交易系统自动生成《投标保证缴纳情况表》和《开标一览表》。</w:t>
      </w:r>
    </w:p>
    <w:p w14:paraId="1150128E">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（4）唱标人检查《投标保证缴纳情况表》中各投标人所缴纳投标保证的金额、有效期是否符合招标文件规定。若不符合规定，该投标人的投标无效。将有关情形在《投标保证缴纳情况表》“备注”栏中注明。</w:t>
      </w:r>
    </w:p>
    <w:p w14:paraId="1111D41F">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（5）唱标人检查《开标一览表》中各投标人的投标总价、质量标准、工期是否符合招标文件规定。若不符合规定，招标代理机构应将有关情形在《开标一览表》“备注”栏中注明。</w:t>
      </w:r>
    </w:p>
    <w:p w14:paraId="063148A8">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（6）投标人代表、招标人代表、唱标人、记录人等有关人员在《投标保证缴纳情况表》以及《开标一览表》上签字确认。</w:t>
      </w:r>
    </w:p>
    <w:p w14:paraId="13DEB735">
      <w:pPr>
        <w:wordWrap w:val="0"/>
        <w:adjustRightInd w:val="0"/>
        <w:snapToGrid w:val="0"/>
        <w:spacing w:line="460" w:lineRule="exact"/>
        <w:ind w:firstLine="480" w:firstLineChars="200"/>
        <w:rPr>
          <w:rFonts w:hAnsi="宋体" w:cs="宋体"/>
          <w:snapToGrid w:val="0"/>
          <w:color w:val="auto"/>
          <w:kern w:val="0"/>
          <w:szCs w:val="24"/>
        </w:rPr>
      </w:pPr>
      <w:r>
        <w:rPr>
          <w:rFonts w:hint="eastAsia" w:hAnsi="宋体" w:cs="宋体"/>
          <w:snapToGrid w:val="0"/>
          <w:color w:val="auto"/>
          <w:kern w:val="0"/>
          <w:szCs w:val="24"/>
        </w:rPr>
        <w:t>（7）主持人宣布有关注意事项后，宣布开标结束。</w:t>
      </w:r>
    </w:p>
    <w:p w14:paraId="504202E2">
      <w:pPr>
        <w:wordWrap w:val="0"/>
        <w:adjustRightInd w:val="0"/>
        <w:snapToGrid w:val="0"/>
        <w:spacing w:line="460" w:lineRule="exact"/>
        <w:ind w:firstLine="482" w:firstLineChars="200"/>
        <w:rPr>
          <w:rFonts w:ascii="Times New Roman"/>
          <w:snapToGrid w:val="0"/>
          <w:color w:val="auto"/>
          <w:kern w:val="0"/>
        </w:rPr>
      </w:pPr>
      <w:r>
        <w:rPr>
          <w:rFonts w:hint="eastAsia" w:hAnsi="宋体" w:cs="宋体"/>
          <w:b/>
          <w:bCs/>
          <w:snapToGrid w:val="0"/>
          <w:color w:val="auto"/>
          <w:kern w:val="0"/>
          <w:szCs w:val="24"/>
        </w:rPr>
        <w:t>备注：因本项目实行全流程电子化招标投标，投标人无须进行现场签到，可登录交易平台观看开标实况、提出异议或进行澄清、确认等操作，对开标事项的异议未在开标期间提出的，招标人不予受理。具体按招标文件和系统操作手册为准。</w:t>
      </w:r>
    </w:p>
    <w:p w14:paraId="77EF7429">
      <w:pPr>
        <w:wordWrap w:val="0"/>
        <w:adjustRightInd w:val="0"/>
        <w:snapToGrid w:val="0"/>
        <w:spacing w:line="460" w:lineRule="exact"/>
        <w:ind w:firstLine="482" w:firstLineChars="200"/>
        <w:rPr>
          <w:rFonts w:hAnsi="宋体" w:cs="宋体"/>
          <w:snapToGrid w:val="0"/>
          <w:color w:val="auto"/>
          <w:kern w:val="0"/>
        </w:rPr>
      </w:pPr>
      <w:r>
        <w:rPr>
          <w:rFonts w:hint="eastAsia" w:hAnsi="宋体" w:cs="宋体"/>
          <w:b/>
          <w:bCs/>
          <w:snapToGrid w:val="0"/>
          <w:color w:val="auto"/>
          <w:kern w:val="0"/>
        </w:rPr>
        <w:t>14.3</w:t>
      </w:r>
      <w:r>
        <w:rPr>
          <w:rFonts w:hint="eastAsia" w:hAnsi="宋体" w:cs="宋体"/>
          <w:snapToGrid w:val="0"/>
          <w:color w:val="auto"/>
          <w:kern w:val="0"/>
        </w:rPr>
        <w:t xml:space="preserve"> </w:t>
      </w:r>
      <w:r>
        <w:rPr>
          <w:rFonts w:hint="eastAsia" w:hAnsi="宋体" w:cs="宋体"/>
          <w:snapToGrid w:val="0"/>
          <w:color w:val="auto"/>
          <w:kern w:val="0"/>
          <w:szCs w:val="24"/>
        </w:rPr>
        <w:t>投标人对开标相关事项（如开标程序、投标文件组成和数量、唱标次序和内容等）有异议的，必须在开标期间和开标现场提出，招标人或其授权的招标代理机构应当场作出答复，并记录在案。对开标事项的异议未在开标期间和开标现场提出的，招标人不予受理。</w:t>
      </w:r>
    </w:p>
    <w:p w14:paraId="19DD86B6">
      <w:pPr>
        <w:wordWrap w:val="0"/>
        <w:adjustRightInd w:val="0"/>
        <w:snapToGrid w:val="0"/>
        <w:spacing w:line="440" w:lineRule="exact"/>
        <w:ind w:firstLine="482" w:firstLineChars="200"/>
        <w:rPr>
          <w:rFonts w:hAnsi="宋体" w:cs="宋体"/>
          <w:snapToGrid w:val="0"/>
          <w:color w:val="auto"/>
          <w:kern w:val="0"/>
        </w:rPr>
      </w:pPr>
      <w:r>
        <w:rPr>
          <w:rFonts w:hint="eastAsia" w:hAnsi="宋体" w:cs="宋体"/>
          <w:b/>
          <w:bCs/>
          <w:snapToGrid w:val="0"/>
          <w:color w:val="auto"/>
          <w:kern w:val="0"/>
        </w:rPr>
        <w:t>14.4</w:t>
      </w:r>
      <w:r>
        <w:rPr>
          <w:rFonts w:hint="eastAsia" w:hAnsi="宋体" w:cs="宋体"/>
          <w:snapToGrid w:val="0"/>
          <w:color w:val="auto"/>
          <w:kern w:val="0"/>
        </w:rPr>
        <w:t xml:space="preserve"> 招标代理机构将资料原件（如有）、《开标一览表》以及其他有关资料移交评标委员会。</w:t>
      </w:r>
    </w:p>
    <w:p w14:paraId="03FD8079">
      <w:pPr>
        <w:wordWrap w:val="0"/>
        <w:adjustRightInd w:val="0"/>
        <w:snapToGrid w:val="0"/>
        <w:spacing w:line="460" w:lineRule="exact"/>
        <w:ind w:firstLine="482" w:firstLineChars="200"/>
        <w:outlineLvl w:val="2"/>
        <w:rPr>
          <w:rFonts w:hAnsi="宋体" w:cs="宋体"/>
          <w:b/>
          <w:snapToGrid w:val="0"/>
          <w:color w:val="auto"/>
          <w:kern w:val="0"/>
        </w:rPr>
      </w:pPr>
      <w:bookmarkStart w:id="58" w:name="_Hlt127093805"/>
      <w:bookmarkEnd w:id="58"/>
      <w:bookmarkStart w:id="59" w:name="_Toc5475"/>
      <w:r>
        <w:rPr>
          <w:rFonts w:hint="eastAsia" w:hAnsi="宋体" w:cs="宋体"/>
          <w:b/>
          <w:snapToGrid w:val="0"/>
          <w:color w:val="auto"/>
          <w:kern w:val="0"/>
        </w:rPr>
        <w:t>15．评标</w:t>
      </w:r>
      <w:bookmarkEnd w:id="59"/>
    </w:p>
    <w:p w14:paraId="1113EB5D">
      <w:pPr>
        <w:wordWrap w:val="0"/>
        <w:adjustRightInd w:val="0"/>
        <w:snapToGrid w:val="0"/>
        <w:spacing w:line="460" w:lineRule="exact"/>
        <w:ind w:firstLine="480" w:firstLineChars="200"/>
        <w:rPr>
          <w:rFonts w:hAnsi="宋体" w:cs="宋体"/>
          <w:snapToGrid w:val="0"/>
          <w:color w:val="auto"/>
          <w:kern w:val="0"/>
        </w:rPr>
      </w:pPr>
      <w:r>
        <w:rPr>
          <w:rFonts w:hint="eastAsia" w:hAnsi="宋体" w:cs="宋体"/>
          <w:snapToGrid w:val="0"/>
          <w:color w:val="auto"/>
          <w:kern w:val="0"/>
        </w:rPr>
        <w:t>评标分为初步评审和详细评审两个阶段，由评标委员会在有关部门的监督下，严格按照本招标文件指定的评标方法，对投标人的投标文件进行评审。</w:t>
      </w:r>
    </w:p>
    <w:p w14:paraId="6D9584A1">
      <w:pPr>
        <w:wordWrap w:val="0"/>
        <w:adjustRightInd w:val="0"/>
        <w:snapToGrid w:val="0"/>
        <w:spacing w:line="460" w:lineRule="exact"/>
        <w:ind w:firstLine="482" w:firstLineChars="200"/>
        <w:rPr>
          <w:rFonts w:hAnsi="宋体" w:cs="宋体"/>
          <w:bCs/>
          <w:snapToGrid w:val="0"/>
          <w:color w:val="auto"/>
          <w:kern w:val="0"/>
        </w:rPr>
      </w:pPr>
      <w:r>
        <w:rPr>
          <w:rFonts w:hint="eastAsia" w:hAnsi="宋体" w:cs="宋体"/>
          <w:b/>
          <w:bCs/>
          <w:snapToGrid w:val="0"/>
          <w:color w:val="auto"/>
          <w:kern w:val="0"/>
        </w:rPr>
        <w:t>15.1</w:t>
      </w:r>
      <w:r>
        <w:rPr>
          <w:rFonts w:hint="eastAsia" w:hAnsi="宋体" w:cs="宋体"/>
          <w:bCs/>
          <w:snapToGrid w:val="0"/>
          <w:color w:val="auto"/>
          <w:kern w:val="0"/>
        </w:rPr>
        <w:t xml:space="preserve"> 评标委员会</w:t>
      </w:r>
    </w:p>
    <w:p w14:paraId="7215AC8A">
      <w:pPr>
        <w:wordWrap w:val="0"/>
        <w:adjustRightInd w:val="0"/>
        <w:snapToGrid w:val="0"/>
        <w:spacing w:line="460" w:lineRule="exact"/>
        <w:ind w:firstLine="480"/>
        <w:rPr>
          <w:rFonts w:hAnsi="宋体" w:cs="宋体"/>
          <w:snapToGrid w:val="0"/>
          <w:color w:val="auto"/>
          <w:kern w:val="0"/>
        </w:rPr>
      </w:pPr>
      <w:r>
        <w:rPr>
          <w:rFonts w:hint="eastAsia" w:hAnsi="宋体" w:cs="宋体"/>
          <w:b/>
          <w:bCs/>
          <w:snapToGrid w:val="0"/>
          <w:color w:val="auto"/>
          <w:kern w:val="0"/>
        </w:rPr>
        <w:t>15.1.1</w:t>
      </w:r>
      <w:r>
        <w:rPr>
          <w:rFonts w:hint="eastAsia" w:hAnsi="宋体" w:cs="宋体"/>
          <w:snapToGrid w:val="0"/>
          <w:color w:val="auto"/>
          <w:kern w:val="0"/>
        </w:rPr>
        <w:t xml:space="preserve"> 评标委员会由</w:t>
      </w:r>
      <w:r>
        <w:rPr>
          <w:rFonts w:hint="eastAsia" w:hAnsi="宋体" w:cs="宋体"/>
          <w:snapToGrid w:val="0"/>
          <w:color w:val="auto"/>
          <w:kern w:val="0"/>
          <w:u w:val="single"/>
        </w:rPr>
        <w:t xml:space="preserve"> 5 </w:t>
      </w:r>
      <w:r>
        <w:rPr>
          <w:rFonts w:hint="eastAsia" w:hAnsi="宋体" w:cs="宋体"/>
          <w:snapToGrid w:val="0"/>
          <w:color w:val="auto"/>
          <w:kern w:val="0"/>
        </w:rPr>
        <w:t>人组成，其中招标人代表</w:t>
      </w:r>
      <w:r>
        <w:rPr>
          <w:rFonts w:hint="eastAsia" w:hAnsi="宋体" w:cs="宋体"/>
          <w:snapToGrid w:val="0"/>
          <w:color w:val="auto"/>
          <w:kern w:val="0"/>
          <w:u w:val="single"/>
        </w:rPr>
        <w:t xml:space="preserve"> </w:t>
      </w:r>
      <w:r>
        <w:rPr>
          <w:rFonts w:hint="eastAsia" w:hAnsi="宋体" w:cs="宋体"/>
          <w:snapToGrid w:val="0"/>
          <w:color w:val="auto"/>
          <w:kern w:val="0"/>
          <w:u w:val="single"/>
          <w:lang w:val="en-US" w:eastAsia="zh-CN"/>
        </w:rPr>
        <w:t>0</w:t>
      </w:r>
      <w:r>
        <w:rPr>
          <w:rFonts w:hint="eastAsia" w:hAnsi="宋体" w:cs="宋体"/>
          <w:snapToGrid w:val="0"/>
          <w:color w:val="auto"/>
          <w:kern w:val="0"/>
          <w:u w:val="single"/>
        </w:rPr>
        <w:t xml:space="preserve"> </w:t>
      </w:r>
      <w:r>
        <w:rPr>
          <w:rFonts w:hint="eastAsia" w:hAnsi="宋体" w:cs="宋体"/>
          <w:snapToGrid w:val="0"/>
          <w:color w:val="auto"/>
          <w:kern w:val="0"/>
        </w:rPr>
        <w:t>人，专家</w:t>
      </w:r>
      <w:r>
        <w:rPr>
          <w:rFonts w:hint="eastAsia" w:hAnsi="宋体" w:cs="宋体"/>
          <w:snapToGrid w:val="0"/>
          <w:color w:val="auto"/>
          <w:kern w:val="0"/>
          <w:u w:val="single"/>
        </w:rPr>
        <w:t xml:space="preserve"> 5 </w:t>
      </w:r>
      <w:r>
        <w:rPr>
          <w:rFonts w:hint="eastAsia" w:hAnsi="宋体" w:cs="宋体"/>
          <w:snapToGrid w:val="0"/>
          <w:color w:val="auto"/>
          <w:kern w:val="0"/>
        </w:rPr>
        <w:t>人。专家从广东省综合评标评审专家库</w:t>
      </w:r>
      <w:r>
        <w:rPr>
          <w:rFonts w:hint="eastAsia" w:hAnsi="宋体" w:cs="宋体"/>
          <w:snapToGrid w:val="0"/>
          <w:color w:val="auto"/>
          <w:kern w:val="0"/>
          <w:lang w:val="en-US" w:eastAsia="zh-CN"/>
        </w:rPr>
        <w:t>-韶关区域</w:t>
      </w:r>
      <w:r>
        <w:rPr>
          <w:rFonts w:hint="eastAsia" w:hAnsi="宋体" w:cs="宋体"/>
          <w:snapToGrid w:val="0"/>
          <w:color w:val="auto"/>
          <w:kern w:val="0"/>
        </w:rPr>
        <w:t>中随机抽取，其中技术类专家</w:t>
      </w:r>
      <w:r>
        <w:rPr>
          <w:rFonts w:hint="eastAsia" w:hAnsi="宋体" w:cs="宋体"/>
          <w:snapToGrid w:val="0"/>
          <w:color w:val="auto"/>
          <w:kern w:val="0"/>
          <w:u w:val="single"/>
        </w:rPr>
        <w:t xml:space="preserve">3 </w:t>
      </w:r>
      <w:r>
        <w:rPr>
          <w:rFonts w:hint="eastAsia" w:hAnsi="宋体" w:cs="宋体"/>
          <w:snapToGrid w:val="0"/>
          <w:color w:val="auto"/>
          <w:kern w:val="0"/>
        </w:rPr>
        <w:t>人，经济类专家</w:t>
      </w:r>
      <w:r>
        <w:rPr>
          <w:rFonts w:hint="eastAsia" w:hAnsi="宋体" w:cs="宋体"/>
          <w:snapToGrid w:val="0"/>
          <w:color w:val="auto"/>
          <w:kern w:val="0"/>
          <w:u w:val="single"/>
        </w:rPr>
        <w:t xml:space="preserve"> 2</w:t>
      </w:r>
      <w:r>
        <w:rPr>
          <w:rFonts w:hint="eastAsia" w:hAnsi="宋体" w:cs="宋体"/>
          <w:snapToGrid w:val="0"/>
          <w:color w:val="auto"/>
          <w:kern w:val="0"/>
        </w:rPr>
        <w:t>人。评标委员会设负责人，由评标委员会成员推举产生。评标委员会负责人与评标委员会的其他成员有同等的表决权。</w:t>
      </w:r>
    </w:p>
    <w:p w14:paraId="71237E3B">
      <w:pPr>
        <w:wordWrap w:val="0"/>
        <w:adjustRightInd w:val="0"/>
        <w:snapToGrid w:val="0"/>
        <w:spacing w:line="460" w:lineRule="exact"/>
        <w:ind w:firstLine="560"/>
        <w:rPr>
          <w:rFonts w:hAnsi="宋体" w:cs="宋体"/>
          <w:snapToGrid w:val="0"/>
          <w:color w:val="auto"/>
          <w:kern w:val="0"/>
        </w:rPr>
      </w:pPr>
      <w:r>
        <w:rPr>
          <w:rFonts w:hint="eastAsia" w:hAnsi="宋体" w:cs="宋体"/>
          <w:b/>
          <w:bCs/>
          <w:snapToGrid w:val="0"/>
          <w:color w:val="auto"/>
          <w:kern w:val="0"/>
        </w:rPr>
        <w:t>15.1.2</w:t>
      </w:r>
      <w:r>
        <w:rPr>
          <w:rFonts w:hint="eastAsia" w:hAnsi="宋体" w:cs="宋体"/>
          <w:snapToGrid w:val="0"/>
          <w:color w:val="auto"/>
          <w:kern w:val="0"/>
        </w:rPr>
        <w:t xml:space="preserve"> 评标委员会应认真、公正、诚实、廉洁地履行职责。有下列情形之一的，不得担任评标委员会成员：</w:t>
      </w:r>
    </w:p>
    <w:p w14:paraId="5C2468F7">
      <w:pPr>
        <w:wordWrap w:val="0"/>
        <w:adjustRightInd w:val="0"/>
        <w:snapToGrid w:val="0"/>
        <w:spacing w:line="460" w:lineRule="exact"/>
        <w:ind w:firstLine="560"/>
        <w:rPr>
          <w:rFonts w:hAnsi="宋体" w:cs="宋体"/>
          <w:snapToGrid w:val="0"/>
          <w:color w:val="auto"/>
          <w:kern w:val="0"/>
        </w:rPr>
      </w:pPr>
      <w:r>
        <w:rPr>
          <w:rFonts w:hint="eastAsia" w:hAnsi="宋体" w:cs="宋体"/>
          <w:snapToGrid w:val="0"/>
          <w:color w:val="auto"/>
          <w:kern w:val="0"/>
        </w:rPr>
        <w:t>（1）投标人或投标人主要负责人的近亲属；</w:t>
      </w:r>
    </w:p>
    <w:p w14:paraId="530CC4FC">
      <w:pPr>
        <w:wordWrap w:val="0"/>
        <w:adjustRightInd w:val="0"/>
        <w:snapToGrid w:val="0"/>
        <w:spacing w:line="460" w:lineRule="exact"/>
        <w:ind w:firstLine="560"/>
        <w:rPr>
          <w:rFonts w:hAnsi="宋体" w:cs="宋体"/>
          <w:snapToGrid w:val="0"/>
          <w:color w:val="auto"/>
          <w:kern w:val="0"/>
        </w:rPr>
      </w:pPr>
      <w:r>
        <w:rPr>
          <w:rFonts w:hint="eastAsia" w:hAnsi="宋体" w:cs="宋体"/>
          <w:snapToGrid w:val="0"/>
          <w:color w:val="auto"/>
          <w:kern w:val="0"/>
        </w:rPr>
        <w:t>（2）项目主管部门或者行政监督部门的人员；</w:t>
      </w:r>
    </w:p>
    <w:p w14:paraId="15FBCA05">
      <w:pPr>
        <w:wordWrap w:val="0"/>
        <w:adjustRightInd w:val="0"/>
        <w:snapToGrid w:val="0"/>
        <w:spacing w:line="460" w:lineRule="exact"/>
        <w:ind w:firstLine="560"/>
        <w:rPr>
          <w:rFonts w:hAnsi="宋体" w:cs="宋体"/>
          <w:snapToGrid w:val="0"/>
          <w:color w:val="auto"/>
          <w:kern w:val="0"/>
        </w:rPr>
      </w:pPr>
      <w:r>
        <w:rPr>
          <w:rFonts w:hint="eastAsia" w:hAnsi="宋体" w:cs="宋体"/>
          <w:snapToGrid w:val="0"/>
          <w:color w:val="auto"/>
          <w:kern w:val="0"/>
        </w:rPr>
        <w:t>（3）与投标人有经济利益关系，可能影响对投标公正评审的；</w:t>
      </w:r>
    </w:p>
    <w:p w14:paraId="17E4FE69">
      <w:pPr>
        <w:wordWrap w:val="0"/>
        <w:adjustRightInd w:val="0"/>
        <w:snapToGrid w:val="0"/>
        <w:spacing w:line="460" w:lineRule="exact"/>
        <w:ind w:firstLine="560"/>
        <w:rPr>
          <w:rFonts w:hAnsi="宋体" w:cs="宋体"/>
          <w:snapToGrid w:val="0"/>
          <w:color w:val="auto"/>
          <w:kern w:val="0"/>
        </w:rPr>
      </w:pPr>
      <w:r>
        <w:rPr>
          <w:rFonts w:hint="eastAsia" w:hAnsi="宋体" w:cs="宋体"/>
          <w:snapToGrid w:val="0"/>
          <w:color w:val="auto"/>
          <w:kern w:val="0"/>
        </w:rPr>
        <w:t>（4）曾因在招标、评标以及其他与招标投标有关活动中从事违法行为而受过行政处罚或刑事处罚的。</w:t>
      </w:r>
    </w:p>
    <w:p w14:paraId="3B7B84FF">
      <w:pPr>
        <w:wordWrap w:val="0"/>
        <w:adjustRightInd w:val="0"/>
        <w:snapToGrid w:val="0"/>
        <w:spacing w:line="460" w:lineRule="exact"/>
        <w:ind w:firstLine="480" w:firstLineChars="200"/>
        <w:rPr>
          <w:rFonts w:hAnsi="宋体" w:cs="宋体"/>
          <w:snapToGrid w:val="0"/>
          <w:color w:val="auto"/>
          <w:kern w:val="0"/>
        </w:rPr>
      </w:pPr>
      <w:r>
        <w:rPr>
          <w:rFonts w:hint="eastAsia" w:hAnsi="宋体" w:cs="宋体"/>
          <w:snapToGrid w:val="0"/>
          <w:color w:val="auto"/>
          <w:kern w:val="0"/>
        </w:rPr>
        <w:t>评标委员会成员有以上情形之一的，应主动提出回避。</w:t>
      </w:r>
    </w:p>
    <w:p w14:paraId="054B2BE0">
      <w:pPr>
        <w:wordWrap w:val="0"/>
        <w:adjustRightInd w:val="0"/>
        <w:snapToGrid w:val="0"/>
        <w:spacing w:line="460" w:lineRule="exact"/>
        <w:ind w:firstLine="482" w:firstLineChars="200"/>
        <w:rPr>
          <w:rFonts w:hAnsi="宋体" w:cs="宋体"/>
          <w:snapToGrid w:val="0"/>
          <w:color w:val="auto"/>
          <w:kern w:val="0"/>
        </w:rPr>
      </w:pPr>
      <w:r>
        <w:rPr>
          <w:rFonts w:hint="eastAsia" w:hAnsi="宋体" w:cs="宋体"/>
          <w:b/>
          <w:bCs/>
          <w:snapToGrid w:val="0"/>
          <w:color w:val="auto"/>
          <w:kern w:val="0"/>
        </w:rPr>
        <w:t>15.1.3</w:t>
      </w:r>
      <w:r>
        <w:rPr>
          <w:rFonts w:hint="eastAsia" w:hAnsi="宋体" w:cs="宋体"/>
          <w:snapToGrid w:val="0"/>
          <w:color w:val="auto"/>
          <w:kern w:val="0"/>
        </w:rPr>
        <w:t xml:space="preserve"> 评标全过程实行封闭式管理，在中标结果公布前，禁止评标委员会成员以任何方式私下接触投标人。</w:t>
      </w:r>
    </w:p>
    <w:p w14:paraId="36DF13E0">
      <w:pPr>
        <w:wordWrap w:val="0"/>
        <w:adjustRightInd w:val="0"/>
        <w:snapToGrid w:val="0"/>
        <w:spacing w:line="460" w:lineRule="exact"/>
        <w:ind w:firstLine="480" w:firstLineChars="200"/>
        <w:rPr>
          <w:rFonts w:hAnsi="宋体" w:cs="宋体"/>
          <w:snapToGrid w:val="0"/>
          <w:color w:val="auto"/>
          <w:kern w:val="0"/>
        </w:rPr>
      </w:pPr>
      <w:r>
        <w:rPr>
          <w:rFonts w:hint="eastAsia" w:hAnsi="宋体" w:cs="宋体"/>
          <w:snapToGrid w:val="0"/>
          <w:color w:val="auto"/>
          <w:kern w:val="0"/>
        </w:rPr>
        <w:t>评标过程中，招标文件明确指定采用现场实时查询的信息资料（如“信用中国”信息、诚信综合考评等级信息等），由招标代理机构工作人员在评标委员会成员、交易场所工作人员共同见证下，使用指定设备登录相关发布网站进行下载、打印，并移交评标委员会。完成评标后，相关查询资料应予妥善保存、归档。</w:t>
      </w:r>
    </w:p>
    <w:p w14:paraId="0EF4D357">
      <w:pPr>
        <w:wordWrap w:val="0"/>
        <w:adjustRightInd w:val="0"/>
        <w:snapToGrid w:val="0"/>
        <w:spacing w:line="460" w:lineRule="exact"/>
        <w:ind w:firstLine="482" w:firstLineChars="200"/>
        <w:rPr>
          <w:rFonts w:hAnsi="宋体" w:cs="宋体"/>
          <w:snapToGrid w:val="0"/>
          <w:color w:val="auto"/>
          <w:kern w:val="0"/>
        </w:rPr>
      </w:pPr>
      <w:r>
        <w:rPr>
          <w:rFonts w:hint="eastAsia" w:hAnsi="宋体" w:cs="宋体"/>
          <w:b/>
          <w:bCs/>
          <w:snapToGrid w:val="0"/>
          <w:color w:val="auto"/>
          <w:kern w:val="0"/>
        </w:rPr>
        <w:t>15.1.4</w:t>
      </w:r>
      <w:r>
        <w:rPr>
          <w:rFonts w:hint="eastAsia" w:hAnsi="宋体" w:cs="宋体"/>
          <w:snapToGrid w:val="0"/>
          <w:color w:val="auto"/>
          <w:kern w:val="0"/>
        </w:rPr>
        <w:t xml:space="preserve"> 在评标过程中，评标委员会可以书面形式要求投标人对所提交的投标文件中不明确的内容进行书面澄清或说明，但不接受投标人主动提出的澄清或说明。投标人的书面澄清或说明不得改变投标文件的实质性内容，并作为投标文件的组成部分。</w:t>
      </w:r>
    </w:p>
    <w:p w14:paraId="27531AE0">
      <w:pPr>
        <w:wordWrap w:val="0"/>
        <w:adjustRightInd w:val="0"/>
        <w:snapToGrid w:val="0"/>
        <w:spacing w:line="460" w:lineRule="exact"/>
        <w:ind w:firstLine="562"/>
        <w:rPr>
          <w:rFonts w:hAnsi="宋体" w:cs="宋体"/>
          <w:b/>
          <w:snapToGrid w:val="0"/>
          <w:color w:val="auto"/>
          <w:kern w:val="0"/>
          <w:szCs w:val="22"/>
        </w:rPr>
      </w:pPr>
      <w:r>
        <w:rPr>
          <w:rFonts w:hint="eastAsia" w:hAnsi="宋体" w:cs="宋体"/>
          <w:b/>
          <w:bCs/>
          <w:snapToGrid w:val="0"/>
          <w:color w:val="auto"/>
          <w:kern w:val="0"/>
        </w:rPr>
        <w:t>15.1.5</w:t>
      </w:r>
      <w:r>
        <w:rPr>
          <w:rFonts w:hint="eastAsia" w:hAnsi="宋体" w:cs="宋体"/>
          <w:snapToGrid w:val="0"/>
          <w:color w:val="auto"/>
          <w:kern w:val="0"/>
        </w:rPr>
        <w:t xml:space="preserve"> 在任何评标环节中，当评标委员会就某项定性的评审结论不统一、需要做出表决时，由评标委员会全体成员按照少数服从多数的原则，以记名投票方式表决。评标委员会全体成员应共同遵守和执行表决结果，严禁评标委员会任何成员将个人意见强加给他人、影响评标正常秩序和妨碍评审结论的公正性。</w:t>
      </w:r>
    </w:p>
    <w:p w14:paraId="77237B64">
      <w:pPr>
        <w:wordWrap w:val="0"/>
        <w:adjustRightInd w:val="0"/>
        <w:snapToGrid w:val="0"/>
        <w:spacing w:line="460" w:lineRule="exact"/>
        <w:ind w:firstLine="561"/>
        <w:rPr>
          <w:rFonts w:hAnsi="宋体" w:cs="宋体"/>
          <w:bCs/>
          <w:snapToGrid w:val="0"/>
          <w:color w:val="auto"/>
          <w:kern w:val="0"/>
        </w:rPr>
      </w:pPr>
      <w:r>
        <w:rPr>
          <w:rFonts w:hint="eastAsia" w:hAnsi="宋体" w:cs="宋体"/>
          <w:b/>
          <w:bCs/>
          <w:snapToGrid w:val="0"/>
          <w:color w:val="auto"/>
          <w:kern w:val="0"/>
        </w:rPr>
        <w:t>15.2</w:t>
      </w:r>
      <w:r>
        <w:rPr>
          <w:rFonts w:hint="eastAsia" w:hAnsi="宋体" w:cs="宋体"/>
          <w:bCs/>
          <w:snapToGrid w:val="0"/>
          <w:color w:val="auto"/>
          <w:kern w:val="0"/>
          <w:szCs w:val="22"/>
        </w:rPr>
        <w:t xml:space="preserve"> 评标方法</w:t>
      </w:r>
    </w:p>
    <w:p w14:paraId="3619BA4E">
      <w:pPr>
        <w:wordWrap w:val="0"/>
        <w:adjustRightInd w:val="0"/>
        <w:snapToGrid w:val="0"/>
        <w:spacing w:line="460" w:lineRule="exact"/>
        <w:ind w:firstLine="562"/>
        <w:rPr>
          <w:rFonts w:hAnsi="宋体" w:cs="宋体"/>
          <w:i/>
          <w:iCs/>
          <w:snapToGrid w:val="0"/>
          <w:color w:val="auto"/>
          <w:kern w:val="0"/>
        </w:rPr>
      </w:pPr>
      <w:r>
        <w:rPr>
          <w:rFonts w:hint="eastAsia" w:hAnsi="宋体" w:cs="宋体"/>
          <w:snapToGrid w:val="0"/>
          <w:color w:val="auto"/>
          <w:kern w:val="0"/>
        </w:rPr>
        <w:t>根据有关法律、法规的相关规定，结合本招标项目资金来源和规模特点，本次招标采用“综合评估法”进行评标。</w:t>
      </w:r>
    </w:p>
    <w:p w14:paraId="44A8E513">
      <w:pPr>
        <w:wordWrap w:val="0"/>
        <w:adjustRightInd w:val="0"/>
        <w:snapToGrid w:val="0"/>
        <w:spacing w:line="460" w:lineRule="exact"/>
        <w:ind w:firstLine="482" w:firstLineChars="200"/>
        <w:rPr>
          <w:rFonts w:hAnsi="宋体" w:cs="宋体"/>
          <w:snapToGrid w:val="0"/>
          <w:color w:val="auto"/>
          <w:kern w:val="0"/>
        </w:rPr>
      </w:pPr>
      <w:r>
        <w:rPr>
          <w:rFonts w:hint="eastAsia" w:hAnsi="宋体" w:cs="宋体"/>
          <w:b/>
          <w:bCs/>
          <w:snapToGrid w:val="0"/>
          <w:color w:val="auto"/>
          <w:kern w:val="0"/>
        </w:rPr>
        <w:t>15.3</w:t>
      </w:r>
      <w:r>
        <w:rPr>
          <w:rFonts w:hint="eastAsia" w:hAnsi="宋体" w:cs="宋体"/>
          <w:bCs/>
          <w:snapToGrid w:val="0"/>
          <w:color w:val="auto"/>
          <w:kern w:val="0"/>
          <w:szCs w:val="22"/>
        </w:rPr>
        <w:t xml:space="preserve"> 评审范围：</w:t>
      </w:r>
      <w:r>
        <w:rPr>
          <w:rFonts w:hint="eastAsia" w:hAnsi="宋体" w:cs="宋体"/>
          <w:snapToGrid w:val="0"/>
          <w:color w:val="auto"/>
          <w:kern w:val="0"/>
        </w:rPr>
        <w:t>评标委员会应对所有进入评标投标人的投标文件进行评审。</w:t>
      </w:r>
    </w:p>
    <w:p w14:paraId="66B9DE91">
      <w:pPr>
        <w:wordWrap w:val="0"/>
        <w:adjustRightInd w:val="0"/>
        <w:snapToGrid w:val="0"/>
        <w:spacing w:line="460" w:lineRule="exact"/>
        <w:ind w:firstLine="482" w:firstLineChars="200"/>
        <w:rPr>
          <w:rFonts w:hAnsi="宋体" w:cs="宋体"/>
          <w:snapToGrid w:val="0"/>
          <w:color w:val="auto"/>
          <w:kern w:val="0"/>
        </w:rPr>
      </w:pPr>
      <w:r>
        <w:rPr>
          <w:rFonts w:hint="eastAsia" w:hAnsi="宋体" w:cs="宋体"/>
          <w:b/>
          <w:bCs/>
          <w:snapToGrid w:val="0"/>
          <w:color w:val="auto"/>
          <w:kern w:val="0"/>
        </w:rPr>
        <w:t>15.4</w:t>
      </w:r>
      <w:r>
        <w:rPr>
          <w:rFonts w:hint="eastAsia" w:hAnsi="宋体" w:cs="宋体"/>
          <w:snapToGrid w:val="0"/>
          <w:color w:val="auto"/>
          <w:kern w:val="0"/>
        </w:rPr>
        <w:t xml:space="preserve"> 初步评审阶段</w:t>
      </w:r>
    </w:p>
    <w:p w14:paraId="46505260">
      <w:pPr>
        <w:wordWrap w:val="0"/>
        <w:adjustRightInd w:val="0"/>
        <w:snapToGrid w:val="0"/>
        <w:spacing w:line="460" w:lineRule="exact"/>
        <w:ind w:firstLine="480" w:firstLineChars="200"/>
        <w:rPr>
          <w:rFonts w:hAnsi="宋体" w:cs="宋体"/>
          <w:snapToGrid w:val="0"/>
          <w:color w:val="auto"/>
          <w:kern w:val="0"/>
        </w:rPr>
      </w:pPr>
      <w:r>
        <w:rPr>
          <w:rFonts w:hint="eastAsia" w:hAnsi="宋体" w:cs="宋体"/>
          <w:snapToGrid w:val="0"/>
          <w:color w:val="auto"/>
          <w:kern w:val="0"/>
        </w:rPr>
        <w:t>初步评审阶段分为资格评审、形式评审和响应性评审三个环节。</w:t>
      </w:r>
    </w:p>
    <w:p w14:paraId="2CA07B83">
      <w:pPr>
        <w:wordWrap w:val="0"/>
        <w:adjustRightInd w:val="0"/>
        <w:snapToGrid w:val="0"/>
        <w:spacing w:line="460" w:lineRule="exact"/>
        <w:ind w:firstLine="482" w:firstLineChars="200"/>
        <w:rPr>
          <w:rFonts w:hAnsi="宋体" w:cs="宋体"/>
          <w:snapToGrid w:val="0"/>
          <w:color w:val="auto"/>
          <w:kern w:val="0"/>
        </w:rPr>
      </w:pPr>
      <w:r>
        <w:rPr>
          <w:rFonts w:hint="eastAsia" w:hAnsi="宋体" w:cs="宋体"/>
          <w:b/>
          <w:bCs/>
          <w:snapToGrid w:val="0"/>
          <w:color w:val="auto"/>
          <w:kern w:val="0"/>
        </w:rPr>
        <w:t>15.4.1</w:t>
      </w:r>
      <w:r>
        <w:rPr>
          <w:rFonts w:hint="eastAsia" w:hAnsi="宋体" w:cs="宋体"/>
          <w:snapToGrid w:val="0"/>
          <w:color w:val="auto"/>
          <w:kern w:val="0"/>
        </w:rPr>
        <w:t xml:space="preserve"> 资格评审环节</w:t>
      </w:r>
    </w:p>
    <w:p w14:paraId="53F0C2B4">
      <w:pPr>
        <w:wordWrap w:val="0"/>
        <w:adjustRightInd w:val="0"/>
        <w:snapToGrid w:val="0"/>
        <w:spacing w:line="460" w:lineRule="exact"/>
        <w:ind w:firstLine="480" w:firstLineChars="200"/>
        <w:rPr>
          <w:rFonts w:hAnsi="宋体" w:cs="宋体"/>
          <w:snapToGrid w:val="0"/>
          <w:color w:val="auto"/>
          <w:kern w:val="0"/>
        </w:rPr>
      </w:pPr>
      <w:r>
        <w:rPr>
          <w:rFonts w:hint="eastAsia" w:hAnsi="宋体" w:cs="宋体"/>
          <w:snapToGrid w:val="0"/>
          <w:color w:val="auto"/>
          <w:kern w:val="0"/>
        </w:rPr>
        <w:t>资格评审事项包括：</w:t>
      </w:r>
    </w:p>
    <w:p w14:paraId="31867CAC">
      <w:pPr>
        <w:wordWrap w:val="0"/>
        <w:adjustRightInd w:val="0"/>
        <w:snapToGrid w:val="0"/>
        <w:spacing w:line="460" w:lineRule="exact"/>
        <w:ind w:firstLine="480" w:firstLineChars="200"/>
        <w:rPr>
          <w:rFonts w:hAnsi="宋体" w:cs="宋体"/>
          <w:snapToGrid w:val="0"/>
          <w:color w:val="auto"/>
          <w:kern w:val="0"/>
        </w:rPr>
      </w:pPr>
      <w:r>
        <w:rPr>
          <w:rFonts w:hint="eastAsia" w:hAnsi="宋体" w:cs="宋体"/>
          <w:snapToGrid w:val="0"/>
          <w:color w:val="auto"/>
          <w:kern w:val="0"/>
        </w:rPr>
        <w:t>（1）投标人是否符合本章第三节第2.4条“禁止投标条款”规定。</w:t>
      </w:r>
    </w:p>
    <w:p w14:paraId="6AFA17A1">
      <w:pPr>
        <w:wordWrap w:val="0"/>
        <w:adjustRightInd w:val="0"/>
        <w:snapToGrid w:val="0"/>
        <w:spacing w:line="460" w:lineRule="exact"/>
        <w:ind w:firstLine="480" w:firstLineChars="200"/>
        <w:rPr>
          <w:rFonts w:hAnsi="宋体" w:cs="宋体"/>
          <w:snapToGrid w:val="0"/>
          <w:color w:val="auto"/>
          <w:kern w:val="0"/>
        </w:rPr>
      </w:pPr>
      <w:r>
        <w:rPr>
          <w:rFonts w:hint="eastAsia" w:hAnsi="宋体" w:cs="宋体"/>
          <w:snapToGrid w:val="0"/>
          <w:color w:val="auto"/>
          <w:kern w:val="0"/>
        </w:rPr>
        <w:t>（2）投标人名称是否与营业执照、资质证书一致。</w:t>
      </w:r>
    </w:p>
    <w:p w14:paraId="28C513C8">
      <w:pPr>
        <w:wordWrap w:val="0"/>
        <w:adjustRightInd w:val="0"/>
        <w:snapToGrid w:val="0"/>
        <w:spacing w:line="460" w:lineRule="exact"/>
        <w:ind w:firstLine="480" w:firstLineChars="200"/>
        <w:rPr>
          <w:rFonts w:hAnsi="宋体" w:cs="宋体"/>
          <w:snapToGrid w:val="0"/>
          <w:color w:val="auto"/>
          <w:kern w:val="0"/>
        </w:rPr>
      </w:pPr>
      <w:r>
        <w:rPr>
          <w:rFonts w:hint="eastAsia" w:hAnsi="宋体" w:cs="宋体"/>
          <w:snapToGrid w:val="0"/>
          <w:color w:val="auto"/>
          <w:kern w:val="0"/>
        </w:rPr>
        <w:t>（3）投标人的资质是否符合招标文件规定；其营业执照、资质证书是否合法、有效。</w:t>
      </w:r>
    </w:p>
    <w:p w14:paraId="1DB24E88">
      <w:pPr>
        <w:wordWrap w:val="0"/>
        <w:adjustRightInd w:val="0"/>
        <w:snapToGrid w:val="0"/>
        <w:spacing w:line="460" w:lineRule="exact"/>
        <w:ind w:firstLine="480" w:firstLineChars="200"/>
        <w:rPr>
          <w:rFonts w:hAnsi="宋体" w:cs="宋体"/>
          <w:snapToGrid w:val="0"/>
          <w:color w:val="auto"/>
          <w:kern w:val="0"/>
        </w:rPr>
      </w:pPr>
      <w:r>
        <w:rPr>
          <w:rFonts w:hint="eastAsia" w:hAnsi="宋体" w:cs="宋体"/>
          <w:snapToGrid w:val="0"/>
          <w:color w:val="auto"/>
          <w:kern w:val="0"/>
        </w:rPr>
        <w:t>（4）投标文件中拟派总监理工程师是否与《开标一览表》一致；拟派总监理工程师的条件是否符合招标文件规定；是否擅自修改、遗漏《总监理工程师任职声明》的实质性内容；拟派总监理工程师现阶段有担任其他在施建设工程项目总监理工程师职务的，任职项目建设单位是否在《</w:t>
      </w:r>
      <w:r>
        <w:rPr>
          <w:rFonts w:hint="eastAsia" w:hAnsi="宋体" w:cs="宋体"/>
          <w:snapToGrid w:val="0"/>
          <w:color w:val="auto"/>
          <w:kern w:val="0"/>
          <w:szCs w:val="18"/>
        </w:rPr>
        <w:t>总监理工程师任职项目情况表</w:t>
      </w:r>
      <w:r>
        <w:rPr>
          <w:rFonts w:hint="eastAsia" w:hAnsi="宋体" w:cs="宋体"/>
          <w:snapToGrid w:val="0"/>
          <w:color w:val="auto"/>
          <w:kern w:val="0"/>
        </w:rPr>
        <w:t xml:space="preserve">》内盖章同意或另行出具了书面同意意见。 </w:t>
      </w:r>
    </w:p>
    <w:p w14:paraId="1054DA52">
      <w:pPr>
        <w:wordWrap w:val="0"/>
        <w:adjustRightInd w:val="0"/>
        <w:snapToGrid w:val="0"/>
        <w:spacing w:line="460" w:lineRule="exact"/>
        <w:ind w:firstLine="480" w:firstLineChars="200"/>
        <w:rPr>
          <w:rFonts w:hAnsi="宋体" w:cs="宋体"/>
          <w:snapToGrid w:val="0"/>
          <w:color w:val="auto"/>
          <w:kern w:val="0"/>
        </w:rPr>
      </w:pPr>
      <w:r>
        <w:rPr>
          <w:rFonts w:hint="eastAsia" w:hAnsi="宋体" w:cs="宋体"/>
          <w:snapToGrid w:val="0"/>
          <w:color w:val="auto"/>
          <w:kern w:val="0"/>
        </w:rPr>
        <w:t>（5）项目监理机构组成人员的各类证书、证件、证明是否合法、有效。</w:t>
      </w:r>
    </w:p>
    <w:p w14:paraId="5249B7F5">
      <w:pPr>
        <w:wordWrap w:val="0"/>
        <w:adjustRightInd w:val="0"/>
        <w:snapToGrid w:val="0"/>
        <w:spacing w:line="460" w:lineRule="exact"/>
        <w:ind w:firstLine="480" w:firstLineChars="200"/>
        <w:rPr>
          <w:rFonts w:hAnsi="宋体" w:cs="宋体"/>
          <w:snapToGrid w:val="0"/>
          <w:color w:val="auto"/>
          <w:kern w:val="0"/>
        </w:rPr>
      </w:pPr>
      <w:r>
        <w:rPr>
          <w:rFonts w:hint="eastAsia" w:hAnsi="宋体" w:cs="宋体"/>
          <w:snapToGrid w:val="0"/>
          <w:color w:val="auto"/>
          <w:kern w:val="0"/>
        </w:rPr>
        <w:t>（6）投标人为外省建筑企业的，是否按规定在“进粤企业和人员诚信信息登记平台”录入企业及其拟派往人员相关信息并通过数据规范检查。</w:t>
      </w:r>
    </w:p>
    <w:p w14:paraId="5084254E">
      <w:pPr>
        <w:wordWrap w:val="0"/>
        <w:adjustRightInd w:val="0"/>
        <w:snapToGrid w:val="0"/>
        <w:spacing w:line="460" w:lineRule="exact"/>
        <w:ind w:firstLine="482" w:firstLineChars="200"/>
        <w:rPr>
          <w:rFonts w:hAnsi="宋体" w:cs="宋体"/>
          <w:snapToGrid w:val="0"/>
          <w:color w:val="auto"/>
          <w:kern w:val="0"/>
        </w:rPr>
      </w:pPr>
      <w:r>
        <w:rPr>
          <w:rFonts w:hint="eastAsia" w:hAnsi="宋体" w:cs="宋体"/>
          <w:b/>
          <w:bCs/>
          <w:snapToGrid w:val="0"/>
          <w:color w:val="auto"/>
          <w:kern w:val="0"/>
        </w:rPr>
        <w:t>15.4.2</w:t>
      </w:r>
      <w:r>
        <w:rPr>
          <w:rFonts w:hint="eastAsia" w:hAnsi="宋体" w:cs="宋体"/>
          <w:snapToGrid w:val="0"/>
          <w:color w:val="auto"/>
          <w:kern w:val="0"/>
        </w:rPr>
        <w:t xml:space="preserve"> 形式评审环节</w:t>
      </w:r>
    </w:p>
    <w:p w14:paraId="46ACBDDD">
      <w:pPr>
        <w:wordWrap w:val="0"/>
        <w:adjustRightInd w:val="0"/>
        <w:snapToGrid w:val="0"/>
        <w:spacing w:line="460" w:lineRule="exact"/>
        <w:ind w:firstLine="480" w:firstLineChars="200"/>
        <w:rPr>
          <w:rFonts w:hAnsi="宋体" w:cs="宋体"/>
          <w:snapToGrid w:val="0"/>
          <w:color w:val="auto"/>
          <w:kern w:val="0"/>
        </w:rPr>
      </w:pPr>
      <w:r>
        <w:rPr>
          <w:rFonts w:hint="eastAsia" w:hAnsi="宋体" w:cs="宋体"/>
          <w:snapToGrid w:val="0"/>
          <w:color w:val="auto"/>
          <w:kern w:val="0"/>
        </w:rPr>
        <w:t>形式评审事项包括：</w:t>
      </w:r>
    </w:p>
    <w:p w14:paraId="2CB3D186">
      <w:pPr>
        <w:wordWrap w:val="0"/>
        <w:adjustRightInd w:val="0"/>
        <w:snapToGrid w:val="0"/>
        <w:spacing w:line="460" w:lineRule="exact"/>
        <w:ind w:firstLine="480" w:firstLineChars="200"/>
        <w:rPr>
          <w:rFonts w:hAnsi="宋体" w:cs="宋体"/>
          <w:snapToGrid w:val="0"/>
          <w:color w:val="auto"/>
          <w:kern w:val="0"/>
        </w:rPr>
      </w:pPr>
      <w:r>
        <w:rPr>
          <w:rFonts w:hint="eastAsia" w:hAnsi="宋体" w:cs="宋体"/>
          <w:snapToGrid w:val="0"/>
          <w:color w:val="auto"/>
          <w:kern w:val="0"/>
        </w:rPr>
        <w:t>（1）各分册是否按招标文件规定加盖电子印章。</w:t>
      </w:r>
    </w:p>
    <w:p w14:paraId="1BE233F0">
      <w:pPr>
        <w:wordWrap w:val="0"/>
        <w:adjustRightInd w:val="0"/>
        <w:snapToGrid w:val="0"/>
        <w:spacing w:line="460" w:lineRule="exact"/>
        <w:ind w:firstLine="480" w:firstLineChars="200"/>
        <w:rPr>
          <w:rFonts w:hAnsi="宋体" w:cs="宋体"/>
          <w:snapToGrid w:val="0"/>
          <w:color w:val="auto"/>
          <w:kern w:val="0"/>
        </w:rPr>
      </w:pPr>
      <w:r>
        <w:rPr>
          <w:rFonts w:hint="eastAsia" w:hAnsi="宋体" w:cs="宋体"/>
          <w:snapToGrid w:val="0"/>
          <w:color w:val="auto"/>
          <w:kern w:val="0"/>
        </w:rPr>
        <w:t>（2）本节第</w:t>
      </w:r>
      <w:r>
        <w:rPr>
          <w:rFonts w:hint="eastAsia" w:hAnsi="宋体" w:cs="宋体"/>
          <w:b/>
          <w:bCs/>
          <w:snapToGrid w:val="0"/>
          <w:color w:val="auto"/>
          <w:kern w:val="0"/>
          <w:szCs w:val="18"/>
        </w:rPr>
        <w:t>10.2.2</w:t>
      </w:r>
      <w:r>
        <w:rPr>
          <w:rFonts w:hint="eastAsia" w:hAnsi="宋体" w:cs="宋体"/>
          <w:snapToGrid w:val="0"/>
          <w:color w:val="auto"/>
          <w:kern w:val="0"/>
          <w:szCs w:val="18"/>
        </w:rPr>
        <w:t>目、</w:t>
      </w:r>
      <w:r>
        <w:rPr>
          <w:rFonts w:hint="eastAsia" w:hAnsi="宋体" w:cs="宋体"/>
          <w:snapToGrid w:val="0"/>
          <w:color w:val="auto"/>
          <w:kern w:val="0"/>
        </w:rPr>
        <w:t>第</w:t>
      </w:r>
      <w:r>
        <w:rPr>
          <w:rFonts w:hint="eastAsia" w:hAnsi="宋体" w:cs="宋体"/>
          <w:b/>
          <w:bCs/>
          <w:snapToGrid w:val="0"/>
          <w:color w:val="auto"/>
          <w:kern w:val="0"/>
          <w:szCs w:val="18"/>
        </w:rPr>
        <w:t>10.3.3</w:t>
      </w:r>
      <w:r>
        <w:rPr>
          <w:rFonts w:hint="eastAsia" w:hAnsi="宋体" w:cs="宋体"/>
          <w:snapToGrid w:val="0"/>
          <w:color w:val="auto"/>
          <w:kern w:val="0"/>
          <w:szCs w:val="18"/>
        </w:rPr>
        <w:t>目</w:t>
      </w:r>
      <w:r>
        <w:rPr>
          <w:rFonts w:hint="eastAsia" w:hAnsi="宋体" w:cs="宋体"/>
          <w:snapToGrid w:val="0"/>
          <w:color w:val="auto"/>
          <w:kern w:val="0"/>
        </w:rPr>
        <w:t>中规定的“</w:t>
      </w:r>
      <w:r>
        <w:rPr>
          <w:rFonts w:hint="eastAsia" w:hAnsi="宋体" w:cs="宋体"/>
          <w:snapToGrid w:val="0"/>
          <w:color w:val="auto"/>
          <w:kern w:val="0"/>
          <w:szCs w:val="18"/>
        </w:rPr>
        <w:t>所有投标人均应提供</w:t>
      </w:r>
      <w:r>
        <w:rPr>
          <w:rFonts w:hint="eastAsia" w:hAnsi="宋体" w:cs="宋体"/>
          <w:snapToGrid w:val="0"/>
          <w:color w:val="auto"/>
          <w:kern w:val="0"/>
        </w:rPr>
        <w:t>”的组成内容（包括该组成内容的所附资料）是否完整、齐全。</w:t>
      </w:r>
    </w:p>
    <w:p w14:paraId="349E7B41">
      <w:pPr>
        <w:wordWrap w:val="0"/>
        <w:adjustRightInd w:val="0"/>
        <w:snapToGrid w:val="0"/>
        <w:spacing w:line="460" w:lineRule="exact"/>
        <w:ind w:firstLine="562"/>
        <w:rPr>
          <w:rFonts w:hAnsi="宋体" w:cs="宋体"/>
          <w:snapToGrid w:val="0"/>
          <w:color w:val="auto"/>
          <w:kern w:val="0"/>
        </w:rPr>
      </w:pPr>
      <w:r>
        <w:rPr>
          <w:rFonts w:hint="eastAsia" w:hAnsi="宋体" w:cs="宋体"/>
          <w:b/>
          <w:bCs/>
          <w:snapToGrid w:val="0"/>
          <w:color w:val="auto"/>
          <w:kern w:val="0"/>
        </w:rPr>
        <w:t>15.4.3</w:t>
      </w:r>
      <w:r>
        <w:rPr>
          <w:rFonts w:hint="eastAsia" w:hAnsi="宋体" w:cs="宋体"/>
          <w:snapToGrid w:val="0"/>
          <w:color w:val="auto"/>
          <w:kern w:val="0"/>
        </w:rPr>
        <w:t xml:space="preserve"> 响应性评审环节</w:t>
      </w:r>
    </w:p>
    <w:p w14:paraId="2DC826F0">
      <w:pPr>
        <w:wordWrap w:val="0"/>
        <w:adjustRightInd w:val="0"/>
        <w:snapToGrid w:val="0"/>
        <w:spacing w:line="460" w:lineRule="exact"/>
        <w:ind w:firstLine="480" w:firstLineChars="200"/>
        <w:rPr>
          <w:rFonts w:hAnsi="宋体" w:cs="宋体"/>
          <w:snapToGrid w:val="0"/>
          <w:color w:val="auto"/>
          <w:kern w:val="0"/>
        </w:rPr>
      </w:pPr>
      <w:r>
        <w:rPr>
          <w:rFonts w:hint="eastAsia" w:hAnsi="宋体" w:cs="宋体"/>
          <w:snapToGrid w:val="0"/>
          <w:color w:val="auto"/>
          <w:kern w:val="0"/>
        </w:rPr>
        <w:t>响应性评审事项包括：</w:t>
      </w:r>
    </w:p>
    <w:p w14:paraId="07924A41">
      <w:pPr>
        <w:wordWrap w:val="0"/>
        <w:adjustRightInd w:val="0"/>
        <w:snapToGrid w:val="0"/>
        <w:spacing w:line="460" w:lineRule="exact"/>
        <w:ind w:firstLine="480" w:firstLineChars="200"/>
        <w:rPr>
          <w:rFonts w:hAnsi="宋体" w:cs="宋体"/>
          <w:snapToGrid w:val="0"/>
          <w:color w:val="auto"/>
          <w:kern w:val="0"/>
        </w:rPr>
      </w:pPr>
      <w:r>
        <w:rPr>
          <w:rFonts w:hint="eastAsia" w:hAnsi="宋体" w:cs="宋体"/>
          <w:snapToGrid w:val="0"/>
          <w:color w:val="auto"/>
          <w:kern w:val="0"/>
        </w:rPr>
        <w:t>（1）投标有效期、监理及相关服务期限等是否响应招标文件实质性要求；是否擅自修改、遗漏《投标函》《各项承诺一览表》的实质性内容。</w:t>
      </w:r>
    </w:p>
    <w:p w14:paraId="4471D461">
      <w:pPr>
        <w:wordWrap w:val="0"/>
        <w:adjustRightInd w:val="0"/>
        <w:snapToGrid w:val="0"/>
        <w:spacing w:line="460" w:lineRule="exact"/>
        <w:ind w:firstLine="562"/>
        <w:rPr>
          <w:rFonts w:hAnsi="宋体" w:cs="宋体"/>
          <w:snapToGrid w:val="0"/>
          <w:color w:val="auto"/>
          <w:kern w:val="0"/>
        </w:rPr>
      </w:pPr>
      <w:r>
        <w:rPr>
          <w:rFonts w:hint="eastAsia" w:hAnsi="宋体" w:cs="宋体"/>
          <w:snapToGrid w:val="0"/>
          <w:color w:val="auto"/>
          <w:kern w:val="0"/>
        </w:rPr>
        <w:t>（2）投标总价是否唯一；投标总价是否超出最高投标限价。</w:t>
      </w:r>
    </w:p>
    <w:p w14:paraId="050183AF">
      <w:pPr>
        <w:wordWrap w:val="0"/>
        <w:adjustRightInd w:val="0"/>
        <w:snapToGrid w:val="0"/>
        <w:spacing w:line="460" w:lineRule="exact"/>
        <w:ind w:firstLine="562"/>
        <w:rPr>
          <w:rFonts w:hAnsi="宋体" w:cs="宋体"/>
          <w:snapToGrid w:val="0"/>
          <w:color w:val="auto"/>
          <w:kern w:val="0"/>
        </w:rPr>
      </w:pPr>
      <w:r>
        <w:rPr>
          <w:rFonts w:hint="eastAsia" w:hAnsi="宋体" w:cs="宋体"/>
          <w:snapToGrid w:val="0"/>
          <w:color w:val="auto"/>
          <w:kern w:val="0"/>
        </w:rPr>
        <w:t>（3）监理大纲中的监理及相关服务的范围、内容、目标是否符合招标文件规定。</w:t>
      </w:r>
    </w:p>
    <w:p w14:paraId="2348D152">
      <w:pPr>
        <w:wordWrap w:val="0"/>
        <w:adjustRightInd w:val="0"/>
        <w:snapToGrid w:val="0"/>
        <w:spacing w:line="460" w:lineRule="exact"/>
        <w:ind w:firstLine="562"/>
        <w:rPr>
          <w:rFonts w:hAnsi="宋体" w:cs="宋体"/>
          <w:snapToGrid w:val="0"/>
          <w:color w:val="auto"/>
          <w:kern w:val="0"/>
        </w:rPr>
      </w:pPr>
      <w:r>
        <w:rPr>
          <w:rFonts w:hint="eastAsia" w:hAnsi="宋体" w:cs="宋体"/>
          <w:b/>
          <w:bCs/>
          <w:snapToGrid w:val="0"/>
          <w:color w:val="auto"/>
          <w:kern w:val="0"/>
        </w:rPr>
        <w:t>15.4.4</w:t>
      </w:r>
      <w:r>
        <w:rPr>
          <w:rFonts w:hint="eastAsia" w:hAnsi="宋体" w:cs="宋体"/>
          <w:snapToGrid w:val="0"/>
          <w:color w:val="auto"/>
          <w:kern w:val="0"/>
        </w:rPr>
        <w:t xml:space="preserve"> 否决投标说明</w:t>
      </w:r>
    </w:p>
    <w:p w14:paraId="4CEFE34C">
      <w:pPr>
        <w:wordWrap w:val="0"/>
        <w:adjustRightInd w:val="0"/>
        <w:snapToGrid w:val="0"/>
        <w:spacing w:line="460" w:lineRule="exact"/>
        <w:ind w:firstLine="562"/>
        <w:rPr>
          <w:rFonts w:hAnsi="宋体" w:cs="宋体"/>
          <w:snapToGrid w:val="0"/>
          <w:color w:val="auto"/>
          <w:kern w:val="0"/>
        </w:rPr>
      </w:pPr>
      <w:r>
        <w:rPr>
          <w:rFonts w:hint="eastAsia" w:hAnsi="宋体" w:cs="宋体"/>
          <w:snapToGrid w:val="0"/>
          <w:color w:val="auto"/>
          <w:kern w:val="0"/>
        </w:rPr>
        <w:t>初步评审阶段各个环节否决投标的全部条件，在本章第四节“否决投标条件”第</w:t>
      </w:r>
      <w:r>
        <w:rPr>
          <w:rFonts w:hint="eastAsia" w:hAnsi="宋体" w:cs="宋体"/>
          <w:b/>
          <w:bCs/>
          <w:snapToGrid w:val="0"/>
          <w:color w:val="auto"/>
          <w:kern w:val="0"/>
        </w:rPr>
        <w:t>1</w:t>
      </w:r>
      <w:r>
        <w:rPr>
          <w:rFonts w:hint="eastAsia" w:hAnsi="宋体" w:cs="宋体"/>
          <w:snapToGrid w:val="0"/>
          <w:color w:val="auto"/>
          <w:kern w:val="0"/>
        </w:rPr>
        <w:t>条至第</w:t>
      </w:r>
      <w:r>
        <w:rPr>
          <w:rFonts w:hint="eastAsia" w:hAnsi="宋体" w:cs="宋体"/>
          <w:b/>
          <w:bCs/>
          <w:snapToGrid w:val="0"/>
          <w:color w:val="auto"/>
          <w:kern w:val="0"/>
        </w:rPr>
        <w:t>4</w:t>
      </w:r>
      <w:r>
        <w:rPr>
          <w:rFonts w:hint="eastAsia" w:hAnsi="宋体" w:cs="宋体"/>
          <w:snapToGrid w:val="0"/>
          <w:color w:val="auto"/>
          <w:kern w:val="0"/>
        </w:rPr>
        <w:t>条中集中列示。投标人有其中所列任何一种情形的，由评标委员会否决其投标。在初步评审阶段任何环节被否决的投标，不进入下一环节（或阶段）评审。经初步评审后，若所有投标均被否决，招标人应当依法重新招标。</w:t>
      </w:r>
    </w:p>
    <w:p w14:paraId="7742F388">
      <w:pPr>
        <w:wordWrap w:val="0"/>
        <w:adjustRightInd w:val="0"/>
        <w:snapToGrid w:val="0"/>
        <w:spacing w:line="420" w:lineRule="exact"/>
        <w:rPr>
          <w:rFonts w:hAnsi="宋体" w:cs="宋体"/>
          <w:snapToGrid w:val="0"/>
          <w:color w:val="auto"/>
          <w:kern w:val="0"/>
        </w:rPr>
      </w:pPr>
      <w:r>
        <w:rPr>
          <w:rFonts w:hint="eastAsia" w:hAnsi="宋体" w:cs="宋体"/>
          <w:b/>
          <w:bCs/>
          <w:snapToGrid w:val="0"/>
          <w:color w:val="auto"/>
          <w:kern w:val="0"/>
        </w:rPr>
        <w:t xml:space="preserve">    15.5</w:t>
      </w:r>
      <w:r>
        <w:rPr>
          <w:rFonts w:hint="eastAsia" w:hAnsi="宋体" w:cs="宋体"/>
          <w:snapToGrid w:val="0"/>
          <w:color w:val="auto"/>
          <w:kern w:val="0"/>
        </w:rPr>
        <w:t xml:space="preserve"> 详细评审</w:t>
      </w:r>
      <w:bookmarkStart w:id="60" w:name="_Hlt121629839"/>
      <w:r>
        <w:rPr>
          <w:rFonts w:hint="eastAsia" w:hAnsi="宋体" w:cs="宋体"/>
          <w:snapToGrid w:val="0"/>
          <w:color w:val="auto"/>
          <w:kern w:val="0"/>
        </w:rPr>
        <w:t>阶段</w:t>
      </w:r>
    </w:p>
    <w:p w14:paraId="63C329EF">
      <w:pPr>
        <w:wordWrap w:val="0"/>
        <w:adjustRightInd w:val="0"/>
        <w:snapToGrid w:val="0"/>
        <w:spacing w:line="420" w:lineRule="exact"/>
        <w:rPr>
          <w:rFonts w:hAnsi="宋体" w:cs="宋体"/>
          <w:snapToGrid w:val="0"/>
          <w:color w:val="auto"/>
          <w:kern w:val="0"/>
        </w:rPr>
      </w:pPr>
      <w:r>
        <w:rPr>
          <w:rFonts w:hint="eastAsia" w:hAnsi="宋体" w:cs="宋体"/>
          <w:b/>
          <w:bCs/>
          <w:snapToGrid w:val="0"/>
          <w:color w:val="auto"/>
          <w:kern w:val="0"/>
        </w:rPr>
        <w:t xml:space="preserve">    15.5.1</w:t>
      </w:r>
      <w:r>
        <w:rPr>
          <w:rFonts w:hint="eastAsia" w:hAnsi="宋体" w:cs="宋体"/>
          <w:bCs/>
          <w:snapToGrid w:val="0"/>
          <w:color w:val="auto"/>
          <w:kern w:val="0"/>
        </w:rPr>
        <w:t xml:space="preserve"> “综合评估法”评审程序</w:t>
      </w:r>
    </w:p>
    <w:p w14:paraId="165D8EC1">
      <w:pPr>
        <w:wordWrap w:val="0"/>
        <w:adjustRightInd w:val="0"/>
        <w:snapToGrid w:val="0"/>
        <w:spacing w:line="420" w:lineRule="exact"/>
        <w:ind w:firstLine="480" w:firstLineChars="200"/>
        <w:rPr>
          <w:rFonts w:hAnsi="宋体" w:cs="宋体"/>
          <w:snapToGrid w:val="0"/>
          <w:color w:val="auto"/>
          <w:kern w:val="0"/>
        </w:rPr>
      </w:pPr>
      <w:r>
        <w:rPr>
          <w:rFonts w:hint="eastAsia" w:hAnsi="宋体" w:cs="宋体"/>
          <w:snapToGrid w:val="0"/>
          <w:color w:val="auto"/>
          <w:kern w:val="0"/>
        </w:rPr>
        <w:t>评审内容分为商务、技术和投标报价三大部分，综合得分满分为100分。其中，商务满分为</w:t>
      </w:r>
      <w:r>
        <w:rPr>
          <w:rFonts w:hint="eastAsia" w:hAnsi="宋体" w:cs="宋体"/>
          <w:snapToGrid w:val="0"/>
          <w:color w:val="auto"/>
          <w:kern w:val="0"/>
          <w:u w:val="single"/>
        </w:rPr>
        <w:t xml:space="preserve"> </w:t>
      </w:r>
      <w:r>
        <w:rPr>
          <w:rFonts w:hint="eastAsia" w:hAnsi="宋体" w:cs="宋体"/>
          <w:snapToGrid w:val="0"/>
          <w:color w:val="auto"/>
          <w:kern w:val="0"/>
          <w:u w:val="single"/>
          <w:lang w:val="en-US" w:eastAsia="zh-CN"/>
        </w:rPr>
        <w:t>6</w:t>
      </w:r>
      <w:r>
        <w:rPr>
          <w:rFonts w:hint="eastAsia" w:hAnsi="宋体" w:cs="宋体"/>
          <w:snapToGrid w:val="0"/>
          <w:color w:val="auto"/>
          <w:kern w:val="0"/>
          <w:u w:val="single"/>
        </w:rPr>
        <w:t xml:space="preserve">0 </w:t>
      </w:r>
      <w:r>
        <w:rPr>
          <w:rFonts w:hint="eastAsia" w:hAnsi="宋体" w:cs="宋体"/>
          <w:snapToGrid w:val="0"/>
          <w:color w:val="auto"/>
          <w:kern w:val="0"/>
        </w:rPr>
        <w:t>分，技术满分为</w:t>
      </w:r>
      <w:r>
        <w:rPr>
          <w:rFonts w:hint="eastAsia" w:hAnsi="宋体" w:cs="宋体"/>
          <w:snapToGrid w:val="0"/>
          <w:color w:val="auto"/>
          <w:kern w:val="0"/>
          <w:u w:val="single"/>
        </w:rPr>
        <w:t xml:space="preserve"> 30 </w:t>
      </w:r>
      <w:r>
        <w:rPr>
          <w:rFonts w:hint="eastAsia" w:hAnsi="宋体" w:cs="宋体"/>
          <w:snapToGrid w:val="0"/>
          <w:color w:val="auto"/>
          <w:kern w:val="0"/>
        </w:rPr>
        <w:t>分，投标报价部分满分为</w:t>
      </w:r>
      <w:r>
        <w:rPr>
          <w:rFonts w:hint="eastAsia" w:hAnsi="宋体" w:cs="宋体"/>
          <w:snapToGrid w:val="0"/>
          <w:color w:val="auto"/>
          <w:kern w:val="0"/>
          <w:u w:val="single"/>
        </w:rPr>
        <w:t xml:space="preserve"> </w:t>
      </w:r>
      <w:r>
        <w:rPr>
          <w:rFonts w:hint="eastAsia" w:hAnsi="宋体" w:cs="宋体"/>
          <w:snapToGrid w:val="0"/>
          <w:color w:val="auto"/>
          <w:kern w:val="0"/>
          <w:u w:val="single"/>
          <w:lang w:val="en-US" w:eastAsia="zh-CN"/>
        </w:rPr>
        <w:t>1</w:t>
      </w:r>
      <w:r>
        <w:rPr>
          <w:rFonts w:hint="eastAsia" w:hAnsi="宋体" w:cs="宋体"/>
          <w:snapToGrid w:val="0"/>
          <w:color w:val="auto"/>
          <w:kern w:val="0"/>
          <w:u w:val="single"/>
        </w:rPr>
        <w:t xml:space="preserve">0 </w:t>
      </w:r>
      <w:r>
        <w:rPr>
          <w:rFonts w:hint="eastAsia" w:hAnsi="宋体" w:cs="宋体"/>
          <w:snapToGrid w:val="0"/>
          <w:color w:val="auto"/>
          <w:kern w:val="0"/>
        </w:rPr>
        <w:t>分。</w:t>
      </w:r>
    </w:p>
    <w:p w14:paraId="33A971C0">
      <w:pPr>
        <w:wordWrap w:val="0"/>
        <w:adjustRightInd w:val="0"/>
        <w:snapToGrid w:val="0"/>
        <w:spacing w:line="420" w:lineRule="exact"/>
        <w:ind w:firstLine="480"/>
        <w:rPr>
          <w:rFonts w:hAnsi="宋体" w:cs="宋体"/>
          <w:snapToGrid w:val="0"/>
          <w:color w:val="auto"/>
          <w:kern w:val="0"/>
        </w:rPr>
      </w:pPr>
      <w:r>
        <w:rPr>
          <w:rFonts w:hint="eastAsia" w:hAnsi="宋体" w:cs="宋体"/>
          <w:snapToGrid w:val="0"/>
          <w:color w:val="auto"/>
          <w:kern w:val="0"/>
        </w:rPr>
        <w:t>除特别注明外，综合得分以及商务、技术、投标报价得分的中间过程计算值和最终值，均按“四舍五入”原则精确到两位小数。</w:t>
      </w:r>
    </w:p>
    <w:p w14:paraId="2F0B4F3A">
      <w:pPr>
        <w:wordWrap w:val="0"/>
        <w:adjustRightInd w:val="0"/>
        <w:snapToGrid w:val="0"/>
        <w:spacing w:line="420" w:lineRule="exact"/>
        <w:ind w:firstLine="480" w:firstLineChars="200"/>
        <w:rPr>
          <w:rFonts w:hAnsi="宋体" w:cs="宋体"/>
          <w:snapToGrid w:val="0"/>
          <w:color w:val="auto"/>
          <w:kern w:val="0"/>
        </w:rPr>
      </w:pPr>
      <w:r>
        <w:rPr>
          <w:rFonts w:hint="eastAsia" w:hAnsi="宋体" w:cs="宋体"/>
          <w:snapToGrid w:val="0"/>
          <w:color w:val="auto"/>
          <w:kern w:val="0"/>
        </w:rPr>
        <w:t>（1）商务得分M</w:t>
      </w:r>
      <w:r>
        <w:rPr>
          <w:rFonts w:hint="eastAsia" w:hAnsi="宋体" w:cs="宋体"/>
          <w:snapToGrid w:val="0"/>
          <w:color w:val="auto"/>
          <w:kern w:val="0"/>
          <w:vertAlign w:val="subscript"/>
        </w:rPr>
        <w:t>1</w:t>
      </w:r>
    </w:p>
    <w:p w14:paraId="28D12976">
      <w:pPr>
        <w:wordWrap w:val="0"/>
        <w:adjustRightInd w:val="0"/>
        <w:snapToGrid w:val="0"/>
        <w:spacing w:line="420" w:lineRule="exact"/>
        <w:ind w:firstLine="480" w:firstLineChars="200"/>
        <w:rPr>
          <w:rFonts w:hAnsi="宋体" w:cs="宋体"/>
          <w:snapToGrid w:val="0"/>
          <w:color w:val="auto"/>
          <w:kern w:val="0"/>
        </w:rPr>
      </w:pPr>
      <w:r>
        <w:rPr>
          <w:rFonts w:hint="eastAsia" w:hAnsi="宋体" w:cs="宋体"/>
          <w:snapToGrid w:val="0"/>
          <w:color w:val="auto"/>
          <w:kern w:val="0"/>
        </w:rPr>
        <w:t>评标委员会按照《综合评分表》商务部分指定的评分标准对各评分因素进行打分。各评分因素得分之和即为某投标人的商务得分M</w:t>
      </w:r>
      <w:r>
        <w:rPr>
          <w:rFonts w:hint="eastAsia" w:hAnsi="宋体" w:cs="宋体"/>
          <w:snapToGrid w:val="0"/>
          <w:color w:val="auto"/>
          <w:kern w:val="0"/>
          <w:vertAlign w:val="subscript"/>
        </w:rPr>
        <w:t>1</w:t>
      </w:r>
      <w:r>
        <w:rPr>
          <w:rFonts w:hint="eastAsia" w:hAnsi="宋体" w:cs="宋体"/>
          <w:snapToGrid w:val="0"/>
          <w:color w:val="auto"/>
          <w:kern w:val="0"/>
        </w:rPr>
        <w:t>。</w:t>
      </w:r>
    </w:p>
    <w:p w14:paraId="3FF981CA">
      <w:pPr>
        <w:wordWrap w:val="0"/>
        <w:adjustRightInd w:val="0"/>
        <w:snapToGrid w:val="0"/>
        <w:spacing w:line="420" w:lineRule="exact"/>
        <w:ind w:firstLine="480" w:firstLineChars="200"/>
        <w:rPr>
          <w:rFonts w:hAnsi="宋体" w:cs="宋体"/>
          <w:snapToGrid w:val="0"/>
          <w:color w:val="auto"/>
          <w:kern w:val="0"/>
        </w:rPr>
      </w:pPr>
      <w:r>
        <w:rPr>
          <w:rFonts w:hint="eastAsia" w:hAnsi="宋体" w:cs="宋体"/>
          <w:snapToGrid w:val="0"/>
          <w:color w:val="auto"/>
          <w:kern w:val="0"/>
        </w:rPr>
        <w:t>（2）技术得分M</w:t>
      </w:r>
      <w:r>
        <w:rPr>
          <w:rFonts w:hint="eastAsia" w:hAnsi="宋体" w:cs="宋体"/>
          <w:snapToGrid w:val="0"/>
          <w:color w:val="auto"/>
          <w:kern w:val="0"/>
          <w:vertAlign w:val="subscript"/>
        </w:rPr>
        <w:t>2</w:t>
      </w:r>
    </w:p>
    <w:p w14:paraId="7119F17A">
      <w:pPr>
        <w:wordWrap w:val="0"/>
        <w:adjustRightInd w:val="0"/>
        <w:snapToGrid w:val="0"/>
        <w:spacing w:line="420" w:lineRule="exact"/>
        <w:ind w:firstLine="480" w:firstLineChars="200"/>
        <w:rPr>
          <w:rFonts w:hAnsi="宋体" w:cs="宋体"/>
          <w:snapToGrid w:val="0"/>
          <w:color w:val="auto"/>
          <w:kern w:val="0"/>
        </w:rPr>
      </w:pPr>
      <w:r>
        <w:rPr>
          <w:rFonts w:hint="eastAsia" w:hAnsi="宋体" w:cs="宋体"/>
          <w:snapToGrid w:val="0"/>
          <w:color w:val="auto"/>
          <w:kern w:val="0"/>
        </w:rPr>
        <w:t>评标委员会各成员独立按照《综合评分表》技术部分（监理大纲）指定的评分标准对各评分因素进行打分，累加后得出技术评分。将评标委员会所有成员的技术评分去掉一个最高分和一个最低分后，取算术平均值，即为某投标人的技术得分M</w:t>
      </w:r>
      <w:r>
        <w:rPr>
          <w:rFonts w:hint="eastAsia" w:hAnsi="宋体" w:cs="宋体"/>
          <w:snapToGrid w:val="0"/>
          <w:color w:val="auto"/>
          <w:kern w:val="0"/>
          <w:vertAlign w:val="subscript"/>
        </w:rPr>
        <w:t>2</w:t>
      </w:r>
      <w:r>
        <w:rPr>
          <w:rFonts w:hint="eastAsia" w:hAnsi="宋体" w:cs="宋体"/>
          <w:snapToGrid w:val="0"/>
          <w:color w:val="auto"/>
          <w:kern w:val="0"/>
        </w:rPr>
        <w:t>。</w:t>
      </w:r>
    </w:p>
    <w:p w14:paraId="2F754321">
      <w:pPr>
        <w:wordWrap w:val="0"/>
        <w:adjustRightInd w:val="0"/>
        <w:snapToGrid w:val="0"/>
        <w:spacing w:line="420" w:lineRule="exact"/>
        <w:ind w:firstLine="480" w:firstLineChars="200"/>
        <w:rPr>
          <w:rFonts w:hAnsi="宋体" w:cs="宋体"/>
          <w:snapToGrid w:val="0"/>
          <w:color w:val="auto"/>
          <w:kern w:val="0"/>
        </w:rPr>
      </w:pPr>
      <w:r>
        <w:rPr>
          <w:rFonts w:hint="eastAsia" w:hAnsi="宋体" w:cs="宋体"/>
          <w:snapToGrid w:val="0"/>
          <w:color w:val="auto"/>
          <w:kern w:val="0"/>
        </w:rPr>
        <w:t>（3）投标报价得分M</w:t>
      </w:r>
      <w:r>
        <w:rPr>
          <w:rFonts w:hint="eastAsia" w:hAnsi="宋体" w:cs="宋体"/>
          <w:snapToGrid w:val="0"/>
          <w:color w:val="auto"/>
          <w:kern w:val="0"/>
          <w:vertAlign w:val="subscript"/>
        </w:rPr>
        <w:t>3</w:t>
      </w:r>
    </w:p>
    <w:p w14:paraId="4B83E49E">
      <w:pPr>
        <w:wordWrap w:val="0"/>
        <w:adjustRightInd w:val="0"/>
        <w:snapToGrid w:val="0"/>
        <w:spacing w:line="420" w:lineRule="exact"/>
        <w:ind w:firstLine="480" w:firstLineChars="200"/>
        <w:rPr>
          <w:rFonts w:hAnsi="宋体" w:cs="宋体"/>
          <w:snapToGrid w:val="0"/>
          <w:color w:val="auto"/>
          <w:kern w:val="0"/>
        </w:rPr>
      </w:pPr>
      <w:r>
        <w:rPr>
          <w:rFonts w:hint="eastAsia" w:hAnsi="宋体" w:cs="宋体"/>
          <w:snapToGrid w:val="0"/>
          <w:color w:val="auto"/>
          <w:kern w:val="0"/>
        </w:rPr>
        <w:t>a．评标委员会按照《综合评分表》投标报价部分指定的方法计算评标基准价D。</w:t>
      </w:r>
    </w:p>
    <w:p w14:paraId="0D8FF3D6">
      <w:pPr>
        <w:wordWrap w:val="0"/>
        <w:adjustRightInd w:val="0"/>
        <w:snapToGrid w:val="0"/>
        <w:spacing w:line="420" w:lineRule="exact"/>
        <w:ind w:firstLine="480" w:firstLineChars="200"/>
        <w:rPr>
          <w:rFonts w:hAnsi="宋体" w:cs="宋体"/>
          <w:snapToGrid w:val="0"/>
          <w:color w:val="auto"/>
          <w:kern w:val="0"/>
        </w:rPr>
      </w:pPr>
      <w:r>
        <w:rPr>
          <w:rFonts w:hint="eastAsia" w:hAnsi="宋体" w:cs="宋体"/>
          <w:snapToGrid w:val="0"/>
          <w:color w:val="auto"/>
          <w:kern w:val="0"/>
        </w:rPr>
        <w:t>b．采用内插法计算某投标人的投标报价得分M</w:t>
      </w:r>
      <w:r>
        <w:rPr>
          <w:rFonts w:hint="eastAsia" w:hAnsi="宋体" w:cs="宋体"/>
          <w:snapToGrid w:val="0"/>
          <w:color w:val="auto"/>
          <w:kern w:val="0"/>
          <w:vertAlign w:val="subscript"/>
        </w:rPr>
        <w:t>3</w:t>
      </w:r>
      <w:r>
        <w:rPr>
          <w:rFonts w:hint="eastAsia" w:hAnsi="宋体" w:cs="宋体"/>
          <w:snapToGrid w:val="0"/>
          <w:color w:val="auto"/>
          <w:kern w:val="0"/>
        </w:rPr>
        <w:t>，即当投标人的投标总价等于评标基准价时得满分，每高于评标基准价一个百分点扣1分, 每低于评标基准价一个百分点扣0.5分，扣完为止。公式如下：</w:t>
      </w:r>
    </w:p>
    <w:p w14:paraId="604D9B70">
      <w:pPr>
        <w:wordWrap w:val="0"/>
        <w:adjustRightInd w:val="0"/>
        <w:snapToGrid w:val="0"/>
        <w:spacing w:line="420" w:lineRule="exact"/>
        <w:ind w:firstLine="480" w:firstLineChars="200"/>
        <w:jc w:val="center"/>
        <w:rPr>
          <w:rFonts w:hAnsi="宋体" w:cs="宋体"/>
          <w:snapToGrid w:val="0"/>
          <w:color w:val="auto"/>
          <w:kern w:val="0"/>
        </w:rPr>
      </w:pPr>
      <w:r>
        <w:rPr>
          <w:rFonts w:hint="eastAsia" w:hAnsi="宋体" w:cs="宋体"/>
          <w:snapToGrid w:val="0"/>
          <w:color w:val="auto"/>
          <w:kern w:val="0"/>
        </w:rPr>
        <w:t>M</w:t>
      </w:r>
      <w:r>
        <w:rPr>
          <w:rFonts w:hint="eastAsia" w:hAnsi="宋体" w:cs="宋体"/>
          <w:snapToGrid w:val="0"/>
          <w:color w:val="auto"/>
          <w:kern w:val="0"/>
          <w:vertAlign w:val="subscript"/>
        </w:rPr>
        <w:t>3</w:t>
      </w:r>
      <w:r>
        <w:rPr>
          <w:rFonts w:hint="eastAsia" w:hAnsi="宋体" w:cs="宋体"/>
          <w:snapToGrid w:val="0"/>
          <w:color w:val="auto"/>
          <w:kern w:val="0"/>
        </w:rPr>
        <w:t>＝投标报价满分－（|Di－D|÷D）×100×E</w:t>
      </w:r>
    </w:p>
    <w:p w14:paraId="1218717A">
      <w:pPr>
        <w:wordWrap w:val="0"/>
        <w:adjustRightInd w:val="0"/>
        <w:snapToGrid w:val="0"/>
        <w:spacing w:line="420" w:lineRule="exact"/>
        <w:ind w:firstLine="480" w:firstLineChars="200"/>
        <w:rPr>
          <w:rFonts w:hAnsi="宋体" w:cs="宋体"/>
          <w:snapToGrid w:val="0"/>
          <w:color w:val="auto"/>
          <w:kern w:val="0"/>
        </w:rPr>
      </w:pPr>
      <w:r>
        <w:rPr>
          <w:rFonts w:hint="eastAsia" w:hAnsi="宋体" w:cs="宋体"/>
          <w:snapToGrid w:val="0"/>
          <w:color w:val="auto"/>
          <w:kern w:val="0"/>
        </w:rPr>
        <w:t>式中：D为评标基准价，Di为某投标人的投标总价；</w:t>
      </w:r>
    </w:p>
    <w:p w14:paraId="731907C6">
      <w:pPr>
        <w:wordWrap w:val="0"/>
        <w:adjustRightInd w:val="0"/>
        <w:snapToGrid w:val="0"/>
        <w:spacing w:line="420" w:lineRule="exact"/>
        <w:ind w:firstLine="480" w:firstLineChars="200"/>
        <w:rPr>
          <w:rFonts w:hAnsi="宋体" w:cs="宋体"/>
          <w:snapToGrid w:val="0"/>
          <w:color w:val="auto"/>
          <w:kern w:val="0"/>
        </w:rPr>
      </w:pPr>
      <w:r>
        <w:rPr>
          <w:rFonts w:hint="eastAsia" w:hAnsi="宋体" w:cs="宋体"/>
          <w:snapToGrid w:val="0"/>
          <w:color w:val="auto"/>
          <w:kern w:val="0"/>
        </w:rPr>
        <w:t>E为扣分因子。当Di＞D时，E＝</w:t>
      </w:r>
      <w:r>
        <w:rPr>
          <w:rFonts w:hint="eastAsia" w:hAnsi="宋体" w:cs="宋体"/>
          <w:snapToGrid w:val="0"/>
          <w:color w:val="auto"/>
          <w:kern w:val="0"/>
          <w:lang w:val="en-US" w:eastAsia="zh-CN"/>
        </w:rPr>
        <w:t>0.5</w:t>
      </w:r>
      <w:r>
        <w:rPr>
          <w:rFonts w:hint="eastAsia" w:hAnsi="宋体" w:cs="宋体"/>
          <w:snapToGrid w:val="0"/>
          <w:color w:val="auto"/>
          <w:kern w:val="0"/>
        </w:rPr>
        <w:t>；当Di＜D时，E＝0.</w:t>
      </w:r>
      <w:r>
        <w:rPr>
          <w:rFonts w:hint="eastAsia" w:hAnsi="宋体" w:cs="宋体"/>
          <w:snapToGrid w:val="0"/>
          <w:color w:val="auto"/>
          <w:kern w:val="0"/>
          <w:lang w:val="en-US" w:eastAsia="zh-CN"/>
        </w:rPr>
        <w:t>3</w:t>
      </w:r>
      <w:r>
        <w:rPr>
          <w:rFonts w:hint="eastAsia" w:hAnsi="宋体" w:cs="宋体"/>
          <w:snapToGrid w:val="0"/>
          <w:color w:val="auto"/>
          <w:kern w:val="0"/>
        </w:rPr>
        <w:t>。</w:t>
      </w:r>
    </w:p>
    <w:p w14:paraId="1CE3AC84">
      <w:pPr>
        <w:wordWrap w:val="0"/>
        <w:adjustRightInd w:val="0"/>
        <w:snapToGrid w:val="0"/>
        <w:spacing w:line="420" w:lineRule="exact"/>
        <w:ind w:firstLine="480" w:firstLineChars="200"/>
        <w:rPr>
          <w:rFonts w:hAnsi="宋体" w:cs="宋体"/>
          <w:snapToGrid w:val="0"/>
          <w:color w:val="auto"/>
          <w:kern w:val="0"/>
        </w:rPr>
      </w:pPr>
      <w:r>
        <w:rPr>
          <w:rFonts w:hint="eastAsia" w:hAnsi="宋体" w:cs="宋体"/>
          <w:snapToGrid w:val="0"/>
          <w:color w:val="auto"/>
          <w:kern w:val="0"/>
        </w:rPr>
        <w:t>（4）综合得分M</w:t>
      </w:r>
    </w:p>
    <w:p w14:paraId="3DFF3B23">
      <w:pPr>
        <w:wordWrap w:val="0"/>
        <w:adjustRightInd w:val="0"/>
        <w:snapToGrid w:val="0"/>
        <w:spacing w:line="420" w:lineRule="exact"/>
        <w:jc w:val="center"/>
        <w:rPr>
          <w:rFonts w:hAnsi="宋体" w:cs="宋体"/>
          <w:snapToGrid w:val="0"/>
          <w:color w:val="auto"/>
          <w:kern w:val="0"/>
        </w:rPr>
      </w:pPr>
      <w:r>
        <w:rPr>
          <w:rFonts w:hint="eastAsia" w:hAnsi="宋体" w:cs="宋体"/>
          <w:snapToGrid w:val="0"/>
          <w:color w:val="auto"/>
          <w:kern w:val="0"/>
        </w:rPr>
        <w:t>M＝M</w:t>
      </w:r>
      <w:r>
        <w:rPr>
          <w:rFonts w:hint="eastAsia" w:hAnsi="宋体" w:cs="宋体"/>
          <w:snapToGrid w:val="0"/>
          <w:color w:val="auto"/>
          <w:kern w:val="0"/>
          <w:vertAlign w:val="subscript"/>
        </w:rPr>
        <w:t>1</w:t>
      </w:r>
      <w:r>
        <w:rPr>
          <w:rFonts w:hint="eastAsia" w:hAnsi="宋体" w:cs="宋体"/>
          <w:snapToGrid w:val="0"/>
          <w:color w:val="auto"/>
          <w:kern w:val="0"/>
        </w:rPr>
        <w:t>＋M</w:t>
      </w:r>
      <w:r>
        <w:rPr>
          <w:rFonts w:hint="eastAsia" w:hAnsi="宋体" w:cs="宋体"/>
          <w:snapToGrid w:val="0"/>
          <w:color w:val="auto"/>
          <w:kern w:val="0"/>
          <w:vertAlign w:val="subscript"/>
        </w:rPr>
        <w:t>2</w:t>
      </w:r>
      <w:r>
        <w:rPr>
          <w:rFonts w:hint="eastAsia" w:hAnsi="宋体" w:cs="宋体"/>
          <w:snapToGrid w:val="0"/>
          <w:color w:val="auto"/>
          <w:kern w:val="0"/>
        </w:rPr>
        <w:t>＋M</w:t>
      </w:r>
      <w:r>
        <w:rPr>
          <w:rFonts w:hint="eastAsia" w:hAnsi="宋体" w:cs="宋体"/>
          <w:snapToGrid w:val="0"/>
          <w:color w:val="auto"/>
          <w:kern w:val="0"/>
          <w:vertAlign w:val="subscript"/>
        </w:rPr>
        <w:t>3</w:t>
      </w:r>
    </w:p>
    <w:p w14:paraId="15FC4109">
      <w:pPr>
        <w:wordWrap w:val="0"/>
        <w:adjustRightInd w:val="0"/>
        <w:snapToGrid w:val="0"/>
        <w:spacing w:line="420" w:lineRule="exact"/>
        <w:ind w:firstLine="480" w:firstLineChars="200"/>
        <w:rPr>
          <w:rFonts w:ascii="Times New Roman"/>
          <w:snapToGrid w:val="0"/>
          <w:color w:val="auto"/>
          <w:kern w:val="0"/>
        </w:rPr>
      </w:pPr>
      <w:r>
        <w:rPr>
          <w:rFonts w:hint="eastAsia" w:hAnsi="宋体" w:cs="宋体"/>
          <w:snapToGrid w:val="0"/>
          <w:color w:val="auto"/>
          <w:kern w:val="0"/>
        </w:rPr>
        <w:t>式中：M为综合得分，M</w:t>
      </w:r>
      <w:r>
        <w:rPr>
          <w:rFonts w:hint="eastAsia" w:hAnsi="宋体" w:cs="宋体"/>
          <w:snapToGrid w:val="0"/>
          <w:color w:val="auto"/>
          <w:kern w:val="0"/>
          <w:vertAlign w:val="subscript"/>
        </w:rPr>
        <w:t>1</w:t>
      </w:r>
      <w:r>
        <w:rPr>
          <w:rFonts w:hint="eastAsia" w:hAnsi="宋体" w:cs="宋体"/>
          <w:snapToGrid w:val="0"/>
          <w:color w:val="auto"/>
          <w:kern w:val="0"/>
        </w:rPr>
        <w:t>为商务得分，M</w:t>
      </w:r>
      <w:r>
        <w:rPr>
          <w:rFonts w:hint="eastAsia" w:hAnsi="宋体" w:cs="宋体"/>
          <w:snapToGrid w:val="0"/>
          <w:color w:val="auto"/>
          <w:kern w:val="0"/>
          <w:vertAlign w:val="subscript"/>
        </w:rPr>
        <w:t>2</w:t>
      </w:r>
      <w:r>
        <w:rPr>
          <w:rFonts w:hint="eastAsia" w:hAnsi="宋体" w:cs="宋体"/>
          <w:snapToGrid w:val="0"/>
          <w:color w:val="auto"/>
          <w:kern w:val="0"/>
        </w:rPr>
        <w:t>为技术得分，M</w:t>
      </w:r>
      <w:r>
        <w:rPr>
          <w:rFonts w:hint="eastAsia" w:hAnsi="宋体" w:cs="宋体"/>
          <w:snapToGrid w:val="0"/>
          <w:color w:val="auto"/>
          <w:kern w:val="0"/>
          <w:vertAlign w:val="subscript"/>
        </w:rPr>
        <w:t>3</w:t>
      </w:r>
      <w:r>
        <w:rPr>
          <w:rFonts w:hint="eastAsia" w:ascii="Times New Roman"/>
          <w:snapToGrid w:val="0"/>
          <w:color w:val="auto"/>
          <w:kern w:val="0"/>
        </w:rPr>
        <w:t>为投标报价得分。</w:t>
      </w:r>
    </w:p>
    <w:p w14:paraId="530C7CFC">
      <w:pPr>
        <w:wordWrap w:val="0"/>
        <w:adjustRightInd w:val="0"/>
        <w:snapToGrid w:val="0"/>
        <w:spacing w:line="420" w:lineRule="exact"/>
        <w:ind w:firstLine="480" w:firstLineChars="200"/>
        <w:rPr>
          <w:rFonts w:ascii="Times New Roman"/>
          <w:snapToGrid w:val="0"/>
          <w:color w:val="auto"/>
          <w:kern w:val="0"/>
        </w:rPr>
        <w:sectPr>
          <w:endnotePr>
            <w:numFmt w:val="decimal"/>
          </w:endnotePr>
          <w:pgSz w:w="11906" w:h="16838"/>
          <w:pgMar w:top="1417" w:right="1417" w:bottom="1417" w:left="1417" w:header="850" w:footer="992" w:gutter="0"/>
          <w:cols w:space="0" w:num="1"/>
          <w:docGrid w:linePitch="327" w:charSpace="0"/>
        </w:sectPr>
      </w:pPr>
    </w:p>
    <w:p w14:paraId="1BFF2F72">
      <w:pPr>
        <w:pStyle w:val="4"/>
        <w:rPr>
          <w:b/>
          <w:bCs/>
          <w:color w:val="auto"/>
        </w:rPr>
      </w:pPr>
      <w:bookmarkStart w:id="61" w:name="_Toc6276"/>
      <w:bookmarkStart w:id="62" w:name="_Toc30822"/>
      <w:bookmarkStart w:id="63" w:name="_Toc31548"/>
      <w:r>
        <w:rPr>
          <w:rFonts w:hint="eastAsia"/>
          <w:b/>
          <w:bCs/>
          <w:color w:val="auto"/>
          <w:lang w:val="en-US" w:eastAsia="zh-CN"/>
        </w:rPr>
        <w:t xml:space="preserve"> </w:t>
      </w:r>
      <w:r>
        <w:rPr>
          <w:rFonts w:hint="eastAsia"/>
          <w:b/>
          <w:bCs/>
          <w:color w:val="auto"/>
        </w:rPr>
        <w:t>表1 综合评分表</w:t>
      </w:r>
      <w:bookmarkEnd w:id="61"/>
      <w:bookmarkEnd w:id="62"/>
      <w:bookmarkEnd w:id="63"/>
    </w:p>
    <w:tbl>
      <w:tblPr>
        <w:tblStyle w:val="16"/>
        <w:tblW w:w="9553" w:type="dxa"/>
        <w:jc w:val="center"/>
        <w:tblLayout w:type="fixed"/>
        <w:tblCellMar>
          <w:top w:w="0" w:type="dxa"/>
          <w:left w:w="10" w:type="dxa"/>
          <w:bottom w:w="0" w:type="dxa"/>
          <w:right w:w="10" w:type="dxa"/>
        </w:tblCellMar>
      </w:tblPr>
      <w:tblGrid>
        <w:gridCol w:w="1252"/>
        <w:gridCol w:w="4766"/>
        <w:gridCol w:w="3535"/>
      </w:tblGrid>
      <w:tr w14:paraId="6CCEF5D0">
        <w:tblPrEx>
          <w:tblCellMar>
            <w:top w:w="0" w:type="dxa"/>
            <w:left w:w="10" w:type="dxa"/>
            <w:bottom w:w="0" w:type="dxa"/>
            <w:right w:w="10" w:type="dxa"/>
          </w:tblCellMar>
        </w:tblPrEx>
        <w:trPr>
          <w:trHeight w:val="509" w:hRule="exact"/>
          <w:jc w:val="center"/>
        </w:trPr>
        <w:tc>
          <w:tcPr>
            <w:tcW w:w="9553" w:type="dxa"/>
            <w:gridSpan w:val="3"/>
            <w:tcBorders>
              <w:top w:val="single" w:color="000000" w:sz="4" w:space="0"/>
              <w:left w:val="single" w:color="000000" w:sz="4" w:space="0"/>
              <w:bottom w:val="single" w:color="000000" w:sz="4" w:space="0"/>
              <w:right w:val="single" w:color="000000" w:sz="4" w:space="0"/>
            </w:tcBorders>
            <w:shd w:val="clear" w:color="000000" w:fill="D7D7D7"/>
            <w:tcMar>
              <w:top w:w="0" w:type="dxa"/>
              <w:left w:w="108" w:type="dxa"/>
              <w:bottom w:w="0" w:type="dxa"/>
              <w:right w:w="108" w:type="dxa"/>
            </w:tcMar>
            <w:vAlign w:val="center"/>
          </w:tcPr>
          <w:p w14:paraId="4909374A">
            <w:pPr>
              <w:tabs>
                <w:tab w:val="left" w:pos="1354"/>
                <w:tab w:val="left" w:pos="1459"/>
                <w:tab w:val="center" w:pos="3902"/>
                <w:tab w:val="right" w:pos="7805"/>
              </w:tabs>
              <w:spacing w:line="240" w:lineRule="auto"/>
              <w:rPr>
                <w:rFonts w:hAnsi="宋体" w:cs="宋体"/>
                <w:b/>
                <w:bCs/>
                <w:color w:val="auto"/>
                <w:szCs w:val="24"/>
              </w:rPr>
            </w:pPr>
            <w:r>
              <w:rPr>
                <w:rFonts w:hint="eastAsia" w:hAnsi="宋体" w:cs="宋体"/>
                <w:b/>
                <w:bCs/>
                <w:color w:val="auto"/>
                <w:szCs w:val="24"/>
              </w:rPr>
              <w:t>商务部分，满分：</w:t>
            </w:r>
            <w:r>
              <w:rPr>
                <w:rFonts w:hint="eastAsia" w:hAnsi="宋体" w:cs="宋体"/>
                <w:b/>
                <w:bCs/>
                <w:color w:val="auto"/>
                <w:szCs w:val="24"/>
                <w:u w:val="single"/>
              </w:rPr>
              <w:t xml:space="preserve"> </w:t>
            </w:r>
            <w:r>
              <w:rPr>
                <w:rFonts w:hint="eastAsia" w:hAnsi="宋体" w:cs="宋体"/>
                <w:b/>
                <w:bCs/>
                <w:color w:val="auto"/>
                <w:szCs w:val="24"/>
                <w:u w:val="single"/>
                <w:lang w:val="en-US" w:eastAsia="zh-CN"/>
              </w:rPr>
              <w:t>6</w:t>
            </w:r>
            <w:r>
              <w:rPr>
                <w:rFonts w:hint="eastAsia" w:hAnsi="宋体" w:cs="宋体"/>
                <w:b/>
                <w:bCs/>
                <w:color w:val="auto"/>
                <w:szCs w:val="24"/>
                <w:u w:val="single"/>
              </w:rPr>
              <w:t xml:space="preserve">0 </w:t>
            </w:r>
            <w:r>
              <w:rPr>
                <w:rFonts w:hint="eastAsia" w:hAnsi="宋体" w:cs="宋体"/>
                <w:b/>
                <w:bCs/>
                <w:color w:val="auto"/>
                <w:szCs w:val="24"/>
              </w:rPr>
              <w:t>分。</w:t>
            </w:r>
          </w:p>
        </w:tc>
      </w:tr>
      <w:tr w14:paraId="086003B4">
        <w:tblPrEx>
          <w:tblCellMar>
            <w:top w:w="0" w:type="dxa"/>
            <w:left w:w="10" w:type="dxa"/>
            <w:bottom w:w="0" w:type="dxa"/>
            <w:right w:w="10" w:type="dxa"/>
          </w:tblCellMar>
        </w:tblPrEx>
        <w:trPr>
          <w:trHeight w:val="526" w:hRule="exact"/>
          <w:jc w:val="center"/>
        </w:trPr>
        <w:tc>
          <w:tcPr>
            <w:tcW w:w="12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8974EF">
            <w:pPr>
              <w:tabs>
                <w:tab w:val="left" w:pos="1354"/>
                <w:tab w:val="left" w:pos="1459"/>
                <w:tab w:val="center" w:pos="3902"/>
                <w:tab w:val="right" w:pos="7805"/>
              </w:tabs>
              <w:spacing w:line="240" w:lineRule="auto"/>
              <w:jc w:val="center"/>
              <w:rPr>
                <w:rFonts w:hAnsi="宋体" w:cs="宋体"/>
                <w:b/>
                <w:bCs/>
                <w:color w:val="auto"/>
                <w:szCs w:val="24"/>
              </w:rPr>
            </w:pPr>
            <w:r>
              <w:rPr>
                <w:rFonts w:hint="eastAsia" w:hAnsi="宋体" w:cs="宋体"/>
                <w:b/>
                <w:bCs/>
                <w:color w:val="auto"/>
                <w:szCs w:val="24"/>
              </w:rPr>
              <w:t>评分因素</w:t>
            </w:r>
          </w:p>
        </w:tc>
        <w:tc>
          <w:tcPr>
            <w:tcW w:w="47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ECAB03">
            <w:pPr>
              <w:tabs>
                <w:tab w:val="left" w:pos="1354"/>
                <w:tab w:val="left" w:pos="1459"/>
                <w:tab w:val="center" w:pos="3902"/>
                <w:tab w:val="right" w:pos="7805"/>
              </w:tabs>
              <w:spacing w:line="240" w:lineRule="auto"/>
              <w:jc w:val="center"/>
              <w:rPr>
                <w:rFonts w:hAnsi="宋体" w:cs="宋体"/>
                <w:b/>
                <w:bCs/>
                <w:color w:val="auto"/>
                <w:szCs w:val="24"/>
              </w:rPr>
            </w:pPr>
            <w:r>
              <w:rPr>
                <w:rFonts w:hint="eastAsia" w:hAnsi="宋体" w:cs="宋体"/>
                <w:b/>
                <w:bCs/>
                <w:color w:val="auto"/>
                <w:szCs w:val="24"/>
              </w:rPr>
              <w:t>评分标准</w:t>
            </w:r>
          </w:p>
        </w:tc>
        <w:tc>
          <w:tcPr>
            <w:tcW w:w="35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10CB44">
            <w:pPr>
              <w:tabs>
                <w:tab w:val="left" w:pos="1354"/>
                <w:tab w:val="left" w:pos="1459"/>
                <w:tab w:val="center" w:pos="3902"/>
                <w:tab w:val="right" w:pos="7805"/>
              </w:tabs>
              <w:spacing w:line="240" w:lineRule="auto"/>
              <w:jc w:val="center"/>
              <w:rPr>
                <w:rFonts w:hAnsi="宋体" w:cs="宋体"/>
                <w:b/>
                <w:bCs/>
                <w:color w:val="auto"/>
                <w:szCs w:val="24"/>
              </w:rPr>
            </w:pPr>
            <w:r>
              <w:rPr>
                <w:rFonts w:hint="eastAsia" w:hAnsi="宋体" w:cs="宋体"/>
                <w:b/>
                <w:bCs/>
                <w:color w:val="auto"/>
                <w:szCs w:val="24"/>
              </w:rPr>
              <w:t>备注</w:t>
            </w:r>
          </w:p>
        </w:tc>
      </w:tr>
      <w:tr w14:paraId="494B3F4A">
        <w:tblPrEx>
          <w:tblCellMar>
            <w:top w:w="0" w:type="dxa"/>
            <w:left w:w="10" w:type="dxa"/>
            <w:bottom w:w="0" w:type="dxa"/>
            <w:right w:w="10" w:type="dxa"/>
          </w:tblCellMar>
        </w:tblPrEx>
        <w:trPr>
          <w:trHeight w:val="765" w:hRule="atLeast"/>
          <w:jc w:val="center"/>
        </w:trPr>
        <w:tc>
          <w:tcPr>
            <w:tcW w:w="1252"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03EA118E">
            <w:pPr>
              <w:pStyle w:val="6"/>
              <w:spacing w:line="360" w:lineRule="auto"/>
              <w:jc w:val="center"/>
              <w:textAlignment w:val="auto"/>
              <w:rPr>
                <w:rFonts w:hint="default" w:hAnsi="宋体" w:eastAsia="宋体" w:cs="宋体"/>
                <w:snapToGrid w:val="0"/>
                <w:color w:val="auto"/>
                <w:sz w:val="24"/>
                <w:szCs w:val="24"/>
                <w:highlight w:val="none"/>
                <w:lang w:val="en-US" w:eastAsia="zh-CN"/>
              </w:rPr>
            </w:pPr>
            <w:r>
              <w:rPr>
                <w:rFonts w:hint="eastAsia"/>
                <w:color w:val="auto"/>
                <w:sz w:val="24"/>
                <w:szCs w:val="24"/>
                <w:highlight w:val="none"/>
                <w:lang w:val="en-US" w:eastAsia="zh-CN"/>
              </w:rPr>
              <w:t>监理项目获奖</w:t>
            </w:r>
          </w:p>
          <w:p w14:paraId="27B60A22">
            <w:pPr>
              <w:pStyle w:val="6"/>
              <w:spacing w:line="360" w:lineRule="auto"/>
              <w:jc w:val="center"/>
              <w:textAlignment w:val="auto"/>
              <w:rPr>
                <w:color w:val="auto"/>
              </w:rPr>
            </w:pPr>
            <w:r>
              <w:rPr>
                <w:rFonts w:hint="eastAsia" w:hAnsi="宋体" w:cs="宋体"/>
                <w:snapToGrid w:val="0"/>
                <w:color w:val="auto"/>
                <w:sz w:val="24"/>
                <w:szCs w:val="24"/>
                <w:highlight w:val="none"/>
              </w:rPr>
              <w:t>（</w:t>
            </w:r>
            <w:r>
              <w:rPr>
                <w:rFonts w:hint="eastAsia" w:hAnsi="宋体" w:cs="宋体"/>
                <w:snapToGrid w:val="0"/>
                <w:color w:val="auto"/>
                <w:sz w:val="24"/>
                <w:szCs w:val="24"/>
                <w:highlight w:val="none"/>
                <w:lang w:val="en-US" w:eastAsia="zh-CN"/>
              </w:rPr>
              <w:t>9</w:t>
            </w:r>
            <w:r>
              <w:rPr>
                <w:rFonts w:hint="eastAsia" w:hAnsi="宋体" w:cs="宋体"/>
                <w:snapToGrid w:val="0"/>
                <w:color w:val="auto"/>
                <w:sz w:val="24"/>
                <w:szCs w:val="24"/>
                <w:highlight w:val="none"/>
              </w:rPr>
              <w:t>分）</w:t>
            </w:r>
          </w:p>
        </w:tc>
        <w:tc>
          <w:tcPr>
            <w:tcW w:w="47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35A84E">
            <w:pPr>
              <w:keepNext w:val="0"/>
              <w:keepLines w:val="0"/>
              <w:pageBreakBefore w:val="0"/>
              <w:numPr>
                <w:ilvl w:val="0"/>
                <w:numId w:val="0"/>
              </w:numPr>
              <w:shd w:val="clear"/>
              <w:kinsoku/>
              <w:wordWrap w:val="0"/>
              <w:overflowPunct/>
              <w:topLinePunct w:val="0"/>
              <w:autoSpaceDE/>
              <w:autoSpaceDN/>
              <w:bidi w:val="0"/>
              <w:adjustRightInd w:val="0"/>
              <w:snapToGrid w:val="0"/>
              <w:spacing w:line="360" w:lineRule="auto"/>
              <w:ind w:left="0" w:leftChars="0" w:firstLine="0" w:firstLineChars="0"/>
              <w:textAlignment w:val="auto"/>
              <w:rPr>
                <w:rFonts w:hint="eastAsia" w:hAnsi="宋体" w:cs="宋体"/>
                <w:color w:val="auto"/>
                <w:sz w:val="24"/>
                <w:szCs w:val="24"/>
                <w:highlight w:val="none"/>
                <w:u w:val="none"/>
                <w:lang w:val="en-US" w:eastAsia="zh-CN"/>
              </w:rPr>
            </w:pPr>
            <w:r>
              <w:rPr>
                <w:rFonts w:hint="eastAsia" w:hAnsi="宋体" w:cs="宋体"/>
                <w:color w:val="auto"/>
                <w:sz w:val="24"/>
                <w:szCs w:val="24"/>
                <w:highlight w:val="none"/>
                <w:u w:val="none"/>
                <w:lang w:val="en-US" w:eastAsia="zh-CN"/>
              </w:rPr>
              <w:t>投标人</w:t>
            </w:r>
            <w:r>
              <w:rPr>
                <w:rFonts w:hint="eastAsia" w:ascii="宋体" w:hAnsi="宋体" w:eastAsia="宋体" w:cs="宋体"/>
                <w:color w:val="auto"/>
                <w:sz w:val="24"/>
                <w:szCs w:val="24"/>
                <w:highlight w:val="none"/>
                <w:u w:val="none"/>
                <w:lang w:val="en-US" w:eastAsia="zh-CN"/>
              </w:rPr>
              <w:t xml:space="preserve">近 </w:t>
            </w:r>
            <w:r>
              <w:rPr>
                <w:rFonts w:hint="eastAsia" w:hAnsi="宋体" w:cs="宋体"/>
                <w:color w:val="auto"/>
                <w:sz w:val="24"/>
                <w:szCs w:val="24"/>
                <w:highlight w:val="none"/>
                <w:u w:val="none"/>
                <w:lang w:val="en-US" w:eastAsia="zh-CN"/>
              </w:rPr>
              <w:t>5</w:t>
            </w:r>
            <w:r>
              <w:rPr>
                <w:rFonts w:hint="eastAsia" w:ascii="宋体" w:hAnsi="宋体" w:eastAsia="宋体" w:cs="宋体"/>
                <w:color w:val="auto"/>
                <w:sz w:val="24"/>
                <w:szCs w:val="24"/>
                <w:highlight w:val="none"/>
                <w:u w:val="none"/>
                <w:lang w:val="en-US" w:eastAsia="zh-CN"/>
              </w:rPr>
              <w:t>年来（</w:t>
            </w:r>
            <w:r>
              <w:rPr>
                <w:rFonts w:hint="eastAsia" w:hAnsi="宋体" w:cs="宋体"/>
                <w:color w:val="auto"/>
                <w:sz w:val="24"/>
                <w:szCs w:val="24"/>
                <w:highlight w:val="none"/>
                <w:u w:val="none"/>
                <w:lang w:val="en-US" w:eastAsia="zh-CN"/>
              </w:rPr>
              <w:t>2020</w:t>
            </w:r>
            <w:r>
              <w:rPr>
                <w:rFonts w:hint="eastAsia" w:ascii="宋体" w:hAnsi="宋体" w:eastAsia="宋体" w:cs="宋体"/>
                <w:color w:val="auto"/>
                <w:sz w:val="24"/>
                <w:szCs w:val="24"/>
                <w:highlight w:val="none"/>
                <w:u w:val="none"/>
                <w:lang w:val="en-US" w:eastAsia="zh-CN"/>
              </w:rPr>
              <w:t>年1月1日至今）</w:t>
            </w:r>
            <w:r>
              <w:rPr>
                <w:rFonts w:hint="eastAsia" w:hAnsi="宋体" w:cs="宋体"/>
                <w:color w:val="auto"/>
                <w:sz w:val="24"/>
                <w:szCs w:val="24"/>
                <w:highlight w:val="none"/>
                <w:u w:val="none"/>
                <w:lang w:val="en-US" w:eastAsia="zh-CN"/>
              </w:rPr>
              <w:t>监理过的工程的获奖情况</w:t>
            </w:r>
          </w:p>
          <w:p w14:paraId="23924416">
            <w:pPr>
              <w:keepNext w:val="0"/>
              <w:keepLines w:val="0"/>
              <w:pageBreakBefore w:val="0"/>
              <w:numPr>
                <w:ilvl w:val="0"/>
                <w:numId w:val="0"/>
              </w:numPr>
              <w:shd w:val="clear"/>
              <w:kinsoku/>
              <w:wordWrap w:val="0"/>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1、获得过省级</w:t>
            </w:r>
            <w:r>
              <w:rPr>
                <w:rFonts w:hint="eastAsia" w:hAnsi="宋体" w:cs="宋体"/>
                <w:color w:val="auto"/>
                <w:sz w:val="24"/>
                <w:szCs w:val="24"/>
                <w:highlight w:val="none"/>
                <w:u w:val="none"/>
                <w:lang w:val="en-US" w:eastAsia="zh-CN"/>
              </w:rPr>
              <w:t>或以上</w:t>
            </w:r>
            <w:r>
              <w:rPr>
                <w:rFonts w:hint="eastAsia" w:ascii="宋体" w:hAnsi="宋体" w:eastAsia="宋体" w:cs="宋体"/>
                <w:color w:val="auto"/>
                <w:sz w:val="24"/>
                <w:szCs w:val="24"/>
                <w:highlight w:val="none"/>
                <w:u w:val="none"/>
                <w:lang w:val="en-US" w:eastAsia="zh-CN"/>
              </w:rPr>
              <w:t>奖项的，每个得</w:t>
            </w:r>
            <w:r>
              <w:rPr>
                <w:rFonts w:hint="eastAsia" w:hAnsi="宋体" w:cs="宋体"/>
                <w:color w:val="auto"/>
                <w:sz w:val="24"/>
                <w:szCs w:val="24"/>
                <w:highlight w:val="none"/>
                <w:u w:val="none"/>
                <w:lang w:val="en-US" w:eastAsia="zh-CN"/>
              </w:rPr>
              <w:t>6</w:t>
            </w:r>
            <w:r>
              <w:rPr>
                <w:rFonts w:hint="eastAsia" w:ascii="宋体" w:hAnsi="宋体" w:eastAsia="宋体" w:cs="宋体"/>
                <w:color w:val="auto"/>
                <w:sz w:val="24"/>
                <w:szCs w:val="24"/>
                <w:highlight w:val="none"/>
                <w:u w:val="none"/>
                <w:lang w:val="en-US" w:eastAsia="zh-CN"/>
              </w:rPr>
              <w:t>分；</w:t>
            </w:r>
          </w:p>
          <w:p w14:paraId="29424E63">
            <w:pPr>
              <w:keepNext w:val="0"/>
              <w:keepLines w:val="0"/>
              <w:pageBreakBefore w:val="0"/>
              <w:numPr>
                <w:ilvl w:val="0"/>
                <w:numId w:val="0"/>
              </w:numPr>
              <w:shd w:val="clear"/>
              <w:kinsoku/>
              <w:wordWrap w:val="0"/>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sz w:val="24"/>
                <w:szCs w:val="24"/>
                <w:highlight w:val="none"/>
                <w:u w:val="none"/>
                <w:lang w:val="en-US" w:eastAsia="zh-CN"/>
              </w:rPr>
            </w:pPr>
            <w:r>
              <w:rPr>
                <w:rFonts w:hint="eastAsia" w:hAnsi="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lang w:val="en-US" w:eastAsia="zh-CN"/>
              </w:rPr>
              <w:t>、获得过地市级奖项的，每个得</w:t>
            </w:r>
            <w:r>
              <w:rPr>
                <w:rFonts w:hint="eastAsia" w:hAnsi="宋体" w:cs="宋体"/>
                <w:color w:val="auto"/>
                <w:sz w:val="24"/>
                <w:szCs w:val="24"/>
                <w:highlight w:val="none"/>
                <w:u w:val="none"/>
                <w:lang w:val="en-US" w:eastAsia="zh-CN"/>
              </w:rPr>
              <w:t>3</w:t>
            </w:r>
            <w:r>
              <w:rPr>
                <w:rFonts w:hint="eastAsia" w:ascii="宋体" w:hAnsi="宋体" w:eastAsia="宋体" w:cs="宋体"/>
                <w:color w:val="auto"/>
                <w:sz w:val="24"/>
                <w:szCs w:val="24"/>
                <w:highlight w:val="none"/>
                <w:u w:val="none"/>
                <w:lang w:val="en-US" w:eastAsia="zh-CN"/>
              </w:rPr>
              <w:t>分；</w:t>
            </w:r>
          </w:p>
          <w:p w14:paraId="675711FF">
            <w:pPr>
              <w:keepNext w:val="0"/>
              <w:keepLines w:val="0"/>
              <w:pageBreakBefore w:val="0"/>
              <w:numPr>
                <w:ilvl w:val="0"/>
                <w:numId w:val="0"/>
              </w:numPr>
              <w:shd w:val="clear"/>
              <w:kinsoku/>
              <w:wordWrap w:val="0"/>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sz w:val="24"/>
                <w:szCs w:val="24"/>
                <w:highlight w:val="none"/>
                <w:u w:val="none"/>
                <w:lang w:val="en-US" w:eastAsia="zh-CN"/>
              </w:rPr>
            </w:pPr>
            <w:r>
              <w:rPr>
                <w:rFonts w:hint="eastAsia" w:hAnsi="宋体" w:cs="宋体"/>
                <w:color w:val="auto"/>
                <w:sz w:val="24"/>
                <w:szCs w:val="24"/>
                <w:highlight w:val="none"/>
                <w:u w:val="none"/>
                <w:lang w:val="en-US" w:eastAsia="zh-CN"/>
              </w:rPr>
              <w:t>3</w:t>
            </w:r>
            <w:r>
              <w:rPr>
                <w:rFonts w:hint="eastAsia" w:ascii="宋体" w:hAnsi="宋体" w:eastAsia="宋体" w:cs="宋体"/>
                <w:color w:val="auto"/>
                <w:sz w:val="24"/>
                <w:szCs w:val="24"/>
                <w:highlight w:val="none"/>
                <w:u w:val="none"/>
                <w:lang w:val="en-US" w:eastAsia="zh-CN"/>
              </w:rPr>
              <w:t>、</w:t>
            </w:r>
            <w:r>
              <w:rPr>
                <w:rFonts w:hint="eastAsia" w:hAnsi="宋体" w:cs="宋体"/>
                <w:color w:val="auto"/>
                <w:sz w:val="24"/>
                <w:szCs w:val="24"/>
                <w:highlight w:val="none"/>
                <w:u w:val="none"/>
                <w:lang w:val="en-US" w:eastAsia="zh-CN"/>
              </w:rPr>
              <w:t>其他情形的</w:t>
            </w:r>
            <w:r>
              <w:rPr>
                <w:rFonts w:hint="eastAsia" w:ascii="宋体" w:hAnsi="宋体" w:eastAsia="宋体" w:cs="宋体"/>
                <w:color w:val="auto"/>
                <w:sz w:val="24"/>
                <w:szCs w:val="24"/>
                <w:highlight w:val="none"/>
                <w:u w:val="none"/>
                <w:lang w:val="en-US" w:eastAsia="zh-CN"/>
              </w:rPr>
              <w:t>，不予计分。</w:t>
            </w:r>
          </w:p>
          <w:p w14:paraId="669652A3">
            <w:pPr>
              <w:pStyle w:val="6"/>
              <w:rPr>
                <w:color w:val="auto"/>
              </w:rPr>
            </w:pPr>
            <w:r>
              <w:rPr>
                <w:rFonts w:hint="eastAsia" w:ascii="宋体" w:hAnsi="宋体" w:eastAsia="宋体" w:cs="宋体"/>
                <w:color w:val="auto"/>
                <w:sz w:val="24"/>
                <w:szCs w:val="24"/>
                <w:highlight w:val="none"/>
                <w:u w:val="none"/>
                <w:lang w:val="en-US" w:eastAsia="zh-CN"/>
              </w:rPr>
              <w:t>说明：本项最高得</w:t>
            </w:r>
            <w:r>
              <w:rPr>
                <w:rFonts w:hint="eastAsia" w:hAnsi="宋体" w:cs="宋体"/>
                <w:color w:val="auto"/>
                <w:sz w:val="24"/>
                <w:szCs w:val="24"/>
                <w:highlight w:val="none"/>
                <w:u w:val="none"/>
                <w:lang w:val="en-US" w:eastAsia="zh-CN"/>
              </w:rPr>
              <w:t>9</w:t>
            </w:r>
            <w:r>
              <w:rPr>
                <w:rFonts w:hint="eastAsia" w:ascii="宋体" w:hAnsi="宋体" w:eastAsia="宋体" w:cs="宋体"/>
                <w:color w:val="auto"/>
                <w:sz w:val="24"/>
                <w:szCs w:val="24"/>
                <w:highlight w:val="none"/>
                <w:u w:val="none"/>
                <w:lang w:val="en-US" w:eastAsia="zh-CN"/>
              </w:rPr>
              <w:t>分。</w:t>
            </w:r>
          </w:p>
        </w:tc>
        <w:tc>
          <w:tcPr>
            <w:tcW w:w="35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ECFC1B">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rPr>
            </w:pPr>
            <w:r>
              <w:rPr>
                <w:rFonts w:hint="eastAsia"/>
                <w:color w:val="auto"/>
              </w:rPr>
              <w:t>1.同一项目获得多项奖项的，按最高奖项计取，不重复计算。不同项目获奖可累计得分。</w:t>
            </w:r>
          </w:p>
          <w:p w14:paraId="35E07A5B">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rPr>
            </w:pPr>
            <w:r>
              <w:rPr>
                <w:rFonts w:hint="eastAsia"/>
                <w:color w:val="auto"/>
              </w:rPr>
              <w:t>2.</w:t>
            </w:r>
            <w:r>
              <w:rPr>
                <w:rFonts w:hint="eastAsia"/>
                <w:color w:val="auto"/>
                <w:lang w:val="en-US" w:eastAsia="zh-CN"/>
              </w:rPr>
              <w:t>需</w:t>
            </w:r>
            <w:r>
              <w:rPr>
                <w:rFonts w:hint="eastAsia"/>
                <w:color w:val="auto"/>
              </w:rPr>
              <w:t>提供行政主管部门或</w:t>
            </w:r>
            <w:r>
              <w:rPr>
                <w:rFonts w:hint="eastAsia"/>
                <w:color w:val="auto"/>
                <w:lang w:val="en-US" w:eastAsia="zh-CN"/>
              </w:rPr>
              <w:t>建筑/</w:t>
            </w:r>
            <w:r>
              <w:rPr>
                <w:rFonts w:hint="eastAsia"/>
                <w:color w:val="auto"/>
              </w:rPr>
              <w:t>建设类</w:t>
            </w:r>
            <w:r>
              <w:rPr>
                <w:rFonts w:hint="eastAsia"/>
                <w:color w:val="auto"/>
                <w:lang w:val="en-US" w:eastAsia="zh-CN"/>
              </w:rPr>
              <w:t>相关</w:t>
            </w:r>
            <w:r>
              <w:rPr>
                <w:rFonts w:hint="eastAsia"/>
                <w:color w:val="auto"/>
              </w:rPr>
              <w:t>协会颁发的监理单位获奖证书</w:t>
            </w:r>
            <w:r>
              <w:rPr>
                <w:rFonts w:hint="eastAsia"/>
                <w:color w:val="auto"/>
                <w:lang w:val="en-US" w:eastAsia="zh-CN"/>
              </w:rPr>
              <w:t>或发文材料</w:t>
            </w:r>
            <w:r>
              <w:rPr>
                <w:rFonts w:hint="eastAsia"/>
                <w:color w:val="auto"/>
              </w:rPr>
              <w:t>彩色扫描件</w:t>
            </w:r>
            <w:r>
              <w:rPr>
                <w:rFonts w:hint="eastAsia"/>
                <w:color w:val="auto"/>
                <w:lang w:eastAsia="zh-CN"/>
              </w:rPr>
              <w:t>（</w:t>
            </w:r>
            <w:r>
              <w:rPr>
                <w:rFonts w:hint="eastAsia"/>
                <w:color w:val="auto"/>
                <w:lang w:val="en-US" w:eastAsia="zh-CN"/>
              </w:rPr>
              <w:t>若上述获奖证明材料未能体现监理单位名称的，则须另外提供中标通知书或服务合同作为评审依据</w:t>
            </w:r>
            <w:r>
              <w:rPr>
                <w:rFonts w:hint="eastAsia"/>
                <w:color w:val="auto"/>
                <w:lang w:eastAsia="zh-CN"/>
              </w:rPr>
              <w:t>），</w:t>
            </w:r>
            <w:r>
              <w:rPr>
                <w:rFonts w:hint="eastAsia"/>
                <w:b/>
                <w:bCs/>
                <w:color w:val="auto"/>
                <w:lang w:val="en-US" w:eastAsia="zh-CN"/>
              </w:rPr>
              <w:t>提供原件核查</w:t>
            </w:r>
            <w:r>
              <w:rPr>
                <w:rFonts w:hint="eastAsia"/>
                <w:color w:val="auto"/>
              </w:rPr>
              <w:t>。</w:t>
            </w:r>
          </w:p>
          <w:p w14:paraId="6ACCE23A">
            <w:pPr>
              <w:pStyle w:val="6"/>
              <w:spacing w:line="360" w:lineRule="auto"/>
              <w:textAlignment w:val="auto"/>
              <w:rPr>
                <w:rFonts w:hint="eastAsia" w:ascii="宋体" w:hAnsi="Times New Roman" w:eastAsia="宋体" w:cs="Times New Roman"/>
                <w:color w:val="auto"/>
                <w:kern w:val="2"/>
                <w:sz w:val="24"/>
                <w:lang w:val="en-US" w:eastAsia="zh-CN" w:bidi="ar-SA"/>
              </w:rPr>
            </w:pPr>
            <w:r>
              <w:rPr>
                <w:rFonts w:hint="eastAsia"/>
                <w:color w:val="auto"/>
              </w:rPr>
              <w:t>3.</w:t>
            </w:r>
            <w:r>
              <w:rPr>
                <w:rFonts w:hint="eastAsia" w:ascii="宋体" w:hAnsi="Times New Roman" w:eastAsia="宋体" w:cs="Times New Roman"/>
                <w:color w:val="auto"/>
                <w:kern w:val="2"/>
                <w:sz w:val="24"/>
                <w:lang w:val="en-US" w:eastAsia="zh-CN" w:bidi="ar-SA"/>
              </w:rPr>
              <w:t>建筑/建设类相关协会需经民政部门备案， 提供中华人民共和国民政部网站全国社会组织</w:t>
            </w:r>
            <w:r>
              <w:rPr>
                <w:rFonts w:hint="eastAsia" w:cs="Times New Roman"/>
                <w:color w:val="auto"/>
                <w:kern w:val="2"/>
                <w:sz w:val="24"/>
                <w:lang w:val="en-US" w:eastAsia="zh-CN" w:bidi="ar-SA"/>
              </w:rPr>
              <w:t>信息查询</w:t>
            </w:r>
            <w:r>
              <w:rPr>
                <w:rFonts w:hint="eastAsia" w:ascii="宋体" w:hAnsi="Times New Roman" w:eastAsia="宋体" w:cs="Times New Roman"/>
                <w:color w:val="auto"/>
                <w:kern w:val="2"/>
                <w:sz w:val="24"/>
                <w:lang w:val="en-US" w:eastAsia="zh-CN" w:bidi="ar-SA"/>
              </w:rPr>
              <w:t xml:space="preserve"> (</w:t>
            </w:r>
            <w:r>
              <w:rPr>
                <w:rFonts w:hint="eastAsia" w:ascii="宋体" w:hAnsi="Times New Roman" w:eastAsia="宋体" w:cs="Times New Roman"/>
                <w:color w:val="auto"/>
                <w:kern w:val="2"/>
                <w:sz w:val="24"/>
                <w:lang w:val="en-US" w:eastAsia="zh-CN" w:bidi="ar-SA"/>
              </w:rPr>
              <w:fldChar w:fldCharType="begin"/>
            </w:r>
            <w:r>
              <w:rPr>
                <w:rFonts w:hint="eastAsia" w:ascii="宋体" w:hAnsi="Times New Roman" w:eastAsia="宋体" w:cs="Times New Roman"/>
                <w:color w:val="auto"/>
                <w:kern w:val="2"/>
                <w:sz w:val="24"/>
                <w:lang w:val="en-US" w:eastAsia="zh-CN" w:bidi="ar-SA"/>
              </w:rPr>
              <w:instrText xml:space="preserve"> HYPERLINK "https://xxgs.chinanpo.mca.gov.cn/gsxt/newList" </w:instrText>
            </w:r>
            <w:r>
              <w:rPr>
                <w:rFonts w:hint="eastAsia" w:ascii="宋体" w:hAnsi="Times New Roman" w:eastAsia="宋体" w:cs="Times New Roman"/>
                <w:color w:val="auto"/>
                <w:kern w:val="2"/>
                <w:sz w:val="24"/>
                <w:lang w:val="en-US" w:eastAsia="zh-CN" w:bidi="ar-SA"/>
              </w:rPr>
              <w:fldChar w:fldCharType="separate"/>
            </w:r>
            <w:r>
              <w:rPr>
                <w:rFonts w:hint="eastAsia" w:ascii="宋体" w:hAnsi="Times New Roman" w:eastAsia="宋体" w:cs="Times New Roman"/>
                <w:color w:val="auto"/>
                <w:kern w:val="2"/>
                <w:sz w:val="24"/>
                <w:lang w:val="en-US" w:eastAsia="zh-CN" w:bidi="ar-SA"/>
              </w:rPr>
              <w:t>https://xxgs.chinanpo.mca.gov.cn/gsxt/newL</w:t>
            </w:r>
            <w:r>
              <w:rPr>
                <w:rFonts w:hint="eastAsia" w:ascii="宋体" w:hAnsi="Times New Roman" w:eastAsia="宋体" w:cs="Times New Roman"/>
                <w:color w:val="auto"/>
                <w:kern w:val="2"/>
                <w:sz w:val="24"/>
                <w:lang w:val="en-US" w:eastAsia="zh-CN" w:bidi="ar-SA"/>
              </w:rPr>
              <w:fldChar w:fldCharType="end"/>
            </w:r>
            <w:r>
              <w:rPr>
                <w:rFonts w:hint="eastAsia" w:ascii="宋体" w:hAnsi="Times New Roman" w:eastAsia="宋体" w:cs="Times New Roman"/>
                <w:color w:val="auto"/>
                <w:kern w:val="2"/>
                <w:sz w:val="24"/>
                <w:lang w:val="en-US" w:eastAsia="zh-CN" w:bidi="ar-SA"/>
              </w:rPr>
              <w:t xml:space="preserve"> </w:t>
            </w:r>
            <w:r>
              <w:rPr>
                <w:rFonts w:hint="eastAsia" w:ascii="宋体" w:hAnsi="Times New Roman" w:eastAsia="宋体" w:cs="Times New Roman"/>
                <w:color w:val="auto"/>
                <w:kern w:val="2"/>
                <w:sz w:val="24"/>
                <w:lang w:val="en-US" w:eastAsia="zh-CN" w:bidi="ar-SA"/>
              </w:rPr>
              <w:fldChar w:fldCharType="begin"/>
            </w:r>
            <w:r>
              <w:rPr>
                <w:rFonts w:hint="eastAsia" w:ascii="宋体" w:hAnsi="Times New Roman" w:eastAsia="宋体" w:cs="Times New Roman"/>
                <w:color w:val="auto"/>
                <w:kern w:val="2"/>
                <w:sz w:val="24"/>
                <w:lang w:val="en-US" w:eastAsia="zh-CN" w:bidi="ar-SA"/>
              </w:rPr>
              <w:instrText xml:space="preserve"> HYPERLINK "https://xxgs.chinanpo.mca.gov.cn/gsxt/newList" </w:instrText>
            </w:r>
            <w:r>
              <w:rPr>
                <w:rFonts w:hint="eastAsia" w:ascii="宋体" w:hAnsi="Times New Roman" w:eastAsia="宋体" w:cs="Times New Roman"/>
                <w:color w:val="auto"/>
                <w:kern w:val="2"/>
                <w:sz w:val="24"/>
                <w:lang w:val="en-US" w:eastAsia="zh-CN" w:bidi="ar-SA"/>
              </w:rPr>
              <w:fldChar w:fldCharType="separate"/>
            </w:r>
            <w:r>
              <w:rPr>
                <w:rFonts w:hint="eastAsia" w:ascii="宋体" w:hAnsi="Times New Roman" w:eastAsia="宋体" w:cs="Times New Roman"/>
                <w:color w:val="auto"/>
                <w:kern w:val="2"/>
                <w:sz w:val="24"/>
                <w:lang w:val="en-US" w:eastAsia="zh-CN" w:bidi="ar-SA"/>
              </w:rPr>
              <w:t>ist</w:t>
            </w:r>
            <w:r>
              <w:rPr>
                <w:rFonts w:hint="eastAsia" w:ascii="宋体" w:hAnsi="Times New Roman" w:eastAsia="宋体" w:cs="Times New Roman"/>
                <w:color w:val="auto"/>
                <w:kern w:val="2"/>
                <w:sz w:val="24"/>
                <w:lang w:val="en-US" w:eastAsia="zh-CN" w:bidi="ar-SA"/>
              </w:rPr>
              <w:fldChar w:fldCharType="end"/>
            </w:r>
            <w:r>
              <w:rPr>
                <w:rFonts w:hint="eastAsia" w:ascii="宋体" w:hAnsi="Times New Roman" w:eastAsia="宋体" w:cs="Times New Roman"/>
                <w:color w:val="auto"/>
                <w:kern w:val="2"/>
                <w:sz w:val="24"/>
                <w:lang w:val="en-US" w:eastAsia="zh-CN" w:bidi="ar-SA"/>
              </w:rPr>
              <w:t xml:space="preserve"> )备案登记网站截图)。</w:t>
            </w:r>
          </w:p>
          <w:p w14:paraId="76E0D31D">
            <w:pPr>
              <w:pStyle w:val="6"/>
              <w:spacing w:line="360" w:lineRule="auto"/>
              <w:textAlignment w:val="auto"/>
              <w:rPr>
                <w:rFonts w:hint="eastAsia" w:ascii="宋体" w:hAnsi="Times New Roman" w:eastAsia="宋体" w:cs="Times New Roman"/>
                <w:color w:val="auto"/>
                <w:kern w:val="2"/>
                <w:sz w:val="24"/>
                <w:lang w:val="en-US" w:eastAsia="zh-CN" w:bidi="ar-SA"/>
              </w:rPr>
            </w:pPr>
            <w:r>
              <w:rPr>
                <w:rFonts w:hint="eastAsia" w:ascii="宋体" w:hAnsi="Times New Roman" w:eastAsia="宋体" w:cs="Times New Roman"/>
                <w:color w:val="auto"/>
                <w:kern w:val="2"/>
                <w:sz w:val="24"/>
                <w:lang w:val="en-US" w:eastAsia="zh-CN" w:bidi="ar-SA"/>
              </w:rPr>
              <w:t>4.获奖时间以发证或发文时间为准。</w:t>
            </w:r>
          </w:p>
          <w:p w14:paraId="7384A070">
            <w:pPr>
              <w:pStyle w:val="6"/>
              <w:spacing w:line="360" w:lineRule="auto"/>
              <w:textAlignment w:val="auto"/>
              <w:rPr>
                <w:rFonts w:hint="eastAsia" w:ascii="宋体" w:hAnsi="Times New Roman" w:eastAsia="宋体" w:cs="Times New Roman"/>
                <w:color w:val="auto"/>
                <w:kern w:val="2"/>
                <w:sz w:val="24"/>
                <w:lang w:val="en-US" w:eastAsia="zh-CN" w:bidi="ar-SA"/>
              </w:rPr>
            </w:pPr>
            <w:r>
              <w:rPr>
                <w:rFonts w:hint="eastAsia" w:ascii="宋体" w:hAnsi="Times New Roman" w:eastAsia="宋体" w:cs="Times New Roman"/>
                <w:color w:val="auto"/>
                <w:kern w:val="2"/>
                <w:sz w:val="24"/>
                <w:lang w:val="en-US" w:eastAsia="zh-CN" w:bidi="ar-SA"/>
              </w:rPr>
              <w:t>5.任一奖项有以下情形之一的，该奖项视为无效，不予计分：</w:t>
            </w:r>
          </w:p>
          <w:p w14:paraId="3A74E788">
            <w:pPr>
              <w:pStyle w:val="6"/>
              <w:spacing w:line="360" w:lineRule="auto"/>
              <w:textAlignment w:val="auto"/>
              <w:rPr>
                <w:rFonts w:hint="eastAsia" w:ascii="宋体" w:hAnsi="Times New Roman" w:eastAsia="宋体" w:cs="Times New Roman"/>
                <w:color w:val="auto"/>
                <w:kern w:val="2"/>
                <w:sz w:val="24"/>
                <w:lang w:val="en-US" w:eastAsia="zh-CN" w:bidi="ar-SA"/>
              </w:rPr>
            </w:pPr>
            <w:r>
              <w:rPr>
                <w:rFonts w:hint="eastAsia" w:ascii="宋体" w:hAnsi="Times New Roman" w:eastAsia="宋体" w:cs="Times New Roman"/>
                <w:color w:val="auto"/>
                <w:kern w:val="2"/>
                <w:sz w:val="24"/>
                <w:lang w:val="en-US" w:eastAsia="zh-CN" w:bidi="ar-SA"/>
              </w:rPr>
              <w:t>①奖项不属于指定类别的；</w:t>
            </w:r>
          </w:p>
          <w:p w14:paraId="6257E00E">
            <w:pPr>
              <w:pStyle w:val="6"/>
              <w:spacing w:line="360" w:lineRule="auto"/>
              <w:textAlignment w:val="auto"/>
              <w:rPr>
                <w:rFonts w:hint="eastAsia" w:ascii="宋体" w:hAnsi="Times New Roman" w:eastAsia="宋体" w:cs="Times New Roman"/>
                <w:color w:val="auto"/>
                <w:kern w:val="2"/>
                <w:sz w:val="24"/>
                <w:lang w:val="en-US" w:eastAsia="zh-CN" w:bidi="ar-SA"/>
              </w:rPr>
            </w:pPr>
            <w:r>
              <w:rPr>
                <w:rFonts w:hint="eastAsia" w:ascii="宋体" w:hAnsi="Times New Roman" w:eastAsia="宋体" w:cs="Times New Roman"/>
                <w:color w:val="auto"/>
                <w:kern w:val="2"/>
                <w:sz w:val="24"/>
                <w:lang w:val="en-US" w:eastAsia="zh-CN" w:bidi="ar-SA"/>
              </w:rPr>
              <w:t>②颁发机构不符合要求的；</w:t>
            </w:r>
          </w:p>
          <w:p w14:paraId="7D8BA27D">
            <w:pPr>
              <w:pStyle w:val="6"/>
              <w:spacing w:line="360" w:lineRule="auto"/>
              <w:textAlignment w:val="auto"/>
              <w:rPr>
                <w:rFonts w:hint="eastAsia" w:ascii="宋体" w:hAnsi="Times New Roman" w:eastAsia="宋体" w:cs="Times New Roman"/>
                <w:color w:val="auto"/>
                <w:kern w:val="2"/>
                <w:sz w:val="24"/>
                <w:lang w:val="en-US" w:eastAsia="zh-CN" w:bidi="ar-SA"/>
              </w:rPr>
            </w:pPr>
            <w:r>
              <w:rPr>
                <w:rFonts w:hint="eastAsia" w:ascii="宋体" w:hAnsi="Times New Roman" w:eastAsia="宋体" w:cs="Times New Roman"/>
                <w:color w:val="auto"/>
                <w:kern w:val="2"/>
                <w:sz w:val="24"/>
                <w:lang w:val="en-US" w:eastAsia="zh-CN" w:bidi="ar-SA"/>
              </w:rPr>
              <w:t>③获奖时间不符合要求的；</w:t>
            </w:r>
          </w:p>
          <w:p w14:paraId="754EE0BA">
            <w:pPr>
              <w:pStyle w:val="6"/>
              <w:spacing w:line="360" w:lineRule="auto"/>
              <w:textAlignment w:val="auto"/>
              <w:rPr>
                <w:rFonts w:hint="eastAsia" w:ascii="宋体" w:hAnsi="Times New Roman" w:eastAsia="宋体" w:cs="Times New Roman"/>
                <w:color w:val="auto"/>
                <w:kern w:val="2"/>
                <w:sz w:val="24"/>
                <w:lang w:val="en-US" w:eastAsia="zh-CN" w:bidi="ar-SA"/>
              </w:rPr>
            </w:pPr>
            <w:r>
              <w:rPr>
                <w:rFonts w:hint="eastAsia" w:ascii="宋体" w:hAnsi="Times New Roman" w:eastAsia="宋体" w:cs="Times New Roman"/>
                <w:color w:val="auto"/>
                <w:kern w:val="2"/>
                <w:sz w:val="24"/>
                <w:lang w:val="en-US" w:eastAsia="zh-CN" w:bidi="ar-SA"/>
              </w:rPr>
              <w:t>④获奖证明材料未能体现监理单位名称的；</w:t>
            </w:r>
          </w:p>
          <w:p w14:paraId="6AC95472">
            <w:pPr>
              <w:pStyle w:val="6"/>
              <w:spacing w:line="360" w:lineRule="auto"/>
              <w:textAlignment w:val="auto"/>
              <w:rPr>
                <w:rFonts w:hint="eastAsia"/>
                <w:color w:val="auto"/>
              </w:rPr>
            </w:pPr>
            <w:r>
              <w:rPr>
                <w:rFonts w:hint="eastAsia"/>
                <w:color w:val="auto"/>
              </w:rPr>
              <w:t>⑤未提供原件的。</w:t>
            </w:r>
          </w:p>
        </w:tc>
      </w:tr>
      <w:tr w14:paraId="112BAE68">
        <w:tblPrEx>
          <w:tblCellMar>
            <w:top w:w="0" w:type="dxa"/>
            <w:left w:w="10" w:type="dxa"/>
            <w:bottom w:w="0" w:type="dxa"/>
            <w:right w:w="10" w:type="dxa"/>
          </w:tblCellMar>
        </w:tblPrEx>
        <w:trPr>
          <w:trHeight w:val="3187" w:hRule="atLeast"/>
          <w:jc w:val="center"/>
        </w:trPr>
        <w:tc>
          <w:tcPr>
            <w:tcW w:w="12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BE3C04">
            <w:pPr>
              <w:pStyle w:val="6"/>
              <w:keepNext w:val="0"/>
              <w:keepLines w:val="0"/>
              <w:pageBreakBefore w:val="0"/>
              <w:shd w:val="clear"/>
              <w:kinsoku/>
              <w:overflowPunct/>
              <w:topLinePunct w:val="0"/>
              <w:autoSpaceDE/>
              <w:autoSpaceDN/>
              <w:bidi w:val="0"/>
              <w:spacing w:line="360" w:lineRule="auto"/>
              <w:jc w:val="center"/>
              <w:textAlignment w:val="auto"/>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pPr>
            <w:r>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t>监理业绩</w:t>
            </w:r>
          </w:p>
          <w:p w14:paraId="42FC3328">
            <w:pPr>
              <w:pStyle w:val="6"/>
              <w:keepNext w:val="0"/>
              <w:keepLines w:val="0"/>
              <w:pageBreakBefore w:val="0"/>
              <w:shd w:val="clear"/>
              <w:kinsoku/>
              <w:overflowPunct/>
              <w:topLinePunct w:val="0"/>
              <w:autoSpaceDE/>
              <w:autoSpaceDN/>
              <w:bidi w:val="0"/>
              <w:spacing w:line="360" w:lineRule="auto"/>
              <w:jc w:val="center"/>
              <w:textAlignment w:val="auto"/>
              <w:rPr>
                <w:color w:val="auto"/>
              </w:rPr>
            </w:pPr>
            <w:r>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t>（</w:t>
            </w:r>
            <w:r>
              <w:rPr>
                <w:rFonts w:hint="eastAsia" w:hAnsi="宋体" w:cs="宋体"/>
                <w:b w:val="0"/>
                <w:bCs w:val="0"/>
                <w:caps w:val="0"/>
                <w:smallCaps w:val="0"/>
                <w:snapToGrid w:val="0"/>
                <w:color w:val="auto"/>
                <w:spacing w:val="0"/>
                <w:kern w:val="0"/>
                <w:sz w:val="24"/>
                <w:szCs w:val="24"/>
                <w:highlight w:val="none"/>
                <w:u w:val="none"/>
                <w:lang w:val="en-US" w:eastAsia="zh-CN"/>
              </w:rPr>
              <w:t>20</w:t>
            </w:r>
            <w:r>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t>分）</w:t>
            </w:r>
          </w:p>
        </w:tc>
        <w:tc>
          <w:tcPr>
            <w:tcW w:w="47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C0A5E0">
            <w:pPr>
              <w:keepNext w:val="0"/>
              <w:keepLines w:val="0"/>
              <w:pageBreakBefore w:val="0"/>
              <w:numPr>
                <w:ilvl w:val="0"/>
                <w:numId w:val="0"/>
              </w:numPr>
              <w:shd w:val="clear"/>
              <w:kinsoku/>
              <w:wordWrap w:val="0"/>
              <w:overflowPunct/>
              <w:topLinePunct w:val="0"/>
              <w:autoSpaceDE/>
              <w:autoSpaceDN/>
              <w:bidi w:val="0"/>
              <w:adjustRightInd w:val="0"/>
              <w:snapToGrid w:val="0"/>
              <w:spacing w:line="360" w:lineRule="auto"/>
              <w:ind w:left="0" w:leftChars="0" w:firstLine="0" w:firstLineChars="0"/>
              <w:textAlignment w:val="auto"/>
              <w:rPr>
                <w:color w:val="auto"/>
              </w:rPr>
            </w:pPr>
            <w:r>
              <w:rPr>
                <w:rFonts w:hint="eastAsia"/>
                <w:color w:val="auto"/>
                <w:sz w:val="24"/>
                <w:szCs w:val="24"/>
                <w:highlight w:val="none"/>
                <w:lang w:eastAsia="zh-CN"/>
              </w:rPr>
              <w:t xml:space="preserve">投标人近5年来(2020年1月1日至今) </w:t>
            </w:r>
            <w:r>
              <w:rPr>
                <w:rFonts w:hint="eastAsia"/>
                <w:color w:val="auto"/>
                <w:sz w:val="24"/>
                <w:szCs w:val="24"/>
                <w:highlight w:val="none"/>
                <w:lang w:val="en-US" w:eastAsia="zh-CN"/>
              </w:rPr>
              <w:t>独立监</w:t>
            </w:r>
            <w:r>
              <w:rPr>
                <w:rFonts w:hint="eastAsia"/>
                <w:color w:val="auto"/>
                <w:sz w:val="24"/>
                <w:szCs w:val="24"/>
                <w:highlight w:val="none"/>
                <w:lang w:eastAsia="zh-CN"/>
              </w:rPr>
              <w:t>理过类似工程项目的，每提供一个项目得</w:t>
            </w:r>
            <w:r>
              <w:rPr>
                <w:rFonts w:hint="eastAsia"/>
                <w:color w:val="auto"/>
                <w:sz w:val="24"/>
                <w:szCs w:val="24"/>
                <w:highlight w:val="none"/>
                <w:lang w:val="en-US" w:eastAsia="zh-CN"/>
              </w:rPr>
              <w:t>5</w:t>
            </w:r>
            <w:r>
              <w:rPr>
                <w:rFonts w:hint="eastAsia"/>
                <w:color w:val="auto"/>
                <w:sz w:val="24"/>
                <w:szCs w:val="24"/>
                <w:highlight w:val="none"/>
                <w:lang w:eastAsia="zh-CN"/>
              </w:rPr>
              <w:t>分，本小项最高得</w:t>
            </w:r>
            <w:r>
              <w:rPr>
                <w:rFonts w:hint="eastAsia"/>
                <w:color w:val="auto"/>
                <w:sz w:val="24"/>
                <w:szCs w:val="24"/>
                <w:highlight w:val="none"/>
                <w:lang w:val="en-US" w:eastAsia="zh-CN"/>
              </w:rPr>
              <w:t>20</w:t>
            </w:r>
            <w:r>
              <w:rPr>
                <w:rFonts w:hint="eastAsia"/>
                <w:color w:val="auto"/>
                <w:sz w:val="24"/>
                <w:szCs w:val="24"/>
                <w:highlight w:val="none"/>
                <w:lang w:eastAsia="zh-CN"/>
              </w:rPr>
              <w:t>分。</w:t>
            </w:r>
          </w:p>
        </w:tc>
        <w:tc>
          <w:tcPr>
            <w:tcW w:w="35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309BA5">
            <w:pPr>
              <w:pStyle w:val="7"/>
              <w:wordWrap w:val="0"/>
              <w:adjustRightInd w:val="0"/>
              <w:snapToGrid w:val="0"/>
              <w:spacing w:after="0" w:line="240" w:lineRule="auto"/>
              <w:rPr>
                <w:rFonts w:hAnsi="宋体" w:cs="宋体"/>
                <w:bCs/>
                <w:snapToGrid w:val="0"/>
                <w:color w:val="auto"/>
                <w:kern w:val="0"/>
                <w:sz w:val="24"/>
                <w:szCs w:val="24"/>
                <w:highlight w:val="none"/>
              </w:rPr>
            </w:pPr>
            <w:r>
              <w:rPr>
                <w:rFonts w:hint="eastAsia" w:hAnsi="宋体" w:cs="宋体"/>
                <w:bCs/>
                <w:snapToGrid w:val="0"/>
                <w:color w:val="auto"/>
                <w:kern w:val="0"/>
                <w:sz w:val="24"/>
                <w:szCs w:val="24"/>
                <w:highlight w:val="none"/>
              </w:rPr>
              <w:t>1.类似工程指：</w:t>
            </w:r>
            <w:r>
              <w:rPr>
                <w:rFonts w:hint="eastAsia" w:hAnsi="宋体" w:cs="宋体"/>
                <w:b w:val="0"/>
                <w:bCs w:val="0"/>
                <w:caps w:val="0"/>
                <w:smallCaps w:val="0"/>
                <w:snapToGrid w:val="0"/>
                <w:color w:val="auto"/>
                <w:spacing w:val="0"/>
                <w:kern w:val="0"/>
                <w:sz w:val="24"/>
                <w:szCs w:val="24"/>
                <w:highlight w:val="none"/>
                <w:u w:val="single"/>
                <w:lang w:val="en-US" w:eastAsia="zh-CN"/>
              </w:rPr>
              <w:t>施工总承包合同金额≥5000万元的市政公用工程施工监理服务项目</w:t>
            </w:r>
            <w:r>
              <w:rPr>
                <w:rFonts w:hint="eastAsia" w:hAnsi="宋体" w:cs="宋体"/>
                <w:bCs/>
                <w:snapToGrid w:val="0"/>
                <w:color w:val="auto"/>
                <w:kern w:val="0"/>
                <w:sz w:val="24"/>
                <w:szCs w:val="24"/>
                <w:highlight w:val="none"/>
              </w:rPr>
              <w:t>。</w:t>
            </w:r>
          </w:p>
          <w:p w14:paraId="311AB123">
            <w:pPr>
              <w:pStyle w:val="7"/>
              <w:wordWrap w:val="0"/>
              <w:adjustRightInd w:val="0"/>
              <w:snapToGrid w:val="0"/>
              <w:spacing w:after="0" w:line="240" w:lineRule="auto"/>
              <w:rPr>
                <w:rFonts w:hint="eastAsia" w:hAnsi="宋体" w:cs="宋体"/>
                <w:bCs/>
                <w:snapToGrid w:val="0"/>
                <w:color w:val="auto"/>
                <w:kern w:val="0"/>
                <w:sz w:val="24"/>
                <w:szCs w:val="24"/>
                <w:highlight w:val="none"/>
              </w:rPr>
            </w:pPr>
            <w:r>
              <w:rPr>
                <w:rFonts w:hint="eastAsia" w:hAnsi="宋体" w:cs="宋体"/>
                <w:bCs/>
                <w:snapToGrid w:val="0"/>
                <w:color w:val="auto"/>
                <w:kern w:val="0"/>
                <w:sz w:val="24"/>
                <w:szCs w:val="24"/>
                <w:highlight w:val="none"/>
              </w:rPr>
              <w:t>2.</w:t>
            </w:r>
            <w:r>
              <w:rPr>
                <w:rFonts w:hint="eastAsia" w:hAnsi="宋体" w:cs="宋体"/>
                <w:bCs/>
                <w:snapToGrid w:val="0"/>
                <w:color w:val="auto"/>
                <w:kern w:val="0"/>
                <w:sz w:val="24"/>
                <w:szCs w:val="24"/>
                <w:highlight w:val="none"/>
                <w:lang w:eastAsia="zh-CN"/>
              </w:rPr>
              <w:t>提供合同关键页彩色扫描件，</w:t>
            </w:r>
            <w:r>
              <w:rPr>
                <w:rFonts w:hint="eastAsia" w:hAnsi="宋体" w:cs="宋体"/>
                <w:b/>
                <w:bCs w:val="0"/>
                <w:snapToGrid w:val="0"/>
                <w:color w:val="auto"/>
                <w:kern w:val="0"/>
                <w:sz w:val="24"/>
                <w:szCs w:val="24"/>
                <w:highlight w:val="none"/>
                <w:lang w:eastAsia="zh-CN"/>
              </w:rPr>
              <w:t>原件核查</w:t>
            </w:r>
            <w:r>
              <w:rPr>
                <w:rFonts w:hint="eastAsia" w:hAnsi="宋体" w:cs="宋体"/>
                <w:bCs/>
                <w:snapToGrid w:val="0"/>
                <w:color w:val="auto"/>
                <w:kern w:val="0"/>
                <w:sz w:val="24"/>
                <w:szCs w:val="24"/>
                <w:highlight w:val="none"/>
                <w:lang w:eastAsia="zh-CN"/>
              </w:rPr>
              <w:t>，否则不得分</w:t>
            </w:r>
            <w:r>
              <w:rPr>
                <w:rFonts w:hint="eastAsia" w:hAnsi="宋体" w:cs="宋体"/>
                <w:bCs/>
                <w:snapToGrid w:val="0"/>
                <w:color w:val="auto"/>
                <w:kern w:val="0"/>
                <w:sz w:val="24"/>
                <w:szCs w:val="24"/>
                <w:highlight w:val="none"/>
              </w:rPr>
              <w:t>。</w:t>
            </w:r>
          </w:p>
          <w:p w14:paraId="4EAB907B">
            <w:pPr>
              <w:pStyle w:val="7"/>
              <w:wordWrap w:val="0"/>
              <w:adjustRightInd w:val="0"/>
              <w:snapToGrid w:val="0"/>
              <w:spacing w:after="0" w:line="240" w:lineRule="auto"/>
              <w:rPr>
                <w:rFonts w:hint="eastAsia" w:hAnsi="宋体" w:cs="宋体"/>
                <w:bCs/>
                <w:snapToGrid w:val="0"/>
                <w:color w:val="auto"/>
                <w:kern w:val="0"/>
                <w:sz w:val="24"/>
                <w:szCs w:val="24"/>
                <w:highlight w:val="none"/>
              </w:rPr>
            </w:pPr>
            <w:r>
              <w:rPr>
                <w:rFonts w:hint="eastAsia" w:hAnsi="宋体" w:cs="宋体"/>
                <w:bCs/>
                <w:snapToGrid w:val="0"/>
                <w:color w:val="auto"/>
                <w:kern w:val="0"/>
                <w:sz w:val="24"/>
                <w:szCs w:val="24"/>
                <w:highlight w:val="none"/>
              </w:rPr>
              <w:t>3.业绩时间以合同签订日期为准。</w:t>
            </w:r>
          </w:p>
          <w:p w14:paraId="1494F95A">
            <w:pPr>
              <w:pStyle w:val="7"/>
              <w:wordWrap w:val="0"/>
              <w:adjustRightInd w:val="0"/>
              <w:snapToGrid w:val="0"/>
              <w:spacing w:after="0" w:line="240" w:lineRule="auto"/>
              <w:rPr>
                <w:color w:val="auto"/>
              </w:rPr>
            </w:pPr>
            <w:r>
              <w:rPr>
                <w:rFonts w:hint="eastAsia" w:hAnsi="宋体" w:cs="宋体"/>
                <w:bCs/>
                <w:snapToGrid w:val="0"/>
                <w:color w:val="auto"/>
                <w:kern w:val="0"/>
                <w:sz w:val="24"/>
                <w:szCs w:val="24"/>
                <w:highlight w:val="none"/>
              </w:rPr>
              <w:t>4.</w:t>
            </w:r>
            <w:r>
              <w:rPr>
                <w:rFonts w:hint="eastAsia" w:hAnsi="宋体" w:cs="宋体"/>
                <w:bCs/>
                <w:snapToGrid w:val="0"/>
                <w:color w:val="auto"/>
                <w:kern w:val="0"/>
                <w:sz w:val="24"/>
                <w:szCs w:val="24"/>
                <w:highlight w:val="none"/>
                <w:lang w:eastAsia="zh-CN"/>
              </w:rPr>
              <w:t>业绩不符合评分标准和备注规定的，不予计分。</w:t>
            </w:r>
          </w:p>
        </w:tc>
      </w:tr>
      <w:tr w14:paraId="74A4A173">
        <w:tblPrEx>
          <w:tblCellMar>
            <w:top w:w="0" w:type="dxa"/>
            <w:left w:w="10" w:type="dxa"/>
            <w:bottom w:w="0" w:type="dxa"/>
            <w:right w:w="10" w:type="dxa"/>
          </w:tblCellMar>
        </w:tblPrEx>
        <w:trPr>
          <w:trHeight w:val="2001" w:hRule="atLeast"/>
          <w:jc w:val="center"/>
        </w:trPr>
        <w:tc>
          <w:tcPr>
            <w:tcW w:w="12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7CB6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color w:val="auto"/>
                <w:lang w:eastAsia="zh-CN"/>
              </w:rPr>
            </w:pPr>
            <w:r>
              <w:rPr>
                <w:rFonts w:hint="eastAsia"/>
                <w:color w:val="auto"/>
                <w:lang w:eastAsia="zh-CN"/>
              </w:rPr>
              <w:t>企业纳税</w:t>
            </w:r>
          </w:p>
          <w:p w14:paraId="3C7F36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rPr>
            </w:pPr>
            <w:r>
              <w:rPr>
                <w:rFonts w:hint="eastAsia"/>
                <w:color w:val="auto"/>
              </w:rPr>
              <w:t>（</w:t>
            </w:r>
            <w:r>
              <w:rPr>
                <w:rFonts w:hint="eastAsia"/>
                <w:color w:val="auto"/>
                <w:lang w:val="en-US" w:eastAsia="zh-CN"/>
              </w:rPr>
              <w:t>9</w:t>
            </w:r>
            <w:r>
              <w:rPr>
                <w:rFonts w:hint="eastAsia"/>
                <w:color w:val="auto"/>
              </w:rPr>
              <w:t>分）</w:t>
            </w:r>
          </w:p>
        </w:tc>
        <w:tc>
          <w:tcPr>
            <w:tcW w:w="47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727CA5">
            <w:pPr>
              <w:pStyle w:val="6"/>
              <w:keepNext w:val="0"/>
              <w:keepLines w:val="0"/>
              <w:pageBreakBefore w:val="0"/>
              <w:shd w:val="clear"/>
              <w:kinsoku/>
              <w:overflowPunct/>
              <w:topLinePunct w:val="0"/>
              <w:autoSpaceDE/>
              <w:autoSpaceDN/>
              <w:bidi w:val="0"/>
              <w:spacing w:line="360" w:lineRule="auto"/>
              <w:textAlignment w:val="auto"/>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pPr>
            <w:r>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t>1.质量管理体系认证、职业健康安全管理体系认证、环境管理体系认证中，每获得1项认证得</w:t>
            </w:r>
            <w:r>
              <w:rPr>
                <w:rFonts w:hint="eastAsia" w:hAnsi="宋体" w:cs="宋体"/>
                <w:b w:val="0"/>
                <w:bCs w:val="0"/>
                <w:caps w:val="0"/>
                <w:smallCaps w:val="0"/>
                <w:snapToGrid w:val="0"/>
                <w:color w:val="auto"/>
                <w:spacing w:val="0"/>
                <w:kern w:val="0"/>
                <w:sz w:val="24"/>
                <w:szCs w:val="24"/>
                <w:highlight w:val="none"/>
                <w:u w:val="none"/>
                <w:lang w:val="en-US" w:eastAsia="zh-CN"/>
              </w:rPr>
              <w:t>3</w:t>
            </w:r>
            <w:r>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t>分，最高得</w:t>
            </w:r>
            <w:r>
              <w:rPr>
                <w:rFonts w:hint="eastAsia" w:hAnsi="宋体" w:cs="宋体"/>
                <w:b w:val="0"/>
                <w:bCs w:val="0"/>
                <w:caps w:val="0"/>
                <w:smallCaps w:val="0"/>
                <w:snapToGrid w:val="0"/>
                <w:color w:val="auto"/>
                <w:spacing w:val="0"/>
                <w:kern w:val="0"/>
                <w:sz w:val="24"/>
                <w:szCs w:val="24"/>
                <w:highlight w:val="none"/>
                <w:u w:val="none"/>
                <w:lang w:val="en-US" w:eastAsia="zh-CN"/>
              </w:rPr>
              <w:t>9</w:t>
            </w:r>
            <w:r>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t>分。</w:t>
            </w:r>
          </w:p>
          <w:p w14:paraId="0617D543">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rPr>
            </w:pPr>
            <w:r>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t>2.未获得以上认证的，不予计分。</w:t>
            </w:r>
          </w:p>
        </w:tc>
        <w:tc>
          <w:tcPr>
            <w:tcW w:w="35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C5D791">
            <w:pPr>
              <w:keepNext w:val="0"/>
              <w:keepLines w:val="0"/>
              <w:pageBreakBefore w:val="0"/>
              <w:kinsoku/>
              <w:wordWrap/>
              <w:overflowPunct/>
              <w:topLinePunct w:val="0"/>
              <w:autoSpaceDE/>
              <w:autoSpaceDN/>
              <w:bidi w:val="0"/>
              <w:adjustRightInd/>
              <w:snapToGrid/>
              <w:spacing w:line="400" w:lineRule="exact"/>
              <w:textAlignment w:val="auto"/>
              <w:rPr>
                <w:color w:val="auto"/>
              </w:rPr>
            </w:pPr>
            <w:r>
              <w:rPr>
                <w:rFonts w:hint="eastAsia"/>
                <w:color w:val="auto"/>
                <w:lang w:val="en-US" w:eastAsia="zh-CN"/>
              </w:rPr>
              <w:t>需</w:t>
            </w:r>
            <w:r>
              <w:rPr>
                <w:rFonts w:hint="eastAsia"/>
                <w:color w:val="auto"/>
              </w:rPr>
              <w:t>提供相关证书彩色扫描件并加盖单位公章，否则不得分。</w:t>
            </w:r>
          </w:p>
        </w:tc>
      </w:tr>
      <w:tr w14:paraId="0D4A8106">
        <w:tblPrEx>
          <w:tblCellMar>
            <w:top w:w="0" w:type="dxa"/>
            <w:left w:w="10" w:type="dxa"/>
            <w:bottom w:w="0" w:type="dxa"/>
            <w:right w:w="10" w:type="dxa"/>
          </w:tblCellMar>
        </w:tblPrEx>
        <w:trPr>
          <w:trHeight w:val="1956" w:hRule="atLeast"/>
          <w:jc w:val="center"/>
        </w:trPr>
        <w:tc>
          <w:tcPr>
            <w:tcW w:w="1252"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3AFAC0FB">
            <w:pPr>
              <w:keepNext w:val="0"/>
              <w:keepLines w:val="0"/>
              <w:pageBreakBefore w:val="0"/>
              <w:widowControl w:val="0"/>
              <w:kinsoku/>
              <w:wordWrap/>
              <w:overflowPunct/>
              <w:topLinePunct w:val="0"/>
              <w:autoSpaceDE/>
              <w:autoSpaceDN/>
              <w:bidi w:val="0"/>
              <w:adjustRightInd/>
              <w:snapToGrid/>
              <w:spacing w:line="400" w:lineRule="exact"/>
              <w:jc w:val="both"/>
              <w:textAlignment w:val="auto"/>
              <w:rPr>
                <w:color w:val="auto"/>
              </w:rPr>
            </w:pPr>
            <w:r>
              <w:rPr>
                <w:rFonts w:hint="eastAsia"/>
                <w:color w:val="auto"/>
              </w:rPr>
              <w:t>监理机构人员配备（</w:t>
            </w:r>
            <w:r>
              <w:rPr>
                <w:rFonts w:hint="eastAsia"/>
                <w:color w:val="auto"/>
                <w:lang w:val="en-US" w:eastAsia="zh-CN"/>
              </w:rPr>
              <w:t>19</w:t>
            </w:r>
            <w:r>
              <w:rPr>
                <w:rFonts w:hint="eastAsia"/>
                <w:color w:val="auto"/>
              </w:rPr>
              <w:t>分）</w:t>
            </w:r>
          </w:p>
        </w:tc>
        <w:tc>
          <w:tcPr>
            <w:tcW w:w="47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5AEBAD">
            <w:pPr>
              <w:keepNext w:val="0"/>
              <w:keepLines w:val="0"/>
              <w:pageBreakBefore w:val="0"/>
              <w:widowControl w:val="0"/>
              <w:kinsoku/>
              <w:wordWrap/>
              <w:overflowPunct/>
              <w:topLinePunct w:val="0"/>
              <w:autoSpaceDE/>
              <w:autoSpaceDN/>
              <w:bidi w:val="0"/>
              <w:adjustRightInd/>
              <w:snapToGrid/>
              <w:spacing w:line="400" w:lineRule="exact"/>
              <w:jc w:val="both"/>
              <w:textAlignment w:val="auto"/>
              <w:rPr>
                <w:color w:val="auto"/>
              </w:rPr>
            </w:pPr>
            <w:r>
              <w:rPr>
                <w:rFonts w:hint="eastAsia"/>
                <w:color w:val="auto"/>
              </w:rPr>
              <w:t>1.拟派人员的数量和专业完全满足表2《项目监理机构其他人员需求表》(以下简称《需求表》)要求的，得2分；不符合要求的，每人扣0.4分</w:t>
            </w:r>
            <w:r>
              <w:rPr>
                <w:rFonts w:hint="eastAsia"/>
                <w:color w:val="auto"/>
                <w:lang w:eastAsia="zh-CN"/>
              </w:rPr>
              <w:t>，</w:t>
            </w:r>
            <w:r>
              <w:rPr>
                <w:rFonts w:hint="eastAsia"/>
                <w:color w:val="auto"/>
              </w:rPr>
              <w:t>直至扣完，本项满分2分。</w:t>
            </w:r>
          </w:p>
        </w:tc>
        <w:tc>
          <w:tcPr>
            <w:tcW w:w="3535"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29AD191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lang w:val="en-US" w:eastAsia="zh-CN"/>
              </w:rPr>
            </w:pPr>
            <w:r>
              <w:rPr>
                <w:rFonts w:hint="eastAsia"/>
                <w:color w:val="auto"/>
                <w:lang w:val="en-US" w:eastAsia="zh-CN"/>
              </w:rPr>
              <w:t>1.提供相关证书或证明材料彩色扫描件，同时提供原件核查。</w:t>
            </w:r>
          </w:p>
          <w:p w14:paraId="674E147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lang w:val="en-US" w:eastAsia="zh-CN"/>
              </w:rPr>
            </w:pPr>
            <w:r>
              <w:rPr>
                <w:rFonts w:hint="eastAsia"/>
                <w:color w:val="auto"/>
                <w:lang w:val="en-US" w:eastAsia="zh-CN"/>
              </w:rPr>
              <w:t>2.拟派专业监理工程师按照《需求表》“持证要求”栏目提供的证书中，有任意一类符合专业要求的，即视其专业满足要求</w:t>
            </w:r>
          </w:p>
          <w:p w14:paraId="2E6C1EA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eastAsia="宋体"/>
                <w:color w:val="auto"/>
                <w:lang w:val="en-US" w:eastAsia="zh-CN"/>
              </w:rPr>
            </w:pPr>
            <w:r>
              <w:rPr>
                <w:rFonts w:hint="eastAsia"/>
                <w:color w:val="auto"/>
                <w:lang w:val="en-US" w:eastAsia="zh-CN"/>
              </w:rPr>
              <w:t>3.其他拟派人员的数量或专业不满足《需求表》要求的；均视为“不符合要求”.</w:t>
            </w:r>
          </w:p>
        </w:tc>
      </w:tr>
      <w:tr w14:paraId="3F44452F">
        <w:tblPrEx>
          <w:tblCellMar>
            <w:top w:w="0" w:type="dxa"/>
            <w:left w:w="10" w:type="dxa"/>
            <w:bottom w:w="0" w:type="dxa"/>
            <w:right w:w="10" w:type="dxa"/>
          </w:tblCellMar>
        </w:tblPrEx>
        <w:trPr>
          <w:trHeight w:val="1345" w:hRule="atLeast"/>
          <w:jc w:val="center"/>
        </w:trPr>
        <w:tc>
          <w:tcPr>
            <w:tcW w:w="1252" w:type="dxa"/>
            <w:vMerge w:val="continue"/>
            <w:tcBorders>
              <w:left w:val="single" w:color="000000" w:sz="4" w:space="0"/>
              <w:right w:val="single" w:color="000000" w:sz="4" w:space="0"/>
            </w:tcBorders>
            <w:tcMar>
              <w:top w:w="0" w:type="dxa"/>
              <w:left w:w="108" w:type="dxa"/>
              <w:bottom w:w="0" w:type="dxa"/>
              <w:right w:w="108" w:type="dxa"/>
            </w:tcMar>
            <w:vAlign w:val="center"/>
          </w:tcPr>
          <w:p w14:paraId="5FCCB4B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Ansi="宋体" w:cs="宋体"/>
                <w:snapToGrid w:val="0"/>
                <w:color w:val="auto"/>
                <w:kern w:val="0"/>
                <w:szCs w:val="24"/>
              </w:rPr>
            </w:pPr>
          </w:p>
        </w:tc>
        <w:tc>
          <w:tcPr>
            <w:tcW w:w="47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60A60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rPr>
              <w:t>2.《项目监理机构其他人员需求表》中：</w:t>
            </w:r>
          </w:p>
          <w:p w14:paraId="55BA196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rPr>
              <w:t xml:space="preserve">(1)具备注册监理工程师的，每人得3分， </w:t>
            </w:r>
            <w:r>
              <w:rPr>
                <w:rFonts w:hint="eastAsia"/>
                <w:color w:val="auto"/>
                <w:lang w:val="en-US" w:eastAsia="zh-CN"/>
              </w:rPr>
              <w:t>本</w:t>
            </w:r>
            <w:r>
              <w:rPr>
                <w:rFonts w:hint="eastAsia"/>
                <w:color w:val="auto"/>
              </w:rPr>
              <w:t>小项最高得9分；</w:t>
            </w:r>
          </w:p>
          <w:p w14:paraId="158FF3F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rPr>
              <w:t>(2)具备工程类高级工程师或以上职称的每人得4分</w:t>
            </w:r>
            <w:r>
              <w:rPr>
                <w:rFonts w:hint="eastAsia"/>
                <w:color w:val="auto"/>
                <w:lang w:eastAsia="zh-CN"/>
              </w:rPr>
              <w:t>，</w:t>
            </w:r>
            <w:r>
              <w:rPr>
                <w:rFonts w:hint="eastAsia"/>
                <w:color w:val="auto"/>
              </w:rPr>
              <w:t>最高得8分；具备工程师职称的每人得2分</w:t>
            </w:r>
            <w:r>
              <w:rPr>
                <w:rFonts w:hint="eastAsia"/>
                <w:color w:val="auto"/>
                <w:lang w:eastAsia="zh-CN"/>
              </w:rPr>
              <w:t>，</w:t>
            </w:r>
            <w:r>
              <w:rPr>
                <w:rFonts w:hint="eastAsia"/>
                <w:color w:val="auto"/>
              </w:rPr>
              <w:t>最高得4分；</w:t>
            </w:r>
          </w:p>
          <w:p w14:paraId="22140E6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rPr>
              <w:t xml:space="preserve">本小项最高得8分； </w:t>
            </w:r>
          </w:p>
          <w:p w14:paraId="05C61AA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rPr>
              <w:t>注：同一人员同时具备以上证件的可重复得分。</w:t>
            </w:r>
          </w:p>
          <w:p w14:paraId="5000CDD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hAnsi="宋体" w:eastAsia="宋体" w:cs="宋体"/>
                <w:color w:val="auto"/>
                <w:szCs w:val="24"/>
                <w:lang w:val="en-US" w:eastAsia="zh-CN"/>
              </w:rPr>
            </w:pPr>
            <w:r>
              <w:rPr>
                <w:rFonts w:hint="eastAsia"/>
                <w:color w:val="auto"/>
              </w:rPr>
              <w:t>说明：本项最高得17分</w:t>
            </w:r>
            <w:r>
              <w:rPr>
                <w:rFonts w:hint="eastAsia"/>
                <w:color w:val="auto"/>
                <w:lang w:val="en-US" w:eastAsia="zh-CN"/>
              </w:rPr>
              <w:t>。</w:t>
            </w:r>
          </w:p>
        </w:tc>
        <w:tc>
          <w:tcPr>
            <w:tcW w:w="3535"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14:paraId="465C204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Ansi="宋体" w:cs="宋体"/>
                <w:color w:val="auto"/>
                <w:szCs w:val="24"/>
              </w:rPr>
            </w:pPr>
          </w:p>
        </w:tc>
      </w:tr>
      <w:tr w14:paraId="6AB7F030">
        <w:tblPrEx>
          <w:tblCellMar>
            <w:top w:w="0" w:type="dxa"/>
            <w:left w:w="10" w:type="dxa"/>
            <w:bottom w:w="0" w:type="dxa"/>
            <w:right w:w="10" w:type="dxa"/>
          </w:tblCellMar>
        </w:tblPrEx>
        <w:trPr>
          <w:trHeight w:val="419" w:hRule="atLeast"/>
          <w:jc w:val="center"/>
        </w:trPr>
        <w:tc>
          <w:tcPr>
            <w:tcW w:w="12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136D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color w:val="auto"/>
                <w:lang w:eastAsia="zh-CN"/>
              </w:rPr>
            </w:pPr>
            <w:r>
              <w:rPr>
                <w:rFonts w:hint="eastAsia"/>
                <w:color w:val="auto"/>
                <w:lang w:eastAsia="zh-CN"/>
              </w:rPr>
              <w:t>企业纳税</w:t>
            </w:r>
          </w:p>
          <w:p w14:paraId="752032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rPr>
            </w:pPr>
            <w:r>
              <w:rPr>
                <w:rFonts w:hint="eastAsia"/>
                <w:color w:val="auto"/>
              </w:rPr>
              <w:t>（</w:t>
            </w:r>
            <w:r>
              <w:rPr>
                <w:rFonts w:hint="eastAsia"/>
                <w:color w:val="auto"/>
                <w:lang w:val="en-US" w:eastAsia="zh-CN"/>
              </w:rPr>
              <w:t>3</w:t>
            </w:r>
            <w:r>
              <w:rPr>
                <w:rFonts w:hint="eastAsia"/>
                <w:color w:val="auto"/>
              </w:rPr>
              <w:t>分）</w:t>
            </w:r>
          </w:p>
        </w:tc>
        <w:tc>
          <w:tcPr>
            <w:tcW w:w="47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4B23AF">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rPr>
            </w:pPr>
            <w:r>
              <w:rPr>
                <w:rFonts w:hint="eastAsia" w:ascii="宋体" w:hAnsi="宋体" w:eastAsia="宋体" w:cs="宋体"/>
                <w:b w:val="0"/>
                <w:bCs w:val="0"/>
                <w:caps w:val="0"/>
                <w:smallCaps w:val="0"/>
                <w:snapToGrid w:val="0"/>
                <w:color w:val="auto"/>
                <w:spacing w:val="0"/>
                <w:kern w:val="0"/>
                <w:sz w:val="24"/>
                <w:szCs w:val="24"/>
                <w:highlight w:val="none"/>
                <w:u w:val="none"/>
                <w:lang w:val="en-US" w:eastAsia="zh-CN"/>
              </w:rPr>
              <w:t>企业连续3年或3年以上获得纳税信用A级纳税人的得3分。(其中必须有2023年度</w:t>
            </w:r>
            <w:r>
              <w:rPr>
                <w:rFonts w:hint="eastAsia" w:hAnsi="宋体" w:cs="宋体"/>
                <w:b w:val="0"/>
                <w:bCs w:val="0"/>
                <w:caps w:val="0"/>
                <w:smallCaps w:val="0"/>
                <w:snapToGrid w:val="0"/>
                <w:color w:val="auto"/>
                <w:spacing w:val="0"/>
                <w:kern w:val="0"/>
                <w:sz w:val="24"/>
                <w:szCs w:val="24"/>
                <w:highlight w:val="none"/>
                <w:u w:val="none"/>
                <w:lang w:val="en-US" w:eastAsia="zh-CN"/>
              </w:rPr>
              <w:t>）</w:t>
            </w:r>
          </w:p>
        </w:tc>
        <w:tc>
          <w:tcPr>
            <w:tcW w:w="35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937C06">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rPr>
            </w:pPr>
            <w:r>
              <w:rPr>
                <w:color w:val="auto"/>
              </w:rPr>
              <w:t>1.提供企业纳税信用A级纳税人相应证明文件彩色扫描件及国家税务总局(或省级电子 税务局)网上查询截图，否则不得分。</w:t>
            </w:r>
          </w:p>
          <w:p w14:paraId="1F9D9625">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rPr>
            </w:pPr>
            <w:r>
              <w:rPr>
                <w:color w:val="auto"/>
              </w:rPr>
              <w:t>2.只计算投标人自身(不计算投标人的分公司、子公司及分支机构)</w:t>
            </w:r>
          </w:p>
        </w:tc>
      </w:tr>
      <w:tr w14:paraId="413A1F20">
        <w:tblPrEx>
          <w:tblCellMar>
            <w:top w:w="0" w:type="dxa"/>
            <w:left w:w="10" w:type="dxa"/>
            <w:bottom w:w="0" w:type="dxa"/>
            <w:right w:w="10" w:type="dxa"/>
          </w:tblCellMar>
        </w:tblPrEx>
        <w:trPr>
          <w:trHeight w:val="519" w:hRule="exact"/>
          <w:jc w:val="center"/>
        </w:trPr>
        <w:tc>
          <w:tcPr>
            <w:tcW w:w="9553" w:type="dxa"/>
            <w:gridSpan w:val="3"/>
            <w:tcBorders>
              <w:top w:val="single" w:color="000000" w:sz="4" w:space="0"/>
              <w:left w:val="single" w:color="000000" w:sz="4" w:space="0"/>
              <w:bottom w:val="single" w:color="auto" w:sz="4" w:space="0"/>
              <w:right w:val="single" w:color="000000" w:sz="4" w:space="0"/>
            </w:tcBorders>
            <w:shd w:val="clear" w:color="000000" w:fill="D9D9D9"/>
            <w:tcMar>
              <w:top w:w="0" w:type="dxa"/>
              <w:left w:w="108" w:type="dxa"/>
              <w:bottom w:w="0" w:type="dxa"/>
              <w:right w:w="108" w:type="dxa"/>
            </w:tcMar>
            <w:vAlign w:val="center"/>
          </w:tcPr>
          <w:p w14:paraId="362294B6">
            <w:pPr>
              <w:spacing w:line="240" w:lineRule="auto"/>
              <w:jc w:val="left"/>
              <w:rPr>
                <w:rFonts w:hAnsi="宋体" w:cs="宋体"/>
                <w:b/>
                <w:bCs/>
                <w:color w:val="auto"/>
                <w:szCs w:val="24"/>
              </w:rPr>
            </w:pPr>
            <w:r>
              <w:rPr>
                <w:rFonts w:hint="eastAsia" w:hAnsi="宋体" w:cs="宋体"/>
                <w:b/>
                <w:bCs/>
                <w:color w:val="auto"/>
                <w:szCs w:val="24"/>
              </w:rPr>
              <w:t>技术部分（监理大纲），满分：</w:t>
            </w:r>
            <w:r>
              <w:rPr>
                <w:rFonts w:hint="eastAsia" w:hAnsi="宋体" w:cs="宋体"/>
                <w:b/>
                <w:bCs/>
                <w:color w:val="auto"/>
                <w:szCs w:val="24"/>
                <w:u w:val="single"/>
              </w:rPr>
              <w:t xml:space="preserve"> 30 </w:t>
            </w:r>
            <w:r>
              <w:rPr>
                <w:rFonts w:hint="eastAsia" w:hAnsi="宋体" w:cs="宋体"/>
                <w:b/>
                <w:bCs/>
                <w:color w:val="auto"/>
                <w:szCs w:val="24"/>
              </w:rPr>
              <w:t>分。</w:t>
            </w:r>
          </w:p>
        </w:tc>
      </w:tr>
      <w:tr w14:paraId="73FD91A8">
        <w:tblPrEx>
          <w:tblCellMar>
            <w:top w:w="0" w:type="dxa"/>
            <w:left w:w="10" w:type="dxa"/>
            <w:bottom w:w="0" w:type="dxa"/>
            <w:right w:w="10" w:type="dxa"/>
          </w:tblCellMar>
        </w:tblPrEx>
        <w:trPr>
          <w:trHeight w:val="487" w:hRule="exact"/>
          <w:jc w:val="center"/>
        </w:trPr>
        <w:tc>
          <w:tcPr>
            <w:tcW w:w="12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63D36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Ansi="宋体" w:cs="宋体"/>
                <w:b/>
                <w:bCs/>
                <w:color w:val="auto"/>
                <w:szCs w:val="24"/>
              </w:rPr>
            </w:pPr>
            <w:r>
              <w:rPr>
                <w:rFonts w:hint="eastAsia" w:hAnsi="宋体" w:cs="宋体"/>
                <w:b/>
                <w:bCs/>
                <w:color w:val="auto"/>
                <w:szCs w:val="24"/>
              </w:rPr>
              <w:t>评分因素</w:t>
            </w:r>
          </w:p>
        </w:tc>
        <w:tc>
          <w:tcPr>
            <w:tcW w:w="47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5E379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Ansi="宋体" w:cs="宋体"/>
                <w:b/>
                <w:bCs/>
                <w:color w:val="auto"/>
                <w:szCs w:val="24"/>
              </w:rPr>
            </w:pPr>
            <w:r>
              <w:rPr>
                <w:rFonts w:hint="eastAsia" w:hAnsi="宋体" w:cs="宋体"/>
                <w:b/>
                <w:bCs/>
                <w:color w:val="auto"/>
                <w:szCs w:val="24"/>
              </w:rPr>
              <w:t>评分标准</w:t>
            </w:r>
          </w:p>
        </w:tc>
        <w:tc>
          <w:tcPr>
            <w:tcW w:w="35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4993B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Ansi="宋体" w:cs="宋体"/>
                <w:b/>
                <w:bCs/>
                <w:color w:val="auto"/>
                <w:szCs w:val="24"/>
              </w:rPr>
            </w:pPr>
            <w:r>
              <w:rPr>
                <w:rFonts w:hint="eastAsia" w:hAnsi="宋体" w:cs="宋体"/>
                <w:b/>
                <w:bCs/>
                <w:color w:val="auto"/>
                <w:szCs w:val="24"/>
              </w:rPr>
              <w:t>备注</w:t>
            </w:r>
          </w:p>
        </w:tc>
      </w:tr>
      <w:tr w14:paraId="314FFFA4">
        <w:tblPrEx>
          <w:tblCellMar>
            <w:top w:w="0" w:type="dxa"/>
            <w:left w:w="10" w:type="dxa"/>
            <w:bottom w:w="0" w:type="dxa"/>
            <w:right w:w="10" w:type="dxa"/>
          </w:tblCellMar>
        </w:tblPrEx>
        <w:trPr>
          <w:trHeight w:val="90" w:hRule="atLeast"/>
          <w:jc w:val="center"/>
        </w:trPr>
        <w:tc>
          <w:tcPr>
            <w:tcW w:w="12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80490CD">
            <w:pPr>
              <w:pStyle w:val="2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监理依据及工作目标</w:t>
            </w:r>
          </w:p>
          <w:p w14:paraId="19759B70">
            <w:pPr>
              <w:pStyle w:val="7"/>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Ansi="宋体" w:cs="宋体"/>
                <w:color w:val="auto"/>
                <w:szCs w:val="24"/>
              </w:rPr>
            </w:pPr>
            <w:r>
              <w:rPr>
                <w:rFonts w:hint="eastAsia" w:hAnsi="宋体" w:cs="宋体"/>
                <w:snapToGrid w:val="0"/>
                <w:color w:val="auto"/>
                <w:kern w:val="0"/>
                <w:szCs w:val="24"/>
              </w:rPr>
              <w:t>（</w:t>
            </w:r>
            <w:r>
              <w:rPr>
                <w:rFonts w:hint="eastAsia" w:hAnsi="宋体" w:cs="宋体"/>
                <w:snapToGrid w:val="0"/>
                <w:color w:val="auto"/>
                <w:kern w:val="0"/>
                <w:szCs w:val="24"/>
                <w:u w:val="single"/>
              </w:rPr>
              <w:t>3</w:t>
            </w:r>
            <w:r>
              <w:rPr>
                <w:rFonts w:hint="eastAsia" w:hAnsi="宋体" w:cs="宋体"/>
                <w:snapToGrid w:val="0"/>
                <w:color w:val="auto"/>
                <w:kern w:val="0"/>
                <w:szCs w:val="24"/>
              </w:rPr>
              <w:t>分）</w:t>
            </w:r>
          </w:p>
        </w:tc>
        <w:tc>
          <w:tcPr>
            <w:tcW w:w="47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94E81BD">
            <w:pPr>
              <w:pStyle w:val="26"/>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【优】得该项因素分的</w:t>
            </w:r>
            <w:r>
              <w:rPr>
                <w:rFonts w:hint="eastAsia" w:ascii="宋体" w:hAnsi="宋体" w:eastAsia="宋体" w:cs="宋体"/>
                <w:snapToGrid w:val="0"/>
                <w:color w:val="auto"/>
                <w:kern w:val="0"/>
                <w:sz w:val="24"/>
                <w:szCs w:val="24"/>
                <w:lang w:val="en-US" w:eastAsia="zh-CN"/>
              </w:rPr>
              <w:t>90</w:t>
            </w:r>
            <w:r>
              <w:rPr>
                <w:rFonts w:hint="eastAsia" w:ascii="宋体" w:hAnsi="宋体" w:eastAsia="宋体" w:cs="宋体"/>
                <w:snapToGrid w:val="0"/>
                <w:color w:val="auto"/>
                <w:kern w:val="0"/>
                <w:sz w:val="24"/>
                <w:szCs w:val="24"/>
              </w:rPr>
              <w:t>%～100%（含</w:t>
            </w:r>
            <w:r>
              <w:rPr>
                <w:rFonts w:hint="eastAsia" w:ascii="宋体" w:hAnsi="宋体" w:eastAsia="宋体" w:cs="宋体"/>
                <w:snapToGrid w:val="0"/>
                <w:color w:val="auto"/>
                <w:kern w:val="0"/>
                <w:sz w:val="24"/>
                <w:szCs w:val="24"/>
                <w:lang w:val="en-US" w:eastAsia="zh-CN"/>
              </w:rPr>
              <w:t>90</w:t>
            </w:r>
            <w:r>
              <w:rPr>
                <w:rFonts w:hint="eastAsia" w:ascii="宋体" w:hAnsi="宋体" w:eastAsia="宋体" w:cs="宋体"/>
                <w:snapToGrid w:val="0"/>
                <w:color w:val="auto"/>
                <w:kern w:val="0"/>
                <w:sz w:val="24"/>
                <w:szCs w:val="24"/>
              </w:rPr>
              <w:t>%）；</w:t>
            </w:r>
          </w:p>
          <w:p w14:paraId="739B9C53">
            <w:pPr>
              <w:pStyle w:val="26"/>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【良】得该项因素分的</w:t>
            </w:r>
            <w:r>
              <w:rPr>
                <w:rFonts w:hint="eastAsia" w:ascii="宋体" w:hAnsi="宋体" w:eastAsia="宋体" w:cs="宋体"/>
                <w:snapToGrid w:val="0"/>
                <w:color w:val="auto"/>
                <w:kern w:val="0"/>
                <w:sz w:val="24"/>
                <w:szCs w:val="24"/>
                <w:lang w:val="en-US" w:eastAsia="zh-CN"/>
              </w:rPr>
              <w:t>80</w:t>
            </w:r>
            <w:r>
              <w:rPr>
                <w:rFonts w:hint="eastAsia" w:ascii="宋体" w:hAnsi="宋体" w:eastAsia="宋体" w:cs="宋体"/>
                <w:snapToGrid w:val="0"/>
                <w:color w:val="auto"/>
                <w:kern w:val="0"/>
                <w:sz w:val="24"/>
                <w:szCs w:val="24"/>
              </w:rPr>
              <w:t>%～</w:t>
            </w:r>
            <w:r>
              <w:rPr>
                <w:rFonts w:hint="eastAsia" w:ascii="宋体" w:hAnsi="宋体" w:eastAsia="宋体" w:cs="宋体"/>
                <w:snapToGrid w:val="0"/>
                <w:color w:val="auto"/>
                <w:kern w:val="0"/>
                <w:sz w:val="24"/>
                <w:szCs w:val="24"/>
                <w:lang w:val="en-US" w:eastAsia="zh-CN"/>
              </w:rPr>
              <w:t>90</w:t>
            </w:r>
            <w:r>
              <w:rPr>
                <w:rFonts w:hint="eastAsia" w:ascii="宋体" w:hAnsi="宋体" w:eastAsia="宋体" w:cs="宋体"/>
                <w:snapToGrid w:val="0"/>
                <w:color w:val="auto"/>
                <w:kern w:val="0"/>
                <w:sz w:val="24"/>
                <w:szCs w:val="24"/>
              </w:rPr>
              <w:t>%（含</w:t>
            </w:r>
            <w:r>
              <w:rPr>
                <w:rFonts w:hint="eastAsia" w:ascii="宋体" w:hAnsi="宋体" w:eastAsia="宋体" w:cs="宋体"/>
                <w:snapToGrid w:val="0"/>
                <w:color w:val="auto"/>
                <w:kern w:val="0"/>
                <w:sz w:val="24"/>
                <w:szCs w:val="24"/>
                <w:lang w:val="en-US" w:eastAsia="zh-CN"/>
              </w:rPr>
              <w:t>80</w:t>
            </w:r>
            <w:r>
              <w:rPr>
                <w:rFonts w:hint="eastAsia" w:ascii="宋体" w:hAnsi="宋体" w:eastAsia="宋体" w:cs="宋体"/>
                <w:snapToGrid w:val="0"/>
                <w:color w:val="auto"/>
                <w:kern w:val="0"/>
                <w:sz w:val="24"/>
                <w:szCs w:val="24"/>
              </w:rPr>
              <w:t>%）；</w:t>
            </w:r>
          </w:p>
          <w:p w14:paraId="3E21D320">
            <w:pPr>
              <w:pStyle w:val="26"/>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【中】得该项因素分的</w:t>
            </w:r>
            <w:r>
              <w:rPr>
                <w:rFonts w:hint="eastAsia" w:ascii="宋体" w:hAnsi="宋体" w:eastAsia="宋体" w:cs="宋体"/>
                <w:snapToGrid w:val="0"/>
                <w:color w:val="auto"/>
                <w:kern w:val="0"/>
                <w:sz w:val="24"/>
                <w:szCs w:val="24"/>
                <w:lang w:val="en-US" w:eastAsia="zh-CN"/>
              </w:rPr>
              <w:t>70</w:t>
            </w:r>
            <w:r>
              <w:rPr>
                <w:rFonts w:hint="eastAsia" w:ascii="宋体" w:hAnsi="宋体" w:eastAsia="宋体" w:cs="宋体"/>
                <w:snapToGrid w:val="0"/>
                <w:color w:val="auto"/>
                <w:kern w:val="0"/>
                <w:sz w:val="24"/>
                <w:szCs w:val="24"/>
              </w:rPr>
              <w:t>%～</w:t>
            </w:r>
            <w:r>
              <w:rPr>
                <w:rFonts w:hint="eastAsia" w:ascii="宋体" w:hAnsi="宋体" w:eastAsia="宋体" w:cs="宋体"/>
                <w:snapToGrid w:val="0"/>
                <w:color w:val="auto"/>
                <w:kern w:val="0"/>
                <w:sz w:val="24"/>
                <w:szCs w:val="24"/>
                <w:lang w:val="en-US" w:eastAsia="zh-CN"/>
              </w:rPr>
              <w:t>80</w:t>
            </w:r>
            <w:r>
              <w:rPr>
                <w:rFonts w:hint="eastAsia" w:ascii="宋体" w:hAnsi="宋体" w:eastAsia="宋体" w:cs="宋体"/>
                <w:snapToGrid w:val="0"/>
                <w:color w:val="auto"/>
                <w:kern w:val="0"/>
                <w:sz w:val="24"/>
                <w:szCs w:val="24"/>
              </w:rPr>
              <w:t>%（含</w:t>
            </w:r>
            <w:r>
              <w:rPr>
                <w:rFonts w:hint="eastAsia" w:ascii="宋体" w:hAnsi="宋体" w:eastAsia="宋体" w:cs="宋体"/>
                <w:snapToGrid w:val="0"/>
                <w:color w:val="auto"/>
                <w:kern w:val="0"/>
                <w:sz w:val="24"/>
                <w:szCs w:val="24"/>
                <w:lang w:val="en-US" w:eastAsia="zh-CN"/>
              </w:rPr>
              <w:t>70</w:t>
            </w:r>
            <w:r>
              <w:rPr>
                <w:rFonts w:hint="eastAsia" w:ascii="宋体" w:hAnsi="宋体" w:eastAsia="宋体" w:cs="宋体"/>
                <w:snapToGrid w:val="0"/>
                <w:color w:val="auto"/>
                <w:kern w:val="0"/>
                <w:sz w:val="24"/>
                <w:szCs w:val="24"/>
              </w:rPr>
              <w:t>%）；</w:t>
            </w:r>
          </w:p>
          <w:p w14:paraId="756D704B">
            <w:pPr>
              <w:pStyle w:val="7"/>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Ansi="宋体" w:cs="宋体"/>
                <w:color w:val="auto"/>
                <w:szCs w:val="24"/>
              </w:rPr>
            </w:pPr>
            <w:r>
              <w:rPr>
                <w:rFonts w:hint="eastAsia" w:hAnsi="宋体" w:cs="宋体"/>
                <w:snapToGrid w:val="0"/>
                <w:color w:val="auto"/>
                <w:kern w:val="0"/>
                <w:szCs w:val="24"/>
              </w:rPr>
              <w:t>【差】得该项因素分的</w:t>
            </w:r>
            <w:r>
              <w:rPr>
                <w:rFonts w:hint="eastAsia" w:hAnsi="宋体" w:cs="宋体"/>
                <w:snapToGrid w:val="0"/>
                <w:color w:val="auto"/>
                <w:kern w:val="0"/>
                <w:szCs w:val="24"/>
                <w:lang w:val="en-US" w:eastAsia="zh-CN"/>
              </w:rPr>
              <w:t>60</w:t>
            </w:r>
            <w:r>
              <w:rPr>
                <w:rFonts w:hint="eastAsia" w:ascii="宋体" w:hAnsi="宋体" w:eastAsia="宋体" w:cs="宋体"/>
                <w:snapToGrid w:val="0"/>
                <w:color w:val="auto"/>
                <w:kern w:val="0"/>
                <w:sz w:val="24"/>
                <w:szCs w:val="24"/>
              </w:rPr>
              <w:t>%</w:t>
            </w:r>
            <w:r>
              <w:rPr>
                <w:rFonts w:hint="eastAsia" w:hAnsi="宋体" w:cs="宋体"/>
                <w:snapToGrid w:val="0"/>
                <w:color w:val="auto"/>
                <w:kern w:val="0"/>
                <w:szCs w:val="24"/>
              </w:rPr>
              <w:t>～</w:t>
            </w:r>
            <w:r>
              <w:rPr>
                <w:rFonts w:hint="eastAsia" w:hAnsi="宋体" w:cs="宋体"/>
                <w:snapToGrid w:val="0"/>
                <w:color w:val="auto"/>
                <w:kern w:val="0"/>
                <w:szCs w:val="24"/>
                <w:lang w:val="en-US" w:eastAsia="zh-CN"/>
              </w:rPr>
              <w:t>7</w:t>
            </w:r>
            <w:r>
              <w:rPr>
                <w:rFonts w:hint="eastAsia" w:hAnsi="宋体" w:cs="宋体"/>
                <w:snapToGrid w:val="0"/>
                <w:color w:val="auto"/>
                <w:kern w:val="0"/>
                <w:szCs w:val="24"/>
              </w:rPr>
              <w:t>0%（含</w:t>
            </w:r>
            <w:r>
              <w:rPr>
                <w:rFonts w:hint="eastAsia" w:hAnsi="宋体" w:cs="宋体"/>
                <w:snapToGrid w:val="0"/>
                <w:color w:val="auto"/>
                <w:kern w:val="0"/>
                <w:szCs w:val="24"/>
                <w:lang w:val="en-US" w:eastAsia="zh-CN"/>
              </w:rPr>
              <w:t>60</w:t>
            </w:r>
            <w:r>
              <w:rPr>
                <w:rFonts w:hint="eastAsia" w:ascii="宋体" w:hAnsi="宋体" w:eastAsia="宋体" w:cs="宋体"/>
                <w:snapToGrid w:val="0"/>
                <w:color w:val="auto"/>
                <w:kern w:val="0"/>
                <w:sz w:val="24"/>
                <w:szCs w:val="24"/>
              </w:rPr>
              <w:t>%</w:t>
            </w:r>
            <w:r>
              <w:rPr>
                <w:rFonts w:hint="eastAsia" w:hAnsi="宋体" w:cs="宋体"/>
                <w:snapToGrid w:val="0"/>
                <w:color w:val="auto"/>
                <w:kern w:val="0"/>
                <w:szCs w:val="24"/>
              </w:rPr>
              <w:t>）。</w:t>
            </w:r>
          </w:p>
        </w:tc>
        <w:tc>
          <w:tcPr>
            <w:tcW w:w="35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6489297">
            <w:pPr>
              <w:pStyle w:val="26"/>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color w:val="auto"/>
                <w:sz w:val="24"/>
                <w:szCs w:val="24"/>
              </w:rPr>
            </w:pPr>
            <w:r>
              <w:rPr>
                <w:rFonts w:hint="eastAsia" w:ascii="宋体" w:hAnsi="宋体" w:eastAsia="宋体" w:cs="宋体"/>
                <w:snapToGrid w:val="0"/>
                <w:color w:val="auto"/>
                <w:kern w:val="0"/>
                <w:sz w:val="24"/>
                <w:szCs w:val="24"/>
              </w:rPr>
              <w:t>要求依据全面、适用；目标清晰、正确；针对性强。</w:t>
            </w:r>
          </w:p>
        </w:tc>
      </w:tr>
      <w:tr w14:paraId="49AD6DEF">
        <w:tblPrEx>
          <w:tblCellMar>
            <w:top w:w="0" w:type="dxa"/>
            <w:left w:w="10" w:type="dxa"/>
            <w:bottom w:w="0" w:type="dxa"/>
            <w:right w:w="10" w:type="dxa"/>
          </w:tblCellMar>
        </w:tblPrEx>
        <w:trPr>
          <w:trHeight w:val="90" w:hRule="atLeast"/>
          <w:jc w:val="center"/>
        </w:trPr>
        <w:tc>
          <w:tcPr>
            <w:tcW w:w="12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35A18BD">
            <w:pPr>
              <w:pStyle w:val="2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工程质量</w:t>
            </w:r>
          </w:p>
          <w:p w14:paraId="262B80B3">
            <w:pPr>
              <w:pStyle w:val="2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监理措施</w:t>
            </w:r>
          </w:p>
          <w:p w14:paraId="7B25C832">
            <w:pPr>
              <w:pStyle w:val="2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color w:val="auto"/>
                <w:sz w:val="24"/>
                <w:szCs w:val="24"/>
              </w:rPr>
            </w:pPr>
            <w:r>
              <w:rPr>
                <w:rFonts w:hint="eastAsia" w:ascii="宋体" w:hAnsi="宋体" w:eastAsia="宋体" w:cs="宋体"/>
                <w:snapToGrid w:val="0"/>
                <w:color w:val="auto"/>
                <w:kern w:val="0"/>
                <w:sz w:val="24"/>
                <w:szCs w:val="24"/>
              </w:rPr>
              <w:t>（</w:t>
            </w:r>
            <w:r>
              <w:rPr>
                <w:rFonts w:hint="eastAsia" w:ascii="宋体" w:hAnsi="宋体" w:eastAsia="宋体" w:cs="宋体"/>
                <w:snapToGrid w:val="0"/>
                <w:color w:val="auto"/>
                <w:kern w:val="0"/>
                <w:sz w:val="24"/>
                <w:szCs w:val="24"/>
                <w:u w:val="single"/>
              </w:rPr>
              <w:t>3</w:t>
            </w:r>
            <w:r>
              <w:rPr>
                <w:rFonts w:hint="eastAsia" w:ascii="宋体" w:hAnsi="宋体" w:eastAsia="宋体" w:cs="宋体"/>
                <w:snapToGrid w:val="0"/>
                <w:color w:val="auto"/>
                <w:kern w:val="0"/>
                <w:sz w:val="24"/>
                <w:szCs w:val="24"/>
              </w:rPr>
              <w:t>分）</w:t>
            </w:r>
          </w:p>
        </w:tc>
        <w:tc>
          <w:tcPr>
            <w:tcW w:w="47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AE68D70">
            <w:pPr>
              <w:pStyle w:val="26"/>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【优】得该项因素分的</w:t>
            </w:r>
            <w:r>
              <w:rPr>
                <w:rFonts w:hint="eastAsia" w:ascii="宋体" w:hAnsi="宋体" w:eastAsia="宋体" w:cs="宋体"/>
                <w:snapToGrid w:val="0"/>
                <w:color w:val="auto"/>
                <w:kern w:val="0"/>
                <w:sz w:val="24"/>
                <w:szCs w:val="24"/>
                <w:lang w:val="en-US" w:eastAsia="zh-CN"/>
              </w:rPr>
              <w:t>90</w:t>
            </w:r>
            <w:r>
              <w:rPr>
                <w:rFonts w:hint="eastAsia" w:ascii="宋体" w:hAnsi="宋体" w:eastAsia="宋体" w:cs="宋体"/>
                <w:snapToGrid w:val="0"/>
                <w:color w:val="auto"/>
                <w:kern w:val="0"/>
                <w:sz w:val="24"/>
                <w:szCs w:val="24"/>
              </w:rPr>
              <w:t>%～100%（含</w:t>
            </w:r>
            <w:r>
              <w:rPr>
                <w:rFonts w:hint="eastAsia" w:ascii="宋体" w:hAnsi="宋体" w:eastAsia="宋体" w:cs="宋体"/>
                <w:snapToGrid w:val="0"/>
                <w:color w:val="auto"/>
                <w:kern w:val="0"/>
                <w:sz w:val="24"/>
                <w:szCs w:val="24"/>
                <w:lang w:val="en-US" w:eastAsia="zh-CN"/>
              </w:rPr>
              <w:t>90</w:t>
            </w:r>
            <w:r>
              <w:rPr>
                <w:rFonts w:hint="eastAsia" w:ascii="宋体" w:hAnsi="宋体" w:eastAsia="宋体" w:cs="宋体"/>
                <w:snapToGrid w:val="0"/>
                <w:color w:val="auto"/>
                <w:kern w:val="0"/>
                <w:sz w:val="24"/>
                <w:szCs w:val="24"/>
              </w:rPr>
              <w:t>%）；</w:t>
            </w:r>
          </w:p>
          <w:p w14:paraId="3CA18FE0">
            <w:pPr>
              <w:pStyle w:val="26"/>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【良】得该项因素分的</w:t>
            </w:r>
            <w:r>
              <w:rPr>
                <w:rFonts w:hint="eastAsia" w:ascii="宋体" w:hAnsi="宋体" w:eastAsia="宋体" w:cs="宋体"/>
                <w:snapToGrid w:val="0"/>
                <w:color w:val="auto"/>
                <w:kern w:val="0"/>
                <w:sz w:val="24"/>
                <w:szCs w:val="24"/>
                <w:lang w:val="en-US" w:eastAsia="zh-CN"/>
              </w:rPr>
              <w:t>80</w:t>
            </w:r>
            <w:r>
              <w:rPr>
                <w:rFonts w:hint="eastAsia" w:ascii="宋体" w:hAnsi="宋体" w:eastAsia="宋体" w:cs="宋体"/>
                <w:snapToGrid w:val="0"/>
                <w:color w:val="auto"/>
                <w:kern w:val="0"/>
                <w:sz w:val="24"/>
                <w:szCs w:val="24"/>
              </w:rPr>
              <w:t>%～</w:t>
            </w:r>
            <w:r>
              <w:rPr>
                <w:rFonts w:hint="eastAsia" w:ascii="宋体" w:hAnsi="宋体" w:eastAsia="宋体" w:cs="宋体"/>
                <w:snapToGrid w:val="0"/>
                <w:color w:val="auto"/>
                <w:kern w:val="0"/>
                <w:sz w:val="24"/>
                <w:szCs w:val="24"/>
                <w:lang w:val="en-US" w:eastAsia="zh-CN"/>
              </w:rPr>
              <w:t>90</w:t>
            </w:r>
            <w:r>
              <w:rPr>
                <w:rFonts w:hint="eastAsia" w:ascii="宋体" w:hAnsi="宋体" w:eastAsia="宋体" w:cs="宋体"/>
                <w:snapToGrid w:val="0"/>
                <w:color w:val="auto"/>
                <w:kern w:val="0"/>
                <w:sz w:val="24"/>
                <w:szCs w:val="24"/>
              </w:rPr>
              <w:t>%（含</w:t>
            </w:r>
            <w:r>
              <w:rPr>
                <w:rFonts w:hint="eastAsia" w:ascii="宋体" w:hAnsi="宋体" w:eastAsia="宋体" w:cs="宋体"/>
                <w:snapToGrid w:val="0"/>
                <w:color w:val="auto"/>
                <w:kern w:val="0"/>
                <w:sz w:val="24"/>
                <w:szCs w:val="24"/>
                <w:lang w:val="en-US" w:eastAsia="zh-CN"/>
              </w:rPr>
              <w:t>80</w:t>
            </w:r>
            <w:r>
              <w:rPr>
                <w:rFonts w:hint="eastAsia" w:ascii="宋体" w:hAnsi="宋体" w:eastAsia="宋体" w:cs="宋体"/>
                <w:snapToGrid w:val="0"/>
                <w:color w:val="auto"/>
                <w:kern w:val="0"/>
                <w:sz w:val="24"/>
                <w:szCs w:val="24"/>
              </w:rPr>
              <w:t>%）；</w:t>
            </w:r>
          </w:p>
          <w:p w14:paraId="29A3A827">
            <w:pPr>
              <w:pStyle w:val="26"/>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【中】得该项因素分的</w:t>
            </w:r>
            <w:r>
              <w:rPr>
                <w:rFonts w:hint="eastAsia" w:ascii="宋体" w:hAnsi="宋体" w:eastAsia="宋体" w:cs="宋体"/>
                <w:snapToGrid w:val="0"/>
                <w:color w:val="auto"/>
                <w:kern w:val="0"/>
                <w:sz w:val="24"/>
                <w:szCs w:val="24"/>
                <w:lang w:val="en-US" w:eastAsia="zh-CN"/>
              </w:rPr>
              <w:t>70</w:t>
            </w:r>
            <w:r>
              <w:rPr>
                <w:rFonts w:hint="eastAsia" w:ascii="宋体" w:hAnsi="宋体" w:eastAsia="宋体" w:cs="宋体"/>
                <w:snapToGrid w:val="0"/>
                <w:color w:val="auto"/>
                <w:kern w:val="0"/>
                <w:sz w:val="24"/>
                <w:szCs w:val="24"/>
              </w:rPr>
              <w:t>%～</w:t>
            </w:r>
            <w:r>
              <w:rPr>
                <w:rFonts w:hint="eastAsia" w:ascii="宋体" w:hAnsi="宋体" w:eastAsia="宋体" w:cs="宋体"/>
                <w:snapToGrid w:val="0"/>
                <w:color w:val="auto"/>
                <w:kern w:val="0"/>
                <w:sz w:val="24"/>
                <w:szCs w:val="24"/>
                <w:lang w:val="en-US" w:eastAsia="zh-CN"/>
              </w:rPr>
              <w:t>80</w:t>
            </w:r>
            <w:r>
              <w:rPr>
                <w:rFonts w:hint="eastAsia" w:ascii="宋体" w:hAnsi="宋体" w:eastAsia="宋体" w:cs="宋体"/>
                <w:snapToGrid w:val="0"/>
                <w:color w:val="auto"/>
                <w:kern w:val="0"/>
                <w:sz w:val="24"/>
                <w:szCs w:val="24"/>
              </w:rPr>
              <w:t>%（含</w:t>
            </w:r>
            <w:r>
              <w:rPr>
                <w:rFonts w:hint="eastAsia" w:ascii="宋体" w:hAnsi="宋体" w:eastAsia="宋体" w:cs="宋体"/>
                <w:snapToGrid w:val="0"/>
                <w:color w:val="auto"/>
                <w:kern w:val="0"/>
                <w:sz w:val="24"/>
                <w:szCs w:val="24"/>
                <w:lang w:val="en-US" w:eastAsia="zh-CN"/>
              </w:rPr>
              <w:t>70</w:t>
            </w:r>
            <w:r>
              <w:rPr>
                <w:rFonts w:hint="eastAsia" w:ascii="宋体" w:hAnsi="宋体" w:eastAsia="宋体" w:cs="宋体"/>
                <w:snapToGrid w:val="0"/>
                <w:color w:val="auto"/>
                <w:kern w:val="0"/>
                <w:sz w:val="24"/>
                <w:szCs w:val="24"/>
              </w:rPr>
              <w:t>%）；</w:t>
            </w:r>
          </w:p>
          <w:p w14:paraId="03214735">
            <w:pPr>
              <w:pStyle w:val="7"/>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ascii="宋体" w:hAnsi="宋体" w:eastAsia="宋体" w:cs="宋体"/>
                <w:color w:val="auto"/>
                <w:sz w:val="24"/>
                <w:szCs w:val="24"/>
              </w:rPr>
            </w:pPr>
            <w:r>
              <w:rPr>
                <w:rFonts w:hint="eastAsia" w:hAnsi="宋体" w:cs="宋体"/>
                <w:snapToGrid w:val="0"/>
                <w:color w:val="auto"/>
                <w:kern w:val="0"/>
                <w:szCs w:val="24"/>
              </w:rPr>
              <w:t>【差】得该项因素分的</w:t>
            </w:r>
            <w:r>
              <w:rPr>
                <w:rFonts w:hint="eastAsia" w:hAnsi="宋体" w:cs="宋体"/>
                <w:snapToGrid w:val="0"/>
                <w:color w:val="auto"/>
                <w:kern w:val="0"/>
                <w:szCs w:val="24"/>
                <w:lang w:val="en-US" w:eastAsia="zh-CN"/>
              </w:rPr>
              <w:t>60</w:t>
            </w:r>
            <w:r>
              <w:rPr>
                <w:rFonts w:hint="eastAsia" w:ascii="宋体" w:hAnsi="宋体" w:eastAsia="宋体" w:cs="宋体"/>
                <w:snapToGrid w:val="0"/>
                <w:color w:val="auto"/>
                <w:kern w:val="0"/>
                <w:sz w:val="24"/>
                <w:szCs w:val="24"/>
              </w:rPr>
              <w:t>%</w:t>
            </w:r>
            <w:r>
              <w:rPr>
                <w:rFonts w:hint="eastAsia" w:hAnsi="宋体" w:cs="宋体"/>
                <w:snapToGrid w:val="0"/>
                <w:color w:val="auto"/>
                <w:kern w:val="0"/>
                <w:szCs w:val="24"/>
              </w:rPr>
              <w:t>～</w:t>
            </w:r>
            <w:r>
              <w:rPr>
                <w:rFonts w:hint="eastAsia" w:hAnsi="宋体" w:cs="宋体"/>
                <w:snapToGrid w:val="0"/>
                <w:color w:val="auto"/>
                <w:kern w:val="0"/>
                <w:szCs w:val="24"/>
                <w:lang w:val="en-US" w:eastAsia="zh-CN"/>
              </w:rPr>
              <w:t>7</w:t>
            </w:r>
            <w:r>
              <w:rPr>
                <w:rFonts w:hint="eastAsia" w:hAnsi="宋体" w:cs="宋体"/>
                <w:snapToGrid w:val="0"/>
                <w:color w:val="auto"/>
                <w:kern w:val="0"/>
                <w:szCs w:val="24"/>
              </w:rPr>
              <w:t>0%（含</w:t>
            </w:r>
            <w:r>
              <w:rPr>
                <w:rFonts w:hint="eastAsia" w:hAnsi="宋体" w:cs="宋体"/>
                <w:snapToGrid w:val="0"/>
                <w:color w:val="auto"/>
                <w:kern w:val="0"/>
                <w:szCs w:val="24"/>
                <w:lang w:val="en-US" w:eastAsia="zh-CN"/>
              </w:rPr>
              <w:t>60</w:t>
            </w:r>
            <w:r>
              <w:rPr>
                <w:rFonts w:hint="eastAsia" w:ascii="宋体" w:hAnsi="宋体" w:eastAsia="宋体" w:cs="宋体"/>
                <w:snapToGrid w:val="0"/>
                <w:color w:val="auto"/>
                <w:kern w:val="0"/>
                <w:sz w:val="24"/>
                <w:szCs w:val="24"/>
              </w:rPr>
              <w:t>%</w:t>
            </w:r>
            <w:r>
              <w:rPr>
                <w:rFonts w:hint="eastAsia" w:hAnsi="宋体" w:cs="宋体"/>
                <w:snapToGrid w:val="0"/>
                <w:color w:val="auto"/>
                <w:kern w:val="0"/>
                <w:szCs w:val="24"/>
              </w:rPr>
              <w:t>）。</w:t>
            </w:r>
          </w:p>
        </w:tc>
        <w:tc>
          <w:tcPr>
            <w:tcW w:w="3535"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C86AFC8">
            <w:pPr>
              <w:pStyle w:val="26"/>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color w:val="auto"/>
                <w:sz w:val="24"/>
                <w:szCs w:val="24"/>
              </w:rPr>
            </w:pPr>
            <w:r>
              <w:rPr>
                <w:rFonts w:hint="eastAsia" w:ascii="宋体" w:hAnsi="宋体" w:eastAsia="宋体" w:cs="宋体"/>
                <w:snapToGrid w:val="0"/>
                <w:color w:val="auto"/>
                <w:kern w:val="0"/>
                <w:sz w:val="24"/>
                <w:szCs w:val="24"/>
              </w:rPr>
              <w:t>要求目标正确、方法可行、预控和动态管理措施具体、针对性强。脱离本工程实际、机械照搬照抄规范和技术标准的，不能得满分。</w:t>
            </w:r>
          </w:p>
        </w:tc>
      </w:tr>
      <w:tr w14:paraId="6A3C767B">
        <w:tblPrEx>
          <w:tblCellMar>
            <w:top w:w="0" w:type="dxa"/>
            <w:left w:w="10" w:type="dxa"/>
            <w:bottom w:w="0" w:type="dxa"/>
            <w:right w:w="10" w:type="dxa"/>
          </w:tblCellMar>
        </w:tblPrEx>
        <w:trPr>
          <w:trHeight w:val="90" w:hRule="atLeast"/>
          <w:jc w:val="center"/>
        </w:trPr>
        <w:tc>
          <w:tcPr>
            <w:tcW w:w="12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917FCED">
            <w:pPr>
              <w:pStyle w:val="27"/>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工程进度</w:t>
            </w:r>
          </w:p>
          <w:p w14:paraId="13E5D5E1">
            <w:pPr>
              <w:pStyle w:val="27"/>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监理措施</w:t>
            </w:r>
          </w:p>
          <w:p w14:paraId="042A9921">
            <w:pPr>
              <w:pStyle w:val="27"/>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color w:val="auto"/>
                <w:sz w:val="24"/>
                <w:szCs w:val="24"/>
              </w:rPr>
            </w:pPr>
            <w:r>
              <w:rPr>
                <w:rFonts w:hint="eastAsia" w:ascii="宋体" w:hAnsi="宋体" w:eastAsia="宋体" w:cs="宋体"/>
                <w:snapToGrid w:val="0"/>
                <w:color w:val="auto"/>
                <w:kern w:val="0"/>
                <w:sz w:val="24"/>
                <w:szCs w:val="24"/>
              </w:rPr>
              <w:t>（</w:t>
            </w:r>
            <w:r>
              <w:rPr>
                <w:rFonts w:hint="eastAsia" w:ascii="宋体" w:hAnsi="宋体" w:eastAsia="宋体" w:cs="宋体"/>
                <w:snapToGrid w:val="0"/>
                <w:color w:val="auto"/>
                <w:kern w:val="0"/>
                <w:sz w:val="24"/>
                <w:szCs w:val="24"/>
                <w:u w:val="single"/>
              </w:rPr>
              <w:t>3</w:t>
            </w:r>
            <w:r>
              <w:rPr>
                <w:rFonts w:hint="eastAsia" w:ascii="宋体" w:hAnsi="宋体" w:eastAsia="宋体" w:cs="宋体"/>
                <w:snapToGrid w:val="0"/>
                <w:color w:val="auto"/>
                <w:kern w:val="0"/>
                <w:sz w:val="24"/>
                <w:szCs w:val="24"/>
              </w:rPr>
              <w:t>分）</w:t>
            </w:r>
          </w:p>
        </w:tc>
        <w:tc>
          <w:tcPr>
            <w:tcW w:w="47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E199295">
            <w:pPr>
              <w:pStyle w:val="26"/>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【优】得该项因素分的</w:t>
            </w:r>
            <w:r>
              <w:rPr>
                <w:rFonts w:hint="eastAsia" w:ascii="宋体" w:hAnsi="宋体" w:eastAsia="宋体" w:cs="宋体"/>
                <w:snapToGrid w:val="0"/>
                <w:color w:val="auto"/>
                <w:kern w:val="0"/>
                <w:sz w:val="24"/>
                <w:szCs w:val="24"/>
                <w:lang w:val="en-US" w:eastAsia="zh-CN"/>
              </w:rPr>
              <w:t>90</w:t>
            </w:r>
            <w:r>
              <w:rPr>
                <w:rFonts w:hint="eastAsia" w:ascii="宋体" w:hAnsi="宋体" w:eastAsia="宋体" w:cs="宋体"/>
                <w:snapToGrid w:val="0"/>
                <w:color w:val="auto"/>
                <w:kern w:val="0"/>
                <w:sz w:val="24"/>
                <w:szCs w:val="24"/>
              </w:rPr>
              <w:t>%～100%（含</w:t>
            </w:r>
            <w:r>
              <w:rPr>
                <w:rFonts w:hint="eastAsia" w:ascii="宋体" w:hAnsi="宋体" w:eastAsia="宋体" w:cs="宋体"/>
                <w:snapToGrid w:val="0"/>
                <w:color w:val="auto"/>
                <w:kern w:val="0"/>
                <w:sz w:val="24"/>
                <w:szCs w:val="24"/>
                <w:lang w:val="en-US" w:eastAsia="zh-CN"/>
              </w:rPr>
              <w:t>90</w:t>
            </w:r>
            <w:r>
              <w:rPr>
                <w:rFonts w:hint="eastAsia" w:ascii="宋体" w:hAnsi="宋体" w:eastAsia="宋体" w:cs="宋体"/>
                <w:snapToGrid w:val="0"/>
                <w:color w:val="auto"/>
                <w:kern w:val="0"/>
                <w:sz w:val="24"/>
                <w:szCs w:val="24"/>
              </w:rPr>
              <w:t>%）；</w:t>
            </w:r>
          </w:p>
          <w:p w14:paraId="09E42D09">
            <w:pPr>
              <w:pStyle w:val="26"/>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【良】得该项因素分的</w:t>
            </w:r>
            <w:r>
              <w:rPr>
                <w:rFonts w:hint="eastAsia" w:ascii="宋体" w:hAnsi="宋体" w:eastAsia="宋体" w:cs="宋体"/>
                <w:snapToGrid w:val="0"/>
                <w:color w:val="auto"/>
                <w:kern w:val="0"/>
                <w:sz w:val="24"/>
                <w:szCs w:val="24"/>
                <w:lang w:val="en-US" w:eastAsia="zh-CN"/>
              </w:rPr>
              <w:t>80</w:t>
            </w:r>
            <w:r>
              <w:rPr>
                <w:rFonts w:hint="eastAsia" w:ascii="宋体" w:hAnsi="宋体" w:eastAsia="宋体" w:cs="宋体"/>
                <w:snapToGrid w:val="0"/>
                <w:color w:val="auto"/>
                <w:kern w:val="0"/>
                <w:sz w:val="24"/>
                <w:szCs w:val="24"/>
              </w:rPr>
              <w:t>%～</w:t>
            </w:r>
            <w:r>
              <w:rPr>
                <w:rFonts w:hint="eastAsia" w:ascii="宋体" w:hAnsi="宋体" w:eastAsia="宋体" w:cs="宋体"/>
                <w:snapToGrid w:val="0"/>
                <w:color w:val="auto"/>
                <w:kern w:val="0"/>
                <w:sz w:val="24"/>
                <w:szCs w:val="24"/>
                <w:lang w:val="en-US" w:eastAsia="zh-CN"/>
              </w:rPr>
              <w:t>90</w:t>
            </w:r>
            <w:r>
              <w:rPr>
                <w:rFonts w:hint="eastAsia" w:ascii="宋体" w:hAnsi="宋体" w:eastAsia="宋体" w:cs="宋体"/>
                <w:snapToGrid w:val="0"/>
                <w:color w:val="auto"/>
                <w:kern w:val="0"/>
                <w:sz w:val="24"/>
                <w:szCs w:val="24"/>
              </w:rPr>
              <w:t>%（含</w:t>
            </w:r>
            <w:r>
              <w:rPr>
                <w:rFonts w:hint="eastAsia" w:ascii="宋体" w:hAnsi="宋体" w:eastAsia="宋体" w:cs="宋体"/>
                <w:snapToGrid w:val="0"/>
                <w:color w:val="auto"/>
                <w:kern w:val="0"/>
                <w:sz w:val="24"/>
                <w:szCs w:val="24"/>
                <w:lang w:val="en-US" w:eastAsia="zh-CN"/>
              </w:rPr>
              <w:t>80</w:t>
            </w:r>
            <w:r>
              <w:rPr>
                <w:rFonts w:hint="eastAsia" w:ascii="宋体" w:hAnsi="宋体" w:eastAsia="宋体" w:cs="宋体"/>
                <w:snapToGrid w:val="0"/>
                <w:color w:val="auto"/>
                <w:kern w:val="0"/>
                <w:sz w:val="24"/>
                <w:szCs w:val="24"/>
              </w:rPr>
              <w:t>%）；</w:t>
            </w:r>
          </w:p>
          <w:p w14:paraId="1F3D8408">
            <w:pPr>
              <w:pStyle w:val="26"/>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【中】得该项因素分的</w:t>
            </w:r>
            <w:r>
              <w:rPr>
                <w:rFonts w:hint="eastAsia" w:ascii="宋体" w:hAnsi="宋体" w:eastAsia="宋体" w:cs="宋体"/>
                <w:snapToGrid w:val="0"/>
                <w:color w:val="auto"/>
                <w:kern w:val="0"/>
                <w:sz w:val="24"/>
                <w:szCs w:val="24"/>
                <w:lang w:val="en-US" w:eastAsia="zh-CN"/>
              </w:rPr>
              <w:t>70</w:t>
            </w:r>
            <w:r>
              <w:rPr>
                <w:rFonts w:hint="eastAsia" w:ascii="宋体" w:hAnsi="宋体" w:eastAsia="宋体" w:cs="宋体"/>
                <w:snapToGrid w:val="0"/>
                <w:color w:val="auto"/>
                <w:kern w:val="0"/>
                <w:sz w:val="24"/>
                <w:szCs w:val="24"/>
              </w:rPr>
              <w:t>%～</w:t>
            </w:r>
            <w:r>
              <w:rPr>
                <w:rFonts w:hint="eastAsia" w:ascii="宋体" w:hAnsi="宋体" w:eastAsia="宋体" w:cs="宋体"/>
                <w:snapToGrid w:val="0"/>
                <w:color w:val="auto"/>
                <w:kern w:val="0"/>
                <w:sz w:val="24"/>
                <w:szCs w:val="24"/>
                <w:lang w:val="en-US" w:eastAsia="zh-CN"/>
              </w:rPr>
              <w:t>80</w:t>
            </w:r>
            <w:r>
              <w:rPr>
                <w:rFonts w:hint="eastAsia" w:ascii="宋体" w:hAnsi="宋体" w:eastAsia="宋体" w:cs="宋体"/>
                <w:snapToGrid w:val="0"/>
                <w:color w:val="auto"/>
                <w:kern w:val="0"/>
                <w:sz w:val="24"/>
                <w:szCs w:val="24"/>
              </w:rPr>
              <w:t>%（含</w:t>
            </w:r>
            <w:r>
              <w:rPr>
                <w:rFonts w:hint="eastAsia" w:ascii="宋体" w:hAnsi="宋体" w:eastAsia="宋体" w:cs="宋体"/>
                <w:snapToGrid w:val="0"/>
                <w:color w:val="auto"/>
                <w:kern w:val="0"/>
                <w:sz w:val="24"/>
                <w:szCs w:val="24"/>
                <w:lang w:val="en-US" w:eastAsia="zh-CN"/>
              </w:rPr>
              <w:t>70</w:t>
            </w:r>
            <w:r>
              <w:rPr>
                <w:rFonts w:hint="eastAsia" w:ascii="宋体" w:hAnsi="宋体" w:eastAsia="宋体" w:cs="宋体"/>
                <w:snapToGrid w:val="0"/>
                <w:color w:val="auto"/>
                <w:kern w:val="0"/>
                <w:sz w:val="24"/>
                <w:szCs w:val="24"/>
              </w:rPr>
              <w:t>%）；</w:t>
            </w:r>
          </w:p>
          <w:p w14:paraId="59E06331">
            <w:pPr>
              <w:pStyle w:val="7"/>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ascii="宋体" w:hAnsi="宋体" w:eastAsia="宋体" w:cs="宋体"/>
                <w:color w:val="auto"/>
                <w:sz w:val="24"/>
                <w:szCs w:val="24"/>
              </w:rPr>
            </w:pPr>
            <w:r>
              <w:rPr>
                <w:rFonts w:hint="eastAsia" w:hAnsi="宋体" w:cs="宋体"/>
                <w:snapToGrid w:val="0"/>
                <w:color w:val="auto"/>
                <w:kern w:val="0"/>
                <w:szCs w:val="24"/>
              </w:rPr>
              <w:t>【差】得该项因素分的</w:t>
            </w:r>
            <w:r>
              <w:rPr>
                <w:rFonts w:hint="eastAsia" w:hAnsi="宋体" w:cs="宋体"/>
                <w:snapToGrid w:val="0"/>
                <w:color w:val="auto"/>
                <w:kern w:val="0"/>
                <w:szCs w:val="24"/>
                <w:lang w:val="en-US" w:eastAsia="zh-CN"/>
              </w:rPr>
              <w:t>60</w:t>
            </w:r>
            <w:r>
              <w:rPr>
                <w:rFonts w:hint="eastAsia" w:ascii="宋体" w:hAnsi="宋体" w:eastAsia="宋体" w:cs="宋体"/>
                <w:snapToGrid w:val="0"/>
                <w:color w:val="auto"/>
                <w:kern w:val="0"/>
                <w:sz w:val="24"/>
                <w:szCs w:val="24"/>
              </w:rPr>
              <w:t>%</w:t>
            </w:r>
            <w:r>
              <w:rPr>
                <w:rFonts w:hint="eastAsia" w:hAnsi="宋体" w:cs="宋体"/>
                <w:snapToGrid w:val="0"/>
                <w:color w:val="auto"/>
                <w:kern w:val="0"/>
                <w:szCs w:val="24"/>
              </w:rPr>
              <w:t>～</w:t>
            </w:r>
            <w:r>
              <w:rPr>
                <w:rFonts w:hint="eastAsia" w:hAnsi="宋体" w:cs="宋体"/>
                <w:snapToGrid w:val="0"/>
                <w:color w:val="auto"/>
                <w:kern w:val="0"/>
                <w:szCs w:val="24"/>
                <w:lang w:val="en-US" w:eastAsia="zh-CN"/>
              </w:rPr>
              <w:t>7</w:t>
            </w:r>
            <w:r>
              <w:rPr>
                <w:rFonts w:hint="eastAsia" w:hAnsi="宋体" w:cs="宋体"/>
                <w:snapToGrid w:val="0"/>
                <w:color w:val="auto"/>
                <w:kern w:val="0"/>
                <w:szCs w:val="24"/>
              </w:rPr>
              <w:t>0%（含</w:t>
            </w:r>
            <w:r>
              <w:rPr>
                <w:rFonts w:hint="eastAsia" w:hAnsi="宋体" w:cs="宋体"/>
                <w:snapToGrid w:val="0"/>
                <w:color w:val="auto"/>
                <w:kern w:val="0"/>
                <w:szCs w:val="24"/>
                <w:lang w:val="en-US" w:eastAsia="zh-CN"/>
              </w:rPr>
              <w:t>60</w:t>
            </w:r>
            <w:r>
              <w:rPr>
                <w:rFonts w:hint="eastAsia" w:ascii="宋体" w:hAnsi="宋体" w:eastAsia="宋体" w:cs="宋体"/>
                <w:snapToGrid w:val="0"/>
                <w:color w:val="auto"/>
                <w:kern w:val="0"/>
                <w:sz w:val="24"/>
                <w:szCs w:val="24"/>
              </w:rPr>
              <w:t>%</w:t>
            </w:r>
            <w:r>
              <w:rPr>
                <w:rFonts w:hint="eastAsia" w:hAnsi="宋体" w:cs="宋体"/>
                <w:snapToGrid w:val="0"/>
                <w:color w:val="auto"/>
                <w:kern w:val="0"/>
                <w:szCs w:val="24"/>
              </w:rPr>
              <w:t>）。</w:t>
            </w:r>
          </w:p>
        </w:tc>
        <w:tc>
          <w:tcPr>
            <w:tcW w:w="3535"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9638DF5">
            <w:pPr>
              <w:pStyle w:val="26"/>
              <w:rPr>
                <w:rFonts w:ascii="宋体" w:hAnsi="宋体" w:eastAsia="宋体" w:cs="宋体"/>
                <w:color w:val="auto"/>
                <w:sz w:val="24"/>
                <w:szCs w:val="24"/>
              </w:rPr>
            </w:pPr>
          </w:p>
        </w:tc>
      </w:tr>
      <w:tr w14:paraId="7D5E1AA4">
        <w:tblPrEx>
          <w:tblCellMar>
            <w:top w:w="0" w:type="dxa"/>
            <w:left w:w="10" w:type="dxa"/>
            <w:bottom w:w="0" w:type="dxa"/>
            <w:right w:w="10" w:type="dxa"/>
          </w:tblCellMar>
        </w:tblPrEx>
        <w:trPr>
          <w:trHeight w:val="90" w:hRule="atLeast"/>
          <w:jc w:val="center"/>
        </w:trPr>
        <w:tc>
          <w:tcPr>
            <w:tcW w:w="12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14A6174">
            <w:pPr>
              <w:pStyle w:val="27"/>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工程造价</w:t>
            </w:r>
          </w:p>
          <w:p w14:paraId="2626CE94">
            <w:pPr>
              <w:pStyle w:val="27"/>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监理措施</w:t>
            </w:r>
          </w:p>
          <w:p w14:paraId="2B547C10">
            <w:pPr>
              <w:pStyle w:val="27"/>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color w:val="auto"/>
                <w:sz w:val="24"/>
                <w:szCs w:val="24"/>
              </w:rPr>
            </w:pPr>
            <w:r>
              <w:rPr>
                <w:rFonts w:hint="eastAsia" w:ascii="宋体" w:hAnsi="宋体" w:eastAsia="宋体" w:cs="宋体"/>
                <w:snapToGrid w:val="0"/>
                <w:color w:val="auto"/>
                <w:kern w:val="0"/>
                <w:sz w:val="24"/>
                <w:szCs w:val="24"/>
              </w:rPr>
              <w:t>（</w:t>
            </w:r>
            <w:r>
              <w:rPr>
                <w:rFonts w:hint="eastAsia" w:ascii="宋体" w:hAnsi="宋体" w:eastAsia="宋体" w:cs="宋体"/>
                <w:snapToGrid w:val="0"/>
                <w:color w:val="auto"/>
                <w:kern w:val="0"/>
                <w:sz w:val="24"/>
                <w:szCs w:val="24"/>
                <w:u w:val="single"/>
              </w:rPr>
              <w:t>3</w:t>
            </w:r>
            <w:r>
              <w:rPr>
                <w:rFonts w:hint="eastAsia" w:ascii="宋体" w:hAnsi="宋体" w:eastAsia="宋体" w:cs="宋体"/>
                <w:snapToGrid w:val="0"/>
                <w:color w:val="auto"/>
                <w:kern w:val="0"/>
                <w:sz w:val="24"/>
                <w:szCs w:val="24"/>
              </w:rPr>
              <w:t>分）</w:t>
            </w:r>
          </w:p>
        </w:tc>
        <w:tc>
          <w:tcPr>
            <w:tcW w:w="47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E0B181B">
            <w:pPr>
              <w:pStyle w:val="26"/>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【优】得该项因素分的</w:t>
            </w:r>
            <w:r>
              <w:rPr>
                <w:rFonts w:hint="eastAsia" w:ascii="宋体" w:hAnsi="宋体" w:eastAsia="宋体" w:cs="宋体"/>
                <w:snapToGrid w:val="0"/>
                <w:color w:val="auto"/>
                <w:kern w:val="0"/>
                <w:sz w:val="24"/>
                <w:szCs w:val="24"/>
                <w:lang w:val="en-US" w:eastAsia="zh-CN"/>
              </w:rPr>
              <w:t>90</w:t>
            </w:r>
            <w:r>
              <w:rPr>
                <w:rFonts w:hint="eastAsia" w:ascii="宋体" w:hAnsi="宋体" w:eastAsia="宋体" w:cs="宋体"/>
                <w:snapToGrid w:val="0"/>
                <w:color w:val="auto"/>
                <w:kern w:val="0"/>
                <w:sz w:val="24"/>
                <w:szCs w:val="24"/>
              </w:rPr>
              <w:t>%～100%（含</w:t>
            </w:r>
            <w:r>
              <w:rPr>
                <w:rFonts w:hint="eastAsia" w:ascii="宋体" w:hAnsi="宋体" w:eastAsia="宋体" w:cs="宋体"/>
                <w:snapToGrid w:val="0"/>
                <w:color w:val="auto"/>
                <w:kern w:val="0"/>
                <w:sz w:val="24"/>
                <w:szCs w:val="24"/>
                <w:lang w:val="en-US" w:eastAsia="zh-CN"/>
              </w:rPr>
              <w:t>90</w:t>
            </w:r>
            <w:r>
              <w:rPr>
                <w:rFonts w:hint="eastAsia" w:ascii="宋体" w:hAnsi="宋体" w:eastAsia="宋体" w:cs="宋体"/>
                <w:snapToGrid w:val="0"/>
                <w:color w:val="auto"/>
                <w:kern w:val="0"/>
                <w:sz w:val="24"/>
                <w:szCs w:val="24"/>
              </w:rPr>
              <w:t>%）；</w:t>
            </w:r>
          </w:p>
          <w:p w14:paraId="42D79A8E">
            <w:pPr>
              <w:pStyle w:val="26"/>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【良】得该项因素分的</w:t>
            </w:r>
            <w:r>
              <w:rPr>
                <w:rFonts w:hint="eastAsia" w:ascii="宋体" w:hAnsi="宋体" w:eastAsia="宋体" w:cs="宋体"/>
                <w:snapToGrid w:val="0"/>
                <w:color w:val="auto"/>
                <w:kern w:val="0"/>
                <w:sz w:val="24"/>
                <w:szCs w:val="24"/>
                <w:lang w:val="en-US" w:eastAsia="zh-CN"/>
              </w:rPr>
              <w:t>80</w:t>
            </w:r>
            <w:r>
              <w:rPr>
                <w:rFonts w:hint="eastAsia" w:ascii="宋体" w:hAnsi="宋体" w:eastAsia="宋体" w:cs="宋体"/>
                <w:snapToGrid w:val="0"/>
                <w:color w:val="auto"/>
                <w:kern w:val="0"/>
                <w:sz w:val="24"/>
                <w:szCs w:val="24"/>
              </w:rPr>
              <w:t>%～</w:t>
            </w:r>
            <w:r>
              <w:rPr>
                <w:rFonts w:hint="eastAsia" w:ascii="宋体" w:hAnsi="宋体" w:eastAsia="宋体" w:cs="宋体"/>
                <w:snapToGrid w:val="0"/>
                <w:color w:val="auto"/>
                <w:kern w:val="0"/>
                <w:sz w:val="24"/>
                <w:szCs w:val="24"/>
                <w:lang w:val="en-US" w:eastAsia="zh-CN"/>
              </w:rPr>
              <w:t>90</w:t>
            </w:r>
            <w:r>
              <w:rPr>
                <w:rFonts w:hint="eastAsia" w:ascii="宋体" w:hAnsi="宋体" w:eastAsia="宋体" w:cs="宋体"/>
                <w:snapToGrid w:val="0"/>
                <w:color w:val="auto"/>
                <w:kern w:val="0"/>
                <w:sz w:val="24"/>
                <w:szCs w:val="24"/>
              </w:rPr>
              <w:t>%（含</w:t>
            </w:r>
            <w:r>
              <w:rPr>
                <w:rFonts w:hint="eastAsia" w:ascii="宋体" w:hAnsi="宋体" w:eastAsia="宋体" w:cs="宋体"/>
                <w:snapToGrid w:val="0"/>
                <w:color w:val="auto"/>
                <w:kern w:val="0"/>
                <w:sz w:val="24"/>
                <w:szCs w:val="24"/>
                <w:lang w:val="en-US" w:eastAsia="zh-CN"/>
              </w:rPr>
              <w:t>80</w:t>
            </w:r>
            <w:r>
              <w:rPr>
                <w:rFonts w:hint="eastAsia" w:ascii="宋体" w:hAnsi="宋体" w:eastAsia="宋体" w:cs="宋体"/>
                <w:snapToGrid w:val="0"/>
                <w:color w:val="auto"/>
                <w:kern w:val="0"/>
                <w:sz w:val="24"/>
                <w:szCs w:val="24"/>
              </w:rPr>
              <w:t>%）；</w:t>
            </w:r>
          </w:p>
          <w:p w14:paraId="551EB4CA">
            <w:pPr>
              <w:pStyle w:val="26"/>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【中】得该项因素分的</w:t>
            </w:r>
            <w:r>
              <w:rPr>
                <w:rFonts w:hint="eastAsia" w:ascii="宋体" w:hAnsi="宋体" w:eastAsia="宋体" w:cs="宋体"/>
                <w:snapToGrid w:val="0"/>
                <w:color w:val="auto"/>
                <w:kern w:val="0"/>
                <w:sz w:val="24"/>
                <w:szCs w:val="24"/>
                <w:lang w:val="en-US" w:eastAsia="zh-CN"/>
              </w:rPr>
              <w:t>70</w:t>
            </w:r>
            <w:r>
              <w:rPr>
                <w:rFonts w:hint="eastAsia" w:ascii="宋体" w:hAnsi="宋体" w:eastAsia="宋体" w:cs="宋体"/>
                <w:snapToGrid w:val="0"/>
                <w:color w:val="auto"/>
                <w:kern w:val="0"/>
                <w:sz w:val="24"/>
                <w:szCs w:val="24"/>
              </w:rPr>
              <w:t>%～</w:t>
            </w:r>
            <w:r>
              <w:rPr>
                <w:rFonts w:hint="eastAsia" w:ascii="宋体" w:hAnsi="宋体" w:eastAsia="宋体" w:cs="宋体"/>
                <w:snapToGrid w:val="0"/>
                <w:color w:val="auto"/>
                <w:kern w:val="0"/>
                <w:sz w:val="24"/>
                <w:szCs w:val="24"/>
                <w:lang w:val="en-US" w:eastAsia="zh-CN"/>
              </w:rPr>
              <w:t>80</w:t>
            </w:r>
            <w:r>
              <w:rPr>
                <w:rFonts w:hint="eastAsia" w:ascii="宋体" w:hAnsi="宋体" w:eastAsia="宋体" w:cs="宋体"/>
                <w:snapToGrid w:val="0"/>
                <w:color w:val="auto"/>
                <w:kern w:val="0"/>
                <w:sz w:val="24"/>
                <w:szCs w:val="24"/>
              </w:rPr>
              <w:t>%（含</w:t>
            </w:r>
            <w:r>
              <w:rPr>
                <w:rFonts w:hint="eastAsia" w:ascii="宋体" w:hAnsi="宋体" w:eastAsia="宋体" w:cs="宋体"/>
                <w:snapToGrid w:val="0"/>
                <w:color w:val="auto"/>
                <w:kern w:val="0"/>
                <w:sz w:val="24"/>
                <w:szCs w:val="24"/>
                <w:lang w:val="en-US" w:eastAsia="zh-CN"/>
              </w:rPr>
              <w:t>70</w:t>
            </w:r>
            <w:r>
              <w:rPr>
                <w:rFonts w:hint="eastAsia" w:ascii="宋体" w:hAnsi="宋体" w:eastAsia="宋体" w:cs="宋体"/>
                <w:snapToGrid w:val="0"/>
                <w:color w:val="auto"/>
                <w:kern w:val="0"/>
                <w:sz w:val="24"/>
                <w:szCs w:val="24"/>
              </w:rPr>
              <w:t>%）；</w:t>
            </w:r>
          </w:p>
          <w:p w14:paraId="53964A99">
            <w:pPr>
              <w:pStyle w:val="7"/>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ascii="宋体" w:hAnsi="宋体" w:eastAsia="宋体" w:cs="宋体"/>
                <w:color w:val="auto"/>
                <w:sz w:val="24"/>
                <w:szCs w:val="24"/>
              </w:rPr>
            </w:pPr>
            <w:r>
              <w:rPr>
                <w:rFonts w:hint="eastAsia" w:hAnsi="宋体" w:cs="宋体"/>
                <w:snapToGrid w:val="0"/>
                <w:color w:val="auto"/>
                <w:kern w:val="0"/>
                <w:szCs w:val="24"/>
              </w:rPr>
              <w:t>【差】得该项因素分的</w:t>
            </w:r>
            <w:r>
              <w:rPr>
                <w:rFonts w:hint="eastAsia" w:hAnsi="宋体" w:cs="宋体"/>
                <w:snapToGrid w:val="0"/>
                <w:color w:val="auto"/>
                <w:kern w:val="0"/>
                <w:szCs w:val="24"/>
                <w:lang w:val="en-US" w:eastAsia="zh-CN"/>
              </w:rPr>
              <w:t>60</w:t>
            </w:r>
            <w:r>
              <w:rPr>
                <w:rFonts w:hint="eastAsia" w:ascii="宋体" w:hAnsi="宋体" w:eastAsia="宋体" w:cs="宋体"/>
                <w:snapToGrid w:val="0"/>
                <w:color w:val="auto"/>
                <w:kern w:val="0"/>
                <w:sz w:val="24"/>
                <w:szCs w:val="24"/>
              </w:rPr>
              <w:t>%</w:t>
            </w:r>
            <w:r>
              <w:rPr>
                <w:rFonts w:hint="eastAsia" w:hAnsi="宋体" w:cs="宋体"/>
                <w:snapToGrid w:val="0"/>
                <w:color w:val="auto"/>
                <w:kern w:val="0"/>
                <w:szCs w:val="24"/>
              </w:rPr>
              <w:t>～</w:t>
            </w:r>
            <w:r>
              <w:rPr>
                <w:rFonts w:hint="eastAsia" w:hAnsi="宋体" w:cs="宋体"/>
                <w:snapToGrid w:val="0"/>
                <w:color w:val="auto"/>
                <w:kern w:val="0"/>
                <w:szCs w:val="24"/>
                <w:lang w:val="en-US" w:eastAsia="zh-CN"/>
              </w:rPr>
              <w:t>7</w:t>
            </w:r>
            <w:r>
              <w:rPr>
                <w:rFonts w:hint="eastAsia" w:hAnsi="宋体" w:cs="宋体"/>
                <w:snapToGrid w:val="0"/>
                <w:color w:val="auto"/>
                <w:kern w:val="0"/>
                <w:szCs w:val="24"/>
              </w:rPr>
              <w:t>0%（含</w:t>
            </w:r>
            <w:r>
              <w:rPr>
                <w:rFonts w:hint="eastAsia" w:hAnsi="宋体" w:cs="宋体"/>
                <w:snapToGrid w:val="0"/>
                <w:color w:val="auto"/>
                <w:kern w:val="0"/>
                <w:szCs w:val="24"/>
                <w:lang w:val="en-US" w:eastAsia="zh-CN"/>
              </w:rPr>
              <w:t>60</w:t>
            </w:r>
            <w:r>
              <w:rPr>
                <w:rFonts w:hint="eastAsia" w:ascii="宋体" w:hAnsi="宋体" w:eastAsia="宋体" w:cs="宋体"/>
                <w:snapToGrid w:val="0"/>
                <w:color w:val="auto"/>
                <w:kern w:val="0"/>
                <w:sz w:val="24"/>
                <w:szCs w:val="24"/>
              </w:rPr>
              <w:t>%</w:t>
            </w:r>
            <w:r>
              <w:rPr>
                <w:rFonts w:hint="eastAsia" w:hAnsi="宋体" w:cs="宋体"/>
                <w:snapToGrid w:val="0"/>
                <w:color w:val="auto"/>
                <w:kern w:val="0"/>
                <w:szCs w:val="24"/>
              </w:rPr>
              <w:t>）。</w:t>
            </w:r>
          </w:p>
        </w:tc>
        <w:tc>
          <w:tcPr>
            <w:tcW w:w="3535"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7EFB4D4">
            <w:pPr>
              <w:pStyle w:val="26"/>
              <w:keepNext w:val="0"/>
              <w:keepLines w:val="0"/>
              <w:pageBreakBefore w:val="0"/>
              <w:widowControl w:val="0"/>
              <w:kinsoku/>
              <w:wordWrap/>
              <w:overflowPunct/>
              <w:topLinePunct w:val="0"/>
              <w:autoSpaceDE/>
              <w:autoSpaceDN/>
              <w:bidi w:val="0"/>
              <w:spacing w:line="400" w:lineRule="exact"/>
              <w:textAlignment w:val="auto"/>
              <w:rPr>
                <w:rFonts w:ascii="宋体" w:hAnsi="宋体" w:eastAsia="宋体" w:cs="宋体"/>
                <w:color w:val="auto"/>
                <w:sz w:val="24"/>
                <w:szCs w:val="24"/>
              </w:rPr>
            </w:pPr>
          </w:p>
        </w:tc>
      </w:tr>
      <w:tr w14:paraId="0567473D">
        <w:tblPrEx>
          <w:tblCellMar>
            <w:top w:w="0" w:type="dxa"/>
            <w:left w:w="10" w:type="dxa"/>
            <w:bottom w:w="0" w:type="dxa"/>
            <w:right w:w="10" w:type="dxa"/>
          </w:tblCellMar>
        </w:tblPrEx>
        <w:trPr>
          <w:trHeight w:val="90" w:hRule="atLeast"/>
          <w:jc w:val="center"/>
        </w:trPr>
        <w:tc>
          <w:tcPr>
            <w:tcW w:w="12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AF7C672">
            <w:pPr>
              <w:pStyle w:val="27"/>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安全防护</w:t>
            </w:r>
          </w:p>
          <w:p w14:paraId="082EAEC8">
            <w:pPr>
              <w:pStyle w:val="27"/>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监理措施</w:t>
            </w:r>
          </w:p>
          <w:p w14:paraId="10C9534B">
            <w:pPr>
              <w:pStyle w:val="27"/>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color w:val="auto"/>
                <w:sz w:val="24"/>
                <w:szCs w:val="24"/>
              </w:rPr>
            </w:pPr>
            <w:r>
              <w:rPr>
                <w:rFonts w:hint="eastAsia" w:ascii="宋体" w:hAnsi="宋体" w:eastAsia="宋体" w:cs="宋体"/>
                <w:snapToGrid w:val="0"/>
                <w:color w:val="auto"/>
                <w:kern w:val="0"/>
                <w:sz w:val="24"/>
                <w:szCs w:val="24"/>
              </w:rPr>
              <w:t>（</w:t>
            </w:r>
            <w:r>
              <w:rPr>
                <w:rFonts w:hint="eastAsia" w:ascii="宋体" w:hAnsi="宋体" w:eastAsia="宋体" w:cs="宋体"/>
                <w:snapToGrid w:val="0"/>
                <w:color w:val="auto"/>
                <w:kern w:val="0"/>
                <w:sz w:val="24"/>
                <w:szCs w:val="24"/>
                <w:u w:val="single"/>
              </w:rPr>
              <w:t>3</w:t>
            </w:r>
            <w:r>
              <w:rPr>
                <w:rFonts w:hint="eastAsia" w:ascii="宋体" w:hAnsi="宋体" w:eastAsia="宋体" w:cs="宋体"/>
                <w:snapToGrid w:val="0"/>
                <w:color w:val="auto"/>
                <w:kern w:val="0"/>
                <w:sz w:val="24"/>
                <w:szCs w:val="24"/>
              </w:rPr>
              <w:t>分）</w:t>
            </w:r>
          </w:p>
        </w:tc>
        <w:tc>
          <w:tcPr>
            <w:tcW w:w="47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A802332">
            <w:pPr>
              <w:pStyle w:val="26"/>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【优】得该项因素分的</w:t>
            </w:r>
            <w:r>
              <w:rPr>
                <w:rFonts w:hint="eastAsia" w:ascii="宋体" w:hAnsi="宋体" w:eastAsia="宋体" w:cs="宋体"/>
                <w:snapToGrid w:val="0"/>
                <w:color w:val="auto"/>
                <w:kern w:val="0"/>
                <w:sz w:val="24"/>
                <w:szCs w:val="24"/>
                <w:lang w:val="en-US" w:eastAsia="zh-CN"/>
              </w:rPr>
              <w:t>90</w:t>
            </w:r>
            <w:r>
              <w:rPr>
                <w:rFonts w:hint="eastAsia" w:ascii="宋体" w:hAnsi="宋体" w:eastAsia="宋体" w:cs="宋体"/>
                <w:snapToGrid w:val="0"/>
                <w:color w:val="auto"/>
                <w:kern w:val="0"/>
                <w:sz w:val="24"/>
                <w:szCs w:val="24"/>
              </w:rPr>
              <w:t>%～100%（含</w:t>
            </w:r>
            <w:r>
              <w:rPr>
                <w:rFonts w:hint="eastAsia" w:ascii="宋体" w:hAnsi="宋体" w:eastAsia="宋体" w:cs="宋体"/>
                <w:snapToGrid w:val="0"/>
                <w:color w:val="auto"/>
                <w:kern w:val="0"/>
                <w:sz w:val="24"/>
                <w:szCs w:val="24"/>
                <w:lang w:val="en-US" w:eastAsia="zh-CN"/>
              </w:rPr>
              <w:t>90</w:t>
            </w:r>
            <w:r>
              <w:rPr>
                <w:rFonts w:hint="eastAsia" w:ascii="宋体" w:hAnsi="宋体" w:eastAsia="宋体" w:cs="宋体"/>
                <w:snapToGrid w:val="0"/>
                <w:color w:val="auto"/>
                <w:kern w:val="0"/>
                <w:sz w:val="24"/>
                <w:szCs w:val="24"/>
              </w:rPr>
              <w:t>%）；</w:t>
            </w:r>
          </w:p>
          <w:p w14:paraId="30F31EC6">
            <w:pPr>
              <w:pStyle w:val="26"/>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【良】得该项因素分的</w:t>
            </w:r>
            <w:r>
              <w:rPr>
                <w:rFonts w:hint="eastAsia" w:ascii="宋体" w:hAnsi="宋体" w:eastAsia="宋体" w:cs="宋体"/>
                <w:snapToGrid w:val="0"/>
                <w:color w:val="auto"/>
                <w:kern w:val="0"/>
                <w:sz w:val="24"/>
                <w:szCs w:val="24"/>
                <w:lang w:val="en-US" w:eastAsia="zh-CN"/>
              </w:rPr>
              <w:t>80</w:t>
            </w:r>
            <w:r>
              <w:rPr>
                <w:rFonts w:hint="eastAsia" w:ascii="宋体" w:hAnsi="宋体" w:eastAsia="宋体" w:cs="宋体"/>
                <w:snapToGrid w:val="0"/>
                <w:color w:val="auto"/>
                <w:kern w:val="0"/>
                <w:sz w:val="24"/>
                <w:szCs w:val="24"/>
              </w:rPr>
              <w:t>%～</w:t>
            </w:r>
            <w:r>
              <w:rPr>
                <w:rFonts w:hint="eastAsia" w:ascii="宋体" w:hAnsi="宋体" w:eastAsia="宋体" w:cs="宋体"/>
                <w:snapToGrid w:val="0"/>
                <w:color w:val="auto"/>
                <w:kern w:val="0"/>
                <w:sz w:val="24"/>
                <w:szCs w:val="24"/>
                <w:lang w:val="en-US" w:eastAsia="zh-CN"/>
              </w:rPr>
              <w:t>90</w:t>
            </w:r>
            <w:r>
              <w:rPr>
                <w:rFonts w:hint="eastAsia" w:ascii="宋体" w:hAnsi="宋体" w:eastAsia="宋体" w:cs="宋体"/>
                <w:snapToGrid w:val="0"/>
                <w:color w:val="auto"/>
                <w:kern w:val="0"/>
                <w:sz w:val="24"/>
                <w:szCs w:val="24"/>
              </w:rPr>
              <w:t>%（含</w:t>
            </w:r>
            <w:r>
              <w:rPr>
                <w:rFonts w:hint="eastAsia" w:ascii="宋体" w:hAnsi="宋体" w:eastAsia="宋体" w:cs="宋体"/>
                <w:snapToGrid w:val="0"/>
                <w:color w:val="auto"/>
                <w:kern w:val="0"/>
                <w:sz w:val="24"/>
                <w:szCs w:val="24"/>
                <w:lang w:val="en-US" w:eastAsia="zh-CN"/>
              </w:rPr>
              <w:t>80</w:t>
            </w:r>
            <w:r>
              <w:rPr>
                <w:rFonts w:hint="eastAsia" w:ascii="宋体" w:hAnsi="宋体" w:eastAsia="宋体" w:cs="宋体"/>
                <w:snapToGrid w:val="0"/>
                <w:color w:val="auto"/>
                <w:kern w:val="0"/>
                <w:sz w:val="24"/>
                <w:szCs w:val="24"/>
              </w:rPr>
              <w:t>%）；</w:t>
            </w:r>
          </w:p>
          <w:p w14:paraId="6179D1FB">
            <w:pPr>
              <w:pStyle w:val="26"/>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【中】得该项因素分的</w:t>
            </w:r>
            <w:r>
              <w:rPr>
                <w:rFonts w:hint="eastAsia" w:ascii="宋体" w:hAnsi="宋体" w:eastAsia="宋体" w:cs="宋体"/>
                <w:snapToGrid w:val="0"/>
                <w:color w:val="auto"/>
                <w:kern w:val="0"/>
                <w:sz w:val="24"/>
                <w:szCs w:val="24"/>
                <w:lang w:val="en-US" w:eastAsia="zh-CN"/>
              </w:rPr>
              <w:t>70</w:t>
            </w:r>
            <w:r>
              <w:rPr>
                <w:rFonts w:hint="eastAsia" w:ascii="宋体" w:hAnsi="宋体" w:eastAsia="宋体" w:cs="宋体"/>
                <w:snapToGrid w:val="0"/>
                <w:color w:val="auto"/>
                <w:kern w:val="0"/>
                <w:sz w:val="24"/>
                <w:szCs w:val="24"/>
              </w:rPr>
              <w:t>%～</w:t>
            </w:r>
            <w:r>
              <w:rPr>
                <w:rFonts w:hint="eastAsia" w:ascii="宋体" w:hAnsi="宋体" w:eastAsia="宋体" w:cs="宋体"/>
                <w:snapToGrid w:val="0"/>
                <w:color w:val="auto"/>
                <w:kern w:val="0"/>
                <w:sz w:val="24"/>
                <w:szCs w:val="24"/>
                <w:lang w:val="en-US" w:eastAsia="zh-CN"/>
              </w:rPr>
              <w:t>80</w:t>
            </w:r>
            <w:r>
              <w:rPr>
                <w:rFonts w:hint="eastAsia" w:ascii="宋体" w:hAnsi="宋体" w:eastAsia="宋体" w:cs="宋体"/>
                <w:snapToGrid w:val="0"/>
                <w:color w:val="auto"/>
                <w:kern w:val="0"/>
                <w:sz w:val="24"/>
                <w:szCs w:val="24"/>
              </w:rPr>
              <w:t>%（含</w:t>
            </w:r>
            <w:r>
              <w:rPr>
                <w:rFonts w:hint="eastAsia" w:ascii="宋体" w:hAnsi="宋体" w:eastAsia="宋体" w:cs="宋体"/>
                <w:snapToGrid w:val="0"/>
                <w:color w:val="auto"/>
                <w:kern w:val="0"/>
                <w:sz w:val="24"/>
                <w:szCs w:val="24"/>
                <w:lang w:val="en-US" w:eastAsia="zh-CN"/>
              </w:rPr>
              <w:t>70</w:t>
            </w:r>
            <w:r>
              <w:rPr>
                <w:rFonts w:hint="eastAsia" w:ascii="宋体" w:hAnsi="宋体" w:eastAsia="宋体" w:cs="宋体"/>
                <w:snapToGrid w:val="0"/>
                <w:color w:val="auto"/>
                <w:kern w:val="0"/>
                <w:sz w:val="24"/>
                <w:szCs w:val="24"/>
              </w:rPr>
              <w:t>%）；</w:t>
            </w:r>
          </w:p>
          <w:p w14:paraId="0724E558">
            <w:pPr>
              <w:pStyle w:val="7"/>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ascii="宋体" w:hAnsi="宋体" w:eastAsia="宋体" w:cs="宋体"/>
                <w:color w:val="auto"/>
                <w:sz w:val="24"/>
                <w:szCs w:val="24"/>
              </w:rPr>
            </w:pPr>
            <w:r>
              <w:rPr>
                <w:rFonts w:hint="eastAsia" w:hAnsi="宋体" w:cs="宋体"/>
                <w:snapToGrid w:val="0"/>
                <w:color w:val="auto"/>
                <w:kern w:val="0"/>
                <w:szCs w:val="24"/>
              </w:rPr>
              <w:t>【差】得该项因素分的</w:t>
            </w:r>
            <w:r>
              <w:rPr>
                <w:rFonts w:hint="eastAsia" w:hAnsi="宋体" w:cs="宋体"/>
                <w:snapToGrid w:val="0"/>
                <w:color w:val="auto"/>
                <w:kern w:val="0"/>
                <w:szCs w:val="24"/>
                <w:lang w:val="en-US" w:eastAsia="zh-CN"/>
              </w:rPr>
              <w:t>60</w:t>
            </w:r>
            <w:r>
              <w:rPr>
                <w:rFonts w:hint="eastAsia" w:ascii="宋体" w:hAnsi="宋体" w:eastAsia="宋体" w:cs="宋体"/>
                <w:snapToGrid w:val="0"/>
                <w:color w:val="auto"/>
                <w:kern w:val="0"/>
                <w:sz w:val="24"/>
                <w:szCs w:val="24"/>
              </w:rPr>
              <w:t>%</w:t>
            </w:r>
            <w:r>
              <w:rPr>
                <w:rFonts w:hint="eastAsia" w:hAnsi="宋体" w:cs="宋体"/>
                <w:snapToGrid w:val="0"/>
                <w:color w:val="auto"/>
                <w:kern w:val="0"/>
                <w:szCs w:val="24"/>
              </w:rPr>
              <w:t>～</w:t>
            </w:r>
            <w:r>
              <w:rPr>
                <w:rFonts w:hint="eastAsia" w:hAnsi="宋体" w:cs="宋体"/>
                <w:snapToGrid w:val="0"/>
                <w:color w:val="auto"/>
                <w:kern w:val="0"/>
                <w:szCs w:val="24"/>
                <w:lang w:val="en-US" w:eastAsia="zh-CN"/>
              </w:rPr>
              <w:t>7</w:t>
            </w:r>
            <w:r>
              <w:rPr>
                <w:rFonts w:hint="eastAsia" w:hAnsi="宋体" w:cs="宋体"/>
                <w:snapToGrid w:val="0"/>
                <w:color w:val="auto"/>
                <w:kern w:val="0"/>
                <w:szCs w:val="24"/>
              </w:rPr>
              <w:t>0%（含</w:t>
            </w:r>
            <w:r>
              <w:rPr>
                <w:rFonts w:hint="eastAsia" w:hAnsi="宋体" w:cs="宋体"/>
                <w:snapToGrid w:val="0"/>
                <w:color w:val="auto"/>
                <w:kern w:val="0"/>
                <w:szCs w:val="24"/>
                <w:lang w:val="en-US" w:eastAsia="zh-CN"/>
              </w:rPr>
              <w:t>60</w:t>
            </w:r>
            <w:r>
              <w:rPr>
                <w:rFonts w:hint="eastAsia" w:ascii="宋体" w:hAnsi="宋体" w:eastAsia="宋体" w:cs="宋体"/>
                <w:snapToGrid w:val="0"/>
                <w:color w:val="auto"/>
                <w:kern w:val="0"/>
                <w:sz w:val="24"/>
                <w:szCs w:val="24"/>
              </w:rPr>
              <w:t>%</w:t>
            </w:r>
            <w:r>
              <w:rPr>
                <w:rFonts w:hint="eastAsia" w:hAnsi="宋体" w:cs="宋体"/>
                <w:snapToGrid w:val="0"/>
                <w:color w:val="auto"/>
                <w:kern w:val="0"/>
                <w:szCs w:val="24"/>
              </w:rPr>
              <w:t>）。</w:t>
            </w:r>
          </w:p>
        </w:tc>
        <w:tc>
          <w:tcPr>
            <w:tcW w:w="3535"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F6DDE24">
            <w:pPr>
              <w:pStyle w:val="26"/>
              <w:keepNext w:val="0"/>
              <w:keepLines w:val="0"/>
              <w:pageBreakBefore w:val="0"/>
              <w:widowControl w:val="0"/>
              <w:kinsoku/>
              <w:wordWrap/>
              <w:overflowPunct/>
              <w:topLinePunct w:val="0"/>
              <w:autoSpaceDE/>
              <w:autoSpaceDN/>
              <w:bidi w:val="0"/>
              <w:spacing w:line="400" w:lineRule="exact"/>
              <w:textAlignment w:val="auto"/>
              <w:rPr>
                <w:rFonts w:ascii="宋体" w:hAnsi="宋体" w:eastAsia="宋体" w:cs="宋体"/>
                <w:color w:val="auto"/>
                <w:sz w:val="24"/>
                <w:szCs w:val="24"/>
              </w:rPr>
            </w:pPr>
          </w:p>
        </w:tc>
      </w:tr>
      <w:tr w14:paraId="79F66FA6">
        <w:tblPrEx>
          <w:tblCellMar>
            <w:top w:w="0" w:type="dxa"/>
            <w:left w:w="10" w:type="dxa"/>
            <w:bottom w:w="0" w:type="dxa"/>
            <w:right w:w="10" w:type="dxa"/>
          </w:tblCellMar>
        </w:tblPrEx>
        <w:trPr>
          <w:trHeight w:val="90" w:hRule="atLeast"/>
          <w:jc w:val="center"/>
        </w:trPr>
        <w:tc>
          <w:tcPr>
            <w:tcW w:w="1252"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0F7CD5">
            <w:pPr>
              <w:pStyle w:val="27"/>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绿色施工</w:t>
            </w:r>
          </w:p>
          <w:p w14:paraId="5A5763DE">
            <w:pPr>
              <w:pStyle w:val="27"/>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、文明施工监理措施</w:t>
            </w:r>
          </w:p>
          <w:p w14:paraId="007BC532">
            <w:pPr>
              <w:pStyle w:val="27"/>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color w:val="auto"/>
                <w:sz w:val="24"/>
                <w:szCs w:val="24"/>
              </w:rPr>
            </w:pPr>
            <w:r>
              <w:rPr>
                <w:rFonts w:hint="eastAsia" w:ascii="宋体" w:hAnsi="宋体" w:eastAsia="宋体" w:cs="宋体"/>
                <w:snapToGrid w:val="0"/>
                <w:color w:val="auto"/>
                <w:kern w:val="0"/>
                <w:sz w:val="24"/>
                <w:szCs w:val="24"/>
              </w:rPr>
              <w:t>（</w:t>
            </w:r>
            <w:r>
              <w:rPr>
                <w:rFonts w:hint="eastAsia" w:ascii="宋体" w:hAnsi="宋体" w:eastAsia="宋体" w:cs="宋体"/>
                <w:snapToGrid w:val="0"/>
                <w:color w:val="auto"/>
                <w:kern w:val="0"/>
                <w:sz w:val="24"/>
                <w:szCs w:val="24"/>
                <w:u w:val="single"/>
              </w:rPr>
              <w:t>3</w:t>
            </w:r>
            <w:r>
              <w:rPr>
                <w:rFonts w:hint="eastAsia" w:ascii="宋体" w:hAnsi="宋体" w:eastAsia="宋体" w:cs="宋体"/>
                <w:snapToGrid w:val="0"/>
                <w:color w:val="auto"/>
                <w:kern w:val="0"/>
                <w:sz w:val="24"/>
                <w:szCs w:val="24"/>
              </w:rPr>
              <w:t>分）</w:t>
            </w:r>
          </w:p>
        </w:tc>
        <w:tc>
          <w:tcPr>
            <w:tcW w:w="4766"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3347CA">
            <w:pPr>
              <w:pStyle w:val="26"/>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【优】得该项因素分的</w:t>
            </w:r>
            <w:r>
              <w:rPr>
                <w:rFonts w:hint="eastAsia" w:ascii="宋体" w:hAnsi="宋体" w:eastAsia="宋体" w:cs="宋体"/>
                <w:snapToGrid w:val="0"/>
                <w:color w:val="auto"/>
                <w:kern w:val="0"/>
                <w:sz w:val="24"/>
                <w:szCs w:val="24"/>
                <w:lang w:val="en-US" w:eastAsia="zh-CN"/>
              </w:rPr>
              <w:t>90</w:t>
            </w:r>
            <w:r>
              <w:rPr>
                <w:rFonts w:hint="eastAsia" w:ascii="宋体" w:hAnsi="宋体" w:eastAsia="宋体" w:cs="宋体"/>
                <w:snapToGrid w:val="0"/>
                <w:color w:val="auto"/>
                <w:kern w:val="0"/>
                <w:sz w:val="24"/>
                <w:szCs w:val="24"/>
              </w:rPr>
              <w:t>%～100%（含</w:t>
            </w:r>
            <w:r>
              <w:rPr>
                <w:rFonts w:hint="eastAsia" w:ascii="宋体" w:hAnsi="宋体" w:eastAsia="宋体" w:cs="宋体"/>
                <w:snapToGrid w:val="0"/>
                <w:color w:val="auto"/>
                <w:kern w:val="0"/>
                <w:sz w:val="24"/>
                <w:szCs w:val="24"/>
                <w:lang w:val="en-US" w:eastAsia="zh-CN"/>
              </w:rPr>
              <w:t>90</w:t>
            </w:r>
            <w:r>
              <w:rPr>
                <w:rFonts w:hint="eastAsia" w:ascii="宋体" w:hAnsi="宋体" w:eastAsia="宋体" w:cs="宋体"/>
                <w:snapToGrid w:val="0"/>
                <w:color w:val="auto"/>
                <w:kern w:val="0"/>
                <w:sz w:val="24"/>
                <w:szCs w:val="24"/>
              </w:rPr>
              <w:t>%）；</w:t>
            </w:r>
          </w:p>
          <w:p w14:paraId="328EB987">
            <w:pPr>
              <w:pStyle w:val="26"/>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【良】得该项因素分的</w:t>
            </w:r>
            <w:r>
              <w:rPr>
                <w:rFonts w:hint="eastAsia" w:ascii="宋体" w:hAnsi="宋体" w:eastAsia="宋体" w:cs="宋体"/>
                <w:snapToGrid w:val="0"/>
                <w:color w:val="auto"/>
                <w:kern w:val="0"/>
                <w:sz w:val="24"/>
                <w:szCs w:val="24"/>
                <w:lang w:val="en-US" w:eastAsia="zh-CN"/>
              </w:rPr>
              <w:t>80</w:t>
            </w:r>
            <w:r>
              <w:rPr>
                <w:rFonts w:hint="eastAsia" w:ascii="宋体" w:hAnsi="宋体" w:eastAsia="宋体" w:cs="宋体"/>
                <w:snapToGrid w:val="0"/>
                <w:color w:val="auto"/>
                <w:kern w:val="0"/>
                <w:sz w:val="24"/>
                <w:szCs w:val="24"/>
              </w:rPr>
              <w:t>%～</w:t>
            </w:r>
            <w:r>
              <w:rPr>
                <w:rFonts w:hint="eastAsia" w:ascii="宋体" w:hAnsi="宋体" w:eastAsia="宋体" w:cs="宋体"/>
                <w:snapToGrid w:val="0"/>
                <w:color w:val="auto"/>
                <w:kern w:val="0"/>
                <w:sz w:val="24"/>
                <w:szCs w:val="24"/>
                <w:lang w:val="en-US" w:eastAsia="zh-CN"/>
              </w:rPr>
              <w:t>90</w:t>
            </w:r>
            <w:r>
              <w:rPr>
                <w:rFonts w:hint="eastAsia" w:ascii="宋体" w:hAnsi="宋体" w:eastAsia="宋体" w:cs="宋体"/>
                <w:snapToGrid w:val="0"/>
                <w:color w:val="auto"/>
                <w:kern w:val="0"/>
                <w:sz w:val="24"/>
                <w:szCs w:val="24"/>
              </w:rPr>
              <w:t>%（含</w:t>
            </w:r>
            <w:r>
              <w:rPr>
                <w:rFonts w:hint="eastAsia" w:ascii="宋体" w:hAnsi="宋体" w:eastAsia="宋体" w:cs="宋体"/>
                <w:snapToGrid w:val="0"/>
                <w:color w:val="auto"/>
                <w:kern w:val="0"/>
                <w:sz w:val="24"/>
                <w:szCs w:val="24"/>
                <w:lang w:val="en-US" w:eastAsia="zh-CN"/>
              </w:rPr>
              <w:t>80</w:t>
            </w:r>
            <w:r>
              <w:rPr>
                <w:rFonts w:hint="eastAsia" w:ascii="宋体" w:hAnsi="宋体" w:eastAsia="宋体" w:cs="宋体"/>
                <w:snapToGrid w:val="0"/>
                <w:color w:val="auto"/>
                <w:kern w:val="0"/>
                <w:sz w:val="24"/>
                <w:szCs w:val="24"/>
              </w:rPr>
              <w:t>%）；</w:t>
            </w:r>
          </w:p>
          <w:p w14:paraId="6863FA70">
            <w:pPr>
              <w:pStyle w:val="26"/>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【中】得该项因素分的</w:t>
            </w:r>
            <w:r>
              <w:rPr>
                <w:rFonts w:hint="eastAsia" w:ascii="宋体" w:hAnsi="宋体" w:eastAsia="宋体" w:cs="宋体"/>
                <w:snapToGrid w:val="0"/>
                <w:color w:val="auto"/>
                <w:kern w:val="0"/>
                <w:sz w:val="24"/>
                <w:szCs w:val="24"/>
                <w:lang w:val="en-US" w:eastAsia="zh-CN"/>
              </w:rPr>
              <w:t>70</w:t>
            </w:r>
            <w:r>
              <w:rPr>
                <w:rFonts w:hint="eastAsia" w:ascii="宋体" w:hAnsi="宋体" w:eastAsia="宋体" w:cs="宋体"/>
                <w:snapToGrid w:val="0"/>
                <w:color w:val="auto"/>
                <w:kern w:val="0"/>
                <w:sz w:val="24"/>
                <w:szCs w:val="24"/>
              </w:rPr>
              <w:t>%～</w:t>
            </w:r>
            <w:r>
              <w:rPr>
                <w:rFonts w:hint="eastAsia" w:ascii="宋体" w:hAnsi="宋体" w:eastAsia="宋体" w:cs="宋体"/>
                <w:snapToGrid w:val="0"/>
                <w:color w:val="auto"/>
                <w:kern w:val="0"/>
                <w:sz w:val="24"/>
                <w:szCs w:val="24"/>
                <w:lang w:val="en-US" w:eastAsia="zh-CN"/>
              </w:rPr>
              <w:t>80</w:t>
            </w:r>
            <w:r>
              <w:rPr>
                <w:rFonts w:hint="eastAsia" w:ascii="宋体" w:hAnsi="宋体" w:eastAsia="宋体" w:cs="宋体"/>
                <w:snapToGrid w:val="0"/>
                <w:color w:val="auto"/>
                <w:kern w:val="0"/>
                <w:sz w:val="24"/>
                <w:szCs w:val="24"/>
              </w:rPr>
              <w:t>%（含</w:t>
            </w:r>
            <w:r>
              <w:rPr>
                <w:rFonts w:hint="eastAsia" w:ascii="宋体" w:hAnsi="宋体" w:eastAsia="宋体" w:cs="宋体"/>
                <w:snapToGrid w:val="0"/>
                <w:color w:val="auto"/>
                <w:kern w:val="0"/>
                <w:sz w:val="24"/>
                <w:szCs w:val="24"/>
                <w:lang w:val="en-US" w:eastAsia="zh-CN"/>
              </w:rPr>
              <w:t>70</w:t>
            </w:r>
            <w:r>
              <w:rPr>
                <w:rFonts w:hint="eastAsia" w:ascii="宋体" w:hAnsi="宋体" w:eastAsia="宋体" w:cs="宋体"/>
                <w:snapToGrid w:val="0"/>
                <w:color w:val="auto"/>
                <w:kern w:val="0"/>
                <w:sz w:val="24"/>
                <w:szCs w:val="24"/>
              </w:rPr>
              <w:t>%）；</w:t>
            </w:r>
          </w:p>
          <w:p w14:paraId="3E5BB4FC">
            <w:pPr>
              <w:pStyle w:val="7"/>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ascii="宋体" w:hAnsi="宋体" w:eastAsia="宋体" w:cs="宋体"/>
                <w:color w:val="auto"/>
                <w:sz w:val="24"/>
                <w:szCs w:val="24"/>
              </w:rPr>
            </w:pPr>
            <w:r>
              <w:rPr>
                <w:rFonts w:hint="eastAsia" w:hAnsi="宋体" w:cs="宋体"/>
                <w:snapToGrid w:val="0"/>
                <w:color w:val="auto"/>
                <w:kern w:val="0"/>
                <w:szCs w:val="24"/>
              </w:rPr>
              <w:t>【差】得该项因素分的</w:t>
            </w:r>
            <w:r>
              <w:rPr>
                <w:rFonts w:hint="eastAsia" w:hAnsi="宋体" w:cs="宋体"/>
                <w:snapToGrid w:val="0"/>
                <w:color w:val="auto"/>
                <w:kern w:val="0"/>
                <w:szCs w:val="24"/>
                <w:lang w:val="en-US" w:eastAsia="zh-CN"/>
              </w:rPr>
              <w:t>60</w:t>
            </w:r>
            <w:r>
              <w:rPr>
                <w:rFonts w:hint="eastAsia" w:ascii="宋体" w:hAnsi="宋体" w:eastAsia="宋体" w:cs="宋体"/>
                <w:snapToGrid w:val="0"/>
                <w:color w:val="auto"/>
                <w:kern w:val="0"/>
                <w:sz w:val="24"/>
                <w:szCs w:val="24"/>
              </w:rPr>
              <w:t>%</w:t>
            </w:r>
            <w:r>
              <w:rPr>
                <w:rFonts w:hint="eastAsia" w:hAnsi="宋体" w:cs="宋体"/>
                <w:snapToGrid w:val="0"/>
                <w:color w:val="auto"/>
                <w:kern w:val="0"/>
                <w:szCs w:val="24"/>
              </w:rPr>
              <w:t>～</w:t>
            </w:r>
            <w:r>
              <w:rPr>
                <w:rFonts w:hint="eastAsia" w:hAnsi="宋体" w:cs="宋体"/>
                <w:snapToGrid w:val="0"/>
                <w:color w:val="auto"/>
                <w:kern w:val="0"/>
                <w:szCs w:val="24"/>
                <w:lang w:val="en-US" w:eastAsia="zh-CN"/>
              </w:rPr>
              <w:t>7</w:t>
            </w:r>
            <w:r>
              <w:rPr>
                <w:rFonts w:hint="eastAsia" w:hAnsi="宋体" w:cs="宋体"/>
                <w:snapToGrid w:val="0"/>
                <w:color w:val="auto"/>
                <w:kern w:val="0"/>
                <w:szCs w:val="24"/>
              </w:rPr>
              <w:t>0%（含</w:t>
            </w:r>
            <w:r>
              <w:rPr>
                <w:rFonts w:hint="eastAsia" w:hAnsi="宋体" w:cs="宋体"/>
                <w:snapToGrid w:val="0"/>
                <w:color w:val="auto"/>
                <w:kern w:val="0"/>
                <w:szCs w:val="24"/>
                <w:lang w:val="en-US" w:eastAsia="zh-CN"/>
              </w:rPr>
              <w:t>60</w:t>
            </w:r>
            <w:r>
              <w:rPr>
                <w:rFonts w:hint="eastAsia" w:ascii="宋体" w:hAnsi="宋体" w:eastAsia="宋体" w:cs="宋体"/>
                <w:snapToGrid w:val="0"/>
                <w:color w:val="auto"/>
                <w:kern w:val="0"/>
                <w:sz w:val="24"/>
                <w:szCs w:val="24"/>
              </w:rPr>
              <w:t>%</w:t>
            </w:r>
            <w:r>
              <w:rPr>
                <w:rFonts w:hint="eastAsia" w:hAnsi="宋体" w:cs="宋体"/>
                <w:snapToGrid w:val="0"/>
                <w:color w:val="auto"/>
                <w:kern w:val="0"/>
                <w:szCs w:val="24"/>
              </w:rPr>
              <w:t>）。</w:t>
            </w:r>
          </w:p>
        </w:tc>
        <w:tc>
          <w:tcPr>
            <w:tcW w:w="3535" w:type="dxa"/>
            <w:vMerge w:val="continue"/>
            <w:tcBorders>
              <w:top w:val="single" w:color="auto"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14:paraId="07B3E159">
            <w:pPr>
              <w:pStyle w:val="26"/>
              <w:keepNext w:val="0"/>
              <w:keepLines w:val="0"/>
              <w:pageBreakBefore w:val="0"/>
              <w:widowControl w:val="0"/>
              <w:kinsoku/>
              <w:wordWrap/>
              <w:overflowPunct/>
              <w:topLinePunct w:val="0"/>
              <w:autoSpaceDE/>
              <w:autoSpaceDN/>
              <w:bidi w:val="0"/>
              <w:spacing w:line="400" w:lineRule="exact"/>
              <w:textAlignment w:val="auto"/>
              <w:rPr>
                <w:rFonts w:ascii="宋体" w:hAnsi="宋体" w:eastAsia="宋体" w:cs="宋体"/>
                <w:color w:val="auto"/>
                <w:sz w:val="24"/>
                <w:szCs w:val="24"/>
              </w:rPr>
            </w:pPr>
          </w:p>
        </w:tc>
      </w:tr>
      <w:tr w14:paraId="5E1EC3DF">
        <w:tblPrEx>
          <w:tblCellMar>
            <w:top w:w="0" w:type="dxa"/>
            <w:left w:w="10" w:type="dxa"/>
            <w:bottom w:w="0" w:type="dxa"/>
            <w:right w:w="10" w:type="dxa"/>
          </w:tblCellMar>
        </w:tblPrEx>
        <w:trPr>
          <w:trHeight w:val="90" w:hRule="atLeast"/>
          <w:jc w:val="center"/>
        </w:trPr>
        <w:tc>
          <w:tcPr>
            <w:tcW w:w="12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FAF168">
            <w:pPr>
              <w:pStyle w:val="27"/>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合同、信息管理方案</w:t>
            </w:r>
          </w:p>
          <w:p w14:paraId="10D53DE2">
            <w:pPr>
              <w:pStyle w:val="27"/>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color w:val="auto"/>
                <w:sz w:val="24"/>
                <w:szCs w:val="24"/>
              </w:rPr>
            </w:pPr>
            <w:r>
              <w:rPr>
                <w:rFonts w:hint="eastAsia" w:ascii="宋体" w:hAnsi="宋体" w:eastAsia="宋体" w:cs="宋体"/>
                <w:snapToGrid w:val="0"/>
                <w:color w:val="auto"/>
                <w:kern w:val="0"/>
                <w:sz w:val="24"/>
                <w:szCs w:val="24"/>
              </w:rPr>
              <w:t>（</w:t>
            </w:r>
            <w:r>
              <w:rPr>
                <w:rFonts w:hint="eastAsia" w:ascii="宋体" w:hAnsi="宋体" w:eastAsia="宋体" w:cs="宋体"/>
                <w:snapToGrid w:val="0"/>
                <w:color w:val="auto"/>
                <w:kern w:val="0"/>
                <w:sz w:val="24"/>
                <w:szCs w:val="24"/>
                <w:u w:val="single"/>
              </w:rPr>
              <w:t>3</w:t>
            </w:r>
            <w:r>
              <w:rPr>
                <w:rFonts w:hint="eastAsia" w:ascii="宋体" w:hAnsi="宋体" w:eastAsia="宋体" w:cs="宋体"/>
                <w:snapToGrid w:val="0"/>
                <w:color w:val="auto"/>
                <w:kern w:val="0"/>
                <w:sz w:val="24"/>
                <w:szCs w:val="24"/>
              </w:rPr>
              <w:t>分）</w:t>
            </w:r>
          </w:p>
        </w:tc>
        <w:tc>
          <w:tcPr>
            <w:tcW w:w="47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ADF044">
            <w:pPr>
              <w:pStyle w:val="26"/>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【优】得该项因素分的</w:t>
            </w:r>
            <w:r>
              <w:rPr>
                <w:rFonts w:hint="eastAsia" w:ascii="宋体" w:hAnsi="宋体" w:eastAsia="宋体" w:cs="宋体"/>
                <w:snapToGrid w:val="0"/>
                <w:color w:val="auto"/>
                <w:kern w:val="0"/>
                <w:sz w:val="24"/>
                <w:szCs w:val="24"/>
                <w:lang w:val="en-US" w:eastAsia="zh-CN"/>
              </w:rPr>
              <w:t>90</w:t>
            </w:r>
            <w:r>
              <w:rPr>
                <w:rFonts w:hint="eastAsia" w:ascii="宋体" w:hAnsi="宋体" w:eastAsia="宋体" w:cs="宋体"/>
                <w:snapToGrid w:val="0"/>
                <w:color w:val="auto"/>
                <w:kern w:val="0"/>
                <w:sz w:val="24"/>
                <w:szCs w:val="24"/>
              </w:rPr>
              <w:t>%～100%（含</w:t>
            </w:r>
            <w:r>
              <w:rPr>
                <w:rFonts w:hint="eastAsia" w:ascii="宋体" w:hAnsi="宋体" w:eastAsia="宋体" w:cs="宋体"/>
                <w:snapToGrid w:val="0"/>
                <w:color w:val="auto"/>
                <w:kern w:val="0"/>
                <w:sz w:val="24"/>
                <w:szCs w:val="24"/>
                <w:lang w:val="en-US" w:eastAsia="zh-CN"/>
              </w:rPr>
              <w:t>90</w:t>
            </w:r>
            <w:r>
              <w:rPr>
                <w:rFonts w:hint="eastAsia" w:ascii="宋体" w:hAnsi="宋体" w:eastAsia="宋体" w:cs="宋体"/>
                <w:snapToGrid w:val="0"/>
                <w:color w:val="auto"/>
                <w:kern w:val="0"/>
                <w:sz w:val="24"/>
                <w:szCs w:val="24"/>
              </w:rPr>
              <w:t>%）；</w:t>
            </w:r>
          </w:p>
          <w:p w14:paraId="1348CECE">
            <w:pPr>
              <w:pStyle w:val="26"/>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【良】得该项因素分的</w:t>
            </w:r>
            <w:r>
              <w:rPr>
                <w:rFonts w:hint="eastAsia" w:ascii="宋体" w:hAnsi="宋体" w:eastAsia="宋体" w:cs="宋体"/>
                <w:snapToGrid w:val="0"/>
                <w:color w:val="auto"/>
                <w:kern w:val="0"/>
                <w:sz w:val="24"/>
                <w:szCs w:val="24"/>
                <w:lang w:val="en-US" w:eastAsia="zh-CN"/>
              </w:rPr>
              <w:t>80</w:t>
            </w:r>
            <w:r>
              <w:rPr>
                <w:rFonts w:hint="eastAsia" w:ascii="宋体" w:hAnsi="宋体" w:eastAsia="宋体" w:cs="宋体"/>
                <w:snapToGrid w:val="0"/>
                <w:color w:val="auto"/>
                <w:kern w:val="0"/>
                <w:sz w:val="24"/>
                <w:szCs w:val="24"/>
              </w:rPr>
              <w:t>%～</w:t>
            </w:r>
            <w:r>
              <w:rPr>
                <w:rFonts w:hint="eastAsia" w:ascii="宋体" w:hAnsi="宋体" w:eastAsia="宋体" w:cs="宋体"/>
                <w:snapToGrid w:val="0"/>
                <w:color w:val="auto"/>
                <w:kern w:val="0"/>
                <w:sz w:val="24"/>
                <w:szCs w:val="24"/>
                <w:lang w:val="en-US" w:eastAsia="zh-CN"/>
              </w:rPr>
              <w:t>90</w:t>
            </w:r>
            <w:r>
              <w:rPr>
                <w:rFonts w:hint="eastAsia" w:ascii="宋体" w:hAnsi="宋体" w:eastAsia="宋体" w:cs="宋体"/>
                <w:snapToGrid w:val="0"/>
                <w:color w:val="auto"/>
                <w:kern w:val="0"/>
                <w:sz w:val="24"/>
                <w:szCs w:val="24"/>
              </w:rPr>
              <w:t>%（含</w:t>
            </w:r>
            <w:r>
              <w:rPr>
                <w:rFonts w:hint="eastAsia" w:ascii="宋体" w:hAnsi="宋体" w:eastAsia="宋体" w:cs="宋体"/>
                <w:snapToGrid w:val="0"/>
                <w:color w:val="auto"/>
                <w:kern w:val="0"/>
                <w:sz w:val="24"/>
                <w:szCs w:val="24"/>
                <w:lang w:val="en-US" w:eastAsia="zh-CN"/>
              </w:rPr>
              <w:t>80</w:t>
            </w:r>
            <w:r>
              <w:rPr>
                <w:rFonts w:hint="eastAsia" w:ascii="宋体" w:hAnsi="宋体" w:eastAsia="宋体" w:cs="宋体"/>
                <w:snapToGrid w:val="0"/>
                <w:color w:val="auto"/>
                <w:kern w:val="0"/>
                <w:sz w:val="24"/>
                <w:szCs w:val="24"/>
              </w:rPr>
              <w:t>%）；</w:t>
            </w:r>
          </w:p>
          <w:p w14:paraId="35A80A6D">
            <w:pPr>
              <w:pStyle w:val="26"/>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【中】得该项因素分的</w:t>
            </w:r>
            <w:r>
              <w:rPr>
                <w:rFonts w:hint="eastAsia" w:ascii="宋体" w:hAnsi="宋体" w:eastAsia="宋体" w:cs="宋体"/>
                <w:snapToGrid w:val="0"/>
                <w:color w:val="auto"/>
                <w:kern w:val="0"/>
                <w:sz w:val="24"/>
                <w:szCs w:val="24"/>
                <w:lang w:val="en-US" w:eastAsia="zh-CN"/>
              </w:rPr>
              <w:t>70</w:t>
            </w:r>
            <w:r>
              <w:rPr>
                <w:rFonts w:hint="eastAsia" w:ascii="宋体" w:hAnsi="宋体" w:eastAsia="宋体" w:cs="宋体"/>
                <w:snapToGrid w:val="0"/>
                <w:color w:val="auto"/>
                <w:kern w:val="0"/>
                <w:sz w:val="24"/>
                <w:szCs w:val="24"/>
              </w:rPr>
              <w:t>%～</w:t>
            </w:r>
            <w:r>
              <w:rPr>
                <w:rFonts w:hint="eastAsia" w:ascii="宋体" w:hAnsi="宋体" w:eastAsia="宋体" w:cs="宋体"/>
                <w:snapToGrid w:val="0"/>
                <w:color w:val="auto"/>
                <w:kern w:val="0"/>
                <w:sz w:val="24"/>
                <w:szCs w:val="24"/>
                <w:lang w:val="en-US" w:eastAsia="zh-CN"/>
              </w:rPr>
              <w:t>80</w:t>
            </w:r>
            <w:r>
              <w:rPr>
                <w:rFonts w:hint="eastAsia" w:ascii="宋体" w:hAnsi="宋体" w:eastAsia="宋体" w:cs="宋体"/>
                <w:snapToGrid w:val="0"/>
                <w:color w:val="auto"/>
                <w:kern w:val="0"/>
                <w:sz w:val="24"/>
                <w:szCs w:val="24"/>
              </w:rPr>
              <w:t>%（含</w:t>
            </w:r>
            <w:r>
              <w:rPr>
                <w:rFonts w:hint="eastAsia" w:ascii="宋体" w:hAnsi="宋体" w:eastAsia="宋体" w:cs="宋体"/>
                <w:snapToGrid w:val="0"/>
                <w:color w:val="auto"/>
                <w:kern w:val="0"/>
                <w:sz w:val="24"/>
                <w:szCs w:val="24"/>
                <w:lang w:val="en-US" w:eastAsia="zh-CN"/>
              </w:rPr>
              <w:t>70</w:t>
            </w:r>
            <w:r>
              <w:rPr>
                <w:rFonts w:hint="eastAsia" w:ascii="宋体" w:hAnsi="宋体" w:eastAsia="宋体" w:cs="宋体"/>
                <w:snapToGrid w:val="0"/>
                <w:color w:val="auto"/>
                <w:kern w:val="0"/>
                <w:sz w:val="24"/>
                <w:szCs w:val="24"/>
              </w:rPr>
              <w:t>%）；</w:t>
            </w:r>
          </w:p>
          <w:p w14:paraId="6E37EEC3">
            <w:pPr>
              <w:pStyle w:val="7"/>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ascii="宋体" w:hAnsi="宋体" w:eastAsia="宋体" w:cs="宋体"/>
                <w:color w:val="auto"/>
                <w:sz w:val="24"/>
                <w:szCs w:val="24"/>
              </w:rPr>
            </w:pPr>
            <w:r>
              <w:rPr>
                <w:rFonts w:hint="eastAsia" w:hAnsi="宋体" w:cs="宋体"/>
                <w:snapToGrid w:val="0"/>
                <w:color w:val="auto"/>
                <w:kern w:val="0"/>
                <w:szCs w:val="24"/>
              </w:rPr>
              <w:t>【差】得该项因素分的</w:t>
            </w:r>
            <w:r>
              <w:rPr>
                <w:rFonts w:hint="eastAsia" w:hAnsi="宋体" w:cs="宋体"/>
                <w:snapToGrid w:val="0"/>
                <w:color w:val="auto"/>
                <w:kern w:val="0"/>
                <w:szCs w:val="24"/>
                <w:lang w:val="en-US" w:eastAsia="zh-CN"/>
              </w:rPr>
              <w:t>60</w:t>
            </w:r>
            <w:r>
              <w:rPr>
                <w:rFonts w:hint="eastAsia" w:ascii="宋体" w:hAnsi="宋体" w:eastAsia="宋体" w:cs="宋体"/>
                <w:snapToGrid w:val="0"/>
                <w:color w:val="auto"/>
                <w:kern w:val="0"/>
                <w:sz w:val="24"/>
                <w:szCs w:val="24"/>
              </w:rPr>
              <w:t>%</w:t>
            </w:r>
            <w:r>
              <w:rPr>
                <w:rFonts w:hint="eastAsia" w:hAnsi="宋体" w:cs="宋体"/>
                <w:snapToGrid w:val="0"/>
                <w:color w:val="auto"/>
                <w:kern w:val="0"/>
                <w:szCs w:val="24"/>
              </w:rPr>
              <w:t>～</w:t>
            </w:r>
            <w:r>
              <w:rPr>
                <w:rFonts w:hint="eastAsia" w:hAnsi="宋体" w:cs="宋体"/>
                <w:snapToGrid w:val="0"/>
                <w:color w:val="auto"/>
                <w:kern w:val="0"/>
                <w:szCs w:val="24"/>
                <w:lang w:val="en-US" w:eastAsia="zh-CN"/>
              </w:rPr>
              <w:t>7</w:t>
            </w:r>
            <w:r>
              <w:rPr>
                <w:rFonts w:hint="eastAsia" w:hAnsi="宋体" w:cs="宋体"/>
                <w:snapToGrid w:val="0"/>
                <w:color w:val="auto"/>
                <w:kern w:val="0"/>
                <w:szCs w:val="24"/>
              </w:rPr>
              <w:t>0%（含</w:t>
            </w:r>
            <w:r>
              <w:rPr>
                <w:rFonts w:hint="eastAsia" w:hAnsi="宋体" w:cs="宋体"/>
                <w:snapToGrid w:val="0"/>
                <w:color w:val="auto"/>
                <w:kern w:val="0"/>
                <w:szCs w:val="24"/>
                <w:lang w:val="en-US" w:eastAsia="zh-CN"/>
              </w:rPr>
              <w:t>60</w:t>
            </w:r>
            <w:r>
              <w:rPr>
                <w:rFonts w:hint="eastAsia" w:ascii="宋体" w:hAnsi="宋体" w:eastAsia="宋体" w:cs="宋体"/>
                <w:snapToGrid w:val="0"/>
                <w:color w:val="auto"/>
                <w:kern w:val="0"/>
                <w:sz w:val="24"/>
                <w:szCs w:val="24"/>
              </w:rPr>
              <w:t>%</w:t>
            </w:r>
            <w:r>
              <w:rPr>
                <w:rFonts w:hint="eastAsia" w:hAnsi="宋体" w:cs="宋体"/>
                <w:snapToGrid w:val="0"/>
                <w:color w:val="auto"/>
                <w:kern w:val="0"/>
                <w:szCs w:val="24"/>
              </w:rPr>
              <w:t>）。</w:t>
            </w:r>
          </w:p>
        </w:tc>
        <w:tc>
          <w:tcPr>
            <w:tcW w:w="35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4F16CE">
            <w:pPr>
              <w:pStyle w:val="26"/>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eastAsia="宋体" w:cs="宋体"/>
                <w:color w:val="auto"/>
                <w:sz w:val="24"/>
                <w:szCs w:val="24"/>
              </w:rPr>
            </w:pPr>
            <w:r>
              <w:rPr>
                <w:rFonts w:hint="eastAsia" w:ascii="宋体" w:hAnsi="宋体" w:eastAsia="宋体" w:cs="宋体"/>
                <w:snapToGrid w:val="0"/>
                <w:color w:val="auto"/>
                <w:kern w:val="0"/>
                <w:sz w:val="24"/>
                <w:szCs w:val="24"/>
              </w:rPr>
              <w:t>要求各项制度规范清晰，方法科学合理，措施及时有效，针对性强。能够切实防范和处理合同纠纷，提升监理工作效能。</w:t>
            </w:r>
          </w:p>
        </w:tc>
      </w:tr>
      <w:tr w14:paraId="19BC49CC">
        <w:tblPrEx>
          <w:tblCellMar>
            <w:top w:w="0" w:type="dxa"/>
            <w:left w:w="10" w:type="dxa"/>
            <w:bottom w:w="0" w:type="dxa"/>
            <w:right w:w="10" w:type="dxa"/>
          </w:tblCellMar>
        </w:tblPrEx>
        <w:trPr>
          <w:trHeight w:val="90" w:hRule="atLeast"/>
          <w:jc w:val="center"/>
        </w:trPr>
        <w:tc>
          <w:tcPr>
            <w:tcW w:w="12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0C23E7">
            <w:pPr>
              <w:pStyle w:val="27"/>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组织协调</w:t>
            </w:r>
          </w:p>
          <w:p w14:paraId="2FE08F30">
            <w:pPr>
              <w:pStyle w:val="27"/>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内容及措施</w:t>
            </w:r>
          </w:p>
          <w:p w14:paraId="7C59D05C">
            <w:pPr>
              <w:pStyle w:val="27"/>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color w:val="auto"/>
                <w:sz w:val="24"/>
                <w:szCs w:val="24"/>
              </w:rPr>
            </w:pPr>
            <w:r>
              <w:rPr>
                <w:rFonts w:hint="eastAsia" w:ascii="宋体" w:hAnsi="宋体" w:eastAsia="宋体" w:cs="宋体"/>
                <w:snapToGrid w:val="0"/>
                <w:color w:val="auto"/>
                <w:kern w:val="0"/>
                <w:sz w:val="24"/>
                <w:szCs w:val="24"/>
              </w:rPr>
              <w:t>（</w:t>
            </w:r>
            <w:r>
              <w:rPr>
                <w:rFonts w:hint="eastAsia" w:ascii="宋体" w:hAnsi="宋体" w:eastAsia="宋体" w:cs="宋体"/>
                <w:snapToGrid w:val="0"/>
                <w:color w:val="auto"/>
                <w:kern w:val="0"/>
                <w:sz w:val="24"/>
                <w:szCs w:val="24"/>
                <w:u w:val="single"/>
              </w:rPr>
              <w:t>3</w:t>
            </w:r>
            <w:r>
              <w:rPr>
                <w:rFonts w:hint="eastAsia" w:ascii="宋体" w:hAnsi="宋体" w:eastAsia="宋体" w:cs="宋体"/>
                <w:snapToGrid w:val="0"/>
                <w:color w:val="auto"/>
                <w:kern w:val="0"/>
                <w:sz w:val="24"/>
                <w:szCs w:val="24"/>
              </w:rPr>
              <w:t>分）</w:t>
            </w:r>
          </w:p>
        </w:tc>
        <w:tc>
          <w:tcPr>
            <w:tcW w:w="47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3709F2">
            <w:pPr>
              <w:pStyle w:val="26"/>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【优】得该项因素分的</w:t>
            </w:r>
            <w:r>
              <w:rPr>
                <w:rFonts w:hint="eastAsia" w:ascii="宋体" w:hAnsi="宋体" w:eastAsia="宋体" w:cs="宋体"/>
                <w:snapToGrid w:val="0"/>
                <w:color w:val="auto"/>
                <w:kern w:val="0"/>
                <w:sz w:val="24"/>
                <w:szCs w:val="24"/>
                <w:lang w:val="en-US" w:eastAsia="zh-CN"/>
              </w:rPr>
              <w:t>90</w:t>
            </w:r>
            <w:r>
              <w:rPr>
                <w:rFonts w:hint="eastAsia" w:ascii="宋体" w:hAnsi="宋体" w:eastAsia="宋体" w:cs="宋体"/>
                <w:snapToGrid w:val="0"/>
                <w:color w:val="auto"/>
                <w:kern w:val="0"/>
                <w:sz w:val="24"/>
                <w:szCs w:val="24"/>
              </w:rPr>
              <w:t>%～100%（含</w:t>
            </w:r>
            <w:r>
              <w:rPr>
                <w:rFonts w:hint="eastAsia" w:ascii="宋体" w:hAnsi="宋体" w:eastAsia="宋体" w:cs="宋体"/>
                <w:snapToGrid w:val="0"/>
                <w:color w:val="auto"/>
                <w:kern w:val="0"/>
                <w:sz w:val="24"/>
                <w:szCs w:val="24"/>
                <w:lang w:val="en-US" w:eastAsia="zh-CN"/>
              </w:rPr>
              <w:t>90</w:t>
            </w:r>
            <w:r>
              <w:rPr>
                <w:rFonts w:hint="eastAsia" w:ascii="宋体" w:hAnsi="宋体" w:eastAsia="宋体" w:cs="宋体"/>
                <w:snapToGrid w:val="0"/>
                <w:color w:val="auto"/>
                <w:kern w:val="0"/>
                <w:sz w:val="24"/>
                <w:szCs w:val="24"/>
              </w:rPr>
              <w:t>%）；</w:t>
            </w:r>
          </w:p>
          <w:p w14:paraId="3C4C5A84">
            <w:pPr>
              <w:pStyle w:val="26"/>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【良】得该项因素分的</w:t>
            </w:r>
            <w:r>
              <w:rPr>
                <w:rFonts w:hint="eastAsia" w:ascii="宋体" w:hAnsi="宋体" w:eastAsia="宋体" w:cs="宋体"/>
                <w:snapToGrid w:val="0"/>
                <w:color w:val="auto"/>
                <w:kern w:val="0"/>
                <w:sz w:val="24"/>
                <w:szCs w:val="24"/>
                <w:lang w:val="en-US" w:eastAsia="zh-CN"/>
              </w:rPr>
              <w:t>80</w:t>
            </w:r>
            <w:r>
              <w:rPr>
                <w:rFonts w:hint="eastAsia" w:ascii="宋体" w:hAnsi="宋体" w:eastAsia="宋体" w:cs="宋体"/>
                <w:snapToGrid w:val="0"/>
                <w:color w:val="auto"/>
                <w:kern w:val="0"/>
                <w:sz w:val="24"/>
                <w:szCs w:val="24"/>
              </w:rPr>
              <w:t>%～</w:t>
            </w:r>
            <w:r>
              <w:rPr>
                <w:rFonts w:hint="eastAsia" w:ascii="宋体" w:hAnsi="宋体" w:eastAsia="宋体" w:cs="宋体"/>
                <w:snapToGrid w:val="0"/>
                <w:color w:val="auto"/>
                <w:kern w:val="0"/>
                <w:sz w:val="24"/>
                <w:szCs w:val="24"/>
                <w:lang w:val="en-US" w:eastAsia="zh-CN"/>
              </w:rPr>
              <w:t>90</w:t>
            </w:r>
            <w:r>
              <w:rPr>
                <w:rFonts w:hint="eastAsia" w:ascii="宋体" w:hAnsi="宋体" w:eastAsia="宋体" w:cs="宋体"/>
                <w:snapToGrid w:val="0"/>
                <w:color w:val="auto"/>
                <w:kern w:val="0"/>
                <w:sz w:val="24"/>
                <w:szCs w:val="24"/>
              </w:rPr>
              <w:t>%（含</w:t>
            </w:r>
            <w:r>
              <w:rPr>
                <w:rFonts w:hint="eastAsia" w:ascii="宋体" w:hAnsi="宋体" w:eastAsia="宋体" w:cs="宋体"/>
                <w:snapToGrid w:val="0"/>
                <w:color w:val="auto"/>
                <w:kern w:val="0"/>
                <w:sz w:val="24"/>
                <w:szCs w:val="24"/>
                <w:lang w:val="en-US" w:eastAsia="zh-CN"/>
              </w:rPr>
              <w:t>80</w:t>
            </w:r>
            <w:r>
              <w:rPr>
                <w:rFonts w:hint="eastAsia" w:ascii="宋体" w:hAnsi="宋体" w:eastAsia="宋体" w:cs="宋体"/>
                <w:snapToGrid w:val="0"/>
                <w:color w:val="auto"/>
                <w:kern w:val="0"/>
                <w:sz w:val="24"/>
                <w:szCs w:val="24"/>
              </w:rPr>
              <w:t>%）；</w:t>
            </w:r>
          </w:p>
          <w:p w14:paraId="453143FD">
            <w:pPr>
              <w:pStyle w:val="26"/>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【中】得该项因素分的</w:t>
            </w:r>
            <w:r>
              <w:rPr>
                <w:rFonts w:hint="eastAsia" w:ascii="宋体" w:hAnsi="宋体" w:eastAsia="宋体" w:cs="宋体"/>
                <w:snapToGrid w:val="0"/>
                <w:color w:val="auto"/>
                <w:kern w:val="0"/>
                <w:sz w:val="24"/>
                <w:szCs w:val="24"/>
                <w:lang w:val="en-US" w:eastAsia="zh-CN"/>
              </w:rPr>
              <w:t>70</w:t>
            </w:r>
            <w:r>
              <w:rPr>
                <w:rFonts w:hint="eastAsia" w:ascii="宋体" w:hAnsi="宋体" w:eastAsia="宋体" w:cs="宋体"/>
                <w:snapToGrid w:val="0"/>
                <w:color w:val="auto"/>
                <w:kern w:val="0"/>
                <w:sz w:val="24"/>
                <w:szCs w:val="24"/>
              </w:rPr>
              <w:t>%～</w:t>
            </w:r>
            <w:r>
              <w:rPr>
                <w:rFonts w:hint="eastAsia" w:ascii="宋体" w:hAnsi="宋体" w:eastAsia="宋体" w:cs="宋体"/>
                <w:snapToGrid w:val="0"/>
                <w:color w:val="auto"/>
                <w:kern w:val="0"/>
                <w:sz w:val="24"/>
                <w:szCs w:val="24"/>
                <w:lang w:val="en-US" w:eastAsia="zh-CN"/>
              </w:rPr>
              <w:t>80</w:t>
            </w:r>
            <w:r>
              <w:rPr>
                <w:rFonts w:hint="eastAsia" w:ascii="宋体" w:hAnsi="宋体" w:eastAsia="宋体" w:cs="宋体"/>
                <w:snapToGrid w:val="0"/>
                <w:color w:val="auto"/>
                <w:kern w:val="0"/>
                <w:sz w:val="24"/>
                <w:szCs w:val="24"/>
              </w:rPr>
              <w:t>%（含</w:t>
            </w:r>
            <w:r>
              <w:rPr>
                <w:rFonts w:hint="eastAsia" w:ascii="宋体" w:hAnsi="宋体" w:eastAsia="宋体" w:cs="宋体"/>
                <w:snapToGrid w:val="0"/>
                <w:color w:val="auto"/>
                <w:kern w:val="0"/>
                <w:sz w:val="24"/>
                <w:szCs w:val="24"/>
                <w:lang w:val="en-US" w:eastAsia="zh-CN"/>
              </w:rPr>
              <w:t>70</w:t>
            </w:r>
            <w:r>
              <w:rPr>
                <w:rFonts w:hint="eastAsia" w:ascii="宋体" w:hAnsi="宋体" w:eastAsia="宋体" w:cs="宋体"/>
                <w:snapToGrid w:val="0"/>
                <w:color w:val="auto"/>
                <w:kern w:val="0"/>
                <w:sz w:val="24"/>
                <w:szCs w:val="24"/>
              </w:rPr>
              <w:t>%）；</w:t>
            </w:r>
          </w:p>
          <w:p w14:paraId="130024E1">
            <w:pPr>
              <w:pStyle w:val="7"/>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ascii="宋体" w:hAnsi="宋体" w:eastAsia="宋体" w:cs="宋体"/>
                <w:color w:val="auto"/>
                <w:sz w:val="24"/>
                <w:szCs w:val="24"/>
              </w:rPr>
            </w:pPr>
            <w:r>
              <w:rPr>
                <w:rFonts w:hint="eastAsia" w:hAnsi="宋体" w:cs="宋体"/>
                <w:snapToGrid w:val="0"/>
                <w:color w:val="auto"/>
                <w:kern w:val="0"/>
                <w:szCs w:val="24"/>
              </w:rPr>
              <w:t>【差】得该项因素分的</w:t>
            </w:r>
            <w:r>
              <w:rPr>
                <w:rFonts w:hint="eastAsia" w:hAnsi="宋体" w:cs="宋体"/>
                <w:snapToGrid w:val="0"/>
                <w:color w:val="auto"/>
                <w:kern w:val="0"/>
                <w:szCs w:val="24"/>
                <w:lang w:val="en-US" w:eastAsia="zh-CN"/>
              </w:rPr>
              <w:t>60</w:t>
            </w:r>
            <w:r>
              <w:rPr>
                <w:rFonts w:hint="eastAsia" w:ascii="宋体" w:hAnsi="宋体" w:eastAsia="宋体" w:cs="宋体"/>
                <w:snapToGrid w:val="0"/>
                <w:color w:val="auto"/>
                <w:kern w:val="0"/>
                <w:sz w:val="24"/>
                <w:szCs w:val="24"/>
              </w:rPr>
              <w:t>%</w:t>
            </w:r>
            <w:r>
              <w:rPr>
                <w:rFonts w:hint="eastAsia" w:hAnsi="宋体" w:cs="宋体"/>
                <w:snapToGrid w:val="0"/>
                <w:color w:val="auto"/>
                <w:kern w:val="0"/>
                <w:szCs w:val="24"/>
              </w:rPr>
              <w:t>～</w:t>
            </w:r>
            <w:r>
              <w:rPr>
                <w:rFonts w:hint="eastAsia" w:hAnsi="宋体" w:cs="宋体"/>
                <w:snapToGrid w:val="0"/>
                <w:color w:val="auto"/>
                <w:kern w:val="0"/>
                <w:szCs w:val="24"/>
                <w:lang w:val="en-US" w:eastAsia="zh-CN"/>
              </w:rPr>
              <w:t>7</w:t>
            </w:r>
            <w:r>
              <w:rPr>
                <w:rFonts w:hint="eastAsia" w:hAnsi="宋体" w:cs="宋体"/>
                <w:snapToGrid w:val="0"/>
                <w:color w:val="auto"/>
                <w:kern w:val="0"/>
                <w:szCs w:val="24"/>
              </w:rPr>
              <w:t>0%（含</w:t>
            </w:r>
            <w:r>
              <w:rPr>
                <w:rFonts w:hint="eastAsia" w:hAnsi="宋体" w:cs="宋体"/>
                <w:snapToGrid w:val="0"/>
                <w:color w:val="auto"/>
                <w:kern w:val="0"/>
                <w:szCs w:val="24"/>
                <w:lang w:val="en-US" w:eastAsia="zh-CN"/>
              </w:rPr>
              <w:t>60</w:t>
            </w:r>
            <w:r>
              <w:rPr>
                <w:rFonts w:hint="eastAsia" w:ascii="宋体" w:hAnsi="宋体" w:eastAsia="宋体" w:cs="宋体"/>
                <w:snapToGrid w:val="0"/>
                <w:color w:val="auto"/>
                <w:kern w:val="0"/>
                <w:sz w:val="24"/>
                <w:szCs w:val="24"/>
              </w:rPr>
              <w:t>%</w:t>
            </w:r>
            <w:r>
              <w:rPr>
                <w:rFonts w:hint="eastAsia" w:hAnsi="宋体" w:cs="宋体"/>
                <w:snapToGrid w:val="0"/>
                <w:color w:val="auto"/>
                <w:kern w:val="0"/>
                <w:szCs w:val="24"/>
              </w:rPr>
              <w:t>）。</w:t>
            </w:r>
          </w:p>
        </w:tc>
        <w:tc>
          <w:tcPr>
            <w:tcW w:w="35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85F678">
            <w:pPr>
              <w:pStyle w:val="26"/>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eastAsia="宋体" w:cs="宋体"/>
                <w:color w:val="auto"/>
                <w:sz w:val="24"/>
                <w:szCs w:val="24"/>
              </w:rPr>
            </w:pPr>
            <w:r>
              <w:rPr>
                <w:rFonts w:hint="eastAsia" w:ascii="宋体" w:hAnsi="宋体" w:eastAsia="宋体" w:cs="宋体"/>
                <w:snapToGrid w:val="0"/>
                <w:color w:val="auto"/>
                <w:kern w:val="0"/>
                <w:sz w:val="24"/>
                <w:szCs w:val="24"/>
              </w:rPr>
              <w:t>要求各项制度规范清晰，方法科学合理，措施及时有效，针对性强。能够高效收集、协调、处理、反馈各方各类问题。</w:t>
            </w:r>
          </w:p>
        </w:tc>
      </w:tr>
      <w:tr w14:paraId="66A16A5E">
        <w:tblPrEx>
          <w:tblCellMar>
            <w:top w:w="0" w:type="dxa"/>
            <w:left w:w="10" w:type="dxa"/>
            <w:bottom w:w="0" w:type="dxa"/>
            <w:right w:w="10" w:type="dxa"/>
          </w:tblCellMar>
        </w:tblPrEx>
        <w:trPr>
          <w:trHeight w:val="90" w:hRule="atLeast"/>
          <w:jc w:val="center"/>
        </w:trPr>
        <w:tc>
          <w:tcPr>
            <w:tcW w:w="12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EA60B3">
            <w:pPr>
              <w:pStyle w:val="27"/>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监理工作重点、难点分析</w:t>
            </w:r>
          </w:p>
          <w:p w14:paraId="58C7F6FE">
            <w:pPr>
              <w:pStyle w:val="27"/>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color w:val="auto"/>
                <w:sz w:val="24"/>
                <w:szCs w:val="24"/>
              </w:rPr>
            </w:pPr>
            <w:r>
              <w:rPr>
                <w:rFonts w:hint="eastAsia" w:ascii="宋体" w:hAnsi="宋体" w:eastAsia="宋体" w:cs="宋体"/>
                <w:snapToGrid w:val="0"/>
                <w:color w:val="auto"/>
                <w:kern w:val="0"/>
                <w:sz w:val="24"/>
                <w:szCs w:val="24"/>
              </w:rPr>
              <w:t>（</w:t>
            </w:r>
            <w:r>
              <w:rPr>
                <w:rFonts w:hint="eastAsia" w:ascii="宋体" w:hAnsi="宋体" w:eastAsia="宋体" w:cs="宋体"/>
                <w:snapToGrid w:val="0"/>
                <w:color w:val="auto"/>
                <w:kern w:val="0"/>
                <w:sz w:val="24"/>
                <w:szCs w:val="24"/>
                <w:u w:val="single"/>
              </w:rPr>
              <w:t>3</w:t>
            </w:r>
            <w:r>
              <w:rPr>
                <w:rFonts w:hint="eastAsia" w:ascii="宋体" w:hAnsi="宋体" w:eastAsia="宋体" w:cs="宋体"/>
                <w:snapToGrid w:val="0"/>
                <w:color w:val="auto"/>
                <w:kern w:val="0"/>
                <w:sz w:val="24"/>
                <w:szCs w:val="24"/>
              </w:rPr>
              <w:t>分）</w:t>
            </w:r>
          </w:p>
        </w:tc>
        <w:tc>
          <w:tcPr>
            <w:tcW w:w="47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5F318D">
            <w:pPr>
              <w:pStyle w:val="26"/>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【优】得该项因素分的</w:t>
            </w:r>
            <w:r>
              <w:rPr>
                <w:rFonts w:hint="eastAsia" w:ascii="宋体" w:hAnsi="宋体" w:eastAsia="宋体" w:cs="宋体"/>
                <w:snapToGrid w:val="0"/>
                <w:color w:val="auto"/>
                <w:kern w:val="0"/>
                <w:sz w:val="24"/>
                <w:szCs w:val="24"/>
                <w:lang w:val="en-US" w:eastAsia="zh-CN"/>
              </w:rPr>
              <w:t>90</w:t>
            </w:r>
            <w:r>
              <w:rPr>
                <w:rFonts w:hint="eastAsia" w:ascii="宋体" w:hAnsi="宋体" w:eastAsia="宋体" w:cs="宋体"/>
                <w:snapToGrid w:val="0"/>
                <w:color w:val="auto"/>
                <w:kern w:val="0"/>
                <w:sz w:val="24"/>
                <w:szCs w:val="24"/>
              </w:rPr>
              <w:t>%～100%（含</w:t>
            </w:r>
            <w:r>
              <w:rPr>
                <w:rFonts w:hint="eastAsia" w:ascii="宋体" w:hAnsi="宋体" w:eastAsia="宋体" w:cs="宋体"/>
                <w:snapToGrid w:val="0"/>
                <w:color w:val="auto"/>
                <w:kern w:val="0"/>
                <w:sz w:val="24"/>
                <w:szCs w:val="24"/>
                <w:lang w:val="en-US" w:eastAsia="zh-CN"/>
              </w:rPr>
              <w:t>90</w:t>
            </w:r>
            <w:r>
              <w:rPr>
                <w:rFonts w:hint="eastAsia" w:ascii="宋体" w:hAnsi="宋体" w:eastAsia="宋体" w:cs="宋体"/>
                <w:snapToGrid w:val="0"/>
                <w:color w:val="auto"/>
                <w:kern w:val="0"/>
                <w:sz w:val="24"/>
                <w:szCs w:val="24"/>
              </w:rPr>
              <w:t>%）；</w:t>
            </w:r>
          </w:p>
          <w:p w14:paraId="38EE0765">
            <w:pPr>
              <w:pStyle w:val="26"/>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【良】得该项因素分的</w:t>
            </w:r>
            <w:r>
              <w:rPr>
                <w:rFonts w:hint="eastAsia" w:ascii="宋体" w:hAnsi="宋体" w:eastAsia="宋体" w:cs="宋体"/>
                <w:snapToGrid w:val="0"/>
                <w:color w:val="auto"/>
                <w:kern w:val="0"/>
                <w:sz w:val="24"/>
                <w:szCs w:val="24"/>
                <w:lang w:val="en-US" w:eastAsia="zh-CN"/>
              </w:rPr>
              <w:t>80</w:t>
            </w:r>
            <w:r>
              <w:rPr>
                <w:rFonts w:hint="eastAsia" w:ascii="宋体" w:hAnsi="宋体" w:eastAsia="宋体" w:cs="宋体"/>
                <w:snapToGrid w:val="0"/>
                <w:color w:val="auto"/>
                <w:kern w:val="0"/>
                <w:sz w:val="24"/>
                <w:szCs w:val="24"/>
              </w:rPr>
              <w:t>%～</w:t>
            </w:r>
            <w:r>
              <w:rPr>
                <w:rFonts w:hint="eastAsia" w:ascii="宋体" w:hAnsi="宋体" w:eastAsia="宋体" w:cs="宋体"/>
                <w:snapToGrid w:val="0"/>
                <w:color w:val="auto"/>
                <w:kern w:val="0"/>
                <w:sz w:val="24"/>
                <w:szCs w:val="24"/>
                <w:lang w:val="en-US" w:eastAsia="zh-CN"/>
              </w:rPr>
              <w:t>90</w:t>
            </w:r>
            <w:r>
              <w:rPr>
                <w:rFonts w:hint="eastAsia" w:ascii="宋体" w:hAnsi="宋体" w:eastAsia="宋体" w:cs="宋体"/>
                <w:snapToGrid w:val="0"/>
                <w:color w:val="auto"/>
                <w:kern w:val="0"/>
                <w:sz w:val="24"/>
                <w:szCs w:val="24"/>
              </w:rPr>
              <w:t>%（含</w:t>
            </w:r>
            <w:r>
              <w:rPr>
                <w:rFonts w:hint="eastAsia" w:ascii="宋体" w:hAnsi="宋体" w:eastAsia="宋体" w:cs="宋体"/>
                <w:snapToGrid w:val="0"/>
                <w:color w:val="auto"/>
                <w:kern w:val="0"/>
                <w:sz w:val="24"/>
                <w:szCs w:val="24"/>
                <w:lang w:val="en-US" w:eastAsia="zh-CN"/>
              </w:rPr>
              <w:t>80</w:t>
            </w:r>
            <w:r>
              <w:rPr>
                <w:rFonts w:hint="eastAsia" w:ascii="宋体" w:hAnsi="宋体" w:eastAsia="宋体" w:cs="宋体"/>
                <w:snapToGrid w:val="0"/>
                <w:color w:val="auto"/>
                <w:kern w:val="0"/>
                <w:sz w:val="24"/>
                <w:szCs w:val="24"/>
              </w:rPr>
              <w:t>%）；</w:t>
            </w:r>
          </w:p>
          <w:p w14:paraId="73A5F1FE">
            <w:pPr>
              <w:pStyle w:val="26"/>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【中】得该项因素分的</w:t>
            </w:r>
            <w:r>
              <w:rPr>
                <w:rFonts w:hint="eastAsia" w:ascii="宋体" w:hAnsi="宋体" w:eastAsia="宋体" w:cs="宋体"/>
                <w:snapToGrid w:val="0"/>
                <w:color w:val="auto"/>
                <w:kern w:val="0"/>
                <w:sz w:val="24"/>
                <w:szCs w:val="24"/>
                <w:lang w:val="en-US" w:eastAsia="zh-CN"/>
              </w:rPr>
              <w:t>70</w:t>
            </w:r>
            <w:r>
              <w:rPr>
                <w:rFonts w:hint="eastAsia" w:ascii="宋体" w:hAnsi="宋体" w:eastAsia="宋体" w:cs="宋体"/>
                <w:snapToGrid w:val="0"/>
                <w:color w:val="auto"/>
                <w:kern w:val="0"/>
                <w:sz w:val="24"/>
                <w:szCs w:val="24"/>
              </w:rPr>
              <w:t>%～</w:t>
            </w:r>
            <w:r>
              <w:rPr>
                <w:rFonts w:hint="eastAsia" w:ascii="宋体" w:hAnsi="宋体" w:eastAsia="宋体" w:cs="宋体"/>
                <w:snapToGrid w:val="0"/>
                <w:color w:val="auto"/>
                <w:kern w:val="0"/>
                <w:sz w:val="24"/>
                <w:szCs w:val="24"/>
                <w:lang w:val="en-US" w:eastAsia="zh-CN"/>
              </w:rPr>
              <w:t>80</w:t>
            </w:r>
            <w:r>
              <w:rPr>
                <w:rFonts w:hint="eastAsia" w:ascii="宋体" w:hAnsi="宋体" w:eastAsia="宋体" w:cs="宋体"/>
                <w:snapToGrid w:val="0"/>
                <w:color w:val="auto"/>
                <w:kern w:val="0"/>
                <w:sz w:val="24"/>
                <w:szCs w:val="24"/>
              </w:rPr>
              <w:t>%（含</w:t>
            </w:r>
            <w:r>
              <w:rPr>
                <w:rFonts w:hint="eastAsia" w:ascii="宋体" w:hAnsi="宋体" w:eastAsia="宋体" w:cs="宋体"/>
                <w:snapToGrid w:val="0"/>
                <w:color w:val="auto"/>
                <w:kern w:val="0"/>
                <w:sz w:val="24"/>
                <w:szCs w:val="24"/>
                <w:lang w:val="en-US" w:eastAsia="zh-CN"/>
              </w:rPr>
              <w:t>70</w:t>
            </w:r>
            <w:r>
              <w:rPr>
                <w:rFonts w:hint="eastAsia" w:ascii="宋体" w:hAnsi="宋体" w:eastAsia="宋体" w:cs="宋体"/>
                <w:snapToGrid w:val="0"/>
                <w:color w:val="auto"/>
                <w:kern w:val="0"/>
                <w:sz w:val="24"/>
                <w:szCs w:val="24"/>
              </w:rPr>
              <w:t>%）；</w:t>
            </w:r>
          </w:p>
          <w:p w14:paraId="4A16E3F2">
            <w:pPr>
              <w:pStyle w:val="7"/>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ascii="宋体" w:hAnsi="宋体" w:eastAsia="宋体" w:cs="宋体"/>
                <w:color w:val="auto"/>
                <w:sz w:val="24"/>
                <w:szCs w:val="24"/>
              </w:rPr>
            </w:pPr>
            <w:r>
              <w:rPr>
                <w:rFonts w:hint="eastAsia" w:hAnsi="宋体" w:cs="宋体"/>
                <w:snapToGrid w:val="0"/>
                <w:color w:val="auto"/>
                <w:kern w:val="0"/>
                <w:szCs w:val="24"/>
              </w:rPr>
              <w:t>【差】得该项因素分的</w:t>
            </w:r>
            <w:r>
              <w:rPr>
                <w:rFonts w:hint="eastAsia" w:hAnsi="宋体" w:cs="宋体"/>
                <w:snapToGrid w:val="0"/>
                <w:color w:val="auto"/>
                <w:kern w:val="0"/>
                <w:szCs w:val="24"/>
                <w:lang w:val="en-US" w:eastAsia="zh-CN"/>
              </w:rPr>
              <w:t>60</w:t>
            </w:r>
            <w:r>
              <w:rPr>
                <w:rFonts w:hint="eastAsia" w:ascii="宋体" w:hAnsi="宋体" w:eastAsia="宋体" w:cs="宋体"/>
                <w:snapToGrid w:val="0"/>
                <w:color w:val="auto"/>
                <w:kern w:val="0"/>
                <w:sz w:val="24"/>
                <w:szCs w:val="24"/>
              </w:rPr>
              <w:t>%</w:t>
            </w:r>
            <w:r>
              <w:rPr>
                <w:rFonts w:hint="eastAsia" w:hAnsi="宋体" w:cs="宋体"/>
                <w:snapToGrid w:val="0"/>
                <w:color w:val="auto"/>
                <w:kern w:val="0"/>
                <w:szCs w:val="24"/>
              </w:rPr>
              <w:t>～</w:t>
            </w:r>
            <w:r>
              <w:rPr>
                <w:rFonts w:hint="eastAsia" w:hAnsi="宋体" w:cs="宋体"/>
                <w:snapToGrid w:val="0"/>
                <w:color w:val="auto"/>
                <w:kern w:val="0"/>
                <w:szCs w:val="24"/>
                <w:lang w:val="en-US" w:eastAsia="zh-CN"/>
              </w:rPr>
              <w:t>7</w:t>
            </w:r>
            <w:r>
              <w:rPr>
                <w:rFonts w:hint="eastAsia" w:hAnsi="宋体" w:cs="宋体"/>
                <w:snapToGrid w:val="0"/>
                <w:color w:val="auto"/>
                <w:kern w:val="0"/>
                <w:szCs w:val="24"/>
              </w:rPr>
              <w:t>0%（含</w:t>
            </w:r>
            <w:r>
              <w:rPr>
                <w:rFonts w:hint="eastAsia" w:hAnsi="宋体" w:cs="宋体"/>
                <w:snapToGrid w:val="0"/>
                <w:color w:val="auto"/>
                <w:kern w:val="0"/>
                <w:szCs w:val="24"/>
                <w:lang w:val="en-US" w:eastAsia="zh-CN"/>
              </w:rPr>
              <w:t>60</w:t>
            </w:r>
            <w:r>
              <w:rPr>
                <w:rFonts w:hint="eastAsia" w:ascii="宋体" w:hAnsi="宋体" w:eastAsia="宋体" w:cs="宋体"/>
                <w:snapToGrid w:val="0"/>
                <w:color w:val="auto"/>
                <w:kern w:val="0"/>
                <w:sz w:val="24"/>
                <w:szCs w:val="24"/>
              </w:rPr>
              <w:t>%</w:t>
            </w:r>
            <w:r>
              <w:rPr>
                <w:rFonts w:hint="eastAsia" w:hAnsi="宋体" w:cs="宋体"/>
                <w:snapToGrid w:val="0"/>
                <w:color w:val="auto"/>
                <w:kern w:val="0"/>
                <w:szCs w:val="24"/>
              </w:rPr>
              <w:t>）。</w:t>
            </w:r>
          </w:p>
        </w:tc>
        <w:tc>
          <w:tcPr>
            <w:tcW w:w="35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ADF1B8">
            <w:pPr>
              <w:pStyle w:val="26"/>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eastAsia="宋体" w:cs="宋体"/>
                <w:color w:val="auto"/>
                <w:sz w:val="24"/>
                <w:szCs w:val="24"/>
              </w:rPr>
            </w:pPr>
            <w:r>
              <w:rPr>
                <w:rFonts w:hint="eastAsia" w:ascii="宋体" w:hAnsi="宋体" w:eastAsia="宋体" w:cs="宋体"/>
                <w:snapToGrid w:val="0"/>
                <w:color w:val="auto"/>
                <w:kern w:val="0"/>
                <w:sz w:val="24"/>
                <w:szCs w:val="24"/>
              </w:rPr>
              <w:t>要求方法可行、措施具体、针对性强。</w:t>
            </w:r>
          </w:p>
        </w:tc>
      </w:tr>
      <w:tr w14:paraId="1469E8E7">
        <w:tblPrEx>
          <w:tblCellMar>
            <w:top w:w="0" w:type="dxa"/>
            <w:left w:w="10" w:type="dxa"/>
            <w:bottom w:w="0" w:type="dxa"/>
            <w:right w:w="10" w:type="dxa"/>
          </w:tblCellMar>
        </w:tblPrEx>
        <w:trPr>
          <w:trHeight w:val="90" w:hRule="atLeast"/>
          <w:jc w:val="center"/>
        </w:trPr>
        <w:tc>
          <w:tcPr>
            <w:tcW w:w="12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AA3194">
            <w:pPr>
              <w:pStyle w:val="27"/>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合理化建议</w:t>
            </w:r>
          </w:p>
          <w:p w14:paraId="566E84AF">
            <w:pPr>
              <w:pStyle w:val="27"/>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color w:val="auto"/>
                <w:sz w:val="24"/>
                <w:szCs w:val="24"/>
              </w:rPr>
            </w:pPr>
            <w:r>
              <w:rPr>
                <w:rFonts w:hint="eastAsia" w:ascii="宋体" w:hAnsi="宋体" w:eastAsia="宋体" w:cs="宋体"/>
                <w:snapToGrid w:val="0"/>
                <w:color w:val="auto"/>
                <w:kern w:val="0"/>
                <w:sz w:val="24"/>
                <w:szCs w:val="24"/>
              </w:rPr>
              <w:t>（</w:t>
            </w:r>
            <w:r>
              <w:rPr>
                <w:rFonts w:hint="eastAsia" w:ascii="宋体" w:hAnsi="宋体" w:eastAsia="宋体" w:cs="宋体"/>
                <w:snapToGrid w:val="0"/>
                <w:color w:val="auto"/>
                <w:kern w:val="0"/>
                <w:sz w:val="24"/>
                <w:szCs w:val="24"/>
                <w:u w:val="single"/>
              </w:rPr>
              <w:t>3</w:t>
            </w:r>
            <w:r>
              <w:rPr>
                <w:rFonts w:hint="eastAsia" w:ascii="宋体" w:hAnsi="宋体" w:eastAsia="宋体" w:cs="宋体"/>
                <w:snapToGrid w:val="0"/>
                <w:color w:val="auto"/>
                <w:kern w:val="0"/>
                <w:sz w:val="24"/>
                <w:szCs w:val="24"/>
              </w:rPr>
              <w:t>分）</w:t>
            </w:r>
          </w:p>
        </w:tc>
        <w:tc>
          <w:tcPr>
            <w:tcW w:w="47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D5F19A">
            <w:pPr>
              <w:pStyle w:val="26"/>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【优】得该项因素分的</w:t>
            </w:r>
            <w:r>
              <w:rPr>
                <w:rFonts w:hint="eastAsia" w:ascii="宋体" w:hAnsi="宋体" w:eastAsia="宋体" w:cs="宋体"/>
                <w:snapToGrid w:val="0"/>
                <w:color w:val="auto"/>
                <w:kern w:val="0"/>
                <w:sz w:val="24"/>
                <w:szCs w:val="24"/>
                <w:lang w:val="en-US" w:eastAsia="zh-CN"/>
              </w:rPr>
              <w:t>90</w:t>
            </w:r>
            <w:r>
              <w:rPr>
                <w:rFonts w:hint="eastAsia" w:ascii="宋体" w:hAnsi="宋体" w:eastAsia="宋体" w:cs="宋体"/>
                <w:snapToGrid w:val="0"/>
                <w:color w:val="auto"/>
                <w:kern w:val="0"/>
                <w:sz w:val="24"/>
                <w:szCs w:val="24"/>
              </w:rPr>
              <w:t>%～100%（含</w:t>
            </w:r>
            <w:r>
              <w:rPr>
                <w:rFonts w:hint="eastAsia" w:ascii="宋体" w:hAnsi="宋体" w:eastAsia="宋体" w:cs="宋体"/>
                <w:snapToGrid w:val="0"/>
                <w:color w:val="auto"/>
                <w:kern w:val="0"/>
                <w:sz w:val="24"/>
                <w:szCs w:val="24"/>
                <w:lang w:val="en-US" w:eastAsia="zh-CN"/>
              </w:rPr>
              <w:t>90</w:t>
            </w:r>
            <w:r>
              <w:rPr>
                <w:rFonts w:hint="eastAsia" w:ascii="宋体" w:hAnsi="宋体" w:eastAsia="宋体" w:cs="宋体"/>
                <w:snapToGrid w:val="0"/>
                <w:color w:val="auto"/>
                <w:kern w:val="0"/>
                <w:sz w:val="24"/>
                <w:szCs w:val="24"/>
              </w:rPr>
              <w:t>%）；</w:t>
            </w:r>
          </w:p>
          <w:p w14:paraId="6ED6EB16">
            <w:pPr>
              <w:pStyle w:val="26"/>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【良】得该项因素分的</w:t>
            </w:r>
            <w:r>
              <w:rPr>
                <w:rFonts w:hint="eastAsia" w:ascii="宋体" w:hAnsi="宋体" w:eastAsia="宋体" w:cs="宋体"/>
                <w:snapToGrid w:val="0"/>
                <w:color w:val="auto"/>
                <w:kern w:val="0"/>
                <w:sz w:val="24"/>
                <w:szCs w:val="24"/>
                <w:lang w:val="en-US" w:eastAsia="zh-CN"/>
              </w:rPr>
              <w:t>80</w:t>
            </w:r>
            <w:r>
              <w:rPr>
                <w:rFonts w:hint="eastAsia" w:ascii="宋体" w:hAnsi="宋体" w:eastAsia="宋体" w:cs="宋体"/>
                <w:snapToGrid w:val="0"/>
                <w:color w:val="auto"/>
                <w:kern w:val="0"/>
                <w:sz w:val="24"/>
                <w:szCs w:val="24"/>
              </w:rPr>
              <w:t>%～</w:t>
            </w:r>
            <w:r>
              <w:rPr>
                <w:rFonts w:hint="eastAsia" w:ascii="宋体" w:hAnsi="宋体" w:eastAsia="宋体" w:cs="宋体"/>
                <w:snapToGrid w:val="0"/>
                <w:color w:val="auto"/>
                <w:kern w:val="0"/>
                <w:sz w:val="24"/>
                <w:szCs w:val="24"/>
                <w:lang w:val="en-US" w:eastAsia="zh-CN"/>
              </w:rPr>
              <w:t>90</w:t>
            </w:r>
            <w:r>
              <w:rPr>
                <w:rFonts w:hint="eastAsia" w:ascii="宋体" w:hAnsi="宋体" w:eastAsia="宋体" w:cs="宋体"/>
                <w:snapToGrid w:val="0"/>
                <w:color w:val="auto"/>
                <w:kern w:val="0"/>
                <w:sz w:val="24"/>
                <w:szCs w:val="24"/>
              </w:rPr>
              <w:t>%（含</w:t>
            </w:r>
            <w:r>
              <w:rPr>
                <w:rFonts w:hint="eastAsia" w:ascii="宋体" w:hAnsi="宋体" w:eastAsia="宋体" w:cs="宋体"/>
                <w:snapToGrid w:val="0"/>
                <w:color w:val="auto"/>
                <w:kern w:val="0"/>
                <w:sz w:val="24"/>
                <w:szCs w:val="24"/>
                <w:lang w:val="en-US" w:eastAsia="zh-CN"/>
              </w:rPr>
              <w:t>80</w:t>
            </w:r>
            <w:r>
              <w:rPr>
                <w:rFonts w:hint="eastAsia" w:ascii="宋体" w:hAnsi="宋体" w:eastAsia="宋体" w:cs="宋体"/>
                <w:snapToGrid w:val="0"/>
                <w:color w:val="auto"/>
                <w:kern w:val="0"/>
                <w:sz w:val="24"/>
                <w:szCs w:val="24"/>
              </w:rPr>
              <w:t>%）；</w:t>
            </w:r>
          </w:p>
          <w:p w14:paraId="56389CE7">
            <w:pPr>
              <w:pStyle w:val="26"/>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【中】得该项因素分的</w:t>
            </w:r>
            <w:r>
              <w:rPr>
                <w:rFonts w:hint="eastAsia" w:ascii="宋体" w:hAnsi="宋体" w:eastAsia="宋体" w:cs="宋体"/>
                <w:snapToGrid w:val="0"/>
                <w:color w:val="auto"/>
                <w:kern w:val="0"/>
                <w:sz w:val="24"/>
                <w:szCs w:val="24"/>
                <w:lang w:val="en-US" w:eastAsia="zh-CN"/>
              </w:rPr>
              <w:t>70</w:t>
            </w:r>
            <w:r>
              <w:rPr>
                <w:rFonts w:hint="eastAsia" w:ascii="宋体" w:hAnsi="宋体" w:eastAsia="宋体" w:cs="宋体"/>
                <w:snapToGrid w:val="0"/>
                <w:color w:val="auto"/>
                <w:kern w:val="0"/>
                <w:sz w:val="24"/>
                <w:szCs w:val="24"/>
              </w:rPr>
              <w:t>%～</w:t>
            </w:r>
            <w:r>
              <w:rPr>
                <w:rFonts w:hint="eastAsia" w:ascii="宋体" w:hAnsi="宋体" w:eastAsia="宋体" w:cs="宋体"/>
                <w:snapToGrid w:val="0"/>
                <w:color w:val="auto"/>
                <w:kern w:val="0"/>
                <w:sz w:val="24"/>
                <w:szCs w:val="24"/>
                <w:lang w:val="en-US" w:eastAsia="zh-CN"/>
              </w:rPr>
              <w:t>80</w:t>
            </w:r>
            <w:r>
              <w:rPr>
                <w:rFonts w:hint="eastAsia" w:ascii="宋体" w:hAnsi="宋体" w:eastAsia="宋体" w:cs="宋体"/>
                <w:snapToGrid w:val="0"/>
                <w:color w:val="auto"/>
                <w:kern w:val="0"/>
                <w:sz w:val="24"/>
                <w:szCs w:val="24"/>
              </w:rPr>
              <w:t>%（含</w:t>
            </w:r>
            <w:r>
              <w:rPr>
                <w:rFonts w:hint="eastAsia" w:ascii="宋体" w:hAnsi="宋体" w:eastAsia="宋体" w:cs="宋体"/>
                <w:snapToGrid w:val="0"/>
                <w:color w:val="auto"/>
                <w:kern w:val="0"/>
                <w:sz w:val="24"/>
                <w:szCs w:val="24"/>
                <w:lang w:val="en-US" w:eastAsia="zh-CN"/>
              </w:rPr>
              <w:t>70</w:t>
            </w:r>
            <w:r>
              <w:rPr>
                <w:rFonts w:hint="eastAsia" w:ascii="宋体" w:hAnsi="宋体" w:eastAsia="宋体" w:cs="宋体"/>
                <w:snapToGrid w:val="0"/>
                <w:color w:val="auto"/>
                <w:kern w:val="0"/>
                <w:sz w:val="24"/>
                <w:szCs w:val="24"/>
              </w:rPr>
              <w:t>%）；</w:t>
            </w:r>
          </w:p>
          <w:p w14:paraId="3C34A00E">
            <w:pPr>
              <w:pStyle w:val="7"/>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ascii="宋体" w:hAnsi="宋体" w:eastAsia="宋体" w:cs="宋体"/>
                <w:color w:val="auto"/>
                <w:sz w:val="24"/>
                <w:szCs w:val="24"/>
              </w:rPr>
            </w:pPr>
            <w:r>
              <w:rPr>
                <w:rFonts w:hint="eastAsia" w:hAnsi="宋体" w:cs="宋体"/>
                <w:snapToGrid w:val="0"/>
                <w:color w:val="auto"/>
                <w:kern w:val="0"/>
                <w:szCs w:val="24"/>
              </w:rPr>
              <w:t>【差】得该项因素分的</w:t>
            </w:r>
            <w:r>
              <w:rPr>
                <w:rFonts w:hint="eastAsia" w:hAnsi="宋体" w:cs="宋体"/>
                <w:snapToGrid w:val="0"/>
                <w:color w:val="auto"/>
                <w:kern w:val="0"/>
                <w:szCs w:val="24"/>
                <w:lang w:val="en-US" w:eastAsia="zh-CN"/>
              </w:rPr>
              <w:t>60</w:t>
            </w:r>
            <w:r>
              <w:rPr>
                <w:rFonts w:hint="eastAsia" w:ascii="宋体" w:hAnsi="宋体" w:eastAsia="宋体" w:cs="宋体"/>
                <w:snapToGrid w:val="0"/>
                <w:color w:val="auto"/>
                <w:kern w:val="0"/>
                <w:sz w:val="24"/>
                <w:szCs w:val="24"/>
              </w:rPr>
              <w:t>%</w:t>
            </w:r>
            <w:r>
              <w:rPr>
                <w:rFonts w:hint="eastAsia" w:hAnsi="宋体" w:cs="宋体"/>
                <w:snapToGrid w:val="0"/>
                <w:color w:val="auto"/>
                <w:kern w:val="0"/>
                <w:szCs w:val="24"/>
              </w:rPr>
              <w:t>～</w:t>
            </w:r>
            <w:r>
              <w:rPr>
                <w:rFonts w:hint="eastAsia" w:hAnsi="宋体" w:cs="宋体"/>
                <w:snapToGrid w:val="0"/>
                <w:color w:val="auto"/>
                <w:kern w:val="0"/>
                <w:szCs w:val="24"/>
                <w:lang w:val="en-US" w:eastAsia="zh-CN"/>
              </w:rPr>
              <w:t>7</w:t>
            </w:r>
            <w:r>
              <w:rPr>
                <w:rFonts w:hint="eastAsia" w:hAnsi="宋体" w:cs="宋体"/>
                <w:snapToGrid w:val="0"/>
                <w:color w:val="auto"/>
                <w:kern w:val="0"/>
                <w:szCs w:val="24"/>
              </w:rPr>
              <w:t>0%（含</w:t>
            </w:r>
            <w:r>
              <w:rPr>
                <w:rFonts w:hint="eastAsia" w:hAnsi="宋体" w:cs="宋体"/>
                <w:snapToGrid w:val="0"/>
                <w:color w:val="auto"/>
                <w:kern w:val="0"/>
                <w:szCs w:val="24"/>
                <w:lang w:val="en-US" w:eastAsia="zh-CN"/>
              </w:rPr>
              <w:t>60</w:t>
            </w:r>
            <w:r>
              <w:rPr>
                <w:rFonts w:hint="eastAsia" w:ascii="宋体" w:hAnsi="宋体" w:eastAsia="宋体" w:cs="宋体"/>
                <w:snapToGrid w:val="0"/>
                <w:color w:val="auto"/>
                <w:kern w:val="0"/>
                <w:sz w:val="24"/>
                <w:szCs w:val="24"/>
              </w:rPr>
              <w:t>%</w:t>
            </w:r>
            <w:r>
              <w:rPr>
                <w:rFonts w:hint="eastAsia" w:hAnsi="宋体" w:cs="宋体"/>
                <w:snapToGrid w:val="0"/>
                <w:color w:val="auto"/>
                <w:kern w:val="0"/>
                <w:szCs w:val="24"/>
              </w:rPr>
              <w:t>）。</w:t>
            </w:r>
          </w:p>
        </w:tc>
        <w:tc>
          <w:tcPr>
            <w:tcW w:w="35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D892FA">
            <w:pPr>
              <w:pStyle w:val="26"/>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eastAsia="宋体" w:cs="宋体"/>
                <w:color w:val="auto"/>
                <w:sz w:val="24"/>
                <w:szCs w:val="24"/>
              </w:rPr>
            </w:pPr>
            <w:r>
              <w:rPr>
                <w:rFonts w:hint="eastAsia" w:ascii="宋体" w:hAnsi="宋体" w:eastAsia="宋体" w:cs="宋体"/>
                <w:snapToGrid w:val="0"/>
                <w:color w:val="auto"/>
                <w:kern w:val="0"/>
                <w:sz w:val="24"/>
                <w:szCs w:val="24"/>
              </w:rPr>
              <w:t>要求方法可行、措施具体、针对性强。</w:t>
            </w:r>
          </w:p>
        </w:tc>
      </w:tr>
      <w:tr w14:paraId="655877F8">
        <w:tblPrEx>
          <w:tblCellMar>
            <w:top w:w="0" w:type="dxa"/>
            <w:left w:w="10" w:type="dxa"/>
            <w:bottom w:w="0" w:type="dxa"/>
            <w:right w:w="10" w:type="dxa"/>
          </w:tblCellMar>
        </w:tblPrEx>
        <w:trPr>
          <w:trHeight w:val="579" w:hRule="exact"/>
          <w:jc w:val="center"/>
        </w:trPr>
        <w:tc>
          <w:tcPr>
            <w:tcW w:w="9553" w:type="dxa"/>
            <w:gridSpan w:val="3"/>
            <w:tcBorders>
              <w:top w:val="single" w:color="000000" w:sz="4" w:space="0"/>
              <w:left w:val="single" w:color="000000" w:sz="4" w:space="0"/>
              <w:bottom w:val="single" w:color="000000" w:sz="4" w:space="0"/>
              <w:right w:val="single" w:color="000000" w:sz="4" w:space="0"/>
            </w:tcBorders>
            <w:shd w:val="clear" w:color="000000" w:fill="D9D9D9"/>
            <w:tcMar>
              <w:top w:w="0" w:type="dxa"/>
              <w:left w:w="108" w:type="dxa"/>
              <w:bottom w:w="0" w:type="dxa"/>
              <w:right w:w="108" w:type="dxa"/>
            </w:tcMar>
            <w:vAlign w:val="center"/>
          </w:tcPr>
          <w:p w14:paraId="077B4AB3">
            <w:pPr>
              <w:spacing w:line="240" w:lineRule="auto"/>
              <w:jc w:val="left"/>
              <w:rPr>
                <w:rFonts w:hAnsi="宋体" w:cs="宋体"/>
                <w:b/>
                <w:bCs/>
                <w:color w:val="auto"/>
                <w:szCs w:val="24"/>
              </w:rPr>
            </w:pPr>
            <w:r>
              <w:rPr>
                <w:rFonts w:hint="eastAsia" w:hAnsi="宋体" w:cs="宋体"/>
                <w:b/>
                <w:bCs/>
                <w:color w:val="auto"/>
                <w:szCs w:val="24"/>
              </w:rPr>
              <w:t>投标报价部分，满分：</w:t>
            </w:r>
            <w:r>
              <w:rPr>
                <w:rFonts w:hint="eastAsia" w:hAnsi="宋体" w:cs="宋体"/>
                <w:b/>
                <w:bCs/>
                <w:color w:val="auto"/>
                <w:szCs w:val="24"/>
                <w:u w:val="single"/>
              </w:rPr>
              <w:t xml:space="preserve"> </w:t>
            </w:r>
            <w:r>
              <w:rPr>
                <w:rFonts w:hint="eastAsia" w:hAnsi="宋体" w:cs="宋体"/>
                <w:b/>
                <w:bCs/>
                <w:color w:val="auto"/>
                <w:szCs w:val="24"/>
                <w:u w:val="single"/>
                <w:lang w:val="en-US" w:eastAsia="zh-CN"/>
              </w:rPr>
              <w:t>1</w:t>
            </w:r>
            <w:r>
              <w:rPr>
                <w:rFonts w:hint="eastAsia" w:hAnsi="宋体" w:cs="宋体"/>
                <w:b/>
                <w:bCs/>
                <w:color w:val="auto"/>
                <w:szCs w:val="24"/>
                <w:u w:val="single"/>
              </w:rPr>
              <w:t xml:space="preserve">0 </w:t>
            </w:r>
            <w:r>
              <w:rPr>
                <w:rFonts w:hint="eastAsia" w:hAnsi="宋体" w:cs="宋体"/>
                <w:b/>
                <w:bCs/>
                <w:color w:val="auto"/>
                <w:szCs w:val="24"/>
              </w:rPr>
              <w:t>分。</w:t>
            </w:r>
          </w:p>
        </w:tc>
      </w:tr>
      <w:tr w14:paraId="27773674">
        <w:tblPrEx>
          <w:tblCellMar>
            <w:top w:w="0" w:type="dxa"/>
            <w:left w:w="10" w:type="dxa"/>
            <w:bottom w:w="0" w:type="dxa"/>
            <w:right w:w="10" w:type="dxa"/>
          </w:tblCellMar>
        </w:tblPrEx>
        <w:trPr>
          <w:trHeight w:val="540" w:hRule="atLeast"/>
          <w:jc w:val="center"/>
        </w:trPr>
        <w:tc>
          <w:tcPr>
            <w:tcW w:w="12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9D6A6D">
            <w:pPr>
              <w:spacing w:line="240" w:lineRule="auto"/>
              <w:jc w:val="center"/>
              <w:rPr>
                <w:rFonts w:hAnsi="宋体" w:cs="宋体"/>
                <w:b/>
                <w:bCs/>
                <w:color w:val="auto"/>
                <w:szCs w:val="24"/>
              </w:rPr>
            </w:pPr>
            <w:r>
              <w:rPr>
                <w:rFonts w:hint="eastAsia" w:hAnsi="宋体" w:cs="宋体"/>
                <w:b/>
                <w:bCs/>
                <w:color w:val="auto"/>
                <w:szCs w:val="24"/>
              </w:rPr>
              <w:t>评分事项</w:t>
            </w:r>
          </w:p>
        </w:tc>
        <w:tc>
          <w:tcPr>
            <w:tcW w:w="830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47721E">
            <w:pPr>
              <w:spacing w:line="240" w:lineRule="auto"/>
              <w:jc w:val="center"/>
              <w:rPr>
                <w:rFonts w:hAnsi="宋体" w:cs="宋体"/>
                <w:b/>
                <w:bCs/>
                <w:color w:val="auto"/>
                <w:szCs w:val="24"/>
              </w:rPr>
            </w:pPr>
            <w:r>
              <w:rPr>
                <w:rFonts w:hint="eastAsia" w:hAnsi="宋体" w:cs="宋体"/>
                <w:b/>
                <w:bCs/>
                <w:color w:val="auto"/>
                <w:szCs w:val="24"/>
              </w:rPr>
              <w:t>评分方法</w:t>
            </w:r>
          </w:p>
        </w:tc>
      </w:tr>
      <w:tr w14:paraId="70FF7E16">
        <w:tblPrEx>
          <w:tblCellMar>
            <w:top w:w="0" w:type="dxa"/>
            <w:left w:w="10" w:type="dxa"/>
            <w:bottom w:w="0" w:type="dxa"/>
            <w:right w:w="10" w:type="dxa"/>
          </w:tblCellMar>
        </w:tblPrEx>
        <w:trPr>
          <w:trHeight w:val="4050" w:hRule="atLeast"/>
          <w:jc w:val="center"/>
        </w:trPr>
        <w:tc>
          <w:tcPr>
            <w:tcW w:w="12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F21990">
            <w:pPr>
              <w:pStyle w:val="28"/>
              <w:jc w:val="center"/>
              <w:rPr>
                <w:rFonts w:ascii="宋体" w:hAnsi="宋体" w:eastAsia="宋体" w:cs="宋体"/>
                <w:color w:val="auto"/>
                <w:sz w:val="24"/>
                <w:szCs w:val="24"/>
              </w:rPr>
            </w:pPr>
            <w:r>
              <w:rPr>
                <w:rFonts w:hint="eastAsia" w:ascii="宋体" w:hAnsi="宋体" w:eastAsia="宋体" w:cs="宋体"/>
                <w:color w:val="auto"/>
                <w:sz w:val="24"/>
                <w:szCs w:val="24"/>
              </w:rPr>
              <w:t>评标基准价D</w:t>
            </w:r>
          </w:p>
        </w:tc>
        <w:tc>
          <w:tcPr>
            <w:tcW w:w="830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0F122F">
            <w:pPr>
              <w:adjustRightInd w:val="0"/>
              <w:snapToGrid w:val="0"/>
              <w:spacing w:line="240" w:lineRule="auto"/>
              <w:ind w:firstLine="480" w:firstLineChars="200"/>
              <w:jc w:val="left"/>
              <w:rPr>
                <w:rFonts w:hAnsi="宋体" w:cs="宋体"/>
                <w:snapToGrid w:val="0"/>
                <w:color w:val="auto"/>
                <w:kern w:val="0"/>
                <w:szCs w:val="24"/>
              </w:rPr>
            </w:pPr>
            <w:r>
              <w:rPr>
                <w:rFonts w:hint="eastAsia" w:hAnsi="宋体" w:cs="宋体"/>
                <w:snapToGrid w:val="0"/>
                <w:color w:val="auto"/>
                <w:kern w:val="0"/>
                <w:szCs w:val="24"/>
              </w:rPr>
              <w:t>（1）确定最高投标限价下浮系数n：用1～21号球分别代表一个下浮系数，由评委代表从这21个号码中随机抽取</w:t>
            </w:r>
            <w:r>
              <w:rPr>
                <w:rFonts w:hint="eastAsia" w:hAnsi="宋体" w:cs="宋体"/>
                <w:snapToGrid w:val="0"/>
                <w:color w:val="auto"/>
                <w:kern w:val="0"/>
                <w:szCs w:val="24"/>
                <w:u w:val="single"/>
              </w:rPr>
              <w:t>3</w:t>
            </w:r>
            <w:r>
              <w:rPr>
                <w:rFonts w:hint="eastAsia" w:hAnsi="宋体" w:cs="宋体"/>
                <w:snapToGrid w:val="0"/>
                <w:color w:val="auto"/>
                <w:kern w:val="0"/>
                <w:szCs w:val="24"/>
              </w:rPr>
              <w:t>次，每次抽取1个号码，抽出的号球不参与下次抽取。所抽取的3个号码对应下浮系数的算术平均值作为最高投标限价下浮系数n。具体号码对应的下浮系数可参考下表。</w:t>
            </w:r>
          </w:p>
          <w:tbl>
            <w:tblPr>
              <w:tblStyle w:val="16"/>
              <w:tblW w:w="8015" w:type="dxa"/>
              <w:jc w:val="center"/>
              <w:tblLayout w:type="fixed"/>
              <w:tblCellMar>
                <w:top w:w="0" w:type="dxa"/>
                <w:left w:w="108" w:type="dxa"/>
                <w:bottom w:w="0" w:type="dxa"/>
                <w:right w:w="108" w:type="dxa"/>
              </w:tblCellMar>
            </w:tblPr>
            <w:tblGrid>
              <w:gridCol w:w="1666"/>
              <w:gridCol w:w="907"/>
              <w:gridCol w:w="907"/>
              <w:gridCol w:w="907"/>
              <w:gridCol w:w="907"/>
              <w:gridCol w:w="907"/>
              <w:gridCol w:w="907"/>
              <w:gridCol w:w="907"/>
            </w:tblGrid>
            <w:tr w14:paraId="75C84520">
              <w:tblPrEx>
                <w:tblCellMar>
                  <w:top w:w="0" w:type="dxa"/>
                  <w:left w:w="108" w:type="dxa"/>
                  <w:bottom w:w="0" w:type="dxa"/>
                  <w:right w:w="108" w:type="dxa"/>
                </w:tblCellMar>
              </w:tblPrEx>
              <w:trPr>
                <w:trHeight w:val="397" w:hRule="atLeast"/>
                <w:jc w:val="center"/>
              </w:trPr>
              <w:tc>
                <w:tcPr>
                  <w:tcW w:w="1666" w:type="dxa"/>
                  <w:tcBorders>
                    <w:top w:val="single" w:color="000000" w:sz="4" w:space="0"/>
                    <w:left w:val="single" w:color="000000" w:sz="4" w:space="0"/>
                    <w:bottom w:val="single" w:color="000000" w:sz="4" w:space="0"/>
                    <w:right w:val="single" w:color="000000" w:sz="4" w:space="0"/>
                  </w:tcBorders>
                  <w:vAlign w:val="center"/>
                </w:tcPr>
                <w:p w14:paraId="193B9259">
                  <w:pPr>
                    <w:adjustRightInd w:val="0"/>
                    <w:snapToGrid w:val="0"/>
                    <w:spacing w:line="240" w:lineRule="auto"/>
                    <w:jc w:val="center"/>
                    <w:rPr>
                      <w:rFonts w:hAnsi="宋体" w:cs="宋体"/>
                      <w:b/>
                      <w:color w:val="auto"/>
                      <w:kern w:val="0"/>
                      <w:szCs w:val="24"/>
                    </w:rPr>
                  </w:pPr>
                  <w:r>
                    <w:rPr>
                      <w:rFonts w:hint="eastAsia" w:hAnsi="宋体" w:cs="宋体"/>
                      <w:b/>
                      <w:color w:val="auto"/>
                      <w:kern w:val="0"/>
                      <w:szCs w:val="24"/>
                    </w:rPr>
                    <w:t>号球</w:t>
                  </w:r>
                </w:p>
              </w:tc>
              <w:tc>
                <w:tcPr>
                  <w:tcW w:w="907" w:type="dxa"/>
                  <w:tcBorders>
                    <w:top w:val="single" w:color="000000" w:sz="4" w:space="0"/>
                    <w:left w:val="nil"/>
                    <w:bottom w:val="single" w:color="000000" w:sz="4" w:space="0"/>
                    <w:right w:val="single" w:color="000000" w:sz="4" w:space="0"/>
                  </w:tcBorders>
                  <w:vAlign w:val="center"/>
                </w:tcPr>
                <w:p w14:paraId="2F867E1C">
                  <w:pPr>
                    <w:adjustRightInd w:val="0"/>
                    <w:snapToGrid w:val="0"/>
                    <w:spacing w:line="240" w:lineRule="auto"/>
                    <w:jc w:val="center"/>
                    <w:rPr>
                      <w:rFonts w:hAnsi="宋体" w:cs="宋体"/>
                      <w:b/>
                      <w:color w:val="auto"/>
                      <w:kern w:val="0"/>
                      <w:szCs w:val="24"/>
                    </w:rPr>
                  </w:pPr>
                  <w:r>
                    <w:rPr>
                      <w:rFonts w:hint="eastAsia" w:hAnsi="宋体" w:cs="宋体"/>
                      <w:b/>
                      <w:color w:val="auto"/>
                      <w:kern w:val="0"/>
                      <w:szCs w:val="24"/>
                    </w:rPr>
                    <w:t>1</w:t>
                  </w:r>
                </w:p>
              </w:tc>
              <w:tc>
                <w:tcPr>
                  <w:tcW w:w="907" w:type="dxa"/>
                  <w:tcBorders>
                    <w:top w:val="single" w:color="000000" w:sz="4" w:space="0"/>
                    <w:left w:val="nil"/>
                    <w:bottom w:val="single" w:color="000000" w:sz="4" w:space="0"/>
                    <w:right w:val="single" w:color="000000" w:sz="4" w:space="0"/>
                  </w:tcBorders>
                  <w:vAlign w:val="center"/>
                </w:tcPr>
                <w:p w14:paraId="3B3FB1F2">
                  <w:pPr>
                    <w:adjustRightInd w:val="0"/>
                    <w:snapToGrid w:val="0"/>
                    <w:spacing w:line="240" w:lineRule="auto"/>
                    <w:jc w:val="center"/>
                    <w:rPr>
                      <w:rFonts w:hAnsi="宋体" w:cs="宋体"/>
                      <w:b/>
                      <w:color w:val="auto"/>
                      <w:kern w:val="0"/>
                      <w:szCs w:val="24"/>
                    </w:rPr>
                  </w:pPr>
                  <w:r>
                    <w:rPr>
                      <w:rFonts w:hint="eastAsia" w:hAnsi="宋体" w:cs="宋体"/>
                      <w:b/>
                      <w:color w:val="auto"/>
                      <w:kern w:val="0"/>
                      <w:szCs w:val="24"/>
                    </w:rPr>
                    <w:t>2</w:t>
                  </w:r>
                </w:p>
              </w:tc>
              <w:tc>
                <w:tcPr>
                  <w:tcW w:w="907" w:type="dxa"/>
                  <w:tcBorders>
                    <w:top w:val="single" w:color="000000" w:sz="4" w:space="0"/>
                    <w:left w:val="nil"/>
                    <w:bottom w:val="single" w:color="000000" w:sz="4" w:space="0"/>
                    <w:right w:val="single" w:color="000000" w:sz="4" w:space="0"/>
                  </w:tcBorders>
                  <w:vAlign w:val="center"/>
                </w:tcPr>
                <w:p w14:paraId="7E28209E">
                  <w:pPr>
                    <w:adjustRightInd w:val="0"/>
                    <w:snapToGrid w:val="0"/>
                    <w:spacing w:line="240" w:lineRule="auto"/>
                    <w:jc w:val="center"/>
                    <w:rPr>
                      <w:rFonts w:hAnsi="宋体" w:cs="宋体"/>
                      <w:b/>
                      <w:color w:val="auto"/>
                      <w:kern w:val="0"/>
                      <w:szCs w:val="24"/>
                    </w:rPr>
                  </w:pPr>
                  <w:r>
                    <w:rPr>
                      <w:rFonts w:hint="eastAsia" w:hAnsi="宋体" w:cs="宋体"/>
                      <w:b/>
                      <w:color w:val="auto"/>
                      <w:kern w:val="0"/>
                      <w:szCs w:val="24"/>
                    </w:rPr>
                    <w:t>3</w:t>
                  </w:r>
                </w:p>
              </w:tc>
              <w:tc>
                <w:tcPr>
                  <w:tcW w:w="907" w:type="dxa"/>
                  <w:tcBorders>
                    <w:top w:val="single" w:color="000000" w:sz="4" w:space="0"/>
                    <w:left w:val="nil"/>
                    <w:bottom w:val="single" w:color="000000" w:sz="4" w:space="0"/>
                    <w:right w:val="single" w:color="000000" w:sz="4" w:space="0"/>
                  </w:tcBorders>
                  <w:vAlign w:val="center"/>
                </w:tcPr>
                <w:p w14:paraId="36E000C3">
                  <w:pPr>
                    <w:adjustRightInd w:val="0"/>
                    <w:snapToGrid w:val="0"/>
                    <w:spacing w:line="240" w:lineRule="auto"/>
                    <w:jc w:val="center"/>
                    <w:rPr>
                      <w:rFonts w:hAnsi="宋体" w:cs="宋体"/>
                      <w:b/>
                      <w:color w:val="auto"/>
                      <w:kern w:val="0"/>
                      <w:szCs w:val="24"/>
                    </w:rPr>
                  </w:pPr>
                  <w:r>
                    <w:rPr>
                      <w:rFonts w:hint="eastAsia" w:hAnsi="宋体" w:cs="宋体"/>
                      <w:b/>
                      <w:color w:val="auto"/>
                      <w:kern w:val="0"/>
                      <w:szCs w:val="24"/>
                    </w:rPr>
                    <w:t>4</w:t>
                  </w:r>
                </w:p>
              </w:tc>
              <w:tc>
                <w:tcPr>
                  <w:tcW w:w="907" w:type="dxa"/>
                  <w:tcBorders>
                    <w:top w:val="single" w:color="000000" w:sz="4" w:space="0"/>
                    <w:left w:val="nil"/>
                    <w:bottom w:val="single" w:color="000000" w:sz="4" w:space="0"/>
                    <w:right w:val="single" w:color="000000" w:sz="4" w:space="0"/>
                  </w:tcBorders>
                  <w:vAlign w:val="center"/>
                </w:tcPr>
                <w:p w14:paraId="60A6B94C">
                  <w:pPr>
                    <w:adjustRightInd w:val="0"/>
                    <w:snapToGrid w:val="0"/>
                    <w:spacing w:line="240" w:lineRule="auto"/>
                    <w:jc w:val="center"/>
                    <w:rPr>
                      <w:rFonts w:hAnsi="宋体" w:cs="宋体"/>
                      <w:b/>
                      <w:color w:val="auto"/>
                      <w:kern w:val="0"/>
                      <w:szCs w:val="24"/>
                    </w:rPr>
                  </w:pPr>
                  <w:r>
                    <w:rPr>
                      <w:rFonts w:hint="eastAsia" w:hAnsi="宋体" w:cs="宋体"/>
                      <w:b/>
                      <w:color w:val="auto"/>
                      <w:kern w:val="0"/>
                      <w:szCs w:val="24"/>
                    </w:rPr>
                    <w:t>5</w:t>
                  </w:r>
                </w:p>
              </w:tc>
              <w:tc>
                <w:tcPr>
                  <w:tcW w:w="907" w:type="dxa"/>
                  <w:tcBorders>
                    <w:top w:val="single" w:color="000000" w:sz="4" w:space="0"/>
                    <w:left w:val="nil"/>
                    <w:bottom w:val="single" w:color="000000" w:sz="4" w:space="0"/>
                    <w:right w:val="single" w:color="000000" w:sz="4" w:space="0"/>
                  </w:tcBorders>
                  <w:vAlign w:val="center"/>
                </w:tcPr>
                <w:p w14:paraId="32C331E2">
                  <w:pPr>
                    <w:adjustRightInd w:val="0"/>
                    <w:snapToGrid w:val="0"/>
                    <w:spacing w:line="240" w:lineRule="auto"/>
                    <w:jc w:val="center"/>
                    <w:rPr>
                      <w:rFonts w:hAnsi="宋体" w:cs="宋体"/>
                      <w:b/>
                      <w:color w:val="auto"/>
                      <w:kern w:val="0"/>
                      <w:szCs w:val="24"/>
                    </w:rPr>
                  </w:pPr>
                  <w:r>
                    <w:rPr>
                      <w:rFonts w:hint="eastAsia" w:hAnsi="宋体" w:cs="宋体"/>
                      <w:b/>
                      <w:color w:val="auto"/>
                      <w:kern w:val="0"/>
                      <w:szCs w:val="24"/>
                    </w:rPr>
                    <w:t>6</w:t>
                  </w:r>
                </w:p>
              </w:tc>
              <w:tc>
                <w:tcPr>
                  <w:tcW w:w="907" w:type="dxa"/>
                  <w:tcBorders>
                    <w:top w:val="single" w:color="000000" w:sz="4" w:space="0"/>
                    <w:left w:val="nil"/>
                    <w:bottom w:val="single" w:color="000000" w:sz="4" w:space="0"/>
                    <w:right w:val="single" w:color="000000" w:sz="4" w:space="0"/>
                  </w:tcBorders>
                  <w:vAlign w:val="center"/>
                </w:tcPr>
                <w:p w14:paraId="34CE7841">
                  <w:pPr>
                    <w:adjustRightInd w:val="0"/>
                    <w:snapToGrid w:val="0"/>
                    <w:spacing w:line="240" w:lineRule="auto"/>
                    <w:jc w:val="center"/>
                    <w:rPr>
                      <w:rFonts w:hAnsi="宋体" w:cs="宋体"/>
                      <w:b/>
                      <w:color w:val="auto"/>
                      <w:kern w:val="0"/>
                      <w:szCs w:val="24"/>
                    </w:rPr>
                  </w:pPr>
                  <w:r>
                    <w:rPr>
                      <w:rFonts w:hint="eastAsia" w:hAnsi="宋体" w:cs="宋体"/>
                      <w:b/>
                      <w:color w:val="auto"/>
                      <w:kern w:val="0"/>
                      <w:szCs w:val="24"/>
                    </w:rPr>
                    <w:t>7</w:t>
                  </w:r>
                </w:p>
              </w:tc>
            </w:tr>
            <w:tr w14:paraId="5EAC7E1E">
              <w:tblPrEx>
                <w:tblCellMar>
                  <w:top w:w="0" w:type="dxa"/>
                  <w:left w:w="108" w:type="dxa"/>
                  <w:bottom w:w="0" w:type="dxa"/>
                  <w:right w:w="108" w:type="dxa"/>
                </w:tblCellMar>
              </w:tblPrEx>
              <w:trPr>
                <w:trHeight w:val="397" w:hRule="atLeast"/>
                <w:jc w:val="center"/>
              </w:trPr>
              <w:tc>
                <w:tcPr>
                  <w:tcW w:w="1666" w:type="dxa"/>
                  <w:tcBorders>
                    <w:top w:val="single" w:color="000000" w:sz="4" w:space="0"/>
                    <w:left w:val="single" w:color="000000" w:sz="4" w:space="0"/>
                    <w:bottom w:val="single" w:color="000000" w:sz="4" w:space="0"/>
                    <w:right w:val="single" w:color="000000" w:sz="4" w:space="0"/>
                  </w:tcBorders>
                  <w:vAlign w:val="center"/>
                </w:tcPr>
                <w:p w14:paraId="6F9EB851">
                  <w:pPr>
                    <w:adjustRightInd w:val="0"/>
                    <w:snapToGrid w:val="0"/>
                    <w:spacing w:line="240" w:lineRule="auto"/>
                    <w:jc w:val="center"/>
                    <w:rPr>
                      <w:rFonts w:hAnsi="宋体" w:cs="宋体"/>
                      <w:color w:val="auto"/>
                      <w:kern w:val="0"/>
                      <w:szCs w:val="24"/>
                    </w:rPr>
                  </w:pPr>
                  <w:r>
                    <w:rPr>
                      <w:rFonts w:hint="eastAsia" w:hAnsi="宋体" w:cs="宋体"/>
                      <w:color w:val="auto"/>
                      <w:kern w:val="0"/>
                      <w:szCs w:val="24"/>
                    </w:rPr>
                    <w:t>下浮系数（%）</w:t>
                  </w:r>
                </w:p>
              </w:tc>
              <w:tc>
                <w:tcPr>
                  <w:tcW w:w="907" w:type="dxa"/>
                  <w:tcBorders>
                    <w:top w:val="single" w:color="000000" w:sz="4" w:space="0"/>
                    <w:left w:val="nil"/>
                    <w:bottom w:val="single" w:color="000000" w:sz="4" w:space="0"/>
                    <w:right w:val="single" w:color="000000" w:sz="4" w:space="0"/>
                  </w:tcBorders>
                  <w:vAlign w:val="center"/>
                </w:tcPr>
                <w:p w14:paraId="20E6836C">
                  <w:pPr>
                    <w:adjustRightInd w:val="0"/>
                    <w:snapToGrid w:val="0"/>
                    <w:spacing w:line="240" w:lineRule="auto"/>
                    <w:jc w:val="center"/>
                    <w:rPr>
                      <w:rFonts w:hAnsi="宋体" w:cs="宋体"/>
                      <w:color w:val="auto"/>
                      <w:kern w:val="0"/>
                      <w:szCs w:val="24"/>
                    </w:rPr>
                  </w:pPr>
                  <w:r>
                    <w:rPr>
                      <w:rFonts w:hint="eastAsia" w:hAnsi="宋体" w:cs="宋体"/>
                      <w:color w:val="auto"/>
                      <w:kern w:val="0"/>
                      <w:szCs w:val="24"/>
                    </w:rPr>
                    <w:t>1</w:t>
                  </w:r>
                </w:p>
              </w:tc>
              <w:tc>
                <w:tcPr>
                  <w:tcW w:w="907" w:type="dxa"/>
                  <w:tcBorders>
                    <w:top w:val="single" w:color="000000" w:sz="4" w:space="0"/>
                    <w:left w:val="nil"/>
                    <w:bottom w:val="single" w:color="000000" w:sz="4" w:space="0"/>
                    <w:right w:val="single" w:color="000000" w:sz="4" w:space="0"/>
                  </w:tcBorders>
                  <w:vAlign w:val="center"/>
                </w:tcPr>
                <w:p w14:paraId="02157136">
                  <w:pPr>
                    <w:adjustRightInd w:val="0"/>
                    <w:snapToGrid w:val="0"/>
                    <w:spacing w:line="240" w:lineRule="auto"/>
                    <w:jc w:val="center"/>
                    <w:rPr>
                      <w:rFonts w:hAnsi="宋体" w:cs="宋体"/>
                      <w:color w:val="auto"/>
                      <w:kern w:val="0"/>
                      <w:szCs w:val="24"/>
                    </w:rPr>
                  </w:pPr>
                  <w:r>
                    <w:rPr>
                      <w:rFonts w:hint="eastAsia" w:hAnsi="宋体" w:cs="宋体"/>
                      <w:color w:val="auto"/>
                      <w:kern w:val="0"/>
                      <w:szCs w:val="24"/>
                    </w:rPr>
                    <w:t>1.1</w:t>
                  </w:r>
                </w:p>
              </w:tc>
              <w:tc>
                <w:tcPr>
                  <w:tcW w:w="907" w:type="dxa"/>
                  <w:tcBorders>
                    <w:top w:val="single" w:color="000000" w:sz="4" w:space="0"/>
                    <w:left w:val="nil"/>
                    <w:bottom w:val="single" w:color="000000" w:sz="4" w:space="0"/>
                    <w:right w:val="single" w:color="000000" w:sz="4" w:space="0"/>
                  </w:tcBorders>
                  <w:vAlign w:val="center"/>
                </w:tcPr>
                <w:p w14:paraId="6D8E097E">
                  <w:pPr>
                    <w:adjustRightInd w:val="0"/>
                    <w:snapToGrid w:val="0"/>
                    <w:spacing w:line="240" w:lineRule="auto"/>
                    <w:jc w:val="center"/>
                    <w:rPr>
                      <w:rFonts w:hAnsi="宋体" w:cs="宋体"/>
                      <w:color w:val="auto"/>
                      <w:kern w:val="0"/>
                      <w:szCs w:val="24"/>
                    </w:rPr>
                  </w:pPr>
                  <w:r>
                    <w:rPr>
                      <w:rFonts w:hint="eastAsia" w:hAnsi="宋体" w:cs="宋体"/>
                      <w:color w:val="auto"/>
                      <w:kern w:val="0"/>
                      <w:szCs w:val="24"/>
                    </w:rPr>
                    <w:t>1.2</w:t>
                  </w:r>
                </w:p>
              </w:tc>
              <w:tc>
                <w:tcPr>
                  <w:tcW w:w="907" w:type="dxa"/>
                  <w:tcBorders>
                    <w:top w:val="single" w:color="000000" w:sz="4" w:space="0"/>
                    <w:left w:val="nil"/>
                    <w:bottom w:val="single" w:color="000000" w:sz="4" w:space="0"/>
                    <w:right w:val="single" w:color="000000" w:sz="4" w:space="0"/>
                  </w:tcBorders>
                  <w:vAlign w:val="center"/>
                </w:tcPr>
                <w:p w14:paraId="31E1B464">
                  <w:pPr>
                    <w:adjustRightInd w:val="0"/>
                    <w:snapToGrid w:val="0"/>
                    <w:spacing w:line="240" w:lineRule="auto"/>
                    <w:jc w:val="center"/>
                    <w:rPr>
                      <w:rFonts w:hAnsi="宋体" w:cs="宋体"/>
                      <w:color w:val="auto"/>
                      <w:kern w:val="0"/>
                      <w:szCs w:val="24"/>
                    </w:rPr>
                  </w:pPr>
                  <w:r>
                    <w:rPr>
                      <w:rFonts w:hint="eastAsia" w:hAnsi="宋体" w:cs="宋体"/>
                      <w:color w:val="auto"/>
                      <w:kern w:val="0"/>
                      <w:szCs w:val="24"/>
                    </w:rPr>
                    <w:t>1.3</w:t>
                  </w:r>
                </w:p>
              </w:tc>
              <w:tc>
                <w:tcPr>
                  <w:tcW w:w="907" w:type="dxa"/>
                  <w:tcBorders>
                    <w:top w:val="single" w:color="000000" w:sz="4" w:space="0"/>
                    <w:left w:val="nil"/>
                    <w:bottom w:val="single" w:color="000000" w:sz="4" w:space="0"/>
                    <w:right w:val="single" w:color="000000" w:sz="4" w:space="0"/>
                  </w:tcBorders>
                  <w:vAlign w:val="center"/>
                </w:tcPr>
                <w:p w14:paraId="75F8344D">
                  <w:pPr>
                    <w:adjustRightInd w:val="0"/>
                    <w:snapToGrid w:val="0"/>
                    <w:spacing w:line="240" w:lineRule="auto"/>
                    <w:jc w:val="center"/>
                    <w:rPr>
                      <w:rFonts w:hAnsi="宋体" w:cs="宋体"/>
                      <w:color w:val="auto"/>
                      <w:kern w:val="0"/>
                      <w:szCs w:val="24"/>
                    </w:rPr>
                  </w:pPr>
                  <w:r>
                    <w:rPr>
                      <w:rFonts w:hint="eastAsia" w:hAnsi="宋体" w:cs="宋体"/>
                      <w:color w:val="auto"/>
                      <w:kern w:val="0"/>
                      <w:szCs w:val="24"/>
                    </w:rPr>
                    <w:t>1.4</w:t>
                  </w:r>
                </w:p>
              </w:tc>
              <w:tc>
                <w:tcPr>
                  <w:tcW w:w="907" w:type="dxa"/>
                  <w:tcBorders>
                    <w:top w:val="single" w:color="000000" w:sz="4" w:space="0"/>
                    <w:left w:val="nil"/>
                    <w:bottom w:val="single" w:color="000000" w:sz="4" w:space="0"/>
                    <w:right w:val="single" w:color="000000" w:sz="4" w:space="0"/>
                  </w:tcBorders>
                  <w:vAlign w:val="center"/>
                </w:tcPr>
                <w:p w14:paraId="1D586583">
                  <w:pPr>
                    <w:adjustRightInd w:val="0"/>
                    <w:snapToGrid w:val="0"/>
                    <w:spacing w:line="240" w:lineRule="auto"/>
                    <w:jc w:val="center"/>
                    <w:rPr>
                      <w:rFonts w:hAnsi="宋体" w:cs="宋体"/>
                      <w:color w:val="auto"/>
                      <w:kern w:val="0"/>
                      <w:szCs w:val="24"/>
                    </w:rPr>
                  </w:pPr>
                  <w:r>
                    <w:rPr>
                      <w:rFonts w:hint="eastAsia" w:hAnsi="宋体" w:cs="宋体"/>
                      <w:color w:val="auto"/>
                      <w:kern w:val="0"/>
                      <w:szCs w:val="24"/>
                    </w:rPr>
                    <w:t>1.5</w:t>
                  </w:r>
                </w:p>
              </w:tc>
              <w:tc>
                <w:tcPr>
                  <w:tcW w:w="907" w:type="dxa"/>
                  <w:tcBorders>
                    <w:top w:val="single" w:color="000000" w:sz="4" w:space="0"/>
                    <w:left w:val="nil"/>
                    <w:bottom w:val="single" w:color="000000" w:sz="4" w:space="0"/>
                    <w:right w:val="single" w:color="000000" w:sz="4" w:space="0"/>
                  </w:tcBorders>
                  <w:vAlign w:val="center"/>
                </w:tcPr>
                <w:p w14:paraId="1E940050">
                  <w:pPr>
                    <w:adjustRightInd w:val="0"/>
                    <w:snapToGrid w:val="0"/>
                    <w:spacing w:line="240" w:lineRule="auto"/>
                    <w:jc w:val="center"/>
                    <w:rPr>
                      <w:rFonts w:hAnsi="宋体" w:cs="宋体"/>
                      <w:color w:val="auto"/>
                      <w:kern w:val="0"/>
                      <w:szCs w:val="24"/>
                    </w:rPr>
                  </w:pPr>
                  <w:r>
                    <w:rPr>
                      <w:rFonts w:hint="eastAsia" w:hAnsi="宋体" w:cs="宋体"/>
                      <w:color w:val="auto"/>
                      <w:kern w:val="0"/>
                      <w:szCs w:val="24"/>
                    </w:rPr>
                    <w:t>1.6</w:t>
                  </w:r>
                </w:p>
              </w:tc>
            </w:tr>
            <w:tr w14:paraId="3EF76C82">
              <w:tblPrEx>
                <w:tblCellMar>
                  <w:top w:w="0" w:type="dxa"/>
                  <w:left w:w="108" w:type="dxa"/>
                  <w:bottom w:w="0" w:type="dxa"/>
                  <w:right w:w="108" w:type="dxa"/>
                </w:tblCellMar>
              </w:tblPrEx>
              <w:trPr>
                <w:trHeight w:val="397" w:hRule="atLeast"/>
                <w:jc w:val="center"/>
              </w:trPr>
              <w:tc>
                <w:tcPr>
                  <w:tcW w:w="1666" w:type="dxa"/>
                  <w:tcBorders>
                    <w:top w:val="single" w:color="000000" w:sz="4" w:space="0"/>
                    <w:left w:val="single" w:color="000000" w:sz="4" w:space="0"/>
                    <w:bottom w:val="single" w:color="000000" w:sz="4" w:space="0"/>
                    <w:right w:val="single" w:color="000000" w:sz="4" w:space="0"/>
                  </w:tcBorders>
                  <w:vAlign w:val="center"/>
                </w:tcPr>
                <w:p w14:paraId="4BA369F5">
                  <w:pPr>
                    <w:adjustRightInd w:val="0"/>
                    <w:snapToGrid w:val="0"/>
                    <w:spacing w:line="240" w:lineRule="auto"/>
                    <w:jc w:val="center"/>
                    <w:rPr>
                      <w:rFonts w:hAnsi="宋体" w:cs="宋体"/>
                      <w:b/>
                      <w:color w:val="auto"/>
                      <w:kern w:val="0"/>
                      <w:szCs w:val="24"/>
                    </w:rPr>
                  </w:pPr>
                  <w:r>
                    <w:rPr>
                      <w:rFonts w:hint="eastAsia" w:hAnsi="宋体" w:cs="宋体"/>
                      <w:b/>
                      <w:color w:val="auto"/>
                      <w:kern w:val="0"/>
                      <w:szCs w:val="24"/>
                    </w:rPr>
                    <w:t>号球</w:t>
                  </w:r>
                </w:p>
              </w:tc>
              <w:tc>
                <w:tcPr>
                  <w:tcW w:w="907" w:type="dxa"/>
                  <w:tcBorders>
                    <w:top w:val="single" w:color="000000" w:sz="4" w:space="0"/>
                    <w:left w:val="nil"/>
                    <w:bottom w:val="single" w:color="000000" w:sz="4" w:space="0"/>
                    <w:right w:val="single" w:color="000000" w:sz="4" w:space="0"/>
                  </w:tcBorders>
                  <w:vAlign w:val="center"/>
                </w:tcPr>
                <w:p w14:paraId="6A7A6AC0">
                  <w:pPr>
                    <w:adjustRightInd w:val="0"/>
                    <w:snapToGrid w:val="0"/>
                    <w:spacing w:line="240" w:lineRule="auto"/>
                    <w:jc w:val="center"/>
                    <w:rPr>
                      <w:rFonts w:hAnsi="宋体" w:cs="宋体"/>
                      <w:b/>
                      <w:color w:val="auto"/>
                      <w:kern w:val="0"/>
                      <w:szCs w:val="24"/>
                    </w:rPr>
                  </w:pPr>
                  <w:r>
                    <w:rPr>
                      <w:rFonts w:hint="eastAsia" w:hAnsi="宋体" w:cs="宋体"/>
                      <w:b/>
                      <w:color w:val="auto"/>
                      <w:kern w:val="0"/>
                      <w:szCs w:val="24"/>
                    </w:rPr>
                    <w:t>8</w:t>
                  </w:r>
                </w:p>
              </w:tc>
              <w:tc>
                <w:tcPr>
                  <w:tcW w:w="907" w:type="dxa"/>
                  <w:tcBorders>
                    <w:top w:val="single" w:color="000000" w:sz="4" w:space="0"/>
                    <w:left w:val="nil"/>
                    <w:bottom w:val="single" w:color="000000" w:sz="4" w:space="0"/>
                    <w:right w:val="single" w:color="000000" w:sz="4" w:space="0"/>
                  </w:tcBorders>
                  <w:vAlign w:val="center"/>
                </w:tcPr>
                <w:p w14:paraId="243E5B21">
                  <w:pPr>
                    <w:adjustRightInd w:val="0"/>
                    <w:snapToGrid w:val="0"/>
                    <w:spacing w:line="240" w:lineRule="auto"/>
                    <w:jc w:val="center"/>
                    <w:rPr>
                      <w:rFonts w:hAnsi="宋体" w:cs="宋体"/>
                      <w:b/>
                      <w:color w:val="auto"/>
                      <w:kern w:val="0"/>
                      <w:szCs w:val="24"/>
                    </w:rPr>
                  </w:pPr>
                  <w:r>
                    <w:rPr>
                      <w:rFonts w:hint="eastAsia" w:hAnsi="宋体" w:cs="宋体"/>
                      <w:b/>
                      <w:color w:val="auto"/>
                      <w:kern w:val="0"/>
                      <w:szCs w:val="24"/>
                    </w:rPr>
                    <w:t>9</w:t>
                  </w:r>
                </w:p>
              </w:tc>
              <w:tc>
                <w:tcPr>
                  <w:tcW w:w="907" w:type="dxa"/>
                  <w:tcBorders>
                    <w:top w:val="single" w:color="000000" w:sz="4" w:space="0"/>
                    <w:left w:val="nil"/>
                    <w:bottom w:val="single" w:color="000000" w:sz="4" w:space="0"/>
                    <w:right w:val="single" w:color="000000" w:sz="4" w:space="0"/>
                  </w:tcBorders>
                  <w:vAlign w:val="center"/>
                </w:tcPr>
                <w:p w14:paraId="4DAFD2BD">
                  <w:pPr>
                    <w:adjustRightInd w:val="0"/>
                    <w:snapToGrid w:val="0"/>
                    <w:spacing w:line="240" w:lineRule="auto"/>
                    <w:jc w:val="center"/>
                    <w:rPr>
                      <w:rFonts w:hAnsi="宋体" w:cs="宋体"/>
                      <w:b/>
                      <w:color w:val="auto"/>
                      <w:kern w:val="0"/>
                      <w:szCs w:val="24"/>
                    </w:rPr>
                  </w:pPr>
                  <w:r>
                    <w:rPr>
                      <w:rFonts w:hint="eastAsia" w:hAnsi="宋体" w:cs="宋体"/>
                      <w:b/>
                      <w:color w:val="auto"/>
                      <w:kern w:val="0"/>
                      <w:szCs w:val="24"/>
                    </w:rPr>
                    <w:t>10</w:t>
                  </w:r>
                </w:p>
              </w:tc>
              <w:tc>
                <w:tcPr>
                  <w:tcW w:w="907" w:type="dxa"/>
                  <w:tcBorders>
                    <w:top w:val="single" w:color="000000" w:sz="4" w:space="0"/>
                    <w:left w:val="nil"/>
                    <w:bottom w:val="single" w:color="000000" w:sz="4" w:space="0"/>
                    <w:right w:val="single" w:color="000000" w:sz="4" w:space="0"/>
                  </w:tcBorders>
                  <w:vAlign w:val="center"/>
                </w:tcPr>
                <w:p w14:paraId="788D622B">
                  <w:pPr>
                    <w:adjustRightInd w:val="0"/>
                    <w:snapToGrid w:val="0"/>
                    <w:spacing w:line="240" w:lineRule="auto"/>
                    <w:jc w:val="center"/>
                    <w:rPr>
                      <w:rFonts w:hAnsi="宋体" w:cs="宋体"/>
                      <w:b/>
                      <w:color w:val="auto"/>
                      <w:kern w:val="0"/>
                      <w:szCs w:val="24"/>
                    </w:rPr>
                  </w:pPr>
                  <w:r>
                    <w:rPr>
                      <w:rFonts w:hint="eastAsia" w:hAnsi="宋体" w:cs="宋体"/>
                      <w:b/>
                      <w:color w:val="auto"/>
                      <w:kern w:val="0"/>
                      <w:szCs w:val="24"/>
                    </w:rPr>
                    <w:t>11</w:t>
                  </w:r>
                </w:p>
              </w:tc>
              <w:tc>
                <w:tcPr>
                  <w:tcW w:w="907" w:type="dxa"/>
                  <w:tcBorders>
                    <w:top w:val="single" w:color="000000" w:sz="4" w:space="0"/>
                    <w:left w:val="nil"/>
                    <w:bottom w:val="single" w:color="000000" w:sz="4" w:space="0"/>
                    <w:right w:val="single" w:color="000000" w:sz="4" w:space="0"/>
                  </w:tcBorders>
                  <w:vAlign w:val="center"/>
                </w:tcPr>
                <w:p w14:paraId="1F9213ED">
                  <w:pPr>
                    <w:adjustRightInd w:val="0"/>
                    <w:snapToGrid w:val="0"/>
                    <w:spacing w:line="240" w:lineRule="auto"/>
                    <w:jc w:val="center"/>
                    <w:rPr>
                      <w:rFonts w:hAnsi="宋体" w:cs="宋体"/>
                      <w:b/>
                      <w:color w:val="auto"/>
                      <w:kern w:val="0"/>
                      <w:szCs w:val="24"/>
                    </w:rPr>
                  </w:pPr>
                  <w:r>
                    <w:rPr>
                      <w:rFonts w:hint="eastAsia" w:hAnsi="宋体" w:cs="宋体"/>
                      <w:b/>
                      <w:color w:val="auto"/>
                      <w:kern w:val="0"/>
                      <w:szCs w:val="24"/>
                    </w:rPr>
                    <w:t>12</w:t>
                  </w:r>
                </w:p>
              </w:tc>
              <w:tc>
                <w:tcPr>
                  <w:tcW w:w="907" w:type="dxa"/>
                  <w:tcBorders>
                    <w:top w:val="single" w:color="000000" w:sz="4" w:space="0"/>
                    <w:left w:val="nil"/>
                    <w:bottom w:val="single" w:color="000000" w:sz="4" w:space="0"/>
                    <w:right w:val="single" w:color="000000" w:sz="4" w:space="0"/>
                  </w:tcBorders>
                  <w:vAlign w:val="center"/>
                </w:tcPr>
                <w:p w14:paraId="569270AC">
                  <w:pPr>
                    <w:adjustRightInd w:val="0"/>
                    <w:snapToGrid w:val="0"/>
                    <w:spacing w:line="240" w:lineRule="auto"/>
                    <w:jc w:val="center"/>
                    <w:rPr>
                      <w:rFonts w:hAnsi="宋体" w:cs="宋体"/>
                      <w:b/>
                      <w:color w:val="auto"/>
                      <w:kern w:val="0"/>
                      <w:szCs w:val="24"/>
                    </w:rPr>
                  </w:pPr>
                  <w:r>
                    <w:rPr>
                      <w:rFonts w:hint="eastAsia" w:hAnsi="宋体" w:cs="宋体"/>
                      <w:b/>
                      <w:color w:val="auto"/>
                      <w:kern w:val="0"/>
                      <w:szCs w:val="24"/>
                    </w:rPr>
                    <w:t>13</w:t>
                  </w:r>
                </w:p>
              </w:tc>
              <w:tc>
                <w:tcPr>
                  <w:tcW w:w="907" w:type="dxa"/>
                  <w:tcBorders>
                    <w:top w:val="single" w:color="000000" w:sz="4" w:space="0"/>
                    <w:left w:val="nil"/>
                    <w:bottom w:val="single" w:color="000000" w:sz="4" w:space="0"/>
                    <w:right w:val="single" w:color="000000" w:sz="4" w:space="0"/>
                  </w:tcBorders>
                  <w:vAlign w:val="center"/>
                </w:tcPr>
                <w:p w14:paraId="22805991">
                  <w:pPr>
                    <w:adjustRightInd w:val="0"/>
                    <w:snapToGrid w:val="0"/>
                    <w:spacing w:line="240" w:lineRule="auto"/>
                    <w:jc w:val="center"/>
                    <w:rPr>
                      <w:rFonts w:hAnsi="宋体" w:cs="宋体"/>
                      <w:b/>
                      <w:color w:val="auto"/>
                      <w:kern w:val="0"/>
                      <w:szCs w:val="24"/>
                    </w:rPr>
                  </w:pPr>
                  <w:r>
                    <w:rPr>
                      <w:rFonts w:hint="eastAsia" w:hAnsi="宋体" w:cs="宋体"/>
                      <w:b/>
                      <w:color w:val="auto"/>
                      <w:kern w:val="0"/>
                      <w:szCs w:val="24"/>
                    </w:rPr>
                    <w:t>14</w:t>
                  </w:r>
                </w:p>
              </w:tc>
            </w:tr>
            <w:tr w14:paraId="67137F5E">
              <w:tblPrEx>
                <w:tblCellMar>
                  <w:top w:w="0" w:type="dxa"/>
                  <w:left w:w="108" w:type="dxa"/>
                  <w:bottom w:w="0" w:type="dxa"/>
                  <w:right w:w="108" w:type="dxa"/>
                </w:tblCellMar>
              </w:tblPrEx>
              <w:trPr>
                <w:trHeight w:val="397" w:hRule="atLeast"/>
                <w:jc w:val="center"/>
              </w:trPr>
              <w:tc>
                <w:tcPr>
                  <w:tcW w:w="1666" w:type="dxa"/>
                  <w:tcBorders>
                    <w:top w:val="single" w:color="000000" w:sz="4" w:space="0"/>
                    <w:left w:val="single" w:color="000000" w:sz="4" w:space="0"/>
                    <w:bottom w:val="single" w:color="000000" w:sz="4" w:space="0"/>
                    <w:right w:val="single" w:color="000000" w:sz="4" w:space="0"/>
                  </w:tcBorders>
                  <w:vAlign w:val="center"/>
                </w:tcPr>
                <w:p w14:paraId="3E00739E">
                  <w:pPr>
                    <w:adjustRightInd w:val="0"/>
                    <w:snapToGrid w:val="0"/>
                    <w:spacing w:line="240" w:lineRule="auto"/>
                    <w:jc w:val="center"/>
                    <w:rPr>
                      <w:rFonts w:hAnsi="宋体" w:cs="宋体"/>
                      <w:color w:val="auto"/>
                      <w:kern w:val="0"/>
                      <w:szCs w:val="24"/>
                    </w:rPr>
                  </w:pPr>
                  <w:r>
                    <w:rPr>
                      <w:rFonts w:hint="eastAsia" w:hAnsi="宋体" w:cs="宋体"/>
                      <w:color w:val="auto"/>
                      <w:kern w:val="0"/>
                      <w:szCs w:val="24"/>
                    </w:rPr>
                    <w:t>下浮系数（%）</w:t>
                  </w:r>
                </w:p>
              </w:tc>
              <w:tc>
                <w:tcPr>
                  <w:tcW w:w="907" w:type="dxa"/>
                  <w:tcBorders>
                    <w:top w:val="single" w:color="000000" w:sz="4" w:space="0"/>
                    <w:left w:val="nil"/>
                    <w:bottom w:val="single" w:color="000000" w:sz="4" w:space="0"/>
                    <w:right w:val="single" w:color="000000" w:sz="4" w:space="0"/>
                  </w:tcBorders>
                  <w:vAlign w:val="center"/>
                </w:tcPr>
                <w:p w14:paraId="5C949476">
                  <w:pPr>
                    <w:adjustRightInd w:val="0"/>
                    <w:snapToGrid w:val="0"/>
                    <w:spacing w:line="240" w:lineRule="auto"/>
                    <w:jc w:val="center"/>
                    <w:rPr>
                      <w:rFonts w:hAnsi="宋体" w:cs="宋体"/>
                      <w:color w:val="auto"/>
                      <w:kern w:val="0"/>
                      <w:szCs w:val="24"/>
                    </w:rPr>
                  </w:pPr>
                  <w:r>
                    <w:rPr>
                      <w:rFonts w:hint="eastAsia" w:hAnsi="宋体" w:cs="宋体"/>
                      <w:color w:val="auto"/>
                      <w:kern w:val="0"/>
                      <w:szCs w:val="24"/>
                    </w:rPr>
                    <w:t>1.7</w:t>
                  </w:r>
                </w:p>
              </w:tc>
              <w:tc>
                <w:tcPr>
                  <w:tcW w:w="907" w:type="dxa"/>
                  <w:tcBorders>
                    <w:top w:val="single" w:color="000000" w:sz="4" w:space="0"/>
                    <w:left w:val="nil"/>
                    <w:bottom w:val="single" w:color="000000" w:sz="4" w:space="0"/>
                    <w:right w:val="single" w:color="000000" w:sz="4" w:space="0"/>
                  </w:tcBorders>
                  <w:vAlign w:val="center"/>
                </w:tcPr>
                <w:p w14:paraId="777491F3">
                  <w:pPr>
                    <w:adjustRightInd w:val="0"/>
                    <w:snapToGrid w:val="0"/>
                    <w:spacing w:line="240" w:lineRule="auto"/>
                    <w:jc w:val="center"/>
                    <w:rPr>
                      <w:rFonts w:hAnsi="宋体" w:cs="宋体"/>
                      <w:color w:val="auto"/>
                      <w:kern w:val="0"/>
                      <w:szCs w:val="24"/>
                    </w:rPr>
                  </w:pPr>
                  <w:r>
                    <w:rPr>
                      <w:rFonts w:hint="eastAsia" w:hAnsi="宋体" w:cs="宋体"/>
                      <w:color w:val="auto"/>
                      <w:kern w:val="0"/>
                      <w:szCs w:val="24"/>
                    </w:rPr>
                    <w:t>1.8</w:t>
                  </w:r>
                </w:p>
              </w:tc>
              <w:tc>
                <w:tcPr>
                  <w:tcW w:w="907" w:type="dxa"/>
                  <w:tcBorders>
                    <w:top w:val="single" w:color="000000" w:sz="4" w:space="0"/>
                    <w:left w:val="nil"/>
                    <w:bottom w:val="single" w:color="000000" w:sz="4" w:space="0"/>
                    <w:right w:val="single" w:color="000000" w:sz="4" w:space="0"/>
                  </w:tcBorders>
                  <w:vAlign w:val="center"/>
                </w:tcPr>
                <w:p w14:paraId="672D746A">
                  <w:pPr>
                    <w:adjustRightInd w:val="0"/>
                    <w:snapToGrid w:val="0"/>
                    <w:spacing w:line="240" w:lineRule="auto"/>
                    <w:jc w:val="center"/>
                    <w:rPr>
                      <w:rFonts w:hAnsi="宋体" w:cs="宋体"/>
                      <w:color w:val="auto"/>
                      <w:kern w:val="0"/>
                      <w:szCs w:val="24"/>
                    </w:rPr>
                  </w:pPr>
                  <w:r>
                    <w:rPr>
                      <w:rFonts w:hint="eastAsia" w:hAnsi="宋体" w:cs="宋体"/>
                      <w:color w:val="auto"/>
                      <w:kern w:val="0"/>
                      <w:szCs w:val="24"/>
                    </w:rPr>
                    <w:t>1.9</w:t>
                  </w:r>
                </w:p>
              </w:tc>
              <w:tc>
                <w:tcPr>
                  <w:tcW w:w="907" w:type="dxa"/>
                  <w:tcBorders>
                    <w:top w:val="single" w:color="000000" w:sz="4" w:space="0"/>
                    <w:left w:val="nil"/>
                    <w:bottom w:val="single" w:color="000000" w:sz="4" w:space="0"/>
                    <w:right w:val="single" w:color="000000" w:sz="4" w:space="0"/>
                  </w:tcBorders>
                  <w:vAlign w:val="center"/>
                </w:tcPr>
                <w:p w14:paraId="3A288AF2">
                  <w:pPr>
                    <w:adjustRightInd w:val="0"/>
                    <w:snapToGrid w:val="0"/>
                    <w:spacing w:line="240" w:lineRule="auto"/>
                    <w:jc w:val="center"/>
                    <w:rPr>
                      <w:rFonts w:hAnsi="宋体" w:cs="宋体"/>
                      <w:color w:val="auto"/>
                      <w:kern w:val="0"/>
                      <w:szCs w:val="24"/>
                    </w:rPr>
                  </w:pPr>
                  <w:r>
                    <w:rPr>
                      <w:rFonts w:hint="eastAsia" w:hAnsi="宋体" w:cs="宋体"/>
                      <w:color w:val="auto"/>
                      <w:kern w:val="0"/>
                      <w:szCs w:val="24"/>
                    </w:rPr>
                    <w:t>2.0</w:t>
                  </w:r>
                </w:p>
              </w:tc>
              <w:tc>
                <w:tcPr>
                  <w:tcW w:w="907" w:type="dxa"/>
                  <w:tcBorders>
                    <w:top w:val="single" w:color="000000" w:sz="4" w:space="0"/>
                    <w:left w:val="nil"/>
                    <w:bottom w:val="single" w:color="000000" w:sz="4" w:space="0"/>
                    <w:right w:val="single" w:color="000000" w:sz="4" w:space="0"/>
                  </w:tcBorders>
                  <w:vAlign w:val="center"/>
                </w:tcPr>
                <w:p w14:paraId="427A81E6">
                  <w:pPr>
                    <w:adjustRightInd w:val="0"/>
                    <w:snapToGrid w:val="0"/>
                    <w:spacing w:line="240" w:lineRule="auto"/>
                    <w:jc w:val="center"/>
                    <w:rPr>
                      <w:rFonts w:hAnsi="宋体" w:cs="宋体"/>
                      <w:color w:val="auto"/>
                      <w:kern w:val="0"/>
                      <w:szCs w:val="24"/>
                    </w:rPr>
                  </w:pPr>
                  <w:r>
                    <w:rPr>
                      <w:rFonts w:hint="eastAsia" w:hAnsi="宋体" w:cs="宋体"/>
                      <w:color w:val="auto"/>
                      <w:kern w:val="0"/>
                      <w:szCs w:val="24"/>
                    </w:rPr>
                    <w:t>2.1</w:t>
                  </w:r>
                </w:p>
              </w:tc>
              <w:tc>
                <w:tcPr>
                  <w:tcW w:w="907" w:type="dxa"/>
                  <w:tcBorders>
                    <w:top w:val="single" w:color="000000" w:sz="4" w:space="0"/>
                    <w:left w:val="nil"/>
                    <w:bottom w:val="single" w:color="000000" w:sz="4" w:space="0"/>
                    <w:right w:val="single" w:color="000000" w:sz="4" w:space="0"/>
                  </w:tcBorders>
                  <w:vAlign w:val="center"/>
                </w:tcPr>
                <w:p w14:paraId="220970BB">
                  <w:pPr>
                    <w:adjustRightInd w:val="0"/>
                    <w:snapToGrid w:val="0"/>
                    <w:spacing w:line="240" w:lineRule="auto"/>
                    <w:jc w:val="center"/>
                    <w:rPr>
                      <w:rFonts w:hAnsi="宋体" w:cs="宋体"/>
                      <w:color w:val="auto"/>
                      <w:kern w:val="0"/>
                      <w:szCs w:val="24"/>
                    </w:rPr>
                  </w:pPr>
                  <w:r>
                    <w:rPr>
                      <w:rFonts w:hint="eastAsia" w:hAnsi="宋体" w:cs="宋体"/>
                      <w:color w:val="auto"/>
                      <w:kern w:val="0"/>
                      <w:szCs w:val="24"/>
                    </w:rPr>
                    <w:t>2.2</w:t>
                  </w:r>
                </w:p>
              </w:tc>
              <w:tc>
                <w:tcPr>
                  <w:tcW w:w="907" w:type="dxa"/>
                  <w:tcBorders>
                    <w:top w:val="single" w:color="000000" w:sz="4" w:space="0"/>
                    <w:left w:val="nil"/>
                    <w:bottom w:val="single" w:color="000000" w:sz="4" w:space="0"/>
                    <w:right w:val="single" w:color="000000" w:sz="4" w:space="0"/>
                  </w:tcBorders>
                  <w:vAlign w:val="center"/>
                </w:tcPr>
                <w:p w14:paraId="2F9C9663">
                  <w:pPr>
                    <w:adjustRightInd w:val="0"/>
                    <w:snapToGrid w:val="0"/>
                    <w:spacing w:line="240" w:lineRule="auto"/>
                    <w:jc w:val="center"/>
                    <w:rPr>
                      <w:rFonts w:hAnsi="宋体" w:cs="宋体"/>
                      <w:color w:val="auto"/>
                      <w:kern w:val="0"/>
                      <w:szCs w:val="24"/>
                    </w:rPr>
                  </w:pPr>
                  <w:r>
                    <w:rPr>
                      <w:rFonts w:hint="eastAsia" w:hAnsi="宋体" w:cs="宋体"/>
                      <w:color w:val="auto"/>
                      <w:kern w:val="0"/>
                      <w:szCs w:val="24"/>
                    </w:rPr>
                    <w:t>2.3</w:t>
                  </w:r>
                </w:p>
              </w:tc>
            </w:tr>
            <w:tr w14:paraId="5D802E46">
              <w:tblPrEx>
                <w:tblCellMar>
                  <w:top w:w="0" w:type="dxa"/>
                  <w:left w:w="108" w:type="dxa"/>
                  <w:bottom w:w="0" w:type="dxa"/>
                  <w:right w:w="108" w:type="dxa"/>
                </w:tblCellMar>
              </w:tblPrEx>
              <w:trPr>
                <w:trHeight w:val="397" w:hRule="atLeast"/>
                <w:jc w:val="center"/>
              </w:trPr>
              <w:tc>
                <w:tcPr>
                  <w:tcW w:w="1666" w:type="dxa"/>
                  <w:tcBorders>
                    <w:top w:val="single" w:color="000000" w:sz="4" w:space="0"/>
                    <w:left w:val="single" w:color="000000" w:sz="4" w:space="0"/>
                    <w:bottom w:val="single" w:color="000000" w:sz="4" w:space="0"/>
                    <w:right w:val="single" w:color="000000" w:sz="4" w:space="0"/>
                  </w:tcBorders>
                  <w:vAlign w:val="center"/>
                </w:tcPr>
                <w:p w14:paraId="752BD782">
                  <w:pPr>
                    <w:adjustRightInd w:val="0"/>
                    <w:snapToGrid w:val="0"/>
                    <w:spacing w:line="240" w:lineRule="auto"/>
                    <w:jc w:val="center"/>
                    <w:rPr>
                      <w:rFonts w:hAnsi="宋体" w:cs="宋体"/>
                      <w:b/>
                      <w:color w:val="auto"/>
                      <w:kern w:val="0"/>
                      <w:szCs w:val="24"/>
                    </w:rPr>
                  </w:pPr>
                  <w:r>
                    <w:rPr>
                      <w:rFonts w:hint="eastAsia" w:hAnsi="宋体" w:cs="宋体"/>
                      <w:b/>
                      <w:color w:val="auto"/>
                      <w:kern w:val="0"/>
                      <w:szCs w:val="24"/>
                    </w:rPr>
                    <w:t>号球</w:t>
                  </w:r>
                </w:p>
              </w:tc>
              <w:tc>
                <w:tcPr>
                  <w:tcW w:w="907" w:type="dxa"/>
                  <w:tcBorders>
                    <w:top w:val="single" w:color="000000" w:sz="4" w:space="0"/>
                    <w:left w:val="nil"/>
                    <w:bottom w:val="single" w:color="000000" w:sz="4" w:space="0"/>
                    <w:right w:val="single" w:color="000000" w:sz="4" w:space="0"/>
                  </w:tcBorders>
                  <w:vAlign w:val="center"/>
                </w:tcPr>
                <w:p w14:paraId="55F27836">
                  <w:pPr>
                    <w:adjustRightInd w:val="0"/>
                    <w:snapToGrid w:val="0"/>
                    <w:spacing w:line="240" w:lineRule="auto"/>
                    <w:jc w:val="center"/>
                    <w:rPr>
                      <w:rFonts w:hAnsi="宋体" w:cs="宋体"/>
                      <w:b/>
                      <w:color w:val="auto"/>
                      <w:kern w:val="0"/>
                      <w:szCs w:val="24"/>
                    </w:rPr>
                  </w:pPr>
                  <w:r>
                    <w:rPr>
                      <w:rFonts w:hint="eastAsia" w:hAnsi="宋体" w:cs="宋体"/>
                      <w:b/>
                      <w:color w:val="auto"/>
                      <w:kern w:val="0"/>
                      <w:szCs w:val="24"/>
                    </w:rPr>
                    <w:t>15</w:t>
                  </w:r>
                </w:p>
              </w:tc>
              <w:tc>
                <w:tcPr>
                  <w:tcW w:w="907" w:type="dxa"/>
                  <w:tcBorders>
                    <w:top w:val="single" w:color="000000" w:sz="4" w:space="0"/>
                    <w:left w:val="nil"/>
                    <w:bottom w:val="single" w:color="000000" w:sz="4" w:space="0"/>
                    <w:right w:val="single" w:color="000000" w:sz="4" w:space="0"/>
                  </w:tcBorders>
                  <w:vAlign w:val="center"/>
                </w:tcPr>
                <w:p w14:paraId="5FA32865">
                  <w:pPr>
                    <w:adjustRightInd w:val="0"/>
                    <w:snapToGrid w:val="0"/>
                    <w:spacing w:line="240" w:lineRule="auto"/>
                    <w:jc w:val="center"/>
                    <w:rPr>
                      <w:rFonts w:hAnsi="宋体" w:cs="宋体"/>
                      <w:b/>
                      <w:color w:val="auto"/>
                      <w:kern w:val="0"/>
                      <w:szCs w:val="24"/>
                    </w:rPr>
                  </w:pPr>
                  <w:r>
                    <w:rPr>
                      <w:rFonts w:hint="eastAsia" w:hAnsi="宋体" w:cs="宋体"/>
                      <w:b/>
                      <w:color w:val="auto"/>
                      <w:kern w:val="0"/>
                      <w:szCs w:val="24"/>
                    </w:rPr>
                    <w:t>16</w:t>
                  </w:r>
                </w:p>
              </w:tc>
              <w:tc>
                <w:tcPr>
                  <w:tcW w:w="907" w:type="dxa"/>
                  <w:tcBorders>
                    <w:top w:val="single" w:color="000000" w:sz="4" w:space="0"/>
                    <w:left w:val="nil"/>
                    <w:bottom w:val="single" w:color="000000" w:sz="4" w:space="0"/>
                    <w:right w:val="single" w:color="000000" w:sz="4" w:space="0"/>
                  </w:tcBorders>
                  <w:vAlign w:val="center"/>
                </w:tcPr>
                <w:p w14:paraId="2F9608CC">
                  <w:pPr>
                    <w:adjustRightInd w:val="0"/>
                    <w:snapToGrid w:val="0"/>
                    <w:spacing w:line="240" w:lineRule="auto"/>
                    <w:jc w:val="center"/>
                    <w:rPr>
                      <w:rFonts w:hAnsi="宋体" w:cs="宋体"/>
                      <w:b/>
                      <w:color w:val="auto"/>
                      <w:kern w:val="0"/>
                      <w:szCs w:val="24"/>
                    </w:rPr>
                  </w:pPr>
                  <w:r>
                    <w:rPr>
                      <w:rFonts w:hint="eastAsia" w:hAnsi="宋体" w:cs="宋体"/>
                      <w:b/>
                      <w:color w:val="auto"/>
                      <w:kern w:val="0"/>
                      <w:szCs w:val="24"/>
                    </w:rPr>
                    <w:t>17</w:t>
                  </w:r>
                </w:p>
              </w:tc>
              <w:tc>
                <w:tcPr>
                  <w:tcW w:w="907" w:type="dxa"/>
                  <w:tcBorders>
                    <w:top w:val="single" w:color="000000" w:sz="4" w:space="0"/>
                    <w:left w:val="nil"/>
                    <w:bottom w:val="single" w:color="000000" w:sz="4" w:space="0"/>
                    <w:right w:val="single" w:color="000000" w:sz="4" w:space="0"/>
                  </w:tcBorders>
                  <w:vAlign w:val="center"/>
                </w:tcPr>
                <w:p w14:paraId="5F780D6D">
                  <w:pPr>
                    <w:adjustRightInd w:val="0"/>
                    <w:snapToGrid w:val="0"/>
                    <w:spacing w:line="240" w:lineRule="auto"/>
                    <w:jc w:val="center"/>
                    <w:rPr>
                      <w:rFonts w:hAnsi="宋体" w:cs="宋体"/>
                      <w:b/>
                      <w:color w:val="auto"/>
                      <w:kern w:val="0"/>
                      <w:szCs w:val="24"/>
                    </w:rPr>
                  </w:pPr>
                  <w:r>
                    <w:rPr>
                      <w:rFonts w:hint="eastAsia" w:hAnsi="宋体" w:cs="宋体"/>
                      <w:b/>
                      <w:color w:val="auto"/>
                      <w:kern w:val="0"/>
                      <w:szCs w:val="24"/>
                    </w:rPr>
                    <w:t>18</w:t>
                  </w:r>
                </w:p>
              </w:tc>
              <w:tc>
                <w:tcPr>
                  <w:tcW w:w="907" w:type="dxa"/>
                  <w:tcBorders>
                    <w:top w:val="single" w:color="000000" w:sz="4" w:space="0"/>
                    <w:left w:val="nil"/>
                    <w:bottom w:val="single" w:color="000000" w:sz="4" w:space="0"/>
                    <w:right w:val="single" w:color="000000" w:sz="4" w:space="0"/>
                  </w:tcBorders>
                  <w:vAlign w:val="center"/>
                </w:tcPr>
                <w:p w14:paraId="2D8CE93A">
                  <w:pPr>
                    <w:adjustRightInd w:val="0"/>
                    <w:snapToGrid w:val="0"/>
                    <w:spacing w:line="240" w:lineRule="auto"/>
                    <w:jc w:val="center"/>
                    <w:rPr>
                      <w:rFonts w:hAnsi="宋体" w:cs="宋体"/>
                      <w:b/>
                      <w:color w:val="auto"/>
                      <w:kern w:val="0"/>
                      <w:szCs w:val="24"/>
                    </w:rPr>
                  </w:pPr>
                  <w:r>
                    <w:rPr>
                      <w:rFonts w:hint="eastAsia" w:hAnsi="宋体" w:cs="宋体"/>
                      <w:b/>
                      <w:color w:val="auto"/>
                      <w:kern w:val="0"/>
                      <w:szCs w:val="24"/>
                    </w:rPr>
                    <w:t>19</w:t>
                  </w:r>
                </w:p>
              </w:tc>
              <w:tc>
                <w:tcPr>
                  <w:tcW w:w="907" w:type="dxa"/>
                  <w:tcBorders>
                    <w:top w:val="single" w:color="000000" w:sz="4" w:space="0"/>
                    <w:left w:val="nil"/>
                    <w:bottom w:val="single" w:color="000000" w:sz="4" w:space="0"/>
                    <w:right w:val="single" w:color="000000" w:sz="4" w:space="0"/>
                  </w:tcBorders>
                  <w:vAlign w:val="center"/>
                </w:tcPr>
                <w:p w14:paraId="2747F0E2">
                  <w:pPr>
                    <w:adjustRightInd w:val="0"/>
                    <w:snapToGrid w:val="0"/>
                    <w:spacing w:line="240" w:lineRule="auto"/>
                    <w:jc w:val="center"/>
                    <w:rPr>
                      <w:rFonts w:hAnsi="宋体" w:cs="宋体"/>
                      <w:b/>
                      <w:color w:val="auto"/>
                      <w:kern w:val="0"/>
                      <w:szCs w:val="24"/>
                    </w:rPr>
                  </w:pPr>
                  <w:r>
                    <w:rPr>
                      <w:rFonts w:hint="eastAsia" w:hAnsi="宋体" w:cs="宋体"/>
                      <w:b/>
                      <w:color w:val="auto"/>
                      <w:kern w:val="0"/>
                      <w:szCs w:val="24"/>
                    </w:rPr>
                    <w:t>20</w:t>
                  </w:r>
                </w:p>
              </w:tc>
              <w:tc>
                <w:tcPr>
                  <w:tcW w:w="907" w:type="dxa"/>
                  <w:tcBorders>
                    <w:top w:val="single" w:color="000000" w:sz="4" w:space="0"/>
                    <w:left w:val="nil"/>
                    <w:bottom w:val="single" w:color="000000" w:sz="4" w:space="0"/>
                    <w:right w:val="single" w:color="000000" w:sz="4" w:space="0"/>
                  </w:tcBorders>
                  <w:vAlign w:val="center"/>
                </w:tcPr>
                <w:p w14:paraId="7798CBC0">
                  <w:pPr>
                    <w:adjustRightInd w:val="0"/>
                    <w:snapToGrid w:val="0"/>
                    <w:spacing w:line="240" w:lineRule="auto"/>
                    <w:jc w:val="center"/>
                    <w:rPr>
                      <w:rFonts w:hAnsi="宋体" w:cs="宋体"/>
                      <w:b/>
                      <w:color w:val="auto"/>
                      <w:kern w:val="0"/>
                      <w:szCs w:val="24"/>
                    </w:rPr>
                  </w:pPr>
                  <w:r>
                    <w:rPr>
                      <w:rFonts w:hint="eastAsia" w:hAnsi="宋体" w:cs="宋体"/>
                      <w:b/>
                      <w:color w:val="auto"/>
                      <w:kern w:val="0"/>
                      <w:szCs w:val="24"/>
                    </w:rPr>
                    <w:t>21</w:t>
                  </w:r>
                </w:p>
              </w:tc>
            </w:tr>
            <w:tr w14:paraId="7AA1FB33">
              <w:tblPrEx>
                <w:tblCellMar>
                  <w:top w:w="0" w:type="dxa"/>
                  <w:left w:w="108" w:type="dxa"/>
                  <w:bottom w:w="0" w:type="dxa"/>
                  <w:right w:w="108" w:type="dxa"/>
                </w:tblCellMar>
              </w:tblPrEx>
              <w:trPr>
                <w:trHeight w:val="397" w:hRule="atLeast"/>
                <w:jc w:val="center"/>
              </w:trPr>
              <w:tc>
                <w:tcPr>
                  <w:tcW w:w="1666" w:type="dxa"/>
                  <w:tcBorders>
                    <w:top w:val="single" w:color="000000" w:sz="4" w:space="0"/>
                    <w:left w:val="single" w:color="000000" w:sz="4" w:space="0"/>
                    <w:bottom w:val="single" w:color="000000" w:sz="4" w:space="0"/>
                    <w:right w:val="single" w:color="000000" w:sz="4" w:space="0"/>
                  </w:tcBorders>
                  <w:vAlign w:val="center"/>
                </w:tcPr>
                <w:p w14:paraId="55AB8D11">
                  <w:pPr>
                    <w:adjustRightInd w:val="0"/>
                    <w:snapToGrid w:val="0"/>
                    <w:spacing w:line="240" w:lineRule="auto"/>
                    <w:jc w:val="center"/>
                    <w:rPr>
                      <w:rFonts w:hAnsi="宋体" w:cs="宋体"/>
                      <w:color w:val="auto"/>
                      <w:kern w:val="0"/>
                      <w:szCs w:val="24"/>
                    </w:rPr>
                  </w:pPr>
                  <w:r>
                    <w:rPr>
                      <w:rFonts w:hint="eastAsia" w:hAnsi="宋体" w:cs="宋体"/>
                      <w:color w:val="auto"/>
                      <w:kern w:val="0"/>
                      <w:szCs w:val="24"/>
                    </w:rPr>
                    <w:t>下浮系数（%）</w:t>
                  </w:r>
                </w:p>
              </w:tc>
              <w:tc>
                <w:tcPr>
                  <w:tcW w:w="907" w:type="dxa"/>
                  <w:tcBorders>
                    <w:top w:val="single" w:color="000000" w:sz="4" w:space="0"/>
                    <w:left w:val="nil"/>
                    <w:bottom w:val="single" w:color="000000" w:sz="4" w:space="0"/>
                    <w:right w:val="single" w:color="000000" w:sz="4" w:space="0"/>
                  </w:tcBorders>
                  <w:vAlign w:val="center"/>
                </w:tcPr>
                <w:p w14:paraId="31B83321">
                  <w:pPr>
                    <w:adjustRightInd w:val="0"/>
                    <w:snapToGrid w:val="0"/>
                    <w:spacing w:line="240" w:lineRule="auto"/>
                    <w:jc w:val="center"/>
                    <w:rPr>
                      <w:rFonts w:hAnsi="宋体" w:cs="宋体"/>
                      <w:color w:val="auto"/>
                      <w:kern w:val="0"/>
                      <w:szCs w:val="24"/>
                    </w:rPr>
                  </w:pPr>
                  <w:r>
                    <w:rPr>
                      <w:rFonts w:hint="eastAsia" w:hAnsi="宋体" w:cs="宋体"/>
                      <w:color w:val="auto"/>
                      <w:kern w:val="0"/>
                      <w:szCs w:val="24"/>
                    </w:rPr>
                    <w:t>2.4</w:t>
                  </w:r>
                </w:p>
              </w:tc>
              <w:tc>
                <w:tcPr>
                  <w:tcW w:w="907" w:type="dxa"/>
                  <w:tcBorders>
                    <w:top w:val="single" w:color="000000" w:sz="4" w:space="0"/>
                    <w:left w:val="nil"/>
                    <w:bottom w:val="single" w:color="000000" w:sz="4" w:space="0"/>
                    <w:right w:val="single" w:color="000000" w:sz="4" w:space="0"/>
                  </w:tcBorders>
                  <w:vAlign w:val="center"/>
                </w:tcPr>
                <w:p w14:paraId="20D3A49E">
                  <w:pPr>
                    <w:adjustRightInd w:val="0"/>
                    <w:snapToGrid w:val="0"/>
                    <w:spacing w:line="240" w:lineRule="auto"/>
                    <w:jc w:val="center"/>
                    <w:rPr>
                      <w:rFonts w:hAnsi="宋体" w:cs="宋体"/>
                      <w:color w:val="auto"/>
                      <w:kern w:val="0"/>
                      <w:szCs w:val="24"/>
                    </w:rPr>
                  </w:pPr>
                  <w:r>
                    <w:rPr>
                      <w:rFonts w:hint="eastAsia" w:hAnsi="宋体" w:cs="宋体"/>
                      <w:color w:val="auto"/>
                      <w:kern w:val="0"/>
                      <w:szCs w:val="24"/>
                    </w:rPr>
                    <w:t>2.5</w:t>
                  </w:r>
                </w:p>
              </w:tc>
              <w:tc>
                <w:tcPr>
                  <w:tcW w:w="907" w:type="dxa"/>
                  <w:tcBorders>
                    <w:top w:val="single" w:color="000000" w:sz="4" w:space="0"/>
                    <w:left w:val="nil"/>
                    <w:bottom w:val="single" w:color="000000" w:sz="4" w:space="0"/>
                    <w:right w:val="single" w:color="000000" w:sz="4" w:space="0"/>
                  </w:tcBorders>
                  <w:vAlign w:val="center"/>
                </w:tcPr>
                <w:p w14:paraId="4A16B565">
                  <w:pPr>
                    <w:adjustRightInd w:val="0"/>
                    <w:snapToGrid w:val="0"/>
                    <w:spacing w:line="240" w:lineRule="auto"/>
                    <w:jc w:val="center"/>
                    <w:rPr>
                      <w:rFonts w:hAnsi="宋体" w:cs="宋体"/>
                      <w:color w:val="auto"/>
                      <w:kern w:val="0"/>
                      <w:szCs w:val="24"/>
                    </w:rPr>
                  </w:pPr>
                  <w:r>
                    <w:rPr>
                      <w:rFonts w:hint="eastAsia" w:hAnsi="宋体" w:cs="宋体"/>
                      <w:color w:val="auto"/>
                      <w:kern w:val="0"/>
                      <w:szCs w:val="24"/>
                    </w:rPr>
                    <w:t>2.6</w:t>
                  </w:r>
                </w:p>
              </w:tc>
              <w:tc>
                <w:tcPr>
                  <w:tcW w:w="907" w:type="dxa"/>
                  <w:tcBorders>
                    <w:top w:val="single" w:color="000000" w:sz="4" w:space="0"/>
                    <w:left w:val="nil"/>
                    <w:bottom w:val="single" w:color="000000" w:sz="4" w:space="0"/>
                    <w:right w:val="single" w:color="000000" w:sz="4" w:space="0"/>
                  </w:tcBorders>
                  <w:vAlign w:val="center"/>
                </w:tcPr>
                <w:p w14:paraId="210F60B4">
                  <w:pPr>
                    <w:adjustRightInd w:val="0"/>
                    <w:snapToGrid w:val="0"/>
                    <w:spacing w:line="240" w:lineRule="auto"/>
                    <w:jc w:val="center"/>
                    <w:rPr>
                      <w:rFonts w:hAnsi="宋体" w:cs="宋体"/>
                      <w:color w:val="auto"/>
                      <w:kern w:val="0"/>
                      <w:szCs w:val="24"/>
                    </w:rPr>
                  </w:pPr>
                  <w:r>
                    <w:rPr>
                      <w:rFonts w:hint="eastAsia" w:hAnsi="宋体" w:cs="宋体"/>
                      <w:color w:val="auto"/>
                      <w:kern w:val="0"/>
                      <w:szCs w:val="24"/>
                    </w:rPr>
                    <w:t>2.7</w:t>
                  </w:r>
                </w:p>
              </w:tc>
              <w:tc>
                <w:tcPr>
                  <w:tcW w:w="907" w:type="dxa"/>
                  <w:tcBorders>
                    <w:top w:val="single" w:color="000000" w:sz="4" w:space="0"/>
                    <w:left w:val="nil"/>
                    <w:bottom w:val="single" w:color="000000" w:sz="4" w:space="0"/>
                    <w:right w:val="single" w:color="000000" w:sz="4" w:space="0"/>
                  </w:tcBorders>
                  <w:vAlign w:val="center"/>
                </w:tcPr>
                <w:p w14:paraId="7EB3B4B5">
                  <w:pPr>
                    <w:adjustRightInd w:val="0"/>
                    <w:snapToGrid w:val="0"/>
                    <w:spacing w:line="240" w:lineRule="auto"/>
                    <w:jc w:val="center"/>
                    <w:rPr>
                      <w:rFonts w:hAnsi="宋体" w:cs="宋体"/>
                      <w:color w:val="auto"/>
                      <w:kern w:val="0"/>
                      <w:szCs w:val="24"/>
                    </w:rPr>
                  </w:pPr>
                  <w:r>
                    <w:rPr>
                      <w:rFonts w:hint="eastAsia" w:hAnsi="宋体" w:cs="宋体"/>
                      <w:color w:val="auto"/>
                      <w:kern w:val="0"/>
                      <w:szCs w:val="24"/>
                    </w:rPr>
                    <w:t>2.8</w:t>
                  </w:r>
                </w:p>
              </w:tc>
              <w:tc>
                <w:tcPr>
                  <w:tcW w:w="907" w:type="dxa"/>
                  <w:tcBorders>
                    <w:top w:val="single" w:color="000000" w:sz="4" w:space="0"/>
                    <w:left w:val="nil"/>
                    <w:bottom w:val="single" w:color="000000" w:sz="4" w:space="0"/>
                    <w:right w:val="single" w:color="000000" w:sz="4" w:space="0"/>
                  </w:tcBorders>
                  <w:vAlign w:val="center"/>
                </w:tcPr>
                <w:p w14:paraId="2AE3ECD5">
                  <w:pPr>
                    <w:adjustRightInd w:val="0"/>
                    <w:snapToGrid w:val="0"/>
                    <w:spacing w:line="240" w:lineRule="auto"/>
                    <w:jc w:val="center"/>
                    <w:rPr>
                      <w:rFonts w:hAnsi="宋体" w:cs="宋体"/>
                      <w:color w:val="auto"/>
                      <w:kern w:val="0"/>
                      <w:szCs w:val="24"/>
                    </w:rPr>
                  </w:pPr>
                  <w:r>
                    <w:rPr>
                      <w:rFonts w:hint="eastAsia" w:hAnsi="宋体" w:cs="宋体"/>
                      <w:color w:val="auto"/>
                      <w:kern w:val="0"/>
                      <w:szCs w:val="24"/>
                    </w:rPr>
                    <w:t>2.9</w:t>
                  </w:r>
                </w:p>
              </w:tc>
              <w:tc>
                <w:tcPr>
                  <w:tcW w:w="907" w:type="dxa"/>
                  <w:tcBorders>
                    <w:top w:val="single" w:color="000000" w:sz="4" w:space="0"/>
                    <w:left w:val="nil"/>
                    <w:bottom w:val="single" w:color="000000" w:sz="4" w:space="0"/>
                    <w:right w:val="single" w:color="000000" w:sz="4" w:space="0"/>
                  </w:tcBorders>
                  <w:vAlign w:val="center"/>
                </w:tcPr>
                <w:p w14:paraId="4D276858">
                  <w:pPr>
                    <w:adjustRightInd w:val="0"/>
                    <w:snapToGrid w:val="0"/>
                    <w:spacing w:line="240" w:lineRule="auto"/>
                    <w:jc w:val="center"/>
                    <w:rPr>
                      <w:rFonts w:hAnsi="宋体" w:cs="宋体"/>
                      <w:color w:val="auto"/>
                      <w:kern w:val="0"/>
                      <w:szCs w:val="24"/>
                    </w:rPr>
                  </w:pPr>
                  <w:r>
                    <w:rPr>
                      <w:rFonts w:hint="eastAsia" w:hAnsi="宋体" w:cs="宋体"/>
                      <w:color w:val="auto"/>
                      <w:kern w:val="0"/>
                      <w:szCs w:val="24"/>
                    </w:rPr>
                    <w:t>3.0</w:t>
                  </w:r>
                </w:p>
              </w:tc>
            </w:tr>
          </w:tbl>
          <w:p w14:paraId="48834742">
            <w:pPr>
              <w:pStyle w:val="28"/>
              <w:rPr>
                <w:rFonts w:ascii="宋体" w:hAnsi="宋体" w:eastAsia="宋体" w:cs="宋体"/>
                <w:color w:val="auto"/>
                <w:sz w:val="24"/>
                <w:szCs w:val="24"/>
              </w:rPr>
            </w:pPr>
            <w:r>
              <w:rPr>
                <w:rFonts w:hint="eastAsia" w:ascii="宋体" w:hAnsi="宋体" w:eastAsia="宋体" w:cs="宋体"/>
                <w:snapToGrid w:val="0"/>
                <w:color w:val="auto"/>
                <w:kern w:val="0"/>
                <w:sz w:val="24"/>
                <w:szCs w:val="24"/>
              </w:rPr>
              <w:t>（2）评标基准价D＝最高投标限价×（1－n）</w:t>
            </w:r>
          </w:p>
        </w:tc>
      </w:tr>
      <w:tr w14:paraId="4007E553">
        <w:tblPrEx>
          <w:tblCellMar>
            <w:top w:w="0" w:type="dxa"/>
            <w:left w:w="10" w:type="dxa"/>
            <w:bottom w:w="0" w:type="dxa"/>
            <w:right w:w="10" w:type="dxa"/>
          </w:tblCellMar>
        </w:tblPrEx>
        <w:trPr>
          <w:trHeight w:val="2505" w:hRule="atLeast"/>
          <w:jc w:val="center"/>
        </w:trPr>
        <w:tc>
          <w:tcPr>
            <w:tcW w:w="12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E97C98">
            <w:pPr>
              <w:pStyle w:val="27"/>
              <w:jc w:val="center"/>
              <w:rPr>
                <w:rFonts w:ascii="宋体" w:hAnsi="宋体" w:eastAsia="宋体" w:cs="宋体"/>
                <w:color w:val="auto"/>
                <w:sz w:val="24"/>
                <w:szCs w:val="24"/>
              </w:rPr>
            </w:pPr>
            <w:r>
              <w:rPr>
                <w:rFonts w:hint="eastAsia" w:ascii="宋体" w:hAnsi="宋体" w:eastAsia="宋体" w:cs="宋体"/>
                <w:color w:val="auto"/>
                <w:sz w:val="24"/>
                <w:szCs w:val="24"/>
              </w:rPr>
              <w:t>投标报价</w:t>
            </w:r>
          </w:p>
          <w:p w14:paraId="25C2CC74">
            <w:pPr>
              <w:pStyle w:val="27"/>
              <w:jc w:val="center"/>
              <w:rPr>
                <w:rFonts w:ascii="宋体" w:hAnsi="宋体" w:eastAsia="宋体" w:cs="宋体"/>
                <w:color w:val="auto"/>
                <w:sz w:val="24"/>
                <w:szCs w:val="24"/>
              </w:rPr>
            </w:pPr>
            <w:r>
              <w:rPr>
                <w:rFonts w:hint="eastAsia" w:ascii="宋体" w:hAnsi="宋体" w:eastAsia="宋体" w:cs="宋体"/>
                <w:color w:val="auto"/>
                <w:sz w:val="24"/>
                <w:szCs w:val="24"/>
              </w:rPr>
              <w:t>得分M</w:t>
            </w:r>
            <w:r>
              <w:rPr>
                <w:rFonts w:hint="eastAsia" w:ascii="宋体" w:hAnsi="宋体" w:eastAsia="宋体" w:cs="宋体"/>
                <w:color w:val="auto"/>
                <w:sz w:val="24"/>
                <w:szCs w:val="24"/>
                <w:vertAlign w:val="subscript"/>
              </w:rPr>
              <w:t>3</w:t>
            </w:r>
          </w:p>
        </w:tc>
        <w:tc>
          <w:tcPr>
            <w:tcW w:w="830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DDE8AC">
            <w:pPr>
              <w:adjustRightInd w:val="0"/>
              <w:snapToGrid w:val="0"/>
              <w:spacing w:line="240" w:lineRule="auto"/>
              <w:ind w:firstLine="480" w:firstLineChars="200"/>
              <w:jc w:val="left"/>
              <w:rPr>
                <w:rFonts w:hAnsi="宋体" w:cs="宋体"/>
                <w:snapToGrid w:val="0"/>
                <w:color w:val="auto"/>
                <w:kern w:val="0"/>
                <w:szCs w:val="24"/>
              </w:rPr>
            </w:pPr>
            <w:r>
              <w:rPr>
                <w:rFonts w:hint="eastAsia" w:hAnsi="宋体" w:cs="宋体"/>
                <w:snapToGrid w:val="0"/>
                <w:color w:val="auto"/>
                <w:kern w:val="0"/>
                <w:szCs w:val="24"/>
              </w:rPr>
              <w:t>采用内插法计算某投标人的投标报价得分M</w:t>
            </w:r>
            <w:r>
              <w:rPr>
                <w:rFonts w:hint="eastAsia" w:hAnsi="宋体" w:cs="宋体"/>
                <w:snapToGrid w:val="0"/>
                <w:color w:val="auto"/>
                <w:kern w:val="0"/>
                <w:szCs w:val="24"/>
                <w:vertAlign w:val="subscript"/>
              </w:rPr>
              <w:t>3</w:t>
            </w:r>
            <w:r>
              <w:rPr>
                <w:rFonts w:hint="eastAsia" w:hAnsi="宋体" w:cs="宋体"/>
                <w:snapToGrid w:val="0"/>
                <w:color w:val="auto"/>
                <w:kern w:val="0"/>
                <w:szCs w:val="24"/>
              </w:rPr>
              <w:t>，即当投标人的投标总价等于评标基准价时得满分，每高于评标基准价一个百分点扣</w:t>
            </w:r>
            <w:r>
              <w:rPr>
                <w:rFonts w:hint="eastAsia" w:hAnsi="宋体" w:cs="宋体"/>
                <w:snapToGrid w:val="0"/>
                <w:color w:val="auto"/>
                <w:kern w:val="0"/>
                <w:szCs w:val="24"/>
                <w:lang w:val="en-US" w:eastAsia="zh-CN"/>
              </w:rPr>
              <w:t>0.5</w:t>
            </w:r>
            <w:r>
              <w:rPr>
                <w:rFonts w:hint="eastAsia" w:hAnsi="宋体" w:cs="宋体"/>
                <w:snapToGrid w:val="0"/>
                <w:color w:val="auto"/>
                <w:kern w:val="0"/>
                <w:szCs w:val="24"/>
              </w:rPr>
              <w:t>分,每低于评标基准价一个百分点扣0.</w:t>
            </w:r>
            <w:r>
              <w:rPr>
                <w:rFonts w:hint="eastAsia" w:hAnsi="宋体" w:cs="宋体"/>
                <w:snapToGrid w:val="0"/>
                <w:color w:val="auto"/>
                <w:kern w:val="0"/>
                <w:szCs w:val="24"/>
                <w:lang w:val="en-US" w:eastAsia="zh-CN"/>
              </w:rPr>
              <w:t>3</w:t>
            </w:r>
            <w:r>
              <w:rPr>
                <w:rFonts w:hint="eastAsia" w:hAnsi="宋体" w:cs="宋体"/>
                <w:snapToGrid w:val="0"/>
                <w:color w:val="auto"/>
                <w:kern w:val="0"/>
                <w:szCs w:val="24"/>
              </w:rPr>
              <w:t>分，扣完为止。公式如下：</w:t>
            </w:r>
          </w:p>
          <w:p w14:paraId="7C29699B">
            <w:pPr>
              <w:adjustRightInd w:val="0"/>
              <w:snapToGrid w:val="0"/>
              <w:spacing w:line="240" w:lineRule="auto"/>
              <w:ind w:firstLine="480" w:firstLineChars="200"/>
              <w:jc w:val="left"/>
              <w:rPr>
                <w:rFonts w:hAnsi="宋体" w:cs="宋体"/>
                <w:snapToGrid w:val="0"/>
                <w:color w:val="auto"/>
                <w:kern w:val="0"/>
                <w:szCs w:val="24"/>
              </w:rPr>
            </w:pPr>
            <w:r>
              <w:rPr>
                <w:rFonts w:hint="eastAsia" w:hAnsi="宋体" w:cs="宋体"/>
                <w:snapToGrid w:val="0"/>
                <w:color w:val="auto"/>
                <w:kern w:val="0"/>
                <w:szCs w:val="24"/>
              </w:rPr>
              <w:t>M</w:t>
            </w:r>
            <w:r>
              <w:rPr>
                <w:rFonts w:hint="eastAsia" w:hAnsi="宋体" w:cs="宋体"/>
                <w:snapToGrid w:val="0"/>
                <w:color w:val="auto"/>
                <w:kern w:val="0"/>
                <w:szCs w:val="24"/>
                <w:vertAlign w:val="subscript"/>
              </w:rPr>
              <w:t>3</w:t>
            </w:r>
            <w:r>
              <w:rPr>
                <w:rFonts w:hint="eastAsia" w:hAnsi="宋体" w:cs="宋体"/>
                <w:snapToGrid w:val="0"/>
                <w:color w:val="auto"/>
                <w:kern w:val="0"/>
                <w:szCs w:val="24"/>
              </w:rPr>
              <w:t>＝投标报价满分－（|Di－D|÷D）×100×E</w:t>
            </w:r>
          </w:p>
          <w:p w14:paraId="7EEC20A3">
            <w:pPr>
              <w:spacing w:line="240" w:lineRule="auto"/>
              <w:ind w:firstLine="480"/>
              <w:jc w:val="left"/>
              <w:rPr>
                <w:rFonts w:hAnsi="宋体" w:cs="宋体"/>
                <w:color w:val="auto"/>
                <w:szCs w:val="24"/>
              </w:rPr>
            </w:pPr>
            <w:r>
              <w:rPr>
                <w:rFonts w:hint="eastAsia" w:hAnsi="宋体" w:cs="宋体"/>
                <w:snapToGrid w:val="0"/>
                <w:color w:val="auto"/>
                <w:kern w:val="0"/>
                <w:szCs w:val="24"/>
              </w:rPr>
              <w:t>式中：D为评标基准价，Di为某投标人的投标总价；E为扣分因子。当Di＞D时，E＝</w:t>
            </w:r>
            <w:r>
              <w:rPr>
                <w:rFonts w:hint="eastAsia" w:hAnsi="宋体" w:cs="宋体"/>
                <w:snapToGrid w:val="0"/>
                <w:color w:val="auto"/>
                <w:kern w:val="0"/>
                <w:szCs w:val="24"/>
                <w:lang w:val="en-US" w:eastAsia="zh-CN"/>
              </w:rPr>
              <w:t>0.5</w:t>
            </w:r>
            <w:r>
              <w:rPr>
                <w:rFonts w:hint="eastAsia" w:hAnsi="宋体" w:cs="宋体"/>
                <w:snapToGrid w:val="0"/>
                <w:color w:val="auto"/>
                <w:kern w:val="0"/>
                <w:szCs w:val="24"/>
              </w:rPr>
              <w:t>；当Di＜D时，E＝0.</w:t>
            </w:r>
            <w:r>
              <w:rPr>
                <w:rFonts w:hint="eastAsia" w:hAnsi="宋体" w:cs="宋体"/>
                <w:snapToGrid w:val="0"/>
                <w:color w:val="auto"/>
                <w:kern w:val="0"/>
                <w:szCs w:val="24"/>
                <w:lang w:val="en-US" w:eastAsia="zh-CN"/>
              </w:rPr>
              <w:t>3</w:t>
            </w:r>
            <w:r>
              <w:rPr>
                <w:rFonts w:hint="eastAsia" w:hAnsi="宋体" w:cs="宋体"/>
                <w:snapToGrid w:val="0"/>
                <w:color w:val="auto"/>
                <w:kern w:val="0"/>
                <w:szCs w:val="24"/>
              </w:rPr>
              <w:t>。</w:t>
            </w:r>
          </w:p>
        </w:tc>
      </w:tr>
    </w:tbl>
    <w:p w14:paraId="42E2AE5D">
      <w:pPr>
        <w:pStyle w:val="21"/>
        <w:jc w:val="both"/>
        <w:rPr>
          <w:rFonts w:ascii="宋体" w:hAnsi="宋体" w:cs="宋体"/>
          <w:color w:val="auto"/>
          <w:sz w:val="24"/>
        </w:rPr>
      </w:pPr>
    </w:p>
    <w:p w14:paraId="6206DE4F">
      <w:pPr>
        <w:wordWrap w:val="0"/>
        <w:adjustRightInd w:val="0"/>
        <w:snapToGrid w:val="0"/>
        <w:spacing w:line="440" w:lineRule="exact"/>
        <w:ind w:firstLine="480" w:firstLineChars="200"/>
        <w:rPr>
          <w:rFonts w:hAnsi="宋体" w:cs="宋体"/>
          <w:snapToGrid w:val="0"/>
          <w:color w:val="auto"/>
          <w:kern w:val="0"/>
          <w:szCs w:val="24"/>
        </w:rPr>
      </w:pPr>
    </w:p>
    <w:p w14:paraId="566D9FF9">
      <w:pPr>
        <w:rPr>
          <w:color w:val="auto"/>
        </w:rPr>
      </w:pPr>
    </w:p>
    <w:p w14:paraId="629F74E1">
      <w:pPr>
        <w:rPr>
          <w:color w:val="auto"/>
        </w:rPr>
      </w:pPr>
    </w:p>
    <w:p w14:paraId="7FC45BAB">
      <w:pPr>
        <w:rPr>
          <w:color w:val="auto"/>
        </w:rPr>
      </w:pPr>
    </w:p>
    <w:p w14:paraId="6DDFE571">
      <w:pPr>
        <w:pStyle w:val="21"/>
        <w:rPr>
          <w:rFonts w:ascii="宋体" w:hAnsi="宋体" w:cs="宋体"/>
          <w:snapToGrid w:val="0"/>
          <w:color w:val="auto"/>
          <w:kern w:val="0"/>
          <w:sz w:val="24"/>
        </w:rPr>
      </w:pPr>
    </w:p>
    <w:p w14:paraId="7DCFB803">
      <w:pPr>
        <w:wordWrap w:val="0"/>
        <w:adjustRightInd w:val="0"/>
        <w:snapToGrid w:val="0"/>
        <w:spacing w:after="240" w:afterLines="100" w:line="440" w:lineRule="exact"/>
        <w:jc w:val="center"/>
        <w:rPr>
          <w:rFonts w:hAnsi="宋体" w:cs="宋体"/>
          <w:b/>
          <w:bCs/>
          <w:snapToGrid w:val="0"/>
          <w:color w:val="auto"/>
          <w:kern w:val="0"/>
          <w:sz w:val="28"/>
          <w:szCs w:val="28"/>
        </w:rPr>
      </w:pPr>
      <w:r>
        <w:rPr>
          <w:rFonts w:hint="eastAsia" w:hAnsi="宋体" w:cs="宋体"/>
          <w:b/>
          <w:bCs/>
          <w:snapToGrid w:val="0"/>
          <w:color w:val="auto"/>
          <w:kern w:val="0"/>
          <w:sz w:val="28"/>
          <w:szCs w:val="28"/>
        </w:rPr>
        <w:t>表2 项目监理机构其他人员需求表</w:t>
      </w:r>
    </w:p>
    <w:tbl>
      <w:tblPr>
        <w:tblStyle w:val="16"/>
        <w:tblW w:w="9252" w:type="dxa"/>
        <w:tblInd w:w="95" w:type="dxa"/>
        <w:tblLayout w:type="autofit"/>
        <w:tblCellMar>
          <w:top w:w="0" w:type="dxa"/>
          <w:left w:w="108" w:type="dxa"/>
          <w:bottom w:w="0" w:type="dxa"/>
          <w:right w:w="108" w:type="dxa"/>
        </w:tblCellMar>
      </w:tblPr>
      <w:tblGrid>
        <w:gridCol w:w="1069"/>
        <w:gridCol w:w="2145"/>
        <w:gridCol w:w="840"/>
        <w:gridCol w:w="5198"/>
      </w:tblGrid>
      <w:tr w14:paraId="294CCE2E">
        <w:tblPrEx>
          <w:tblCellMar>
            <w:top w:w="0" w:type="dxa"/>
            <w:left w:w="108" w:type="dxa"/>
            <w:bottom w:w="0" w:type="dxa"/>
            <w:right w:w="108" w:type="dxa"/>
          </w:tblCellMar>
        </w:tblPrEx>
        <w:trPr>
          <w:trHeight w:val="645" w:hRule="atLeast"/>
        </w:trPr>
        <w:tc>
          <w:tcPr>
            <w:tcW w:w="9252" w:type="dxa"/>
            <w:gridSpan w:val="4"/>
            <w:tcBorders>
              <w:top w:val="single" w:color="auto" w:sz="8" w:space="0"/>
              <w:left w:val="single" w:color="auto" w:sz="8" w:space="0"/>
              <w:bottom w:val="nil"/>
              <w:right w:val="single" w:color="000000" w:sz="8" w:space="0"/>
            </w:tcBorders>
            <w:vAlign w:val="center"/>
          </w:tcPr>
          <w:p w14:paraId="7252CB7C">
            <w:pPr>
              <w:widowControl/>
              <w:spacing w:line="240" w:lineRule="auto"/>
              <w:jc w:val="left"/>
              <w:rPr>
                <w:rFonts w:hAnsi="宋体" w:cs="宋体"/>
                <w:b/>
                <w:bCs/>
                <w:color w:val="auto"/>
                <w:kern w:val="0"/>
                <w:szCs w:val="24"/>
              </w:rPr>
            </w:pPr>
            <w:r>
              <w:rPr>
                <w:rFonts w:hint="eastAsia" w:hAnsi="宋体" w:cs="宋体"/>
                <w:b/>
                <w:bCs/>
                <w:color w:val="auto"/>
                <w:kern w:val="0"/>
                <w:szCs w:val="24"/>
              </w:rPr>
              <w:t>监理人员（除总监理工程师外）：共</w:t>
            </w:r>
            <w:r>
              <w:rPr>
                <w:rFonts w:hint="eastAsia" w:hAnsi="宋体" w:cs="宋体"/>
                <w:b/>
                <w:bCs/>
                <w:color w:val="auto"/>
                <w:kern w:val="0"/>
                <w:szCs w:val="24"/>
                <w:u w:val="single"/>
                <w:lang w:val="en-US" w:eastAsia="zh-CN"/>
              </w:rPr>
              <w:t>6</w:t>
            </w:r>
            <w:r>
              <w:rPr>
                <w:rFonts w:hint="eastAsia" w:hAnsi="宋体" w:cs="宋体"/>
                <w:b/>
                <w:bCs/>
                <w:color w:val="auto"/>
                <w:kern w:val="0"/>
                <w:szCs w:val="24"/>
              </w:rPr>
              <w:t>人</w:t>
            </w:r>
          </w:p>
        </w:tc>
      </w:tr>
      <w:tr w14:paraId="0B4E138E">
        <w:tblPrEx>
          <w:tblCellMar>
            <w:top w:w="0" w:type="dxa"/>
            <w:left w:w="108" w:type="dxa"/>
            <w:bottom w:w="0" w:type="dxa"/>
            <w:right w:w="108" w:type="dxa"/>
          </w:tblCellMar>
        </w:tblPrEx>
        <w:trPr>
          <w:trHeight w:val="681" w:hRule="atLeast"/>
        </w:trPr>
        <w:tc>
          <w:tcPr>
            <w:tcW w:w="1069" w:type="dxa"/>
            <w:tcBorders>
              <w:top w:val="single" w:color="auto" w:sz="4" w:space="0"/>
              <w:left w:val="single" w:color="auto" w:sz="4" w:space="0"/>
              <w:bottom w:val="single" w:color="auto" w:sz="4" w:space="0"/>
              <w:right w:val="single" w:color="auto" w:sz="4" w:space="0"/>
            </w:tcBorders>
            <w:vAlign w:val="center"/>
          </w:tcPr>
          <w:p w14:paraId="7AF47E90">
            <w:pPr>
              <w:jc w:val="center"/>
              <w:rPr>
                <w:color w:val="auto"/>
              </w:rPr>
            </w:pPr>
            <w:r>
              <w:rPr>
                <w:rFonts w:hint="eastAsia"/>
                <w:color w:val="auto"/>
              </w:rPr>
              <w:t>职务</w:t>
            </w:r>
          </w:p>
        </w:tc>
        <w:tc>
          <w:tcPr>
            <w:tcW w:w="2145" w:type="dxa"/>
            <w:tcBorders>
              <w:top w:val="single" w:color="auto" w:sz="4" w:space="0"/>
              <w:left w:val="single" w:color="auto" w:sz="4" w:space="0"/>
              <w:bottom w:val="single" w:color="auto" w:sz="4" w:space="0"/>
              <w:right w:val="single" w:color="auto" w:sz="4" w:space="0"/>
            </w:tcBorders>
            <w:vAlign w:val="center"/>
          </w:tcPr>
          <w:p w14:paraId="694CF09D">
            <w:pPr>
              <w:jc w:val="center"/>
              <w:rPr>
                <w:color w:val="auto"/>
              </w:rPr>
            </w:pPr>
            <w:r>
              <w:rPr>
                <w:rFonts w:hint="eastAsia"/>
                <w:color w:val="auto"/>
              </w:rPr>
              <w:t>专业要求</w:t>
            </w:r>
          </w:p>
        </w:tc>
        <w:tc>
          <w:tcPr>
            <w:tcW w:w="840" w:type="dxa"/>
            <w:tcBorders>
              <w:top w:val="single" w:color="auto" w:sz="4" w:space="0"/>
              <w:left w:val="nil"/>
              <w:bottom w:val="single" w:color="auto" w:sz="4" w:space="0"/>
              <w:right w:val="single" w:color="auto" w:sz="4" w:space="0"/>
            </w:tcBorders>
            <w:vAlign w:val="center"/>
          </w:tcPr>
          <w:p w14:paraId="7DF1BEFE">
            <w:pPr>
              <w:jc w:val="center"/>
              <w:rPr>
                <w:color w:val="auto"/>
              </w:rPr>
            </w:pPr>
            <w:r>
              <w:rPr>
                <w:rFonts w:hint="eastAsia"/>
                <w:color w:val="auto"/>
              </w:rPr>
              <w:t>数量</w:t>
            </w:r>
          </w:p>
          <w:p w14:paraId="2E699B25">
            <w:pPr>
              <w:jc w:val="center"/>
              <w:rPr>
                <w:color w:val="auto"/>
              </w:rPr>
            </w:pPr>
            <w:r>
              <w:rPr>
                <w:rFonts w:hint="eastAsia"/>
                <w:color w:val="auto"/>
              </w:rPr>
              <w:t>要求</w:t>
            </w:r>
          </w:p>
        </w:tc>
        <w:tc>
          <w:tcPr>
            <w:tcW w:w="5198" w:type="dxa"/>
            <w:tcBorders>
              <w:top w:val="single" w:color="auto" w:sz="4" w:space="0"/>
              <w:left w:val="single" w:color="auto" w:sz="4" w:space="0"/>
              <w:bottom w:val="single" w:color="auto" w:sz="4" w:space="0"/>
              <w:right w:val="single" w:color="auto" w:sz="4" w:space="0"/>
            </w:tcBorders>
            <w:vAlign w:val="center"/>
          </w:tcPr>
          <w:p w14:paraId="6D5A6899">
            <w:pPr>
              <w:jc w:val="center"/>
              <w:rPr>
                <w:color w:val="auto"/>
              </w:rPr>
            </w:pPr>
            <w:r>
              <w:rPr>
                <w:rFonts w:hint="eastAsia"/>
                <w:color w:val="auto"/>
              </w:rPr>
              <w:t>持证要求</w:t>
            </w:r>
          </w:p>
        </w:tc>
      </w:tr>
      <w:tr w14:paraId="1E533E37">
        <w:tblPrEx>
          <w:tblCellMar>
            <w:top w:w="0" w:type="dxa"/>
            <w:left w:w="108" w:type="dxa"/>
            <w:bottom w:w="0" w:type="dxa"/>
            <w:right w:w="108" w:type="dxa"/>
          </w:tblCellMar>
        </w:tblPrEx>
        <w:trPr>
          <w:trHeight w:val="1391" w:hRule="atLeast"/>
        </w:trPr>
        <w:tc>
          <w:tcPr>
            <w:tcW w:w="1069" w:type="dxa"/>
            <w:vMerge w:val="restart"/>
            <w:tcBorders>
              <w:top w:val="single" w:color="auto" w:sz="4" w:space="0"/>
              <w:left w:val="single" w:color="auto" w:sz="4" w:space="0"/>
              <w:right w:val="single" w:color="auto" w:sz="4" w:space="0"/>
            </w:tcBorders>
            <w:vAlign w:val="center"/>
          </w:tcPr>
          <w:p w14:paraId="66F1B473">
            <w:pPr>
              <w:widowControl/>
              <w:spacing w:line="440" w:lineRule="exact"/>
              <w:jc w:val="center"/>
              <w:rPr>
                <w:rFonts w:hAnsi="宋体" w:cs="宋体"/>
                <w:color w:val="auto"/>
                <w:kern w:val="0"/>
                <w:szCs w:val="24"/>
              </w:rPr>
            </w:pPr>
            <w:r>
              <w:rPr>
                <w:rFonts w:hint="eastAsia"/>
                <w:color w:val="auto"/>
              </w:rPr>
              <w:t>专业监理工程师</w:t>
            </w:r>
          </w:p>
        </w:tc>
        <w:tc>
          <w:tcPr>
            <w:tcW w:w="2145" w:type="dxa"/>
            <w:tcBorders>
              <w:top w:val="single" w:color="auto" w:sz="4" w:space="0"/>
              <w:left w:val="single" w:color="auto" w:sz="4" w:space="0"/>
              <w:bottom w:val="single" w:color="auto" w:sz="4" w:space="0"/>
              <w:right w:val="single" w:color="auto" w:sz="4" w:space="0"/>
            </w:tcBorders>
            <w:vAlign w:val="center"/>
          </w:tcPr>
          <w:p w14:paraId="76A09C48">
            <w:pPr>
              <w:rPr>
                <w:color w:val="auto"/>
              </w:rPr>
            </w:pPr>
            <w:r>
              <w:rPr>
                <w:rFonts w:hint="eastAsia"/>
                <w:color w:val="auto"/>
              </w:rPr>
              <w:t>市政公用工程专业</w:t>
            </w:r>
          </w:p>
        </w:tc>
        <w:tc>
          <w:tcPr>
            <w:tcW w:w="840" w:type="dxa"/>
            <w:tcBorders>
              <w:top w:val="single" w:color="auto" w:sz="4" w:space="0"/>
              <w:left w:val="nil"/>
              <w:bottom w:val="single" w:color="auto" w:sz="4" w:space="0"/>
              <w:right w:val="single" w:color="auto" w:sz="4" w:space="0"/>
            </w:tcBorders>
            <w:vAlign w:val="center"/>
          </w:tcPr>
          <w:p w14:paraId="384F7F46">
            <w:pPr>
              <w:jc w:val="center"/>
              <w:rPr>
                <w:color w:val="auto"/>
              </w:rPr>
            </w:pPr>
            <w:r>
              <w:rPr>
                <w:rFonts w:hint="eastAsia"/>
                <w:color w:val="auto"/>
              </w:rPr>
              <w:t>1</w:t>
            </w:r>
          </w:p>
        </w:tc>
        <w:tc>
          <w:tcPr>
            <w:tcW w:w="5198" w:type="dxa"/>
            <w:vMerge w:val="restart"/>
            <w:tcBorders>
              <w:top w:val="single" w:color="auto" w:sz="4" w:space="0"/>
              <w:left w:val="single" w:color="auto" w:sz="4" w:space="0"/>
              <w:right w:val="single" w:color="auto" w:sz="4" w:space="0"/>
            </w:tcBorders>
            <w:vAlign w:val="center"/>
          </w:tcPr>
          <w:p w14:paraId="2E445C78">
            <w:pPr>
              <w:widowControl/>
              <w:spacing w:line="440" w:lineRule="exact"/>
              <w:rPr>
                <w:rFonts w:hAnsi="宋体" w:cs="宋体"/>
                <w:color w:val="auto"/>
                <w:kern w:val="0"/>
                <w:szCs w:val="24"/>
              </w:rPr>
            </w:pPr>
            <w:r>
              <w:rPr>
                <w:rFonts w:hint="eastAsia" w:hAnsi="宋体" w:cs="宋体"/>
                <w:color w:val="auto"/>
                <w:kern w:val="0"/>
                <w:szCs w:val="24"/>
              </w:rPr>
              <w:t>符合以下3种情形之一均可：</w:t>
            </w:r>
          </w:p>
          <w:p w14:paraId="08E4DD14">
            <w:pPr>
              <w:widowControl/>
              <w:spacing w:line="440" w:lineRule="exact"/>
              <w:ind w:firstLine="480" w:firstLineChars="200"/>
              <w:rPr>
                <w:rFonts w:hAnsi="宋体" w:cs="宋体"/>
                <w:color w:val="auto"/>
                <w:kern w:val="0"/>
                <w:szCs w:val="24"/>
              </w:rPr>
            </w:pPr>
            <w:r>
              <w:rPr>
                <w:rFonts w:hint="eastAsia" w:hAnsi="宋体" w:cs="宋体"/>
                <w:color w:val="auto"/>
                <w:kern w:val="0"/>
                <w:szCs w:val="24"/>
              </w:rPr>
              <w:t>1．具备所需专业注册监理工程师执业资格，持有效的注册证书；</w:t>
            </w:r>
          </w:p>
          <w:p w14:paraId="7231D1EB">
            <w:pPr>
              <w:widowControl/>
              <w:spacing w:line="440" w:lineRule="exact"/>
              <w:ind w:firstLine="480" w:firstLineChars="200"/>
              <w:rPr>
                <w:rFonts w:hAnsi="宋体" w:cs="宋体"/>
                <w:color w:val="auto"/>
                <w:kern w:val="0"/>
                <w:szCs w:val="24"/>
              </w:rPr>
            </w:pPr>
            <w:r>
              <w:rPr>
                <w:rFonts w:hint="eastAsia" w:hAnsi="宋体" w:cs="宋体"/>
                <w:color w:val="auto"/>
                <w:kern w:val="0"/>
                <w:szCs w:val="24"/>
              </w:rPr>
              <w:t>2．具备工程类注册执业资格，并经监理业务培训。持有效的注册证书、省级建设行政主管部门或其授权的组织（机构）颁发的岗位证书；</w:t>
            </w:r>
          </w:p>
          <w:p w14:paraId="646D71E2">
            <w:pPr>
              <w:widowControl/>
              <w:spacing w:line="440" w:lineRule="exact"/>
              <w:ind w:firstLine="480" w:firstLineChars="200"/>
              <w:rPr>
                <w:rFonts w:hAnsi="宋体" w:cs="宋体"/>
                <w:color w:val="auto"/>
                <w:kern w:val="0"/>
                <w:szCs w:val="24"/>
              </w:rPr>
            </w:pPr>
            <w:r>
              <w:rPr>
                <w:rFonts w:hint="eastAsia" w:hAnsi="宋体" w:cs="宋体"/>
                <w:color w:val="auto"/>
                <w:kern w:val="0"/>
                <w:szCs w:val="24"/>
              </w:rPr>
              <w:t>3．经监理业务培训，持有效的省级建设行政主管部门或其授权的组织（机构）颁发的岗位证书。</w:t>
            </w:r>
          </w:p>
        </w:tc>
      </w:tr>
      <w:tr w14:paraId="336F20B9">
        <w:tblPrEx>
          <w:tblCellMar>
            <w:top w:w="0" w:type="dxa"/>
            <w:left w:w="108" w:type="dxa"/>
            <w:bottom w:w="0" w:type="dxa"/>
            <w:right w:w="108" w:type="dxa"/>
          </w:tblCellMar>
        </w:tblPrEx>
        <w:trPr>
          <w:trHeight w:val="1181" w:hRule="atLeast"/>
        </w:trPr>
        <w:tc>
          <w:tcPr>
            <w:tcW w:w="1069" w:type="dxa"/>
            <w:vMerge w:val="continue"/>
            <w:tcBorders>
              <w:left w:val="single" w:color="auto" w:sz="4" w:space="0"/>
              <w:right w:val="single" w:color="auto" w:sz="4" w:space="0"/>
            </w:tcBorders>
            <w:vAlign w:val="center"/>
          </w:tcPr>
          <w:p w14:paraId="406D3D09">
            <w:pPr>
              <w:rPr>
                <w:color w:val="auto"/>
              </w:rPr>
            </w:pPr>
          </w:p>
        </w:tc>
        <w:tc>
          <w:tcPr>
            <w:tcW w:w="2145" w:type="dxa"/>
            <w:tcBorders>
              <w:top w:val="single" w:color="auto" w:sz="4" w:space="0"/>
              <w:left w:val="single" w:color="auto" w:sz="4" w:space="0"/>
              <w:bottom w:val="single" w:color="auto" w:sz="4" w:space="0"/>
              <w:right w:val="single" w:color="auto" w:sz="4" w:space="0"/>
            </w:tcBorders>
            <w:vAlign w:val="center"/>
          </w:tcPr>
          <w:p w14:paraId="145B1B2A">
            <w:pPr>
              <w:jc w:val="center"/>
              <w:rPr>
                <w:rFonts w:hint="default" w:eastAsia="宋体"/>
                <w:color w:val="auto"/>
                <w:lang w:val="en-US" w:eastAsia="zh-CN"/>
              </w:rPr>
            </w:pPr>
            <w:r>
              <w:rPr>
                <w:rFonts w:hint="eastAsia"/>
                <w:color w:val="auto"/>
                <w:lang w:val="en-US" w:eastAsia="zh-CN"/>
              </w:rPr>
              <w:t>给排水工程专业</w:t>
            </w:r>
          </w:p>
        </w:tc>
        <w:tc>
          <w:tcPr>
            <w:tcW w:w="840" w:type="dxa"/>
            <w:tcBorders>
              <w:top w:val="single" w:color="auto" w:sz="4" w:space="0"/>
              <w:left w:val="nil"/>
              <w:bottom w:val="single" w:color="auto" w:sz="4" w:space="0"/>
              <w:right w:val="single" w:color="auto" w:sz="4" w:space="0"/>
            </w:tcBorders>
            <w:vAlign w:val="center"/>
          </w:tcPr>
          <w:p w14:paraId="5E99C92B">
            <w:pPr>
              <w:jc w:val="center"/>
              <w:rPr>
                <w:rFonts w:hint="eastAsia" w:eastAsia="宋体"/>
                <w:color w:val="auto"/>
                <w:lang w:val="en-US" w:eastAsia="zh-CN"/>
              </w:rPr>
            </w:pPr>
            <w:r>
              <w:rPr>
                <w:rFonts w:hint="eastAsia"/>
                <w:color w:val="auto"/>
                <w:lang w:val="en-US" w:eastAsia="zh-CN"/>
              </w:rPr>
              <w:t>1</w:t>
            </w:r>
          </w:p>
        </w:tc>
        <w:tc>
          <w:tcPr>
            <w:tcW w:w="5198" w:type="dxa"/>
            <w:vMerge w:val="continue"/>
            <w:tcBorders>
              <w:left w:val="single" w:color="auto" w:sz="4" w:space="0"/>
              <w:right w:val="single" w:color="auto" w:sz="4" w:space="0"/>
            </w:tcBorders>
            <w:vAlign w:val="center"/>
          </w:tcPr>
          <w:p w14:paraId="4E46349A">
            <w:pPr>
              <w:widowControl/>
              <w:spacing w:line="440" w:lineRule="exact"/>
              <w:ind w:firstLine="480" w:firstLineChars="200"/>
              <w:rPr>
                <w:rFonts w:hint="eastAsia" w:hAnsi="宋体" w:cs="宋体"/>
                <w:color w:val="auto"/>
                <w:kern w:val="0"/>
                <w:szCs w:val="24"/>
              </w:rPr>
            </w:pPr>
          </w:p>
        </w:tc>
      </w:tr>
      <w:tr w14:paraId="4EEE74DC">
        <w:tblPrEx>
          <w:tblCellMar>
            <w:top w:w="0" w:type="dxa"/>
            <w:left w:w="108" w:type="dxa"/>
            <w:bottom w:w="0" w:type="dxa"/>
            <w:right w:w="108" w:type="dxa"/>
          </w:tblCellMar>
        </w:tblPrEx>
        <w:trPr>
          <w:trHeight w:val="1275" w:hRule="atLeast"/>
        </w:trPr>
        <w:tc>
          <w:tcPr>
            <w:tcW w:w="1069" w:type="dxa"/>
            <w:vMerge w:val="continue"/>
            <w:tcBorders>
              <w:left w:val="single" w:color="auto" w:sz="4" w:space="0"/>
              <w:right w:val="single" w:color="auto" w:sz="4" w:space="0"/>
            </w:tcBorders>
            <w:vAlign w:val="center"/>
          </w:tcPr>
          <w:p w14:paraId="01EA348C">
            <w:pPr>
              <w:widowControl/>
              <w:spacing w:line="440" w:lineRule="exact"/>
              <w:jc w:val="center"/>
              <w:rPr>
                <w:rFonts w:hAnsi="宋体" w:cs="宋体"/>
                <w:color w:val="auto"/>
                <w:kern w:val="0"/>
                <w:szCs w:val="24"/>
              </w:rPr>
            </w:pPr>
          </w:p>
        </w:tc>
        <w:tc>
          <w:tcPr>
            <w:tcW w:w="2145" w:type="dxa"/>
            <w:tcBorders>
              <w:top w:val="nil"/>
              <w:left w:val="single" w:color="auto" w:sz="4" w:space="0"/>
              <w:bottom w:val="single" w:color="auto" w:sz="4" w:space="0"/>
              <w:right w:val="single" w:color="auto" w:sz="4" w:space="0"/>
            </w:tcBorders>
            <w:vAlign w:val="center"/>
          </w:tcPr>
          <w:p w14:paraId="07D3B7CB">
            <w:pPr>
              <w:widowControl/>
              <w:spacing w:line="240" w:lineRule="auto"/>
              <w:jc w:val="center"/>
              <w:rPr>
                <w:rFonts w:hAnsi="宋体" w:cs="宋体"/>
                <w:color w:val="auto"/>
                <w:kern w:val="0"/>
                <w:szCs w:val="24"/>
              </w:rPr>
            </w:pPr>
            <w:r>
              <w:rPr>
                <w:rFonts w:hint="eastAsia"/>
                <w:color w:val="auto"/>
                <w:lang w:val="en-US" w:eastAsia="zh-CN"/>
              </w:rPr>
              <w:t>电气</w:t>
            </w:r>
            <w:r>
              <w:rPr>
                <w:rFonts w:hint="eastAsia"/>
                <w:color w:val="auto"/>
              </w:rPr>
              <w:t>专业</w:t>
            </w:r>
          </w:p>
        </w:tc>
        <w:tc>
          <w:tcPr>
            <w:tcW w:w="840" w:type="dxa"/>
            <w:tcBorders>
              <w:top w:val="nil"/>
              <w:left w:val="single" w:color="auto" w:sz="4" w:space="0"/>
              <w:bottom w:val="single" w:color="auto" w:sz="4" w:space="0"/>
              <w:right w:val="single" w:color="auto" w:sz="4" w:space="0"/>
            </w:tcBorders>
            <w:vAlign w:val="center"/>
          </w:tcPr>
          <w:p w14:paraId="6F85C1D1">
            <w:pPr>
              <w:widowControl/>
              <w:spacing w:line="240" w:lineRule="auto"/>
              <w:jc w:val="center"/>
              <w:rPr>
                <w:rFonts w:hint="eastAsia" w:hAnsi="宋体" w:eastAsia="宋体" w:cs="宋体"/>
                <w:color w:val="auto"/>
                <w:kern w:val="0"/>
                <w:szCs w:val="24"/>
                <w:lang w:eastAsia="zh-CN"/>
              </w:rPr>
            </w:pPr>
            <w:r>
              <w:rPr>
                <w:rFonts w:hint="eastAsia"/>
                <w:color w:val="auto"/>
                <w:lang w:val="en-US" w:eastAsia="zh-CN"/>
              </w:rPr>
              <w:t>1</w:t>
            </w:r>
          </w:p>
        </w:tc>
        <w:tc>
          <w:tcPr>
            <w:tcW w:w="5198" w:type="dxa"/>
            <w:vMerge w:val="continue"/>
            <w:tcBorders>
              <w:left w:val="single" w:color="auto" w:sz="4" w:space="0"/>
              <w:right w:val="single" w:color="auto" w:sz="4" w:space="0"/>
            </w:tcBorders>
            <w:vAlign w:val="center"/>
          </w:tcPr>
          <w:p w14:paraId="558C7E0E">
            <w:pPr>
              <w:widowControl/>
              <w:spacing w:line="440" w:lineRule="exact"/>
              <w:ind w:firstLine="480" w:firstLineChars="200"/>
              <w:rPr>
                <w:rFonts w:hAnsi="宋体" w:cs="宋体"/>
                <w:color w:val="auto"/>
                <w:kern w:val="0"/>
                <w:szCs w:val="24"/>
              </w:rPr>
            </w:pPr>
          </w:p>
        </w:tc>
      </w:tr>
      <w:tr w14:paraId="48505FCE">
        <w:tblPrEx>
          <w:tblCellMar>
            <w:top w:w="0" w:type="dxa"/>
            <w:left w:w="108" w:type="dxa"/>
            <w:bottom w:w="0" w:type="dxa"/>
            <w:right w:w="108" w:type="dxa"/>
          </w:tblCellMar>
        </w:tblPrEx>
        <w:trPr>
          <w:trHeight w:val="780" w:hRule="atLeast"/>
        </w:trPr>
        <w:tc>
          <w:tcPr>
            <w:tcW w:w="1069" w:type="dxa"/>
            <w:tcBorders>
              <w:top w:val="single" w:color="auto" w:sz="4" w:space="0"/>
              <w:left w:val="single" w:color="auto" w:sz="4" w:space="0"/>
              <w:bottom w:val="single" w:color="auto" w:sz="4" w:space="0"/>
              <w:right w:val="single" w:color="auto" w:sz="4" w:space="0"/>
            </w:tcBorders>
            <w:vAlign w:val="center"/>
          </w:tcPr>
          <w:p w14:paraId="0B0823D0">
            <w:pPr>
              <w:rPr>
                <w:color w:val="auto"/>
              </w:rPr>
            </w:pPr>
            <w:r>
              <w:rPr>
                <w:rFonts w:hint="eastAsia"/>
                <w:color w:val="auto"/>
              </w:rPr>
              <w:t>监理员</w:t>
            </w:r>
          </w:p>
        </w:tc>
        <w:tc>
          <w:tcPr>
            <w:tcW w:w="2145" w:type="dxa"/>
            <w:tcBorders>
              <w:top w:val="single" w:color="auto" w:sz="4" w:space="0"/>
              <w:left w:val="single" w:color="auto" w:sz="4" w:space="0"/>
              <w:bottom w:val="single" w:color="auto" w:sz="4" w:space="0"/>
              <w:right w:val="single" w:color="auto" w:sz="4" w:space="0"/>
            </w:tcBorders>
            <w:vAlign w:val="center"/>
          </w:tcPr>
          <w:p w14:paraId="777C179E">
            <w:pPr>
              <w:rPr>
                <w:color w:val="auto"/>
              </w:rPr>
            </w:pPr>
            <w:r>
              <w:rPr>
                <w:rFonts w:hint="eastAsia"/>
                <w:color w:val="auto"/>
              </w:rPr>
              <w:t>具备监理员岗位证书（有效期内）</w:t>
            </w:r>
          </w:p>
        </w:tc>
        <w:tc>
          <w:tcPr>
            <w:tcW w:w="840" w:type="dxa"/>
            <w:tcBorders>
              <w:top w:val="single" w:color="auto" w:sz="4" w:space="0"/>
              <w:left w:val="single" w:color="auto" w:sz="4" w:space="0"/>
              <w:bottom w:val="single" w:color="auto" w:sz="4" w:space="0"/>
              <w:right w:val="single" w:color="auto" w:sz="4" w:space="0"/>
            </w:tcBorders>
            <w:vAlign w:val="center"/>
          </w:tcPr>
          <w:p w14:paraId="72BE3A5B">
            <w:pPr>
              <w:jc w:val="center"/>
              <w:rPr>
                <w:color w:val="auto"/>
              </w:rPr>
            </w:pPr>
            <w:r>
              <w:rPr>
                <w:rFonts w:hint="eastAsia"/>
                <w:color w:val="auto"/>
              </w:rPr>
              <w:t>1</w:t>
            </w:r>
          </w:p>
        </w:tc>
        <w:tc>
          <w:tcPr>
            <w:tcW w:w="5198" w:type="dxa"/>
            <w:tcBorders>
              <w:top w:val="single" w:color="auto" w:sz="4" w:space="0"/>
              <w:left w:val="single" w:color="auto" w:sz="4" w:space="0"/>
              <w:bottom w:val="single" w:color="auto" w:sz="4" w:space="0"/>
              <w:right w:val="single" w:color="auto" w:sz="4" w:space="0"/>
            </w:tcBorders>
            <w:vAlign w:val="center"/>
          </w:tcPr>
          <w:p w14:paraId="1ADDB278">
            <w:pPr>
              <w:widowControl/>
              <w:spacing w:line="440" w:lineRule="exact"/>
              <w:ind w:firstLine="480" w:firstLineChars="200"/>
              <w:rPr>
                <w:rFonts w:hAnsi="宋体" w:cs="宋体"/>
                <w:color w:val="auto"/>
                <w:kern w:val="0"/>
                <w:szCs w:val="24"/>
              </w:rPr>
            </w:pPr>
            <w:r>
              <w:rPr>
                <w:rFonts w:hint="eastAsia" w:hAnsi="宋体" w:cs="宋体"/>
                <w:color w:val="auto"/>
                <w:kern w:val="0"/>
                <w:szCs w:val="24"/>
              </w:rPr>
              <w:t>经监理业务培训，持有效的省级建设行政主管部门或其授权的组织（机构）颁发的岗位证书。</w:t>
            </w:r>
          </w:p>
        </w:tc>
      </w:tr>
      <w:tr w14:paraId="19E11135">
        <w:tblPrEx>
          <w:tblCellMar>
            <w:top w:w="0" w:type="dxa"/>
            <w:left w:w="108" w:type="dxa"/>
            <w:bottom w:w="0" w:type="dxa"/>
            <w:right w:w="108" w:type="dxa"/>
          </w:tblCellMar>
        </w:tblPrEx>
        <w:trPr>
          <w:trHeight w:val="780" w:hRule="atLeast"/>
        </w:trPr>
        <w:tc>
          <w:tcPr>
            <w:tcW w:w="1069" w:type="dxa"/>
            <w:tcBorders>
              <w:top w:val="single" w:color="auto" w:sz="4" w:space="0"/>
              <w:left w:val="single" w:color="auto" w:sz="4" w:space="0"/>
              <w:bottom w:val="single" w:color="auto" w:sz="4" w:space="0"/>
              <w:right w:val="single" w:color="auto" w:sz="4" w:space="0"/>
            </w:tcBorders>
            <w:vAlign w:val="center"/>
          </w:tcPr>
          <w:p w14:paraId="46A5611E">
            <w:pPr>
              <w:rPr>
                <w:color w:val="auto"/>
              </w:rPr>
            </w:pPr>
            <w:r>
              <w:rPr>
                <w:rFonts w:hint="eastAsia"/>
                <w:color w:val="auto"/>
              </w:rPr>
              <w:t>安全监理员</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14:paraId="69BBB1D2">
            <w:pPr>
              <w:rPr>
                <w:color w:val="auto"/>
              </w:rPr>
            </w:pPr>
            <w:r>
              <w:rPr>
                <w:rFonts w:hint="eastAsia"/>
                <w:color w:val="auto"/>
              </w:rPr>
              <w:t>具备监理员岗位证书（有效期内）</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269976FF">
            <w:pPr>
              <w:jc w:val="center"/>
              <w:rPr>
                <w:color w:val="auto"/>
              </w:rPr>
            </w:pPr>
            <w:r>
              <w:rPr>
                <w:rFonts w:hint="eastAsia"/>
                <w:color w:val="auto"/>
              </w:rPr>
              <w:t>1</w:t>
            </w:r>
          </w:p>
        </w:tc>
        <w:tc>
          <w:tcPr>
            <w:tcW w:w="5198" w:type="dxa"/>
            <w:tcBorders>
              <w:top w:val="single" w:color="auto" w:sz="4" w:space="0"/>
              <w:left w:val="single" w:color="auto" w:sz="4" w:space="0"/>
              <w:bottom w:val="single" w:color="auto" w:sz="4" w:space="0"/>
              <w:right w:val="single" w:color="auto" w:sz="4" w:space="0"/>
            </w:tcBorders>
            <w:shd w:val="clear" w:color="auto" w:fill="auto"/>
            <w:vAlign w:val="center"/>
          </w:tcPr>
          <w:p w14:paraId="0D3CA223">
            <w:pPr>
              <w:widowControl/>
              <w:spacing w:line="440" w:lineRule="exact"/>
              <w:ind w:firstLine="480" w:firstLineChars="200"/>
              <w:rPr>
                <w:rFonts w:hAnsi="宋体" w:cs="宋体"/>
                <w:color w:val="auto"/>
                <w:kern w:val="0"/>
                <w:szCs w:val="24"/>
              </w:rPr>
            </w:pPr>
            <w:r>
              <w:rPr>
                <w:rFonts w:hint="eastAsia" w:hAnsi="宋体" w:cs="宋体"/>
                <w:color w:val="auto"/>
                <w:kern w:val="0"/>
                <w:szCs w:val="24"/>
              </w:rPr>
              <w:t>经监理业务培训，持有效的省级建设行政主管部门或其授权的组织（机构）颁发的岗位证书。</w:t>
            </w:r>
          </w:p>
        </w:tc>
      </w:tr>
    </w:tbl>
    <w:p w14:paraId="3EE9D674">
      <w:pPr>
        <w:adjustRightInd w:val="0"/>
        <w:snapToGrid w:val="0"/>
        <w:spacing w:line="440" w:lineRule="exact"/>
        <w:ind w:firstLine="480" w:firstLineChars="200"/>
        <w:rPr>
          <w:rFonts w:hAnsi="宋体" w:cs="宋体"/>
          <w:color w:val="auto"/>
          <w:kern w:val="0"/>
          <w:szCs w:val="24"/>
        </w:rPr>
      </w:pPr>
      <w:r>
        <w:rPr>
          <w:rFonts w:hint="eastAsia" w:hAnsi="宋体" w:cs="宋体"/>
          <w:color w:val="auto"/>
          <w:kern w:val="0"/>
          <w:szCs w:val="24"/>
        </w:rPr>
        <w:t>注：1、以上人员一人一岗，不得重复。总监理工程师外，拟委派的监理机构其他人员不作为形式评审、资格评审、响应性评审的审查内容，只作为综合评分的评审依据。</w:t>
      </w:r>
    </w:p>
    <w:p w14:paraId="02CC34AB">
      <w:pPr>
        <w:adjustRightInd w:val="0"/>
        <w:snapToGrid w:val="0"/>
        <w:spacing w:line="440" w:lineRule="exact"/>
        <w:ind w:firstLine="480" w:firstLineChars="200"/>
        <w:rPr>
          <w:rFonts w:hAnsi="宋体" w:cs="宋体"/>
          <w:snapToGrid w:val="0"/>
          <w:color w:val="auto"/>
          <w:kern w:val="0"/>
        </w:rPr>
      </w:pPr>
      <w:r>
        <w:rPr>
          <w:rFonts w:hint="eastAsia" w:hAnsi="宋体" w:cs="宋体"/>
          <w:color w:val="auto"/>
          <w:kern w:val="0"/>
          <w:szCs w:val="24"/>
        </w:rPr>
        <w:t xml:space="preserve">    </w:t>
      </w:r>
      <w:r>
        <w:rPr>
          <w:rFonts w:hint="eastAsia" w:hAnsi="宋体" w:cs="宋体"/>
          <w:snapToGrid w:val="0"/>
          <w:color w:val="auto"/>
          <w:kern w:val="0"/>
        </w:rPr>
        <w:br w:type="page"/>
      </w:r>
    </w:p>
    <w:p w14:paraId="7DEF7E5F">
      <w:pPr>
        <w:wordWrap w:val="0"/>
        <w:adjustRightInd w:val="0"/>
        <w:snapToGrid w:val="0"/>
        <w:spacing w:line="440" w:lineRule="exact"/>
        <w:ind w:firstLine="482" w:firstLineChars="200"/>
        <w:rPr>
          <w:rFonts w:hAnsi="宋体" w:cs="宋体"/>
          <w:b/>
          <w:bCs/>
          <w:snapToGrid w:val="0"/>
          <w:color w:val="auto"/>
          <w:kern w:val="0"/>
          <w:szCs w:val="24"/>
        </w:rPr>
        <w:sectPr>
          <w:endnotePr>
            <w:numFmt w:val="decimal"/>
          </w:endnotePr>
          <w:pgSz w:w="11906" w:h="16838"/>
          <w:pgMar w:top="1417" w:right="1417" w:bottom="1417" w:left="1417" w:header="850" w:footer="992" w:gutter="0"/>
          <w:cols w:space="0" w:num="1"/>
          <w:docGrid w:linePitch="327" w:charSpace="0"/>
        </w:sectPr>
      </w:pPr>
    </w:p>
    <w:p w14:paraId="1F9FB47A">
      <w:pPr>
        <w:wordWrap w:val="0"/>
        <w:adjustRightInd w:val="0"/>
        <w:snapToGrid w:val="0"/>
        <w:spacing w:line="440" w:lineRule="exact"/>
        <w:ind w:firstLine="482" w:firstLineChars="200"/>
        <w:rPr>
          <w:rFonts w:hAnsi="宋体" w:cs="宋体"/>
          <w:snapToGrid w:val="0"/>
          <w:color w:val="auto"/>
          <w:kern w:val="0"/>
          <w:szCs w:val="24"/>
        </w:rPr>
      </w:pPr>
      <w:r>
        <w:rPr>
          <w:rFonts w:hint="eastAsia" w:hAnsi="宋体" w:cs="宋体"/>
          <w:b/>
          <w:bCs/>
          <w:snapToGrid w:val="0"/>
          <w:color w:val="auto"/>
          <w:kern w:val="0"/>
          <w:szCs w:val="24"/>
        </w:rPr>
        <w:t xml:space="preserve">15.5.2 </w:t>
      </w:r>
      <w:r>
        <w:rPr>
          <w:rFonts w:hint="eastAsia" w:hAnsi="宋体" w:cs="宋体"/>
          <w:snapToGrid w:val="0"/>
          <w:color w:val="auto"/>
          <w:kern w:val="0"/>
          <w:szCs w:val="24"/>
        </w:rPr>
        <w:t>否决投标说明</w:t>
      </w:r>
    </w:p>
    <w:p w14:paraId="257391B0">
      <w:pPr>
        <w:wordWrap w:val="0"/>
        <w:adjustRightInd w:val="0"/>
        <w:snapToGrid w:val="0"/>
        <w:spacing w:line="440" w:lineRule="exact"/>
        <w:ind w:firstLine="562"/>
        <w:rPr>
          <w:rFonts w:hAnsi="宋体" w:cs="宋体"/>
          <w:snapToGrid w:val="0"/>
          <w:color w:val="auto"/>
          <w:kern w:val="0"/>
          <w:szCs w:val="24"/>
        </w:rPr>
      </w:pPr>
      <w:r>
        <w:rPr>
          <w:rFonts w:hint="eastAsia" w:hAnsi="宋体" w:cs="宋体"/>
          <w:snapToGrid w:val="0"/>
          <w:color w:val="auto"/>
          <w:kern w:val="0"/>
          <w:szCs w:val="24"/>
        </w:rPr>
        <w:t>详细评审阶段否决投标的全部条件，在本章第四节“否决投标条件”第</w:t>
      </w:r>
      <w:r>
        <w:rPr>
          <w:rFonts w:hint="eastAsia" w:hAnsi="宋体" w:cs="宋体"/>
          <w:b/>
          <w:bCs/>
          <w:snapToGrid w:val="0"/>
          <w:color w:val="auto"/>
          <w:kern w:val="0"/>
          <w:szCs w:val="24"/>
        </w:rPr>
        <w:t>4</w:t>
      </w:r>
      <w:r>
        <w:rPr>
          <w:rFonts w:hint="eastAsia" w:hAnsi="宋体" w:cs="宋体"/>
          <w:snapToGrid w:val="0"/>
          <w:color w:val="auto"/>
          <w:kern w:val="0"/>
          <w:szCs w:val="24"/>
        </w:rPr>
        <w:t>条中集中列示。投标人有其中所列任何一种情形的，由评标委员会否决其投标。经详细评审后，若所有投标均被否决，招标人应当依法重新招标。</w:t>
      </w:r>
    </w:p>
    <w:p w14:paraId="51DFA6D4">
      <w:pPr>
        <w:wordWrap w:val="0"/>
        <w:adjustRightInd w:val="0"/>
        <w:snapToGrid w:val="0"/>
        <w:spacing w:line="440" w:lineRule="exact"/>
        <w:ind w:firstLine="482" w:firstLineChars="200"/>
        <w:rPr>
          <w:rFonts w:hAnsi="宋体" w:cs="宋体"/>
          <w:b/>
          <w:snapToGrid w:val="0"/>
          <w:color w:val="auto"/>
          <w:kern w:val="0"/>
          <w:szCs w:val="24"/>
        </w:rPr>
      </w:pPr>
      <w:r>
        <w:rPr>
          <w:rFonts w:hint="eastAsia" w:hAnsi="宋体" w:cs="宋体"/>
          <w:b/>
          <w:bCs/>
          <w:snapToGrid w:val="0"/>
          <w:color w:val="auto"/>
          <w:kern w:val="0"/>
          <w:szCs w:val="24"/>
        </w:rPr>
        <w:t>注：投标人在详细评审阶段根据评分方法提供的佐证材料，其合法性、有效性和准确性不符合要求的，有关评分因素的评分按相应评分标准处理，但不否决投标。</w:t>
      </w:r>
    </w:p>
    <w:p w14:paraId="3689974B">
      <w:pPr>
        <w:wordWrap w:val="0"/>
        <w:adjustRightInd w:val="0"/>
        <w:snapToGrid w:val="0"/>
        <w:spacing w:line="440" w:lineRule="exact"/>
        <w:ind w:firstLine="482" w:firstLineChars="200"/>
        <w:outlineLvl w:val="2"/>
        <w:rPr>
          <w:rFonts w:hAnsi="宋体" w:cs="宋体"/>
          <w:b/>
          <w:snapToGrid w:val="0"/>
          <w:color w:val="auto"/>
          <w:kern w:val="0"/>
          <w:szCs w:val="24"/>
        </w:rPr>
      </w:pPr>
      <w:bookmarkStart w:id="64" w:name="_Toc17383"/>
      <w:r>
        <w:rPr>
          <w:rFonts w:hint="eastAsia" w:hAnsi="宋体" w:cs="宋体"/>
          <w:b/>
          <w:snapToGrid w:val="0"/>
          <w:color w:val="auto"/>
          <w:kern w:val="0"/>
          <w:szCs w:val="24"/>
        </w:rPr>
        <w:t>16．推荐中标候选人</w:t>
      </w:r>
      <w:bookmarkEnd w:id="64"/>
    </w:p>
    <w:p w14:paraId="1FBCD818">
      <w:pPr>
        <w:wordWrap w:val="0"/>
        <w:adjustRightInd w:val="0"/>
        <w:snapToGrid w:val="0"/>
        <w:spacing w:line="440" w:lineRule="exact"/>
        <w:ind w:firstLine="482" w:firstLineChars="200"/>
        <w:rPr>
          <w:rFonts w:hAnsi="宋体" w:cs="宋体"/>
          <w:snapToGrid w:val="0"/>
          <w:color w:val="auto"/>
          <w:kern w:val="0"/>
          <w:szCs w:val="24"/>
        </w:rPr>
      </w:pPr>
      <w:r>
        <w:rPr>
          <w:rFonts w:hint="eastAsia" w:hAnsi="宋体" w:cs="宋体"/>
          <w:b/>
          <w:bCs/>
          <w:snapToGrid w:val="0"/>
          <w:color w:val="auto"/>
          <w:kern w:val="0"/>
          <w:szCs w:val="24"/>
        </w:rPr>
        <w:t>16.1</w:t>
      </w:r>
      <w:r>
        <w:rPr>
          <w:rFonts w:hint="eastAsia" w:hAnsi="宋体" w:cs="宋体"/>
          <w:snapToGrid w:val="0"/>
          <w:color w:val="auto"/>
          <w:kern w:val="0"/>
          <w:szCs w:val="24"/>
        </w:rPr>
        <w:t xml:space="preserve"> 确定排名</w:t>
      </w:r>
    </w:p>
    <w:p w14:paraId="3BCA1022">
      <w:pPr>
        <w:wordWrap w:val="0"/>
        <w:adjustRightInd w:val="0"/>
        <w:snapToGrid w:val="0"/>
        <w:spacing w:line="440" w:lineRule="exact"/>
        <w:ind w:firstLine="480" w:firstLineChars="200"/>
        <w:rPr>
          <w:rFonts w:hAnsi="宋体" w:cs="宋体"/>
          <w:snapToGrid w:val="0"/>
          <w:color w:val="auto"/>
          <w:kern w:val="0"/>
          <w:szCs w:val="24"/>
        </w:rPr>
      </w:pPr>
      <w:r>
        <w:rPr>
          <w:rFonts w:hint="eastAsia" w:hAnsi="宋体" w:cs="宋体"/>
          <w:snapToGrid w:val="0"/>
          <w:color w:val="auto"/>
          <w:kern w:val="0"/>
          <w:szCs w:val="24"/>
        </w:rPr>
        <w:t>评标委员会汇总、比较所有投标人的综合得分后，按照综合得分由高到低的次序排列。综合得分相等时，以投标总价低的优先；投标总价也相等的，以监理大纲得分高的优先；如果监理大纲得分也相等，由评标委员会投票确定。</w:t>
      </w:r>
    </w:p>
    <w:p w14:paraId="778F3DF9">
      <w:pPr>
        <w:wordWrap w:val="0"/>
        <w:adjustRightInd w:val="0"/>
        <w:snapToGrid w:val="0"/>
        <w:spacing w:line="440" w:lineRule="exact"/>
        <w:ind w:firstLine="482" w:firstLineChars="200"/>
        <w:rPr>
          <w:rFonts w:hAnsi="宋体" w:cs="宋体"/>
          <w:snapToGrid w:val="0"/>
          <w:color w:val="auto"/>
          <w:kern w:val="0"/>
          <w:szCs w:val="24"/>
        </w:rPr>
      </w:pPr>
      <w:r>
        <w:rPr>
          <w:rFonts w:hint="eastAsia" w:hAnsi="宋体" w:cs="宋体"/>
          <w:b/>
          <w:bCs/>
          <w:snapToGrid w:val="0"/>
          <w:color w:val="auto"/>
          <w:kern w:val="0"/>
          <w:szCs w:val="24"/>
        </w:rPr>
        <w:t>16.2</w:t>
      </w:r>
      <w:r>
        <w:rPr>
          <w:rFonts w:hint="eastAsia" w:hAnsi="宋体" w:cs="宋体"/>
          <w:snapToGrid w:val="0"/>
          <w:color w:val="auto"/>
          <w:kern w:val="0"/>
          <w:szCs w:val="24"/>
        </w:rPr>
        <w:t xml:space="preserve"> 推荐方法</w:t>
      </w:r>
    </w:p>
    <w:p w14:paraId="109F71D0">
      <w:pPr>
        <w:wordWrap w:val="0"/>
        <w:adjustRightInd w:val="0"/>
        <w:snapToGrid w:val="0"/>
        <w:spacing w:line="440" w:lineRule="exact"/>
        <w:ind w:firstLine="480" w:firstLineChars="200"/>
        <w:rPr>
          <w:rFonts w:hAnsi="宋体" w:cs="宋体"/>
          <w:snapToGrid w:val="0"/>
          <w:color w:val="auto"/>
          <w:kern w:val="0"/>
          <w:szCs w:val="24"/>
        </w:rPr>
      </w:pPr>
      <w:r>
        <w:rPr>
          <w:rFonts w:hint="eastAsia" w:hAnsi="宋体" w:cs="宋体"/>
          <w:snapToGrid w:val="0"/>
          <w:color w:val="auto"/>
          <w:kern w:val="0"/>
          <w:szCs w:val="24"/>
        </w:rPr>
        <w:t>（1）有效投标人数量达到或超过3个的，评标委员会将前三名投标人作为中标候选人向招标人推荐，并标明排列顺序。</w:t>
      </w:r>
    </w:p>
    <w:p w14:paraId="22653039">
      <w:pPr>
        <w:wordWrap w:val="0"/>
        <w:adjustRightInd w:val="0"/>
        <w:snapToGrid w:val="0"/>
        <w:spacing w:line="440" w:lineRule="exact"/>
        <w:ind w:firstLine="480" w:firstLineChars="200"/>
        <w:rPr>
          <w:rFonts w:hAnsi="宋体" w:cs="宋体"/>
          <w:color w:val="auto"/>
          <w:szCs w:val="24"/>
        </w:rPr>
      </w:pPr>
      <w:r>
        <w:rPr>
          <w:rFonts w:hint="eastAsia" w:hAnsi="宋体" w:cs="宋体"/>
          <w:snapToGrid w:val="0"/>
          <w:color w:val="auto"/>
          <w:kern w:val="0"/>
          <w:szCs w:val="24"/>
        </w:rPr>
        <w:t>（2）有效投标人数量不足3个的，评标委员会将所有有效投标人均作为中标候选人向招标人推荐，并标明排列顺序。若评标委员会认为有效投标不足3个使得投标明显缺乏竞争的，可以在评标报告中建议招标人重新招标。</w:t>
      </w:r>
    </w:p>
    <w:p w14:paraId="0F41A5EE">
      <w:pPr>
        <w:wordWrap w:val="0"/>
        <w:adjustRightInd w:val="0"/>
        <w:snapToGrid w:val="0"/>
        <w:spacing w:line="440" w:lineRule="exact"/>
        <w:ind w:firstLine="482" w:firstLineChars="200"/>
        <w:rPr>
          <w:rFonts w:hAnsi="宋体" w:cs="宋体"/>
          <w:snapToGrid w:val="0"/>
          <w:color w:val="auto"/>
          <w:kern w:val="0"/>
          <w:szCs w:val="24"/>
        </w:rPr>
      </w:pPr>
      <w:r>
        <w:rPr>
          <w:rFonts w:hint="eastAsia" w:hAnsi="宋体" w:cs="宋体"/>
          <w:b/>
          <w:bCs/>
          <w:snapToGrid w:val="0"/>
          <w:color w:val="auto"/>
          <w:kern w:val="0"/>
          <w:szCs w:val="24"/>
        </w:rPr>
        <w:t>16.3</w:t>
      </w:r>
      <w:r>
        <w:rPr>
          <w:rFonts w:hint="eastAsia" w:hAnsi="宋体" w:cs="宋体"/>
          <w:snapToGrid w:val="0"/>
          <w:color w:val="auto"/>
          <w:kern w:val="0"/>
          <w:szCs w:val="24"/>
        </w:rPr>
        <w:t xml:space="preserve"> 评标委员会完成评标后，应向招标人提交由全体评标委员会成员签字的评标报告和中标候选人名单。</w:t>
      </w:r>
    </w:p>
    <w:p w14:paraId="5D6C5879">
      <w:pPr>
        <w:wordWrap w:val="0"/>
        <w:adjustRightInd w:val="0"/>
        <w:snapToGrid w:val="0"/>
        <w:spacing w:line="440" w:lineRule="exact"/>
        <w:ind w:firstLine="482" w:firstLineChars="200"/>
        <w:outlineLvl w:val="2"/>
        <w:rPr>
          <w:rFonts w:hAnsi="宋体" w:cs="宋体"/>
          <w:b/>
          <w:snapToGrid w:val="0"/>
          <w:color w:val="auto"/>
          <w:kern w:val="0"/>
          <w:szCs w:val="24"/>
        </w:rPr>
      </w:pPr>
      <w:bookmarkStart w:id="65" w:name="_Toc3832"/>
      <w:r>
        <w:rPr>
          <w:rFonts w:hint="eastAsia" w:hAnsi="宋体" w:cs="宋体"/>
          <w:b/>
          <w:snapToGrid w:val="0"/>
          <w:color w:val="auto"/>
          <w:kern w:val="0"/>
          <w:szCs w:val="24"/>
        </w:rPr>
        <w:t>17．中标候选人公示</w:t>
      </w:r>
      <w:bookmarkEnd w:id="65"/>
    </w:p>
    <w:p w14:paraId="5086830C">
      <w:pPr>
        <w:wordWrap w:val="0"/>
        <w:adjustRightInd w:val="0"/>
        <w:snapToGrid w:val="0"/>
        <w:spacing w:line="440" w:lineRule="exact"/>
        <w:ind w:firstLine="482" w:firstLineChars="200"/>
        <w:rPr>
          <w:rFonts w:hAnsi="宋体" w:cs="宋体"/>
          <w:snapToGrid w:val="0"/>
          <w:color w:val="auto"/>
          <w:kern w:val="0"/>
          <w:szCs w:val="24"/>
        </w:rPr>
      </w:pPr>
      <w:r>
        <w:rPr>
          <w:rFonts w:hint="eastAsia" w:hAnsi="宋体" w:cs="宋体"/>
          <w:b/>
          <w:bCs/>
          <w:snapToGrid w:val="0"/>
          <w:color w:val="auto"/>
          <w:kern w:val="0"/>
          <w:szCs w:val="24"/>
        </w:rPr>
        <w:t>17.1</w:t>
      </w:r>
      <w:r>
        <w:rPr>
          <w:rFonts w:hint="eastAsia" w:hAnsi="宋体" w:cs="宋体"/>
          <w:bCs/>
          <w:snapToGrid w:val="0"/>
          <w:color w:val="auto"/>
          <w:kern w:val="0"/>
          <w:szCs w:val="24"/>
        </w:rPr>
        <w:t xml:space="preserve"> </w:t>
      </w:r>
      <w:r>
        <w:rPr>
          <w:rFonts w:hint="eastAsia" w:hAnsi="宋体" w:cs="宋体"/>
          <w:snapToGrid w:val="0"/>
          <w:color w:val="auto"/>
          <w:kern w:val="0"/>
          <w:szCs w:val="24"/>
        </w:rPr>
        <w:t>招标人自收到评标委员会提交的书面评标报告和中标候选人名单之日起3日内，将评标结果（即中标候选人名单）、中标候选人投标文件（指商务标书分册）、评标过程（评标专家姓名用代码标记）一并在广东省招标投标监管网（https://www.gdzwfw.gov.cn/ztbjg-portal/#/index）及全国公共资源交易平台（广东省·韶关市）（https://ygp.gdzwfw.gov.cn/ggzy-portal/#/440200/index）进行公示，公示期不得少于3天。</w:t>
      </w:r>
    </w:p>
    <w:p w14:paraId="115610FD">
      <w:pPr>
        <w:wordWrap w:val="0"/>
        <w:adjustRightInd w:val="0"/>
        <w:snapToGrid w:val="0"/>
        <w:spacing w:line="440" w:lineRule="exact"/>
        <w:ind w:firstLine="482" w:firstLineChars="200"/>
        <w:rPr>
          <w:rFonts w:hAnsi="宋体" w:cs="宋体"/>
          <w:snapToGrid w:val="0"/>
          <w:color w:val="auto"/>
          <w:kern w:val="0"/>
          <w:szCs w:val="24"/>
        </w:rPr>
      </w:pPr>
      <w:r>
        <w:rPr>
          <w:rFonts w:hint="eastAsia" w:hAnsi="宋体" w:cs="宋体"/>
          <w:b/>
          <w:bCs/>
          <w:snapToGrid w:val="0"/>
          <w:color w:val="auto"/>
          <w:kern w:val="0"/>
          <w:szCs w:val="24"/>
        </w:rPr>
        <w:t>17.2</w:t>
      </w:r>
      <w:r>
        <w:rPr>
          <w:rFonts w:hint="eastAsia" w:hAnsi="宋体" w:cs="宋体"/>
          <w:snapToGrid w:val="0"/>
          <w:color w:val="auto"/>
          <w:kern w:val="0"/>
          <w:szCs w:val="24"/>
        </w:rPr>
        <w:t xml:space="preserve"> 投标人对评标结果、中标候选人投标文件、评标过程有异议的，必须在以上内容公示期间向招标人提出书面异议，否则招标人不予受理。经招标人书面答复，异议人仍不满意的，可在法律规定的时限内向行政监督部门提出书面投诉。异议（投诉）提出、处理的具体办法和要求，按照《韶关市工程建设项目招标投标活动异议和投诉处理办法》（韶法审〔2020〕19 号）执行。如通过交易服务平台提出异议，投标人必须上传提交异议书扫描件（作为附件），异议书格式内容按照《韶关市工程建设项目招标投标活动异议和投诉处理办法》（韶法审〔2020〕19 号）执行，否则招标人不予受理。投标人提出异议后，必须及时通知招标人查收，否则，由此造成的超出法律规定时限的后果，由投标人自行承担。招标人受理异议后，投标人须及时向招标人提交书面异议。项目如收到异议、投诉等情形，可以根据需要从交易中心处调取纸质档案。</w:t>
      </w:r>
    </w:p>
    <w:p w14:paraId="5AC0298A">
      <w:pPr>
        <w:wordWrap w:val="0"/>
        <w:adjustRightInd w:val="0"/>
        <w:snapToGrid w:val="0"/>
        <w:spacing w:line="440" w:lineRule="exact"/>
        <w:ind w:firstLine="482" w:firstLineChars="200"/>
        <w:rPr>
          <w:rFonts w:hAnsi="宋体" w:cs="宋体"/>
          <w:snapToGrid w:val="0"/>
          <w:color w:val="auto"/>
          <w:kern w:val="0"/>
          <w:szCs w:val="24"/>
        </w:rPr>
      </w:pPr>
      <w:r>
        <w:rPr>
          <w:rFonts w:hint="eastAsia" w:hAnsi="宋体" w:cs="宋体"/>
          <w:b/>
          <w:bCs/>
          <w:snapToGrid w:val="0"/>
          <w:color w:val="auto"/>
          <w:kern w:val="0"/>
          <w:szCs w:val="24"/>
        </w:rPr>
        <w:t>17.3</w:t>
      </w:r>
      <w:r>
        <w:rPr>
          <w:rFonts w:hint="eastAsia" w:hAnsi="宋体" w:cs="宋体"/>
          <w:snapToGrid w:val="0"/>
          <w:color w:val="auto"/>
          <w:kern w:val="0"/>
          <w:szCs w:val="24"/>
        </w:rPr>
        <w:t xml:space="preserve"> 中标候选人公示期满无异议（投诉）后，招标人确定第一中标候选人为中标人，并在中标人确定之日起7日内向中标人发出中标通知书。在中标通知书发出后5个工作日内，韶关市公共资源交易中心将投标保证金退还给中标候选人以外的投标人。</w:t>
      </w:r>
    </w:p>
    <w:p w14:paraId="24E237EB">
      <w:pPr>
        <w:wordWrap w:val="0"/>
        <w:adjustRightInd w:val="0"/>
        <w:snapToGrid w:val="0"/>
        <w:spacing w:line="440" w:lineRule="exact"/>
        <w:outlineLvl w:val="1"/>
        <w:rPr>
          <w:rFonts w:hAnsi="宋体" w:cs="宋体"/>
          <w:snapToGrid w:val="0"/>
          <w:color w:val="auto"/>
          <w:kern w:val="0"/>
        </w:rPr>
      </w:pPr>
      <w:bookmarkStart w:id="66" w:name="_Toc17270"/>
      <w:r>
        <w:rPr>
          <w:rFonts w:hint="eastAsia" w:hAnsi="宋体" w:cs="宋体"/>
          <w:b/>
          <w:bCs/>
          <w:snapToGrid w:val="0"/>
          <w:color w:val="auto"/>
          <w:kern w:val="0"/>
        </w:rPr>
        <w:t>第四节 否决投标条件</w:t>
      </w:r>
      <w:bookmarkEnd w:id="66"/>
    </w:p>
    <w:p w14:paraId="3211FADF">
      <w:pPr>
        <w:wordWrap w:val="0"/>
        <w:adjustRightInd w:val="0"/>
        <w:snapToGrid w:val="0"/>
        <w:spacing w:line="440" w:lineRule="exact"/>
        <w:rPr>
          <w:rFonts w:hAnsi="宋体" w:cs="宋体"/>
          <w:snapToGrid w:val="0"/>
          <w:color w:val="auto"/>
          <w:kern w:val="0"/>
        </w:rPr>
      </w:pPr>
      <w:r>
        <w:rPr>
          <w:rFonts w:hint="eastAsia" w:hAnsi="宋体" w:cs="宋体"/>
          <w:snapToGrid w:val="0"/>
          <w:color w:val="auto"/>
          <w:kern w:val="0"/>
        </w:rPr>
        <w:t xml:space="preserve">    本节所集中列示的否决投标条件，是本章第三节“投标人须知正文”的组成部分，是对本章第三节所规定的否决投标条件的总结和补充。</w:t>
      </w:r>
      <w:r>
        <w:rPr>
          <w:rFonts w:hint="eastAsia" w:hAnsi="宋体" w:cs="宋体"/>
          <w:b/>
          <w:bCs/>
          <w:snapToGrid w:val="0"/>
          <w:color w:val="auto"/>
          <w:kern w:val="0"/>
        </w:rPr>
        <w:t>投标人未有列入本节情形的，评标时一律不得否决其投标。</w:t>
      </w:r>
      <w:r>
        <w:rPr>
          <w:rFonts w:hint="eastAsia" w:hAnsi="宋体" w:cs="宋体"/>
          <w:snapToGrid w:val="0"/>
          <w:color w:val="auto"/>
          <w:kern w:val="0"/>
        </w:rPr>
        <w:t>本节所称“规定”均指招标文件的规定。</w:t>
      </w:r>
    </w:p>
    <w:p w14:paraId="0AC2C161">
      <w:pPr>
        <w:wordWrap w:val="0"/>
        <w:adjustRightInd w:val="0"/>
        <w:snapToGrid w:val="0"/>
        <w:spacing w:line="440" w:lineRule="exact"/>
        <w:ind w:firstLine="480"/>
        <w:outlineLvl w:val="2"/>
        <w:rPr>
          <w:rFonts w:hAnsi="宋体" w:cs="宋体"/>
          <w:snapToGrid w:val="0"/>
          <w:color w:val="auto"/>
          <w:kern w:val="0"/>
        </w:rPr>
      </w:pPr>
      <w:bookmarkStart w:id="67" w:name="_Toc18839"/>
      <w:r>
        <w:rPr>
          <w:rFonts w:hint="eastAsia" w:hAnsi="宋体" w:cs="宋体"/>
          <w:b/>
          <w:bCs/>
          <w:snapToGrid w:val="0"/>
          <w:color w:val="auto"/>
          <w:kern w:val="0"/>
        </w:rPr>
        <w:t>1．资格评审环节</w:t>
      </w:r>
      <w:bookmarkEnd w:id="67"/>
    </w:p>
    <w:p w14:paraId="4F699146">
      <w:pPr>
        <w:wordWrap w:val="0"/>
        <w:adjustRightInd w:val="0"/>
        <w:snapToGrid w:val="0"/>
        <w:spacing w:line="440" w:lineRule="exact"/>
        <w:ind w:firstLine="480"/>
        <w:rPr>
          <w:rFonts w:hAnsi="宋体" w:cs="宋体"/>
          <w:snapToGrid w:val="0"/>
          <w:color w:val="auto"/>
          <w:kern w:val="0"/>
        </w:rPr>
      </w:pPr>
      <w:r>
        <w:rPr>
          <w:rFonts w:hint="eastAsia" w:hAnsi="宋体" w:cs="宋体"/>
          <w:snapToGrid w:val="0"/>
          <w:color w:val="auto"/>
          <w:kern w:val="0"/>
        </w:rPr>
        <w:t>投标人有下列情形之一的，评标委员会应否决其投标。被否决的投标，不进入形式评审环节。</w:t>
      </w:r>
    </w:p>
    <w:p w14:paraId="2BDFB259">
      <w:pPr>
        <w:wordWrap w:val="0"/>
        <w:adjustRightInd w:val="0"/>
        <w:snapToGrid w:val="0"/>
        <w:spacing w:line="440" w:lineRule="exact"/>
        <w:ind w:firstLine="480"/>
        <w:rPr>
          <w:rFonts w:hAnsi="宋体" w:cs="宋体"/>
          <w:snapToGrid w:val="0"/>
          <w:color w:val="auto"/>
          <w:kern w:val="0"/>
        </w:rPr>
      </w:pPr>
      <w:r>
        <w:rPr>
          <w:rFonts w:hint="eastAsia" w:hAnsi="宋体" w:cs="宋体"/>
          <w:snapToGrid w:val="0"/>
          <w:color w:val="auto"/>
          <w:kern w:val="0"/>
        </w:rPr>
        <w:t>（1）有本章第三节第</w:t>
      </w:r>
      <w:r>
        <w:rPr>
          <w:rFonts w:hint="eastAsia" w:hAnsi="宋体" w:cs="宋体"/>
          <w:b/>
          <w:bCs/>
          <w:snapToGrid w:val="0"/>
          <w:color w:val="auto"/>
          <w:kern w:val="0"/>
        </w:rPr>
        <w:t>2.4</w:t>
      </w:r>
      <w:r>
        <w:rPr>
          <w:rFonts w:hint="eastAsia" w:hAnsi="宋体" w:cs="宋体"/>
          <w:snapToGrid w:val="0"/>
          <w:color w:val="auto"/>
          <w:kern w:val="0"/>
        </w:rPr>
        <w:t>条“禁止投标条款”规定的任何一种情形；</w:t>
      </w:r>
    </w:p>
    <w:p w14:paraId="6138D1AC">
      <w:pPr>
        <w:wordWrap w:val="0"/>
        <w:adjustRightInd w:val="0"/>
        <w:snapToGrid w:val="0"/>
        <w:spacing w:line="440" w:lineRule="exact"/>
        <w:ind w:firstLine="480"/>
        <w:rPr>
          <w:rFonts w:hAnsi="宋体" w:cs="宋体"/>
          <w:snapToGrid w:val="0"/>
          <w:color w:val="auto"/>
          <w:kern w:val="0"/>
        </w:rPr>
      </w:pPr>
      <w:r>
        <w:rPr>
          <w:rFonts w:hint="eastAsia" w:hAnsi="宋体" w:cs="宋体"/>
          <w:snapToGrid w:val="0"/>
          <w:color w:val="auto"/>
          <w:kern w:val="0"/>
        </w:rPr>
        <w:t>（2）投标人资质不符合</w:t>
      </w:r>
      <w:r>
        <w:rPr>
          <w:rFonts w:hint="eastAsia" w:hAnsi="宋体" w:cs="宋体"/>
          <w:snapToGrid w:val="0"/>
          <w:color w:val="auto"/>
          <w:kern w:val="0"/>
          <w:szCs w:val="18"/>
        </w:rPr>
        <w:t>规定的；</w:t>
      </w:r>
    </w:p>
    <w:p w14:paraId="2DD89D7A">
      <w:pPr>
        <w:wordWrap w:val="0"/>
        <w:adjustRightInd w:val="0"/>
        <w:snapToGrid w:val="0"/>
        <w:spacing w:line="440" w:lineRule="exact"/>
        <w:ind w:firstLine="480"/>
        <w:rPr>
          <w:rFonts w:hAnsi="宋体" w:cs="宋体"/>
          <w:snapToGrid w:val="0"/>
          <w:color w:val="auto"/>
          <w:kern w:val="0"/>
        </w:rPr>
      </w:pPr>
      <w:r>
        <w:rPr>
          <w:rFonts w:hint="eastAsia" w:hAnsi="宋体" w:cs="宋体"/>
          <w:snapToGrid w:val="0"/>
          <w:color w:val="auto"/>
          <w:kern w:val="0"/>
        </w:rPr>
        <w:t>（3）投标人名称与营业执照、资质证书上的企业名称相互不一致的；其资质证书不是由住房城乡建设主管部门颁发的；营业执照、资质证书被吊销、暂扣或不在有效期内的；</w:t>
      </w:r>
    </w:p>
    <w:p w14:paraId="20971167">
      <w:pPr>
        <w:wordWrap w:val="0"/>
        <w:adjustRightInd w:val="0"/>
        <w:snapToGrid w:val="0"/>
        <w:spacing w:line="440" w:lineRule="exact"/>
        <w:ind w:firstLine="480"/>
        <w:rPr>
          <w:rFonts w:hAnsi="宋体" w:cs="宋体"/>
          <w:b/>
          <w:bCs/>
          <w:snapToGrid w:val="0"/>
          <w:color w:val="auto"/>
          <w:kern w:val="0"/>
        </w:rPr>
      </w:pPr>
      <w:r>
        <w:rPr>
          <w:rFonts w:hint="eastAsia" w:hAnsi="宋体" w:cs="宋体"/>
          <w:b/>
          <w:bCs/>
          <w:snapToGrid w:val="0"/>
          <w:color w:val="auto"/>
          <w:kern w:val="0"/>
        </w:rPr>
        <w:t>注：投标人已经工商变更，但其企业资质证书的企业名称未完成变更的，不得否决其投标；投标人营业执照、资质证书之间登记的信息不一致，应当允许投标人澄清，不得直接否决其投标。</w:t>
      </w:r>
    </w:p>
    <w:p w14:paraId="56830A62">
      <w:pPr>
        <w:wordWrap w:val="0"/>
        <w:adjustRightInd w:val="0"/>
        <w:snapToGrid w:val="0"/>
        <w:spacing w:line="440" w:lineRule="exact"/>
        <w:ind w:firstLine="480"/>
        <w:rPr>
          <w:rFonts w:hAnsi="宋体" w:cs="宋体"/>
          <w:b/>
          <w:bCs/>
          <w:snapToGrid w:val="0"/>
          <w:color w:val="auto"/>
          <w:kern w:val="0"/>
          <w:szCs w:val="22"/>
        </w:rPr>
      </w:pPr>
      <w:r>
        <w:rPr>
          <w:rFonts w:hint="eastAsia" w:hAnsi="宋体" w:cs="宋体"/>
          <w:b/>
          <w:bCs/>
          <w:snapToGrid w:val="0"/>
          <w:color w:val="auto"/>
          <w:kern w:val="0"/>
        </w:rPr>
        <w:t>投标人的企业相关证书到期的，均按该证书的发证机构相关行业主管部门最新文件执行（如自动顺延或资质延续有关事项的通知），投标人必须将相关文件（经核准延续的资质证书或提供了延续申请的相关证明材料，如“三库一平台”提交申请截图、申请回执等）附在该证书后面中，证明在开标日继续有效。</w:t>
      </w:r>
      <w:r>
        <w:rPr>
          <w:rFonts w:hint="eastAsia" w:hAnsi="宋体" w:cs="宋体"/>
          <w:b/>
          <w:bCs/>
          <w:snapToGrid w:val="0"/>
          <w:color w:val="auto"/>
          <w:kern w:val="0"/>
          <w:szCs w:val="22"/>
        </w:rPr>
        <w:t xml:space="preserve">  </w:t>
      </w:r>
    </w:p>
    <w:p w14:paraId="3B563493">
      <w:pPr>
        <w:wordWrap w:val="0"/>
        <w:adjustRightInd w:val="0"/>
        <w:snapToGrid w:val="0"/>
        <w:spacing w:line="440" w:lineRule="exact"/>
        <w:rPr>
          <w:rFonts w:hAnsi="宋体" w:cs="宋体"/>
          <w:snapToGrid w:val="0"/>
          <w:color w:val="auto"/>
          <w:kern w:val="0"/>
        </w:rPr>
      </w:pPr>
      <w:r>
        <w:rPr>
          <w:rFonts w:hint="eastAsia" w:hAnsi="宋体" w:cs="宋体"/>
          <w:snapToGrid w:val="0"/>
          <w:color w:val="auto"/>
          <w:kern w:val="0"/>
        </w:rPr>
        <w:t xml:space="preserve">    （4）投标文件中拟派总监理工程师与《开标一览表》不一致的；拟派总监理工程师的条件不符合规定的；擅自修改、遗漏《总监理工程师任职声明》实质性内容的；拟派总监理工程师现阶段有担任其他在施建设工程项目总监理工程师职务，但《</w:t>
      </w:r>
      <w:r>
        <w:rPr>
          <w:rFonts w:hint="eastAsia" w:hAnsi="宋体" w:cs="宋体"/>
          <w:snapToGrid w:val="0"/>
          <w:color w:val="auto"/>
          <w:kern w:val="0"/>
          <w:szCs w:val="18"/>
        </w:rPr>
        <w:t>总监理工程师任职项目情况表</w:t>
      </w:r>
      <w:r>
        <w:rPr>
          <w:rFonts w:hint="eastAsia" w:hAnsi="宋体" w:cs="宋体"/>
          <w:snapToGrid w:val="0"/>
          <w:color w:val="auto"/>
          <w:kern w:val="0"/>
        </w:rPr>
        <w:t>》未经任职项目建设单位盖章同意、又未提交任职项目建设单位另行出具的书面同意意见的；</w:t>
      </w:r>
    </w:p>
    <w:p w14:paraId="6F580E46">
      <w:pPr>
        <w:wordWrap w:val="0"/>
        <w:adjustRightInd w:val="0"/>
        <w:snapToGrid w:val="0"/>
        <w:spacing w:line="440" w:lineRule="exact"/>
        <w:ind w:firstLine="480"/>
        <w:rPr>
          <w:rFonts w:hAnsi="宋体" w:cs="宋体"/>
          <w:snapToGrid w:val="0"/>
          <w:color w:val="auto"/>
          <w:kern w:val="0"/>
        </w:rPr>
      </w:pPr>
      <w:r>
        <w:rPr>
          <w:rFonts w:hint="eastAsia" w:hAnsi="宋体" w:cs="宋体"/>
          <w:snapToGrid w:val="0"/>
          <w:color w:val="auto"/>
          <w:kern w:val="0"/>
        </w:rPr>
        <w:t>（5）拟派总监理工程师的注册证书不是住房和城乡建设主管部门颁发的，或注册单位与投标人不一致的，或不在有效期内的；</w:t>
      </w:r>
    </w:p>
    <w:p w14:paraId="71BC789B">
      <w:pPr>
        <w:wordWrap w:val="0"/>
        <w:adjustRightInd w:val="0"/>
        <w:snapToGrid w:val="0"/>
        <w:spacing w:line="440" w:lineRule="exact"/>
        <w:ind w:firstLine="480"/>
        <w:rPr>
          <w:rFonts w:hAnsi="宋体" w:cs="宋体"/>
          <w:b/>
          <w:bCs/>
          <w:snapToGrid w:val="0"/>
          <w:color w:val="auto"/>
          <w:kern w:val="0"/>
        </w:rPr>
      </w:pPr>
      <w:r>
        <w:rPr>
          <w:rFonts w:hint="eastAsia" w:hAnsi="宋体" w:cs="宋体"/>
          <w:b/>
          <w:bCs/>
          <w:snapToGrid w:val="0"/>
          <w:color w:val="auto"/>
          <w:kern w:val="0"/>
        </w:rPr>
        <w:t>注：投标人已经工商变更，但其员工执业资格注册证书的注册单位名称未完成变更的，不得否决其投标。</w:t>
      </w:r>
    </w:p>
    <w:p w14:paraId="1CA2F6EB">
      <w:pPr>
        <w:wordWrap w:val="0"/>
        <w:adjustRightInd w:val="0"/>
        <w:snapToGrid w:val="0"/>
        <w:spacing w:line="400" w:lineRule="exact"/>
        <w:ind w:firstLine="480"/>
        <w:rPr>
          <w:rFonts w:hAnsi="宋体" w:cs="宋体"/>
          <w:snapToGrid w:val="0"/>
          <w:color w:val="auto"/>
          <w:kern w:val="0"/>
        </w:rPr>
      </w:pPr>
      <w:r>
        <w:rPr>
          <w:rFonts w:hint="eastAsia" w:hAnsi="宋体" w:cs="宋体"/>
          <w:snapToGrid w:val="0"/>
          <w:color w:val="auto"/>
          <w:kern w:val="0"/>
        </w:rPr>
        <w:t>（6）招标文件规定不接受联合体投标，但以联合体投标的；</w:t>
      </w:r>
    </w:p>
    <w:p w14:paraId="76C2C7E4">
      <w:pPr>
        <w:wordWrap w:val="0"/>
        <w:adjustRightInd w:val="0"/>
        <w:snapToGrid w:val="0"/>
        <w:spacing w:line="440" w:lineRule="exact"/>
        <w:ind w:firstLine="480"/>
        <w:rPr>
          <w:rFonts w:hAnsi="宋体" w:cs="宋体"/>
          <w:snapToGrid w:val="0"/>
          <w:color w:val="auto"/>
          <w:kern w:val="0"/>
        </w:rPr>
      </w:pPr>
      <w:r>
        <w:rPr>
          <w:rFonts w:hint="eastAsia" w:hAnsi="宋体" w:cs="宋体"/>
          <w:snapToGrid w:val="0"/>
          <w:color w:val="auto"/>
          <w:kern w:val="0"/>
        </w:rPr>
        <w:t>（7）投标人为外省企业，但未提供“进粤企业和人员诚信信息登记平台”企业和拟派人员信息情况打印页或网页截图的。</w:t>
      </w:r>
    </w:p>
    <w:p w14:paraId="4F783C71">
      <w:pPr>
        <w:wordWrap w:val="0"/>
        <w:adjustRightInd w:val="0"/>
        <w:snapToGrid w:val="0"/>
        <w:spacing w:line="460" w:lineRule="exact"/>
        <w:ind w:firstLine="480"/>
        <w:outlineLvl w:val="2"/>
        <w:rPr>
          <w:rFonts w:hAnsi="宋体" w:cs="宋体"/>
          <w:snapToGrid w:val="0"/>
          <w:color w:val="auto"/>
          <w:kern w:val="0"/>
        </w:rPr>
      </w:pPr>
      <w:bookmarkStart w:id="68" w:name="_Toc24146"/>
      <w:r>
        <w:rPr>
          <w:rFonts w:hint="eastAsia" w:hAnsi="宋体" w:cs="宋体"/>
          <w:b/>
          <w:bCs/>
          <w:snapToGrid w:val="0"/>
          <w:color w:val="auto"/>
          <w:kern w:val="0"/>
        </w:rPr>
        <w:t>2．形式评审环节</w:t>
      </w:r>
      <w:bookmarkEnd w:id="68"/>
    </w:p>
    <w:p w14:paraId="3936A6C5">
      <w:pPr>
        <w:wordWrap w:val="0"/>
        <w:adjustRightInd w:val="0"/>
        <w:snapToGrid w:val="0"/>
        <w:spacing w:line="460" w:lineRule="exact"/>
        <w:ind w:firstLine="480"/>
        <w:rPr>
          <w:rFonts w:hAnsi="宋体" w:cs="宋体"/>
          <w:snapToGrid w:val="0"/>
          <w:color w:val="auto"/>
          <w:kern w:val="0"/>
        </w:rPr>
      </w:pPr>
      <w:r>
        <w:rPr>
          <w:rFonts w:hint="eastAsia" w:hAnsi="宋体" w:cs="宋体"/>
          <w:snapToGrid w:val="0"/>
          <w:color w:val="auto"/>
          <w:kern w:val="0"/>
        </w:rPr>
        <w:t>投标人有下列情形之一的，评标委员会应否决其投标。被否决的投标，不进入响应性评审环节。</w:t>
      </w:r>
    </w:p>
    <w:p w14:paraId="4016E1CF">
      <w:pPr>
        <w:wordWrap w:val="0"/>
        <w:adjustRightInd w:val="0"/>
        <w:snapToGrid w:val="0"/>
        <w:spacing w:line="460" w:lineRule="exact"/>
        <w:ind w:firstLine="480"/>
        <w:rPr>
          <w:rFonts w:hAnsi="宋体" w:cs="宋体"/>
          <w:snapToGrid w:val="0"/>
          <w:color w:val="auto"/>
          <w:kern w:val="0"/>
        </w:rPr>
      </w:pPr>
      <w:r>
        <w:rPr>
          <w:rFonts w:hint="eastAsia" w:hAnsi="宋体" w:cs="宋体"/>
          <w:snapToGrid w:val="0"/>
          <w:color w:val="auto"/>
          <w:kern w:val="0"/>
        </w:rPr>
        <w:t>（8）投标文件各分册未按招标文件规定加盖电子印章的；</w:t>
      </w:r>
    </w:p>
    <w:p w14:paraId="568AD06A">
      <w:pPr>
        <w:wordWrap w:val="0"/>
        <w:adjustRightInd w:val="0"/>
        <w:snapToGrid w:val="0"/>
        <w:spacing w:line="460" w:lineRule="exact"/>
        <w:ind w:firstLine="480"/>
        <w:rPr>
          <w:rFonts w:hAnsi="宋体" w:cs="宋体"/>
          <w:snapToGrid w:val="0"/>
          <w:color w:val="auto"/>
          <w:kern w:val="0"/>
        </w:rPr>
      </w:pPr>
      <w:r>
        <w:rPr>
          <w:rFonts w:hint="eastAsia" w:hAnsi="宋体" w:cs="宋体"/>
          <w:snapToGrid w:val="0"/>
          <w:color w:val="auto"/>
          <w:kern w:val="0"/>
        </w:rPr>
        <w:t>（9）本章第三节第</w:t>
      </w:r>
      <w:r>
        <w:rPr>
          <w:rFonts w:hint="eastAsia" w:hAnsi="宋体" w:cs="宋体"/>
          <w:b/>
          <w:bCs/>
          <w:snapToGrid w:val="0"/>
          <w:color w:val="auto"/>
          <w:kern w:val="0"/>
          <w:szCs w:val="18"/>
        </w:rPr>
        <w:t>10.2.2</w:t>
      </w:r>
      <w:r>
        <w:rPr>
          <w:rFonts w:hint="eastAsia" w:hAnsi="宋体" w:cs="宋体"/>
          <w:snapToGrid w:val="0"/>
          <w:color w:val="auto"/>
          <w:kern w:val="0"/>
          <w:szCs w:val="18"/>
        </w:rPr>
        <w:t>目、</w:t>
      </w:r>
      <w:r>
        <w:rPr>
          <w:rFonts w:hint="eastAsia" w:hAnsi="宋体" w:cs="宋体"/>
          <w:snapToGrid w:val="0"/>
          <w:color w:val="auto"/>
          <w:kern w:val="0"/>
        </w:rPr>
        <w:t>第</w:t>
      </w:r>
      <w:r>
        <w:rPr>
          <w:rFonts w:hint="eastAsia" w:hAnsi="宋体" w:cs="宋体"/>
          <w:b/>
          <w:bCs/>
          <w:snapToGrid w:val="0"/>
          <w:color w:val="auto"/>
          <w:kern w:val="0"/>
          <w:szCs w:val="18"/>
        </w:rPr>
        <w:t>10.3.3</w:t>
      </w:r>
      <w:r>
        <w:rPr>
          <w:rFonts w:hint="eastAsia" w:hAnsi="宋体" w:cs="宋体"/>
          <w:snapToGrid w:val="0"/>
          <w:color w:val="auto"/>
          <w:kern w:val="0"/>
          <w:szCs w:val="18"/>
        </w:rPr>
        <w:t>目</w:t>
      </w:r>
      <w:r>
        <w:rPr>
          <w:rFonts w:hint="eastAsia" w:hAnsi="宋体" w:cs="宋体"/>
          <w:snapToGrid w:val="0"/>
          <w:color w:val="auto"/>
          <w:kern w:val="0"/>
        </w:rPr>
        <w:t>中规定的“</w:t>
      </w:r>
      <w:r>
        <w:rPr>
          <w:rFonts w:hint="eastAsia" w:hAnsi="宋体" w:cs="宋体"/>
          <w:snapToGrid w:val="0"/>
          <w:color w:val="auto"/>
          <w:kern w:val="0"/>
          <w:szCs w:val="18"/>
        </w:rPr>
        <w:t>所有投标人均应提供</w:t>
      </w:r>
      <w:r>
        <w:rPr>
          <w:rFonts w:hint="eastAsia" w:hAnsi="宋体" w:cs="宋体"/>
          <w:snapToGrid w:val="0"/>
          <w:color w:val="auto"/>
          <w:kern w:val="0"/>
        </w:rPr>
        <w:t>”的组成内容（包括该组成内容的所附资料）中，任何一项有缺漏的；</w:t>
      </w:r>
    </w:p>
    <w:p w14:paraId="71EE0FA3">
      <w:pPr>
        <w:wordWrap w:val="0"/>
        <w:adjustRightInd w:val="0"/>
        <w:snapToGrid w:val="0"/>
        <w:spacing w:line="460" w:lineRule="exact"/>
        <w:ind w:firstLine="480"/>
        <w:rPr>
          <w:rFonts w:hAnsi="宋体" w:cs="宋体"/>
          <w:snapToGrid w:val="0"/>
          <w:color w:val="auto"/>
          <w:kern w:val="0"/>
        </w:rPr>
      </w:pPr>
      <w:r>
        <w:rPr>
          <w:rFonts w:hint="eastAsia" w:hAnsi="宋体" w:cs="宋体"/>
          <w:snapToGrid w:val="0"/>
          <w:color w:val="auto"/>
          <w:kern w:val="0"/>
        </w:rPr>
        <w:t>（10）关键字迹模糊、无法辨认，</w:t>
      </w:r>
      <w:r>
        <w:rPr>
          <w:rFonts w:hint="eastAsia" w:hAnsi="宋体" w:cs="宋体"/>
          <w:b/>
          <w:bCs/>
          <w:snapToGrid w:val="0"/>
          <w:color w:val="auto"/>
          <w:kern w:val="0"/>
        </w:rPr>
        <w:t>且该种过错将导致评标委员会无法作出投标文件是否响应招标文件实质性要求的</w:t>
      </w:r>
      <w:r>
        <w:rPr>
          <w:rFonts w:hint="eastAsia" w:hAnsi="宋体" w:cs="宋体"/>
          <w:snapToGrid w:val="0"/>
          <w:color w:val="auto"/>
          <w:kern w:val="0"/>
        </w:rPr>
        <w:t>；出现手工涂改、行间插字或删除，但未加盖单位章或由投标人的法定代表人或其委托代理人签字确认的；</w:t>
      </w:r>
    </w:p>
    <w:p w14:paraId="5E66187E">
      <w:pPr>
        <w:wordWrap w:val="0"/>
        <w:adjustRightInd w:val="0"/>
        <w:snapToGrid w:val="0"/>
        <w:spacing w:line="460" w:lineRule="exact"/>
        <w:ind w:firstLine="480"/>
        <w:rPr>
          <w:rFonts w:hAnsi="宋体" w:cs="宋体"/>
          <w:snapToGrid w:val="0"/>
          <w:color w:val="auto"/>
          <w:kern w:val="0"/>
        </w:rPr>
      </w:pPr>
      <w:r>
        <w:rPr>
          <w:rFonts w:hint="eastAsia" w:hAnsi="宋体" w:cs="宋体"/>
          <w:snapToGrid w:val="0"/>
          <w:color w:val="auto"/>
          <w:kern w:val="0"/>
        </w:rPr>
        <w:t>（11）投标文件未按规定签字、盖章的；</w:t>
      </w:r>
    </w:p>
    <w:p w14:paraId="68DAC52F">
      <w:pPr>
        <w:wordWrap w:val="0"/>
        <w:adjustRightInd w:val="0"/>
        <w:snapToGrid w:val="0"/>
        <w:spacing w:line="460" w:lineRule="exact"/>
        <w:ind w:firstLine="480"/>
        <w:outlineLvl w:val="2"/>
        <w:rPr>
          <w:rFonts w:hAnsi="宋体" w:cs="宋体"/>
          <w:b/>
          <w:bCs/>
          <w:snapToGrid w:val="0"/>
          <w:color w:val="auto"/>
          <w:kern w:val="0"/>
        </w:rPr>
      </w:pPr>
      <w:bookmarkStart w:id="69" w:name="_Toc13563"/>
      <w:r>
        <w:rPr>
          <w:rFonts w:hint="eastAsia" w:hAnsi="宋体" w:cs="宋体"/>
          <w:b/>
          <w:bCs/>
          <w:snapToGrid w:val="0"/>
          <w:color w:val="auto"/>
          <w:kern w:val="0"/>
        </w:rPr>
        <w:t>3．响应性评审环节</w:t>
      </w:r>
      <w:bookmarkEnd w:id="69"/>
    </w:p>
    <w:p w14:paraId="35E78EE2">
      <w:pPr>
        <w:wordWrap w:val="0"/>
        <w:adjustRightInd w:val="0"/>
        <w:snapToGrid w:val="0"/>
        <w:spacing w:line="460" w:lineRule="exact"/>
        <w:ind w:firstLine="480"/>
        <w:rPr>
          <w:rFonts w:hAnsi="宋体" w:cs="宋体"/>
          <w:snapToGrid w:val="0"/>
          <w:color w:val="auto"/>
          <w:kern w:val="0"/>
        </w:rPr>
      </w:pPr>
      <w:r>
        <w:rPr>
          <w:rFonts w:hint="eastAsia" w:hAnsi="宋体" w:cs="宋体"/>
          <w:snapToGrid w:val="0"/>
          <w:color w:val="auto"/>
          <w:kern w:val="0"/>
        </w:rPr>
        <w:t>投标人有下列情形之一的，评标委员会应否决其投标。被否决的投标，不进入详细评审阶段。</w:t>
      </w:r>
    </w:p>
    <w:p w14:paraId="3F96A34F">
      <w:pPr>
        <w:wordWrap w:val="0"/>
        <w:adjustRightInd w:val="0"/>
        <w:snapToGrid w:val="0"/>
        <w:spacing w:line="460" w:lineRule="exact"/>
        <w:ind w:firstLine="480"/>
        <w:rPr>
          <w:rFonts w:hAnsi="宋体" w:cs="宋体"/>
          <w:snapToGrid w:val="0"/>
          <w:color w:val="auto"/>
          <w:kern w:val="0"/>
        </w:rPr>
      </w:pPr>
      <w:r>
        <w:rPr>
          <w:rFonts w:hint="eastAsia" w:hAnsi="宋体" w:cs="宋体"/>
          <w:snapToGrid w:val="0"/>
          <w:color w:val="auto"/>
          <w:kern w:val="0"/>
        </w:rPr>
        <w:t>（12）投标有效期、服务期限不符合规定的；擅自修改、遗漏《投标函》《各项承诺一览表》实质性内容的；</w:t>
      </w:r>
    </w:p>
    <w:p w14:paraId="46CBF42B">
      <w:pPr>
        <w:wordWrap w:val="0"/>
        <w:adjustRightInd w:val="0"/>
        <w:snapToGrid w:val="0"/>
        <w:spacing w:line="460" w:lineRule="exact"/>
        <w:ind w:firstLine="480"/>
        <w:rPr>
          <w:rFonts w:hAnsi="宋体" w:cs="宋体"/>
          <w:snapToGrid w:val="0"/>
          <w:color w:val="auto"/>
          <w:kern w:val="0"/>
        </w:rPr>
      </w:pPr>
      <w:r>
        <w:rPr>
          <w:rFonts w:hint="eastAsia" w:hAnsi="宋体" w:cs="宋体"/>
          <w:snapToGrid w:val="0"/>
          <w:color w:val="auto"/>
          <w:kern w:val="0"/>
        </w:rPr>
        <w:t>（13）出现两个或两个以上投标总价的（同一个投标总价大、小写不一致的除外）；投标总价超出最高投标限价的；</w:t>
      </w:r>
    </w:p>
    <w:p w14:paraId="1926DF49">
      <w:pPr>
        <w:wordWrap w:val="0"/>
        <w:adjustRightInd w:val="0"/>
        <w:snapToGrid w:val="0"/>
        <w:spacing w:line="460" w:lineRule="exact"/>
        <w:ind w:firstLine="480"/>
        <w:rPr>
          <w:rFonts w:hAnsi="宋体" w:cs="宋体"/>
          <w:snapToGrid w:val="0"/>
          <w:color w:val="auto"/>
          <w:kern w:val="0"/>
        </w:rPr>
      </w:pPr>
      <w:r>
        <w:rPr>
          <w:rFonts w:hint="eastAsia" w:hAnsi="宋体" w:cs="宋体"/>
          <w:snapToGrid w:val="0"/>
          <w:color w:val="auto"/>
          <w:kern w:val="0"/>
        </w:rPr>
        <w:t>（14）在监理大纲评审中，评标委员会认定监理及相关服务的范围、内容、目标不符合规定的；质量、进度、造价监理措施明显不符合国家和省市现行有关规范、规定、标准，</w:t>
      </w:r>
      <w:r>
        <w:rPr>
          <w:rFonts w:hint="eastAsia" w:hAnsi="宋体" w:cs="宋体"/>
          <w:b/>
          <w:bCs/>
          <w:snapToGrid w:val="0"/>
          <w:color w:val="auto"/>
          <w:kern w:val="0"/>
        </w:rPr>
        <w:t>且该种过错将导致“三控制”目标无法实现的</w:t>
      </w:r>
      <w:r>
        <w:rPr>
          <w:rFonts w:hint="eastAsia" w:hAnsi="宋体" w:cs="宋体"/>
          <w:snapToGrid w:val="0"/>
          <w:color w:val="auto"/>
          <w:kern w:val="0"/>
        </w:rPr>
        <w:t>。</w:t>
      </w:r>
    </w:p>
    <w:p w14:paraId="204AD2D8">
      <w:pPr>
        <w:wordWrap w:val="0"/>
        <w:adjustRightInd w:val="0"/>
        <w:snapToGrid w:val="0"/>
        <w:spacing w:line="460" w:lineRule="exact"/>
        <w:ind w:firstLine="480"/>
        <w:outlineLvl w:val="2"/>
        <w:rPr>
          <w:rFonts w:hAnsi="宋体" w:cs="宋体"/>
          <w:b/>
          <w:bCs/>
          <w:snapToGrid w:val="0"/>
          <w:color w:val="auto"/>
          <w:kern w:val="0"/>
        </w:rPr>
      </w:pPr>
      <w:bookmarkStart w:id="70" w:name="_Toc5091"/>
      <w:r>
        <w:rPr>
          <w:rFonts w:hint="eastAsia" w:hAnsi="宋体" w:cs="宋体"/>
          <w:b/>
          <w:bCs/>
          <w:snapToGrid w:val="0"/>
          <w:color w:val="auto"/>
          <w:kern w:val="0"/>
        </w:rPr>
        <w:t>4．其他</w:t>
      </w:r>
      <w:bookmarkEnd w:id="70"/>
    </w:p>
    <w:p w14:paraId="3878CBB5">
      <w:pPr>
        <w:wordWrap w:val="0"/>
        <w:adjustRightInd w:val="0"/>
        <w:snapToGrid w:val="0"/>
        <w:spacing w:line="460" w:lineRule="exact"/>
        <w:ind w:firstLine="480"/>
        <w:rPr>
          <w:rFonts w:hAnsi="宋体" w:cs="宋体"/>
          <w:snapToGrid w:val="0"/>
          <w:color w:val="auto"/>
          <w:kern w:val="0"/>
          <w:szCs w:val="22"/>
        </w:rPr>
      </w:pPr>
      <w:r>
        <w:rPr>
          <w:rFonts w:hint="eastAsia" w:hAnsi="宋体" w:cs="宋体"/>
          <w:snapToGrid w:val="0"/>
          <w:color w:val="auto"/>
          <w:kern w:val="0"/>
        </w:rPr>
        <w:t>在任何评标环节（或阶段），投标人有下列情形之一的，评标委员会应否决其投标。</w:t>
      </w:r>
      <w:r>
        <w:rPr>
          <w:rFonts w:hint="eastAsia" w:hAnsi="宋体" w:cs="宋体"/>
          <w:snapToGrid w:val="0"/>
          <w:color w:val="auto"/>
          <w:kern w:val="0"/>
          <w:szCs w:val="22"/>
        </w:rPr>
        <w:t>被否决的投标，不进入下一环节（或阶段）。</w:t>
      </w:r>
    </w:p>
    <w:p w14:paraId="56D76EF9">
      <w:pPr>
        <w:wordWrap w:val="0"/>
        <w:adjustRightInd w:val="0"/>
        <w:snapToGrid w:val="0"/>
        <w:spacing w:line="460" w:lineRule="exact"/>
        <w:ind w:firstLine="480"/>
        <w:rPr>
          <w:rFonts w:hAnsi="宋体" w:cs="宋体"/>
          <w:snapToGrid w:val="0"/>
          <w:color w:val="auto"/>
          <w:kern w:val="0"/>
        </w:rPr>
      </w:pPr>
      <w:r>
        <w:rPr>
          <w:rFonts w:hint="eastAsia" w:hAnsi="宋体" w:cs="宋体"/>
          <w:snapToGrid w:val="0"/>
          <w:color w:val="auto"/>
          <w:kern w:val="0"/>
        </w:rPr>
        <w:t>（15）不按评标委员会要求澄清、说明或补正的；</w:t>
      </w:r>
    </w:p>
    <w:p w14:paraId="3229BEE5">
      <w:pPr>
        <w:wordWrap w:val="0"/>
        <w:adjustRightInd w:val="0"/>
        <w:snapToGrid w:val="0"/>
        <w:spacing w:line="460" w:lineRule="exact"/>
        <w:ind w:firstLine="480"/>
        <w:rPr>
          <w:rFonts w:hAnsi="宋体" w:cs="宋体"/>
          <w:snapToGrid w:val="0"/>
          <w:color w:val="auto"/>
          <w:kern w:val="0"/>
        </w:rPr>
      </w:pPr>
      <w:r>
        <w:rPr>
          <w:rFonts w:hint="eastAsia" w:hAnsi="宋体" w:cs="宋体"/>
          <w:snapToGrid w:val="0"/>
          <w:color w:val="auto"/>
          <w:kern w:val="0"/>
        </w:rPr>
        <w:t>（16）有下列情形之一，被评标委员会认定属于串通投标的：</w:t>
      </w:r>
    </w:p>
    <w:p w14:paraId="64A1CB45">
      <w:pPr>
        <w:wordWrap w:val="0"/>
        <w:adjustRightInd w:val="0"/>
        <w:snapToGrid w:val="0"/>
        <w:spacing w:line="460" w:lineRule="exact"/>
        <w:rPr>
          <w:rFonts w:hAnsi="宋体" w:cs="宋体"/>
          <w:snapToGrid w:val="0"/>
          <w:color w:val="auto"/>
          <w:kern w:val="0"/>
        </w:rPr>
      </w:pPr>
      <w:r>
        <w:rPr>
          <w:rFonts w:hint="eastAsia" w:hAnsi="宋体" w:cs="宋体"/>
          <w:snapToGrid w:val="0"/>
          <w:color w:val="auto"/>
          <w:kern w:val="0"/>
        </w:rPr>
        <w:t xml:space="preserve">    ①不同投标人的投标文件两处以上（含两处）错、漏一致；</w:t>
      </w:r>
    </w:p>
    <w:p w14:paraId="6616806E">
      <w:pPr>
        <w:wordWrap w:val="0"/>
        <w:adjustRightInd w:val="0"/>
        <w:snapToGrid w:val="0"/>
        <w:spacing w:line="460" w:lineRule="exact"/>
        <w:rPr>
          <w:rFonts w:hAnsi="宋体" w:cs="宋体"/>
          <w:snapToGrid w:val="0"/>
          <w:color w:val="auto"/>
          <w:kern w:val="0"/>
        </w:rPr>
      </w:pPr>
      <w:r>
        <w:rPr>
          <w:rFonts w:hint="eastAsia" w:hAnsi="宋体" w:cs="宋体"/>
          <w:snapToGrid w:val="0"/>
          <w:color w:val="auto"/>
          <w:kern w:val="0"/>
        </w:rPr>
        <w:t xml:space="preserve">    ②不同投标人的投标各项报价存在异常一致或者呈规律性变化；</w:t>
      </w:r>
    </w:p>
    <w:p w14:paraId="0AAD1A49">
      <w:pPr>
        <w:wordWrap w:val="0"/>
        <w:adjustRightInd w:val="0"/>
        <w:snapToGrid w:val="0"/>
        <w:spacing w:line="460" w:lineRule="exact"/>
        <w:ind w:firstLine="480"/>
        <w:rPr>
          <w:rFonts w:hAnsi="宋体" w:cs="宋体"/>
          <w:snapToGrid w:val="0"/>
          <w:color w:val="auto"/>
          <w:kern w:val="0"/>
        </w:rPr>
      </w:pPr>
      <w:r>
        <w:rPr>
          <w:rFonts w:hint="eastAsia" w:hAnsi="宋体" w:cs="宋体"/>
          <w:snapToGrid w:val="0"/>
          <w:color w:val="auto"/>
          <w:kern w:val="0"/>
        </w:rPr>
        <w:t>③不同投标人的投标文件由同一单位或者同一个人编制；</w:t>
      </w:r>
    </w:p>
    <w:p w14:paraId="7CB6FE1D">
      <w:pPr>
        <w:wordWrap w:val="0"/>
        <w:adjustRightInd w:val="0"/>
        <w:snapToGrid w:val="0"/>
        <w:spacing w:line="460" w:lineRule="exact"/>
        <w:ind w:firstLine="480"/>
        <w:rPr>
          <w:rFonts w:hAnsi="宋体" w:cs="宋体"/>
          <w:snapToGrid w:val="0"/>
          <w:color w:val="auto"/>
          <w:kern w:val="0"/>
        </w:rPr>
      </w:pPr>
      <w:r>
        <w:rPr>
          <w:rFonts w:hint="eastAsia" w:hAnsi="宋体" w:cs="宋体"/>
          <w:snapToGrid w:val="0"/>
          <w:color w:val="auto"/>
          <w:kern w:val="0"/>
        </w:rPr>
        <w:t>④不同投标人的投标文件中投标资料（包括电子资料）相互混装或项目班子成员出现同一人；</w:t>
      </w:r>
    </w:p>
    <w:p w14:paraId="69723155">
      <w:pPr>
        <w:wordWrap w:val="0"/>
        <w:adjustRightInd w:val="0"/>
        <w:snapToGrid w:val="0"/>
        <w:spacing w:line="460" w:lineRule="exact"/>
        <w:ind w:firstLine="480"/>
        <w:rPr>
          <w:rFonts w:hAnsi="宋体" w:cs="宋体"/>
          <w:snapToGrid w:val="0"/>
          <w:color w:val="auto"/>
          <w:kern w:val="0"/>
        </w:rPr>
      </w:pPr>
      <w:r>
        <w:rPr>
          <w:rFonts w:hint="eastAsia" w:hAnsi="宋体" w:cs="宋体"/>
          <w:snapToGrid w:val="0"/>
          <w:color w:val="auto"/>
          <w:kern w:val="0"/>
        </w:rPr>
        <w:t>⑤不同投标人的投标文件由同一电脑编制或同一台附属设备打印；</w:t>
      </w:r>
    </w:p>
    <w:p w14:paraId="55D1D4E2">
      <w:pPr>
        <w:wordWrap w:val="0"/>
        <w:adjustRightInd w:val="0"/>
        <w:snapToGrid w:val="0"/>
        <w:spacing w:line="460" w:lineRule="exact"/>
        <w:ind w:firstLine="480"/>
        <w:rPr>
          <w:rFonts w:hAnsi="宋体" w:cs="宋体"/>
          <w:snapToGrid w:val="0"/>
          <w:color w:val="auto"/>
          <w:kern w:val="0"/>
        </w:rPr>
      </w:pPr>
      <w:r>
        <w:rPr>
          <w:rFonts w:hint="eastAsia" w:hAnsi="宋体" w:cs="宋体"/>
          <w:snapToGrid w:val="0"/>
          <w:color w:val="auto"/>
          <w:kern w:val="0"/>
        </w:rPr>
        <w:t>⑥不同投标人的投标保证由同一企业或同一账户资金缴纳；</w:t>
      </w:r>
    </w:p>
    <w:p w14:paraId="4061EDB9">
      <w:pPr>
        <w:wordWrap w:val="0"/>
        <w:adjustRightInd w:val="0"/>
        <w:snapToGrid w:val="0"/>
        <w:spacing w:line="460" w:lineRule="exact"/>
        <w:ind w:firstLine="480"/>
        <w:rPr>
          <w:rFonts w:hAnsi="宋体" w:cs="宋体"/>
          <w:snapToGrid w:val="0"/>
          <w:color w:val="auto"/>
          <w:kern w:val="0"/>
        </w:rPr>
      </w:pPr>
      <w:r>
        <w:rPr>
          <w:rFonts w:hint="eastAsia" w:hAnsi="宋体" w:cs="宋体"/>
          <w:snapToGrid w:val="0"/>
          <w:color w:val="auto"/>
          <w:kern w:val="0"/>
        </w:rPr>
        <w:t>⑦不同投标人委托同一个人或注册在同一家企业的注册人员或同一家企业为其投标提供投标咨询、商务报价、技术咨询（招标项目本身要求采用专有技术的除外）等服务。</w:t>
      </w:r>
    </w:p>
    <w:bookmarkEnd w:id="60"/>
    <w:p w14:paraId="67FD8CC4">
      <w:pPr>
        <w:wordWrap w:val="0"/>
        <w:adjustRightInd w:val="0"/>
        <w:snapToGrid w:val="0"/>
        <w:spacing w:line="460" w:lineRule="exact"/>
        <w:ind w:firstLine="480"/>
        <w:rPr>
          <w:rFonts w:hAnsi="宋体" w:cs="宋体"/>
          <w:snapToGrid w:val="0"/>
          <w:color w:val="auto"/>
          <w:kern w:val="0"/>
        </w:rPr>
        <w:sectPr>
          <w:endnotePr>
            <w:numFmt w:val="decimal"/>
          </w:endnotePr>
          <w:pgSz w:w="11906" w:h="16838"/>
          <w:pgMar w:top="1417" w:right="1417" w:bottom="1417" w:left="1417" w:header="850" w:footer="992" w:gutter="0"/>
          <w:cols w:space="0" w:num="1"/>
          <w:docGrid w:linePitch="327" w:charSpace="0"/>
        </w:sectPr>
      </w:pPr>
    </w:p>
    <w:p w14:paraId="21554EEA">
      <w:pPr>
        <w:pStyle w:val="2"/>
        <w:wordWrap w:val="0"/>
        <w:autoSpaceDE/>
        <w:autoSpaceDN/>
        <w:snapToGrid w:val="0"/>
        <w:spacing w:line="440" w:lineRule="exact"/>
        <w:jc w:val="center"/>
        <w:rPr>
          <w:rFonts w:hAnsi="宋体" w:cs="宋体"/>
          <w:b/>
          <w:snapToGrid w:val="0"/>
          <w:color w:val="auto"/>
          <w:sz w:val="32"/>
          <w:szCs w:val="22"/>
        </w:rPr>
      </w:pPr>
      <w:bookmarkStart w:id="71" w:name="_Hlt70150994"/>
      <w:bookmarkEnd w:id="71"/>
      <w:bookmarkStart w:id="72" w:name="_Hlt69669771"/>
      <w:bookmarkEnd w:id="72"/>
      <w:bookmarkStart w:id="73" w:name="_Hlt112206772"/>
      <w:bookmarkEnd w:id="73"/>
      <w:bookmarkStart w:id="74" w:name="_Hlt87952408"/>
      <w:bookmarkEnd w:id="74"/>
      <w:bookmarkStart w:id="75" w:name="_Toc10802"/>
      <w:bookmarkStart w:id="76" w:name="_Hlt69698769"/>
      <w:bookmarkStart w:id="77" w:name="_Hlt69698741"/>
      <w:bookmarkStart w:id="78" w:name="_Hlt69698722"/>
      <w:r>
        <w:rPr>
          <w:rFonts w:hint="eastAsia" w:hAnsi="宋体" w:cs="宋体"/>
          <w:b/>
          <w:snapToGrid w:val="0"/>
          <w:color w:val="auto"/>
          <w:sz w:val="32"/>
          <w:szCs w:val="22"/>
        </w:rPr>
        <w:t>第</w:t>
      </w:r>
      <w:bookmarkStart w:id="79" w:name="_Hlt69669171"/>
      <w:bookmarkEnd w:id="79"/>
      <w:r>
        <w:rPr>
          <w:rFonts w:hint="eastAsia" w:hAnsi="宋体" w:cs="宋体"/>
          <w:b/>
          <w:snapToGrid w:val="0"/>
          <w:color w:val="auto"/>
          <w:sz w:val="32"/>
          <w:szCs w:val="22"/>
        </w:rPr>
        <w:t>二章</w:t>
      </w:r>
      <w:bookmarkStart w:id="80" w:name="_Hlt87793839"/>
      <w:bookmarkEnd w:id="80"/>
      <w:r>
        <w:rPr>
          <w:rFonts w:hint="eastAsia" w:hAnsi="宋体" w:cs="宋体"/>
          <w:b/>
          <w:snapToGrid w:val="0"/>
          <w:color w:val="auto"/>
          <w:sz w:val="32"/>
          <w:szCs w:val="22"/>
        </w:rPr>
        <w:t xml:space="preserve"> 中标人须知</w:t>
      </w:r>
      <w:bookmarkEnd w:id="75"/>
    </w:p>
    <w:bookmarkEnd w:id="76"/>
    <w:bookmarkEnd w:id="77"/>
    <w:bookmarkEnd w:id="78"/>
    <w:p w14:paraId="60192145">
      <w:pPr>
        <w:pStyle w:val="2"/>
        <w:wordWrap w:val="0"/>
        <w:autoSpaceDE/>
        <w:autoSpaceDN/>
        <w:snapToGrid w:val="0"/>
        <w:spacing w:line="440" w:lineRule="exact"/>
        <w:jc w:val="center"/>
        <w:rPr>
          <w:rFonts w:hAnsi="宋体" w:cs="宋体"/>
          <w:b/>
          <w:snapToGrid w:val="0"/>
          <w:color w:val="auto"/>
          <w:sz w:val="32"/>
          <w:szCs w:val="22"/>
        </w:rPr>
      </w:pPr>
    </w:p>
    <w:p w14:paraId="57D24C55">
      <w:pPr>
        <w:wordWrap w:val="0"/>
        <w:adjustRightInd w:val="0"/>
        <w:snapToGrid w:val="0"/>
        <w:spacing w:line="440" w:lineRule="exact"/>
        <w:ind w:firstLine="562"/>
        <w:outlineLvl w:val="1"/>
        <w:rPr>
          <w:rFonts w:hAnsi="宋体" w:cs="宋体"/>
          <w:snapToGrid w:val="0"/>
          <w:color w:val="auto"/>
          <w:kern w:val="0"/>
          <w:szCs w:val="24"/>
        </w:rPr>
      </w:pPr>
      <w:bookmarkStart w:id="81" w:name="_Toc30174"/>
      <w:bookmarkStart w:id="82" w:name="_Toc18336"/>
      <w:bookmarkStart w:id="83" w:name="_Toc15170"/>
      <w:bookmarkStart w:id="84" w:name="_Toc31521"/>
      <w:r>
        <w:rPr>
          <w:rFonts w:hint="eastAsia" w:hAnsi="宋体" w:cs="宋体"/>
          <w:b/>
          <w:snapToGrid w:val="0"/>
          <w:color w:val="auto"/>
          <w:kern w:val="0"/>
          <w:szCs w:val="24"/>
        </w:rPr>
        <w:t>1．中标通知书</w:t>
      </w:r>
      <w:bookmarkEnd w:id="81"/>
      <w:bookmarkEnd w:id="82"/>
      <w:bookmarkEnd w:id="83"/>
      <w:bookmarkEnd w:id="84"/>
    </w:p>
    <w:p w14:paraId="25B37A3B">
      <w:pPr>
        <w:wordWrap w:val="0"/>
        <w:adjustRightInd w:val="0"/>
        <w:snapToGrid w:val="0"/>
        <w:spacing w:line="440" w:lineRule="exact"/>
        <w:ind w:firstLine="562"/>
        <w:rPr>
          <w:rFonts w:hAnsi="宋体" w:cs="宋体"/>
          <w:snapToGrid w:val="0"/>
          <w:color w:val="auto"/>
          <w:kern w:val="0"/>
          <w:szCs w:val="24"/>
        </w:rPr>
      </w:pPr>
      <w:r>
        <w:rPr>
          <w:rFonts w:hint="eastAsia" w:hAnsi="宋体" w:cs="宋体"/>
          <w:snapToGrid w:val="0"/>
          <w:color w:val="auto"/>
          <w:kern w:val="0"/>
          <w:szCs w:val="24"/>
        </w:rPr>
        <w:t>招标人确定第一中标候选人为中标人，并在中标人确定之日起7日内向中标人发出中标通知书，中标人必须按韶关市公共资源交易中心的规定办理相关手续后方可领取。中标通知书对招标人和中标人均具有法律约束力。中标通知书发出后，招标人改变中标结果和中标人放弃中标的，应当承担法律责任。</w:t>
      </w:r>
    </w:p>
    <w:p w14:paraId="6E6BA526">
      <w:pPr>
        <w:wordWrap w:val="0"/>
        <w:adjustRightInd w:val="0"/>
        <w:snapToGrid w:val="0"/>
        <w:spacing w:line="440" w:lineRule="exact"/>
        <w:ind w:firstLine="562"/>
        <w:outlineLvl w:val="1"/>
        <w:rPr>
          <w:rFonts w:hAnsi="宋体" w:cs="宋体"/>
          <w:snapToGrid w:val="0"/>
          <w:color w:val="auto"/>
          <w:kern w:val="0"/>
          <w:szCs w:val="24"/>
        </w:rPr>
      </w:pPr>
      <w:bookmarkStart w:id="85" w:name="_Toc23133"/>
      <w:bookmarkStart w:id="86" w:name="_Toc28601"/>
      <w:bookmarkStart w:id="87" w:name="_Toc30560"/>
      <w:bookmarkStart w:id="88" w:name="_Toc1519"/>
      <w:r>
        <w:rPr>
          <w:rFonts w:hint="eastAsia" w:hAnsi="宋体" w:cs="宋体"/>
          <w:b/>
          <w:bCs/>
          <w:snapToGrid w:val="0"/>
          <w:color w:val="auto"/>
          <w:kern w:val="0"/>
          <w:szCs w:val="24"/>
        </w:rPr>
        <w:t>2．中标结果公示</w:t>
      </w:r>
      <w:bookmarkEnd w:id="85"/>
      <w:bookmarkEnd w:id="86"/>
      <w:bookmarkEnd w:id="87"/>
      <w:bookmarkEnd w:id="88"/>
    </w:p>
    <w:p w14:paraId="53AE4D36">
      <w:pPr>
        <w:wordWrap w:val="0"/>
        <w:adjustRightInd w:val="0"/>
        <w:snapToGrid w:val="0"/>
        <w:spacing w:line="440" w:lineRule="exact"/>
        <w:ind w:firstLine="562"/>
        <w:rPr>
          <w:rFonts w:hAnsi="宋体" w:cs="宋体"/>
          <w:snapToGrid w:val="0"/>
          <w:color w:val="auto"/>
          <w:kern w:val="0"/>
          <w:szCs w:val="24"/>
        </w:rPr>
      </w:pPr>
      <w:r>
        <w:rPr>
          <w:rFonts w:hint="eastAsia" w:hAnsi="宋体" w:cs="宋体"/>
          <w:snapToGrid w:val="0"/>
          <w:color w:val="auto"/>
          <w:kern w:val="0"/>
          <w:szCs w:val="24"/>
        </w:rPr>
        <w:t>中标通知书发出后15日内，招标人应将中标结果在广东省招标投标监管网（https://www.gdzwfw.gov.cn/ztbjg-portal/#/index）及全国公共资源交易平台（广东省·韶关市）（https://ygp.gdzwfw.gov.cn/ggzy-portal/#/440200/index）进行公示。</w:t>
      </w:r>
    </w:p>
    <w:p w14:paraId="1BDDE396">
      <w:pPr>
        <w:wordWrap w:val="0"/>
        <w:adjustRightInd w:val="0"/>
        <w:snapToGrid w:val="0"/>
        <w:spacing w:line="440" w:lineRule="exact"/>
        <w:ind w:firstLine="562"/>
        <w:outlineLvl w:val="1"/>
        <w:rPr>
          <w:rFonts w:hAnsi="宋体" w:cs="宋体"/>
          <w:snapToGrid w:val="0"/>
          <w:color w:val="auto"/>
          <w:kern w:val="0"/>
          <w:szCs w:val="24"/>
        </w:rPr>
      </w:pPr>
      <w:bookmarkStart w:id="89" w:name="_Toc21624"/>
      <w:bookmarkStart w:id="90" w:name="_Toc11768"/>
      <w:bookmarkStart w:id="91" w:name="_Toc292"/>
      <w:bookmarkStart w:id="92" w:name="_Toc3075"/>
      <w:r>
        <w:rPr>
          <w:rFonts w:hint="eastAsia" w:hAnsi="宋体" w:cs="宋体"/>
          <w:b/>
          <w:bCs/>
          <w:snapToGrid w:val="0"/>
          <w:color w:val="auto"/>
          <w:kern w:val="0"/>
          <w:szCs w:val="24"/>
        </w:rPr>
        <w:t>3．履约保证</w:t>
      </w:r>
      <w:bookmarkEnd w:id="89"/>
      <w:bookmarkEnd w:id="90"/>
      <w:bookmarkEnd w:id="91"/>
      <w:bookmarkEnd w:id="92"/>
    </w:p>
    <w:p w14:paraId="7385AC2C">
      <w:pPr>
        <w:wordWrap w:val="0"/>
        <w:adjustRightInd w:val="0"/>
        <w:snapToGrid w:val="0"/>
        <w:spacing w:line="440" w:lineRule="exact"/>
        <w:ind w:firstLine="562"/>
        <w:rPr>
          <w:rFonts w:hAnsi="宋体" w:cs="宋体"/>
          <w:snapToGrid w:val="0"/>
          <w:color w:val="auto"/>
          <w:kern w:val="0"/>
          <w:szCs w:val="24"/>
        </w:rPr>
      </w:pPr>
      <w:r>
        <w:rPr>
          <w:rFonts w:hint="eastAsia" w:hAnsi="宋体" w:cs="宋体"/>
          <w:b/>
          <w:bCs/>
          <w:snapToGrid w:val="0"/>
          <w:color w:val="auto"/>
          <w:kern w:val="0"/>
          <w:szCs w:val="24"/>
        </w:rPr>
        <w:t>3.1</w:t>
      </w:r>
      <w:r>
        <w:rPr>
          <w:rFonts w:hint="eastAsia" w:hAnsi="宋体" w:cs="宋体"/>
          <w:snapToGrid w:val="0"/>
          <w:color w:val="auto"/>
          <w:kern w:val="0"/>
          <w:szCs w:val="24"/>
        </w:rPr>
        <w:t xml:space="preserve"> 中标人须在领取中标通知书之日起</w:t>
      </w:r>
      <w:r>
        <w:rPr>
          <w:rFonts w:hint="eastAsia" w:hAnsi="宋体" w:cs="宋体"/>
          <w:snapToGrid w:val="0"/>
          <w:color w:val="auto"/>
          <w:kern w:val="0"/>
          <w:szCs w:val="24"/>
          <w:u w:val="single"/>
        </w:rPr>
        <w:t xml:space="preserve"> 10 </w:t>
      </w:r>
      <w:r>
        <w:rPr>
          <w:rFonts w:hint="eastAsia" w:hAnsi="宋体" w:cs="宋体"/>
          <w:snapToGrid w:val="0"/>
          <w:color w:val="auto"/>
          <w:kern w:val="0"/>
          <w:szCs w:val="24"/>
        </w:rPr>
        <w:t>个工作日内、签订合同前向招标人提交金额为中标价</w:t>
      </w:r>
      <w:r>
        <w:rPr>
          <w:rFonts w:hint="eastAsia" w:hAnsi="宋体" w:cs="宋体"/>
          <w:snapToGrid w:val="0"/>
          <w:color w:val="auto"/>
          <w:kern w:val="0"/>
          <w:szCs w:val="24"/>
          <w:u w:val="single"/>
        </w:rPr>
        <w:t xml:space="preserve"> 3 </w:t>
      </w:r>
      <w:r>
        <w:rPr>
          <w:rFonts w:hint="eastAsia" w:hAnsi="宋体" w:cs="宋体"/>
          <w:snapToGrid w:val="0"/>
          <w:color w:val="auto"/>
          <w:kern w:val="0"/>
          <w:szCs w:val="24"/>
        </w:rPr>
        <w:t xml:space="preserve">% 的履约保证。 </w:t>
      </w:r>
    </w:p>
    <w:p w14:paraId="5F46C231">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left="0" w:leftChars="0" w:right="0" w:rightChars="0" w:firstLine="562" w:firstLineChars="0"/>
        <w:jc w:val="both"/>
        <w:textAlignment w:val="auto"/>
        <w:outlineLvl w:val="9"/>
        <w:rPr>
          <w:rFonts w:hint="eastAsia" w:ascii="Times New Roman" w:hAnsi="Times New Roman" w:cs="Times New Roman"/>
          <w:caps w:val="0"/>
          <w:smallCaps w:val="0"/>
          <w:snapToGrid w:val="0"/>
          <w:color w:val="auto"/>
          <w:spacing w:val="0"/>
          <w:kern w:val="0"/>
          <w:highlight w:val="none"/>
          <w:lang w:val="en-US" w:eastAsia="zh-CN"/>
        </w:rPr>
      </w:pPr>
      <w:r>
        <w:rPr>
          <w:rFonts w:hint="eastAsia" w:hAnsi="宋体" w:cs="宋体"/>
          <w:b/>
          <w:bCs/>
          <w:snapToGrid w:val="0"/>
          <w:color w:val="auto"/>
          <w:kern w:val="0"/>
          <w:szCs w:val="24"/>
        </w:rPr>
        <w:t xml:space="preserve">3.2 </w:t>
      </w:r>
      <w:r>
        <w:rPr>
          <w:rFonts w:hint="eastAsia" w:ascii="Times New Roman" w:hAnsi="Times New Roman" w:cs="Times New Roman"/>
          <w:caps w:val="0"/>
          <w:smallCaps w:val="0"/>
          <w:snapToGrid w:val="0"/>
          <w:color w:val="auto"/>
          <w:spacing w:val="0"/>
          <w:kern w:val="0"/>
          <w:highlight w:val="none"/>
          <w:lang w:val="en-US" w:eastAsia="zh-CN"/>
        </w:rPr>
        <w:t>履约保证的形式包括履约保证金、履约保证担保、履约保证保险三种，由中标人自主选择。</w:t>
      </w:r>
    </w:p>
    <w:p w14:paraId="6401F955">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cs="Times New Roman"/>
          <w:caps w:val="0"/>
          <w:smallCaps w:val="0"/>
          <w:snapToGrid w:val="0"/>
          <w:color w:val="auto"/>
          <w:spacing w:val="0"/>
          <w:kern w:val="0"/>
          <w:highlight w:val="none"/>
          <w:lang w:val="en-US" w:eastAsia="zh-CN"/>
        </w:rPr>
      </w:pPr>
      <w:r>
        <w:rPr>
          <w:rFonts w:hint="eastAsia" w:ascii="Times New Roman" w:hAnsi="Times New Roman" w:cs="Times New Roman"/>
          <w:caps w:val="0"/>
          <w:smallCaps w:val="0"/>
          <w:snapToGrid w:val="0"/>
          <w:color w:val="auto"/>
          <w:spacing w:val="0"/>
          <w:kern w:val="0"/>
          <w:highlight w:val="none"/>
          <w:lang w:val="en-US" w:eastAsia="zh-CN"/>
        </w:rPr>
        <w:t>（1）采用履约保证金的，中标人须从其法人开户银行的账号将履约保证金划至招标人账户，并详细注明项目名称及用途。</w:t>
      </w:r>
    </w:p>
    <w:p w14:paraId="4CD742ED">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Ansi="宋体" w:cs="宋体"/>
          <w:snapToGrid w:val="0"/>
          <w:color w:val="auto"/>
          <w:kern w:val="0"/>
          <w:szCs w:val="24"/>
        </w:rPr>
      </w:pPr>
      <w:r>
        <w:rPr>
          <w:rFonts w:hint="eastAsia" w:ascii="Times New Roman" w:hAnsi="Times New Roman" w:cs="Times New Roman"/>
          <w:caps w:val="0"/>
          <w:smallCaps w:val="0"/>
          <w:snapToGrid w:val="0"/>
          <w:color w:val="auto"/>
          <w:spacing w:val="0"/>
          <w:kern w:val="0"/>
          <w:highlight w:val="none"/>
          <w:lang w:val="en-US" w:eastAsia="zh-CN"/>
        </w:rPr>
        <w:t>（2）采用履约保证担保或履约保证保险的，中标人应提交有效的银行保函或保险合同（或保险单）原件，银行保函或保险合同（或保险单）的有效期应当自合同生效之日起至项目通过竣工验收之日后28天止。如果中标人无法获得具体截止日期，银行保函或保险合同（或保险单）中应当有“变更项目竣工日期的，保证期间按照变更后的竣工日期做相应调整”或类似约定的条款</w:t>
      </w:r>
      <w:r>
        <w:rPr>
          <w:rFonts w:hint="eastAsia" w:hAnsi="宋体" w:cs="宋体"/>
          <w:snapToGrid w:val="0"/>
          <w:color w:val="auto"/>
          <w:kern w:val="0"/>
          <w:szCs w:val="24"/>
        </w:rPr>
        <w:t>。</w:t>
      </w:r>
    </w:p>
    <w:p w14:paraId="49F3CD56">
      <w:pPr>
        <w:wordWrap w:val="0"/>
        <w:adjustRightInd w:val="0"/>
        <w:snapToGrid w:val="0"/>
        <w:spacing w:line="440" w:lineRule="exact"/>
        <w:ind w:firstLine="482" w:firstLineChars="200"/>
        <w:rPr>
          <w:rFonts w:hAnsi="宋体" w:cs="宋体"/>
          <w:snapToGrid w:val="0"/>
          <w:color w:val="auto"/>
          <w:kern w:val="0"/>
          <w:szCs w:val="24"/>
        </w:rPr>
      </w:pPr>
      <w:r>
        <w:rPr>
          <w:rFonts w:hint="eastAsia" w:hAnsi="宋体" w:cs="宋体"/>
          <w:b/>
          <w:bCs/>
          <w:snapToGrid w:val="0"/>
          <w:color w:val="auto"/>
          <w:kern w:val="0"/>
          <w:szCs w:val="24"/>
        </w:rPr>
        <w:t xml:space="preserve">3.3 </w:t>
      </w:r>
      <w:r>
        <w:rPr>
          <w:rFonts w:hint="eastAsia" w:hAnsi="宋体" w:cs="宋体"/>
          <w:snapToGrid w:val="0"/>
          <w:color w:val="auto"/>
          <w:kern w:val="0"/>
          <w:szCs w:val="24"/>
        </w:rPr>
        <w:t>中标人在领取中标通知书之日起10个工作日内仍未提交履约保证的，招标人发出第一次提醒函；在领取中标通知书之日起15个工作日内仍未提交的，招标人发出第二次提醒函；在领取中标通知书之日起20个工作日内仍未提交的，视其放弃中标。并由招标人通报建设行政管理部门。如采用银行保函或保险合同方式缴纳履约保证金，在保函或保险合同到期前一个月，中标人须主动办理续期手续或提交新的银行保函或保险合同。</w:t>
      </w:r>
    </w:p>
    <w:p w14:paraId="2EE03383">
      <w:pPr>
        <w:wordWrap w:val="0"/>
        <w:adjustRightInd w:val="0"/>
        <w:snapToGrid w:val="0"/>
        <w:spacing w:line="440" w:lineRule="exact"/>
        <w:ind w:firstLine="482" w:firstLineChars="200"/>
        <w:rPr>
          <w:rFonts w:hAnsi="宋体" w:cs="宋体"/>
          <w:snapToGrid w:val="0"/>
          <w:color w:val="auto"/>
          <w:kern w:val="0"/>
          <w:szCs w:val="24"/>
        </w:rPr>
      </w:pPr>
      <w:r>
        <w:rPr>
          <w:rFonts w:hint="eastAsia" w:hAnsi="宋体" w:cs="宋体"/>
          <w:b/>
          <w:bCs/>
          <w:snapToGrid w:val="0"/>
          <w:color w:val="auto"/>
          <w:kern w:val="0"/>
          <w:szCs w:val="24"/>
        </w:rPr>
        <w:t>3.4</w:t>
      </w:r>
      <w:r>
        <w:rPr>
          <w:rFonts w:hint="eastAsia" w:hAnsi="宋体" w:cs="宋体"/>
          <w:snapToGrid w:val="0"/>
          <w:color w:val="auto"/>
          <w:kern w:val="0"/>
          <w:szCs w:val="24"/>
        </w:rPr>
        <w:t xml:space="preserve"> 在项目实施过程中，如果</w:t>
      </w:r>
      <w:r>
        <w:rPr>
          <w:rFonts w:hint="eastAsia" w:hAnsi="宋体" w:cs="宋体"/>
          <w:snapToGrid w:val="0"/>
          <w:color w:val="auto"/>
          <w:kern w:val="0"/>
          <w:szCs w:val="24"/>
          <w:lang w:val="en-US" w:eastAsia="zh-CN"/>
        </w:rPr>
        <w:t>施工单位</w:t>
      </w:r>
      <w:r>
        <w:rPr>
          <w:rFonts w:hint="eastAsia" w:hAnsi="宋体" w:cs="宋体"/>
          <w:snapToGrid w:val="0"/>
          <w:color w:val="auto"/>
          <w:kern w:val="0"/>
          <w:szCs w:val="24"/>
        </w:rPr>
        <w:t>由于自身的资金、技术、质量、非不可抗力等原因给</w:t>
      </w:r>
      <w:r>
        <w:rPr>
          <w:rFonts w:hint="eastAsia" w:hAnsi="宋体" w:cs="宋体"/>
          <w:snapToGrid w:val="0"/>
          <w:color w:val="auto"/>
          <w:kern w:val="0"/>
          <w:szCs w:val="24"/>
          <w:lang w:eastAsia="zh-CN"/>
        </w:rPr>
        <w:t>委托人</w:t>
      </w:r>
      <w:r>
        <w:rPr>
          <w:rFonts w:hint="eastAsia" w:hAnsi="宋体" w:cs="宋体"/>
          <w:snapToGrid w:val="0"/>
          <w:color w:val="auto"/>
          <w:kern w:val="0"/>
          <w:szCs w:val="24"/>
        </w:rPr>
        <w:t>造成经济损失，</w:t>
      </w:r>
      <w:r>
        <w:rPr>
          <w:rFonts w:hint="eastAsia" w:hAnsi="宋体" w:cs="宋体"/>
          <w:snapToGrid w:val="0"/>
          <w:color w:val="auto"/>
          <w:kern w:val="0"/>
          <w:szCs w:val="24"/>
          <w:lang w:eastAsia="zh-CN"/>
        </w:rPr>
        <w:t>委托人</w:t>
      </w:r>
      <w:r>
        <w:rPr>
          <w:rFonts w:hint="eastAsia" w:hAnsi="宋体" w:cs="宋体"/>
          <w:snapToGrid w:val="0"/>
          <w:color w:val="auto"/>
          <w:kern w:val="0"/>
          <w:szCs w:val="24"/>
        </w:rPr>
        <w:t>有权扣划相应金额的履约保证。</w:t>
      </w:r>
    </w:p>
    <w:p w14:paraId="5E3DAE0A">
      <w:pPr>
        <w:wordWrap w:val="0"/>
        <w:adjustRightInd w:val="0"/>
        <w:snapToGrid w:val="0"/>
        <w:spacing w:line="440" w:lineRule="exact"/>
        <w:ind w:firstLine="482" w:firstLineChars="200"/>
        <w:rPr>
          <w:rFonts w:hAnsi="宋体" w:cs="宋体"/>
          <w:snapToGrid w:val="0"/>
          <w:color w:val="auto"/>
          <w:kern w:val="0"/>
          <w:szCs w:val="24"/>
        </w:rPr>
      </w:pPr>
      <w:r>
        <w:rPr>
          <w:rFonts w:hint="eastAsia" w:hAnsi="宋体" w:cs="宋体"/>
          <w:b/>
          <w:bCs/>
          <w:snapToGrid w:val="0"/>
          <w:color w:val="auto"/>
          <w:kern w:val="0"/>
          <w:szCs w:val="24"/>
        </w:rPr>
        <w:t>3.5</w:t>
      </w:r>
      <w:r>
        <w:rPr>
          <w:rFonts w:hint="eastAsia" w:hAnsi="宋体" w:cs="宋体"/>
          <w:snapToGrid w:val="0"/>
          <w:color w:val="auto"/>
          <w:kern w:val="0"/>
          <w:szCs w:val="24"/>
        </w:rPr>
        <w:t xml:space="preserve"> 项目通过竣工验收之日后28天内，</w:t>
      </w:r>
      <w:r>
        <w:rPr>
          <w:rFonts w:hint="eastAsia" w:hAnsi="宋体" w:cs="宋体"/>
          <w:snapToGrid w:val="0"/>
          <w:color w:val="auto"/>
          <w:kern w:val="0"/>
          <w:szCs w:val="24"/>
          <w:lang w:eastAsia="zh-CN"/>
        </w:rPr>
        <w:t>委托人</w:t>
      </w:r>
      <w:r>
        <w:rPr>
          <w:rFonts w:hint="eastAsia" w:hAnsi="宋体" w:cs="宋体"/>
          <w:snapToGrid w:val="0"/>
          <w:color w:val="auto"/>
          <w:kern w:val="0"/>
          <w:szCs w:val="24"/>
        </w:rPr>
        <w:t>将履约保证退还给监理人。</w:t>
      </w:r>
    </w:p>
    <w:p w14:paraId="5865B68F">
      <w:pPr>
        <w:wordWrap w:val="0"/>
        <w:adjustRightInd w:val="0"/>
        <w:snapToGrid w:val="0"/>
        <w:spacing w:line="440" w:lineRule="exact"/>
        <w:ind w:firstLine="482" w:firstLineChars="200"/>
        <w:outlineLvl w:val="1"/>
        <w:rPr>
          <w:rFonts w:hAnsi="宋体" w:cs="宋体"/>
          <w:b/>
          <w:bCs/>
          <w:snapToGrid w:val="0"/>
          <w:color w:val="auto"/>
          <w:kern w:val="0"/>
          <w:szCs w:val="24"/>
        </w:rPr>
      </w:pPr>
      <w:bookmarkStart w:id="93" w:name="_Toc20923"/>
      <w:bookmarkStart w:id="94" w:name="_Toc16211"/>
      <w:bookmarkStart w:id="95" w:name="_Toc25367"/>
      <w:bookmarkStart w:id="96" w:name="_Toc22628"/>
      <w:r>
        <w:rPr>
          <w:rFonts w:hint="eastAsia" w:hAnsi="宋体" w:cs="宋体"/>
          <w:b/>
          <w:bCs/>
          <w:snapToGrid w:val="0"/>
          <w:color w:val="auto"/>
          <w:kern w:val="0"/>
          <w:szCs w:val="24"/>
        </w:rPr>
        <w:t>4．合同订立</w:t>
      </w:r>
      <w:bookmarkEnd w:id="93"/>
      <w:bookmarkEnd w:id="94"/>
      <w:bookmarkEnd w:id="95"/>
      <w:bookmarkEnd w:id="96"/>
    </w:p>
    <w:p w14:paraId="52D38404">
      <w:pPr>
        <w:wordWrap w:val="0"/>
        <w:adjustRightInd w:val="0"/>
        <w:snapToGrid w:val="0"/>
        <w:spacing w:line="440" w:lineRule="exact"/>
        <w:ind w:firstLine="482" w:firstLineChars="200"/>
        <w:rPr>
          <w:rFonts w:hAnsi="宋体" w:cs="宋体"/>
          <w:snapToGrid w:val="0"/>
          <w:color w:val="auto"/>
          <w:kern w:val="0"/>
          <w:szCs w:val="24"/>
        </w:rPr>
      </w:pPr>
      <w:r>
        <w:rPr>
          <w:rFonts w:hint="eastAsia" w:hAnsi="宋体" w:cs="宋体"/>
          <w:b/>
          <w:bCs/>
          <w:snapToGrid w:val="0"/>
          <w:color w:val="auto"/>
          <w:kern w:val="0"/>
          <w:szCs w:val="24"/>
        </w:rPr>
        <w:t>4.1</w:t>
      </w:r>
      <w:r>
        <w:rPr>
          <w:rFonts w:hint="eastAsia" w:hAnsi="宋体" w:cs="宋体"/>
          <w:snapToGrid w:val="0"/>
          <w:color w:val="auto"/>
          <w:kern w:val="0"/>
          <w:szCs w:val="24"/>
        </w:rPr>
        <w:t xml:space="preserve"> 招标人应当自中标通知书发出之日起</w:t>
      </w:r>
      <w:r>
        <w:rPr>
          <w:rFonts w:hint="eastAsia" w:hAnsi="宋体" w:cs="宋体"/>
          <w:snapToGrid w:val="0"/>
          <w:color w:val="auto"/>
          <w:kern w:val="0"/>
          <w:szCs w:val="24"/>
          <w:u w:val="single"/>
        </w:rPr>
        <w:t xml:space="preserve"> 30 </w:t>
      </w:r>
      <w:r>
        <w:rPr>
          <w:rFonts w:hint="eastAsia" w:hAnsi="宋体" w:cs="宋体"/>
          <w:snapToGrid w:val="0"/>
          <w:color w:val="auto"/>
          <w:kern w:val="0"/>
          <w:szCs w:val="24"/>
        </w:rPr>
        <w:t>日内，按照招标文件、中标人的投标文件与中标人订立书面合同。</w:t>
      </w:r>
    </w:p>
    <w:p w14:paraId="3AEA42B6">
      <w:pPr>
        <w:wordWrap w:val="0"/>
        <w:adjustRightInd w:val="0"/>
        <w:snapToGrid w:val="0"/>
        <w:spacing w:line="440" w:lineRule="exact"/>
        <w:ind w:firstLine="482" w:firstLineChars="200"/>
        <w:rPr>
          <w:rFonts w:hAnsi="宋体" w:cs="宋体"/>
          <w:snapToGrid w:val="0"/>
          <w:color w:val="auto"/>
          <w:kern w:val="0"/>
          <w:szCs w:val="24"/>
        </w:rPr>
      </w:pPr>
      <w:r>
        <w:rPr>
          <w:rFonts w:hint="eastAsia" w:hAnsi="宋体" w:cs="宋体"/>
          <w:b/>
          <w:bCs/>
          <w:snapToGrid w:val="0"/>
          <w:color w:val="auto"/>
          <w:kern w:val="0"/>
          <w:szCs w:val="24"/>
        </w:rPr>
        <w:t>4.2</w:t>
      </w:r>
      <w:r>
        <w:rPr>
          <w:rFonts w:hint="eastAsia" w:hAnsi="宋体" w:cs="宋体"/>
          <w:snapToGrid w:val="0"/>
          <w:color w:val="auto"/>
          <w:kern w:val="0"/>
          <w:szCs w:val="24"/>
        </w:rPr>
        <w:t xml:space="preserve"> 合同的标的、质量、履行期限条款和合同的价款、风险分担等主要条款，应当与招标文件、中标人的投标文件的内容一致。中标人在签订合同时不得向招标人提出附加条件。</w:t>
      </w:r>
    </w:p>
    <w:p w14:paraId="2DB18717">
      <w:pPr>
        <w:wordWrap w:val="0"/>
        <w:adjustRightInd w:val="0"/>
        <w:snapToGrid w:val="0"/>
        <w:spacing w:line="440" w:lineRule="exact"/>
        <w:ind w:firstLine="482" w:firstLineChars="200"/>
        <w:rPr>
          <w:rFonts w:hAnsi="宋体" w:cs="宋体"/>
          <w:snapToGrid w:val="0"/>
          <w:color w:val="auto"/>
          <w:kern w:val="0"/>
          <w:szCs w:val="24"/>
        </w:rPr>
      </w:pPr>
      <w:r>
        <w:rPr>
          <w:rFonts w:hint="eastAsia" w:hAnsi="宋体" w:cs="宋体"/>
          <w:b/>
          <w:bCs/>
          <w:snapToGrid w:val="0"/>
          <w:color w:val="auto"/>
          <w:kern w:val="0"/>
          <w:szCs w:val="24"/>
        </w:rPr>
        <w:t>4.3</w:t>
      </w:r>
      <w:r>
        <w:rPr>
          <w:rFonts w:hint="eastAsia" w:hAnsi="宋体" w:cs="宋体"/>
          <w:snapToGrid w:val="0"/>
          <w:color w:val="auto"/>
          <w:kern w:val="0"/>
          <w:szCs w:val="24"/>
        </w:rPr>
        <w:t xml:space="preserve"> 若中标人在领取中标通知书之日起30天内仍未签订合同，招标人发出第一次提醒函；在领取中标通知书之日起40天内仍未签订，招标人发出第二次提醒函；在领取中标通知书之日起45天内仍未签订，视其放弃中标。</w:t>
      </w:r>
    </w:p>
    <w:p w14:paraId="08D7CC54">
      <w:pPr>
        <w:wordWrap w:val="0"/>
        <w:adjustRightInd w:val="0"/>
        <w:snapToGrid w:val="0"/>
        <w:spacing w:line="440" w:lineRule="exact"/>
        <w:ind w:firstLine="482" w:firstLineChars="200"/>
        <w:rPr>
          <w:rFonts w:hAnsi="宋体" w:cs="宋体"/>
          <w:snapToGrid w:val="0"/>
          <w:color w:val="auto"/>
          <w:kern w:val="0"/>
          <w:szCs w:val="24"/>
        </w:rPr>
      </w:pPr>
      <w:r>
        <w:rPr>
          <w:rFonts w:hint="eastAsia" w:hAnsi="宋体" w:cs="宋体"/>
          <w:b/>
          <w:bCs/>
          <w:snapToGrid w:val="0"/>
          <w:color w:val="auto"/>
          <w:kern w:val="0"/>
          <w:szCs w:val="24"/>
        </w:rPr>
        <w:t>4.4</w:t>
      </w:r>
      <w:r>
        <w:rPr>
          <w:rFonts w:hint="eastAsia" w:hAnsi="宋体" w:cs="宋体"/>
          <w:snapToGrid w:val="0"/>
          <w:color w:val="auto"/>
          <w:kern w:val="0"/>
          <w:szCs w:val="24"/>
        </w:rPr>
        <w:t xml:space="preserve"> 在书面合同订立之日起2个工作日内，由中标人或招标代理机构将合同上传至建设工程交易系统，并发起退还投标保证的申请。韶关市公共资源交易中心在收到申请之日起3个工作日内，将投标保证金退还给中标人和其他中标候选人。</w:t>
      </w:r>
    </w:p>
    <w:p w14:paraId="34127BB8">
      <w:pPr>
        <w:wordWrap w:val="0"/>
        <w:adjustRightInd w:val="0"/>
        <w:snapToGrid w:val="0"/>
        <w:spacing w:line="440" w:lineRule="exact"/>
        <w:ind w:firstLine="482" w:firstLineChars="200"/>
        <w:outlineLvl w:val="1"/>
        <w:rPr>
          <w:rFonts w:hAnsi="宋体" w:cs="宋体"/>
          <w:snapToGrid w:val="0"/>
          <w:color w:val="auto"/>
          <w:kern w:val="0"/>
          <w:szCs w:val="24"/>
        </w:rPr>
      </w:pPr>
      <w:bookmarkStart w:id="97" w:name="_Toc6741"/>
      <w:bookmarkStart w:id="98" w:name="_Toc11598"/>
      <w:bookmarkStart w:id="99" w:name="_Toc25887"/>
      <w:bookmarkStart w:id="100" w:name="_Toc3858"/>
      <w:r>
        <w:rPr>
          <w:rFonts w:hint="eastAsia" w:hAnsi="宋体" w:cs="宋体"/>
          <w:b/>
          <w:bCs/>
          <w:snapToGrid w:val="0"/>
          <w:color w:val="auto"/>
          <w:kern w:val="0"/>
          <w:szCs w:val="24"/>
        </w:rPr>
        <w:t>5．放弃中标的处理</w:t>
      </w:r>
      <w:bookmarkEnd w:id="97"/>
      <w:bookmarkEnd w:id="98"/>
      <w:bookmarkEnd w:id="99"/>
      <w:bookmarkEnd w:id="100"/>
    </w:p>
    <w:p w14:paraId="4F6D890B">
      <w:pPr>
        <w:wordWrap w:val="0"/>
        <w:adjustRightInd w:val="0"/>
        <w:snapToGrid w:val="0"/>
        <w:spacing w:line="440" w:lineRule="exact"/>
        <w:ind w:firstLine="482" w:firstLineChars="200"/>
        <w:rPr>
          <w:rFonts w:hAnsi="宋体" w:cs="宋体"/>
          <w:snapToGrid w:val="0"/>
          <w:color w:val="auto"/>
          <w:kern w:val="0"/>
          <w:szCs w:val="24"/>
        </w:rPr>
      </w:pPr>
      <w:r>
        <w:rPr>
          <w:rFonts w:hint="eastAsia" w:hAnsi="宋体" w:cs="宋体"/>
          <w:b/>
          <w:bCs/>
          <w:snapToGrid w:val="0"/>
          <w:color w:val="auto"/>
          <w:kern w:val="0"/>
          <w:szCs w:val="24"/>
        </w:rPr>
        <w:t>5.1</w:t>
      </w:r>
      <w:r>
        <w:rPr>
          <w:rFonts w:hint="eastAsia" w:hAnsi="宋体" w:cs="宋体"/>
          <w:snapToGrid w:val="0"/>
          <w:color w:val="auto"/>
          <w:kern w:val="0"/>
          <w:szCs w:val="24"/>
        </w:rPr>
        <w:t xml:space="preserve"> 中标人无正当理由放弃中标的，取消其中标资格，其投标保证不予退还，给招标人造成的损失超过投标保证金额的，弃标人还应当对超过部分予以赔偿。招标人可按照评标委员会提出的中标候选人名单排序依次确定其他中标候选人为中标人，如果招标人认为其他中标候选人的条件明显不利于招标人的，也可以重新招标。因此种情况造成招标人重新招标的，招标人可不接受该弃标人再次投标。同时，招标人应将该弃标人的失信行为向行政监督部门报告。</w:t>
      </w:r>
    </w:p>
    <w:p w14:paraId="64FD7619">
      <w:pPr>
        <w:wordWrap w:val="0"/>
        <w:adjustRightInd w:val="0"/>
        <w:snapToGrid w:val="0"/>
        <w:spacing w:line="440" w:lineRule="exact"/>
        <w:ind w:firstLine="482" w:firstLineChars="200"/>
        <w:rPr>
          <w:rFonts w:hAnsi="宋体" w:cs="宋体"/>
          <w:snapToGrid w:val="0"/>
          <w:color w:val="auto"/>
          <w:kern w:val="0"/>
          <w:szCs w:val="24"/>
        </w:rPr>
      </w:pPr>
      <w:r>
        <w:rPr>
          <w:rFonts w:hint="eastAsia" w:hAnsi="宋体" w:cs="宋体"/>
          <w:b/>
          <w:bCs/>
          <w:snapToGrid w:val="0"/>
          <w:color w:val="auto"/>
          <w:kern w:val="0"/>
          <w:szCs w:val="24"/>
        </w:rPr>
        <w:t>5.2</w:t>
      </w:r>
      <w:r>
        <w:rPr>
          <w:rFonts w:hint="eastAsia" w:hAnsi="宋体" w:cs="宋体"/>
          <w:snapToGrid w:val="0"/>
          <w:color w:val="auto"/>
          <w:kern w:val="0"/>
          <w:szCs w:val="24"/>
        </w:rPr>
        <w:t xml:space="preserve"> 中标人因不可抗力提出不能履行合同的，须在领取中标通知书之日起10天内提供有关证明文件或资料，其投标保证予以退还，招标人可按照评标委员会提出的中标候选人名单排序依次确定其他中标候选人为中标人。如果招标人认为其他中标候选人的条件明显不利于招标人的，也可以重新招标。</w:t>
      </w:r>
    </w:p>
    <w:p w14:paraId="3AE71316">
      <w:pPr>
        <w:wordWrap w:val="0"/>
        <w:adjustRightInd w:val="0"/>
        <w:snapToGrid w:val="0"/>
        <w:spacing w:line="440" w:lineRule="exact"/>
        <w:ind w:firstLine="482" w:firstLineChars="200"/>
        <w:outlineLvl w:val="1"/>
        <w:rPr>
          <w:rFonts w:hAnsi="宋体" w:cs="宋体"/>
          <w:snapToGrid w:val="0"/>
          <w:color w:val="auto"/>
          <w:kern w:val="0"/>
          <w:szCs w:val="24"/>
        </w:rPr>
      </w:pPr>
      <w:bookmarkStart w:id="101" w:name="_Toc8282"/>
      <w:bookmarkStart w:id="102" w:name="_Toc500"/>
      <w:bookmarkStart w:id="103" w:name="_Toc15893"/>
      <w:bookmarkStart w:id="104" w:name="_Toc26352"/>
      <w:r>
        <w:rPr>
          <w:rFonts w:hint="eastAsia" w:hAnsi="宋体" w:cs="宋体"/>
          <w:b/>
          <w:bCs/>
          <w:snapToGrid w:val="0"/>
          <w:color w:val="auto"/>
          <w:kern w:val="0"/>
          <w:szCs w:val="24"/>
        </w:rPr>
        <w:t>6．分包</w:t>
      </w:r>
      <w:bookmarkEnd w:id="101"/>
      <w:bookmarkEnd w:id="102"/>
      <w:bookmarkEnd w:id="103"/>
      <w:bookmarkEnd w:id="104"/>
    </w:p>
    <w:p w14:paraId="6FD22F12">
      <w:pPr>
        <w:wordWrap w:val="0"/>
        <w:adjustRightInd w:val="0"/>
        <w:snapToGrid w:val="0"/>
        <w:spacing w:line="440" w:lineRule="exact"/>
        <w:ind w:firstLine="480" w:firstLineChars="200"/>
        <w:rPr>
          <w:rFonts w:hAnsi="宋体" w:cs="宋体"/>
          <w:snapToGrid w:val="0"/>
          <w:color w:val="auto"/>
          <w:kern w:val="0"/>
          <w:szCs w:val="24"/>
        </w:rPr>
      </w:pPr>
      <w:r>
        <w:rPr>
          <w:rFonts w:hint="eastAsia" w:hAnsi="宋体" w:cs="宋体"/>
          <w:snapToGrid w:val="0"/>
          <w:color w:val="auto"/>
          <w:kern w:val="0"/>
          <w:szCs w:val="24"/>
        </w:rPr>
        <w:t>合同范围内的监理服务严禁分包，一经发现，委托人有权解除合同，由此引起的一切经济损失和法律责任由监理人自行承担。</w:t>
      </w:r>
    </w:p>
    <w:p w14:paraId="132DBB2E">
      <w:pPr>
        <w:wordWrap w:val="0"/>
        <w:adjustRightInd w:val="0"/>
        <w:snapToGrid w:val="0"/>
        <w:spacing w:line="440" w:lineRule="exact"/>
        <w:ind w:firstLine="482" w:firstLineChars="200"/>
        <w:outlineLvl w:val="1"/>
        <w:rPr>
          <w:rFonts w:hAnsi="宋体" w:cs="宋体"/>
          <w:snapToGrid w:val="0"/>
          <w:color w:val="auto"/>
          <w:kern w:val="0"/>
          <w:szCs w:val="24"/>
        </w:rPr>
      </w:pPr>
      <w:bookmarkStart w:id="105" w:name="_Toc24081"/>
      <w:bookmarkStart w:id="106" w:name="_Toc8110"/>
      <w:bookmarkStart w:id="107" w:name="_Toc31267"/>
      <w:bookmarkStart w:id="108" w:name="_Toc15764"/>
      <w:r>
        <w:rPr>
          <w:rFonts w:hint="eastAsia" w:hAnsi="宋体" w:cs="宋体"/>
          <w:b/>
          <w:bCs/>
          <w:snapToGrid w:val="0"/>
          <w:color w:val="auto"/>
          <w:kern w:val="0"/>
          <w:szCs w:val="24"/>
        </w:rPr>
        <w:t>7．诚信登记</w:t>
      </w:r>
      <w:bookmarkEnd w:id="105"/>
      <w:bookmarkEnd w:id="106"/>
      <w:bookmarkEnd w:id="107"/>
      <w:bookmarkEnd w:id="108"/>
    </w:p>
    <w:p w14:paraId="7EAF27B8">
      <w:pPr>
        <w:wordWrap w:val="0"/>
        <w:adjustRightInd w:val="0"/>
        <w:snapToGrid w:val="0"/>
        <w:spacing w:line="440" w:lineRule="exact"/>
        <w:ind w:firstLine="480" w:firstLineChars="200"/>
        <w:rPr>
          <w:rFonts w:hAnsi="宋体" w:cs="宋体"/>
          <w:snapToGrid w:val="0"/>
          <w:color w:val="auto"/>
          <w:kern w:val="0"/>
          <w:szCs w:val="24"/>
        </w:rPr>
      </w:pPr>
      <w:r>
        <w:rPr>
          <w:rFonts w:hint="eastAsia" w:hAnsi="宋体" w:cs="宋体"/>
          <w:snapToGrid w:val="0"/>
          <w:color w:val="auto"/>
          <w:kern w:val="0"/>
          <w:szCs w:val="24"/>
        </w:rPr>
        <w:t>按韶关市住房和城乡建设管理局的有关规定执行。</w:t>
      </w:r>
    </w:p>
    <w:p w14:paraId="7A5A45A0">
      <w:pPr>
        <w:wordWrap w:val="0"/>
        <w:adjustRightInd w:val="0"/>
        <w:snapToGrid w:val="0"/>
        <w:spacing w:line="440" w:lineRule="exact"/>
        <w:ind w:firstLine="482" w:firstLineChars="200"/>
        <w:outlineLvl w:val="1"/>
        <w:rPr>
          <w:rFonts w:hAnsi="宋体" w:cs="宋体"/>
          <w:b/>
          <w:bCs/>
          <w:snapToGrid w:val="0"/>
          <w:color w:val="auto"/>
          <w:kern w:val="0"/>
          <w:szCs w:val="24"/>
        </w:rPr>
      </w:pPr>
      <w:bookmarkStart w:id="109" w:name="_Toc18249"/>
      <w:bookmarkStart w:id="110" w:name="_Toc19761"/>
      <w:bookmarkStart w:id="111" w:name="_Toc17560"/>
      <w:bookmarkStart w:id="112" w:name="_Toc2527"/>
      <w:r>
        <w:rPr>
          <w:rFonts w:hint="eastAsia" w:hAnsi="宋体" w:cs="宋体"/>
          <w:b/>
          <w:bCs/>
          <w:snapToGrid w:val="0"/>
          <w:color w:val="auto"/>
          <w:kern w:val="0"/>
          <w:szCs w:val="24"/>
        </w:rPr>
        <w:t>8．监理服务期限</w:t>
      </w:r>
      <w:bookmarkEnd w:id="109"/>
      <w:bookmarkEnd w:id="110"/>
      <w:bookmarkEnd w:id="111"/>
      <w:bookmarkEnd w:id="112"/>
    </w:p>
    <w:p w14:paraId="12CC081B">
      <w:pPr>
        <w:wordWrap w:val="0"/>
        <w:adjustRightInd w:val="0"/>
        <w:snapToGrid w:val="0"/>
        <w:spacing w:line="440" w:lineRule="exact"/>
        <w:ind w:firstLine="482" w:firstLineChars="200"/>
        <w:rPr>
          <w:rFonts w:hAnsi="宋体" w:cs="宋体"/>
          <w:snapToGrid w:val="0"/>
          <w:color w:val="auto"/>
          <w:kern w:val="0"/>
          <w:szCs w:val="24"/>
        </w:rPr>
      </w:pPr>
      <w:r>
        <w:rPr>
          <w:rFonts w:hint="eastAsia" w:hAnsi="宋体" w:cs="宋体"/>
          <w:b/>
          <w:bCs/>
          <w:snapToGrid w:val="0"/>
          <w:color w:val="auto"/>
          <w:kern w:val="0"/>
          <w:szCs w:val="24"/>
        </w:rPr>
        <w:t>8.1</w:t>
      </w:r>
      <w:r>
        <w:rPr>
          <w:rFonts w:hint="eastAsia" w:hAnsi="宋体" w:cs="宋体"/>
          <w:snapToGrid w:val="0"/>
          <w:color w:val="auto"/>
          <w:kern w:val="0"/>
          <w:szCs w:val="24"/>
        </w:rPr>
        <w:t xml:space="preserve"> 当满足专用合同条款约定的开始监理条件时，委托人应提前7天向监理人发出开始监理通知。监理服务期限自开始监理通知中载明的开始监理日期起计算。</w:t>
      </w:r>
    </w:p>
    <w:p w14:paraId="3F6E5C01">
      <w:pPr>
        <w:wordWrap w:val="0"/>
        <w:adjustRightInd w:val="0"/>
        <w:snapToGrid w:val="0"/>
        <w:spacing w:line="440" w:lineRule="exact"/>
        <w:ind w:firstLine="482" w:firstLineChars="200"/>
        <w:rPr>
          <w:rFonts w:hAnsi="宋体" w:cs="宋体"/>
          <w:snapToGrid w:val="0"/>
          <w:color w:val="auto"/>
          <w:kern w:val="0"/>
          <w:szCs w:val="24"/>
        </w:rPr>
      </w:pPr>
      <w:r>
        <w:rPr>
          <w:rFonts w:hint="eastAsia" w:hAnsi="宋体" w:cs="宋体"/>
          <w:b/>
          <w:bCs/>
          <w:snapToGrid w:val="0"/>
          <w:color w:val="auto"/>
          <w:kern w:val="0"/>
          <w:szCs w:val="24"/>
        </w:rPr>
        <w:t>8.2</w:t>
      </w:r>
      <w:r>
        <w:rPr>
          <w:rFonts w:hint="eastAsia" w:hAnsi="宋体" w:cs="宋体"/>
          <w:snapToGrid w:val="0"/>
          <w:color w:val="auto"/>
          <w:kern w:val="0"/>
          <w:szCs w:val="24"/>
        </w:rPr>
        <w:t xml:space="preserve"> 在合同履行过程中，由于下列原因造成监理服务期限延误的，委托人应当延长监理服务期限并增加监理酬金，具体方法在专用合同条款中约定。</w:t>
      </w:r>
    </w:p>
    <w:p w14:paraId="78DCFCD4">
      <w:pPr>
        <w:wordWrap w:val="0"/>
        <w:adjustRightInd w:val="0"/>
        <w:snapToGrid w:val="0"/>
        <w:spacing w:line="440" w:lineRule="exact"/>
        <w:ind w:firstLine="480" w:firstLineChars="200"/>
        <w:rPr>
          <w:rFonts w:hAnsi="宋体" w:cs="宋体"/>
          <w:snapToGrid w:val="0"/>
          <w:color w:val="auto"/>
          <w:kern w:val="0"/>
          <w:szCs w:val="24"/>
        </w:rPr>
      </w:pPr>
      <w:r>
        <w:rPr>
          <w:rFonts w:hint="eastAsia" w:hAnsi="宋体" w:cs="宋体"/>
          <w:snapToGrid w:val="0"/>
          <w:color w:val="auto"/>
          <w:kern w:val="0"/>
          <w:szCs w:val="24"/>
        </w:rPr>
        <w:t>（1）合同变更；</w:t>
      </w:r>
    </w:p>
    <w:p w14:paraId="7A1A6448">
      <w:pPr>
        <w:wordWrap w:val="0"/>
        <w:adjustRightInd w:val="0"/>
        <w:snapToGrid w:val="0"/>
        <w:spacing w:line="440" w:lineRule="exact"/>
        <w:ind w:firstLine="480" w:firstLineChars="200"/>
        <w:rPr>
          <w:rFonts w:hAnsi="宋体" w:cs="宋体"/>
          <w:snapToGrid w:val="0"/>
          <w:color w:val="auto"/>
          <w:kern w:val="0"/>
          <w:szCs w:val="24"/>
        </w:rPr>
      </w:pPr>
      <w:r>
        <w:rPr>
          <w:rFonts w:hint="eastAsia" w:hAnsi="宋体" w:cs="宋体"/>
          <w:snapToGrid w:val="0"/>
          <w:color w:val="auto"/>
          <w:kern w:val="0"/>
          <w:szCs w:val="24"/>
        </w:rPr>
        <w:t>（2）因委托人原因导致的监理工作暂停；</w:t>
      </w:r>
    </w:p>
    <w:p w14:paraId="1EF1FE88">
      <w:pPr>
        <w:wordWrap w:val="0"/>
        <w:adjustRightInd w:val="0"/>
        <w:snapToGrid w:val="0"/>
        <w:spacing w:line="440" w:lineRule="exact"/>
        <w:ind w:firstLine="480" w:firstLineChars="200"/>
        <w:rPr>
          <w:rFonts w:hAnsi="宋体" w:cs="宋体"/>
          <w:snapToGrid w:val="0"/>
          <w:color w:val="auto"/>
          <w:kern w:val="0"/>
          <w:szCs w:val="24"/>
        </w:rPr>
      </w:pPr>
      <w:r>
        <w:rPr>
          <w:rFonts w:hint="eastAsia" w:hAnsi="宋体" w:cs="宋体"/>
          <w:snapToGrid w:val="0"/>
          <w:color w:val="auto"/>
          <w:kern w:val="0"/>
          <w:szCs w:val="24"/>
        </w:rPr>
        <w:t>（3）未按合同约定及时支付监理服务酬金；</w:t>
      </w:r>
    </w:p>
    <w:p w14:paraId="7A1A88CD">
      <w:pPr>
        <w:wordWrap w:val="0"/>
        <w:adjustRightInd w:val="0"/>
        <w:snapToGrid w:val="0"/>
        <w:spacing w:line="440" w:lineRule="exact"/>
        <w:ind w:firstLine="480" w:firstLineChars="200"/>
        <w:rPr>
          <w:rFonts w:hAnsi="宋体" w:cs="宋体"/>
          <w:snapToGrid w:val="0"/>
          <w:color w:val="auto"/>
          <w:kern w:val="0"/>
          <w:szCs w:val="24"/>
        </w:rPr>
      </w:pPr>
      <w:r>
        <w:rPr>
          <w:rFonts w:hint="eastAsia" w:hAnsi="宋体" w:cs="宋体"/>
          <w:snapToGrid w:val="0"/>
          <w:color w:val="auto"/>
          <w:kern w:val="0"/>
          <w:szCs w:val="24"/>
        </w:rPr>
        <w:t>（4）未及时履行合同约定的相关义务；</w:t>
      </w:r>
    </w:p>
    <w:p w14:paraId="0871267D">
      <w:pPr>
        <w:wordWrap w:val="0"/>
        <w:adjustRightInd w:val="0"/>
        <w:snapToGrid w:val="0"/>
        <w:spacing w:line="440" w:lineRule="exact"/>
        <w:ind w:firstLine="480" w:firstLineChars="200"/>
        <w:rPr>
          <w:rFonts w:hAnsi="宋体" w:cs="宋体"/>
          <w:snapToGrid w:val="0"/>
          <w:color w:val="auto"/>
          <w:kern w:val="0"/>
          <w:szCs w:val="24"/>
        </w:rPr>
      </w:pPr>
      <w:r>
        <w:rPr>
          <w:rFonts w:hint="eastAsia" w:hAnsi="宋体" w:cs="宋体"/>
          <w:snapToGrid w:val="0"/>
          <w:color w:val="auto"/>
          <w:kern w:val="0"/>
          <w:szCs w:val="24"/>
        </w:rPr>
        <w:t>（5）由于承包人（指在本招标项目监理范围内，与委托人签订勘察、设计、施工承包合同的当事人，下同）延误、行政管理造成的监理服务期限延误；</w:t>
      </w:r>
    </w:p>
    <w:p w14:paraId="4D57C73B">
      <w:pPr>
        <w:wordWrap w:val="0"/>
        <w:adjustRightInd w:val="0"/>
        <w:snapToGrid w:val="0"/>
        <w:spacing w:line="440" w:lineRule="exact"/>
        <w:ind w:firstLine="480" w:firstLineChars="200"/>
        <w:rPr>
          <w:rFonts w:hAnsi="宋体" w:cs="宋体"/>
          <w:snapToGrid w:val="0"/>
          <w:color w:val="auto"/>
          <w:kern w:val="0"/>
          <w:szCs w:val="24"/>
        </w:rPr>
      </w:pPr>
      <w:r>
        <w:rPr>
          <w:rFonts w:hint="eastAsia" w:hAnsi="宋体" w:cs="宋体"/>
          <w:snapToGrid w:val="0"/>
          <w:color w:val="auto"/>
          <w:kern w:val="0"/>
          <w:szCs w:val="24"/>
        </w:rPr>
        <w:t>（6）造成监理服务期限延误的其他原因。</w:t>
      </w:r>
    </w:p>
    <w:p w14:paraId="1D53F2BC">
      <w:pPr>
        <w:wordWrap w:val="0"/>
        <w:adjustRightInd w:val="0"/>
        <w:snapToGrid w:val="0"/>
        <w:spacing w:line="440" w:lineRule="exact"/>
        <w:ind w:firstLine="482" w:firstLineChars="200"/>
        <w:outlineLvl w:val="1"/>
        <w:rPr>
          <w:rFonts w:hAnsi="宋体" w:cs="宋体"/>
          <w:snapToGrid w:val="0"/>
          <w:color w:val="auto"/>
          <w:kern w:val="0"/>
          <w:szCs w:val="24"/>
        </w:rPr>
      </w:pPr>
      <w:bookmarkStart w:id="113" w:name="_Toc6532"/>
      <w:bookmarkStart w:id="114" w:name="_Toc13195"/>
      <w:bookmarkStart w:id="115" w:name="_Toc25479"/>
      <w:bookmarkStart w:id="116" w:name="_Toc17664"/>
      <w:r>
        <w:rPr>
          <w:rFonts w:hint="eastAsia" w:hAnsi="宋体" w:cs="宋体"/>
          <w:b/>
          <w:bCs/>
          <w:snapToGrid w:val="0"/>
          <w:color w:val="auto"/>
          <w:kern w:val="0"/>
          <w:szCs w:val="24"/>
        </w:rPr>
        <w:t>9．项目监理机构</w:t>
      </w:r>
      <w:bookmarkEnd w:id="113"/>
      <w:bookmarkEnd w:id="114"/>
      <w:bookmarkEnd w:id="115"/>
      <w:bookmarkEnd w:id="116"/>
    </w:p>
    <w:p w14:paraId="45D70685">
      <w:pPr>
        <w:wordWrap w:val="0"/>
        <w:adjustRightInd w:val="0"/>
        <w:snapToGrid w:val="0"/>
        <w:spacing w:line="440" w:lineRule="exact"/>
        <w:ind w:firstLine="482" w:firstLineChars="200"/>
        <w:rPr>
          <w:rFonts w:hAnsi="宋体" w:cs="宋体"/>
          <w:snapToGrid w:val="0"/>
          <w:color w:val="auto"/>
          <w:kern w:val="0"/>
          <w:szCs w:val="24"/>
        </w:rPr>
      </w:pPr>
      <w:r>
        <w:rPr>
          <w:rFonts w:hint="eastAsia" w:hAnsi="宋体" w:cs="宋体"/>
          <w:b/>
          <w:bCs/>
          <w:snapToGrid w:val="0"/>
          <w:color w:val="auto"/>
          <w:kern w:val="0"/>
          <w:szCs w:val="24"/>
        </w:rPr>
        <w:t>9.1</w:t>
      </w:r>
      <w:r>
        <w:rPr>
          <w:rFonts w:hint="eastAsia" w:hAnsi="宋体" w:cs="宋体"/>
          <w:snapToGrid w:val="0"/>
          <w:color w:val="auto"/>
          <w:kern w:val="0"/>
          <w:szCs w:val="24"/>
        </w:rPr>
        <w:t xml:space="preserve"> 监理人派驻项目监理机构的人员必须为其投标文件确定的人员，否则委托人有权解除合同。</w:t>
      </w:r>
    </w:p>
    <w:p w14:paraId="704EC07D">
      <w:pPr>
        <w:wordWrap w:val="0"/>
        <w:adjustRightInd w:val="0"/>
        <w:snapToGrid w:val="0"/>
        <w:spacing w:line="440" w:lineRule="exact"/>
        <w:ind w:firstLine="560"/>
        <w:rPr>
          <w:rFonts w:hAnsi="宋体" w:cs="宋体"/>
          <w:snapToGrid w:val="0"/>
          <w:color w:val="auto"/>
          <w:kern w:val="0"/>
          <w:szCs w:val="24"/>
        </w:rPr>
      </w:pPr>
      <w:r>
        <w:rPr>
          <w:rFonts w:hint="eastAsia" w:hAnsi="宋体" w:cs="宋体"/>
          <w:b/>
          <w:bCs/>
          <w:snapToGrid w:val="0"/>
          <w:color w:val="auto"/>
          <w:kern w:val="0"/>
          <w:szCs w:val="24"/>
        </w:rPr>
        <w:t>9.2</w:t>
      </w:r>
      <w:r>
        <w:rPr>
          <w:rFonts w:hint="eastAsia" w:hAnsi="宋体" w:cs="宋体"/>
          <w:snapToGrid w:val="0"/>
          <w:color w:val="auto"/>
          <w:kern w:val="0"/>
          <w:szCs w:val="24"/>
        </w:rPr>
        <w:t xml:space="preserve"> 项目监理机构班子成员不得擅自变更。其中，总监理工程师若有《广东省住房和城乡建设厅关于建设工程项目招标中标后监督检查的办法》（粤建市〔2009〕8号，以下简称“《办法》”）第九条所述除外情形之一确需变更的，监理人应填写《建设工程项目管理班子变更情况报告表》（《办法》附件4）并附上相关证明资料，经委托人和建设行政主管部门审核同意方可变更，且更换后的总监理工程师应与监理人的投标文件所确定的原总监理工程师的主要条件一致；项目监理机构班子其他成员若有《办法》第九条所述除外情形之一确需变更的，监理人应填写《建设工程项目管理班子变更情况报告表》并附上相关证明资料，经委托人审核同意方可变更。</w:t>
      </w:r>
    </w:p>
    <w:p w14:paraId="1DB766C1">
      <w:pPr>
        <w:wordWrap w:val="0"/>
        <w:adjustRightInd w:val="0"/>
        <w:snapToGrid w:val="0"/>
        <w:spacing w:line="440" w:lineRule="exact"/>
        <w:ind w:firstLine="482" w:firstLineChars="200"/>
        <w:outlineLvl w:val="1"/>
        <w:rPr>
          <w:rFonts w:hAnsi="宋体" w:cs="宋体"/>
          <w:strike/>
          <w:snapToGrid w:val="0"/>
          <w:color w:val="auto"/>
          <w:kern w:val="0"/>
          <w:szCs w:val="24"/>
        </w:rPr>
      </w:pPr>
      <w:bookmarkStart w:id="117" w:name="_Toc23097"/>
      <w:bookmarkStart w:id="118" w:name="_Toc20861"/>
      <w:bookmarkStart w:id="119" w:name="_Toc27412"/>
      <w:bookmarkStart w:id="120" w:name="_Toc19789"/>
      <w:r>
        <w:rPr>
          <w:rFonts w:hint="eastAsia" w:hAnsi="宋体" w:cs="宋体"/>
          <w:b/>
          <w:snapToGrid w:val="0"/>
          <w:color w:val="auto"/>
          <w:kern w:val="0"/>
          <w:szCs w:val="24"/>
        </w:rPr>
        <w:t>10．安全防护</w:t>
      </w:r>
      <w:bookmarkEnd w:id="117"/>
      <w:bookmarkEnd w:id="118"/>
      <w:bookmarkEnd w:id="119"/>
      <w:bookmarkEnd w:id="120"/>
    </w:p>
    <w:p w14:paraId="660B1659">
      <w:pPr>
        <w:wordWrap w:val="0"/>
        <w:adjustRightInd w:val="0"/>
        <w:snapToGrid w:val="0"/>
        <w:spacing w:line="440" w:lineRule="exact"/>
        <w:ind w:firstLine="480" w:firstLineChars="200"/>
        <w:rPr>
          <w:rFonts w:hAnsi="宋体" w:cs="宋体"/>
          <w:snapToGrid w:val="0"/>
          <w:color w:val="auto"/>
          <w:kern w:val="0"/>
          <w:szCs w:val="24"/>
        </w:rPr>
      </w:pPr>
      <w:r>
        <w:rPr>
          <w:rFonts w:hint="eastAsia" w:hAnsi="宋体" w:cs="宋体"/>
          <w:snapToGrid w:val="0"/>
          <w:color w:val="auto"/>
          <w:kern w:val="0"/>
          <w:szCs w:val="24"/>
        </w:rPr>
        <w:t>监理人应按照安全监理有关规定，采取严格、科学的安全防护措施，确保监理人员人身安全，承担由于自身安全防护措施不力所造成的安全事故责任和发生的费用。</w:t>
      </w:r>
    </w:p>
    <w:p w14:paraId="48FBCDC7">
      <w:pPr>
        <w:wordWrap w:val="0"/>
        <w:adjustRightInd w:val="0"/>
        <w:snapToGrid w:val="0"/>
        <w:spacing w:line="440" w:lineRule="exact"/>
        <w:ind w:firstLine="482" w:firstLineChars="200"/>
        <w:outlineLvl w:val="1"/>
        <w:rPr>
          <w:rFonts w:hAnsi="宋体" w:cs="宋体"/>
          <w:strike/>
          <w:snapToGrid w:val="0"/>
          <w:color w:val="auto"/>
          <w:kern w:val="0"/>
          <w:szCs w:val="24"/>
        </w:rPr>
      </w:pPr>
      <w:bookmarkStart w:id="121" w:name="_Toc17881"/>
      <w:bookmarkStart w:id="122" w:name="_Toc1181"/>
      <w:bookmarkStart w:id="123" w:name="_Toc13413"/>
      <w:bookmarkStart w:id="124" w:name="_Toc16174"/>
      <w:r>
        <w:rPr>
          <w:rFonts w:hint="eastAsia" w:hAnsi="宋体" w:cs="宋体"/>
          <w:b/>
          <w:snapToGrid w:val="0"/>
          <w:color w:val="auto"/>
          <w:kern w:val="0"/>
          <w:szCs w:val="24"/>
        </w:rPr>
        <w:t>11．接受监督</w:t>
      </w:r>
      <w:bookmarkEnd w:id="121"/>
      <w:bookmarkEnd w:id="122"/>
      <w:bookmarkEnd w:id="123"/>
      <w:bookmarkEnd w:id="124"/>
    </w:p>
    <w:p w14:paraId="576D8130">
      <w:pPr>
        <w:wordWrap w:val="0"/>
        <w:adjustRightInd w:val="0"/>
        <w:snapToGrid w:val="0"/>
        <w:spacing w:line="440" w:lineRule="exact"/>
        <w:ind w:firstLine="480" w:firstLineChars="200"/>
        <w:rPr>
          <w:rFonts w:hAnsi="宋体" w:cs="宋体"/>
          <w:bCs/>
          <w:snapToGrid w:val="0"/>
          <w:color w:val="auto"/>
          <w:kern w:val="0"/>
          <w:szCs w:val="24"/>
        </w:rPr>
      </w:pPr>
      <w:r>
        <w:rPr>
          <w:rFonts w:hint="eastAsia" w:hAnsi="宋体" w:cs="宋体"/>
          <w:snapToGrid w:val="0"/>
          <w:color w:val="auto"/>
          <w:kern w:val="0"/>
          <w:szCs w:val="24"/>
        </w:rPr>
        <w:t>监理人应严格按照法律、法规以及</w:t>
      </w:r>
      <w:r>
        <w:rPr>
          <w:rFonts w:hint="eastAsia" w:hAnsi="宋体" w:cs="宋体"/>
          <w:bCs/>
          <w:snapToGrid w:val="0"/>
          <w:color w:val="auto"/>
          <w:kern w:val="0"/>
          <w:szCs w:val="24"/>
        </w:rPr>
        <w:t>《建设工程监理规范》（GB/T 50319—2013）有关规定实施监理，同时须</w:t>
      </w:r>
      <w:r>
        <w:rPr>
          <w:rFonts w:hint="eastAsia" w:hAnsi="宋体" w:cs="宋体"/>
          <w:snapToGrid w:val="0"/>
          <w:color w:val="auto"/>
          <w:kern w:val="0"/>
          <w:szCs w:val="24"/>
        </w:rPr>
        <w:t>服从委托人以及建设行政主管部门对监理工作全方位的监督，及时将监理大纲、监理规划、监理实施细则等监理文件报委托人审查备案。</w:t>
      </w:r>
    </w:p>
    <w:p w14:paraId="098897C3">
      <w:pPr>
        <w:wordWrap w:val="0"/>
        <w:adjustRightInd w:val="0"/>
        <w:snapToGrid w:val="0"/>
        <w:spacing w:line="440" w:lineRule="exact"/>
        <w:ind w:firstLine="560"/>
        <w:outlineLvl w:val="1"/>
        <w:rPr>
          <w:rFonts w:hAnsi="宋体" w:cs="宋体"/>
          <w:bCs/>
          <w:snapToGrid w:val="0"/>
          <w:color w:val="auto"/>
          <w:kern w:val="0"/>
          <w:szCs w:val="24"/>
        </w:rPr>
      </w:pPr>
      <w:bookmarkStart w:id="125" w:name="_Toc14327"/>
      <w:bookmarkStart w:id="126" w:name="_Toc25424"/>
      <w:bookmarkStart w:id="127" w:name="_Toc4730"/>
      <w:bookmarkStart w:id="128" w:name="_Toc18397"/>
      <w:r>
        <w:rPr>
          <w:rFonts w:hint="eastAsia" w:hAnsi="宋体" w:cs="宋体"/>
          <w:b/>
          <w:snapToGrid w:val="0"/>
          <w:color w:val="auto"/>
          <w:kern w:val="0"/>
          <w:szCs w:val="24"/>
        </w:rPr>
        <w:t>12．监理档案移交</w:t>
      </w:r>
      <w:bookmarkEnd w:id="125"/>
      <w:bookmarkEnd w:id="126"/>
      <w:bookmarkEnd w:id="127"/>
      <w:bookmarkEnd w:id="128"/>
    </w:p>
    <w:p w14:paraId="68FAB745">
      <w:pPr>
        <w:wordWrap w:val="0"/>
        <w:adjustRightInd w:val="0"/>
        <w:snapToGrid w:val="0"/>
        <w:spacing w:line="440" w:lineRule="exact"/>
        <w:ind w:firstLine="560"/>
        <w:rPr>
          <w:rFonts w:hAnsi="宋体" w:cs="宋体"/>
          <w:bCs/>
          <w:snapToGrid w:val="0"/>
          <w:color w:val="auto"/>
          <w:kern w:val="0"/>
          <w:szCs w:val="24"/>
        </w:rPr>
      </w:pPr>
      <w:r>
        <w:rPr>
          <w:rFonts w:hint="eastAsia" w:hAnsi="宋体" w:cs="宋体"/>
          <w:bCs/>
          <w:snapToGrid w:val="0"/>
          <w:color w:val="auto"/>
          <w:kern w:val="0"/>
          <w:szCs w:val="24"/>
        </w:rPr>
        <w:t>项目竣工验收后，监理人应向委托人提交一式</w:t>
      </w:r>
      <w:r>
        <w:rPr>
          <w:rFonts w:hint="eastAsia" w:hAnsi="宋体" w:cs="宋体"/>
          <w:bCs/>
          <w:snapToGrid w:val="0"/>
          <w:color w:val="auto"/>
          <w:kern w:val="0"/>
          <w:szCs w:val="24"/>
          <w:u w:val="single"/>
        </w:rPr>
        <w:t xml:space="preserve"> 五 </w:t>
      </w:r>
      <w:r>
        <w:rPr>
          <w:rFonts w:hint="eastAsia" w:hAnsi="宋体" w:cs="宋体"/>
          <w:bCs/>
          <w:snapToGrid w:val="0"/>
          <w:color w:val="auto"/>
          <w:kern w:val="0"/>
          <w:szCs w:val="24"/>
        </w:rPr>
        <w:t>份符合《建设工程监理规范》（GB/T 50319—2013）以及《韶关市城市建设档案管理办法》要求的监理档案。</w:t>
      </w:r>
    </w:p>
    <w:p w14:paraId="390EF35E">
      <w:pPr>
        <w:wordWrap w:val="0"/>
        <w:adjustRightInd w:val="0"/>
        <w:snapToGrid w:val="0"/>
        <w:spacing w:line="440" w:lineRule="exact"/>
        <w:ind w:firstLine="560"/>
        <w:outlineLvl w:val="1"/>
        <w:rPr>
          <w:rFonts w:hAnsi="宋体" w:cs="宋体"/>
          <w:strike/>
          <w:snapToGrid w:val="0"/>
          <w:color w:val="auto"/>
          <w:kern w:val="0"/>
          <w:szCs w:val="24"/>
        </w:rPr>
      </w:pPr>
      <w:bookmarkStart w:id="129" w:name="_Toc13197"/>
      <w:bookmarkStart w:id="130" w:name="_Toc2540"/>
      <w:bookmarkStart w:id="131" w:name="_Toc24329"/>
      <w:bookmarkStart w:id="132" w:name="_Toc16612"/>
      <w:r>
        <w:rPr>
          <w:rFonts w:hint="eastAsia" w:hAnsi="宋体" w:cs="宋体"/>
          <w:b/>
          <w:bCs/>
          <w:snapToGrid w:val="0"/>
          <w:color w:val="auto"/>
          <w:kern w:val="0"/>
          <w:szCs w:val="24"/>
        </w:rPr>
        <w:t>13</w:t>
      </w:r>
      <w:r>
        <w:rPr>
          <w:rFonts w:hint="eastAsia" w:hAnsi="宋体" w:cs="宋体"/>
          <w:b/>
          <w:snapToGrid w:val="0"/>
          <w:color w:val="auto"/>
          <w:kern w:val="0"/>
          <w:szCs w:val="24"/>
        </w:rPr>
        <w:t>．不良行为处理</w:t>
      </w:r>
      <w:bookmarkEnd w:id="129"/>
      <w:bookmarkEnd w:id="130"/>
      <w:bookmarkEnd w:id="131"/>
      <w:bookmarkEnd w:id="132"/>
    </w:p>
    <w:p w14:paraId="0BF2864C">
      <w:pPr>
        <w:pStyle w:val="29"/>
        <w:wordWrap w:val="0"/>
        <w:adjustRightInd w:val="0"/>
        <w:snapToGrid w:val="0"/>
        <w:spacing w:line="440" w:lineRule="exact"/>
        <w:ind w:firstLine="480" w:firstLineChars="200"/>
        <w:jc w:val="left"/>
        <w:rPr>
          <w:rFonts w:ascii="宋体" w:hAnsi="宋体" w:cs="宋体"/>
          <w:snapToGrid w:val="0"/>
          <w:color w:val="auto"/>
          <w:kern w:val="0"/>
          <w:szCs w:val="24"/>
        </w:rPr>
      </w:pPr>
      <w:r>
        <w:rPr>
          <w:rFonts w:hint="eastAsia" w:ascii="宋体" w:hAnsi="宋体" w:cs="宋体"/>
          <w:snapToGrid w:val="0"/>
          <w:color w:val="auto"/>
          <w:kern w:val="0"/>
          <w:szCs w:val="24"/>
        </w:rPr>
        <w:t>监理人及其有关人员有下列行为之一的，委托人应及时报请建设行政主管部门查处。</w:t>
      </w:r>
    </w:p>
    <w:p w14:paraId="7530CD93">
      <w:pPr>
        <w:pStyle w:val="29"/>
        <w:wordWrap w:val="0"/>
        <w:adjustRightInd w:val="0"/>
        <w:snapToGrid w:val="0"/>
        <w:spacing w:line="440" w:lineRule="exact"/>
        <w:ind w:firstLine="480" w:firstLineChars="200"/>
        <w:jc w:val="left"/>
        <w:rPr>
          <w:rFonts w:ascii="宋体" w:hAnsi="宋体" w:cs="宋体"/>
          <w:snapToGrid w:val="0"/>
          <w:color w:val="auto"/>
          <w:kern w:val="0"/>
          <w:szCs w:val="24"/>
        </w:rPr>
      </w:pPr>
      <w:r>
        <w:rPr>
          <w:rFonts w:hint="eastAsia" w:ascii="宋体" w:hAnsi="宋体" w:cs="宋体"/>
          <w:snapToGrid w:val="0"/>
          <w:color w:val="auto"/>
          <w:kern w:val="0"/>
          <w:szCs w:val="24"/>
        </w:rPr>
        <w:t>（1）转让监理业务的；</w:t>
      </w:r>
    </w:p>
    <w:p w14:paraId="04E09C03">
      <w:pPr>
        <w:pStyle w:val="29"/>
        <w:wordWrap w:val="0"/>
        <w:adjustRightInd w:val="0"/>
        <w:snapToGrid w:val="0"/>
        <w:spacing w:line="440" w:lineRule="exact"/>
        <w:ind w:firstLine="480" w:firstLineChars="200"/>
        <w:jc w:val="left"/>
        <w:rPr>
          <w:rFonts w:ascii="宋体" w:hAnsi="宋体" w:cs="宋体"/>
          <w:snapToGrid w:val="0"/>
          <w:color w:val="auto"/>
          <w:kern w:val="0"/>
          <w:szCs w:val="24"/>
        </w:rPr>
      </w:pPr>
      <w:r>
        <w:rPr>
          <w:rFonts w:hint="eastAsia" w:ascii="宋体" w:hAnsi="宋体" w:cs="宋体"/>
          <w:snapToGrid w:val="0"/>
          <w:color w:val="auto"/>
          <w:kern w:val="0"/>
          <w:szCs w:val="24"/>
        </w:rPr>
        <w:t>（2）非原参加投标中标的总监理工程师负责组织监理或在实施过程中擅自更换总监理工程师的、项目监理机构的其他监理人员与中标文件确定的人员不相符的；</w:t>
      </w:r>
    </w:p>
    <w:p w14:paraId="310CE9E7">
      <w:pPr>
        <w:pStyle w:val="29"/>
        <w:wordWrap w:val="0"/>
        <w:adjustRightInd w:val="0"/>
        <w:snapToGrid w:val="0"/>
        <w:spacing w:line="440" w:lineRule="exact"/>
        <w:ind w:firstLine="480" w:firstLineChars="200"/>
        <w:jc w:val="left"/>
        <w:rPr>
          <w:rFonts w:ascii="宋体" w:hAnsi="宋体" w:cs="宋体"/>
          <w:snapToGrid w:val="0"/>
          <w:color w:val="auto"/>
          <w:kern w:val="0"/>
          <w:szCs w:val="24"/>
        </w:rPr>
      </w:pPr>
      <w:r>
        <w:rPr>
          <w:rFonts w:hint="eastAsia" w:ascii="宋体" w:hAnsi="宋体" w:cs="宋体"/>
          <w:snapToGrid w:val="0"/>
          <w:color w:val="auto"/>
          <w:kern w:val="0"/>
          <w:szCs w:val="24"/>
        </w:rPr>
        <w:t>（3）与建设单位、施工单位串通，签认虚假工程量或工程造价的；</w:t>
      </w:r>
    </w:p>
    <w:p w14:paraId="017A0C9E">
      <w:pPr>
        <w:pStyle w:val="29"/>
        <w:wordWrap w:val="0"/>
        <w:adjustRightInd w:val="0"/>
        <w:snapToGrid w:val="0"/>
        <w:spacing w:line="440" w:lineRule="exact"/>
        <w:ind w:firstLine="480" w:firstLineChars="200"/>
        <w:jc w:val="left"/>
        <w:rPr>
          <w:rFonts w:ascii="宋体" w:hAnsi="宋体" w:cs="宋体"/>
          <w:snapToGrid w:val="0"/>
          <w:color w:val="auto"/>
          <w:kern w:val="0"/>
          <w:szCs w:val="24"/>
        </w:rPr>
      </w:pPr>
      <w:r>
        <w:rPr>
          <w:rFonts w:hint="eastAsia" w:ascii="宋体" w:hAnsi="宋体" w:cs="宋体"/>
          <w:snapToGrid w:val="0"/>
          <w:color w:val="auto"/>
          <w:kern w:val="0"/>
          <w:szCs w:val="24"/>
        </w:rPr>
        <w:t>（4）现场监理不到位的；</w:t>
      </w:r>
    </w:p>
    <w:p w14:paraId="669747CF">
      <w:pPr>
        <w:pStyle w:val="29"/>
        <w:wordWrap w:val="0"/>
        <w:adjustRightInd w:val="0"/>
        <w:snapToGrid w:val="0"/>
        <w:spacing w:line="440" w:lineRule="exact"/>
        <w:ind w:firstLine="480" w:firstLineChars="200"/>
        <w:jc w:val="left"/>
        <w:rPr>
          <w:rFonts w:ascii="宋体" w:hAnsi="宋体" w:cs="宋体"/>
          <w:snapToGrid w:val="0"/>
          <w:color w:val="auto"/>
          <w:kern w:val="0"/>
          <w:szCs w:val="24"/>
        </w:rPr>
      </w:pPr>
      <w:r>
        <w:rPr>
          <w:rFonts w:hint="eastAsia" w:ascii="宋体" w:hAnsi="宋体" w:cs="宋体"/>
          <w:snapToGrid w:val="0"/>
          <w:color w:val="auto"/>
          <w:kern w:val="0"/>
          <w:szCs w:val="24"/>
        </w:rPr>
        <w:t>（5）非本人资格证书注册单位从事监理工作的；</w:t>
      </w:r>
    </w:p>
    <w:p w14:paraId="536C77E5">
      <w:pPr>
        <w:pStyle w:val="29"/>
        <w:wordWrap w:val="0"/>
        <w:adjustRightInd w:val="0"/>
        <w:snapToGrid w:val="0"/>
        <w:spacing w:line="440" w:lineRule="exact"/>
        <w:ind w:firstLine="480" w:firstLineChars="200"/>
        <w:jc w:val="left"/>
        <w:rPr>
          <w:rFonts w:ascii="宋体" w:hAnsi="宋体" w:cs="宋体"/>
          <w:snapToGrid w:val="0"/>
          <w:color w:val="auto"/>
          <w:kern w:val="0"/>
          <w:szCs w:val="24"/>
        </w:rPr>
      </w:pPr>
      <w:r>
        <w:rPr>
          <w:rFonts w:hint="eastAsia" w:ascii="宋体" w:hAnsi="宋体" w:cs="宋体"/>
          <w:snapToGrid w:val="0"/>
          <w:color w:val="auto"/>
          <w:kern w:val="0"/>
          <w:szCs w:val="24"/>
        </w:rPr>
        <w:t>（6）总监理工程师承担超过三项工程监理任务的；</w:t>
      </w:r>
    </w:p>
    <w:p w14:paraId="7F393D93">
      <w:pPr>
        <w:pStyle w:val="29"/>
        <w:wordWrap w:val="0"/>
        <w:adjustRightInd w:val="0"/>
        <w:snapToGrid w:val="0"/>
        <w:spacing w:line="440" w:lineRule="exact"/>
        <w:ind w:firstLine="480" w:firstLineChars="200"/>
        <w:jc w:val="left"/>
        <w:rPr>
          <w:rFonts w:ascii="宋体" w:hAnsi="宋体" w:cs="宋体"/>
          <w:snapToGrid w:val="0"/>
          <w:color w:val="auto"/>
          <w:kern w:val="0"/>
          <w:szCs w:val="24"/>
        </w:rPr>
      </w:pPr>
      <w:r>
        <w:rPr>
          <w:rFonts w:hint="eastAsia" w:ascii="宋体" w:hAnsi="宋体" w:cs="宋体"/>
          <w:snapToGrid w:val="0"/>
          <w:color w:val="auto"/>
          <w:kern w:val="0"/>
          <w:szCs w:val="24"/>
        </w:rPr>
        <w:t>（7）违反有关法律、法规、规章规定的其它行为。</w:t>
      </w:r>
    </w:p>
    <w:p w14:paraId="783B244C">
      <w:pPr>
        <w:pStyle w:val="29"/>
        <w:wordWrap w:val="0"/>
        <w:adjustRightInd w:val="0"/>
        <w:snapToGrid w:val="0"/>
        <w:spacing w:line="440" w:lineRule="exact"/>
        <w:ind w:firstLine="482" w:firstLineChars="200"/>
        <w:jc w:val="left"/>
        <w:outlineLvl w:val="1"/>
        <w:rPr>
          <w:rFonts w:ascii="宋体" w:hAnsi="宋体" w:cs="宋体"/>
          <w:b/>
          <w:bCs/>
          <w:snapToGrid w:val="0"/>
          <w:color w:val="auto"/>
          <w:kern w:val="0"/>
          <w:szCs w:val="24"/>
        </w:rPr>
      </w:pPr>
      <w:bookmarkStart w:id="133" w:name="_Toc15431"/>
      <w:bookmarkStart w:id="134" w:name="_Toc29467"/>
      <w:bookmarkStart w:id="135" w:name="_Toc28837"/>
      <w:bookmarkStart w:id="136" w:name="_Toc15923"/>
      <w:r>
        <w:rPr>
          <w:rFonts w:hint="eastAsia" w:ascii="宋体" w:hAnsi="宋体" w:cs="宋体"/>
          <w:b/>
          <w:bCs/>
          <w:snapToGrid w:val="0"/>
          <w:color w:val="auto"/>
          <w:kern w:val="0"/>
          <w:szCs w:val="24"/>
        </w:rPr>
        <w:t>14</w:t>
      </w:r>
      <w:r>
        <w:rPr>
          <w:rFonts w:hint="eastAsia" w:ascii="宋体" w:hAnsi="宋体" w:cs="宋体"/>
          <w:b/>
          <w:snapToGrid w:val="0"/>
          <w:color w:val="auto"/>
          <w:kern w:val="0"/>
          <w:szCs w:val="24"/>
        </w:rPr>
        <w:t>．</w:t>
      </w:r>
      <w:r>
        <w:rPr>
          <w:rFonts w:hint="eastAsia" w:ascii="宋体" w:hAnsi="宋体" w:cs="宋体"/>
          <w:b/>
          <w:bCs/>
          <w:snapToGrid w:val="0"/>
          <w:color w:val="auto"/>
          <w:kern w:val="0"/>
          <w:szCs w:val="24"/>
        </w:rPr>
        <w:t>信用评价条款内容</w:t>
      </w:r>
      <w:bookmarkEnd w:id="133"/>
      <w:bookmarkEnd w:id="134"/>
      <w:bookmarkEnd w:id="135"/>
      <w:bookmarkEnd w:id="136"/>
    </w:p>
    <w:p w14:paraId="1884418A">
      <w:pPr>
        <w:pStyle w:val="31"/>
        <w:wordWrap w:val="0"/>
        <w:adjustRightInd w:val="0"/>
        <w:snapToGrid w:val="0"/>
        <w:spacing w:line="440" w:lineRule="exact"/>
        <w:ind w:firstLine="560"/>
        <w:rPr>
          <w:rFonts w:hAnsi="宋体" w:cs="宋体"/>
          <w:snapToGrid w:val="0"/>
          <w:color w:val="auto"/>
          <w:kern w:val="0"/>
        </w:rPr>
      </w:pPr>
      <w:r>
        <w:rPr>
          <w:rFonts w:hint="eastAsia" w:hAnsi="宋体" w:cs="宋体"/>
          <w:snapToGrid w:val="0"/>
          <w:color w:val="auto"/>
          <w:kern w:val="0"/>
        </w:rPr>
        <w:t>由委托人决定是否对监理人的履约情况进行信用评价。若进行信用评价，评价条款由委托人自拟，条款内容可参考人员到位情况、服务配合程度、服务成果质量、项目后期服务以及信用评价结果的运用等。</w:t>
      </w:r>
    </w:p>
    <w:p w14:paraId="741829A0">
      <w:pPr>
        <w:pStyle w:val="31"/>
        <w:wordWrap w:val="0"/>
        <w:adjustRightInd w:val="0"/>
        <w:snapToGrid w:val="0"/>
        <w:spacing w:line="440" w:lineRule="exact"/>
        <w:ind w:firstLine="560"/>
        <w:rPr>
          <w:rFonts w:hAnsi="宋体" w:cs="宋体"/>
          <w:b/>
          <w:bCs/>
          <w:snapToGrid w:val="0"/>
          <w:color w:val="auto"/>
          <w:kern w:val="0"/>
        </w:rPr>
      </w:pPr>
    </w:p>
    <w:p w14:paraId="4908839B">
      <w:pPr>
        <w:pStyle w:val="31"/>
        <w:wordWrap w:val="0"/>
        <w:adjustRightInd w:val="0"/>
        <w:snapToGrid w:val="0"/>
        <w:spacing w:line="440" w:lineRule="exact"/>
        <w:ind w:firstLine="560"/>
        <w:rPr>
          <w:rFonts w:hAnsi="宋体" w:cs="宋体"/>
          <w:b/>
          <w:bCs/>
          <w:snapToGrid w:val="0"/>
          <w:color w:val="auto"/>
          <w:kern w:val="0"/>
        </w:rPr>
      </w:pPr>
    </w:p>
    <w:p w14:paraId="40017D3E">
      <w:pPr>
        <w:pStyle w:val="31"/>
        <w:wordWrap w:val="0"/>
        <w:adjustRightInd w:val="0"/>
        <w:snapToGrid w:val="0"/>
        <w:spacing w:line="440" w:lineRule="exact"/>
        <w:ind w:firstLine="560"/>
        <w:rPr>
          <w:rFonts w:hAnsi="宋体" w:cs="宋体"/>
          <w:b/>
          <w:bCs/>
          <w:snapToGrid w:val="0"/>
          <w:color w:val="auto"/>
          <w:kern w:val="0"/>
        </w:rPr>
        <w:sectPr>
          <w:endnotePr>
            <w:numFmt w:val="decimal"/>
          </w:endnotePr>
          <w:pgSz w:w="11906" w:h="16838"/>
          <w:pgMar w:top="1417" w:right="1417" w:bottom="1417" w:left="1417" w:header="850" w:footer="992" w:gutter="0"/>
          <w:cols w:space="0" w:num="1"/>
          <w:docGrid w:linePitch="327" w:charSpace="0"/>
        </w:sectPr>
      </w:pPr>
    </w:p>
    <w:p w14:paraId="4C39B6A2">
      <w:pPr>
        <w:pStyle w:val="2"/>
        <w:wordWrap w:val="0"/>
        <w:autoSpaceDE/>
        <w:autoSpaceDN/>
        <w:snapToGrid w:val="0"/>
        <w:spacing w:line="500" w:lineRule="exact"/>
        <w:jc w:val="center"/>
        <w:rPr>
          <w:rFonts w:hAnsi="宋体" w:cs="宋体"/>
          <w:b/>
          <w:snapToGrid w:val="0"/>
          <w:color w:val="auto"/>
          <w:sz w:val="32"/>
          <w:szCs w:val="32"/>
        </w:rPr>
      </w:pPr>
      <w:bookmarkStart w:id="137" w:name="_Hlt69698776"/>
      <w:r>
        <w:rPr>
          <w:rFonts w:hint="eastAsia" w:hAnsi="宋体" w:cs="宋体"/>
          <w:b/>
          <w:snapToGrid w:val="0"/>
          <w:color w:val="auto"/>
          <w:sz w:val="32"/>
          <w:szCs w:val="32"/>
        </w:rPr>
        <w:t>　</w:t>
      </w:r>
      <w:bookmarkStart w:id="138" w:name="_Toc29099"/>
      <w:bookmarkStart w:id="139" w:name="_Toc12562"/>
      <w:bookmarkStart w:id="140" w:name="_Hlt69698713"/>
      <w:bookmarkStart w:id="141" w:name="_Hlt69698765"/>
      <w:r>
        <w:rPr>
          <w:rFonts w:hint="eastAsia" w:hAnsi="宋体" w:cs="宋体"/>
          <w:b/>
          <w:snapToGrid w:val="0"/>
          <w:color w:val="auto"/>
          <w:sz w:val="32"/>
          <w:szCs w:val="32"/>
        </w:rPr>
        <w:t>第三章</w:t>
      </w:r>
      <w:bookmarkStart w:id="142" w:name="_Hlt87793831"/>
      <w:bookmarkEnd w:id="142"/>
      <w:r>
        <w:rPr>
          <w:rFonts w:hint="eastAsia" w:hAnsi="宋体" w:cs="宋体"/>
          <w:b/>
          <w:snapToGrid w:val="0"/>
          <w:color w:val="auto"/>
          <w:sz w:val="32"/>
          <w:szCs w:val="32"/>
        </w:rPr>
        <w:t xml:space="preserve"> 拟签订合同的主要条款</w:t>
      </w:r>
      <w:bookmarkEnd w:id="138"/>
      <w:bookmarkEnd w:id="139"/>
    </w:p>
    <w:bookmarkEnd w:id="140"/>
    <w:bookmarkEnd w:id="141"/>
    <w:p w14:paraId="7FB614EF">
      <w:pPr>
        <w:pStyle w:val="3"/>
        <w:wordWrap w:val="0"/>
        <w:autoSpaceDE/>
        <w:autoSpaceDN/>
        <w:snapToGrid w:val="0"/>
        <w:spacing w:line="440" w:lineRule="exact"/>
        <w:ind w:firstLine="480"/>
        <w:jc w:val="both"/>
        <w:rPr>
          <w:rFonts w:hAnsi="宋体" w:cs="宋体"/>
          <w:b/>
          <w:snapToGrid w:val="0"/>
          <w:color w:val="auto"/>
          <w:szCs w:val="24"/>
        </w:rPr>
      </w:pPr>
      <w:bookmarkStart w:id="143" w:name="_Toc326916629"/>
      <w:bookmarkStart w:id="144" w:name="_Toc322793288"/>
    </w:p>
    <w:bookmarkEnd w:id="143"/>
    <w:bookmarkEnd w:id="144"/>
    <w:p w14:paraId="25C42598">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outlineLvl w:val="1"/>
        <w:rPr>
          <w:rFonts w:hAnsi="宋体" w:cs="宋体"/>
          <w:snapToGrid w:val="0"/>
          <w:color w:val="auto"/>
          <w:kern w:val="0"/>
          <w:szCs w:val="24"/>
        </w:rPr>
      </w:pPr>
      <w:bookmarkStart w:id="145" w:name="_Toc12203"/>
      <w:bookmarkStart w:id="146" w:name="_Toc6392"/>
      <w:bookmarkStart w:id="147" w:name="_Toc11616"/>
      <w:bookmarkStart w:id="148" w:name="_Toc4588"/>
      <w:r>
        <w:rPr>
          <w:rFonts w:hint="eastAsia" w:hAnsi="宋体" w:cs="宋体"/>
          <w:b/>
          <w:bCs/>
          <w:snapToGrid w:val="0"/>
          <w:color w:val="auto"/>
          <w:kern w:val="0"/>
          <w:szCs w:val="24"/>
        </w:rPr>
        <w:t>1．现场办公条件</w:t>
      </w:r>
      <w:bookmarkEnd w:id="145"/>
      <w:bookmarkEnd w:id="146"/>
      <w:bookmarkEnd w:id="147"/>
      <w:bookmarkEnd w:id="148"/>
    </w:p>
    <w:p w14:paraId="7E7AAE9E">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rPr>
          <w:rFonts w:hAnsi="宋体" w:cs="宋体"/>
          <w:snapToGrid w:val="0"/>
          <w:color w:val="auto"/>
          <w:kern w:val="0"/>
          <w:szCs w:val="24"/>
        </w:rPr>
      </w:pPr>
      <w:r>
        <w:rPr>
          <w:rFonts w:hint="eastAsia" w:hAnsi="宋体" w:cs="宋体"/>
          <w:b/>
          <w:bCs/>
          <w:snapToGrid w:val="0"/>
          <w:color w:val="auto"/>
          <w:kern w:val="0"/>
          <w:szCs w:val="24"/>
        </w:rPr>
        <w:t>1.1</w:t>
      </w:r>
      <w:r>
        <w:rPr>
          <w:rFonts w:hint="eastAsia" w:hAnsi="宋体" w:cs="宋体"/>
          <w:snapToGrid w:val="0"/>
          <w:color w:val="auto"/>
          <w:kern w:val="0"/>
          <w:szCs w:val="24"/>
        </w:rPr>
        <w:t xml:space="preserve"> 监理人的办公、休息场所不得与</w:t>
      </w:r>
      <w:r>
        <w:rPr>
          <w:rFonts w:hint="eastAsia" w:hAnsi="宋体" w:cs="宋体"/>
          <w:snapToGrid w:val="0"/>
          <w:color w:val="auto"/>
          <w:kern w:val="0"/>
          <w:szCs w:val="24"/>
          <w:lang w:eastAsia="zh-CN"/>
        </w:rPr>
        <w:t>施工单位</w:t>
      </w:r>
      <w:r>
        <w:rPr>
          <w:rFonts w:hint="eastAsia" w:hAnsi="宋体" w:cs="宋体"/>
          <w:snapToGrid w:val="0"/>
          <w:color w:val="auto"/>
          <w:kern w:val="0"/>
          <w:szCs w:val="24"/>
        </w:rPr>
        <w:t>混用。所需场所、水电网络接入由委托人征求监理人意见后，与</w:t>
      </w:r>
      <w:r>
        <w:rPr>
          <w:rFonts w:hint="eastAsia" w:hAnsi="宋体" w:cs="宋体"/>
          <w:snapToGrid w:val="0"/>
          <w:color w:val="auto"/>
          <w:kern w:val="0"/>
          <w:szCs w:val="24"/>
          <w:lang w:eastAsia="zh-CN"/>
        </w:rPr>
        <w:t>施工单位</w:t>
      </w:r>
      <w:r>
        <w:rPr>
          <w:rFonts w:hint="eastAsia" w:hAnsi="宋体" w:cs="宋体"/>
          <w:snapToGrid w:val="0"/>
          <w:color w:val="auto"/>
          <w:kern w:val="0"/>
          <w:szCs w:val="24"/>
        </w:rPr>
        <w:t>协调明确，但费用（若有）由监理人支付。监理人所需场所的数量及其面积应与项目规模、特点相匹配，并应满足监理工作正常运作的需要。</w:t>
      </w:r>
    </w:p>
    <w:p w14:paraId="79CF4388">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rPr>
          <w:rFonts w:hAnsi="宋体" w:cs="宋体"/>
          <w:snapToGrid w:val="0"/>
          <w:color w:val="auto"/>
          <w:kern w:val="0"/>
          <w:szCs w:val="24"/>
        </w:rPr>
      </w:pPr>
      <w:r>
        <w:rPr>
          <w:rFonts w:hint="eastAsia" w:hAnsi="宋体" w:cs="宋体"/>
          <w:b/>
          <w:bCs/>
          <w:snapToGrid w:val="0"/>
          <w:color w:val="auto"/>
          <w:kern w:val="0"/>
          <w:szCs w:val="24"/>
        </w:rPr>
        <w:t>1.2</w:t>
      </w:r>
      <w:r>
        <w:rPr>
          <w:rFonts w:hint="eastAsia" w:hAnsi="宋体" w:cs="宋体"/>
          <w:snapToGrid w:val="0"/>
          <w:color w:val="auto"/>
          <w:kern w:val="0"/>
          <w:szCs w:val="24"/>
        </w:rPr>
        <w:t xml:space="preserve"> 监理人应按照工程需要，自行配备以下的设施、设备：</w:t>
      </w:r>
    </w:p>
    <w:p w14:paraId="56A74751">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Ansi="宋体" w:cs="宋体"/>
          <w:snapToGrid w:val="0"/>
          <w:color w:val="auto"/>
          <w:kern w:val="0"/>
          <w:szCs w:val="24"/>
        </w:rPr>
      </w:pPr>
      <w:r>
        <w:rPr>
          <w:rFonts w:hint="eastAsia" w:hAnsi="宋体" w:cs="宋体"/>
          <w:snapToGrid w:val="0"/>
          <w:color w:val="auto"/>
          <w:kern w:val="0"/>
          <w:szCs w:val="24"/>
        </w:rPr>
        <w:t>（1）办公桌椅、文件柜、床铺被褥、供冷采暖设施等办公和生活设施；</w:t>
      </w:r>
    </w:p>
    <w:p w14:paraId="011E2048">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Ansi="宋体" w:cs="宋体"/>
          <w:snapToGrid w:val="0"/>
          <w:color w:val="auto"/>
          <w:kern w:val="0"/>
          <w:szCs w:val="24"/>
        </w:rPr>
      </w:pPr>
      <w:r>
        <w:rPr>
          <w:rFonts w:hint="eastAsia" w:hAnsi="宋体" w:cs="宋体"/>
          <w:snapToGrid w:val="0"/>
          <w:color w:val="auto"/>
          <w:kern w:val="0"/>
          <w:szCs w:val="24"/>
        </w:rPr>
        <w:t>（2）电脑、投影、打印机、复印机、传真机等办公设备及其耗材；</w:t>
      </w:r>
    </w:p>
    <w:p w14:paraId="3C882781">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Ansi="宋体" w:cs="宋体"/>
          <w:snapToGrid w:val="0"/>
          <w:color w:val="auto"/>
          <w:kern w:val="0"/>
          <w:szCs w:val="24"/>
        </w:rPr>
      </w:pPr>
      <w:r>
        <w:rPr>
          <w:rFonts w:hint="eastAsia" w:hAnsi="宋体" w:cs="宋体"/>
          <w:snapToGrid w:val="0"/>
          <w:color w:val="auto"/>
          <w:kern w:val="0"/>
          <w:szCs w:val="24"/>
        </w:rPr>
        <w:t>（3）拍摄、录音、录像等取证器材；</w:t>
      </w:r>
    </w:p>
    <w:p w14:paraId="0FDE5EE6">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Ansi="宋体" w:cs="宋体"/>
          <w:snapToGrid w:val="0"/>
          <w:color w:val="auto"/>
          <w:kern w:val="0"/>
          <w:szCs w:val="24"/>
        </w:rPr>
      </w:pPr>
      <w:r>
        <w:rPr>
          <w:rFonts w:hint="eastAsia" w:hAnsi="宋体" w:cs="宋体"/>
          <w:snapToGrid w:val="0"/>
          <w:color w:val="auto"/>
          <w:kern w:val="0"/>
          <w:szCs w:val="24"/>
        </w:rPr>
        <w:t>（4）信息化管理软件或系统；</w:t>
      </w:r>
    </w:p>
    <w:p w14:paraId="1D773565">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Ansi="宋体" w:cs="宋体"/>
          <w:snapToGrid w:val="0"/>
          <w:color w:val="auto"/>
          <w:kern w:val="0"/>
          <w:szCs w:val="24"/>
        </w:rPr>
      </w:pPr>
      <w:r>
        <w:rPr>
          <w:rFonts w:hint="eastAsia" w:hAnsi="宋体" w:cs="宋体"/>
          <w:snapToGrid w:val="0"/>
          <w:color w:val="auto"/>
          <w:kern w:val="0"/>
          <w:szCs w:val="24"/>
        </w:rPr>
        <w:t>（5）通信和交通工具；</w:t>
      </w:r>
    </w:p>
    <w:p w14:paraId="63EBA107">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Ansi="宋体" w:cs="宋体"/>
          <w:snapToGrid w:val="0"/>
          <w:color w:val="auto"/>
          <w:kern w:val="0"/>
          <w:szCs w:val="24"/>
        </w:rPr>
      </w:pPr>
      <w:r>
        <w:rPr>
          <w:rFonts w:hint="eastAsia" w:hAnsi="宋体" w:cs="宋体"/>
          <w:snapToGrid w:val="0"/>
          <w:color w:val="auto"/>
          <w:kern w:val="0"/>
          <w:szCs w:val="24"/>
        </w:rPr>
        <w:t>（6）本招标项目必备的规范标准、图集等书籍手册；</w:t>
      </w:r>
    </w:p>
    <w:p w14:paraId="63F35CCC">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Ansi="宋体" w:cs="宋体"/>
          <w:snapToGrid w:val="0"/>
          <w:color w:val="auto"/>
          <w:kern w:val="0"/>
          <w:szCs w:val="24"/>
        </w:rPr>
      </w:pPr>
      <w:r>
        <w:rPr>
          <w:rFonts w:hint="eastAsia" w:hAnsi="宋体" w:cs="宋体"/>
          <w:snapToGrid w:val="0"/>
          <w:color w:val="auto"/>
          <w:kern w:val="0"/>
          <w:szCs w:val="24"/>
        </w:rPr>
        <w:t>（7）安全帽、安全鞋、安全手套、安全服装、手电筒等安全防护用具；</w:t>
      </w:r>
    </w:p>
    <w:p w14:paraId="0890F19D">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Ansi="宋体" w:cs="宋体"/>
          <w:snapToGrid w:val="0"/>
          <w:color w:val="auto"/>
          <w:kern w:val="0"/>
          <w:szCs w:val="24"/>
        </w:rPr>
      </w:pPr>
      <w:r>
        <w:rPr>
          <w:rFonts w:hint="eastAsia" w:hAnsi="宋体" w:cs="宋体"/>
          <w:snapToGrid w:val="0"/>
          <w:color w:val="auto"/>
          <w:kern w:val="0"/>
          <w:szCs w:val="24"/>
        </w:rPr>
        <w:t>（8）</w:t>
      </w:r>
      <w:r>
        <w:rPr>
          <w:rFonts w:hint="eastAsia" w:hAnsi="宋体" w:cs="宋体"/>
          <w:snapToGrid w:val="0"/>
          <w:color w:val="auto"/>
          <w:kern w:val="0"/>
          <w:szCs w:val="24"/>
          <w:u w:val="single"/>
        </w:rPr>
        <w:t xml:space="preserve"> 打卡  </w:t>
      </w:r>
      <w:r>
        <w:rPr>
          <w:rFonts w:hint="eastAsia" w:hAnsi="宋体" w:cs="宋体"/>
          <w:snapToGrid w:val="0"/>
          <w:color w:val="auto"/>
          <w:kern w:val="0"/>
          <w:szCs w:val="24"/>
        </w:rPr>
        <w:t>考勤设备；</w:t>
      </w:r>
    </w:p>
    <w:p w14:paraId="133F38F3">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Ansi="宋体" w:cs="宋体"/>
          <w:snapToGrid w:val="0"/>
          <w:color w:val="auto"/>
          <w:kern w:val="0"/>
          <w:szCs w:val="24"/>
        </w:rPr>
      </w:pPr>
      <w:r>
        <w:rPr>
          <w:rFonts w:hint="eastAsia" w:hAnsi="宋体" w:cs="宋体"/>
          <w:snapToGrid w:val="0"/>
          <w:color w:val="auto"/>
          <w:kern w:val="0"/>
          <w:szCs w:val="24"/>
        </w:rPr>
        <w:t>（9）其他与监理工作有关的设备与用品。</w:t>
      </w:r>
    </w:p>
    <w:p w14:paraId="3A65FEC6">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outlineLvl w:val="1"/>
        <w:rPr>
          <w:rFonts w:hAnsi="宋体" w:cs="宋体"/>
          <w:b/>
          <w:bCs/>
          <w:snapToGrid w:val="0"/>
          <w:color w:val="auto"/>
          <w:kern w:val="0"/>
          <w:szCs w:val="24"/>
        </w:rPr>
      </w:pPr>
      <w:bookmarkStart w:id="149" w:name="_Toc14419"/>
      <w:bookmarkStart w:id="150" w:name="_Toc29914"/>
      <w:bookmarkStart w:id="151" w:name="_Toc8261"/>
      <w:bookmarkStart w:id="152" w:name="_Toc15844"/>
      <w:r>
        <w:rPr>
          <w:rFonts w:hint="eastAsia" w:hAnsi="宋体" w:cs="宋体"/>
          <w:b/>
          <w:bCs/>
          <w:snapToGrid w:val="0"/>
          <w:color w:val="auto"/>
          <w:kern w:val="0"/>
          <w:szCs w:val="24"/>
        </w:rPr>
        <w:t>2．酬金</w:t>
      </w:r>
      <w:bookmarkEnd w:id="149"/>
      <w:bookmarkEnd w:id="150"/>
      <w:bookmarkEnd w:id="151"/>
      <w:bookmarkEnd w:id="152"/>
    </w:p>
    <w:p w14:paraId="4E939E54">
      <w:pPr>
        <w:keepNext w:val="0"/>
        <w:keepLines w:val="0"/>
        <w:pageBreakBefore w:val="0"/>
        <w:kinsoku/>
        <w:wordWrap w:val="0"/>
        <w:overflowPunct/>
        <w:topLinePunct w:val="0"/>
        <w:autoSpaceDE/>
        <w:autoSpaceDN/>
        <w:bidi w:val="0"/>
        <w:adjustRightInd w:val="0"/>
        <w:snapToGrid w:val="0"/>
        <w:spacing w:line="360" w:lineRule="auto"/>
        <w:ind w:firstLine="482" w:firstLineChars="200"/>
        <w:textAlignment w:val="auto"/>
        <w:rPr>
          <w:rFonts w:hAnsi="宋体" w:cs="宋体"/>
          <w:snapToGrid w:val="0"/>
          <w:color w:val="auto"/>
          <w:kern w:val="0"/>
          <w:szCs w:val="24"/>
        </w:rPr>
      </w:pPr>
      <w:r>
        <w:rPr>
          <w:rFonts w:hint="eastAsia" w:hAnsi="宋体" w:cs="宋体"/>
          <w:b/>
          <w:bCs/>
          <w:snapToGrid w:val="0"/>
          <w:color w:val="auto"/>
          <w:kern w:val="0"/>
          <w:szCs w:val="24"/>
        </w:rPr>
        <w:t>2.1</w:t>
      </w:r>
      <w:r>
        <w:rPr>
          <w:rFonts w:hint="eastAsia" w:hAnsi="宋体" w:cs="宋体"/>
          <w:snapToGrid w:val="0"/>
          <w:color w:val="auto"/>
          <w:kern w:val="0"/>
          <w:szCs w:val="24"/>
        </w:rPr>
        <w:t xml:space="preserve"> “酬金”指监理人履行本合同义务，委托人按照本合同约定（包括按照合同约定进行的变更和调整）给付监理人的金额，由正常工作酬金、附加工作酬金（若有）、合理化建议奖励（若有）组成。“正常工作酬金”指监理人完成正常工作，委托人应给付监理人并在协议书中载明的签约酬金额。“附加工作酬金”指监理人完成附加工作，委托人应给付监理人的金额。“合理化建议奖励”指监理人在服务过程中提出的合理化建议，使委托人获得经济效益的，双方在合同专用条件中约定的奖励金额。</w:t>
      </w:r>
    </w:p>
    <w:p w14:paraId="549BD30C">
      <w:pPr>
        <w:wordWrap w:val="0"/>
        <w:adjustRightInd w:val="0"/>
        <w:snapToGrid w:val="0"/>
        <w:spacing w:line="360" w:lineRule="auto"/>
        <w:ind w:firstLine="482" w:firstLineChars="200"/>
        <w:rPr>
          <w:rFonts w:hAnsi="宋体" w:cs="宋体"/>
          <w:snapToGrid w:val="0"/>
          <w:color w:val="auto"/>
          <w:kern w:val="0"/>
          <w:szCs w:val="22"/>
        </w:rPr>
      </w:pPr>
      <w:r>
        <w:rPr>
          <w:rFonts w:hint="eastAsia" w:hAnsi="宋体" w:cs="宋体"/>
          <w:b/>
          <w:bCs/>
          <w:snapToGrid w:val="0"/>
          <w:color w:val="auto"/>
          <w:kern w:val="0"/>
          <w:szCs w:val="24"/>
        </w:rPr>
        <w:t xml:space="preserve">2.2 </w:t>
      </w:r>
      <w:r>
        <w:rPr>
          <w:rFonts w:hint="eastAsia" w:ascii="宋体" w:hAnsi="宋体" w:eastAsia="宋体" w:cs="宋体"/>
          <w:snapToGrid w:val="0"/>
          <w:color w:val="auto"/>
          <w:kern w:val="0"/>
          <w:szCs w:val="24"/>
        </w:rPr>
        <w:t>酬金结算原则：</w:t>
      </w:r>
      <w:bookmarkStart w:id="153" w:name="_Toc31653"/>
      <w:bookmarkStart w:id="154" w:name="_Toc17740"/>
      <w:r>
        <w:rPr>
          <w:rFonts w:hint="eastAsia" w:ascii="宋体" w:hAnsi="宋体" w:eastAsia="宋体" w:cs="宋体"/>
          <w:snapToGrid w:val="0"/>
          <w:color w:val="auto"/>
          <w:kern w:val="0"/>
          <w:szCs w:val="24"/>
        </w:rPr>
        <w:t>监理中标价=签约合同价。监理服务费结算价在监理中标价范围内按实结算，即：以实际施工结算价为基数乘以监理人中标取费费率计算，若监理服务费结算价超过签约合同价，则按签约合同价结算；若监理服务费结算价未超过签约合同价，则按以实际施工结算价为基数乘以监理人中标取费费率计算的结算价进行结算。监理服务费最终结算价以委托人</w:t>
      </w:r>
      <w:r>
        <w:rPr>
          <w:rFonts w:hint="eastAsia" w:hAnsi="宋体" w:cs="宋体"/>
          <w:snapToGrid w:val="0"/>
          <w:color w:val="auto"/>
          <w:kern w:val="0"/>
          <w:highlight w:val="none"/>
          <w:u w:val="none"/>
        </w:rPr>
        <w:t>或委托人委托的第三方审核机构审定为准</w:t>
      </w:r>
      <w:r>
        <w:rPr>
          <w:rFonts w:hint="eastAsia" w:hAnsi="宋体" w:cs="宋体"/>
          <w:snapToGrid w:val="0"/>
          <w:color w:val="auto"/>
          <w:kern w:val="0"/>
          <w:szCs w:val="22"/>
        </w:rPr>
        <w:t>。</w:t>
      </w:r>
    </w:p>
    <w:p w14:paraId="29E3B6DF">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outlineLvl w:val="1"/>
        <w:rPr>
          <w:rFonts w:hAnsi="宋体" w:cs="宋体"/>
          <w:b/>
          <w:bCs/>
          <w:snapToGrid w:val="0"/>
          <w:color w:val="auto"/>
          <w:kern w:val="0"/>
          <w:szCs w:val="24"/>
        </w:rPr>
      </w:pPr>
      <w:bookmarkStart w:id="155" w:name="_Toc31657"/>
      <w:bookmarkStart w:id="156" w:name="_Toc18979"/>
      <w:r>
        <w:rPr>
          <w:rFonts w:hint="eastAsia" w:hAnsi="宋体" w:cs="宋体"/>
          <w:b/>
          <w:bCs/>
          <w:snapToGrid w:val="0"/>
          <w:color w:val="auto"/>
          <w:kern w:val="0"/>
          <w:szCs w:val="24"/>
        </w:rPr>
        <w:t>3．酬金发票</w:t>
      </w:r>
      <w:bookmarkEnd w:id="153"/>
      <w:bookmarkEnd w:id="154"/>
      <w:bookmarkEnd w:id="155"/>
      <w:bookmarkEnd w:id="156"/>
    </w:p>
    <w:p w14:paraId="4ECB4D4C">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Ansi="宋体" w:cs="宋体"/>
          <w:snapToGrid w:val="0"/>
          <w:color w:val="auto"/>
          <w:kern w:val="0"/>
          <w:szCs w:val="24"/>
        </w:rPr>
      </w:pPr>
      <w:r>
        <w:rPr>
          <w:rFonts w:hint="eastAsia" w:hAnsi="宋体" w:cs="宋体"/>
          <w:snapToGrid w:val="0"/>
          <w:color w:val="auto"/>
          <w:kern w:val="0"/>
          <w:szCs w:val="24"/>
        </w:rPr>
        <w:t>委托人每次支付酬金前，监理人均应提供有效的增值税</w:t>
      </w:r>
      <w:r>
        <w:rPr>
          <w:rFonts w:hint="eastAsia" w:hAnsi="宋体" w:cs="宋体"/>
          <w:snapToGrid w:val="0"/>
          <w:color w:val="auto"/>
          <w:kern w:val="0"/>
          <w:szCs w:val="24"/>
          <w:u w:val="single"/>
        </w:rPr>
        <w:t xml:space="preserve"> 普通 </w:t>
      </w:r>
      <w:r>
        <w:rPr>
          <w:rFonts w:hint="eastAsia" w:hAnsi="宋体" w:cs="宋体"/>
          <w:snapToGrid w:val="0"/>
          <w:color w:val="auto"/>
          <w:kern w:val="0"/>
          <w:szCs w:val="24"/>
        </w:rPr>
        <w:t xml:space="preserve">发票。如果监理人无法提供符合要求的酬金发票，由此造成的相应损失由监理人承担。 </w:t>
      </w:r>
    </w:p>
    <w:p w14:paraId="5BAD5C60">
      <w:pPr>
        <w:keepNext w:val="0"/>
        <w:keepLines w:val="0"/>
        <w:pageBreakBefore w:val="0"/>
        <w:kinsoku/>
        <w:wordWrap w:val="0"/>
        <w:overflowPunct/>
        <w:topLinePunct w:val="0"/>
        <w:autoSpaceDE/>
        <w:autoSpaceDN/>
        <w:bidi w:val="0"/>
        <w:adjustRightInd w:val="0"/>
        <w:snapToGrid w:val="0"/>
        <w:spacing w:line="420" w:lineRule="exact"/>
        <w:ind w:firstLine="560"/>
        <w:textAlignment w:val="auto"/>
        <w:outlineLvl w:val="1"/>
        <w:rPr>
          <w:rFonts w:hAnsi="宋体" w:cs="宋体"/>
          <w:snapToGrid w:val="0"/>
          <w:color w:val="auto"/>
          <w:kern w:val="0"/>
          <w:szCs w:val="24"/>
        </w:rPr>
      </w:pPr>
      <w:bookmarkStart w:id="157" w:name="_Toc30294"/>
      <w:bookmarkStart w:id="158" w:name="_Toc22603"/>
      <w:bookmarkStart w:id="159" w:name="_Toc32105"/>
      <w:bookmarkStart w:id="160" w:name="_Toc2147"/>
      <w:r>
        <w:rPr>
          <w:rFonts w:hint="eastAsia" w:hAnsi="宋体" w:cs="宋体"/>
          <w:b/>
          <w:bCs/>
          <w:snapToGrid w:val="0"/>
          <w:color w:val="auto"/>
          <w:kern w:val="0"/>
          <w:szCs w:val="24"/>
        </w:rPr>
        <w:t>4．违约责任</w:t>
      </w:r>
      <w:bookmarkEnd w:id="157"/>
      <w:bookmarkEnd w:id="158"/>
      <w:bookmarkEnd w:id="159"/>
      <w:bookmarkEnd w:id="160"/>
    </w:p>
    <w:p w14:paraId="3451357D">
      <w:pPr>
        <w:keepNext w:val="0"/>
        <w:keepLines w:val="0"/>
        <w:pageBreakBefore w:val="0"/>
        <w:kinsoku/>
        <w:wordWrap w:val="0"/>
        <w:overflowPunct/>
        <w:topLinePunct w:val="0"/>
        <w:autoSpaceDE/>
        <w:autoSpaceDN/>
        <w:bidi w:val="0"/>
        <w:adjustRightInd w:val="0"/>
        <w:snapToGrid w:val="0"/>
        <w:spacing w:line="420" w:lineRule="exact"/>
        <w:ind w:firstLine="560"/>
        <w:textAlignment w:val="auto"/>
        <w:outlineLvl w:val="1"/>
        <w:rPr>
          <w:rFonts w:hAnsi="宋体" w:cs="宋体"/>
          <w:snapToGrid w:val="0"/>
          <w:color w:val="auto"/>
          <w:kern w:val="0"/>
          <w:szCs w:val="24"/>
        </w:rPr>
      </w:pPr>
      <w:bookmarkStart w:id="161" w:name="_Toc27702"/>
      <w:bookmarkStart w:id="162" w:name="_Toc17944"/>
      <w:bookmarkStart w:id="163" w:name="_Toc26193"/>
      <w:bookmarkStart w:id="164" w:name="_Toc8777"/>
      <w:r>
        <w:rPr>
          <w:rFonts w:hint="eastAsia" w:hAnsi="宋体" w:cs="宋体"/>
          <w:b/>
          <w:bCs/>
          <w:snapToGrid w:val="0"/>
          <w:color w:val="auto"/>
          <w:kern w:val="0"/>
          <w:szCs w:val="24"/>
        </w:rPr>
        <w:t>4．违约责任</w:t>
      </w:r>
    </w:p>
    <w:p w14:paraId="6A7D45B2">
      <w:pPr>
        <w:keepNext w:val="0"/>
        <w:keepLines w:val="0"/>
        <w:pageBreakBefore w:val="0"/>
        <w:kinsoku/>
        <w:wordWrap w:val="0"/>
        <w:overflowPunct/>
        <w:topLinePunct w:val="0"/>
        <w:autoSpaceDE/>
        <w:autoSpaceDN/>
        <w:bidi w:val="0"/>
        <w:adjustRightInd w:val="0"/>
        <w:snapToGrid w:val="0"/>
        <w:spacing w:line="420" w:lineRule="exact"/>
        <w:ind w:firstLine="560"/>
        <w:textAlignment w:val="auto"/>
        <w:outlineLvl w:val="2"/>
        <w:rPr>
          <w:rFonts w:hAnsi="宋体" w:cs="宋体"/>
          <w:snapToGrid w:val="0"/>
          <w:color w:val="auto"/>
          <w:kern w:val="0"/>
          <w:szCs w:val="24"/>
        </w:rPr>
      </w:pPr>
      <w:bookmarkStart w:id="165" w:name="_Toc15047"/>
      <w:bookmarkStart w:id="166" w:name="_Toc9349"/>
      <w:bookmarkStart w:id="167" w:name="_Toc28133"/>
      <w:r>
        <w:rPr>
          <w:rFonts w:hint="eastAsia" w:hAnsi="宋体" w:cs="宋体"/>
          <w:b/>
          <w:bCs/>
          <w:snapToGrid w:val="0"/>
          <w:color w:val="auto"/>
          <w:kern w:val="0"/>
          <w:szCs w:val="24"/>
        </w:rPr>
        <w:t>4.1</w:t>
      </w:r>
      <w:r>
        <w:rPr>
          <w:rFonts w:hint="eastAsia" w:hAnsi="宋体" w:cs="宋体"/>
          <w:snapToGrid w:val="0"/>
          <w:color w:val="auto"/>
          <w:kern w:val="0"/>
          <w:szCs w:val="24"/>
        </w:rPr>
        <w:t xml:space="preserve"> 监理人的违约责任</w:t>
      </w:r>
      <w:bookmarkEnd w:id="165"/>
      <w:bookmarkEnd w:id="166"/>
      <w:bookmarkEnd w:id="167"/>
    </w:p>
    <w:p w14:paraId="025AA65B">
      <w:pPr>
        <w:keepNext w:val="0"/>
        <w:keepLines w:val="0"/>
        <w:pageBreakBefore w:val="0"/>
        <w:kinsoku/>
        <w:wordWrap w:val="0"/>
        <w:overflowPunct/>
        <w:topLinePunct w:val="0"/>
        <w:autoSpaceDE/>
        <w:autoSpaceDN/>
        <w:bidi w:val="0"/>
        <w:adjustRightInd w:val="0"/>
        <w:snapToGrid w:val="0"/>
        <w:spacing w:line="420" w:lineRule="exact"/>
        <w:ind w:firstLine="560"/>
        <w:textAlignment w:val="auto"/>
        <w:rPr>
          <w:rFonts w:hAnsi="宋体" w:cs="宋体"/>
          <w:snapToGrid w:val="0"/>
          <w:color w:val="auto"/>
          <w:kern w:val="0"/>
          <w:szCs w:val="24"/>
        </w:rPr>
      </w:pPr>
      <w:r>
        <w:rPr>
          <w:rFonts w:hint="eastAsia" w:hAnsi="宋体" w:cs="宋体"/>
          <w:snapToGrid w:val="0"/>
          <w:color w:val="auto"/>
          <w:kern w:val="0"/>
          <w:szCs w:val="24"/>
        </w:rPr>
        <w:t>监理人未履行本合同义务的，应承担相应的责任。</w:t>
      </w:r>
    </w:p>
    <w:p w14:paraId="0C6FA00D">
      <w:pPr>
        <w:keepNext w:val="0"/>
        <w:keepLines w:val="0"/>
        <w:pageBreakBefore w:val="0"/>
        <w:kinsoku/>
        <w:wordWrap w:val="0"/>
        <w:overflowPunct/>
        <w:topLinePunct w:val="0"/>
        <w:autoSpaceDE/>
        <w:autoSpaceDN/>
        <w:bidi w:val="0"/>
        <w:adjustRightInd w:val="0"/>
        <w:snapToGrid w:val="0"/>
        <w:spacing w:line="420" w:lineRule="exact"/>
        <w:ind w:firstLine="560"/>
        <w:textAlignment w:val="auto"/>
        <w:rPr>
          <w:rFonts w:hAnsi="宋体" w:cs="宋体"/>
          <w:snapToGrid w:val="0"/>
          <w:color w:val="auto"/>
          <w:kern w:val="0"/>
          <w:szCs w:val="24"/>
        </w:rPr>
      </w:pPr>
      <w:r>
        <w:rPr>
          <w:rFonts w:hint="eastAsia" w:hAnsi="宋体" w:cs="宋体"/>
          <w:b/>
          <w:bCs/>
          <w:snapToGrid w:val="0"/>
          <w:color w:val="auto"/>
          <w:kern w:val="0"/>
          <w:szCs w:val="24"/>
        </w:rPr>
        <w:t>4.1.1</w:t>
      </w:r>
      <w:r>
        <w:rPr>
          <w:rFonts w:hint="eastAsia" w:hAnsi="宋体" w:cs="宋体"/>
          <w:snapToGrid w:val="0"/>
          <w:color w:val="auto"/>
          <w:kern w:val="0"/>
          <w:szCs w:val="24"/>
        </w:rPr>
        <w:t xml:space="preserve"> 因监理人违反本合同约定给委托人造成损失的，监理人应当赔偿委托人损失。</w:t>
      </w:r>
    </w:p>
    <w:p w14:paraId="510B93CB">
      <w:pPr>
        <w:keepNext w:val="0"/>
        <w:keepLines w:val="0"/>
        <w:pageBreakBefore w:val="0"/>
        <w:kinsoku/>
        <w:wordWrap w:val="0"/>
        <w:overflowPunct/>
        <w:topLinePunct w:val="0"/>
        <w:autoSpaceDE/>
        <w:autoSpaceDN/>
        <w:bidi w:val="0"/>
        <w:adjustRightInd w:val="0"/>
        <w:snapToGrid w:val="0"/>
        <w:spacing w:line="420" w:lineRule="exact"/>
        <w:textAlignment w:val="auto"/>
        <w:rPr>
          <w:rFonts w:hAnsi="宋体" w:cs="宋体"/>
          <w:snapToGrid w:val="0"/>
          <w:color w:val="auto"/>
          <w:kern w:val="0"/>
          <w:szCs w:val="24"/>
        </w:rPr>
      </w:pPr>
      <w:r>
        <w:rPr>
          <w:rFonts w:hint="eastAsia" w:hAnsi="宋体" w:cs="宋体"/>
          <w:snapToGrid w:val="0"/>
          <w:color w:val="auto"/>
          <w:kern w:val="0"/>
          <w:szCs w:val="24"/>
        </w:rPr>
        <w:t xml:space="preserve">  </w:t>
      </w:r>
      <w:r>
        <w:rPr>
          <w:rFonts w:hint="eastAsia" w:hAnsi="宋体" w:cs="宋体"/>
          <w:snapToGrid w:val="0"/>
          <w:color w:val="auto"/>
          <w:kern w:val="0"/>
          <w:szCs w:val="24"/>
        </w:rPr>
        <w:sym w:font="Wingdings" w:char="00D8"/>
      </w:r>
      <w:r>
        <w:rPr>
          <w:rFonts w:hint="eastAsia" w:hAnsi="宋体" w:cs="宋体"/>
          <w:snapToGrid w:val="0"/>
          <w:color w:val="auto"/>
          <w:kern w:val="0"/>
          <w:szCs w:val="24"/>
        </w:rPr>
        <w:t xml:space="preserve"> 监理人赔偿金额按下列方法确定：赔偿金＝直接经济损失×正常工作酬金÷</w:t>
      </w:r>
      <w:r>
        <w:rPr>
          <w:rFonts w:hint="eastAsia" w:hAnsi="宋体" w:cs="宋体"/>
          <w:snapToGrid w:val="0"/>
          <w:color w:val="auto"/>
          <w:kern w:val="0"/>
          <w:u w:val="single"/>
        </w:rPr>
        <w:t>项目建安费（总额不超过税后合同监理</w:t>
      </w:r>
      <w:r>
        <w:rPr>
          <w:rFonts w:hint="eastAsia" w:hAnsi="宋体" w:cs="宋体"/>
          <w:snapToGrid w:val="0"/>
          <w:color w:val="auto"/>
          <w:kern w:val="0"/>
          <w:szCs w:val="24"/>
          <w:u w:val="single"/>
        </w:rPr>
        <w:t>服务</w:t>
      </w:r>
      <w:r>
        <w:rPr>
          <w:rFonts w:hint="eastAsia" w:hAnsi="宋体" w:cs="宋体"/>
          <w:snapToGrid w:val="0"/>
          <w:color w:val="auto"/>
          <w:kern w:val="0"/>
          <w:u w:val="single"/>
        </w:rPr>
        <w:t>费）</w:t>
      </w:r>
      <w:r>
        <w:rPr>
          <w:rFonts w:hint="eastAsia" w:hAnsi="宋体" w:cs="宋体"/>
          <w:snapToGrid w:val="0"/>
          <w:color w:val="auto"/>
          <w:kern w:val="0"/>
          <w:szCs w:val="24"/>
        </w:rPr>
        <w:t>。</w:t>
      </w:r>
    </w:p>
    <w:p w14:paraId="1789F99B">
      <w:pPr>
        <w:keepNext w:val="0"/>
        <w:keepLines w:val="0"/>
        <w:pageBreakBefore w:val="0"/>
        <w:kinsoku/>
        <w:wordWrap w:val="0"/>
        <w:overflowPunct/>
        <w:topLinePunct w:val="0"/>
        <w:autoSpaceDE/>
        <w:autoSpaceDN/>
        <w:bidi w:val="0"/>
        <w:adjustRightInd w:val="0"/>
        <w:snapToGrid w:val="0"/>
        <w:spacing w:line="420" w:lineRule="exact"/>
        <w:textAlignment w:val="auto"/>
        <w:rPr>
          <w:rFonts w:hAnsi="宋体" w:cs="宋体"/>
          <w:snapToGrid w:val="0"/>
          <w:color w:val="auto"/>
          <w:kern w:val="0"/>
          <w:szCs w:val="24"/>
        </w:rPr>
      </w:pPr>
      <w:r>
        <w:rPr>
          <w:rFonts w:hint="eastAsia" w:hAnsi="宋体" w:cs="宋体"/>
          <w:snapToGrid w:val="0"/>
          <w:color w:val="auto"/>
          <w:kern w:val="0"/>
          <w:szCs w:val="24"/>
        </w:rPr>
        <w:t xml:space="preserve">     监理人承担部分赔偿责任的，其承担赔偿金额由双方协商确定。</w:t>
      </w:r>
    </w:p>
    <w:p w14:paraId="2229B883">
      <w:pPr>
        <w:keepNext w:val="0"/>
        <w:keepLines w:val="0"/>
        <w:pageBreakBefore w:val="0"/>
        <w:kinsoku/>
        <w:wordWrap w:val="0"/>
        <w:overflowPunct/>
        <w:topLinePunct w:val="0"/>
        <w:autoSpaceDE/>
        <w:autoSpaceDN/>
        <w:bidi w:val="0"/>
        <w:adjustRightInd w:val="0"/>
        <w:snapToGrid w:val="0"/>
        <w:spacing w:line="420" w:lineRule="exact"/>
        <w:ind w:firstLine="560"/>
        <w:textAlignment w:val="auto"/>
        <w:rPr>
          <w:rFonts w:hAnsi="宋体" w:cs="宋体"/>
          <w:snapToGrid w:val="0"/>
          <w:color w:val="auto"/>
          <w:kern w:val="0"/>
          <w:szCs w:val="24"/>
        </w:rPr>
      </w:pPr>
      <w:r>
        <w:rPr>
          <w:rFonts w:hint="eastAsia" w:hAnsi="宋体" w:cs="宋体"/>
          <w:b/>
          <w:bCs/>
          <w:snapToGrid w:val="0"/>
          <w:color w:val="auto"/>
          <w:kern w:val="0"/>
          <w:szCs w:val="24"/>
        </w:rPr>
        <w:t>4.1.2</w:t>
      </w:r>
      <w:r>
        <w:rPr>
          <w:rFonts w:hint="eastAsia" w:hAnsi="宋体" w:cs="宋体"/>
          <w:snapToGrid w:val="0"/>
          <w:color w:val="auto"/>
          <w:kern w:val="0"/>
          <w:szCs w:val="24"/>
        </w:rPr>
        <w:t xml:space="preserve"> 监理人向委托人的索赔不成立时，监理人应赔偿委托人由此发生的费用。</w:t>
      </w:r>
    </w:p>
    <w:p w14:paraId="42573510">
      <w:pPr>
        <w:keepNext w:val="0"/>
        <w:keepLines w:val="0"/>
        <w:pageBreakBefore w:val="0"/>
        <w:kinsoku/>
        <w:wordWrap w:val="0"/>
        <w:overflowPunct/>
        <w:topLinePunct w:val="0"/>
        <w:autoSpaceDE/>
        <w:autoSpaceDN/>
        <w:bidi w:val="0"/>
        <w:adjustRightInd w:val="0"/>
        <w:snapToGrid w:val="0"/>
        <w:spacing w:line="420" w:lineRule="exact"/>
        <w:ind w:firstLine="560"/>
        <w:textAlignment w:val="auto"/>
        <w:outlineLvl w:val="2"/>
        <w:rPr>
          <w:rFonts w:hAnsi="宋体" w:cs="宋体"/>
          <w:snapToGrid w:val="0"/>
          <w:color w:val="auto"/>
          <w:kern w:val="0"/>
          <w:szCs w:val="24"/>
        </w:rPr>
      </w:pPr>
      <w:bookmarkStart w:id="168" w:name="_Toc2188"/>
      <w:bookmarkStart w:id="169" w:name="_Toc28294"/>
      <w:bookmarkStart w:id="170" w:name="_Toc27680"/>
      <w:r>
        <w:rPr>
          <w:rFonts w:hint="eastAsia" w:hAnsi="宋体" w:cs="宋体"/>
          <w:b/>
          <w:bCs/>
          <w:snapToGrid w:val="0"/>
          <w:color w:val="auto"/>
          <w:kern w:val="0"/>
          <w:szCs w:val="24"/>
        </w:rPr>
        <w:t>4.2</w:t>
      </w:r>
      <w:r>
        <w:rPr>
          <w:rFonts w:hint="eastAsia" w:hAnsi="宋体" w:cs="宋体"/>
          <w:snapToGrid w:val="0"/>
          <w:color w:val="auto"/>
          <w:kern w:val="0"/>
          <w:szCs w:val="24"/>
        </w:rPr>
        <w:t xml:space="preserve"> 委托人的违约责任</w:t>
      </w:r>
      <w:bookmarkEnd w:id="168"/>
      <w:bookmarkEnd w:id="169"/>
      <w:bookmarkEnd w:id="170"/>
    </w:p>
    <w:p w14:paraId="27DA8B76">
      <w:pPr>
        <w:keepNext w:val="0"/>
        <w:keepLines w:val="0"/>
        <w:pageBreakBefore w:val="0"/>
        <w:kinsoku/>
        <w:wordWrap w:val="0"/>
        <w:overflowPunct/>
        <w:topLinePunct w:val="0"/>
        <w:autoSpaceDE/>
        <w:autoSpaceDN/>
        <w:bidi w:val="0"/>
        <w:adjustRightInd w:val="0"/>
        <w:snapToGrid w:val="0"/>
        <w:spacing w:line="420" w:lineRule="exact"/>
        <w:ind w:firstLine="560"/>
        <w:textAlignment w:val="auto"/>
        <w:rPr>
          <w:rFonts w:hAnsi="宋体" w:cs="宋体"/>
          <w:snapToGrid w:val="0"/>
          <w:color w:val="auto"/>
          <w:kern w:val="0"/>
          <w:szCs w:val="24"/>
        </w:rPr>
      </w:pPr>
      <w:r>
        <w:rPr>
          <w:rFonts w:hint="eastAsia" w:hAnsi="宋体" w:cs="宋体"/>
          <w:snapToGrid w:val="0"/>
          <w:color w:val="auto"/>
          <w:kern w:val="0"/>
          <w:szCs w:val="24"/>
        </w:rPr>
        <w:t>委托人未履行本合同义务的，应承担相应的责任。</w:t>
      </w:r>
    </w:p>
    <w:p w14:paraId="0152DF79">
      <w:pPr>
        <w:keepNext w:val="0"/>
        <w:keepLines w:val="0"/>
        <w:pageBreakBefore w:val="0"/>
        <w:kinsoku/>
        <w:wordWrap w:val="0"/>
        <w:overflowPunct/>
        <w:topLinePunct w:val="0"/>
        <w:autoSpaceDE/>
        <w:autoSpaceDN/>
        <w:bidi w:val="0"/>
        <w:adjustRightInd w:val="0"/>
        <w:snapToGrid w:val="0"/>
        <w:spacing w:line="420" w:lineRule="exact"/>
        <w:ind w:firstLine="560"/>
        <w:textAlignment w:val="auto"/>
        <w:rPr>
          <w:rFonts w:hAnsi="宋体" w:cs="宋体"/>
          <w:snapToGrid w:val="0"/>
          <w:color w:val="auto"/>
          <w:kern w:val="0"/>
          <w:szCs w:val="24"/>
        </w:rPr>
      </w:pPr>
      <w:r>
        <w:rPr>
          <w:rFonts w:hint="eastAsia" w:hAnsi="宋体" w:cs="宋体"/>
          <w:b/>
          <w:bCs/>
          <w:snapToGrid w:val="0"/>
          <w:color w:val="auto"/>
          <w:kern w:val="0"/>
          <w:szCs w:val="24"/>
        </w:rPr>
        <w:t>4.2.1</w:t>
      </w:r>
      <w:r>
        <w:rPr>
          <w:rFonts w:hint="eastAsia" w:hAnsi="宋体" w:cs="宋体"/>
          <w:snapToGrid w:val="0"/>
          <w:color w:val="auto"/>
          <w:kern w:val="0"/>
          <w:szCs w:val="24"/>
        </w:rPr>
        <w:t xml:space="preserve"> 委托人违反本合同约定造成监理人损失的，委托人应予以赔偿。</w:t>
      </w:r>
    </w:p>
    <w:p w14:paraId="4AC88155">
      <w:pPr>
        <w:keepNext w:val="0"/>
        <w:keepLines w:val="0"/>
        <w:pageBreakBefore w:val="0"/>
        <w:kinsoku/>
        <w:wordWrap w:val="0"/>
        <w:overflowPunct/>
        <w:topLinePunct w:val="0"/>
        <w:autoSpaceDE/>
        <w:autoSpaceDN/>
        <w:bidi w:val="0"/>
        <w:adjustRightInd w:val="0"/>
        <w:snapToGrid w:val="0"/>
        <w:spacing w:line="420" w:lineRule="exact"/>
        <w:ind w:firstLine="560"/>
        <w:textAlignment w:val="auto"/>
        <w:rPr>
          <w:rFonts w:hAnsi="宋体" w:cs="宋体"/>
          <w:snapToGrid w:val="0"/>
          <w:color w:val="auto"/>
          <w:kern w:val="0"/>
          <w:szCs w:val="24"/>
        </w:rPr>
      </w:pPr>
      <w:r>
        <w:rPr>
          <w:rFonts w:hint="eastAsia" w:hAnsi="宋体" w:cs="宋体"/>
          <w:b/>
          <w:bCs/>
          <w:snapToGrid w:val="0"/>
          <w:color w:val="auto"/>
          <w:kern w:val="0"/>
          <w:szCs w:val="24"/>
        </w:rPr>
        <w:t>4.2.2</w:t>
      </w:r>
      <w:r>
        <w:rPr>
          <w:rFonts w:hint="eastAsia" w:hAnsi="宋体" w:cs="宋体"/>
          <w:snapToGrid w:val="0"/>
          <w:color w:val="auto"/>
          <w:kern w:val="0"/>
          <w:szCs w:val="24"/>
        </w:rPr>
        <w:t xml:space="preserve"> 委托人向监理人的索赔不成立时，应赔偿监理人由此引起的费用。</w:t>
      </w:r>
    </w:p>
    <w:p w14:paraId="01FF24F1">
      <w:pPr>
        <w:keepNext w:val="0"/>
        <w:keepLines w:val="0"/>
        <w:pageBreakBefore w:val="0"/>
        <w:kinsoku/>
        <w:wordWrap w:val="0"/>
        <w:overflowPunct/>
        <w:topLinePunct w:val="0"/>
        <w:autoSpaceDE/>
        <w:autoSpaceDN/>
        <w:bidi w:val="0"/>
        <w:adjustRightInd w:val="0"/>
        <w:snapToGrid w:val="0"/>
        <w:spacing w:line="420" w:lineRule="exact"/>
        <w:ind w:firstLine="560"/>
        <w:textAlignment w:val="auto"/>
        <w:rPr>
          <w:rFonts w:hAnsi="宋体" w:cs="宋体"/>
          <w:snapToGrid w:val="0"/>
          <w:color w:val="auto"/>
          <w:kern w:val="0"/>
          <w:szCs w:val="24"/>
        </w:rPr>
      </w:pPr>
      <w:r>
        <w:rPr>
          <w:rFonts w:hint="eastAsia" w:hAnsi="宋体" w:cs="宋体"/>
          <w:b/>
          <w:bCs/>
          <w:snapToGrid w:val="0"/>
          <w:color w:val="auto"/>
          <w:kern w:val="0"/>
          <w:szCs w:val="24"/>
        </w:rPr>
        <w:t>4.2.3</w:t>
      </w:r>
      <w:r>
        <w:rPr>
          <w:rFonts w:hint="eastAsia" w:hAnsi="宋体" w:cs="宋体"/>
          <w:snapToGrid w:val="0"/>
          <w:color w:val="auto"/>
          <w:kern w:val="0"/>
          <w:szCs w:val="24"/>
        </w:rPr>
        <w:t xml:space="preserve"> 委托人未能按期支付酬金超过28天，应支付逾期付款利息。委托人逾期付款利息按下列方法确定：逾期付款利息＝当期应付款总额×银行同期贷款利率×拖延支付天数。</w:t>
      </w:r>
    </w:p>
    <w:p w14:paraId="0B104801">
      <w:pPr>
        <w:keepNext w:val="0"/>
        <w:keepLines w:val="0"/>
        <w:pageBreakBefore w:val="0"/>
        <w:kinsoku/>
        <w:wordWrap w:val="0"/>
        <w:overflowPunct/>
        <w:topLinePunct w:val="0"/>
        <w:autoSpaceDE/>
        <w:autoSpaceDN/>
        <w:bidi w:val="0"/>
        <w:adjustRightInd w:val="0"/>
        <w:snapToGrid w:val="0"/>
        <w:spacing w:line="420" w:lineRule="exact"/>
        <w:ind w:firstLine="560"/>
        <w:textAlignment w:val="auto"/>
        <w:outlineLvl w:val="2"/>
        <w:rPr>
          <w:rFonts w:hAnsi="宋体" w:cs="宋体"/>
          <w:snapToGrid w:val="0"/>
          <w:color w:val="auto"/>
          <w:kern w:val="0"/>
          <w:szCs w:val="24"/>
        </w:rPr>
      </w:pPr>
      <w:bookmarkStart w:id="171" w:name="_Toc7301"/>
      <w:bookmarkStart w:id="172" w:name="_Toc11108"/>
      <w:bookmarkStart w:id="173" w:name="_Toc7356"/>
      <w:r>
        <w:rPr>
          <w:rFonts w:hint="eastAsia" w:hAnsi="宋体" w:cs="宋体"/>
          <w:b/>
          <w:bCs/>
          <w:snapToGrid w:val="0"/>
          <w:color w:val="auto"/>
          <w:kern w:val="0"/>
          <w:szCs w:val="24"/>
        </w:rPr>
        <w:t>4.3</w:t>
      </w:r>
      <w:r>
        <w:rPr>
          <w:rFonts w:hint="eastAsia" w:hAnsi="宋体" w:cs="宋体"/>
          <w:snapToGrid w:val="0"/>
          <w:color w:val="auto"/>
          <w:kern w:val="0"/>
          <w:szCs w:val="24"/>
        </w:rPr>
        <w:t xml:space="preserve"> 除外责任</w:t>
      </w:r>
      <w:bookmarkEnd w:id="171"/>
      <w:bookmarkEnd w:id="172"/>
      <w:bookmarkEnd w:id="173"/>
    </w:p>
    <w:p w14:paraId="1B823DE8">
      <w:pPr>
        <w:keepNext w:val="0"/>
        <w:keepLines w:val="0"/>
        <w:pageBreakBefore w:val="0"/>
        <w:kinsoku/>
        <w:wordWrap w:val="0"/>
        <w:overflowPunct/>
        <w:topLinePunct w:val="0"/>
        <w:autoSpaceDE/>
        <w:autoSpaceDN/>
        <w:bidi w:val="0"/>
        <w:adjustRightInd w:val="0"/>
        <w:snapToGrid w:val="0"/>
        <w:spacing w:line="420" w:lineRule="exact"/>
        <w:ind w:firstLine="560"/>
        <w:textAlignment w:val="auto"/>
        <w:rPr>
          <w:rFonts w:hAnsi="宋体" w:cs="宋体"/>
          <w:snapToGrid w:val="0"/>
          <w:color w:val="auto"/>
          <w:kern w:val="0"/>
          <w:szCs w:val="24"/>
        </w:rPr>
      </w:pPr>
      <w:r>
        <w:rPr>
          <w:rFonts w:hint="eastAsia" w:hAnsi="宋体" w:cs="宋体"/>
          <w:snapToGrid w:val="0"/>
          <w:color w:val="auto"/>
          <w:kern w:val="0"/>
          <w:szCs w:val="24"/>
        </w:rPr>
        <w:t>因非监理人的原因，且监理人无过错，发生工程质量事故、安全事故、工期延误等造成的损失，监理人不承担赔偿责任。</w:t>
      </w:r>
    </w:p>
    <w:p w14:paraId="48D7A277">
      <w:pPr>
        <w:keepNext w:val="0"/>
        <w:keepLines w:val="0"/>
        <w:pageBreakBefore w:val="0"/>
        <w:kinsoku/>
        <w:wordWrap w:val="0"/>
        <w:overflowPunct/>
        <w:topLinePunct w:val="0"/>
        <w:autoSpaceDE/>
        <w:autoSpaceDN/>
        <w:bidi w:val="0"/>
        <w:adjustRightInd w:val="0"/>
        <w:snapToGrid w:val="0"/>
        <w:spacing w:line="420" w:lineRule="exact"/>
        <w:ind w:firstLine="560"/>
        <w:textAlignment w:val="auto"/>
        <w:rPr>
          <w:rFonts w:hAnsi="宋体" w:cs="宋体"/>
          <w:snapToGrid w:val="0"/>
          <w:color w:val="auto"/>
          <w:kern w:val="0"/>
          <w:szCs w:val="24"/>
        </w:rPr>
      </w:pPr>
      <w:r>
        <w:rPr>
          <w:rFonts w:hint="eastAsia" w:hAnsi="宋体" w:cs="宋体"/>
          <w:snapToGrid w:val="0"/>
          <w:color w:val="auto"/>
          <w:kern w:val="0"/>
          <w:szCs w:val="24"/>
        </w:rPr>
        <w:t>因不可抗力导致本合同全部或部分不能履行时，双方各自承担其因此而造成的损失、损害。</w:t>
      </w:r>
    </w:p>
    <w:p w14:paraId="7852CF7F">
      <w:pPr>
        <w:keepNext w:val="0"/>
        <w:keepLines w:val="0"/>
        <w:pageBreakBefore w:val="0"/>
        <w:kinsoku/>
        <w:wordWrap w:val="0"/>
        <w:overflowPunct/>
        <w:topLinePunct w:val="0"/>
        <w:autoSpaceDE/>
        <w:autoSpaceDN/>
        <w:bidi w:val="0"/>
        <w:adjustRightInd w:val="0"/>
        <w:snapToGrid w:val="0"/>
        <w:spacing w:line="360" w:lineRule="auto"/>
        <w:ind w:firstLine="560"/>
        <w:textAlignment w:val="auto"/>
        <w:outlineLvl w:val="1"/>
        <w:rPr>
          <w:rFonts w:hAnsi="宋体" w:cs="宋体"/>
          <w:snapToGrid w:val="0"/>
          <w:color w:val="auto"/>
          <w:kern w:val="0"/>
          <w:szCs w:val="24"/>
        </w:rPr>
      </w:pPr>
      <w:r>
        <w:rPr>
          <w:rFonts w:hint="eastAsia" w:hAnsi="宋体" w:cs="宋体"/>
          <w:b/>
          <w:bCs/>
          <w:snapToGrid w:val="0"/>
          <w:color w:val="auto"/>
          <w:kern w:val="0"/>
          <w:szCs w:val="24"/>
        </w:rPr>
        <w:t>5．支付</w:t>
      </w:r>
      <w:bookmarkEnd w:id="161"/>
      <w:bookmarkEnd w:id="162"/>
      <w:bookmarkEnd w:id="163"/>
      <w:bookmarkEnd w:id="164"/>
    </w:p>
    <w:p w14:paraId="20A93730">
      <w:pPr>
        <w:keepNext w:val="0"/>
        <w:keepLines w:val="0"/>
        <w:pageBreakBefore w:val="0"/>
        <w:kinsoku/>
        <w:wordWrap w:val="0"/>
        <w:overflowPunct/>
        <w:topLinePunct w:val="0"/>
        <w:autoSpaceDE/>
        <w:autoSpaceDN/>
        <w:bidi w:val="0"/>
        <w:adjustRightInd w:val="0"/>
        <w:snapToGrid w:val="0"/>
        <w:spacing w:line="360" w:lineRule="auto"/>
        <w:ind w:firstLine="560"/>
        <w:textAlignment w:val="auto"/>
        <w:outlineLvl w:val="2"/>
        <w:rPr>
          <w:rFonts w:hAnsi="宋体" w:cs="宋体"/>
          <w:snapToGrid w:val="0"/>
          <w:color w:val="auto"/>
          <w:kern w:val="0"/>
          <w:szCs w:val="24"/>
        </w:rPr>
      </w:pPr>
      <w:bookmarkStart w:id="174" w:name="_Toc13619"/>
      <w:bookmarkStart w:id="175" w:name="_Toc624"/>
      <w:bookmarkStart w:id="176" w:name="_Toc9024"/>
      <w:r>
        <w:rPr>
          <w:rFonts w:hint="eastAsia" w:hAnsi="宋体" w:cs="宋体"/>
          <w:b/>
          <w:bCs/>
          <w:snapToGrid w:val="0"/>
          <w:color w:val="auto"/>
          <w:kern w:val="0"/>
          <w:szCs w:val="24"/>
        </w:rPr>
        <w:t>5.1</w:t>
      </w:r>
      <w:r>
        <w:rPr>
          <w:rFonts w:hint="eastAsia" w:hAnsi="宋体" w:cs="宋体"/>
          <w:snapToGrid w:val="0"/>
          <w:color w:val="auto"/>
          <w:kern w:val="0"/>
          <w:szCs w:val="24"/>
        </w:rPr>
        <w:t xml:space="preserve"> 支付货币</w:t>
      </w:r>
      <w:bookmarkEnd w:id="174"/>
      <w:bookmarkEnd w:id="175"/>
      <w:bookmarkEnd w:id="176"/>
    </w:p>
    <w:p w14:paraId="7DA7BF88">
      <w:pPr>
        <w:keepNext w:val="0"/>
        <w:keepLines w:val="0"/>
        <w:pageBreakBefore w:val="0"/>
        <w:kinsoku/>
        <w:wordWrap w:val="0"/>
        <w:overflowPunct/>
        <w:topLinePunct w:val="0"/>
        <w:autoSpaceDE/>
        <w:autoSpaceDN/>
        <w:bidi w:val="0"/>
        <w:adjustRightInd w:val="0"/>
        <w:snapToGrid w:val="0"/>
        <w:spacing w:line="420" w:lineRule="exact"/>
        <w:ind w:firstLine="560"/>
        <w:textAlignment w:val="auto"/>
        <w:rPr>
          <w:rFonts w:hAnsi="宋体" w:cs="宋体"/>
          <w:snapToGrid w:val="0"/>
          <w:color w:val="auto"/>
          <w:kern w:val="0"/>
          <w:szCs w:val="24"/>
        </w:rPr>
      </w:pPr>
      <w:r>
        <w:rPr>
          <w:rFonts w:hint="eastAsia" w:hAnsi="宋体" w:cs="宋体"/>
          <w:snapToGrid w:val="0"/>
          <w:color w:val="auto"/>
          <w:kern w:val="0"/>
          <w:szCs w:val="24"/>
        </w:rPr>
        <w:t>酬金均以人民币支付。</w:t>
      </w:r>
    </w:p>
    <w:p w14:paraId="08C07DDA">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outlineLvl w:val="2"/>
        <w:rPr>
          <w:rFonts w:hAnsi="宋体" w:cs="宋体"/>
          <w:snapToGrid w:val="0"/>
          <w:color w:val="auto"/>
          <w:kern w:val="0"/>
          <w:szCs w:val="24"/>
        </w:rPr>
      </w:pPr>
      <w:bookmarkStart w:id="177" w:name="_Toc7275"/>
      <w:bookmarkStart w:id="178" w:name="_Toc10949"/>
      <w:bookmarkStart w:id="179" w:name="_Toc3949"/>
      <w:r>
        <w:rPr>
          <w:rFonts w:hint="eastAsia" w:hAnsi="宋体" w:cs="宋体"/>
          <w:b/>
          <w:bCs/>
          <w:snapToGrid w:val="0"/>
          <w:color w:val="auto"/>
          <w:kern w:val="0"/>
          <w:szCs w:val="24"/>
        </w:rPr>
        <w:t>5.2</w:t>
      </w:r>
      <w:r>
        <w:rPr>
          <w:rFonts w:hint="eastAsia" w:hAnsi="宋体" w:cs="宋体"/>
          <w:snapToGrid w:val="0"/>
          <w:color w:val="auto"/>
          <w:kern w:val="0"/>
          <w:szCs w:val="24"/>
        </w:rPr>
        <w:t xml:space="preserve"> 支付申请</w:t>
      </w:r>
      <w:bookmarkEnd w:id="177"/>
      <w:bookmarkEnd w:id="178"/>
      <w:bookmarkEnd w:id="179"/>
    </w:p>
    <w:p w14:paraId="6A518E62">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Ansi="宋体" w:cs="宋体"/>
          <w:snapToGrid w:val="0"/>
          <w:color w:val="auto"/>
          <w:kern w:val="0"/>
          <w:szCs w:val="24"/>
        </w:rPr>
      </w:pPr>
      <w:r>
        <w:rPr>
          <w:rFonts w:hint="eastAsia" w:hAnsi="宋体" w:cs="宋体"/>
          <w:snapToGrid w:val="0"/>
          <w:color w:val="auto"/>
          <w:kern w:val="0"/>
          <w:szCs w:val="24"/>
        </w:rPr>
        <w:t>监理人应在本合同约定的每次应付款时间的7天前，向委托人提交支付申请书。支付申请书应当说明当期应付款总额，并列出当期应支付的款项及其金额。</w:t>
      </w:r>
    </w:p>
    <w:p w14:paraId="40B58BB1">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outlineLvl w:val="2"/>
        <w:rPr>
          <w:rFonts w:hAnsi="宋体" w:cs="宋体"/>
          <w:snapToGrid w:val="0"/>
          <w:color w:val="auto"/>
          <w:kern w:val="0"/>
          <w:szCs w:val="24"/>
        </w:rPr>
      </w:pPr>
      <w:bookmarkStart w:id="180" w:name="_Toc17883"/>
      <w:bookmarkStart w:id="181" w:name="_Toc25652"/>
      <w:bookmarkStart w:id="182" w:name="_Toc6801"/>
      <w:r>
        <w:rPr>
          <w:rFonts w:hint="eastAsia" w:hAnsi="宋体" w:cs="宋体"/>
          <w:b/>
          <w:bCs/>
          <w:snapToGrid w:val="0"/>
          <w:color w:val="auto"/>
          <w:kern w:val="0"/>
          <w:szCs w:val="24"/>
        </w:rPr>
        <w:t>5.3</w:t>
      </w:r>
      <w:r>
        <w:rPr>
          <w:rFonts w:hint="eastAsia" w:hAnsi="宋体" w:cs="宋体"/>
          <w:snapToGrid w:val="0"/>
          <w:color w:val="auto"/>
          <w:kern w:val="0"/>
          <w:szCs w:val="24"/>
        </w:rPr>
        <w:t xml:space="preserve"> 支付酬金</w:t>
      </w:r>
      <w:bookmarkEnd w:id="180"/>
      <w:bookmarkEnd w:id="181"/>
      <w:bookmarkEnd w:id="182"/>
    </w:p>
    <w:p w14:paraId="0F5ABB19">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（1）本项目支付监理服务费</w:t>
      </w:r>
      <w:r>
        <w:rPr>
          <w:rFonts w:hint="eastAsia" w:ascii="Times New Roman"/>
          <w:snapToGrid w:val="0"/>
          <w:color w:val="auto"/>
          <w:kern w:val="0"/>
          <w:highlight w:val="none"/>
          <w:lang w:val="en-US" w:eastAsia="zh-CN"/>
        </w:rPr>
        <w:t>30%的</w:t>
      </w:r>
      <w:r>
        <w:rPr>
          <w:rFonts w:hint="eastAsia" w:ascii="Times New Roman"/>
          <w:snapToGrid w:val="0"/>
          <w:color w:val="auto"/>
          <w:kern w:val="0"/>
          <w:highlight w:val="none"/>
        </w:rPr>
        <w:t>预付款；</w:t>
      </w:r>
    </w:p>
    <w:p w14:paraId="3DA60217">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（2）本项目施工阶段按工程进度分期支付监理服务费；具体分期支付方式如下：</w:t>
      </w:r>
    </w:p>
    <w:p w14:paraId="3CE5FF3D">
      <w:pPr>
        <w:wordWrap w:val="0"/>
        <w:adjustRightInd w:val="0"/>
        <w:snapToGrid w:val="0"/>
        <w:spacing w:line="440" w:lineRule="exact"/>
        <w:ind w:firstLine="480" w:firstLineChars="200"/>
        <w:rPr>
          <w:rFonts w:hint="eastAsia" w:ascii="Times New Roman"/>
          <w:snapToGrid w:val="0"/>
          <w:color w:val="auto"/>
          <w:kern w:val="0"/>
          <w:szCs w:val="22"/>
          <w:highlight w:val="none"/>
        </w:rPr>
      </w:pPr>
      <w:r>
        <w:rPr>
          <w:rFonts w:hint="eastAsia" w:ascii="Times New Roman"/>
          <w:snapToGrid w:val="0"/>
          <w:color w:val="auto"/>
          <w:kern w:val="0"/>
          <w:highlight w:val="none"/>
        </w:rPr>
        <w:t>监理服务费=经审核的工程进度实际所有专业施工完成投资额×80%×监理人中标费率；施工过程中累计支付的监理服务费不得超过监理服务费合同价款的80%。</w:t>
      </w:r>
    </w:p>
    <w:p w14:paraId="214F3CA1">
      <w:pPr>
        <w:keepNext w:val="0"/>
        <w:keepLines w:val="0"/>
        <w:pageBreakBefore w:val="0"/>
        <w:numPr>
          <w:ilvl w:val="0"/>
          <w:numId w:val="1"/>
        </w:numPr>
        <w:kinsoku/>
        <w:wordWrap w:val="0"/>
        <w:overflowPunct/>
        <w:topLinePunct w:val="0"/>
        <w:autoSpaceDE/>
        <w:autoSpaceDN/>
        <w:bidi w:val="0"/>
        <w:adjustRightInd w:val="0"/>
        <w:snapToGrid w:val="0"/>
        <w:spacing w:line="420" w:lineRule="exact"/>
        <w:ind w:firstLine="480" w:firstLineChars="200"/>
        <w:textAlignment w:val="auto"/>
        <w:rPr>
          <w:rFonts w:hAnsi="宋体" w:cs="宋体"/>
          <w:snapToGrid w:val="0"/>
          <w:color w:val="auto"/>
          <w:kern w:val="0"/>
          <w:szCs w:val="24"/>
        </w:rPr>
      </w:pPr>
      <w:r>
        <w:rPr>
          <w:rFonts w:hint="eastAsia" w:ascii="Times New Roman"/>
          <w:snapToGrid w:val="0"/>
          <w:color w:val="auto"/>
          <w:kern w:val="0"/>
          <w:highlight w:val="none"/>
        </w:rPr>
        <w:t>工程竣工验收合格并经</w:t>
      </w:r>
      <w:r>
        <w:rPr>
          <w:rFonts w:hint="eastAsia" w:ascii="Times New Roman"/>
          <w:snapToGrid w:val="0"/>
          <w:color w:val="auto"/>
          <w:kern w:val="0"/>
          <w:highlight w:val="none"/>
          <w:lang w:val="en-US" w:eastAsia="zh-CN"/>
        </w:rPr>
        <w:t>财政局</w:t>
      </w:r>
      <w:r>
        <w:rPr>
          <w:rFonts w:hint="eastAsia" w:ascii="Times New Roman"/>
          <w:snapToGrid w:val="0"/>
          <w:color w:val="auto"/>
          <w:kern w:val="0"/>
          <w:highlight w:val="none"/>
        </w:rPr>
        <w:t>投资评审中心结算审核后，委托人于次</w:t>
      </w:r>
      <w:r>
        <w:rPr>
          <w:rFonts w:hint="eastAsia" w:ascii="Times New Roman"/>
          <w:snapToGrid w:val="0"/>
          <w:color w:val="auto"/>
          <w:kern w:val="0"/>
          <w:highlight w:val="none"/>
          <w:lang w:val="en-US" w:eastAsia="zh-CN"/>
        </w:rPr>
        <w:t>月度</w:t>
      </w:r>
      <w:r>
        <w:rPr>
          <w:rFonts w:hint="eastAsia" w:ascii="Times New Roman"/>
          <w:snapToGrid w:val="0"/>
          <w:color w:val="auto"/>
          <w:kern w:val="0"/>
          <w:highlight w:val="none"/>
        </w:rPr>
        <w:t>向监理人支付至监理服务费结算价的</w:t>
      </w:r>
      <w:r>
        <w:rPr>
          <w:rFonts w:hint="eastAsia" w:ascii="Times New Roman"/>
          <w:snapToGrid w:val="0"/>
          <w:color w:val="auto"/>
          <w:kern w:val="0"/>
          <w:highlight w:val="none"/>
          <w:lang w:val="en-US" w:eastAsia="zh-CN"/>
        </w:rPr>
        <w:t>100</w:t>
      </w:r>
      <w:r>
        <w:rPr>
          <w:rFonts w:hint="eastAsia" w:ascii="Times New Roman"/>
          <w:snapToGrid w:val="0"/>
          <w:color w:val="auto"/>
          <w:kern w:val="0"/>
          <w:highlight w:val="none"/>
        </w:rPr>
        <w:t>%。</w:t>
      </w:r>
    </w:p>
    <w:p w14:paraId="79833298">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outlineLvl w:val="2"/>
        <w:rPr>
          <w:rFonts w:hAnsi="宋体" w:cs="宋体"/>
          <w:snapToGrid w:val="0"/>
          <w:color w:val="auto"/>
          <w:kern w:val="0"/>
          <w:szCs w:val="24"/>
        </w:rPr>
      </w:pPr>
      <w:bookmarkStart w:id="183" w:name="_Toc11530"/>
      <w:bookmarkStart w:id="184" w:name="_Toc14938"/>
      <w:bookmarkStart w:id="185" w:name="_Toc26984"/>
      <w:r>
        <w:rPr>
          <w:rFonts w:hint="eastAsia" w:hAnsi="宋体" w:cs="宋体"/>
          <w:b/>
          <w:bCs/>
          <w:snapToGrid w:val="0"/>
          <w:color w:val="auto"/>
          <w:kern w:val="0"/>
          <w:szCs w:val="24"/>
        </w:rPr>
        <w:t>5.4</w:t>
      </w:r>
      <w:r>
        <w:rPr>
          <w:rFonts w:hint="eastAsia" w:hAnsi="宋体" w:cs="宋体"/>
          <w:snapToGrid w:val="0"/>
          <w:color w:val="auto"/>
          <w:kern w:val="0"/>
          <w:szCs w:val="24"/>
        </w:rPr>
        <w:t xml:space="preserve"> 有争议部分的付款</w:t>
      </w:r>
      <w:bookmarkEnd w:id="183"/>
      <w:bookmarkEnd w:id="184"/>
      <w:bookmarkEnd w:id="185"/>
    </w:p>
    <w:p w14:paraId="08D132CB">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Ansi="宋体" w:cs="宋体"/>
          <w:snapToGrid w:val="0"/>
          <w:color w:val="auto"/>
          <w:kern w:val="0"/>
          <w:szCs w:val="24"/>
        </w:rPr>
      </w:pPr>
      <w:r>
        <w:rPr>
          <w:rFonts w:hint="eastAsia" w:hAnsi="宋体" w:cs="宋体"/>
          <w:snapToGrid w:val="0"/>
          <w:color w:val="auto"/>
          <w:kern w:val="0"/>
          <w:szCs w:val="24"/>
        </w:rPr>
        <w:t>委托人对监理人提交的支付申请书有异议时，应当在收到监理人提交的支付申请书后7天内，以书面形式向监理人发出异议通知。无异议部分的款项应按期支付，有异议部分的款项按本章第</w:t>
      </w:r>
      <w:r>
        <w:rPr>
          <w:rFonts w:hint="eastAsia" w:hAnsi="宋体" w:cs="宋体"/>
          <w:b/>
          <w:bCs/>
          <w:snapToGrid w:val="0"/>
          <w:color w:val="auto"/>
          <w:kern w:val="0"/>
          <w:szCs w:val="24"/>
        </w:rPr>
        <w:t>7</w:t>
      </w:r>
      <w:r>
        <w:rPr>
          <w:rFonts w:hint="eastAsia" w:hAnsi="宋体" w:cs="宋体"/>
          <w:snapToGrid w:val="0"/>
          <w:color w:val="auto"/>
          <w:kern w:val="0"/>
          <w:szCs w:val="24"/>
        </w:rPr>
        <w:t>条处理。</w:t>
      </w:r>
    </w:p>
    <w:p w14:paraId="2AF65ADB">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outlineLvl w:val="1"/>
        <w:rPr>
          <w:rFonts w:hAnsi="宋体" w:cs="宋体"/>
          <w:b/>
          <w:bCs/>
          <w:snapToGrid w:val="0"/>
          <w:color w:val="auto"/>
          <w:kern w:val="0"/>
          <w:szCs w:val="24"/>
        </w:rPr>
      </w:pPr>
      <w:bookmarkStart w:id="186" w:name="_Toc5107"/>
      <w:bookmarkStart w:id="187" w:name="_Toc8398"/>
      <w:bookmarkStart w:id="188" w:name="_Toc11091"/>
      <w:bookmarkStart w:id="189" w:name="_Toc12317"/>
      <w:r>
        <w:rPr>
          <w:rFonts w:hint="eastAsia" w:hAnsi="宋体" w:cs="宋体"/>
          <w:b/>
          <w:bCs/>
          <w:snapToGrid w:val="0"/>
          <w:color w:val="auto"/>
          <w:kern w:val="0"/>
          <w:szCs w:val="24"/>
        </w:rPr>
        <w:t>6．合同生效、变更、暂停、解除与终止</w:t>
      </w:r>
      <w:bookmarkEnd w:id="186"/>
      <w:bookmarkEnd w:id="187"/>
      <w:bookmarkEnd w:id="188"/>
      <w:bookmarkEnd w:id="189"/>
    </w:p>
    <w:p w14:paraId="4AA44D18">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outlineLvl w:val="2"/>
        <w:rPr>
          <w:rFonts w:hAnsi="宋体" w:cs="宋体"/>
          <w:snapToGrid w:val="0"/>
          <w:color w:val="auto"/>
          <w:kern w:val="0"/>
          <w:szCs w:val="24"/>
        </w:rPr>
      </w:pPr>
      <w:bookmarkStart w:id="190" w:name="_Toc20360"/>
      <w:bookmarkStart w:id="191" w:name="_Toc27548"/>
      <w:bookmarkStart w:id="192" w:name="_Toc5937"/>
      <w:bookmarkStart w:id="193" w:name="_Toc5945"/>
      <w:bookmarkStart w:id="194" w:name="_Toc3840"/>
      <w:bookmarkStart w:id="195" w:name="_Toc11683"/>
      <w:bookmarkStart w:id="196" w:name="_Toc27687"/>
      <w:r>
        <w:rPr>
          <w:rFonts w:hint="eastAsia" w:hAnsi="宋体" w:cs="宋体"/>
          <w:b/>
          <w:bCs/>
          <w:snapToGrid w:val="0"/>
          <w:color w:val="auto"/>
          <w:kern w:val="0"/>
          <w:szCs w:val="24"/>
        </w:rPr>
        <w:t>6.1</w:t>
      </w:r>
      <w:r>
        <w:rPr>
          <w:rFonts w:hint="eastAsia" w:hAnsi="宋体" w:cs="宋体"/>
          <w:snapToGrid w:val="0"/>
          <w:color w:val="auto"/>
          <w:kern w:val="0"/>
          <w:szCs w:val="24"/>
        </w:rPr>
        <w:t xml:space="preserve"> 生效</w:t>
      </w:r>
      <w:bookmarkEnd w:id="190"/>
      <w:bookmarkEnd w:id="191"/>
      <w:bookmarkEnd w:id="192"/>
    </w:p>
    <w:p w14:paraId="3820D452">
      <w:pPr>
        <w:keepNext w:val="0"/>
        <w:keepLines w:val="0"/>
        <w:pageBreakBefore w:val="0"/>
        <w:kinsoku/>
        <w:wordWrap w:val="0"/>
        <w:overflowPunct/>
        <w:topLinePunct w:val="0"/>
        <w:autoSpaceDE/>
        <w:autoSpaceDN/>
        <w:bidi w:val="0"/>
        <w:adjustRightInd w:val="0"/>
        <w:snapToGrid w:val="0"/>
        <w:spacing w:line="420" w:lineRule="exact"/>
        <w:textAlignment w:val="auto"/>
        <w:rPr>
          <w:rFonts w:hAnsi="宋体" w:cs="宋体"/>
          <w:snapToGrid w:val="0"/>
          <w:color w:val="auto"/>
          <w:kern w:val="0"/>
          <w:szCs w:val="24"/>
        </w:rPr>
      </w:pPr>
      <w:r>
        <w:rPr>
          <w:rFonts w:hint="eastAsia" w:hAnsi="宋体" w:cs="宋体"/>
          <w:snapToGrid w:val="0"/>
          <w:color w:val="auto"/>
          <w:kern w:val="0"/>
          <w:szCs w:val="24"/>
        </w:rPr>
        <w:t xml:space="preserve">   委托人和监理人的法定代表人或其授权代理人在协议书上签字并盖单位章后本合同生效。</w:t>
      </w:r>
    </w:p>
    <w:p w14:paraId="530DAA4E">
      <w:pPr>
        <w:keepNext w:val="0"/>
        <w:keepLines w:val="0"/>
        <w:pageBreakBefore w:val="0"/>
        <w:kinsoku/>
        <w:wordWrap w:val="0"/>
        <w:overflowPunct/>
        <w:topLinePunct w:val="0"/>
        <w:autoSpaceDE/>
        <w:autoSpaceDN/>
        <w:bidi w:val="0"/>
        <w:adjustRightInd w:val="0"/>
        <w:snapToGrid w:val="0"/>
        <w:spacing w:line="420" w:lineRule="exact"/>
        <w:textAlignment w:val="auto"/>
        <w:outlineLvl w:val="2"/>
        <w:rPr>
          <w:rFonts w:hAnsi="宋体" w:cs="宋体"/>
          <w:snapToGrid w:val="0"/>
          <w:color w:val="auto"/>
          <w:kern w:val="0"/>
          <w:szCs w:val="24"/>
        </w:rPr>
      </w:pPr>
      <w:r>
        <w:rPr>
          <w:rFonts w:hint="eastAsia" w:hAnsi="宋体" w:cs="宋体"/>
          <w:snapToGrid w:val="0"/>
          <w:color w:val="auto"/>
          <w:kern w:val="0"/>
          <w:szCs w:val="24"/>
        </w:rPr>
        <w:t xml:space="preserve">    </w:t>
      </w:r>
      <w:bookmarkStart w:id="197" w:name="_Toc1739"/>
      <w:bookmarkStart w:id="198" w:name="_Toc636"/>
      <w:bookmarkStart w:id="199" w:name="_Toc9359"/>
      <w:r>
        <w:rPr>
          <w:rFonts w:hint="eastAsia" w:hAnsi="宋体" w:cs="宋体"/>
          <w:b/>
          <w:bCs/>
          <w:snapToGrid w:val="0"/>
          <w:color w:val="auto"/>
          <w:kern w:val="0"/>
          <w:szCs w:val="24"/>
        </w:rPr>
        <w:t>6.2</w:t>
      </w:r>
      <w:r>
        <w:rPr>
          <w:rFonts w:hint="eastAsia" w:hAnsi="宋体" w:cs="宋体"/>
          <w:snapToGrid w:val="0"/>
          <w:color w:val="auto"/>
          <w:kern w:val="0"/>
          <w:szCs w:val="24"/>
        </w:rPr>
        <w:t xml:space="preserve"> 变更</w:t>
      </w:r>
      <w:bookmarkEnd w:id="197"/>
      <w:bookmarkEnd w:id="198"/>
      <w:bookmarkEnd w:id="199"/>
    </w:p>
    <w:p w14:paraId="074A3A3F">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rPr>
          <w:rFonts w:hAnsi="宋体" w:cs="宋体"/>
          <w:snapToGrid w:val="0"/>
          <w:color w:val="auto"/>
          <w:kern w:val="0"/>
          <w:szCs w:val="24"/>
        </w:rPr>
      </w:pPr>
      <w:r>
        <w:rPr>
          <w:rFonts w:hint="eastAsia" w:hAnsi="宋体" w:cs="宋体"/>
          <w:b/>
          <w:bCs/>
          <w:snapToGrid w:val="0"/>
          <w:color w:val="auto"/>
          <w:kern w:val="0"/>
          <w:szCs w:val="24"/>
        </w:rPr>
        <w:t>6.2.1</w:t>
      </w:r>
      <w:r>
        <w:rPr>
          <w:rFonts w:hint="eastAsia" w:hAnsi="宋体" w:cs="宋体"/>
          <w:snapToGrid w:val="0"/>
          <w:color w:val="auto"/>
          <w:kern w:val="0"/>
          <w:szCs w:val="24"/>
        </w:rPr>
        <w:t xml:space="preserve"> 任何一方提出变更请求时，双方经协商一致后可进行变更。</w:t>
      </w:r>
    </w:p>
    <w:p w14:paraId="6FD1514F">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rPr>
          <w:rFonts w:hAnsi="宋体" w:cs="宋体"/>
          <w:snapToGrid w:val="0"/>
          <w:color w:val="auto"/>
          <w:kern w:val="0"/>
          <w:szCs w:val="24"/>
        </w:rPr>
      </w:pPr>
      <w:r>
        <w:rPr>
          <w:rFonts w:hint="eastAsia" w:hAnsi="宋体" w:cs="宋体"/>
          <w:b/>
          <w:bCs/>
          <w:snapToGrid w:val="0"/>
          <w:color w:val="auto"/>
          <w:kern w:val="0"/>
          <w:szCs w:val="24"/>
        </w:rPr>
        <w:t>6.2.2</w:t>
      </w:r>
      <w:r>
        <w:rPr>
          <w:rFonts w:hint="eastAsia" w:hAnsi="宋体" w:cs="宋体"/>
          <w:snapToGrid w:val="0"/>
          <w:color w:val="auto"/>
          <w:kern w:val="0"/>
          <w:szCs w:val="24"/>
        </w:rPr>
        <w:t>除不可抗力外，因非监理人原因导致监理人履行合同期限延长、内容增加时，监理人应当将此情况与可能产生的影响及时通知委托人。增加的监理工作时间、工作内容应视为附加工作。</w:t>
      </w:r>
    </w:p>
    <w:p w14:paraId="29C620FD">
      <w:pPr>
        <w:keepNext w:val="0"/>
        <w:keepLines w:val="0"/>
        <w:pageBreakBefore w:val="0"/>
        <w:kinsoku/>
        <w:wordWrap w:val="0"/>
        <w:overflowPunct/>
        <w:topLinePunct w:val="0"/>
        <w:autoSpaceDE/>
        <w:autoSpaceDN/>
        <w:bidi w:val="0"/>
        <w:adjustRightInd w:val="0"/>
        <w:snapToGrid w:val="0"/>
        <w:spacing w:line="420" w:lineRule="exact"/>
        <w:ind w:firstLine="240" w:firstLineChars="100"/>
        <w:textAlignment w:val="auto"/>
        <w:rPr>
          <w:rFonts w:hAnsi="宋体" w:cs="宋体"/>
          <w:snapToGrid w:val="0"/>
          <w:color w:val="auto"/>
          <w:kern w:val="0"/>
          <w:szCs w:val="24"/>
        </w:rPr>
      </w:pPr>
      <w:r>
        <w:rPr>
          <w:rFonts w:hint="eastAsia" w:hAnsi="宋体" w:cs="宋体"/>
          <w:snapToGrid w:val="0"/>
          <w:color w:val="auto"/>
          <w:kern w:val="0"/>
          <w:szCs w:val="24"/>
        </w:rPr>
        <w:t xml:space="preserve"> 发生以上情形的附加工作酬金的确定方法为：</w:t>
      </w:r>
      <w:r>
        <w:rPr>
          <w:rFonts w:hint="eastAsia" w:hAnsi="宋体" w:cs="宋体"/>
          <w:snapToGrid w:val="0"/>
          <w:color w:val="auto"/>
          <w:kern w:val="0"/>
          <w:u w:val="single"/>
        </w:rPr>
        <w:t xml:space="preserve">双方协商 </w:t>
      </w:r>
      <w:r>
        <w:rPr>
          <w:rFonts w:hint="eastAsia" w:hAnsi="宋体" w:cs="宋体"/>
          <w:snapToGrid w:val="0"/>
          <w:color w:val="auto"/>
          <w:kern w:val="0"/>
          <w:szCs w:val="24"/>
        </w:rPr>
        <w:t>。</w:t>
      </w:r>
    </w:p>
    <w:p w14:paraId="5AAA11FA">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rPr>
          <w:rFonts w:hAnsi="宋体" w:cs="宋体"/>
          <w:snapToGrid w:val="0"/>
          <w:color w:val="auto"/>
          <w:kern w:val="0"/>
          <w:szCs w:val="24"/>
        </w:rPr>
      </w:pPr>
      <w:r>
        <w:rPr>
          <w:rFonts w:hint="eastAsia" w:hAnsi="宋体" w:cs="宋体"/>
          <w:b/>
          <w:bCs/>
          <w:snapToGrid w:val="0"/>
          <w:color w:val="auto"/>
          <w:kern w:val="0"/>
          <w:szCs w:val="24"/>
        </w:rPr>
        <w:t>6.2.3</w:t>
      </w:r>
      <w:r>
        <w:rPr>
          <w:rFonts w:hint="eastAsia" w:hAnsi="宋体" w:cs="宋体"/>
          <w:snapToGrid w:val="0"/>
          <w:color w:val="auto"/>
          <w:kern w:val="0"/>
          <w:szCs w:val="24"/>
        </w:rPr>
        <w:t xml:space="preserve"> 合同生效后，如果实际情况发生变化使得监理人不能完成全部或部分工作时，监理人应立即通知委托人。除不可抗力外，其善后工作以及恢复服务的准备工作应为附加工作。监理人用于恢复服务的准备时间不应超过28天。</w:t>
      </w:r>
    </w:p>
    <w:p w14:paraId="3533DCA3">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Ansi="宋体" w:cs="宋体"/>
          <w:snapToGrid w:val="0"/>
          <w:color w:val="auto"/>
          <w:kern w:val="0"/>
          <w:szCs w:val="24"/>
        </w:rPr>
      </w:pPr>
      <w:r>
        <w:rPr>
          <w:rFonts w:hint="eastAsia" w:hAnsi="宋体" w:cs="宋体"/>
          <w:snapToGrid w:val="0"/>
          <w:color w:val="auto"/>
          <w:kern w:val="0"/>
          <w:szCs w:val="24"/>
        </w:rPr>
        <w:t xml:space="preserve"> 发生以上情形的附加工作酬金的确定方法为：</w:t>
      </w:r>
      <w:r>
        <w:rPr>
          <w:rFonts w:hint="eastAsia" w:hAnsi="宋体" w:cs="宋体"/>
          <w:snapToGrid w:val="0"/>
          <w:color w:val="auto"/>
          <w:kern w:val="0"/>
          <w:szCs w:val="24"/>
          <w:u w:val="single"/>
        </w:rPr>
        <w:t xml:space="preserve"> </w:t>
      </w:r>
      <w:r>
        <w:rPr>
          <w:rFonts w:hint="eastAsia" w:hAnsi="宋体" w:cs="宋体"/>
          <w:snapToGrid w:val="0"/>
          <w:color w:val="auto"/>
          <w:kern w:val="0"/>
          <w:u w:val="single"/>
        </w:rPr>
        <w:t xml:space="preserve">双方协商 </w:t>
      </w:r>
      <w:r>
        <w:rPr>
          <w:rFonts w:hint="eastAsia" w:hAnsi="宋体" w:cs="宋体"/>
          <w:snapToGrid w:val="0"/>
          <w:color w:val="auto"/>
          <w:kern w:val="0"/>
          <w:szCs w:val="24"/>
        </w:rPr>
        <w:t>。</w:t>
      </w:r>
    </w:p>
    <w:p w14:paraId="0B8E660E">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rPr>
          <w:rFonts w:hAnsi="宋体" w:cs="宋体"/>
          <w:snapToGrid w:val="0"/>
          <w:color w:val="auto"/>
          <w:kern w:val="0"/>
          <w:szCs w:val="24"/>
        </w:rPr>
      </w:pPr>
      <w:r>
        <w:rPr>
          <w:rFonts w:hint="eastAsia" w:hAnsi="宋体" w:cs="宋体"/>
          <w:b/>
          <w:bCs/>
          <w:snapToGrid w:val="0"/>
          <w:color w:val="auto"/>
          <w:kern w:val="0"/>
          <w:szCs w:val="24"/>
        </w:rPr>
        <w:t>6.2.4</w:t>
      </w:r>
      <w:r>
        <w:rPr>
          <w:rFonts w:hint="eastAsia" w:hAnsi="宋体" w:cs="宋体"/>
          <w:snapToGrid w:val="0"/>
          <w:color w:val="auto"/>
          <w:kern w:val="0"/>
          <w:szCs w:val="24"/>
        </w:rPr>
        <w:t xml:space="preserve"> 合同签订后，遇有与招标项目相关的法律法规、标准颁布或修订的，双方应遵照执行。由此引起监理与相关服务的范围、时间、酬金变化的，双方应通过协商进行相应调整。</w:t>
      </w:r>
    </w:p>
    <w:p w14:paraId="39093D15">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rPr>
          <w:rFonts w:hAnsi="宋体" w:cs="宋体"/>
          <w:snapToGrid w:val="0"/>
          <w:color w:val="auto"/>
          <w:kern w:val="0"/>
          <w:szCs w:val="24"/>
        </w:rPr>
      </w:pPr>
      <w:r>
        <w:rPr>
          <w:rFonts w:hint="eastAsia" w:hAnsi="宋体" w:cs="宋体"/>
          <w:b/>
          <w:bCs/>
          <w:snapToGrid w:val="0"/>
          <w:color w:val="auto"/>
          <w:kern w:val="0"/>
          <w:szCs w:val="24"/>
        </w:rPr>
        <w:t>6.2.5</w:t>
      </w:r>
      <w:r>
        <w:rPr>
          <w:rFonts w:hint="eastAsia" w:hAnsi="宋体" w:cs="宋体"/>
          <w:snapToGrid w:val="0"/>
          <w:color w:val="auto"/>
          <w:kern w:val="0"/>
          <w:szCs w:val="24"/>
        </w:rPr>
        <w:t xml:space="preserve"> 因非监理人原因造成项目</w:t>
      </w:r>
      <w:r>
        <w:rPr>
          <w:rFonts w:hint="eastAsia" w:hAnsi="宋体" w:cs="宋体"/>
          <w:snapToGrid w:val="0"/>
          <w:color w:val="auto"/>
          <w:kern w:val="0"/>
          <w:szCs w:val="24"/>
          <w:u w:val="single"/>
        </w:rPr>
        <w:t xml:space="preserve"> 预算 </w:t>
      </w:r>
      <w:r>
        <w:rPr>
          <w:rFonts w:hint="eastAsia" w:hAnsi="宋体" w:cs="宋体"/>
          <w:snapToGrid w:val="0"/>
          <w:color w:val="auto"/>
          <w:kern w:val="0"/>
          <w:szCs w:val="24"/>
        </w:rPr>
        <w:t>投资额增加时，正常工作酬金应作相应调整。</w:t>
      </w:r>
    </w:p>
    <w:p w14:paraId="4330C7CA">
      <w:pPr>
        <w:keepNext w:val="0"/>
        <w:keepLines w:val="0"/>
        <w:pageBreakBefore w:val="0"/>
        <w:kinsoku/>
        <w:wordWrap w:val="0"/>
        <w:overflowPunct/>
        <w:topLinePunct w:val="0"/>
        <w:autoSpaceDE/>
        <w:autoSpaceDN/>
        <w:bidi w:val="0"/>
        <w:adjustRightInd w:val="0"/>
        <w:snapToGrid w:val="0"/>
        <w:spacing w:line="420" w:lineRule="exact"/>
        <w:textAlignment w:val="auto"/>
        <w:rPr>
          <w:rFonts w:hAnsi="宋体" w:cs="宋体"/>
          <w:snapToGrid w:val="0"/>
          <w:color w:val="auto"/>
          <w:kern w:val="0"/>
          <w:szCs w:val="24"/>
        </w:rPr>
      </w:pPr>
      <w:r>
        <w:rPr>
          <w:rFonts w:hint="eastAsia" w:hAnsi="宋体" w:cs="宋体"/>
          <w:snapToGrid w:val="0"/>
          <w:color w:val="auto"/>
          <w:kern w:val="0"/>
          <w:szCs w:val="24"/>
        </w:rPr>
        <w:t xml:space="preserve">   发生以上情形的正常工作酬金增加额的确定方法为：</w:t>
      </w:r>
      <w:r>
        <w:rPr>
          <w:rFonts w:hint="eastAsia" w:hAnsi="宋体" w:cs="宋体"/>
          <w:snapToGrid w:val="0"/>
          <w:color w:val="auto"/>
          <w:kern w:val="0"/>
          <w:szCs w:val="24"/>
          <w:u w:val="single"/>
        </w:rPr>
        <w:t xml:space="preserve"> </w:t>
      </w:r>
      <w:r>
        <w:rPr>
          <w:rFonts w:hint="eastAsia" w:hAnsi="宋体" w:cs="宋体"/>
          <w:snapToGrid w:val="0"/>
          <w:color w:val="auto"/>
          <w:kern w:val="0"/>
          <w:u w:val="single"/>
        </w:rPr>
        <w:t>双方协商</w:t>
      </w:r>
      <w:r>
        <w:rPr>
          <w:rFonts w:hint="eastAsia" w:hAnsi="宋体" w:cs="宋体"/>
          <w:snapToGrid w:val="0"/>
          <w:color w:val="auto"/>
          <w:kern w:val="0"/>
          <w:szCs w:val="24"/>
          <w:u w:val="single"/>
        </w:rPr>
        <w:t xml:space="preserve"> </w:t>
      </w:r>
      <w:r>
        <w:rPr>
          <w:rFonts w:hint="eastAsia" w:hAnsi="宋体" w:cs="宋体"/>
          <w:snapToGrid w:val="0"/>
          <w:color w:val="auto"/>
          <w:kern w:val="0"/>
          <w:szCs w:val="24"/>
        </w:rPr>
        <w:t>。</w:t>
      </w:r>
    </w:p>
    <w:p w14:paraId="5BF5DFDF">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rPr>
          <w:rFonts w:hAnsi="宋体" w:cs="宋体"/>
          <w:snapToGrid w:val="0"/>
          <w:color w:val="auto"/>
          <w:kern w:val="0"/>
          <w:szCs w:val="24"/>
        </w:rPr>
      </w:pPr>
      <w:r>
        <w:rPr>
          <w:rFonts w:hint="eastAsia" w:hAnsi="宋体" w:cs="宋体"/>
          <w:b/>
          <w:bCs/>
          <w:snapToGrid w:val="0"/>
          <w:color w:val="auto"/>
          <w:kern w:val="0"/>
          <w:szCs w:val="24"/>
        </w:rPr>
        <w:t>6.2.6</w:t>
      </w:r>
      <w:r>
        <w:rPr>
          <w:rFonts w:hint="eastAsia" w:hAnsi="宋体" w:cs="宋体"/>
          <w:snapToGrid w:val="0"/>
          <w:color w:val="auto"/>
          <w:kern w:val="0"/>
          <w:szCs w:val="24"/>
        </w:rPr>
        <w:t xml:space="preserve"> 因工程规模、监理范围的变化导致监理人的正常工作量减少时，按减少工作量的比例从协议书约定的正常工作酬金中扣减相同比例的酬金。</w:t>
      </w:r>
    </w:p>
    <w:p w14:paraId="348B810A">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outlineLvl w:val="2"/>
        <w:rPr>
          <w:rFonts w:hAnsi="宋体" w:cs="宋体"/>
          <w:snapToGrid w:val="0"/>
          <w:color w:val="auto"/>
          <w:kern w:val="0"/>
          <w:szCs w:val="24"/>
        </w:rPr>
      </w:pPr>
      <w:bookmarkStart w:id="200" w:name="_Toc19127"/>
      <w:bookmarkStart w:id="201" w:name="_Toc4131"/>
      <w:bookmarkStart w:id="202" w:name="_Toc12797"/>
      <w:r>
        <w:rPr>
          <w:rFonts w:hint="eastAsia" w:hAnsi="宋体" w:cs="宋体"/>
          <w:b/>
          <w:bCs/>
          <w:snapToGrid w:val="0"/>
          <w:color w:val="auto"/>
          <w:kern w:val="0"/>
          <w:szCs w:val="24"/>
        </w:rPr>
        <w:t>6.3</w:t>
      </w:r>
      <w:r>
        <w:rPr>
          <w:rFonts w:hint="eastAsia" w:hAnsi="宋体" w:cs="宋体"/>
          <w:snapToGrid w:val="0"/>
          <w:color w:val="auto"/>
          <w:kern w:val="0"/>
          <w:szCs w:val="24"/>
        </w:rPr>
        <w:t xml:space="preserve"> 暂停与解除</w:t>
      </w:r>
      <w:bookmarkEnd w:id="200"/>
      <w:bookmarkEnd w:id="201"/>
      <w:bookmarkEnd w:id="202"/>
    </w:p>
    <w:p w14:paraId="0F3EA73E">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Ansi="宋体" w:cs="宋体"/>
          <w:snapToGrid w:val="0"/>
          <w:color w:val="auto"/>
          <w:kern w:val="0"/>
          <w:szCs w:val="24"/>
        </w:rPr>
      </w:pPr>
      <w:r>
        <w:rPr>
          <w:rFonts w:hint="eastAsia" w:hAnsi="宋体" w:cs="宋体"/>
          <w:snapToGrid w:val="0"/>
          <w:color w:val="auto"/>
          <w:kern w:val="0"/>
          <w:szCs w:val="24"/>
        </w:rPr>
        <w:t>除双方协商一致可以解除本合同外，当一方无正当理由未履行本合同约定的义务时，另一方可以根据本合同约定暂停履行本合同直至解除本合同。</w:t>
      </w:r>
    </w:p>
    <w:p w14:paraId="26144F9D">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rPr>
          <w:rFonts w:hAnsi="宋体" w:cs="宋体"/>
          <w:snapToGrid w:val="0"/>
          <w:color w:val="auto"/>
          <w:kern w:val="0"/>
          <w:szCs w:val="24"/>
        </w:rPr>
      </w:pPr>
      <w:r>
        <w:rPr>
          <w:rFonts w:hint="eastAsia" w:hAnsi="宋体" w:cs="宋体"/>
          <w:b/>
          <w:bCs/>
          <w:snapToGrid w:val="0"/>
          <w:color w:val="auto"/>
          <w:kern w:val="0"/>
          <w:szCs w:val="24"/>
        </w:rPr>
        <w:t>6.3.1</w:t>
      </w:r>
      <w:r>
        <w:rPr>
          <w:rFonts w:hint="eastAsia" w:hAnsi="宋体" w:cs="宋体"/>
          <w:snapToGrid w:val="0"/>
          <w:color w:val="auto"/>
          <w:kern w:val="0"/>
          <w:szCs w:val="24"/>
        </w:rPr>
        <w:t xml:space="preserve">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046367AB">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Ansi="宋体" w:cs="宋体"/>
          <w:snapToGrid w:val="0"/>
          <w:color w:val="auto"/>
          <w:kern w:val="0"/>
          <w:szCs w:val="24"/>
        </w:rPr>
      </w:pPr>
      <w:r>
        <w:rPr>
          <w:rFonts w:hint="eastAsia" w:hAnsi="宋体" w:cs="宋体"/>
          <w:snapToGrid w:val="0"/>
          <w:color w:val="auto"/>
          <w:kern w:val="0"/>
          <w:szCs w:val="24"/>
        </w:rPr>
        <w:t>因解除本合同或解除监理人的部分义务导致监理人遭受的损失，除依法可以免除责任的情况外，应由委托人予以补偿，补偿金额由双方协商确定。</w:t>
      </w:r>
    </w:p>
    <w:p w14:paraId="04878A00">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Ansi="宋体" w:cs="宋体"/>
          <w:snapToGrid w:val="0"/>
          <w:color w:val="auto"/>
          <w:kern w:val="0"/>
          <w:szCs w:val="24"/>
        </w:rPr>
      </w:pPr>
      <w:r>
        <w:rPr>
          <w:rFonts w:hint="eastAsia" w:hAnsi="宋体" w:cs="宋体"/>
          <w:snapToGrid w:val="0"/>
          <w:color w:val="auto"/>
          <w:kern w:val="0"/>
          <w:szCs w:val="24"/>
        </w:rPr>
        <w:t>解除本合同的协议必须采取书面形式，协议未达成之前，本合同仍然有效。</w:t>
      </w:r>
    </w:p>
    <w:p w14:paraId="63D80ED4">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rPr>
          <w:rFonts w:hAnsi="宋体" w:cs="宋体"/>
          <w:snapToGrid w:val="0"/>
          <w:color w:val="auto"/>
          <w:kern w:val="0"/>
          <w:szCs w:val="24"/>
        </w:rPr>
      </w:pPr>
      <w:r>
        <w:rPr>
          <w:rFonts w:hint="eastAsia" w:hAnsi="宋体" w:cs="宋体"/>
          <w:b/>
          <w:bCs/>
          <w:snapToGrid w:val="0"/>
          <w:color w:val="auto"/>
          <w:kern w:val="0"/>
          <w:szCs w:val="24"/>
        </w:rPr>
        <w:t>6.3.2</w:t>
      </w:r>
      <w:r>
        <w:rPr>
          <w:rFonts w:hint="eastAsia" w:hAnsi="宋体" w:cs="宋体"/>
          <w:snapToGrid w:val="0"/>
          <w:color w:val="auto"/>
          <w:kern w:val="0"/>
          <w:szCs w:val="24"/>
        </w:rPr>
        <w:t xml:space="preserve">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4295A696">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Ansi="宋体" w:cs="宋体"/>
          <w:snapToGrid w:val="0"/>
          <w:color w:val="auto"/>
          <w:kern w:val="0"/>
          <w:szCs w:val="24"/>
        </w:rPr>
      </w:pPr>
      <w:r>
        <w:rPr>
          <w:rFonts w:hint="eastAsia" w:hAnsi="宋体" w:cs="宋体"/>
          <w:snapToGrid w:val="0"/>
          <w:color w:val="auto"/>
          <w:kern w:val="0"/>
          <w:szCs w:val="24"/>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本章第</w:t>
      </w:r>
      <w:r>
        <w:rPr>
          <w:rFonts w:hint="eastAsia" w:hAnsi="宋体" w:cs="宋体"/>
          <w:b/>
          <w:bCs/>
          <w:snapToGrid w:val="0"/>
          <w:color w:val="auto"/>
          <w:kern w:val="0"/>
          <w:szCs w:val="24"/>
        </w:rPr>
        <w:t>4.2</w:t>
      </w:r>
      <w:r>
        <w:rPr>
          <w:rFonts w:hint="eastAsia" w:hAnsi="宋体" w:cs="宋体"/>
          <w:snapToGrid w:val="0"/>
          <w:color w:val="auto"/>
          <w:kern w:val="0"/>
          <w:szCs w:val="24"/>
        </w:rPr>
        <w:t>条约定的责任。</w:t>
      </w:r>
    </w:p>
    <w:p w14:paraId="26E8B315">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rPr>
          <w:rFonts w:hAnsi="宋体" w:cs="宋体"/>
          <w:snapToGrid w:val="0"/>
          <w:color w:val="auto"/>
          <w:kern w:val="0"/>
          <w:szCs w:val="24"/>
        </w:rPr>
      </w:pPr>
      <w:r>
        <w:rPr>
          <w:rFonts w:hint="eastAsia" w:hAnsi="宋体" w:cs="宋体"/>
          <w:b/>
          <w:bCs/>
          <w:snapToGrid w:val="0"/>
          <w:color w:val="auto"/>
          <w:kern w:val="0"/>
          <w:szCs w:val="24"/>
        </w:rPr>
        <w:t>6.3.3</w:t>
      </w:r>
      <w:r>
        <w:rPr>
          <w:rFonts w:hint="eastAsia" w:hAnsi="宋体" w:cs="宋体"/>
          <w:snapToGrid w:val="0"/>
          <w:color w:val="auto"/>
          <w:kern w:val="0"/>
          <w:szCs w:val="24"/>
        </w:rPr>
        <w:t xml:space="preserve">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本章第</w:t>
      </w:r>
      <w:r>
        <w:rPr>
          <w:rFonts w:hint="eastAsia" w:hAnsi="宋体" w:cs="宋体"/>
          <w:b/>
          <w:bCs/>
          <w:snapToGrid w:val="0"/>
          <w:color w:val="auto"/>
          <w:kern w:val="0"/>
          <w:szCs w:val="24"/>
        </w:rPr>
        <w:t>4.1</w:t>
      </w:r>
      <w:r>
        <w:rPr>
          <w:rFonts w:hint="eastAsia" w:hAnsi="宋体" w:cs="宋体"/>
          <w:snapToGrid w:val="0"/>
          <w:color w:val="auto"/>
          <w:kern w:val="0"/>
          <w:szCs w:val="24"/>
        </w:rPr>
        <w:t>条约定的责任。</w:t>
      </w:r>
    </w:p>
    <w:p w14:paraId="411979E7">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rPr>
          <w:rFonts w:hAnsi="宋体" w:cs="宋体"/>
          <w:snapToGrid w:val="0"/>
          <w:color w:val="auto"/>
          <w:kern w:val="0"/>
          <w:szCs w:val="24"/>
        </w:rPr>
      </w:pPr>
      <w:r>
        <w:rPr>
          <w:rFonts w:hint="eastAsia" w:hAnsi="宋体" w:cs="宋体"/>
          <w:b/>
          <w:bCs/>
          <w:snapToGrid w:val="0"/>
          <w:color w:val="auto"/>
          <w:kern w:val="0"/>
          <w:szCs w:val="24"/>
        </w:rPr>
        <w:t>6.3.4</w:t>
      </w:r>
      <w:r>
        <w:rPr>
          <w:rFonts w:hint="eastAsia" w:hAnsi="宋体" w:cs="宋体"/>
          <w:snapToGrid w:val="0"/>
          <w:color w:val="auto"/>
          <w:kern w:val="0"/>
          <w:szCs w:val="24"/>
        </w:rPr>
        <w:t xml:space="preserve"> 监理人在专用条件</w:t>
      </w:r>
      <w:r>
        <w:rPr>
          <w:rFonts w:hint="eastAsia" w:hAnsi="宋体" w:cs="宋体"/>
          <w:b/>
          <w:bCs/>
          <w:snapToGrid w:val="0"/>
          <w:color w:val="auto"/>
          <w:kern w:val="0"/>
          <w:szCs w:val="24"/>
        </w:rPr>
        <w:t>5.3</w:t>
      </w:r>
      <w:r>
        <w:rPr>
          <w:rFonts w:hint="eastAsia" w:hAnsi="宋体" w:cs="宋体"/>
          <w:snapToGrid w:val="0"/>
          <w:color w:val="auto"/>
          <w:kern w:val="0"/>
          <w:szCs w:val="24"/>
        </w:rPr>
        <w:t>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本章第</w:t>
      </w:r>
      <w:r>
        <w:rPr>
          <w:rFonts w:hint="eastAsia" w:hAnsi="宋体" w:cs="宋体"/>
          <w:b/>
          <w:bCs/>
          <w:snapToGrid w:val="0"/>
          <w:color w:val="auto"/>
          <w:kern w:val="0"/>
          <w:szCs w:val="24"/>
        </w:rPr>
        <w:t>4.2.3</w:t>
      </w:r>
      <w:r>
        <w:rPr>
          <w:rFonts w:hint="eastAsia" w:hAnsi="宋体" w:cs="宋体"/>
          <w:snapToGrid w:val="0"/>
          <w:color w:val="auto"/>
          <w:kern w:val="0"/>
          <w:szCs w:val="24"/>
        </w:rPr>
        <w:t>目约定的责任。</w:t>
      </w:r>
    </w:p>
    <w:p w14:paraId="2E6DA1DA">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rPr>
          <w:rFonts w:hAnsi="宋体" w:cs="宋体"/>
          <w:snapToGrid w:val="0"/>
          <w:color w:val="auto"/>
          <w:kern w:val="0"/>
          <w:szCs w:val="24"/>
        </w:rPr>
      </w:pPr>
      <w:r>
        <w:rPr>
          <w:rFonts w:hint="eastAsia" w:hAnsi="宋体" w:cs="宋体"/>
          <w:b/>
          <w:bCs/>
          <w:snapToGrid w:val="0"/>
          <w:color w:val="auto"/>
          <w:kern w:val="0"/>
          <w:szCs w:val="24"/>
        </w:rPr>
        <w:t>6.3.5</w:t>
      </w:r>
      <w:r>
        <w:rPr>
          <w:rFonts w:hint="eastAsia" w:hAnsi="宋体" w:cs="宋体"/>
          <w:snapToGrid w:val="0"/>
          <w:color w:val="auto"/>
          <w:kern w:val="0"/>
          <w:szCs w:val="24"/>
        </w:rPr>
        <w:t xml:space="preserve"> 因不可抗力致使本合同部分或全部不能履行时，一方应立即通知另一方，可暂停或解除本合同。</w:t>
      </w:r>
    </w:p>
    <w:p w14:paraId="7019BEA0">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rPr>
          <w:rFonts w:hAnsi="宋体" w:cs="宋体"/>
          <w:snapToGrid w:val="0"/>
          <w:color w:val="auto"/>
          <w:kern w:val="0"/>
          <w:szCs w:val="24"/>
        </w:rPr>
      </w:pPr>
      <w:r>
        <w:rPr>
          <w:rFonts w:hint="eastAsia" w:hAnsi="宋体" w:cs="宋体"/>
          <w:b/>
          <w:bCs/>
          <w:snapToGrid w:val="0"/>
          <w:color w:val="auto"/>
          <w:kern w:val="0"/>
          <w:szCs w:val="24"/>
        </w:rPr>
        <w:t>6.3.6</w:t>
      </w:r>
      <w:r>
        <w:rPr>
          <w:rFonts w:hint="eastAsia" w:hAnsi="宋体" w:cs="宋体"/>
          <w:snapToGrid w:val="0"/>
          <w:color w:val="auto"/>
          <w:kern w:val="0"/>
          <w:szCs w:val="24"/>
        </w:rPr>
        <w:t xml:space="preserve"> 本合同解除后，本合同约定的有关结算、清理、争议解决方式的条件仍然有效。</w:t>
      </w:r>
    </w:p>
    <w:p w14:paraId="6443C262">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outlineLvl w:val="2"/>
        <w:rPr>
          <w:rFonts w:hAnsi="宋体" w:cs="宋体"/>
          <w:snapToGrid w:val="0"/>
          <w:color w:val="auto"/>
          <w:kern w:val="0"/>
          <w:szCs w:val="24"/>
        </w:rPr>
      </w:pPr>
      <w:bookmarkStart w:id="203" w:name="_Toc14952"/>
      <w:bookmarkStart w:id="204" w:name="_Toc20646"/>
      <w:bookmarkStart w:id="205" w:name="_Toc12239"/>
      <w:r>
        <w:rPr>
          <w:rFonts w:hint="eastAsia" w:hAnsi="宋体" w:cs="宋体"/>
          <w:b/>
          <w:bCs/>
          <w:snapToGrid w:val="0"/>
          <w:color w:val="auto"/>
          <w:kern w:val="0"/>
          <w:szCs w:val="24"/>
        </w:rPr>
        <w:t>6.4</w:t>
      </w:r>
      <w:r>
        <w:rPr>
          <w:rFonts w:hint="eastAsia" w:hAnsi="宋体" w:cs="宋体"/>
          <w:snapToGrid w:val="0"/>
          <w:color w:val="auto"/>
          <w:kern w:val="0"/>
          <w:szCs w:val="24"/>
        </w:rPr>
        <w:t xml:space="preserve"> 终止</w:t>
      </w:r>
      <w:bookmarkEnd w:id="203"/>
      <w:bookmarkEnd w:id="204"/>
      <w:bookmarkEnd w:id="205"/>
    </w:p>
    <w:p w14:paraId="7EDAA295">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Ansi="宋体" w:cs="宋体"/>
          <w:snapToGrid w:val="0"/>
          <w:color w:val="auto"/>
          <w:kern w:val="0"/>
          <w:szCs w:val="24"/>
        </w:rPr>
      </w:pPr>
      <w:r>
        <w:rPr>
          <w:rFonts w:hint="eastAsia" w:hAnsi="宋体" w:cs="宋体"/>
          <w:snapToGrid w:val="0"/>
          <w:color w:val="auto"/>
          <w:kern w:val="0"/>
          <w:szCs w:val="24"/>
        </w:rPr>
        <w:t>以下条件全部满足时，本合同即告终止：</w:t>
      </w:r>
    </w:p>
    <w:p w14:paraId="7C736BE5">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Ansi="宋体" w:cs="宋体"/>
          <w:snapToGrid w:val="0"/>
          <w:color w:val="auto"/>
          <w:kern w:val="0"/>
          <w:szCs w:val="24"/>
        </w:rPr>
      </w:pPr>
      <w:r>
        <w:rPr>
          <w:rFonts w:hint="eastAsia" w:hAnsi="宋体" w:cs="宋体"/>
          <w:snapToGrid w:val="0"/>
          <w:color w:val="auto"/>
          <w:kern w:val="0"/>
          <w:szCs w:val="24"/>
        </w:rPr>
        <w:t>（1）监理人完成本合同约定的全部工作；</w:t>
      </w:r>
    </w:p>
    <w:p w14:paraId="7819ECC7">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Ansi="宋体" w:cs="宋体"/>
          <w:snapToGrid w:val="0"/>
          <w:color w:val="auto"/>
          <w:kern w:val="0"/>
          <w:szCs w:val="24"/>
        </w:rPr>
      </w:pPr>
      <w:r>
        <w:rPr>
          <w:rFonts w:hint="eastAsia" w:hAnsi="宋体" w:cs="宋体"/>
          <w:snapToGrid w:val="0"/>
          <w:color w:val="auto"/>
          <w:kern w:val="0"/>
          <w:szCs w:val="24"/>
        </w:rPr>
        <w:t>（2）委托人与监理人结清并支付全部酬金。</w:t>
      </w:r>
    </w:p>
    <w:p w14:paraId="13336B6A">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outlineLvl w:val="1"/>
        <w:rPr>
          <w:rFonts w:hint="eastAsia" w:hAnsi="宋体" w:cs="宋体"/>
          <w:b/>
          <w:bCs/>
          <w:snapToGrid w:val="0"/>
          <w:color w:val="auto"/>
          <w:kern w:val="0"/>
          <w:szCs w:val="24"/>
        </w:rPr>
      </w:pPr>
    </w:p>
    <w:p w14:paraId="0F4B2D09">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outlineLvl w:val="1"/>
        <w:rPr>
          <w:rFonts w:hAnsi="宋体" w:cs="宋体"/>
          <w:b/>
          <w:bCs/>
          <w:snapToGrid w:val="0"/>
          <w:color w:val="auto"/>
          <w:kern w:val="0"/>
          <w:szCs w:val="24"/>
        </w:rPr>
      </w:pPr>
      <w:r>
        <w:rPr>
          <w:rFonts w:hint="eastAsia" w:hAnsi="宋体" w:cs="宋体"/>
          <w:b/>
          <w:bCs/>
          <w:snapToGrid w:val="0"/>
          <w:color w:val="auto"/>
          <w:kern w:val="0"/>
          <w:szCs w:val="24"/>
        </w:rPr>
        <w:t>7．争议解决</w:t>
      </w:r>
      <w:bookmarkEnd w:id="193"/>
      <w:bookmarkEnd w:id="194"/>
      <w:bookmarkEnd w:id="195"/>
      <w:bookmarkEnd w:id="196"/>
    </w:p>
    <w:p w14:paraId="29D30CDE">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outlineLvl w:val="2"/>
        <w:rPr>
          <w:rFonts w:hAnsi="宋体" w:cs="宋体"/>
          <w:snapToGrid w:val="0"/>
          <w:color w:val="auto"/>
          <w:kern w:val="0"/>
          <w:szCs w:val="24"/>
        </w:rPr>
      </w:pPr>
      <w:bookmarkStart w:id="206" w:name="_Toc1230"/>
      <w:bookmarkStart w:id="207" w:name="_Toc30247"/>
      <w:bookmarkStart w:id="208" w:name="_Toc28417"/>
      <w:r>
        <w:rPr>
          <w:rFonts w:hint="eastAsia" w:hAnsi="宋体" w:cs="宋体"/>
          <w:b/>
          <w:bCs/>
          <w:snapToGrid w:val="0"/>
          <w:color w:val="auto"/>
          <w:kern w:val="0"/>
          <w:szCs w:val="24"/>
        </w:rPr>
        <w:t>7.1</w:t>
      </w:r>
      <w:r>
        <w:rPr>
          <w:rFonts w:hint="eastAsia" w:hAnsi="宋体" w:cs="宋体"/>
          <w:snapToGrid w:val="0"/>
          <w:color w:val="auto"/>
          <w:kern w:val="0"/>
          <w:szCs w:val="24"/>
        </w:rPr>
        <w:t xml:space="preserve"> 协商</w:t>
      </w:r>
      <w:bookmarkEnd w:id="206"/>
      <w:bookmarkEnd w:id="207"/>
      <w:bookmarkEnd w:id="208"/>
    </w:p>
    <w:p w14:paraId="7E0F24F1">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Ansi="宋体" w:cs="宋体"/>
          <w:snapToGrid w:val="0"/>
          <w:color w:val="auto"/>
          <w:kern w:val="0"/>
          <w:szCs w:val="24"/>
        </w:rPr>
      </w:pPr>
      <w:r>
        <w:rPr>
          <w:rFonts w:hint="eastAsia" w:hAnsi="宋体" w:cs="宋体"/>
          <w:snapToGrid w:val="0"/>
          <w:color w:val="auto"/>
          <w:kern w:val="0"/>
          <w:szCs w:val="24"/>
        </w:rPr>
        <w:t>双方应本着诚信原则协商解决彼此间的争议。</w:t>
      </w:r>
    </w:p>
    <w:p w14:paraId="04880EEA">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outlineLvl w:val="2"/>
        <w:rPr>
          <w:rFonts w:hAnsi="宋体" w:cs="宋体"/>
          <w:snapToGrid w:val="0"/>
          <w:color w:val="auto"/>
          <w:kern w:val="0"/>
          <w:szCs w:val="24"/>
        </w:rPr>
      </w:pPr>
      <w:bookmarkStart w:id="209" w:name="_Toc21833"/>
      <w:bookmarkStart w:id="210" w:name="_Toc17958"/>
      <w:bookmarkStart w:id="211" w:name="_Toc15685"/>
      <w:r>
        <w:rPr>
          <w:rFonts w:hint="eastAsia" w:hAnsi="宋体" w:cs="宋体"/>
          <w:b/>
          <w:bCs/>
          <w:snapToGrid w:val="0"/>
          <w:color w:val="auto"/>
          <w:kern w:val="0"/>
          <w:szCs w:val="24"/>
        </w:rPr>
        <w:t>7.2</w:t>
      </w:r>
      <w:r>
        <w:rPr>
          <w:rFonts w:hint="eastAsia" w:hAnsi="宋体" w:cs="宋体"/>
          <w:snapToGrid w:val="0"/>
          <w:color w:val="auto"/>
          <w:kern w:val="0"/>
          <w:szCs w:val="24"/>
        </w:rPr>
        <w:t xml:space="preserve"> 调解</w:t>
      </w:r>
      <w:bookmarkEnd w:id="209"/>
      <w:bookmarkEnd w:id="210"/>
      <w:bookmarkEnd w:id="211"/>
    </w:p>
    <w:p w14:paraId="2E6E5583">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Ansi="宋体" w:cs="宋体"/>
          <w:snapToGrid w:val="0"/>
          <w:color w:val="auto"/>
          <w:kern w:val="0"/>
          <w:szCs w:val="24"/>
        </w:rPr>
      </w:pPr>
      <w:r>
        <w:rPr>
          <w:rFonts w:hint="eastAsia" w:hAnsi="宋体" w:cs="宋体"/>
          <w:snapToGrid w:val="0"/>
          <w:color w:val="auto"/>
          <w:kern w:val="0"/>
          <w:szCs w:val="24"/>
        </w:rPr>
        <w:t>如果双方不能在14天内或双方商定的其他时间内解决本合同争议，可以将其提交给</w:t>
      </w:r>
      <w:r>
        <w:rPr>
          <w:rFonts w:hint="eastAsia" w:hAnsi="宋体" w:cs="宋体"/>
          <w:snapToGrid w:val="0"/>
          <w:color w:val="auto"/>
          <w:kern w:val="0"/>
          <w:szCs w:val="24"/>
          <w:u w:val="single"/>
        </w:rPr>
        <w:t xml:space="preserve"> </w:t>
      </w:r>
      <w:r>
        <w:rPr>
          <w:rFonts w:hint="eastAsia" w:hAnsi="宋体" w:cs="宋体"/>
          <w:snapToGrid w:val="0"/>
          <w:color w:val="auto"/>
          <w:kern w:val="0"/>
          <w:u w:val="single"/>
        </w:rPr>
        <w:t>行政主管部门</w:t>
      </w:r>
      <w:r>
        <w:rPr>
          <w:rFonts w:hint="eastAsia" w:hAnsi="宋体" w:cs="宋体"/>
          <w:snapToGrid w:val="0"/>
          <w:color w:val="auto"/>
          <w:kern w:val="0"/>
          <w:szCs w:val="24"/>
          <w:u w:val="single"/>
        </w:rPr>
        <w:t xml:space="preserve"> </w:t>
      </w:r>
      <w:r>
        <w:rPr>
          <w:rFonts w:hint="eastAsia" w:hAnsi="宋体" w:cs="宋体"/>
          <w:snapToGrid w:val="0"/>
          <w:color w:val="auto"/>
          <w:kern w:val="0"/>
          <w:szCs w:val="24"/>
        </w:rPr>
        <w:t>进行调解。</w:t>
      </w:r>
    </w:p>
    <w:p w14:paraId="4A627686">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outlineLvl w:val="2"/>
        <w:rPr>
          <w:rFonts w:hAnsi="宋体" w:cs="宋体"/>
          <w:snapToGrid w:val="0"/>
          <w:color w:val="auto"/>
          <w:kern w:val="0"/>
          <w:szCs w:val="24"/>
        </w:rPr>
      </w:pPr>
      <w:bookmarkStart w:id="212" w:name="_Toc18545"/>
      <w:bookmarkStart w:id="213" w:name="_Toc27051"/>
      <w:bookmarkStart w:id="214" w:name="_Toc2607"/>
      <w:r>
        <w:rPr>
          <w:rFonts w:hint="eastAsia" w:hAnsi="宋体" w:cs="宋体"/>
          <w:b/>
          <w:bCs/>
          <w:snapToGrid w:val="0"/>
          <w:color w:val="auto"/>
          <w:kern w:val="0"/>
          <w:szCs w:val="24"/>
        </w:rPr>
        <w:t>7.3</w:t>
      </w:r>
      <w:r>
        <w:rPr>
          <w:rFonts w:hint="eastAsia" w:hAnsi="宋体" w:cs="宋体"/>
          <w:snapToGrid w:val="0"/>
          <w:color w:val="auto"/>
          <w:kern w:val="0"/>
          <w:szCs w:val="24"/>
        </w:rPr>
        <w:t xml:space="preserve"> 仲裁或诉讼</w:t>
      </w:r>
      <w:bookmarkEnd w:id="212"/>
      <w:bookmarkEnd w:id="213"/>
      <w:bookmarkEnd w:id="214"/>
    </w:p>
    <w:p w14:paraId="2661BC72">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Ansi="宋体" w:cs="宋体"/>
          <w:snapToGrid w:val="0"/>
          <w:color w:val="auto"/>
          <w:kern w:val="0"/>
          <w:szCs w:val="24"/>
        </w:rPr>
      </w:pPr>
      <w:r>
        <w:rPr>
          <w:rFonts w:hint="eastAsia" w:hAnsi="宋体" w:cs="宋体"/>
          <w:snapToGrid w:val="0"/>
          <w:color w:val="auto"/>
          <w:kern w:val="0"/>
          <w:szCs w:val="24"/>
        </w:rPr>
        <w:t>双方均有权不经调解直接向专用条件约定的仲裁机构申请仲裁或向有管辖权的人民法院提起诉讼。</w:t>
      </w:r>
    </w:p>
    <w:p w14:paraId="004C2CFC">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Ansi="宋体" w:cs="宋体"/>
          <w:snapToGrid w:val="0"/>
          <w:color w:val="auto"/>
          <w:kern w:val="0"/>
          <w:szCs w:val="24"/>
        </w:rPr>
      </w:pPr>
      <w:r>
        <w:rPr>
          <w:rFonts w:hint="eastAsia" w:hAnsi="宋体" w:cs="宋体"/>
          <w:snapToGrid w:val="0"/>
          <w:color w:val="auto"/>
          <w:kern w:val="0"/>
          <w:szCs w:val="24"/>
        </w:rPr>
        <w:t>本合同争议的最终解决方式为下列第</w:t>
      </w:r>
      <w:r>
        <w:rPr>
          <w:rFonts w:hint="eastAsia" w:hAnsi="宋体" w:cs="宋体"/>
          <w:snapToGrid w:val="0"/>
          <w:color w:val="auto"/>
          <w:kern w:val="0"/>
          <w:szCs w:val="24"/>
          <w:u w:val="single"/>
        </w:rPr>
        <w:t xml:space="preserve">  1  </w:t>
      </w:r>
      <w:r>
        <w:rPr>
          <w:rFonts w:hint="eastAsia" w:hAnsi="宋体" w:cs="宋体"/>
          <w:snapToGrid w:val="0"/>
          <w:color w:val="auto"/>
          <w:kern w:val="0"/>
          <w:szCs w:val="24"/>
        </w:rPr>
        <w:t>种方式：</w:t>
      </w:r>
    </w:p>
    <w:p w14:paraId="52469598">
      <w:pPr>
        <w:keepNext w:val="0"/>
        <w:keepLines w:val="0"/>
        <w:pageBreakBefore w:val="0"/>
        <w:kinsoku/>
        <w:wordWrap w:val="0"/>
        <w:overflowPunct/>
        <w:topLinePunct w:val="0"/>
        <w:autoSpaceDE/>
        <w:autoSpaceDN/>
        <w:bidi w:val="0"/>
        <w:adjustRightInd w:val="0"/>
        <w:spacing w:line="420" w:lineRule="exact"/>
        <w:ind w:firstLine="480" w:firstLineChars="200"/>
        <w:textAlignment w:val="auto"/>
        <w:rPr>
          <w:rFonts w:hAnsi="宋体" w:cs="宋体"/>
          <w:snapToGrid w:val="0"/>
          <w:color w:val="auto"/>
          <w:kern w:val="0"/>
        </w:rPr>
      </w:pPr>
      <w:r>
        <w:rPr>
          <w:rFonts w:hint="eastAsia" w:hAnsi="宋体" w:cs="宋体"/>
          <w:snapToGrid w:val="0"/>
          <w:color w:val="auto"/>
          <w:kern w:val="0"/>
        </w:rPr>
        <w:t>（1）提请</w:t>
      </w:r>
      <w:r>
        <w:rPr>
          <w:rFonts w:hint="eastAsia" w:hAnsi="宋体" w:cs="宋体"/>
          <w:snapToGrid w:val="0"/>
          <w:color w:val="auto"/>
          <w:kern w:val="0"/>
          <w:u w:val="single"/>
        </w:rPr>
        <w:t xml:space="preserve">  </w:t>
      </w:r>
      <w:r>
        <w:rPr>
          <w:rFonts w:hint="eastAsia" w:hAnsi="宋体" w:cs="宋体"/>
          <w:snapToGrid w:val="0"/>
          <w:color w:val="auto"/>
          <w:kern w:val="0"/>
          <w:u w:val="single"/>
          <w:lang w:val="en-US" w:eastAsia="zh-CN"/>
        </w:rPr>
        <w:t>/</w:t>
      </w:r>
      <w:r>
        <w:rPr>
          <w:rFonts w:hint="eastAsia" w:hAnsi="宋体" w:cs="宋体"/>
          <w:snapToGrid w:val="0"/>
          <w:color w:val="auto"/>
          <w:kern w:val="0"/>
          <w:u w:val="single"/>
        </w:rPr>
        <w:t xml:space="preserve">  </w:t>
      </w:r>
      <w:r>
        <w:rPr>
          <w:rFonts w:hint="eastAsia" w:hAnsi="宋体" w:cs="宋体"/>
          <w:snapToGrid w:val="0"/>
          <w:color w:val="auto"/>
          <w:kern w:val="0"/>
        </w:rPr>
        <w:t>仲裁委员会进行仲裁。</w:t>
      </w:r>
    </w:p>
    <w:p w14:paraId="2D746661">
      <w:pPr>
        <w:keepNext w:val="0"/>
        <w:keepLines w:val="0"/>
        <w:pageBreakBefore w:val="0"/>
        <w:kinsoku/>
        <w:wordWrap w:val="0"/>
        <w:overflowPunct/>
        <w:topLinePunct w:val="0"/>
        <w:autoSpaceDE/>
        <w:autoSpaceDN/>
        <w:bidi w:val="0"/>
        <w:adjustRightInd w:val="0"/>
        <w:spacing w:line="420" w:lineRule="exact"/>
        <w:ind w:firstLine="480" w:firstLineChars="200"/>
        <w:textAlignment w:val="auto"/>
        <w:rPr>
          <w:rFonts w:hAnsi="宋体" w:cs="宋体"/>
          <w:snapToGrid w:val="0"/>
          <w:color w:val="auto"/>
          <w:kern w:val="0"/>
        </w:rPr>
      </w:pPr>
      <w:r>
        <w:rPr>
          <w:rFonts w:hint="eastAsia" w:hAnsi="宋体" w:cs="宋体"/>
          <w:snapToGrid w:val="0"/>
          <w:color w:val="auto"/>
          <w:kern w:val="0"/>
        </w:rPr>
        <w:t>（2）向</w:t>
      </w:r>
      <w:r>
        <w:rPr>
          <w:rFonts w:hint="eastAsia" w:hAnsi="宋体" w:cs="宋体"/>
          <w:snapToGrid w:val="0"/>
          <w:color w:val="auto"/>
          <w:kern w:val="0"/>
          <w:u w:val="single"/>
        </w:rPr>
        <w:t xml:space="preserve">  韶关市 </w:t>
      </w:r>
      <w:r>
        <w:rPr>
          <w:rFonts w:hint="eastAsia" w:hAnsi="宋体" w:cs="宋体"/>
          <w:snapToGrid w:val="0"/>
          <w:color w:val="auto"/>
          <w:kern w:val="0"/>
        </w:rPr>
        <w:t>人民法院提起诉讼。</w:t>
      </w:r>
    </w:p>
    <w:p w14:paraId="1239C307">
      <w:pPr>
        <w:pStyle w:val="32"/>
        <w:keepNext w:val="0"/>
        <w:keepLines w:val="0"/>
        <w:pageBreakBefore w:val="0"/>
        <w:kinsoku/>
        <w:overflowPunct/>
        <w:topLinePunct w:val="0"/>
        <w:autoSpaceDE/>
        <w:autoSpaceDN/>
        <w:bidi w:val="0"/>
        <w:spacing w:line="420" w:lineRule="exact"/>
        <w:textAlignment w:val="auto"/>
        <w:rPr>
          <w:rFonts w:ascii="宋体" w:hAnsi="宋体" w:cs="宋体"/>
          <w:snapToGrid w:val="0"/>
          <w:color w:val="auto"/>
        </w:rPr>
      </w:pPr>
    </w:p>
    <w:p w14:paraId="4136A1CA">
      <w:pPr>
        <w:pStyle w:val="32"/>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b/>
          <w:bCs/>
          <w:snapToGrid w:val="0"/>
          <w:color w:val="auto"/>
          <w:kern w:val="0"/>
          <w:sz w:val="24"/>
          <w:szCs w:val="24"/>
          <w:lang w:val="en-US" w:eastAsia="zh-CN" w:bidi="ar-SA"/>
        </w:rPr>
        <w:t>8.</w:t>
      </w:r>
      <w:r>
        <w:rPr>
          <w:rFonts w:hint="eastAsia" w:ascii="宋体" w:hAnsi="宋体" w:eastAsia="宋体" w:cs="宋体"/>
          <w:snapToGrid w:val="0"/>
          <w:color w:val="auto"/>
          <w:kern w:val="0"/>
          <w:sz w:val="24"/>
          <w:szCs w:val="24"/>
          <w:lang w:val="en-US" w:eastAsia="zh-CN" w:bidi="ar-SA"/>
        </w:rPr>
        <w:t>补充条款</w:t>
      </w:r>
    </w:p>
    <w:p w14:paraId="0ECF2C5D">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outlineLvl w:val="2"/>
        <w:rPr>
          <w:rFonts w:hint="eastAsia" w:ascii="宋体" w:hAnsi="宋体" w:eastAsia="宋体" w:cs="宋体"/>
          <w:b w:val="0"/>
          <w:bCs w:val="0"/>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8.1</w:t>
      </w:r>
      <w:r>
        <w:rPr>
          <w:rFonts w:hint="eastAsia" w:ascii="宋体" w:hAnsi="宋体" w:eastAsia="宋体" w:cs="宋体"/>
          <w:b w:val="0"/>
          <w:bCs w:val="0"/>
          <w:color w:val="auto"/>
          <w:kern w:val="0"/>
          <w:sz w:val="24"/>
          <w:szCs w:val="24"/>
          <w:highlight w:val="none"/>
          <w:lang w:val="en-US" w:eastAsia="zh-CN" w:bidi="ar"/>
        </w:rPr>
        <w:t>履约保证金</w:t>
      </w:r>
    </w:p>
    <w:p w14:paraId="27179229">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（1）在监理过程中，如监理人由于自身的资金、技术、质量、非不可抗力等原因给</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造成经济损失时，</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扣除相应履约保证金。</w:t>
      </w:r>
    </w:p>
    <w:p w14:paraId="3E663A4E">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（2）有争议时各方协商解决或由当地法院裁判，法律有规定按规定执行。</w:t>
      </w:r>
    </w:p>
    <w:p w14:paraId="091F2B52">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（3）工程竣工验收合格后30日历天内</w:t>
      </w:r>
      <w:r>
        <w:rPr>
          <w:rFonts w:hint="eastAsia" w:hAnsi="宋体" w:cs="宋体"/>
          <w:color w:val="auto"/>
          <w:kern w:val="0"/>
          <w:sz w:val="24"/>
          <w:szCs w:val="24"/>
          <w:highlight w:val="none"/>
          <w:lang w:val="en-US" w:eastAsia="zh-CN" w:bidi="ar"/>
        </w:rPr>
        <w:t>委托人</w:t>
      </w:r>
      <w:r>
        <w:rPr>
          <w:rFonts w:hint="eastAsia" w:ascii="宋体" w:hAnsi="宋体" w:eastAsia="宋体" w:cs="宋体"/>
          <w:color w:val="auto"/>
          <w:kern w:val="0"/>
          <w:sz w:val="24"/>
          <w:szCs w:val="24"/>
          <w:highlight w:val="none"/>
          <w:lang w:val="en-US" w:eastAsia="zh-CN" w:bidi="ar"/>
        </w:rPr>
        <w:t>退回剩余履约保证金（不计算利息）。</w:t>
      </w:r>
    </w:p>
    <w:p w14:paraId="3BEB54E0">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outlineLvl w:val="2"/>
        <w:rPr>
          <w:rFonts w:hint="eastAsia" w:ascii="宋体" w:hAnsi="宋体" w:eastAsia="宋体" w:cs="宋体"/>
          <w:b w:val="0"/>
          <w:bCs w:val="0"/>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8.2</w:t>
      </w:r>
      <w:r>
        <w:rPr>
          <w:rFonts w:hint="eastAsia" w:ascii="宋体" w:hAnsi="宋体" w:eastAsia="宋体" w:cs="宋体"/>
          <w:b w:val="0"/>
          <w:bCs w:val="0"/>
          <w:color w:val="auto"/>
          <w:kern w:val="0"/>
          <w:sz w:val="24"/>
          <w:szCs w:val="24"/>
          <w:highlight w:val="none"/>
          <w:lang w:val="en-US" w:eastAsia="zh-CN" w:bidi="ar"/>
        </w:rPr>
        <w:t>工程质量、造价、进度控制及安全生产管理</w:t>
      </w:r>
    </w:p>
    <w:p w14:paraId="71A7317C">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8.2</w:t>
      </w:r>
      <w:r>
        <w:rPr>
          <w:rFonts w:hint="eastAsia" w:ascii="宋体" w:hAnsi="宋体" w:eastAsia="宋体" w:cs="宋体"/>
          <w:b w:val="0"/>
          <w:bCs w:val="0"/>
          <w:color w:val="auto"/>
          <w:kern w:val="0"/>
          <w:sz w:val="24"/>
          <w:szCs w:val="24"/>
          <w:highlight w:val="none"/>
          <w:lang w:val="en-US" w:eastAsia="zh-CN" w:bidi="ar"/>
        </w:rPr>
        <w:t>.1工程质量控制</w:t>
      </w:r>
    </w:p>
    <w:p w14:paraId="3E5194FA">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8.2.1.1</w:t>
      </w:r>
      <w:r>
        <w:rPr>
          <w:rFonts w:hint="eastAsia" w:ascii="宋体" w:hAnsi="宋体" w:eastAsia="宋体" w:cs="宋体"/>
          <w:color w:val="auto"/>
          <w:kern w:val="0"/>
          <w:sz w:val="24"/>
          <w:szCs w:val="24"/>
          <w:highlight w:val="none"/>
          <w:lang w:val="en-US" w:eastAsia="zh-CN" w:bidi="ar"/>
        </w:rPr>
        <w:t>工程开工前，监理</w:t>
      </w:r>
      <w:r>
        <w:rPr>
          <w:rFonts w:hint="eastAsia" w:hAnsi="宋体" w:cs="宋体"/>
          <w:color w:val="auto"/>
          <w:kern w:val="0"/>
          <w:sz w:val="24"/>
          <w:szCs w:val="24"/>
          <w:highlight w:val="none"/>
          <w:lang w:val="en-US" w:eastAsia="zh-CN" w:bidi="ar"/>
        </w:rPr>
        <w:t>人</w:t>
      </w:r>
      <w:r>
        <w:rPr>
          <w:rFonts w:hint="eastAsia" w:ascii="宋体" w:hAnsi="宋体" w:eastAsia="宋体" w:cs="宋体"/>
          <w:color w:val="auto"/>
          <w:kern w:val="0"/>
          <w:sz w:val="24"/>
          <w:szCs w:val="24"/>
          <w:highlight w:val="none"/>
          <w:lang w:val="en-US" w:eastAsia="zh-CN" w:bidi="ar"/>
        </w:rPr>
        <w:t>应审查施工单位现场的质量管理组织机构、管理制度及专职管理人员和特种作业人员的资格。</w:t>
      </w:r>
    </w:p>
    <w:p w14:paraId="42BEC24A">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8.2.1.2</w:t>
      </w:r>
      <w:r>
        <w:rPr>
          <w:rFonts w:hint="eastAsia" w:ascii="宋体" w:hAnsi="宋体" w:eastAsia="宋体" w:cs="宋体"/>
          <w:color w:val="auto"/>
          <w:kern w:val="0"/>
          <w:sz w:val="24"/>
          <w:szCs w:val="24"/>
          <w:highlight w:val="none"/>
          <w:lang w:val="en-US" w:eastAsia="zh-CN" w:bidi="ar"/>
        </w:rPr>
        <w:t>总监理工程师应组织专业监理工程师审查施工单位报审的施工方案，符合要求后应予以签认。施工方案审查应包括下列基本内容：</w:t>
      </w:r>
    </w:p>
    <w:p w14:paraId="0399A881">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（1）编审程序应符合相关规定。</w:t>
      </w:r>
    </w:p>
    <w:p w14:paraId="7140C87C">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（2）工程质量保证措施应符合有关标准。</w:t>
      </w:r>
    </w:p>
    <w:p w14:paraId="7E74E5A8">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8.2.1.3</w:t>
      </w:r>
      <w:r>
        <w:rPr>
          <w:rFonts w:hint="eastAsia" w:ascii="宋体" w:hAnsi="宋体" w:eastAsia="宋体" w:cs="宋体"/>
          <w:color w:val="auto"/>
          <w:kern w:val="0"/>
          <w:sz w:val="24"/>
          <w:szCs w:val="24"/>
          <w:highlight w:val="none"/>
          <w:lang w:val="en-US" w:eastAsia="zh-CN" w:bidi="ar"/>
        </w:rPr>
        <w:t>施工方案报审表应按相应规范的要求填写。</w:t>
      </w:r>
    </w:p>
    <w:p w14:paraId="386E2C8E">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8.2.1.4</w:t>
      </w:r>
      <w:r>
        <w:rPr>
          <w:rFonts w:hint="eastAsia" w:ascii="宋体" w:hAnsi="宋体" w:eastAsia="宋体" w:cs="宋体"/>
          <w:color w:val="auto"/>
          <w:kern w:val="0"/>
          <w:sz w:val="24"/>
          <w:szCs w:val="24"/>
          <w:highlight w:val="none"/>
          <w:lang w:val="en-US" w:eastAsia="zh-CN" w:bidi="ar"/>
        </w:rPr>
        <w:t>专业监理工程师应审查施工单位报送的新材料、新工艺、新技术、新设备的质量认证材料和相关验收标准的适用性，必要时，应要求施工单位组织专题论证，审查合格后报总监理工程师签认。</w:t>
      </w:r>
    </w:p>
    <w:p w14:paraId="15369D27">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8.2.1.5</w:t>
      </w:r>
      <w:r>
        <w:rPr>
          <w:rFonts w:hint="eastAsia" w:ascii="宋体" w:hAnsi="宋体" w:eastAsia="宋体" w:cs="宋体"/>
          <w:color w:val="auto"/>
          <w:kern w:val="0"/>
          <w:sz w:val="24"/>
          <w:szCs w:val="24"/>
          <w:highlight w:val="none"/>
          <w:lang w:val="en-US" w:eastAsia="zh-CN" w:bidi="ar"/>
        </w:rPr>
        <w:t>专业监理工程师应检查、复核施工单位报送的施工控制测量成果及保护措施，签署意见。专业监理工程师应对施工单位在施工过程中报送的施工测量放线成果进行查验。施工控制测量成果及保护措施的检查、复核，应包括下列内容：</w:t>
      </w:r>
    </w:p>
    <w:p w14:paraId="7A1DF78B">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（1）施工单位测量人员的资格证书及测量设备检定证书。</w:t>
      </w:r>
    </w:p>
    <w:p w14:paraId="51EC501A">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（2）施工平面控制网、高程控制网和临时水准点的测量成果及控制桩的保护措施。</w:t>
      </w:r>
    </w:p>
    <w:p w14:paraId="43ABE116">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8.2.1.6</w:t>
      </w:r>
      <w:r>
        <w:rPr>
          <w:rFonts w:hint="eastAsia" w:ascii="宋体" w:hAnsi="宋体" w:eastAsia="宋体" w:cs="宋体"/>
          <w:color w:val="auto"/>
          <w:kern w:val="0"/>
          <w:sz w:val="24"/>
          <w:szCs w:val="24"/>
          <w:highlight w:val="none"/>
          <w:lang w:val="en-US" w:eastAsia="zh-CN" w:bidi="ar"/>
        </w:rPr>
        <w:t>施工控制测量成果报验表应按相应规范的要求填写。</w:t>
      </w:r>
    </w:p>
    <w:p w14:paraId="1CF1F516">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8.2.1.7</w:t>
      </w:r>
      <w:r>
        <w:rPr>
          <w:rFonts w:hint="eastAsia" w:ascii="宋体" w:hAnsi="宋体" w:eastAsia="宋体" w:cs="宋体"/>
          <w:color w:val="auto"/>
          <w:kern w:val="0"/>
          <w:sz w:val="24"/>
          <w:szCs w:val="24"/>
          <w:highlight w:val="none"/>
          <w:lang w:val="en-US" w:eastAsia="zh-CN" w:bidi="ar"/>
        </w:rPr>
        <w:t>专业监理工程师应检查施工单位为工程提供服务的试验室。</w:t>
      </w:r>
    </w:p>
    <w:p w14:paraId="7C01811C">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试验室的检查应包括下列内容：</w:t>
      </w:r>
    </w:p>
    <w:p w14:paraId="1796643E">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（1）试验室的资质等级及试验范围。</w:t>
      </w:r>
    </w:p>
    <w:p w14:paraId="65272A3E">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（2）法定计量部门对试验设备出具的计量检定证明。</w:t>
      </w:r>
    </w:p>
    <w:p w14:paraId="26513E57">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（3）试验室管理制度。</w:t>
      </w:r>
    </w:p>
    <w:p w14:paraId="04383E9B">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（4）试验人员资格证书。</w:t>
      </w:r>
    </w:p>
    <w:p w14:paraId="0837FF7B">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8.2.1.8</w:t>
      </w:r>
      <w:r>
        <w:rPr>
          <w:rFonts w:hint="eastAsia" w:ascii="宋体" w:hAnsi="宋体" w:eastAsia="宋体" w:cs="宋体"/>
          <w:color w:val="auto"/>
          <w:kern w:val="0"/>
          <w:sz w:val="24"/>
          <w:szCs w:val="24"/>
          <w:highlight w:val="none"/>
          <w:lang w:val="en-US" w:eastAsia="zh-CN" w:bidi="ar"/>
        </w:rPr>
        <w:t>施工单位的试验室报审表应按相应规范的要求填写。</w:t>
      </w:r>
    </w:p>
    <w:p w14:paraId="66323E77">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8.2.1.9</w:t>
      </w:r>
      <w:r>
        <w:rPr>
          <w:rFonts w:hint="eastAsia" w:ascii="宋体" w:hAnsi="宋体" w:eastAsia="宋体" w:cs="宋体"/>
          <w:color w:val="auto"/>
          <w:kern w:val="0"/>
          <w:sz w:val="24"/>
          <w:szCs w:val="24"/>
          <w:highlight w:val="none"/>
          <w:lang w:val="en-US" w:eastAsia="zh-CN" w:bidi="ar"/>
        </w:rPr>
        <w:t>项目监理机</w:t>
      </w:r>
      <w:r>
        <w:rPr>
          <w:rFonts w:hint="eastAsia" w:hAnsi="宋体" w:cs="宋体"/>
          <w:color w:val="auto"/>
          <w:kern w:val="0"/>
          <w:sz w:val="24"/>
          <w:szCs w:val="24"/>
          <w:highlight w:val="none"/>
          <w:lang w:val="en-US" w:eastAsia="zh-CN" w:bidi="ar"/>
        </w:rPr>
        <w:t>人</w:t>
      </w:r>
      <w:r>
        <w:rPr>
          <w:rFonts w:hint="eastAsia" w:ascii="宋体" w:hAnsi="宋体" w:eastAsia="宋体" w:cs="宋体"/>
          <w:color w:val="auto"/>
          <w:kern w:val="0"/>
          <w:sz w:val="24"/>
          <w:szCs w:val="24"/>
          <w:highlight w:val="none"/>
          <w:lang w:val="en-US" w:eastAsia="zh-CN" w:bidi="ar"/>
        </w:rPr>
        <w:t>应审查施工单位报送的用于工程的材料、构配件、设备的质量证明文件，并应按有关规定、建设工程监理合同约定，对用于工程的材料进行见证取样、平行检验。监理</w:t>
      </w:r>
      <w:r>
        <w:rPr>
          <w:rFonts w:hint="eastAsia" w:hAnsi="宋体" w:cs="宋体"/>
          <w:color w:val="auto"/>
          <w:kern w:val="0"/>
          <w:sz w:val="24"/>
          <w:szCs w:val="24"/>
          <w:highlight w:val="none"/>
          <w:lang w:val="en-US" w:eastAsia="zh-CN" w:bidi="ar"/>
        </w:rPr>
        <w:t>人</w:t>
      </w:r>
      <w:r>
        <w:rPr>
          <w:rFonts w:hint="eastAsia" w:ascii="宋体" w:hAnsi="宋体" w:eastAsia="宋体" w:cs="宋体"/>
          <w:color w:val="auto"/>
          <w:kern w:val="0"/>
          <w:sz w:val="24"/>
          <w:szCs w:val="24"/>
          <w:highlight w:val="none"/>
          <w:lang w:val="en-US" w:eastAsia="zh-CN" w:bidi="ar"/>
        </w:rPr>
        <w:t>对已进场经检验不合格的工程材料、构配件、设备，应要求施工单位限期将其撤出施工现场。工程材料、构配件、设备报审表应按相应规范的要求填写。</w:t>
      </w:r>
    </w:p>
    <w:p w14:paraId="43EE555A">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8.2.1.10</w:t>
      </w:r>
      <w:r>
        <w:rPr>
          <w:rFonts w:hint="eastAsia" w:ascii="宋体" w:hAnsi="宋体" w:eastAsia="宋体" w:cs="宋体"/>
          <w:color w:val="auto"/>
          <w:kern w:val="0"/>
          <w:sz w:val="24"/>
          <w:szCs w:val="24"/>
          <w:highlight w:val="none"/>
          <w:lang w:val="en-US" w:eastAsia="zh-CN" w:bidi="ar"/>
        </w:rPr>
        <w:t>专业监理工程师应审查施工单位定期提交影响工程质量的计量设备的检查和检定报告。</w:t>
      </w:r>
    </w:p>
    <w:p w14:paraId="7C5BA84D">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8.2.1.11</w:t>
      </w:r>
      <w:r>
        <w:rPr>
          <w:rFonts w:hint="eastAsia" w:ascii="宋体" w:hAnsi="宋体" w:eastAsia="宋体" w:cs="宋体"/>
          <w:color w:val="auto"/>
          <w:kern w:val="0"/>
          <w:sz w:val="24"/>
          <w:szCs w:val="24"/>
          <w:highlight w:val="none"/>
          <w:lang w:val="en-US" w:eastAsia="zh-CN" w:bidi="ar"/>
        </w:rPr>
        <w:t>监理</w:t>
      </w:r>
      <w:r>
        <w:rPr>
          <w:rFonts w:hint="eastAsia" w:hAnsi="宋体" w:cs="宋体"/>
          <w:color w:val="auto"/>
          <w:kern w:val="0"/>
          <w:sz w:val="24"/>
          <w:szCs w:val="24"/>
          <w:highlight w:val="none"/>
          <w:lang w:val="en-US" w:eastAsia="zh-CN" w:bidi="ar"/>
        </w:rPr>
        <w:t>人</w:t>
      </w:r>
      <w:r>
        <w:rPr>
          <w:rFonts w:hint="eastAsia" w:ascii="宋体" w:hAnsi="宋体" w:eastAsia="宋体" w:cs="宋体"/>
          <w:color w:val="auto"/>
          <w:kern w:val="0"/>
          <w:sz w:val="24"/>
          <w:szCs w:val="24"/>
          <w:highlight w:val="none"/>
          <w:lang w:val="en-US" w:eastAsia="zh-CN" w:bidi="ar"/>
        </w:rPr>
        <w:t>应根据工程特点和施工单位报送的施工组织设计，确定旁站的关键部位、关键工序，安排监理人员进行旁站，并应及时记录旁站情况。旁站记录应按相应规范的要求填写。</w:t>
      </w:r>
    </w:p>
    <w:p w14:paraId="33BF6D3F">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8.2.1.12</w:t>
      </w:r>
      <w:r>
        <w:rPr>
          <w:rFonts w:hint="eastAsia" w:ascii="宋体" w:hAnsi="宋体" w:eastAsia="宋体" w:cs="宋体"/>
          <w:color w:val="auto"/>
          <w:kern w:val="0"/>
          <w:sz w:val="24"/>
          <w:szCs w:val="24"/>
          <w:highlight w:val="none"/>
          <w:lang w:val="en-US" w:eastAsia="zh-CN" w:bidi="ar"/>
        </w:rPr>
        <w:t>监理</w:t>
      </w:r>
      <w:r>
        <w:rPr>
          <w:rFonts w:hint="eastAsia" w:hAnsi="宋体" w:cs="宋体"/>
          <w:color w:val="auto"/>
          <w:kern w:val="0"/>
          <w:sz w:val="24"/>
          <w:szCs w:val="24"/>
          <w:highlight w:val="none"/>
          <w:lang w:val="en-US" w:eastAsia="zh-CN" w:bidi="ar"/>
        </w:rPr>
        <w:t>人</w:t>
      </w:r>
      <w:r>
        <w:rPr>
          <w:rFonts w:hint="eastAsia" w:ascii="宋体" w:hAnsi="宋体" w:eastAsia="宋体" w:cs="宋体"/>
          <w:color w:val="auto"/>
          <w:kern w:val="0"/>
          <w:sz w:val="24"/>
          <w:szCs w:val="24"/>
          <w:highlight w:val="none"/>
          <w:lang w:val="en-US" w:eastAsia="zh-CN" w:bidi="ar"/>
        </w:rPr>
        <w:t>应安排监理人员对工程施工质量进行巡视。巡视应包括下列主要内容：</w:t>
      </w:r>
    </w:p>
    <w:p w14:paraId="6EDFA12B">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（1）施工单位是否按工程设计文件、工程建设标准和批准的施工组织设计、(专项)施工方案施工。</w:t>
      </w:r>
    </w:p>
    <w:p w14:paraId="24943794">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（2）使用的工程材料、构配件和设备是否合格。</w:t>
      </w:r>
    </w:p>
    <w:p w14:paraId="026DD966">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（3）施工现场管理人员，特别是施工质量管理人员是否到位。</w:t>
      </w:r>
    </w:p>
    <w:p w14:paraId="309C652F">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（4）特种作业人员是否持证上岗。</w:t>
      </w:r>
    </w:p>
    <w:p w14:paraId="10736FE1">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8.2.1.13</w:t>
      </w:r>
      <w:r>
        <w:rPr>
          <w:rFonts w:hint="eastAsia" w:ascii="宋体" w:hAnsi="宋体" w:eastAsia="宋体" w:cs="宋体"/>
          <w:color w:val="auto"/>
          <w:kern w:val="0"/>
          <w:sz w:val="24"/>
          <w:szCs w:val="24"/>
          <w:highlight w:val="none"/>
          <w:lang w:val="en-US" w:eastAsia="zh-CN" w:bidi="ar"/>
        </w:rPr>
        <w:t>监理</w:t>
      </w:r>
      <w:r>
        <w:rPr>
          <w:rFonts w:hint="eastAsia" w:hAnsi="宋体" w:cs="宋体"/>
          <w:color w:val="auto"/>
          <w:kern w:val="0"/>
          <w:sz w:val="24"/>
          <w:szCs w:val="24"/>
          <w:highlight w:val="none"/>
          <w:lang w:val="en-US" w:eastAsia="zh-CN" w:bidi="ar"/>
        </w:rPr>
        <w:t>人</w:t>
      </w:r>
      <w:r>
        <w:rPr>
          <w:rFonts w:hint="eastAsia" w:ascii="宋体" w:hAnsi="宋体" w:eastAsia="宋体" w:cs="宋体"/>
          <w:color w:val="auto"/>
          <w:kern w:val="0"/>
          <w:sz w:val="24"/>
          <w:szCs w:val="24"/>
          <w:highlight w:val="none"/>
          <w:lang w:val="en-US" w:eastAsia="zh-CN" w:bidi="ar"/>
        </w:rPr>
        <w:t>应根据工程特点、专业要求，以及建设工程监理合同约定，对施工质量进行平行检验。</w:t>
      </w:r>
    </w:p>
    <w:p w14:paraId="54E46E18">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8.2.1.14</w:t>
      </w:r>
      <w:r>
        <w:rPr>
          <w:rFonts w:hint="eastAsia" w:ascii="宋体" w:hAnsi="宋体" w:eastAsia="宋体" w:cs="宋体"/>
          <w:color w:val="auto"/>
          <w:kern w:val="0"/>
          <w:sz w:val="24"/>
          <w:szCs w:val="24"/>
          <w:highlight w:val="none"/>
          <w:lang w:val="en-US" w:eastAsia="zh-CN" w:bidi="ar"/>
        </w:rPr>
        <w:t>监理</w:t>
      </w:r>
      <w:r>
        <w:rPr>
          <w:rFonts w:hint="eastAsia" w:hAnsi="宋体" w:cs="宋体"/>
          <w:color w:val="auto"/>
          <w:kern w:val="0"/>
          <w:sz w:val="24"/>
          <w:szCs w:val="24"/>
          <w:highlight w:val="none"/>
          <w:lang w:val="en-US" w:eastAsia="zh-CN" w:bidi="ar"/>
        </w:rPr>
        <w:t>人</w:t>
      </w:r>
      <w:r>
        <w:rPr>
          <w:rFonts w:hint="eastAsia" w:ascii="宋体" w:hAnsi="宋体" w:eastAsia="宋体" w:cs="宋体"/>
          <w:color w:val="auto"/>
          <w:kern w:val="0"/>
          <w:sz w:val="24"/>
          <w:szCs w:val="24"/>
          <w:highlight w:val="none"/>
          <w:lang w:val="en-US" w:eastAsia="zh-CN" w:bidi="ar"/>
        </w:rPr>
        <w:t>应对施工单位报验的隐蔽工程、检验批、分项工程和分部工程进行验收，对验收合格的应给予签认；对验收不合格的应拒绝签认，同时应要求施工单位在指定的时间内整改并重新报验。对已同意覆盖的工程隐蔽部位质量有疑问的，或发现施工单位私自覆盖工程隐蔽部位的，监理</w:t>
      </w:r>
      <w:r>
        <w:rPr>
          <w:rFonts w:hint="eastAsia" w:hAnsi="宋体" w:cs="宋体"/>
          <w:color w:val="auto"/>
          <w:kern w:val="0"/>
          <w:sz w:val="24"/>
          <w:szCs w:val="24"/>
          <w:highlight w:val="none"/>
          <w:lang w:val="en-US" w:eastAsia="zh-CN" w:bidi="ar"/>
        </w:rPr>
        <w:t>人</w:t>
      </w:r>
      <w:r>
        <w:rPr>
          <w:rFonts w:hint="eastAsia" w:ascii="宋体" w:hAnsi="宋体" w:eastAsia="宋体" w:cs="宋体"/>
          <w:color w:val="auto"/>
          <w:kern w:val="0"/>
          <w:sz w:val="24"/>
          <w:szCs w:val="24"/>
          <w:highlight w:val="none"/>
          <w:lang w:val="en-US" w:eastAsia="zh-CN" w:bidi="ar"/>
        </w:rPr>
        <w:t>应要求施工单位对该隐蔽部位进行钻孔探测、剥离或其他方法进行重新检验。隐蔽工程、检验批、分项工程报验表及分部工程报验表应按相应规范的要求填写。</w:t>
      </w:r>
    </w:p>
    <w:p w14:paraId="570BDB32">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8.2.1.15</w:t>
      </w:r>
      <w:r>
        <w:rPr>
          <w:rFonts w:hint="eastAsia" w:ascii="宋体" w:hAnsi="宋体" w:eastAsia="宋体" w:cs="宋体"/>
          <w:color w:val="auto"/>
          <w:kern w:val="0"/>
          <w:sz w:val="24"/>
          <w:szCs w:val="24"/>
          <w:highlight w:val="none"/>
          <w:lang w:val="en-US" w:eastAsia="zh-CN" w:bidi="ar"/>
        </w:rPr>
        <w:t>监理</w:t>
      </w:r>
      <w:r>
        <w:rPr>
          <w:rFonts w:hint="eastAsia" w:hAnsi="宋体" w:cs="宋体"/>
          <w:color w:val="auto"/>
          <w:kern w:val="0"/>
          <w:sz w:val="24"/>
          <w:szCs w:val="24"/>
          <w:highlight w:val="none"/>
          <w:lang w:val="en-US" w:eastAsia="zh-CN" w:bidi="ar"/>
        </w:rPr>
        <w:t>人</w:t>
      </w:r>
      <w:r>
        <w:rPr>
          <w:rFonts w:hint="eastAsia" w:ascii="宋体" w:hAnsi="宋体" w:eastAsia="宋体" w:cs="宋体"/>
          <w:color w:val="auto"/>
          <w:kern w:val="0"/>
          <w:sz w:val="24"/>
          <w:szCs w:val="24"/>
          <w:highlight w:val="none"/>
          <w:lang w:val="en-US" w:eastAsia="zh-CN" w:bidi="ar"/>
        </w:rPr>
        <w:t>发现施工存在质量问题的，或施工单位采用不适当的施工工艺，或施工不当，造成工程质量不合格的，应及时签发监理通知单，要求施工单位整改。整改完毕后，监理</w:t>
      </w:r>
      <w:r>
        <w:rPr>
          <w:rFonts w:hint="eastAsia" w:hAnsi="宋体" w:cs="宋体"/>
          <w:color w:val="auto"/>
          <w:kern w:val="0"/>
          <w:sz w:val="24"/>
          <w:szCs w:val="24"/>
          <w:highlight w:val="none"/>
          <w:lang w:val="en-US" w:eastAsia="zh-CN" w:bidi="ar"/>
        </w:rPr>
        <w:t>人</w:t>
      </w:r>
      <w:r>
        <w:rPr>
          <w:rFonts w:hint="eastAsia" w:ascii="宋体" w:hAnsi="宋体" w:eastAsia="宋体" w:cs="宋体"/>
          <w:color w:val="auto"/>
          <w:kern w:val="0"/>
          <w:sz w:val="24"/>
          <w:szCs w:val="24"/>
          <w:highlight w:val="none"/>
          <w:lang w:val="en-US" w:eastAsia="zh-CN" w:bidi="ar"/>
        </w:rPr>
        <w:t>应根据施工单位报送的监理通知回复单对整改情况进行复查，提出复查意见。监理通知单及监理通知回复单应按相应规范的要求填写。</w:t>
      </w:r>
    </w:p>
    <w:p w14:paraId="54EA5542">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8.2.1.16</w:t>
      </w:r>
      <w:r>
        <w:rPr>
          <w:rFonts w:hint="eastAsia" w:ascii="宋体" w:hAnsi="宋体" w:eastAsia="宋体" w:cs="宋体"/>
          <w:color w:val="auto"/>
          <w:kern w:val="0"/>
          <w:sz w:val="24"/>
          <w:szCs w:val="24"/>
          <w:highlight w:val="none"/>
          <w:lang w:val="en-US" w:eastAsia="zh-CN" w:bidi="ar"/>
        </w:rPr>
        <w:t>对需要返工处理或加固补强的质量缺陷，监理</w:t>
      </w:r>
      <w:r>
        <w:rPr>
          <w:rFonts w:hint="eastAsia" w:hAnsi="宋体" w:cs="宋体"/>
          <w:color w:val="auto"/>
          <w:kern w:val="0"/>
          <w:sz w:val="24"/>
          <w:szCs w:val="24"/>
          <w:highlight w:val="none"/>
          <w:lang w:val="en-US" w:eastAsia="zh-CN" w:bidi="ar"/>
        </w:rPr>
        <w:t>人</w:t>
      </w:r>
      <w:r>
        <w:rPr>
          <w:rFonts w:hint="eastAsia" w:ascii="宋体" w:hAnsi="宋体" w:eastAsia="宋体" w:cs="宋体"/>
          <w:color w:val="auto"/>
          <w:kern w:val="0"/>
          <w:sz w:val="24"/>
          <w:szCs w:val="24"/>
          <w:highlight w:val="none"/>
          <w:lang w:val="en-US" w:eastAsia="zh-CN" w:bidi="ar"/>
        </w:rPr>
        <w:t>应要求施工单位报送经设计等相关单位认可的处理方案，并应对质量缺陷的处理过程进行跟踪检查，同时应对处理结果进行验收。</w:t>
      </w:r>
    </w:p>
    <w:p w14:paraId="52B5184C">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8.2.1.17</w:t>
      </w:r>
      <w:r>
        <w:rPr>
          <w:rFonts w:hint="eastAsia" w:ascii="宋体" w:hAnsi="宋体" w:eastAsia="宋体" w:cs="宋体"/>
          <w:color w:val="auto"/>
          <w:kern w:val="0"/>
          <w:sz w:val="24"/>
          <w:szCs w:val="24"/>
          <w:highlight w:val="none"/>
          <w:lang w:val="en-US" w:eastAsia="zh-CN" w:bidi="ar"/>
        </w:rPr>
        <w:t>对需要返工处理或加固补强的质量事故，监理</w:t>
      </w:r>
      <w:r>
        <w:rPr>
          <w:rFonts w:hint="eastAsia" w:hAnsi="宋体" w:cs="宋体"/>
          <w:color w:val="auto"/>
          <w:kern w:val="0"/>
          <w:sz w:val="24"/>
          <w:szCs w:val="24"/>
          <w:highlight w:val="none"/>
          <w:lang w:val="en-US" w:eastAsia="zh-CN" w:bidi="ar"/>
        </w:rPr>
        <w:t>人</w:t>
      </w:r>
      <w:r>
        <w:rPr>
          <w:rFonts w:hint="eastAsia" w:ascii="宋体" w:hAnsi="宋体" w:eastAsia="宋体" w:cs="宋体"/>
          <w:color w:val="auto"/>
          <w:kern w:val="0"/>
          <w:sz w:val="24"/>
          <w:szCs w:val="24"/>
          <w:highlight w:val="none"/>
          <w:lang w:val="en-US" w:eastAsia="zh-CN" w:bidi="ar"/>
        </w:rPr>
        <w:t>应要求施工单位报送质量事故调查报告和经设计等相关单位认可的处理方案，并应对质量事故的处理过程进行跟踪检查，同时应对处理结果进行验收。监理</w:t>
      </w:r>
      <w:r>
        <w:rPr>
          <w:rFonts w:hint="eastAsia" w:hAnsi="宋体" w:cs="宋体"/>
          <w:color w:val="auto"/>
          <w:kern w:val="0"/>
          <w:sz w:val="24"/>
          <w:szCs w:val="24"/>
          <w:highlight w:val="none"/>
          <w:lang w:val="en-US" w:eastAsia="zh-CN" w:bidi="ar"/>
        </w:rPr>
        <w:t>人</w:t>
      </w:r>
      <w:r>
        <w:rPr>
          <w:rFonts w:hint="eastAsia" w:ascii="宋体" w:hAnsi="宋体" w:eastAsia="宋体" w:cs="宋体"/>
          <w:color w:val="auto"/>
          <w:kern w:val="0"/>
          <w:sz w:val="24"/>
          <w:szCs w:val="24"/>
          <w:highlight w:val="none"/>
          <w:lang w:val="en-US" w:eastAsia="zh-CN" w:bidi="ar"/>
        </w:rPr>
        <w:t>应及时向</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提交质量事故书面报告，并应将完整的质量事故处理记录整理归档。</w:t>
      </w:r>
    </w:p>
    <w:p w14:paraId="0CDB34DA">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8.2.1.18</w:t>
      </w:r>
      <w:r>
        <w:rPr>
          <w:rFonts w:hint="eastAsia" w:ascii="宋体" w:hAnsi="宋体" w:eastAsia="宋体" w:cs="宋体"/>
          <w:color w:val="auto"/>
          <w:kern w:val="0"/>
          <w:sz w:val="24"/>
          <w:szCs w:val="24"/>
          <w:highlight w:val="none"/>
          <w:lang w:val="en-US" w:eastAsia="zh-CN" w:bidi="ar"/>
        </w:rPr>
        <w:t>监理</w:t>
      </w:r>
      <w:r>
        <w:rPr>
          <w:rFonts w:hint="eastAsia" w:hAnsi="宋体" w:cs="宋体"/>
          <w:color w:val="auto"/>
          <w:kern w:val="0"/>
          <w:sz w:val="24"/>
          <w:szCs w:val="24"/>
          <w:highlight w:val="none"/>
          <w:lang w:val="en-US" w:eastAsia="zh-CN" w:bidi="ar"/>
        </w:rPr>
        <w:t>人</w:t>
      </w:r>
      <w:r>
        <w:rPr>
          <w:rFonts w:hint="eastAsia" w:ascii="宋体" w:hAnsi="宋体" w:eastAsia="宋体" w:cs="宋体"/>
          <w:color w:val="auto"/>
          <w:kern w:val="0"/>
          <w:sz w:val="24"/>
          <w:szCs w:val="24"/>
          <w:highlight w:val="none"/>
          <w:lang w:val="en-US" w:eastAsia="zh-CN" w:bidi="ar"/>
        </w:rPr>
        <w:t>应审查施工单位提交的单位工程竣工验收报审表及竣工资料，组织工程竣工预验收。存在问题的，应要求施工单位及时整改；合格的，总监理工程师应签认单位工程竣工验收报审表。单位工程竣工验收报审表应按相应规范的要求填写。</w:t>
      </w:r>
    </w:p>
    <w:p w14:paraId="4703AF31">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8.2.1.19</w:t>
      </w:r>
      <w:r>
        <w:rPr>
          <w:rFonts w:hint="eastAsia" w:ascii="宋体" w:hAnsi="宋体" w:eastAsia="宋体" w:cs="宋体"/>
          <w:color w:val="auto"/>
          <w:kern w:val="0"/>
          <w:sz w:val="24"/>
          <w:szCs w:val="24"/>
          <w:highlight w:val="none"/>
          <w:lang w:val="en-US" w:eastAsia="zh-CN" w:bidi="ar"/>
        </w:rPr>
        <w:t>工程竣工预验收合格后，监理</w:t>
      </w:r>
      <w:r>
        <w:rPr>
          <w:rFonts w:hint="eastAsia" w:hAnsi="宋体" w:cs="宋体"/>
          <w:color w:val="auto"/>
          <w:kern w:val="0"/>
          <w:sz w:val="24"/>
          <w:szCs w:val="24"/>
          <w:highlight w:val="none"/>
          <w:lang w:val="en-US" w:eastAsia="zh-CN" w:bidi="ar"/>
        </w:rPr>
        <w:t>人</w:t>
      </w:r>
      <w:r>
        <w:rPr>
          <w:rFonts w:hint="eastAsia" w:ascii="宋体" w:hAnsi="宋体" w:eastAsia="宋体" w:cs="宋体"/>
          <w:color w:val="auto"/>
          <w:kern w:val="0"/>
          <w:sz w:val="24"/>
          <w:szCs w:val="24"/>
          <w:highlight w:val="none"/>
          <w:lang w:val="en-US" w:eastAsia="zh-CN" w:bidi="ar"/>
        </w:rPr>
        <w:t>应编写工程质量评估报告，并应经总监理工程师和工程监理单位技术负责人审核签字后报</w:t>
      </w:r>
      <w:r>
        <w:rPr>
          <w:rFonts w:hint="eastAsia" w:hAnsi="宋体" w:cs="宋体"/>
          <w:color w:val="auto"/>
          <w:kern w:val="0"/>
          <w:sz w:val="24"/>
          <w:szCs w:val="24"/>
          <w:highlight w:val="none"/>
          <w:lang w:val="en-US" w:eastAsia="zh-CN" w:bidi="ar"/>
        </w:rPr>
        <w:t>委托人</w:t>
      </w:r>
      <w:r>
        <w:rPr>
          <w:rFonts w:hint="eastAsia" w:ascii="宋体" w:hAnsi="宋体" w:eastAsia="宋体" w:cs="宋体"/>
          <w:color w:val="auto"/>
          <w:kern w:val="0"/>
          <w:sz w:val="24"/>
          <w:szCs w:val="24"/>
          <w:highlight w:val="none"/>
          <w:lang w:val="en-US" w:eastAsia="zh-CN" w:bidi="ar"/>
        </w:rPr>
        <w:t>。</w:t>
      </w:r>
    </w:p>
    <w:p w14:paraId="62D05068">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8.2.1.20</w:t>
      </w:r>
      <w:r>
        <w:rPr>
          <w:rFonts w:hint="eastAsia" w:ascii="宋体" w:hAnsi="宋体" w:eastAsia="宋体" w:cs="宋体"/>
          <w:color w:val="auto"/>
          <w:kern w:val="0"/>
          <w:sz w:val="24"/>
          <w:szCs w:val="24"/>
          <w:highlight w:val="none"/>
          <w:lang w:val="en-US" w:eastAsia="zh-CN" w:bidi="ar"/>
        </w:rPr>
        <w:t>监理</w:t>
      </w:r>
      <w:r>
        <w:rPr>
          <w:rFonts w:hint="eastAsia" w:hAnsi="宋体" w:cs="宋体"/>
          <w:color w:val="auto"/>
          <w:kern w:val="0"/>
          <w:sz w:val="24"/>
          <w:szCs w:val="24"/>
          <w:highlight w:val="none"/>
          <w:lang w:val="en-US" w:eastAsia="zh-CN" w:bidi="ar"/>
        </w:rPr>
        <w:t>人</w:t>
      </w:r>
      <w:r>
        <w:rPr>
          <w:rFonts w:hint="eastAsia" w:ascii="宋体" w:hAnsi="宋体" w:eastAsia="宋体" w:cs="宋体"/>
          <w:color w:val="auto"/>
          <w:kern w:val="0"/>
          <w:sz w:val="24"/>
          <w:szCs w:val="24"/>
          <w:highlight w:val="none"/>
          <w:lang w:val="en-US" w:eastAsia="zh-CN" w:bidi="ar"/>
        </w:rPr>
        <w:t>应参加由</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组织的竣工验收，对验收中提出的整改问题，应督促施工单位及时整改。工程质量符合要求的，总监理工程师应在工程竣工验收报告中签署意见。</w:t>
      </w:r>
    </w:p>
    <w:p w14:paraId="242E3416">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8.2.1.21</w:t>
      </w:r>
      <w:r>
        <w:rPr>
          <w:rFonts w:hint="eastAsia" w:ascii="宋体" w:hAnsi="宋体" w:eastAsia="宋体" w:cs="宋体"/>
          <w:color w:val="auto"/>
          <w:kern w:val="0"/>
          <w:sz w:val="24"/>
          <w:szCs w:val="24"/>
          <w:highlight w:val="none"/>
          <w:lang w:val="en-US" w:eastAsia="zh-CN" w:bidi="ar"/>
        </w:rPr>
        <w:t>保修期满后，监理</w:t>
      </w:r>
      <w:r>
        <w:rPr>
          <w:rFonts w:hint="eastAsia" w:hAnsi="宋体" w:cs="宋体"/>
          <w:color w:val="auto"/>
          <w:kern w:val="0"/>
          <w:sz w:val="24"/>
          <w:szCs w:val="24"/>
          <w:highlight w:val="none"/>
          <w:lang w:val="en-US" w:eastAsia="zh-CN" w:bidi="ar"/>
        </w:rPr>
        <w:t>人</w:t>
      </w:r>
      <w:r>
        <w:rPr>
          <w:rFonts w:hint="eastAsia" w:ascii="宋体" w:hAnsi="宋体" w:eastAsia="宋体" w:cs="宋体"/>
          <w:color w:val="auto"/>
          <w:kern w:val="0"/>
          <w:sz w:val="24"/>
          <w:szCs w:val="24"/>
          <w:highlight w:val="none"/>
          <w:lang w:val="en-US" w:eastAsia="zh-CN" w:bidi="ar"/>
        </w:rPr>
        <w:t>应参与保修期满质量复检，对复检中发现的问题提出整改意见并督促施工单位整改；整改合格后，总监理工程师在复检报告中签署意见。</w:t>
      </w:r>
    </w:p>
    <w:p w14:paraId="07498C3A">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8.2.1.22</w:t>
      </w:r>
      <w:r>
        <w:rPr>
          <w:rFonts w:hint="eastAsia" w:ascii="宋体" w:hAnsi="宋体" w:eastAsia="宋体" w:cs="宋体"/>
          <w:color w:val="auto"/>
          <w:kern w:val="0"/>
          <w:sz w:val="24"/>
          <w:szCs w:val="24"/>
          <w:highlight w:val="none"/>
          <w:lang w:val="en-US" w:eastAsia="zh-CN" w:bidi="ar"/>
        </w:rPr>
        <w:t>监理</w:t>
      </w:r>
      <w:r>
        <w:rPr>
          <w:rFonts w:hint="eastAsia" w:hAnsi="宋体" w:cs="宋体"/>
          <w:color w:val="auto"/>
          <w:kern w:val="0"/>
          <w:sz w:val="24"/>
          <w:szCs w:val="24"/>
          <w:highlight w:val="none"/>
          <w:lang w:val="en-US" w:eastAsia="zh-CN" w:bidi="ar"/>
        </w:rPr>
        <w:t>人</w:t>
      </w:r>
      <w:r>
        <w:rPr>
          <w:rFonts w:hint="eastAsia" w:ascii="宋体" w:hAnsi="宋体" w:eastAsia="宋体" w:cs="宋体"/>
          <w:color w:val="auto"/>
          <w:kern w:val="0"/>
          <w:sz w:val="24"/>
          <w:szCs w:val="24"/>
          <w:highlight w:val="none"/>
          <w:lang w:val="en-US" w:eastAsia="zh-CN" w:bidi="ar"/>
        </w:rPr>
        <w:t>受</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的委托对工程项目实施进行监督与管理，必须按照国家和广东省的有关施工技术规范及现行标准，保证工程达到合格标准，若因监理人原因，工程在竣工验收或分部工程验收时没有达到此标准，监理</w:t>
      </w:r>
      <w:r>
        <w:rPr>
          <w:rFonts w:hint="eastAsia" w:hAnsi="宋体" w:cs="宋体"/>
          <w:color w:val="auto"/>
          <w:kern w:val="0"/>
          <w:sz w:val="24"/>
          <w:szCs w:val="24"/>
          <w:highlight w:val="none"/>
          <w:lang w:val="en-US" w:eastAsia="zh-CN" w:bidi="ar"/>
        </w:rPr>
        <w:t>人</w:t>
      </w:r>
      <w:r>
        <w:rPr>
          <w:rFonts w:hint="eastAsia" w:ascii="宋体" w:hAnsi="宋体" w:eastAsia="宋体" w:cs="宋体"/>
          <w:color w:val="auto"/>
          <w:kern w:val="0"/>
          <w:sz w:val="24"/>
          <w:szCs w:val="24"/>
          <w:highlight w:val="none"/>
          <w:lang w:val="en-US" w:eastAsia="zh-CN" w:bidi="ar"/>
        </w:rPr>
        <w:t>按监理按合同价款的</w:t>
      </w:r>
      <w:r>
        <w:rPr>
          <w:rFonts w:hint="eastAsia" w:ascii="宋体" w:hAnsi="宋体" w:eastAsia="宋体" w:cs="宋体"/>
          <w:color w:val="auto"/>
          <w:kern w:val="0"/>
          <w:sz w:val="24"/>
          <w:szCs w:val="24"/>
          <w:highlight w:val="none"/>
          <w:u w:val="none"/>
          <w:lang w:val="en-US" w:eastAsia="zh-CN" w:bidi="ar"/>
        </w:rPr>
        <w:t>3%</w:t>
      </w:r>
      <w:r>
        <w:rPr>
          <w:rFonts w:hint="eastAsia" w:ascii="宋体" w:hAnsi="宋体" w:eastAsia="宋体" w:cs="宋体"/>
          <w:color w:val="auto"/>
          <w:kern w:val="0"/>
          <w:sz w:val="24"/>
          <w:szCs w:val="24"/>
          <w:highlight w:val="none"/>
          <w:lang w:val="en-US" w:eastAsia="zh-CN" w:bidi="ar"/>
        </w:rPr>
        <w:t>向</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返纳质量违约金，并无条件免费监理服务至工程质量达到合格止。</w:t>
      </w:r>
    </w:p>
    <w:p w14:paraId="6296B0C1">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8.2.1.23</w:t>
      </w:r>
      <w:r>
        <w:rPr>
          <w:rFonts w:hint="eastAsia" w:ascii="宋体" w:hAnsi="宋体" w:eastAsia="宋体" w:cs="宋体"/>
          <w:color w:val="auto"/>
          <w:kern w:val="0"/>
          <w:sz w:val="24"/>
          <w:szCs w:val="24"/>
          <w:highlight w:val="none"/>
          <w:lang w:val="en-US" w:eastAsia="zh-CN" w:bidi="ar"/>
        </w:rPr>
        <w:t>对于重点、难点及专业性较强的工程项目，在相应工程施工开始一个月前编制完成</w:t>
      </w:r>
      <w:r>
        <w:rPr>
          <w:rFonts w:hint="eastAsia" w:ascii="宋体" w:hAnsi="宋体" w:eastAsia="宋体" w:cs="宋体"/>
          <w:b w:val="0"/>
          <w:bCs w:val="0"/>
          <w:color w:val="auto"/>
          <w:kern w:val="0"/>
          <w:sz w:val="24"/>
          <w:szCs w:val="24"/>
          <w:highlight w:val="none"/>
          <w:lang w:val="en-US" w:eastAsia="zh-CN" w:bidi="ar"/>
        </w:rPr>
        <w:t>《监理实施细则》</w:t>
      </w:r>
      <w:r>
        <w:rPr>
          <w:rFonts w:hint="eastAsia" w:ascii="宋体" w:hAnsi="宋体" w:eastAsia="宋体" w:cs="宋体"/>
          <w:color w:val="auto"/>
          <w:kern w:val="0"/>
          <w:sz w:val="24"/>
          <w:szCs w:val="24"/>
          <w:highlight w:val="none"/>
          <w:lang w:val="en-US" w:eastAsia="zh-CN" w:bidi="ar"/>
        </w:rPr>
        <w:t>提交</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审核，监理实施细则应有预控措施。</w:t>
      </w:r>
    </w:p>
    <w:p w14:paraId="57E8C1D5">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8.2.1.24</w:t>
      </w:r>
      <w:r>
        <w:rPr>
          <w:rFonts w:hint="eastAsia" w:ascii="宋体" w:hAnsi="宋体" w:eastAsia="宋体" w:cs="宋体"/>
          <w:color w:val="auto"/>
          <w:kern w:val="0"/>
          <w:sz w:val="24"/>
          <w:szCs w:val="24"/>
          <w:highlight w:val="none"/>
          <w:lang w:val="en-US" w:eastAsia="zh-CN" w:bidi="ar"/>
        </w:rPr>
        <w:t>在施工过程中，当</w:t>
      </w:r>
      <w:r>
        <w:rPr>
          <w:rFonts w:hint="eastAsia" w:hAnsi="宋体" w:cs="宋体"/>
          <w:color w:val="auto"/>
          <w:kern w:val="0"/>
          <w:sz w:val="24"/>
          <w:szCs w:val="24"/>
          <w:highlight w:val="none"/>
          <w:lang w:val="en-US" w:eastAsia="zh-CN" w:bidi="ar"/>
        </w:rPr>
        <w:t>施工单位</w:t>
      </w:r>
      <w:r>
        <w:rPr>
          <w:rFonts w:hint="eastAsia" w:ascii="宋体" w:hAnsi="宋体" w:eastAsia="宋体" w:cs="宋体"/>
          <w:color w:val="auto"/>
          <w:kern w:val="0"/>
          <w:sz w:val="24"/>
          <w:szCs w:val="24"/>
          <w:highlight w:val="none"/>
          <w:lang w:val="en-US" w:eastAsia="zh-CN" w:bidi="ar"/>
        </w:rPr>
        <w:t>对已批准的施工组织设计进行调整、补充或变动时，提出专业意见并报</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。要求</w:t>
      </w:r>
      <w:r>
        <w:rPr>
          <w:rFonts w:hint="eastAsia" w:hAnsi="宋体" w:cs="宋体"/>
          <w:color w:val="auto"/>
          <w:kern w:val="0"/>
          <w:sz w:val="24"/>
          <w:szCs w:val="24"/>
          <w:highlight w:val="none"/>
          <w:lang w:val="en-US" w:eastAsia="zh-CN" w:bidi="ar"/>
        </w:rPr>
        <w:t>施工单位</w:t>
      </w:r>
      <w:r>
        <w:rPr>
          <w:rFonts w:hint="eastAsia" w:ascii="宋体" w:hAnsi="宋体" w:eastAsia="宋体" w:cs="宋体"/>
          <w:color w:val="auto"/>
          <w:kern w:val="0"/>
          <w:sz w:val="24"/>
          <w:szCs w:val="24"/>
          <w:highlight w:val="none"/>
          <w:lang w:val="en-US" w:eastAsia="zh-CN" w:bidi="ar"/>
        </w:rPr>
        <w:t>报送重点部位、关键工序的施工工艺和确保工程质量的措施，审查同意后签认。定期检查</w:t>
      </w:r>
      <w:r>
        <w:rPr>
          <w:rFonts w:hint="eastAsia" w:hAnsi="宋体" w:cs="宋体"/>
          <w:color w:val="auto"/>
          <w:kern w:val="0"/>
          <w:sz w:val="24"/>
          <w:szCs w:val="24"/>
          <w:highlight w:val="none"/>
          <w:lang w:val="en-US" w:eastAsia="zh-CN" w:bidi="ar"/>
        </w:rPr>
        <w:t>施工单位</w:t>
      </w:r>
      <w:r>
        <w:rPr>
          <w:rFonts w:hint="eastAsia" w:ascii="宋体" w:hAnsi="宋体" w:eastAsia="宋体" w:cs="宋体"/>
          <w:color w:val="auto"/>
          <w:kern w:val="0"/>
          <w:sz w:val="24"/>
          <w:szCs w:val="24"/>
          <w:highlight w:val="none"/>
          <w:lang w:val="en-US" w:eastAsia="zh-CN" w:bidi="ar"/>
        </w:rPr>
        <w:t>直接影响工程质量的工程计量设备的技术情况。</w:t>
      </w:r>
    </w:p>
    <w:p w14:paraId="4C1712F9">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8.2.1.25</w:t>
      </w:r>
      <w:r>
        <w:rPr>
          <w:rFonts w:hint="eastAsia" w:ascii="宋体" w:hAnsi="宋体" w:eastAsia="宋体" w:cs="宋体"/>
          <w:color w:val="auto"/>
          <w:kern w:val="0"/>
          <w:sz w:val="24"/>
          <w:szCs w:val="24"/>
          <w:highlight w:val="none"/>
          <w:lang w:val="en-US" w:eastAsia="zh-CN" w:bidi="ar"/>
        </w:rPr>
        <w:t>对施工过程中出现的质量缺陷，及时下达监理工程师通知，要求</w:t>
      </w:r>
      <w:r>
        <w:rPr>
          <w:rFonts w:hint="eastAsia" w:hAnsi="宋体" w:cs="宋体"/>
          <w:color w:val="auto"/>
          <w:kern w:val="0"/>
          <w:sz w:val="24"/>
          <w:szCs w:val="24"/>
          <w:highlight w:val="none"/>
          <w:lang w:val="en-US" w:eastAsia="zh-CN" w:bidi="ar"/>
        </w:rPr>
        <w:t>施工单位</w:t>
      </w:r>
      <w:r>
        <w:rPr>
          <w:rFonts w:hint="eastAsia" w:ascii="宋体" w:hAnsi="宋体" w:eastAsia="宋体" w:cs="宋体"/>
          <w:color w:val="auto"/>
          <w:kern w:val="0"/>
          <w:sz w:val="24"/>
          <w:szCs w:val="24"/>
          <w:highlight w:val="none"/>
          <w:lang w:val="en-US" w:eastAsia="zh-CN" w:bidi="ar"/>
        </w:rPr>
        <w:t>整改，并检查整改结果。</w:t>
      </w:r>
    </w:p>
    <w:p w14:paraId="69CF6BA4">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8.2.1.26</w:t>
      </w:r>
      <w:r>
        <w:rPr>
          <w:rFonts w:hint="eastAsia" w:ascii="宋体" w:hAnsi="宋体" w:eastAsia="宋体" w:cs="宋体"/>
          <w:color w:val="auto"/>
          <w:kern w:val="0"/>
          <w:sz w:val="24"/>
          <w:szCs w:val="24"/>
          <w:highlight w:val="none"/>
          <w:lang w:val="en-US" w:eastAsia="zh-CN" w:bidi="ar"/>
        </w:rPr>
        <w:t>发现施工存在重大质量隐患，可能造成质量事故或已经造成质量事故，及时下达工程暂停令，要求</w:t>
      </w:r>
      <w:r>
        <w:rPr>
          <w:rFonts w:hint="eastAsia" w:hAnsi="宋体" w:cs="宋体"/>
          <w:color w:val="auto"/>
          <w:kern w:val="0"/>
          <w:sz w:val="24"/>
          <w:szCs w:val="24"/>
          <w:highlight w:val="none"/>
          <w:lang w:val="en-US" w:eastAsia="zh-CN" w:bidi="ar"/>
        </w:rPr>
        <w:t>施工单位</w:t>
      </w:r>
      <w:r>
        <w:rPr>
          <w:rFonts w:hint="eastAsia" w:ascii="宋体" w:hAnsi="宋体" w:eastAsia="宋体" w:cs="宋体"/>
          <w:color w:val="auto"/>
          <w:kern w:val="0"/>
          <w:sz w:val="24"/>
          <w:szCs w:val="24"/>
          <w:highlight w:val="none"/>
          <w:lang w:val="en-US" w:eastAsia="zh-CN" w:bidi="ar"/>
        </w:rPr>
        <w:t>停工整改。整改完毕并经复查，符合规定要求后，及时签署工程复工令。总监理工程师下达工程暂停令和签署工程复工令，应事先向</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报告。</w:t>
      </w:r>
    </w:p>
    <w:p w14:paraId="0AB7A53C">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8.2.1.27</w:t>
      </w:r>
      <w:r>
        <w:rPr>
          <w:rFonts w:hint="eastAsia" w:ascii="宋体" w:hAnsi="宋体" w:eastAsia="宋体" w:cs="宋体"/>
          <w:color w:val="auto"/>
          <w:kern w:val="0"/>
          <w:sz w:val="24"/>
          <w:szCs w:val="24"/>
          <w:highlight w:val="none"/>
          <w:lang w:val="en-US" w:eastAsia="zh-CN" w:bidi="ar"/>
        </w:rPr>
        <w:t>对需要返工处理或加固补强的质量事故，责令</w:t>
      </w:r>
      <w:r>
        <w:rPr>
          <w:rFonts w:hint="eastAsia" w:hAnsi="宋体" w:cs="宋体"/>
          <w:color w:val="auto"/>
          <w:kern w:val="0"/>
          <w:sz w:val="24"/>
          <w:szCs w:val="24"/>
          <w:highlight w:val="none"/>
          <w:lang w:val="en-US" w:eastAsia="zh-CN" w:bidi="ar"/>
        </w:rPr>
        <w:t>施工单位</w:t>
      </w:r>
      <w:r>
        <w:rPr>
          <w:rFonts w:hint="eastAsia" w:ascii="宋体" w:hAnsi="宋体" w:eastAsia="宋体" w:cs="宋体"/>
          <w:color w:val="auto"/>
          <w:kern w:val="0"/>
          <w:sz w:val="24"/>
          <w:szCs w:val="24"/>
          <w:highlight w:val="none"/>
          <w:lang w:val="en-US" w:eastAsia="zh-CN" w:bidi="ar"/>
        </w:rPr>
        <w:t>报送质量事故调查报告和经设计单位等相关单位认可的处理方案，对质量事故的处理过程和处理结果进行跟踪检查和验收。</w:t>
      </w:r>
    </w:p>
    <w:p w14:paraId="2FD9A078">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8.2.1.28</w:t>
      </w:r>
      <w:r>
        <w:rPr>
          <w:rFonts w:hint="eastAsia" w:ascii="宋体" w:hAnsi="宋体" w:eastAsia="宋体" w:cs="宋体"/>
          <w:color w:val="auto"/>
          <w:kern w:val="0"/>
          <w:sz w:val="24"/>
          <w:szCs w:val="24"/>
          <w:highlight w:val="none"/>
          <w:lang w:val="en-US" w:eastAsia="zh-CN" w:bidi="ar"/>
        </w:rPr>
        <w:t>督促</w:t>
      </w:r>
      <w:r>
        <w:rPr>
          <w:rFonts w:hint="eastAsia" w:hAnsi="宋体" w:cs="宋体"/>
          <w:color w:val="auto"/>
          <w:kern w:val="0"/>
          <w:sz w:val="24"/>
          <w:szCs w:val="24"/>
          <w:highlight w:val="none"/>
          <w:lang w:val="en-US" w:eastAsia="zh-CN" w:bidi="ar"/>
        </w:rPr>
        <w:t>施工单位</w:t>
      </w:r>
      <w:r>
        <w:rPr>
          <w:rFonts w:hint="eastAsia" w:ascii="宋体" w:hAnsi="宋体" w:eastAsia="宋体" w:cs="宋体"/>
          <w:color w:val="auto"/>
          <w:kern w:val="0"/>
          <w:sz w:val="24"/>
          <w:szCs w:val="24"/>
          <w:highlight w:val="none"/>
          <w:lang w:val="en-US" w:eastAsia="zh-CN" w:bidi="ar"/>
        </w:rPr>
        <w:t>及时整理工程技术资料办理各项验收，通过监督管理使实体工程、工程技术资料均能达到验收要求，按计划完成各项验收工作。</w:t>
      </w:r>
    </w:p>
    <w:p w14:paraId="0A2ACDA8">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8.2.2</w:t>
      </w:r>
      <w:r>
        <w:rPr>
          <w:rFonts w:hint="eastAsia" w:ascii="宋体" w:hAnsi="宋体" w:eastAsia="宋体" w:cs="宋体"/>
          <w:b w:val="0"/>
          <w:bCs w:val="0"/>
          <w:color w:val="auto"/>
          <w:kern w:val="0"/>
          <w:sz w:val="24"/>
          <w:szCs w:val="24"/>
          <w:highlight w:val="none"/>
          <w:lang w:val="en-US" w:eastAsia="zh-CN" w:bidi="ar"/>
        </w:rPr>
        <w:t>工程造价控制</w:t>
      </w:r>
    </w:p>
    <w:p w14:paraId="1DE8F1E0">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8.2.2.1</w:t>
      </w:r>
      <w:r>
        <w:rPr>
          <w:rFonts w:hint="eastAsia" w:ascii="宋体" w:hAnsi="宋体" w:eastAsia="宋体" w:cs="宋体"/>
          <w:color w:val="auto"/>
          <w:kern w:val="0"/>
          <w:sz w:val="24"/>
          <w:szCs w:val="24"/>
          <w:highlight w:val="none"/>
          <w:lang w:val="en-US" w:eastAsia="zh-CN" w:bidi="ar"/>
        </w:rPr>
        <w:t>监理</w:t>
      </w:r>
      <w:r>
        <w:rPr>
          <w:rFonts w:hint="eastAsia" w:hAnsi="宋体" w:cs="宋体"/>
          <w:color w:val="auto"/>
          <w:kern w:val="0"/>
          <w:sz w:val="24"/>
          <w:szCs w:val="24"/>
          <w:highlight w:val="none"/>
          <w:lang w:val="en-US" w:eastAsia="zh-CN" w:bidi="ar"/>
        </w:rPr>
        <w:t>人</w:t>
      </w:r>
      <w:r>
        <w:rPr>
          <w:rFonts w:hint="eastAsia" w:ascii="宋体" w:hAnsi="宋体" w:eastAsia="宋体" w:cs="宋体"/>
          <w:color w:val="auto"/>
          <w:kern w:val="0"/>
          <w:sz w:val="24"/>
          <w:szCs w:val="24"/>
          <w:highlight w:val="none"/>
          <w:lang w:val="en-US" w:eastAsia="zh-CN" w:bidi="ar"/>
        </w:rPr>
        <w:t>应按下列程序进行工程计量和付款签证：</w:t>
      </w:r>
    </w:p>
    <w:p w14:paraId="2193C6C8">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（1）专业监理工程师对施工单位在工程款支付报审表中提交的工程量和支付金额进行复核，确定实际完成的工程量，提出到期应支付给施工单位的金额，并提出相应的支持性材料。</w:t>
      </w:r>
    </w:p>
    <w:p w14:paraId="36398C4C">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（2）总监理工程师对专业监理工程师的审查意见进行审核，签认后报</w:t>
      </w:r>
      <w:r>
        <w:rPr>
          <w:rFonts w:hint="eastAsia" w:hAnsi="宋体" w:cs="宋体"/>
          <w:color w:val="auto"/>
          <w:kern w:val="0"/>
          <w:sz w:val="24"/>
          <w:szCs w:val="24"/>
          <w:highlight w:val="none"/>
          <w:lang w:val="en-US" w:eastAsia="zh-CN" w:bidi="ar"/>
        </w:rPr>
        <w:t>委托人</w:t>
      </w:r>
      <w:r>
        <w:rPr>
          <w:rFonts w:hint="eastAsia" w:ascii="宋体" w:hAnsi="宋体" w:eastAsia="宋体" w:cs="宋体"/>
          <w:color w:val="auto"/>
          <w:kern w:val="0"/>
          <w:sz w:val="24"/>
          <w:szCs w:val="24"/>
          <w:highlight w:val="none"/>
          <w:lang w:val="en-US" w:eastAsia="zh-CN" w:bidi="ar"/>
        </w:rPr>
        <w:t>审批。</w:t>
      </w:r>
    </w:p>
    <w:p w14:paraId="27B92C47">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（3）总监理工程师根据</w:t>
      </w:r>
      <w:r>
        <w:rPr>
          <w:rFonts w:hint="eastAsia" w:hAnsi="宋体" w:cs="宋体"/>
          <w:color w:val="auto"/>
          <w:kern w:val="0"/>
          <w:sz w:val="24"/>
          <w:szCs w:val="24"/>
          <w:highlight w:val="none"/>
          <w:lang w:val="en-US" w:eastAsia="zh-CN" w:bidi="ar"/>
        </w:rPr>
        <w:t>委托人</w:t>
      </w:r>
      <w:r>
        <w:rPr>
          <w:rFonts w:hint="eastAsia" w:ascii="宋体" w:hAnsi="宋体" w:eastAsia="宋体" w:cs="宋体"/>
          <w:color w:val="auto"/>
          <w:kern w:val="0"/>
          <w:sz w:val="24"/>
          <w:szCs w:val="24"/>
          <w:highlight w:val="none"/>
          <w:lang w:val="en-US" w:eastAsia="zh-CN" w:bidi="ar"/>
        </w:rPr>
        <w:t>的审批意见，向施工单位签发工程款支付证书。</w:t>
      </w:r>
    </w:p>
    <w:p w14:paraId="701D794A">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工程款支付报审表及工程款支付证书应按相应规范的要求填写。</w:t>
      </w:r>
    </w:p>
    <w:p w14:paraId="51C4FFF2">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8.2.2.2</w:t>
      </w:r>
      <w:r>
        <w:rPr>
          <w:rFonts w:hint="eastAsia" w:ascii="宋体" w:hAnsi="宋体" w:eastAsia="宋体" w:cs="宋体"/>
          <w:color w:val="auto"/>
          <w:kern w:val="0"/>
          <w:sz w:val="24"/>
          <w:szCs w:val="24"/>
          <w:highlight w:val="none"/>
          <w:lang w:val="en-US" w:eastAsia="zh-CN" w:bidi="ar"/>
        </w:rPr>
        <w:t>监理</w:t>
      </w:r>
      <w:r>
        <w:rPr>
          <w:rFonts w:hint="eastAsia" w:hAnsi="宋体" w:cs="宋体"/>
          <w:color w:val="auto"/>
          <w:kern w:val="0"/>
          <w:sz w:val="24"/>
          <w:szCs w:val="24"/>
          <w:highlight w:val="none"/>
          <w:lang w:val="en-US" w:eastAsia="zh-CN" w:bidi="ar"/>
        </w:rPr>
        <w:t>人</w:t>
      </w:r>
      <w:r>
        <w:rPr>
          <w:rFonts w:hint="eastAsia" w:ascii="宋体" w:hAnsi="宋体" w:eastAsia="宋体" w:cs="宋体"/>
          <w:color w:val="auto"/>
          <w:kern w:val="0"/>
          <w:sz w:val="24"/>
          <w:szCs w:val="24"/>
          <w:highlight w:val="none"/>
          <w:lang w:val="en-US" w:eastAsia="zh-CN" w:bidi="ar"/>
        </w:rPr>
        <w:t>应编制月完成工程量统计表，对实际完成量与计划完成量进行比较分析，发现偏差的，应提出调整建议，并应在监理月报中向</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报告。</w:t>
      </w:r>
    </w:p>
    <w:p w14:paraId="22615629">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8.2.2.3</w:t>
      </w:r>
      <w:r>
        <w:rPr>
          <w:rFonts w:hint="eastAsia" w:ascii="宋体" w:hAnsi="宋体" w:eastAsia="宋体" w:cs="宋体"/>
          <w:color w:val="auto"/>
          <w:kern w:val="0"/>
          <w:sz w:val="24"/>
          <w:szCs w:val="24"/>
          <w:highlight w:val="none"/>
          <w:lang w:val="en-US" w:eastAsia="zh-CN" w:bidi="ar"/>
        </w:rPr>
        <w:t>监理</w:t>
      </w:r>
      <w:r>
        <w:rPr>
          <w:rFonts w:hint="eastAsia" w:hAnsi="宋体" w:cs="宋体"/>
          <w:color w:val="auto"/>
          <w:kern w:val="0"/>
          <w:sz w:val="24"/>
          <w:szCs w:val="24"/>
          <w:highlight w:val="none"/>
          <w:lang w:val="en-US" w:eastAsia="zh-CN" w:bidi="ar"/>
        </w:rPr>
        <w:t>人</w:t>
      </w:r>
      <w:r>
        <w:rPr>
          <w:rFonts w:hint="eastAsia" w:ascii="宋体" w:hAnsi="宋体" w:eastAsia="宋体" w:cs="宋体"/>
          <w:color w:val="auto"/>
          <w:kern w:val="0"/>
          <w:sz w:val="24"/>
          <w:szCs w:val="24"/>
          <w:highlight w:val="none"/>
          <w:lang w:val="en-US" w:eastAsia="zh-CN" w:bidi="ar"/>
        </w:rPr>
        <w:t>应按下列程序进行竣工结算款审核：</w:t>
      </w:r>
    </w:p>
    <w:p w14:paraId="7B9169FA">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（1）专业监理工程师审查施工单位提交的竣工结算款支付申请，提出审查意见。</w:t>
      </w:r>
    </w:p>
    <w:p w14:paraId="38F79CF4">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（2）总监理工程师对专业监理工程师的审查意见进行审核，签认后报</w:t>
      </w:r>
      <w:r>
        <w:rPr>
          <w:rFonts w:hint="eastAsia" w:hAnsi="宋体" w:cs="宋体"/>
          <w:color w:val="auto"/>
          <w:kern w:val="0"/>
          <w:sz w:val="24"/>
          <w:szCs w:val="24"/>
          <w:highlight w:val="none"/>
          <w:lang w:val="en-US" w:eastAsia="zh-CN" w:bidi="ar"/>
        </w:rPr>
        <w:t>委托人</w:t>
      </w:r>
      <w:r>
        <w:rPr>
          <w:rFonts w:hint="eastAsia" w:ascii="宋体" w:hAnsi="宋体" w:eastAsia="宋体" w:cs="宋体"/>
          <w:color w:val="auto"/>
          <w:kern w:val="0"/>
          <w:sz w:val="24"/>
          <w:szCs w:val="24"/>
          <w:highlight w:val="none"/>
          <w:lang w:val="en-US" w:eastAsia="zh-CN" w:bidi="ar"/>
        </w:rPr>
        <w:t>审批，同时抄送施工单位，并就工程竣工结算事宜与</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、施工单位协商；达成一致意见的，根据</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审批意见向施工单位签发竣工结算款支付证书；不能达成一致意见的，应按施工合同约定处理。</w:t>
      </w:r>
    </w:p>
    <w:p w14:paraId="34D56C2E">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工程竣工结算款支付报审表及竣工结算款支付证书应按相应规范的要求填写。</w:t>
      </w:r>
    </w:p>
    <w:p w14:paraId="3177303D">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8.2.2.4</w:t>
      </w:r>
      <w:r>
        <w:rPr>
          <w:rFonts w:hint="eastAsia" w:ascii="宋体" w:hAnsi="宋体" w:eastAsia="宋体" w:cs="宋体"/>
          <w:color w:val="auto"/>
          <w:kern w:val="0"/>
          <w:sz w:val="24"/>
          <w:szCs w:val="24"/>
          <w:highlight w:val="none"/>
          <w:lang w:val="en-US" w:eastAsia="zh-CN" w:bidi="ar"/>
        </w:rPr>
        <w:t>复核工程现场签证并签署原始凭证，对各种现场签证的真实性负责。</w:t>
      </w:r>
    </w:p>
    <w:p w14:paraId="7B307F0A">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8.2.2.5</w:t>
      </w:r>
      <w:r>
        <w:rPr>
          <w:rFonts w:hint="eastAsia" w:ascii="宋体" w:hAnsi="宋体" w:eastAsia="宋体" w:cs="宋体"/>
          <w:color w:val="auto"/>
          <w:kern w:val="0"/>
          <w:sz w:val="24"/>
          <w:szCs w:val="24"/>
          <w:highlight w:val="none"/>
          <w:lang w:val="en-US" w:eastAsia="zh-CN" w:bidi="ar"/>
        </w:rPr>
        <w:t>每月定期审核工程形象进度（含甲供物料），并将有关资料提交</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指定的造价咨询公司进行审核计量。</w:t>
      </w:r>
    </w:p>
    <w:p w14:paraId="5369164F">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8.2.2.6</w:t>
      </w:r>
      <w:r>
        <w:rPr>
          <w:rFonts w:hint="eastAsia" w:ascii="宋体" w:hAnsi="宋体" w:eastAsia="宋体" w:cs="宋体"/>
          <w:color w:val="auto"/>
          <w:kern w:val="0"/>
          <w:sz w:val="24"/>
          <w:szCs w:val="24"/>
          <w:highlight w:val="none"/>
          <w:lang w:val="en-US" w:eastAsia="zh-CN" w:bidi="ar"/>
        </w:rPr>
        <w:t>督促</w:t>
      </w:r>
      <w:r>
        <w:rPr>
          <w:rFonts w:hint="eastAsia" w:hAnsi="宋体" w:cs="宋体"/>
          <w:color w:val="auto"/>
          <w:kern w:val="0"/>
          <w:sz w:val="24"/>
          <w:szCs w:val="24"/>
          <w:highlight w:val="none"/>
          <w:lang w:val="en-US" w:eastAsia="zh-CN" w:bidi="ar"/>
        </w:rPr>
        <w:t>施工单位</w:t>
      </w:r>
      <w:r>
        <w:rPr>
          <w:rFonts w:hint="eastAsia" w:ascii="宋体" w:hAnsi="宋体" w:eastAsia="宋体" w:cs="宋体"/>
          <w:color w:val="auto"/>
          <w:kern w:val="0"/>
          <w:sz w:val="24"/>
          <w:szCs w:val="24"/>
          <w:highlight w:val="none"/>
          <w:lang w:val="en-US" w:eastAsia="zh-CN" w:bidi="ar"/>
        </w:rPr>
        <w:t>按施工合同要求在规定时间内提交工程结算或分部结算资料，并在资料齐备后7天内完成工程结算完整性的审核工作，提交</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指定的造价咨询公司进行审核。</w:t>
      </w:r>
    </w:p>
    <w:p w14:paraId="4FFF6392">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监理</w:t>
      </w:r>
      <w:r>
        <w:rPr>
          <w:rFonts w:hint="eastAsia" w:hAnsi="宋体" w:cs="宋体"/>
          <w:color w:val="auto"/>
          <w:kern w:val="0"/>
          <w:sz w:val="24"/>
          <w:szCs w:val="24"/>
          <w:highlight w:val="none"/>
          <w:lang w:val="en-US" w:eastAsia="zh-CN" w:bidi="ar"/>
        </w:rPr>
        <w:t>人</w:t>
      </w:r>
      <w:r>
        <w:rPr>
          <w:rFonts w:hint="eastAsia" w:ascii="宋体" w:hAnsi="宋体" w:eastAsia="宋体" w:cs="宋体"/>
          <w:color w:val="auto"/>
          <w:kern w:val="0"/>
          <w:sz w:val="24"/>
          <w:szCs w:val="24"/>
          <w:highlight w:val="none"/>
          <w:lang w:val="en-US" w:eastAsia="zh-CN" w:bidi="ar"/>
        </w:rPr>
        <w:t>应按上述要求和有关规定控制本项目的工程造价，若由于监理</w:t>
      </w:r>
      <w:r>
        <w:rPr>
          <w:rFonts w:hint="eastAsia" w:hAnsi="宋体" w:cs="宋体"/>
          <w:color w:val="auto"/>
          <w:kern w:val="0"/>
          <w:sz w:val="24"/>
          <w:szCs w:val="24"/>
          <w:highlight w:val="none"/>
          <w:lang w:val="en-US" w:eastAsia="zh-CN" w:bidi="ar"/>
        </w:rPr>
        <w:t>人</w:t>
      </w:r>
      <w:r>
        <w:rPr>
          <w:rFonts w:hint="eastAsia" w:ascii="宋体" w:hAnsi="宋体" w:eastAsia="宋体" w:cs="宋体"/>
          <w:color w:val="auto"/>
          <w:kern w:val="0"/>
          <w:sz w:val="24"/>
          <w:szCs w:val="24"/>
          <w:highlight w:val="none"/>
          <w:lang w:val="en-US" w:eastAsia="zh-CN" w:bidi="ar"/>
        </w:rPr>
        <w:t>的过失造成工程造价提高，</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按所提高造价额的</w:t>
      </w:r>
      <w:r>
        <w:rPr>
          <w:rFonts w:hint="eastAsia" w:ascii="宋体" w:hAnsi="宋体" w:eastAsia="宋体" w:cs="宋体"/>
          <w:b w:val="0"/>
          <w:bCs w:val="0"/>
          <w:i w:val="0"/>
          <w:iCs w:val="0"/>
          <w:color w:val="auto"/>
          <w:kern w:val="0"/>
          <w:sz w:val="24"/>
          <w:szCs w:val="24"/>
          <w:highlight w:val="none"/>
          <w:u w:val="none"/>
          <w:lang w:val="en-US" w:eastAsia="zh-CN" w:bidi="ar"/>
        </w:rPr>
        <w:t>50%</w:t>
      </w:r>
      <w:r>
        <w:rPr>
          <w:rFonts w:hint="eastAsia" w:ascii="宋体" w:hAnsi="宋体" w:eastAsia="宋体" w:cs="宋体"/>
          <w:color w:val="auto"/>
          <w:kern w:val="0"/>
          <w:sz w:val="24"/>
          <w:szCs w:val="24"/>
          <w:highlight w:val="none"/>
          <w:lang w:val="en-US" w:eastAsia="zh-CN" w:bidi="ar"/>
        </w:rPr>
        <w:t>从监理服务费中扣除，扣除累计不超过监理服务费的</w:t>
      </w:r>
      <w:r>
        <w:rPr>
          <w:rFonts w:hint="eastAsia" w:ascii="宋体" w:hAnsi="宋体" w:eastAsia="宋体" w:cs="宋体"/>
          <w:b w:val="0"/>
          <w:bCs w:val="0"/>
          <w:color w:val="auto"/>
          <w:kern w:val="0"/>
          <w:sz w:val="24"/>
          <w:szCs w:val="24"/>
          <w:highlight w:val="none"/>
          <w:u w:val="none"/>
          <w:lang w:val="en-US" w:eastAsia="zh-CN" w:bidi="ar"/>
        </w:rPr>
        <w:t>70%</w:t>
      </w:r>
      <w:r>
        <w:rPr>
          <w:rFonts w:hint="eastAsia" w:ascii="宋体" w:hAnsi="宋体" w:eastAsia="宋体" w:cs="宋体"/>
          <w:color w:val="auto"/>
          <w:kern w:val="0"/>
          <w:sz w:val="24"/>
          <w:szCs w:val="24"/>
          <w:highlight w:val="none"/>
          <w:lang w:val="en-US" w:eastAsia="zh-CN" w:bidi="ar"/>
        </w:rPr>
        <w:t>。</w:t>
      </w:r>
    </w:p>
    <w:p w14:paraId="2221F575">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8.2.3</w:t>
      </w:r>
      <w:r>
        <w:rPr>
          <w:rFonts w:hint="eastAsia" w:ascii="宋体" w:hAnsi="宋体" w:eastAsia="宋体" w:cs="宋体"/>
          <w:b w:val="0"/>
          <w:bCs w:val="0"/>
          <w:color w:val="auto"/>
          <w:kern w:val="0"/>
          <w:sz w:val="24"/>
          <w:szCs w:val="24"/>
          <w:highlight w:val="none"/>
          <w:lang w:val="en-US" w:eastAsia="zh-CN" w:bidi="ar"/>
        </w:rPr>
        <w:t>工程进度控制</w:t>
      </w:r>
    </w:p>
    <w:p w14:paraId="6EA6CD96">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8.2.3.1</w:t>
      </w:r>
      <w:r>
        <w:rPr>
          <w:rFonts w:hint="eastAsia" w:ascii="宋体" w:hAnsi="宋体" w:eastAsia="宋体" w:cs="宋体"/>
          <w:color w:val="auto"/>
          <w:kern w:val="0"/>
          <w:sz w:val="24"/>
          <w:szCs w:val="24"/>
          <w:highlight w:val="none"/>
          <w:lang w:val="en-US" w:eastAsia="zh-CN" w:bidi="ar"/>
        </w:rPr>
        <w:t>监理</w:t>
      </w:r>
      <w:r>
        <w:rPr>
          <w:rFonts w:hint="eastAsia" w:hAnsi="宋体" w:cs="宋体"/>
          <w:color w:val="auto"/>
          <w:kern w:val="0"/>
          <w:sz w:val="24"/>
          <w:szCs w:val="24"/>
          <w:highlight w:val="none"/>
          <w:lang w:val="en-US" w:eastAsia="zh-CN" w:bidi="ar"/>
        </w:rPr>
        <w:t>人</w:t>
      </w:r>
      <w:r>
        <w:rPr>
          <w:rFonts w:hint="eastAsia" w:ascii="宋体" w:hAnsi="宋体" w:eastAsia="宋体" w:cs="宋体"/>
          <w:color w:val="auto"/>
          <w:kern w:val="0"/>
          <w:sz w:val="24"/>
          <w:szCs w:val="24"/>
          <w:highlight w:val="none"/>
          <w:lang w:val="en-US" w:eastAsia="zh-CN" w:bidi="ar"/>
        </w:rPr>
        <w:t>应审查施工单位报审的施工总进度计划和阶段性施工进度计划，提出审查意见，并应由总监理工程师审核后报</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w:t>
      </w:r>
    </w:p>
    <w:p w14:paraId="36D72EBF">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施工进度计划审查应包括下列基本内容：</w:t>
      </w:r>
    </w:p>
    <w:p w14:paraId="41816F1E">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（1）施工进度计划应符合施工合同中工期的约定。</w:t>
      </w:r>
    </w:p>
    <w:p w14:paraId="3C7D4056">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（2）施工进度计划中主要工程项目无遗漏，应满足分批投入试运、分批动用的需要，阶段性施工进度计划应满足总进度控制目标的要求。</w:t>
      </w:r>
    </w:p>
    <w:p w14:paraId="6637A496">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（3）施工顺序的安排应符合施工工艺要求。</w:t>
      </w:r>
    </w:p>
    <w:p w14:paraId="187ED9F2">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（4）施工人员、工程材料、施工机械等资源供应计划应满足施工进度计划的需要。</w:t>
      </w:r>
    </w:p>
    <w:p w14:paraId="604E1FCD">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（5）施工进度计划应符合</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提供的资金、施工图纸、施工场地、物资等施工条件。</w:t>
      </w:r>
    </w:p>
    <w:p w14:paraId="2AD7EBDB">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施工进度计划报审表应按相应规范的要求填写。</w:t>
      </w:r>
    </w:p>
    <w:p w14:paraId="067CA88E">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8.2.3.2</w:t>
      </w:r>
      <w:r>
        <w:rPr>
          <w:rFonts w:hint="eastAsia" w:ascii="宋体" w:hAnsi="宋体" w:eastAsia="宋体" w:cs="宋体"/>
          <w:color w:val="auto"/>
          <w:kern w:val="0"/>
          <w:sz w:val="24"/>
          <w:szCs w:val="24"/>
          <w:highlight w:val="none"/>
          <w:lang w:val="en-US" w:eastAsia="zh-CN" w:bidi="ar"/>
        </w:rPr>
        <w:t>监理</w:t>
      </w:r>
      <w:r>
        <w:rPr>
          <w:rFonts w:hint="eastAsia" w:hAnsi="宋体" w:cs="宋体"/>
          <w:color w:val="auto"/>
          <w:kern w:val="0"/>
          <w:sz w:val="24"/>
          <w:szCs w:val="24"/>
          <w:highlight w:val="none"/>
          <w:lang w:val="en-US" w:eastAsia="zh-CN" w:bidi="ar"/>
        </w:rPr>
        <w:t>人</w:t>
      </w:r>
      <w:r>
        <w:rPr>
          <w:rFonts w:hint="eastAsia" w:ascii="宋体" w:hAnsi="宋体" w:eastAsia="宋体" w:cs="宋体"/>
          <w:color w:val="auto"/>
          <w:kern w:val="0"/>
          <w:sz w:val="24"/>
          <w:szCs w:val="24"/>
          <w:highlight w:val="none"/>
          <w:lang w:val="en-US" w:eastAsia="zh-CN" w:bidi="ar"/>
        </w:rPr>
        <w:t>应检查施工进度计划的实施情况，发现实际进度严重滞后于计划进度且影响合同工期时，应签发监理通知单，要求施工单位采取调整措施加快施工进度。总监理工程师应向</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报告工期延误风险。</w:t>
      </w:r>
    </w:p>
    <w:p w14:paraId="2DC676BA">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8.2.3.3</w:t>
      </w:r>
      <w:r>
        <w:rPr>
          <w:rFonts w:hint="eastAsia" w:ascii="宋体" w:hAnsi="宋体" w:eastAsia="宋体" w:cs="宋体"/>
          <w:color w:val="auto"/>
          <w:kern w:val="0"/>
          <w:sz w:val="24"/>
          <w:szCs w:val="24"/>
          <w:highlight w:val="none"/>
          <w:lang w:val="en-US" w:eastAsia="zh-CN" w:bidi="ar"/>
        </w:rPr>
        <w:t>监理</w:t>
      </w:r>
      <w:r>
        <w:rPr>
          <w:rFonts w:hint="eastAsia" w:hAnsi="宋体" w:cs="宋体"/>
          <w:color w:val="auto"/>
          <w:kern w:val="0"/>
          <w:sz w:val="24"/>
          <w:szCs w:val="24"/>
          <w:highlight w:val="none"/>
          <w:lang w:val="en-US" w:eastAsia="zh-CN" w:bidi="ar"/>
        </w:rPr>
        <w:t>人</w:t>
      </w:r>
      <w:r>
        <w:rPr>
          <w:rFonts w:hint="eastAsia" w:ascii="宋体" w:hAnsi="宋体" w:eastAsia="宋体" w:cs="宋体"/>
          <w:color w:val="auto"/>
          <w:kern w:val="0"/>
          <w:sz w:val="24"/>
          <w:szCs w:val="24"/>
          <w:highlight w:val="none"/>
          <w:lang w:val="en-US" w:eastAsia="zh-CN" w:bidi="ar"/>
        </w:rPr>
        <w:t>应比较分析工程施工实际进度与计划进度，预测实际进度对工程总工期的影响，并应在监理月报中向</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报告工程实际进展情况。</w:t>
      </w:r>
    </w:p>
    <w:p w14:paraId="7C69DAE9">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8.2.3.4</w:t>
      </w:r>
      <w:r>
        <w:rPr>
          <w:rFonts w:hint="eastAsia" w:ascii="宋体" w:hAnsi="宋体" w:eastAsia="宋体" w:cs="宋体"/>
          <w:color w:val="auto"/>
          <w:kern w:val="0"/>
          <w:sz w:val="24"/>
          <w:szCs w:val="24"/>
          <w:highlight w:val="none"/>
          <w:lang w:val="en-US" w:eastAsia="zh-CN" w:bidi="ar"/>
        </w:rPr>
        <w:t>审批</w:t>
      </w:r>
      <w:r>
        <w:rPr>
          <w:rFonts w:hint="eastAsia" w:hAnsi="宋体" w:cs="宋体"/>
          <w:color w:val="auto"/>
          <w:kern w:val="0"/>
          <w:sz w:val="24"/>
          <w:szCs w:val="24"/>
          <w:highlight w:val="none"/>
          <w:lang w:val="en-US" w:eastAsia="zh-CN" w:bidi="ar"/>
        </w:rPr>
        <w:t>施工单位</w:t>
      </w:r>
      <w:r>
        <w:rPr>
          <w:rFonts w:hint="eastAsia" w:ascii="宋体" w:hAnsi="宋体" w:eastAsia="宋体" w:cs="宋体"/>
          <w:color w:val="auto"/>
          <w:kern w:val="0"/>
          <w:sz w:val="24"/>
          <w:szCs w:val="24"/>
          <w:highlight w:val="none"/>
          <w:lang w:val="en-US" w:eastAsia="zh-CN" w:bidi="ar"/>
        </w:rPr>
        <w:t>报送的施工总进度计划和年、季、月度施工进度计划，对进度计划实施情况检查、分析。</w:t>
      </w:r>
    </w:p>
    <w:p w14:paraId="763621E3">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8.2.3.5</w:t>
      </w:r>
      <w:r>
        <w:rPr>
          <w:rFonts w:hint="eastAsia" w:ascii="宋体" w:hAnsi="宋体" w:eastAsia="宋体" w:cs="宋体"/>
          <w:color w:val="auto"/>
          <w:kern w:val="0"/>
          <w:sz w:val="24"/>
          <w:szCs w:val="24"/>
          <w:highlight w:val="none"/>
          <w:lang w:val="en-US" w:eastAsia="zh-CN" w:bidi="ar"/>
        </w:rPr>
        <w:t>每周检查和书面汇报工程实际进展情况，审核</w:t>
      </w:r>
      <w:r>
        <w:rPr>
          <w:rFonts w:hint="eastAsia" w:hAnsi="宋体" w:cs="宋体"/>
          <w:color w:val="auto"/>
          <w:kern w:val="0"/>
          <w:sz w:val="24"/>
          <w:szCs w:val="24"/>
          <w:highlight w:val="none"/>
          <w:lang w:val="en-US" w:eastAsia="zh-CN" w:bidi="ar"/>
        </w:rPr>
        <w:t>施工单位</w:t>
      </w:r>
      <w:r>
        <w:rPr>
          <w:rFonts w:hint="eastAsia" w:ascii="宋体" w:hAnsi="宋体" w:eastAsia="宋体" w:cs="宋体"/>
          <w:color w:val="auto"/>
          <w:kern w:val="0"/>
          <w:sz w:val="24"/>
          <w:szCs w:val="24"/>
          <w:highlight w:val="none"/>
          <w:lang w:val="en-US" w:eastAsia="zh-CN" w:bidi="ar"/>
        </w:rPr>
        <w:t>进度报表，并提出监理建议，发现进度滞后应向</w:t>
      </w:r>
      <w:r>
        <w:rPr>
          <w:rFonts w:hint="eastAsia" w:hAnsi="宋体" w:cs="宋体"/>
          <w:color w:val="auto"/>
          <w:kern w:val="0"/>
          <w:sz w:val="24"/>
          <w:szCs w:val="24"/>
          <w:highlight w:val="none"/>
          <w:lang w:val="en-US" w:eastAsia="zh-CN" w:bidi="ar"/>
        </w:rPr>
        <w:t>委托人</w:t>
      </w:r>
      <w:r>
        <w:rPr>
          <w:rFonts w:hint="eastAsia" w:ascii="宋体" w:hAnsi="宋体" w:eastAsia="宋体" w:cs="宋体"/>
          <w:color w:val="auto"/>
          <w:kern w:val="0"/>
          <w:sz w:val="24"/>
          <w:szCs w:val="24"/>
          <w:highlight w:val="none"/>
          <w:lang w:val="en-US" w:eastAsia="zh-CN" w:bidi="ar"/>
        </w:rPr>
        <w:t>提交进度滞后原因分析报告，制定具体处理方案。</w:t>
      </w:r>
    </w:p>
    <w:p w14:paraId="0F52398B">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8.2.3.6</w:t>
      </w:r>
      <w:r>
        <w:rPr>
          <w:rFonts w:hint="eastAsia" w:ascii="宋体" w:hAnsi="宋体" w:eastAsia="宋体" w:cs="宋体"/>
          <w:color w:val="auto"/>
          <w:kern w:val="0"/>
          <w:sz w:val="24"/>
          <w:szCs w:val="24"/>
          <w:highlight w:val="none"/>
          <w:lang w:val="en-US" w:eastAsia="zh-CN" w:bidi="ar"/>
        </w:rPr>
        <w:t>当实际进度符合计划进度时，要求</w:t>
      </w:r>
      <w:r>
        <w:rPr>
          <w:rFonts w:hint="eastAsia" w:hAnsi="宋体" w:cs="宋体"/>
          <w:color w:val="auto"/>
          <w:kern w:val="0"/>
          <w:sz w:val="24"/>
          <w:szCs w:val="24"/>
          <w:highlight w:val="none"/>
          <w:lang w:val="en-US" w:eastAsia="zh-CN" w:bidi="ar"/>
        </w:rPr>
        <w:t>施工单位</w:t>
      </w:r>
      <w:r>
        <w:rPr>
          <w:rFonts w:hint="eastAsia" w:ascii="宋体" w:hAnsi="宋体" w:eastAsia="宋体" w:cs="宋体"/>
          <w:color w:val="auto"/>
          <w:kern w:val="0"/>
          <w:sz w:val="24"/>
          <w:szCs w:val="24"/>
          <w:highlight w:val="none"/>
          <w:lang w:val="en-US" w:eastAsia="zh-CN" w:bidi="ar"/>
        </w:rPr>
        <w:t>编制下一期进度计划；当实际进度滞后于计划进度时，书面通知</w:t>
      </w:r>
      <w:r>
        <w:rPr>
          <w:rFonts w:hint="eastAsia" w:hAnsi="宋体" w:cs="宋体"/>
          <w:color w:val="auto"/>
          <w:kern w:val="0"/>
          <w:sz w:val="24"/>
          <w:szCs w:val="24"/>
          <w:highlight w:val="none"/>
          <w:lang w:val="en-US" w:eastAsia="zh-CN" w:bidi="ar"/>
        </w:rPr>
        <w:t>施工单位</w:t>
      </w:r>
      <w:r>
        <w:rPr>
          <w:rFonts w:hint="eastAsia" w:ascii="宋体" w:hAnsi="宋体" w:eastAsia="宋体" w:cs="宋体"/>
          <w:color w:val="auto"/>
          <w:kern w:val="0"/>
          <w:sz w:val="24"/>
          <w:szCs w:val="24"/>
          <w:highlight w:val="none"/>
          <w:lang w:val="en-US" w:eastAsia="zh-CN" w:bidi="ar"/>
        </w:rPr>
        <w:t>采取纠偏措施并监督实施。</w:t>
      </w:r>
    </w:p>
    <w:p w14:paraId="02C50CD2">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8.2.3.7</w:t>
      </w:r>
      <w:r>
        <w:rPr>
          <w:rFonts w:hint="eastAsia" w:ascii="宋体" w:hAnsi="宋体" w:eastAsia="宋体" w:cs="宋体"/>
          <w:color w:val="auto"/>
          <w:kern w:val="0"/>
          <w:sz w:val="24"/>
          <w:szCs w:val="24"/>
          <w:highlight w:val="none"/>
          <w:lang w:val="en-US" w:eastAsia="zh-CN" w:bidi="ar"/>
        </w:rPr>
        <w:t>每天检查进度计划的实施，并记录实际进度及其相关情况。当发现实际进度比计划滞后7天时，需向</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提交进度滞后分析报告，提出处理意见，并签发监理工程师通知单指令</w:t>
      </w:r>
      <w:r>
        <w:rPr>
          <w:rFonts w:hint="eastAsia" w:hAnsi="宋体" w:cs="宋体"/>
          <w:color w:val="auto"/>
          <w:kern w:val="0"/>
          <w:sz w:val="24"/>
          <w:szCs w:val="24"/>
          <w:highlight w:val="none"/>
          <w:lang w:val="en-US" w:eastAsia="zh-CN" w:bidi="ar"/>
        </w:rPr>
        <w:t>施工单位</w:t>
      </w:r>
      <w:r>
        <w:rPr>
          <w:rFonts w:hint="eastAsia" w:ascii="宋体" w:hAnsi="宋体" w:eastAsia="宋体" w:cs="宋体"/>
          <w:color w:val="auto"/>
          <w:kern w:val="0"/>
          <w:sz w:val="24"/>
          <w:szCs w:val="24"/>
          <w:highlight w:val="none"/>
          <w:lang w:val="en-US" w:eastAsia="zh-CN" w:bidi="ar"/>
        </w:rPr>
        <w:t>采取调整措施，审核</w:t>
      </w:r>
      <w:r>
        <w:rPr>
          <w:rFonts w:hint="eastAsia" w:hAnsi="宋体" w:cs="宋体"/>
          <w:color w:val="auto"/>
          <w:kern w:val="0"/>
          <w:sz w:val="24"/>
          <w:szCs w:val="24"/>
          <w:highlight w:val="none"/>
          <w:lang w:val="en-US" w:eastAsia="zh-CN" w:bidi="ar"/>
        </w:rPr>
        <w:t>施工单位</w:t>
      </w:r>
      <w:r>
        <w:rPr>
          <w:rFonts w:hint="eastAsia" w:ascii="宋体" w:hAnsi="宋体" w:eastAsia="宋体" w:cs="宋体"/>
          <w:color w:val="auto"/>
          <w:kern w:val="0"/>
          <w:sz w:val="24"/>
          <w:szCs w:val="24"/>
          <w:highlight w:val="none"/>
          <w:lang w:val="en-US" w:eastAsia="zh-CN" w:bidi="ar"/>
        </w:rPr>
        <w:t>措施提出合理建议，并督促</w:t>
      </w:r>
      <w:r>
        <w:rPr>
          <w:rFonts w:hint="eastAsia" w:hAnsi="宋体" w:cs="宋体"/>
          <w:color w:val="auto"/>
          <w:kern w:val="0"/>
          <w:sz w:val="24"/>
          <w:szCs w:val="24"/>
          <w:highlight w:val="none"/>
          <w:lang w:val="en-US" w:eastAsia="zh-CN" w:bidi="ar"/>
        </w:rPr>
        <w:t>施工单位</w:t>
      </w:r>
      <w:r>
        <w:rPr>
          <w:rFonts w:hint="eastAsia" w:ascii="宋体" w:hAnsi="宋体" w:eastAsia="宋体" w:cs="宋体"/>
          <w:color w:val="auto"/>
          <w:kern w:val="0"/>
          <w:sz w:val="24"/>
          <w:szCs w:val="24"/>
          <w:highlight w:val="none"/>
          <w:lang w:val="en-US" w:eastAsia="zh-CN" w:bidi="ar"/>
        </w:rPr>
        <w:t>落实纠偏措施。当实际进度严重滞后于计划进度时，与</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商定采取进一步措施。</w:t>
      </w:r>
    </w:p>
    <w:p w14:paraId="4E658032">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right="0" w:firstLine="482"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8.2.3.8</w:t>
      </w:r>
      <w:r>
        <w:rPr>
          <w:rFonts w:hint="eastAsia" w:ascii="宋体" w:hAnsi="宋体" w:eastAsia="宋体" w:cs="宋体"/>
          <w:color w:val="auto"/>
          <w:kern w:val="0"/>
          <w:sz w:val="24"/>
          <w:szCs w:val="24"/>
          <w:highlight w:val="none"/>
          <w:lang w:val="en-US" w:eastAsia="zh-CN" w:bidi="ar"/>
        </w:rPr>
        <w:t>在监理月报中向</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报告工程进度和所采取进度控制措施的执行情况，并提出预防由</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原因导致的工程延期及其相关费用索赔的建议。</w:t>
      </w:r>
    </w:p>
    <w:p w14:paraId="345FD56E">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8.2.3.9</w:t>
      </w:r>
      <w:r>
        <w:rPr>
          <w:rFonts w:hint="eastAsia" w:ascii="宋体" w:hAnsi="宋体" w:eastAsia="宋体" w:cs="宋体"/>
          <w:color w:val="auto"/>
          <w:kern w:val="0"/>
          <w:sz w:val="24"/>
          <w:szCs w:val="24"/>
          <w:highlight w:val="none"/>
          <w:lang w:val="en-US" w:eastAsia="zh-CN" w:bidi="ar"/>
        </w:rPr>
        <w:t>定期检查</w:t>
      </w:r>
      <w:r>
        <w:rPr>
          <w:rFonts w:hint="eastAsia" w:hAnsi="宋体" w:cs="宋体"/>
          <w:color w:val="auto"/>
          <w:kern w:val="0"/>
          <w:sz w:val="24"/>
          <w:szCs w:val="24"/>
          <w:highlight w:val="none"/>
          <w:lang w:val="en-US" w:eastAsia="zh-CN" w:bidi="ar"/>
        </w:rPr>
        <w:t>施工单位</w:t>
      </w:r>
      <w:r>
        <w:rPr>
          <w:rFonts w:hint="eastAsia" w:ascii="宋体" w:hAnsi="宋体" w:eastAsia="宋体" w:cs="宋体"/>
          <w:color w:val="auto"/>
          <w:kern w:val="0"/>
          <w:sz w:val="24"/>
          <w:szCs w:val="24"/>
          <w:highlight w:val="none"/>
          <w:lang w:val="en-US" w:eastAsia="zh-CN" w:bidi="ar"/>
        </w:rPr>
        <w:t>是否按照施工合同和施工进度计划的要求组织配置足够的人员、材料和设备，并就检查情况提出相应措施加以落实。</w:t>
      </w:r>
    </w:p>
    <w:p w14:paraId="1D12ACF6">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8.2.4工程安全生产管理</w:t>
      </w:r>
    </w:p>
    <w:p w14:paraId="14D162E0">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8.2.4.1</w:t>
      </w:r>
      <w:r>
        <w:rPr>
          <w:rFonts w:hint="eastAsia" w:ascii="宋体" w:hAnsi="宋体" w:eastAsia="宋体" w:cs="宋体"/>
          <w:color w:val="auto"/>
          <w:kern w:val="0"/>
          <w:sz w:val="24"/>
          <w:szCs w:val="24"/>
          <w:highlight w:val="none"/>
          <w:lang w:val="en-US" w:eastAsia="zh-CN" w:bidi="ar"/>
        </w:rPr>
        <w:t>监理</w:t>
      </w:r>
      <w:r>
        <w:rPr>
          <w:rFonts w:hint="eastAsia" w:hAnsi="宋体" w:cs="宋体"/>
          <w:color w:val="auto"/>
          <w:kern w:val="0"/>
          <w:sz w:val="24"/>
          <w:szCs w:val="24"/>
          <w:highlight w:val="none"/>
          <w:lang w:val="en-US" w:eastAsia="zh-CN" w:bidi="ar"/>
        </w:rPr>
        <w:t>人</w:t>
      </w:r>
      <w:r>
        <w:rPr>
          <w:rFonts w:hint="eastAsia" w:ascii="宋体" w:hAnsi="宋体" w:eastAsia="宋体" w:cs="宋体"/>
          <w:color w:val="auto"/>
          <w:kern w:val="0"/>
          <w:sz w:val="24"/>
          <w:szCs w:val="24"/>
          <w:highlight w:val="none"/>
          <w:lang w:val="en-US" w:eastAsia="zh-CN" w:bidi="ar"/>
        </w:rPr>
        <w:t>应根据法律法规、工程建设强制性标准，履行建设工程安全生产管理的监理职责，并应将安全生产管理的监理工作内容、方法和措施纳入监理规划及监理实施细则。</w:t>
      </w:r>
    </w:p>
    <w:p w14:paraId="0BF69195">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8.2.4.2</w:t>
      </w:r>
      <w:r>
        <w:rPr>
          <w:rFonts w:hint="eastAsia" w:ascii="宋体" w:hAnsi="宋体" w:eastAsia="宋体" w:cs="宋体"/>
          <w:color w:val="auto"/>
          <w:kern w:val="0"/>
          <w:sz w:val="24"/>
          <w:szCs w:val="24"/>
          <w:highlight w:val="none"/>
          <w:lang w:val="en-US" w:eastAsia="zh-CN" w:bidi="ar"/>
        </w:rPr>
        <w:t>监理</w:t>
      </w:r>
      <w:r>
        <w:rPr>
          <w:rFonts w:hint="eastAsia" w:hAnsi="宋体" w:cs="宋体"/>
          <w:color w:val="auto"/>
          <w:kern w:val="0"/>
          <w:sz w:val="24"/>
          <w:szCs w:val="24"/>
          <w:highlight w:val="none"/>
          <w:lang w:val="en-US" w:eastAsia="zh-CN" w:bidi="ar"/>
        </w:rPr>
        <w:t>人</w:t>
      </w:r>
      <w:r>
        <w:rPr>
          <w:rFonts w:hint="eastAsia" w:ascii="宋体" w:hAnsi="宋体" w:eastAsia="宋体" w:cs="宋体"/>
          <w:color w:val="auto"/>
          <w:kern w:val="0"/>
          <w:sz w:val="24"/>
          <w:szCs w:val="24"/>
          <w:highlight w:val="none"/>
          <w:lang w:val="en-US" w:eastAsia="zh-CN" w:bidi="ar"/>
        </w:rPr>
        <w:t>应审查施工单位现场安全生产规章制度的建立和实施情况，并应审查施工单位安全生产许可证及施工单位项目经理、专职安全生产管理人员和特种作业人员的资格，同时应核查施工机械和设施的安全许可验收手续。</w:t>
      </w:r>
    </w:p>
    <w:p w14:paraId="1372DCD8">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8.2.4.3</w:t>
      </w:r>
      <w:r>
        <w:rPr>
          <w:rFonts w:hint="eastAsia" w:ascii="宋体" w:hAnsi="宋体" w:eastAsia="宋体" w:cs="宋体"/>
          <w:color w:val="auto"/>
          <w:kern w:val="0"/>
          <w:sz w:val="24"/>
          <w:szCs w:val="24"/>
          <w:highlight w:val="none"/>
          <w:lang w:val="en-US" w:eastAsia="zh-CN" w:bidi="ar"/>
        </w:rPr>
        <w:t>监理</w:t>
      </w:r>
      <w:r>
        <w:rPr>
          <w:rFonts w:hint="eastAsia" w:hAnsi="宋体" w:cs="宋体"/>
          <w:color w:val="auto"/>
          <w:kern w:val="0"/>
          <w:sz w:val="24"/>
          <w:szCs w:val="24"/>
          <w:highlight w:val="none"/>
          <w:lang w:val="en-US" w:eastAsia="zh-CN" w:bidi="ar"/>
        </w:rPr>
        <w:t>人</w:t>
      </w:r>
      <w:r>
        <w:rPr>
          <w:rFonts w:hint="eastAsia" w:ascii="宋体" w:hAnsi="宋体" w:eastAsia="宋体" w:cs="宋体"/>
          <w:color w:val="auto"/>
          <w:kern w:val="0"/>
          <w:sz w:val="24"/>
          <w:szCs w:val="24"/>
          <w:highlight w:val="none"/>
          <w:lang w:val="en-US" w:eastAsia="zh-CN" w:bidi="ar"/>
        </w:rPr>
        <w:t>应审查施工单位报审的专项施工方案，符合要求的，应由总监理工程师签认后报</w:t>
      </w:r>
      <w:r>
        <w:rPr>
          <w:rFonts w:hint="eastAsia" w:hAnsi="宋体" w:cs="宋体"/>
          <w:color w:val="auto"/>
          <w:kern w:val="0"/>
          <w:sz w:val="24"/>
          <w:szCs w:val="24"/>
          <w:highlight w:val="none"/>
          <w:lang w:val="en-US" w:eastAsia="zh-CN" w:bidi="ar"/>
        </w:rPr>
        <w:t>委托人</w:t>
      </w:r>
      <w:r>
        <w:rPr>
          <w:rFonts w:hint="eastAsia" w:ascii="宋体" w:hAnsi="宋体" w:eastAsia="宋体" w:cs="宋体"/>
          <w:color w:val="auto"/>
          <w:kern w:val="0"/>
          <w:sz w:val="24"/>
          <w:szCs w:val="24"/>
          <w:highlight w:val="none"/>
          <w:lang w:val="en-US" w:eastAsia="zh-CN" w:bidi="ar"/>
        </w:rPr>
        <w:t>。超过一定规模的危险性较大的分部分项工程的专项施工方案，应检查施工单位组织专家进行论证、审查的情况，以及是否附具安全验算结果。监理</w:t>
      </w:r>
      <w:r>
        <w:rPr>
          <w:rFonts w:hint="eastAsia" w:hAnsi="宋体" w:cs="宋体"/>
          <w:color w:val="auto"/>
          <w:kern w:val="0"/>
          <w:sz w:val="24"/>
          <w:szCs w:val="24"/>
          <w:highlight w:val="none"/>
          <w:lang w:val="en-US" w:eastAsia="zh-CN" w:bidi="ar"/>
        </w:rPr>
        <w:t>人</w:t>
      </w:r>
      <w:r>
        <w:rPr>
          <w:rFonts w:hint="eastAsia" w:ascii="宋体" w:hAnsi="宋体" w:eastAsia="宋体" w:cs="宋体"/>
          <w:color w:val="auto"/>
          <w:kern w:val="0"/>
          <w:sz w:val="24"/>
          <w:szCs w:val="24"/>
          <w:highlight w:val="none"/>
          <w:lang w:val="en-US" w:eastAsia="zh-CN" w:bidi="ar"/>
        </w:rPr>
        <w:t>应要求施工单位按已批准的专项施工方案组织施工。专项施工方案需要调整时，施工单位应按程序重新提交监理</w:t>
      </w:r>
      <w:r>
        <w:rPr>
          <w:rFonts w:hint="eastAsia" w:hAnsi="宋体" w:cs="宋体"/>
          <w:color w:val="auto"/>
          <w:kern w:val="0"/>
          <w:sz w:val="24"/>
          <w:szCs w:val="24"/>
          <w:highlight w:val="none"/>
          <w:lang w:val="en-US" w:eastAsia="zh-CN" w:bidi="ar"/>
        </w:rPr>
        <w:t>人</w:t>
      </w:r>
      <w:r>
        <w:rPr>
          <w:rFonts w:hint="eastAsia" w:ascii="宋体" w:hAnsi="宋体" w:eastAsia="宋体" w:cs="宋体"/>
          <w:color w:val="auto"/>
          <w:kern w:val="0"/>
          <w:sz w:val="24"/>
          <w:szCs w:val="24"/>
          <w:highlight w:val="none"/>
          <w:lang w:val="en-US" w:eastAsia="zh-CN" w:bidi="ar"/>
        </w:rPr>
        <w:t>审查。</w:t>
      </w:r>
    </w:p>
    <w:p w14:paraId="734D6341">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专项施工方案审查应包括下列基本内容：</w:t>
      </w:r>
    </w:p>
    <w:p w14:paraId="40885BC2">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（1）编审程序应符合相关规定。</w:t>
      </w:r>
    </w:p>
    <w:p w14:paraId="2C3FCE4C">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（2）安全技术措施应符合工程建设强制性标准。</w:t>
      </w:r>
    </w:p>
    <w:p w14:paraId="30BBA600">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专项施工方案报审表应按相应规范的要求填写。</w:t>
      </w:r>
    </w:p>
    <w:p w14:paraId="03502F50">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8.2.4.4</w:t>
      </w:r>
      <w:r>
        <w:rPr>
          <w:rFonts w:hint="eastAsia" w:ascii="宋体" w:hAnsi="宋体" w:eastAsia="宋体" w:cs="宋体"/>
          <w:color w:val="auto"/>
          <w:kern w:val="0"/>
          <w:sz w:val="24"/>
          <w:szCs w:val="24"/>
          <w:highlight w:val="none"/>
          <w:lang w:val="en-US" w:eastAsia="zh-CN" w:bidi="ar"/>
        </w:rPr>
        <w:t>监理</w:t>
      </w:r>
      <w:r>
        <w:rPr>
          <w:rFonts w:hint="eastAsia" w:hAnsi="宋体" w:cs="宋体"/>
          <w:color w:val="auto"/>
          <w:kern w:val="0"/>
          <w:sz w:val="24"/>
          <w:szCs w:val="24"/>
          <w:highlight w:val="none"/>
          <w:lang w:val="en-US" w:eastAsia="zh-CN" w:bidi="ar"/>
        </w:rPr>
        <w:t>人</w:t>
      </w:r>
      <w:r>
        <w:rPr>
          <w:rFonts w:hint="eastAsia" w:ascii="宋体" w:hAnsi="宋体" w:eastAsia="宋体" w:cs="宋体"/>
          <w:color w:val="auto"/>
          <w:kern w:val="0"/>
          <w:sz w:val="24"/>
          <w:szCs w:val="24"/>
          <w:highlight w:val="none"/>
          <w:lang w:val="en-US" w:eastAsia="zh-CN" w:bidi="ar"/>
        </w:rPr>
        <w:t>应巡视检查危险性较大的分部分项工程专项施工方案实施情况。发现未按专项施工方案实施时，应签发监理通知单，要求施工单位按专项施工方案实施。</w:t>
      </w:r>
    </w:p>
    <w:p w14:paraId="57F358DE">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8.2.4.5</w:t>
      </w:r>
      <w:r>
        <w:rPr>
          <w:rFonts w:hint="eastAsia" w:ascii="宋体" w:hAnsi="宋体" w:eastAsia="宋体" w:cs="宋体"/>
          <w:color w:val="auto"/>
          <w:kern w:val="0"/>
          <w:sz w:val="24"/>
          <w:szCs w:val="24"/>
          <w:highlight w:val="none"/>
          <w:lang w:val="en-US" w:eastAsia="zh-CN" w:bidi="ar"/>
        </w:rPr>
        <w:t>监理</w:t>
      </w:r>
      <w:r>
        <w:rPr>
          <w:rFonts w:hint="eastAsia" w:hAnsi="宋体" w:cs="宋体"/>
          <w:color w:val="auto"/>
          <w:kern w:val="0"/>
          <w:sz w:val="24"/>
          <w:szCs w:val="24"/>
          <w:highlight w:val="none"/>
          <w:lang w:val="en-US" w:eastAsia="zh-CN" w:bidi="ar"/>
        </w:rPr>
        <w:t>人</w:t>
      </w:r>
      <w:r>
        <w:rPr>
          <w:rFonts w:hint="eastAsia" w:ascii="宋体" w:hAnsi="宋体" w:eastAsia="宋体" w:cs="宋体"/>
          <w:color w:val="auto"/>
          <w:kern w:val="0"/>
          <w:sz w:val="24"/>
          <w:szCs w:val="24"/>
          <w:highlight w:val="none"/>
          <w:lang w:val="en-US" w:eastAsia="zh-CN" w:bidi="ar"/>
        </w:rPr>
        <w:t>在实施监理过程中，发现工程存在安全事故隐患时，应签发监理通知单，要求施工单位整改；情况严重时，应签发工程暂停令，并应及时报告</w:t>
      </w:r>
      <w:r>
        <w:rPr>
          <w:rFonts w:hint="eastAsia" w:hAnsi="宋体" w:cs="宋体"/>
          <w:color w:val="auto"/>
          <w:kern w:val="0"/>
          <w:sz w:val="24"/>
          <w:szCs w:val="24"/>
          <w:highlight w:val="none"/>
          <w:lang w:val="en-US" w:eastAsia="zh-CN" w:bidi="ar"/>
        </w:rPr>
        <w:t>委托人</w:t>
      </w:r>
      <w:r>
        <w:rPr>
          <w:rFonts w:hint="eastAsia" w:ascii="宋体" w:hAnsi="宋体" w:eastAsia="宋体" w:cs="宋体"/>
          <w:color w:val="auto"/>
          <w:kern w:val="0"/>
          <w:sz w:val="24"/>
          <w:szCs w:val="24"/>
          <w:highlight w:val="none"/>
          <w:lang w:val="en-US" w:eastAsia="zh-CN" w:bidi="ar"/>
        </w:rPr>
        <w:t>。施工单位拒不整改或不停止施工时，监理</w:t>
      </w:r>
      <w:r>
        <w:rPr>
          <w:rFonts w:hint="eastAsia" w:hAnsi="宋体" w:cs="宋体"/>
          <w:color w:val="auto"/>
          <w:kern w:val="0"/>
          <w:sz w:val="24"/>
          <w:szCs w:val="24"/>
          <w:highlight w:val="none"/>
          <w:lang w:val="en-US" w:eastAsia="zh-CN" w:bidi="ar"/>
        </w:rPr>
        <w:t>人</w:t>
      </w:r>
      <w:r>
        <w:rPr>
          <w:rFonts w:hint="eastAsia" w:ascii="宋体" w:hAnsi="宋体" w:eastAsia="宋体" w:cs="宋体"/>
          <w:color w:val="auto"/>
          <w:kern w:val="0"/>
          <w:sz w:val="24"/>
          <w:szCs w:val="24"/>
          <w:highlight w:val="none"/>
          <w:lang w:val="en-US" w:eastAsia="zh-CN" w:bidi="ar"/>
        </w:rPr>
        <w:t>应及时向有关主管部门报送监理报告：监理报告应按相应规范的要求填写。</w:t>
      </w:r>
    </w:p>
    <w:p w14:paraId="1E19D100">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8.2.4.6</w:t>
      </w:r>
      <w:r>
        <w:rPr>
          <w:rFonts w:hint="eastAsia" w:ascii="宋体" w:hAnsi="宋体" w:eastAsia="宋体" w:cs="宋体"/>
          <w:color w:val="auto"/>
          <w:kern w:val="0"/>
          <w:sz w:val="24"/>
          <w:szCs w:val="24"/>
          <w:highlight w:val="none"/>
          <w:lang w:val="en-US" w:eastAsia="zh-CN" w:bidi="ar"/>
        </w:rPr>
        <w:t>监理</w:t>
      </w:r>
      <w:r>
        <w:rPr>
          <w:rFonts w:hint="eastAsia" w:hAnsi="宋体" w:cs="宋体"/>
          <w:color w:val="auto"/>
          <w:kern w:val="0"/>
          <w:sz w:val="24"/>
          <w:szCs w:val="24"/>
          <w:highlight w:val="none"/>
          <w:lang w:val="en-US" w:eastAsia="zh-CN" w:bidi="ar"/>
        </w:rPr>
        <w:t>人</w:t>
      </w:r>
      <w:r>
        <w:rPr>
          <w:rFonts w:hint="eastAsia" w:ascii="宋体" w:hAnsi="宋体" w:eastAsia="宋体" w:cs="宋体"/>
          <w:color w:val="auto"/>
          <w:kern w:val="0"/>
          <w:sz w:val="24"/>
          <w:szCs w:val="24"/>
          <w:highlight w:val="none"/>
          <w:lang w:val="en-US" w:eastAsia="zh-CN" w:bidi="ar"/>
        </w:rPr>
        <w:t>应根据</w:t>
      </w:r>
      <w:r>
        <w:rPr>
          <w:rFonts w:hint="eastAsia" w:ascii="宋体" w:hAnsi="宋体" w:eastAsia="宋体" w:cs="宋体"/>
          <w:b w:val="0"/>
          <w:bCs w:val="0"/>
          <w:color w:val="auto"/>
          <w:kern w:val="0"/>
          <w:sz w:val="24"/>
          <w:szCs w:val="24"/>
          <w:highlight w:val="none"/>
          <w:lang w:val="en-US" w:eastAsia="zh-CN" w:bidi="ar"/>
        </w:rPr>
        <w:t>《危险性较大的分部分项工程安全管理规定》（住房城乡建设部令第37号）、《住房城乡建设部办公厅关于实施&lt;危险性较大的分部分项工程安全管理规定&gt;有关问题的通知》（建办质〔2018〕31号）、《广东省住房和城乡建设厅关于房屋市政工程危险性较大的分部分项工程安全管理的实施细则的通知》(粤建规范〔2019〕2号)和《广东省安全生产委员会办公室广东省住房和城乡建设厅关于&lt;严格落实危险性较大的分部分项工程“六不施工”要求的通知&gt;》（粤安办〔2020〕151号）</w:t>
      </w:r>
      <w:r>
        <w:rPr>
          <w:rFonts w:hint="eastAsia" w:ascii="宋体" w:hAnsi="宋体" w:eastAsia="宋体" w:cs="宋体"/>
          <w:color w:val="auto"/>
          <w:kern w:val="0"/>
          <w:sz w:val="24"/>
          <w:szCs w:val="24"/>
          <w:highlight w:val="none"/>
          <w:lang w:val="en-US" w:eastAsia="zh-CN" w:bidi="ar"/>
        </w:rPr>
        <w:t>等有关危险性较大的分部分项工程的法规规定通知，履行建设工程安全生产管理的监理职责。</w:t>
      </w:r>
    </w:p>
    <w:p w14:paraId="6EA04FC3">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8.2.4.7</w:t>
      </w:r>
      <w:r>
        <w:rPr>
          <w:rFonts w:hint="eastAsia" w:ascii="宋体" w:hAnsi="宋体" w:eastAsia="宋体" w:cs="宋体"/>
          <w:color w:val="auto"/>
          <w:kern w:val="0"/>
          <w:sz w:val="24"/>
          <w:szCs w:val="24"/>
          <w:highlight w:val="none"/>
          <w:lang w:val="en-US" w:eastAsia="zh-CN" w:bidi="ar"/>
        </w:rPr>
        <w:t>审核施工企业应急救援预案和安全防护、安全文明施工措施费用使用计划情况。并按规定对安全防护、文明施工措施费用的列支和使用实施监理；</w:t>
      </w:r>
    </w:p>
    <w:p w14:paraId="7DEDD425">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8.2.4.8</w:t>
      </w:r>
      <w:r>
        <w:rPr>
          <w:rFonts w:hint="eastAsia" w:ascii="宋体" w:hAnsi="宋体" w:eastAsia="宋体" w:cs="宋体"/>
          <w:color w:val="auto"/>
          <w:kern w:val="0"/>
          <w:sz w:val="24"/>
          <w:szCs w:val="24"/>
          <w:highlight w:val="none"/>
          <w:lang w:val="en-US" w:eastAsia="zh-CN" w:bidi="ar"/>
        </w:rPr>
        <w:t>在实施监理过程中，发现存在安全事故隐患的，应当要求</w:t>
      </w:r>
      <w:r>
        <w:rPr>
          <w:rFonts w:hint="eastAsia" w:hAnsi="宋体" w:cs="宋体"/>
          <w:color w:val="auto"/>
          <w:kern w:val="0"/>
          <w:sz w:val="24"/>
          <w:szCs w:val="24"/>
          <w:highlight w:val="none"/>
          <w:lang w:val="en-US" w:eastAsia="zh-CN" w:bidi="ar"/>
        </w:rPr>
        <w:t>施工单位</w:t>
      </w:r>
      <w:r>
        <w:rPr>
          <w:rFonts w:hint="eastAsia" w:ascii="宋体" w:hAnsi="宋体" w:eastAsia="宋体" w:cs="宋体"/>
          <w:color w:val="auto"/>
          <w:kern w:val="0"/>
          <w:sz w:val="24"/>
          <w:szCs w:val="24"/>
          <w:highlight w:val="none"/>
          <w:lang w:val="en-US" w:eastAsia="zh-CN" w:bidi="ar"/>
        </w:rPr>
        <w:t>整改，情况严重的，应当要求</w:t>
      </w:r>
      <w:r>
        <w:rPr>
          <w:rFonts w:hint="eastAsia" w:hAnsi="宋体" w:cs="宋体"/>
          <w:color w:val="auto"/>
          <w:kern w:val="0"/>
          <w:sz w:val="24"/>
          <w:szCs w:val="24"/>
          <w:highlight w:val="none"/>
          <w:lang w:val="en-US" w:eastAsia="zh-CN" w:bidi="ar"/>
        </w:rPr>
        <w:t>施工单位</w:t>
      </w:r>
      <w:r>
        <w:rPr>
          <w:rFonts w:hint="eastAsia" w:ascii="宋体" w:hAnsi="宋体" w:eastAsia="宋体" w:cs="宋体"/>
          <w:color w:val="auto"/>
          <w:kern w:val="0"/>
          <w:sz w:val="24"/>
          <w:szCs w:val="24"/>
          <w:highlight w:val="none"/>
          <w:lang w:val="en-US" w:eastAsia="zh-CN" w:bidi="ar"/>
        </w:rPr>
        <w:t>暂时停止施工，并及时报告</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w:t>
      </w:r>
      <w:r>
        <w:rPr>
          <w:rFonts w:hint="eastAsia" w:hAnsi="宋体" w:cs="宋体"/>
          <w:color w:val="auto"/>
          <w:kern w:val="0"/>
          <w:sz w:val="24"/>
          <w:szCs w:val="24"/>
          <w:highlight w:val="none"/>
          <w:lang w:val="en-US" w:eastAsia="zh-CN" w:bidi="ar"/>
        </w:rPr>
        <w:t>施工单位</w:t>
      </w:r>
      <w:r>
        <w:rPr>
          <w:rFonts w:hint="eastAsia" w:ascii="宋体" w:hAnsi="宋体" w:eastAsia="宋体" w:cs="宋体"/>
          <w:color w:val="auto"/>
          <w:kern w:val="0"/>
          <w:sz w:val="24"/>
          <w:szCs w:val="24"/>
          <w:highlight w:val="none"/>
          <w:lang w:val="en-US" w:eastAsia="zh-CN" w:bidi="ar"/>
        </w:rPr>
        <w:t>拒不整改或不停止施工的应当及时向有关主管部门报告。</w:t>
      </w:r>
    </w:p>
    <w:p w14:paraId="512E9E0C">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8.2.4.9</w:t>
      </w:r>
      <w:r>
        <w:rPr>
          <w:rFonts w:hint="eastAsia" w:ascii="宋体" w:hAnsi="宋体" w:eastAsia="宋体" w:cs="宋体"/>
          <w:color w:val="auto"/>
          <w:kern w:val="0"/>
          <w:sz w:val="24"/>
          <w:szCs w:val="24"/>
          <w:highlight w:val="none"/>
          <w:lang w:val="en-US" w:eastAsia="zh-CN" w:bidi="ar"/>
        </w:rPr>
        <w:t>按照省、市及施工合同中对文明施工要求的有关规定，定期组织工地范围内文明施工情况的检查，对不符合要求的</w:t>
      </w:r>
      <w:r>
        <w:rPr>
          <w:rFonts w:hint="eastAsia" w:hAnsi="宋体" w:cs="宋体"/>
          <w:color w:val="auto"/>
          <w:kern w:val="0"/>
          <w:sz w:val="24"/>
          <w:szCs w:val="24"/>
          <w:highlight w:val="none"/>
          <w:lang w:val="en-US" w:eastAsia="zh-CN" w:bidi="ar"/>
        </w:rPr>
        <w:t>施工单位</w:t>
      </w:r>
      <w:r>
        <w:rPr>
          <w:rFonts w:hint="eastAsia" w:ascii="宋体" w:hAnsi="宋体" w:eastAsia="宋体" w:cs="宋体"/>
          <w:color w:val="auto"/>
          <w:kern w:val="0"/>
          <w:sz w:val="24"/>
          <w:szCs w:val="24"/>
          <w:highlight w:val="none"/>
          <w:lang w:val="en-US" w:eastAsia="zh-CN" w:bidi="ar"/>
        </w:rPr>
        <w:t>采取措施督促其进行整改，并将检查、整改的情况向委托方报告。</w:t>
      </w:r>
    </w:p>
    <w:p w14:paraId="413062B7">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8.2.4.10</w:t>
      </w:r>
      <w:r>
        <w:rPr>
          <w:rFonts w:hint="eastAsia" w:ascii="宋体" w:hAnsi="宋体" w:eastAsia="宋体" w:cs="宋体"/>
          <w:color w:val="auto"/>
          <w:kern w:val="0"/>
          <w:sz w:val="24"/>
          <w:szCs w:val="24"/>
          <w:highlight w:val="none"/>
          <w:lang w:val="en-US" w:eastAsia="zh-CN" w:bidi="ar"/>
        </w:rPr>
        <w:t>每月组织定期的安全检查，并将检查情况向</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报告。明确整改完成时间，并督促</w:t>
      </w:r>
      <w:r>
        <w:rPr>
          <w:rFonts w:hint="eastAsia" w:hAnsi="宋体" w:cs="宋体"/>
          <w:color w:val="auto"/>
          <w:kern w:val="0"/>
          <w:sz w:val="24"/>
          <w:szCs w:val="24"/>
          <w:highlight w:val="none"/>
          <w:lang w:val="en-US" w:eastAsia="zh-CN" w:bidi="ar"/>
        </w:rPr>
        <w:t>施工单位</w:t>
      </w:r>
      <w:r>
        <w:rPr>
          <w:rFonts w:hint="eastAsia" w:ascii="宋体" w:hAnsi="宋体" w:eastAsia="宋体" w:cs="宋体"/>
          <w:color w:val="auto"/>
          <w:kern w:val="0"/>
          <w:sz w:val="24"/>
          <w:szCs w:val="24"/>
          <w:highlight w:val="none"/>
          <w:lang w:val="en-US" w:eastAsia="zh-CN" w:bidi="ar"/>
        </w:rPr>
        <w:t>按期完成整改工作。</w:t>
      </w:r>
    </w:p>
    <w:p w14:paraId="7E21DF1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8.2.4.11</w:t>
      </w:r>
      <w:r>
        <w:rPr>
          <w:rFonts w:hint="eastAsia" w:ascii="宋体" w:hAnsi="宋体" w:eastAsia="宋体" w:cs="宋体"/>
          <w:color w:val="auto"/>
          <w:kern w:val="0"/>
          <w:sz w:val="24"/>
          <w:szCs w:val="24"/>
          <w:highlight w:val="none"/>
          <w:lang w:val="en-US" w:eastAsia="zh-CN" w:bidi="ar"/>
        </w:rPr>
        <w:t>按照法律、法规和工程建设强制性标准实施监理，并对建设工程安全生产承担监理责任。</w:t>
      </w:r>
    </w:p>
    <w:p w14:paraId="094D7EB1">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8.3</w:t>
      </w:r>
      <w:r>
        <w:rPr>
          <w:rFonts w:hint="eastAsia" w:ascii="宋体" w:hAnsi="宋体" w:eastAsia="宋体" w:cs="宋体"/>
          <w:b w:val="0"/>
          <w:bCs w:val="0"/>
          <w:color w:val="auto"/>
          <w:kern w:val="0"/>
          <w:sz w:val="24"/>
          <w:szCs w:val="24"/>
          <w:highlight w:val="none"/>
          <w:lang w:val="en-US" w:eastAsia="zh-CN" w:bidi="ar"/>
        </w:rPr>
        <w:t>监理人违约及违约责任</w:t>
      </w:r>
    </w:p>
    <w:p w14:paraId="4AA88400">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通常情况下，监理人不能按合同履行其义务和职责，因工作过失或渎职而造成了工程的经济和工期损失，为监理人违约，监理人应当向</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赔偿经济损失，并承担相关的行政、法律责任。在本监理合同中，双方约定将监理人违约范围适当扩大，增加两种视为监理人违约的情况，一是监理人未按约定履行其义务工作时，即使未造成损失，视为监理人违约；二是监理目标未能达标，无论主要原因是什么，视为监理人违约。监理人违约分为监理不良行为、监理过失、监理渎职及监理不达标四大情形造成的违约，这五种违约情形及违约责任的承担作如下规定：</w:t>
      </w:r>
    </w:p>
    <w:p w14:paraId="464BDD2C">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8.3.1</w:t>
      </w:r>
      <w:r>
        <w:rPr>
          <w:rFonts w:hint="eastAsia" w:ascii="宋体" w:hAnsi="宋体" w:eastAsia="宋体" w:cs="宋体"/>
          <w:b w:val="0"/>
          <w:bCs w:val="0"/>
          <w:color w:val="auto"/>
          <w:kern w:val="0"/>
          <w:sz w:val="24"/>
          <w:szCs w:val="24"/>
          <w:highlight w:val="none"/>
          <w:lang w:val="en-US" w:eastAsia="zh-CN" w:bidi="ar"/>
        </w:rPr>
        <w:t>监理不良行为违约</w:t>
      </w:r>
    </w:p>
    <w:p w14:paraId="691DF735">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8.3.1.1</w:t>
      </w:r>
      <w:r>
        <w:rPr>
          <w:rFonts w:hint="eastAsia" w:ascii="宋体" w:hAnsi="宋体" w:eastAsia="宋体" w:cs="宋体"/>
          <w:color w:val="auto"/>
          <w:kern w:val="0"/>
          <w:sz w:val="24"/>
          <w:szCs w:val="24"/>
          <w:highlight w:val="none"/>
          <w:lang w:val="en-US" w:eastAsia="zh-CN" w:bidi="ar"/>
        </w:rPr>
        <w:t>监理不良行为违约的认定</w:t>
      </w:r>
    </w:p>
    <w:p w14:paraId="4461C3F9">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监理人员一切不按相关法规规定和要求履行义务工作的行为均可视为监理不良行为。监理不良行为特征主要体现是：1、项目监理架构未按相关法规及投标文件承诺规定组建，监理人员未完全到位和未按规定在岗的情形；2、相关法律、法规、地方规范性文件、监理规范、本项目相关合同文件规定及</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指明的监理人的义务工作，监理人却未能执行或执行不及时；3、</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指出或发现监理人在实施监理行为过程中明显的签证错误、审批错误及指令错误。</w:t>
      </w:r>
    </w:p>
    <w:p w14:paraId="1DAED9F3">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监理人的不良行为一旦被发现，由</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管理人员在“监理行为记录档案”作记录，无论是否造成损失，即构成监理人违约。若该行为已造成实际损失，按本附件界定的监理过失违约规定处理。</w:t>
      </w:r>
    </w:p>
    <w:p w14:paraId="10205908">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所有监理不良行为违约发生的违约金均从监理人进度款中扣除，监理服务费结算以扣除违约金总数后的金额为准。</w:t>
      </w:r>
    </w:p>
    <w:p w14:paraId="4C89FB5B">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8.3.1.2</w:t>
      </w:r>
      <w:r>
        <w:rPr>
          <w:rFonts w:hint="eastAsia" w:ascii="宋体" w:hAnsi="宋体" w:eastAsia="宋体" w:cs="宋体"/>
          <w:color w:val="auto"/>
          <w:kern w:val="0"/>
          <w:sz w:val="24"/>
          <w:szCs w:val="24"/>
          <w:highlight w:val="none"/>
          <w:lang w:val="en-US" w:eastAsia="zh-CN" w:bidi="ar"/>
        </w:rPr>
        <w:t>监理不良行为违约的责任承担</w:t>
      </w:r>
    </w:p>
    <w:p w14:paraId="5644D173">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监理人发生监理不良行为一次，承担一般违约责任一次。本项目对驻场总监实施指纹考勤，指纹考勤每月累计不少于20天，未经</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书面同意，每少1天，视为监理人发生监理不良行为一次，承担一般违约责任一次，按¥</w:t>
      </w:r>
      <w:r>
        <w:rPr>
          <w:rFonts w:hint="eastAsia"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000元/天支付违约金给</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w:t>
      </w:r>
    </w:p>
    <w:p w14:paraId="3B76A9D5">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监理人发生一般违约行为应向</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缴纳违约金¥</w:t>
      </w:r>
      <w:r>
        <w:rPr>
          <w:rFonts w:hint="eastAsia"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000元，具体一般违约责任情况如下：</w:t>
      </w:r>
    </w:p>
    <w:p w14:paraId="674B0776">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8.3.1.2.1</w:t>
      </w:r>
      <w:r>
        <w:rPr>
          <w:rFonts w:hint="eastAsia" w:ascii="宋体" w:hAnsi="宋体" w:eastAsia="宋体" w:cs="宋体"/>
          <w:color w:val="auto"/>
          <w:kern w:val="0"/>
          <w:sz w:val="24"/>
          <w:szCs w:val="24"/>
          <w:highlight w:val="none"/>
          <w:lang w:val="en-US" w:eastAsia="zh-CN" w:bidi="ar"/>
        </w:rPr>
        <w:t>本项目对驻场监理人员实施指纹考勤，指纹考勤每月累计不到位天数超过6天的，按¥</w:t>
      </w:r>
      <w:r>
        <w:rPr>
          <w:rFonts w:hint="eastAsia"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000元/人/天支付违约金给</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w:t>
      </w:r>
    </w:p>
    <w:p w14:paraId="317307E8">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8.3.1.2.2</w:t>
      </w:r>
      <w:r>
        <w:rPr>
          <w:rFonts w:hint="eastAsia" w:ascii="宋体" w:hAnsi="宋体" w:eastAsia="宋体" w:cs="宋体"/>
          <w:color w:val="auto"/>
          <w:kern w:val="0"/>
          <w:sz w:val="24"/>
          <w:szCs w:val="24"/>
          <w:highlight w:val="none"/>
          <w:lang w:val="en-US" w:eastAsia="zh-CN" w:bidi="ar"/>
        </w:rPr>
        <w:t>其他监理人员必须按配备要求在现场驻场监理，离开项目现场必须经</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书面同意，如</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发现监理人员非正常离岗，监理人向</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每人次交纳违约金¥</w:t>
      </w:r>
      <w:r>
        <w:rPr>
          <w:rFonts w:hint="eastAsia"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000元。监理人员需与报审人员相符一致，如不符支付违约金3000元/次。</w:t>
      </w:r>
    </w:p>
    <w:p w14:paraId="775892FA">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8.3.1.2.3</w:t>
      </w:r>
      <w:r>
        <w:rPr>
          <w:rFonts w:hint="eastAsia" w:ascii="宋体" w:hAnsi="宋体" w:eastAsia="宋体" w:cs="宋体"/>
          <w:color w:val="auto"/>
          <w:kern w:val="0"/>
          <w:sz w:val="24"/>
          <w:szCs w:val="24"/>
          <w:highlight w:val="none"/>
          <w:lang w:val="en-US" w:eastAsia="zh-CN" w:bidi="ar"/>
        </w:rPr>
        <w:t>同一问题未能按时整改，每重复一次监理人向</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缴纳违约金¥</w:t>
      </w:r>
      <w:r>
        <w:rPr>
          <w:rFonts w:hint="eastAsia"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000元。</w:t>
      </w:r>
    </w:p>
    <w:p w14:paraId="7C10AA14">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8.3.1.2.4</w:t>
      </w:r>
      <w:r>
        <w:rPr>
          <w:rFonts w:hint="eastAsia" w:ascii="宋体" w:hAnsi="宋体" w:eastAsia="宋体" w:cs="宋体"/>
          <w:color w:val="auto"/>
          <w:kern w:val="0"/>
          <w:sz w:val="24"/>
          <w:szCs w:val="24"/>
          <w:highlight w:val="none"/>
          <w:lang w:val="en-US" w:eastAsia="zh-CN" w:bidi="ar"/>
        </w:rPr>
        <w:t>投标人必须充分考虑总监的履职能力和可行性，充分评估总监的身体健康状况及合同约定服务期限，同时符合</w:t>
      </w:r>
      <w:r>
        <w:rPr>
          <w:rFonts w:hint="eastAsia" w:ascii="宋体" w:hAnsi="宋体" w:eastAsia="宋体" w:cs="宋体"/>
          <w:b w:val="0"/>
          <w:bCs w:val="0"/>
          <w:color w:val="auto"/>
          <w:kern w:val="0"/>
          <w:sz w:val="24"/>
          <w:szCs w:val="24"/>
          <w:highlight w:val="none"/>
          <w:lang w:val="en-US" w:eastAsia="zh-CN" w:bidi="ar"/>
        </w:rPr>
        <w:t>《广东省住房和城乡建设厅关于建设工程项目招标中标后监督检查办法》</w:t>
      </w:r>
      <w:r>
        <w:rPr>
          <w:rFonts w:hint="eastAsia" w:ascii="宋体" w:hAnsi="宋体" w:eastAsia="宋体" w:cs="宋体"/>
          <w:color w:val="auto"/>
          <w:kern w:val="0"/>
          <w:sz w:val="24"/>
          <w:szCs w:val="24"/>
          <w:highlight w:val="none"/>
          <w:lang w:val="en-US" w:eastAsia="zh-CN" w:bidi="ar"/>
        </w:rPr>
        <w:t>的相关规定。</w:t>
      </w:r>
    </w:p>
    <w:p w14:paraId="000836E9">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8.3.1.2.5</w:t>
      </w:r>
      <w:r>
        <w:rPr>
          <w:rFonts w:hint="eastAsia" w:ascii="宋体" w:hAnsi="宋体" w:eastAsia="宋体" w:cs="宋体"/>
          <w:color w:val="auto"/>
          <w:kern w:val="0"/>
          <w:sz w:val="24"/>
          <w:szCs w:val="24"/>
          <w:highlight w:val="none"/>
          <w:lang w:val="en-US" w:eastAsia="zh-CN" w:bidi="ar"/>
        </w:rPr>
        <w:t>监理人在</w:t>
      </w:r>
      <w:r>
        <w:rPr>
          <w:rFonts w:hint="eastAsia" w:hAnsi="宋体" w:cs="宋体"/>
          <w:color w:val="auto"/>
          <w:kern w:val="0"/>
          <w:sz w:val="24"/>
          <w:szCs w:val="24"/>
          <w:highlight w:val="none"/>
          <w:lang w:val="en-US" w:eastAsia="zh-CN" w:bidi="ar"/>
        </w:rPr>
        <w:t>施工单位</w:t>
      </w:r>
      <w:r>
        <w:rPr>
          <w:rFonts w:hint="eastAsia" w:ascii="宋体" w:hAnsi="宋体" w:eastAsia="宋体" w:cs="宋体"/>
          <w:color w:val="auto"/>
          <w:kern w:val="0"/>
          <w:sz w:val="24"/>
          <w:szCs w:val="24"/>
          <w:highlight w:val="none"/>
          <w:lang w:val="en-US" w:eastAsia="zh-CN" w:bidi="ar"/>
        </w:rPr>
        <w:t>进场前未对相关监理人员进行专项工程交底的（以书面记录为准），向</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缴纳违约金¥</w:t>
      </w:r>
      <w:r>
        <w:rPr>
          <w:rFonts w:hint="eastAsia"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000元/次。</w:t>
      </w:r>
    </w:p>
    <w:p w14:paraId="0E625CE0">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8.3.1.2.6</w:t>
      </w:r>
      <w:r>
        <w:rPr>
          <w:rFonts w:hint="eastAsia" w:ascii="宋体" w:hAnsi="宋体" w:eastAsia="宋体" w:cs="宋体"/>
          <w:color w:val="auto"/>
          <w:kern w:val="0"/>
          <w:sz w:val="24"/>
          <w:szCs w:val="24"/>
          <w:highlight w:val="none"/>
          <w:lang w:val="en-US" w:eastAsia="zh-CN" w:bidi="ar"/>
        </w:rPr>
        <w:t>对</w:t>
      </w:r>
      <w:r>
        <w:rPr>
          <w:rFonts w:hint="eastAsia" w:hAnsi="宋体" w:cs="宋体"/>
          <w:color w:val="auto"/>
          <w:kern w:val="0"/>
          <w:sz w:val="24"/>
          <w:szCs w:val="24"/>
          <w:highlight w:val="none"/>
          <w:lang w:val="en-US" w:eastAsia="zh-CN" w:bidi="ar"/>
        </w:rPr>
        <w:t>施工单位</w:t>
      </w:r>
      <w:r>
        <w:rPr>
          <w:rFonts w:hint="eastAsia" w:ascii="宋体" w:hAnsi="宋体" w:eastAsia="宋体" w:cs="宋体"/>
          <w:color w:val="auto"/>
          <w:kern w:val="0"/>
          <w:sz w:val="24"/>
          <w:szCs w:val="24"/>
          <w:highlight w:val="none"/>
          <w:lang w:val="en-US" w:eastAsia="zh-CN" w:bidi="ar"/>
        </w:rPr>
        <w:t>未按图纸或招标文件的规定施工的，监理人未及时发现的，经</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指正属实后，向</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缴纳违约金¥</w:t>
      </w:r>
      <w:r>
        <w:rPr>
          <w:rFonts w:hint="eastAsia"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000元/次。监理人对发现</w:t>
      </w:r>
      <w:r>
        <w:rPr>
          <w:rFonts w:hint="eastAsia" w:hAnsi="宋体" w:cs="宋体"/>
          <w:color w:val="auto"/>
          <w:kern w:val="0"/>
          <w:sz w:val="24"/>
          <w:szCs w:val="24"/>
          <w:highlight w:val="none"/>
          <w:lang w:val="en-US" w:eastAsia="zh-CN" w:bidi="ar"/>
        </w:rPr>
        <w:t>施工单位</w:t>
      </w:r>
      <w:r>
        <w:rPr>
          <w:rFonts w:hint="eastAsia" w:ascii="宋体" w:hAnsi="宋体" w:eastAsia="宋体" w:cs="宋体"/>
          <w:color w:val="auto"/>
          <w:kern w:val="0"/>
          <w:sz w:val="24"/>
          <w:szCs w:val="24"/>
          <w:highlight w:val="none"/>
          <w:lang w:val="en-US" w:eastAsia="zh-CN" w:bidi="ar"/>
        </w:rPr>
        <w:t>的施工质量不符合要求而未及时发出整改通知，或对发出通知但</w:t>
      </w:r>
      <w:r>
        <w:rPr>
          <w:rFonts w:hint="eastAsia" w:hAnsi="宋体" w:cs="宋体"/>
          <w:color w:val="auto"/>
          <w:kern w:val="0"/>
          <w:sz w:val="24"/>
          <w:szCs w:val="24"/>
          <w:highlight w:val="none"/>
          <w:lang w:val="en-US" w:eastAsia="zh-CN" w:bidi="ar"/>
        </w:rPr>
        <w:t>施工单位</w:t>
      </w:r>
      <w:r>
        <w:rPr>
          <w:rFonts w:hint="eastAsia" w:ascii="宋体" w:hAnsi="宋体" w:eastAsia="宋体" w:cs="宋体"/>
          <w:color w:val="auto"/>
          <w:kern w:val="0"/>
          <w:sz w:val="24"/>
          <w:szCs w:val="24"/>
          <w:highlight w:val="none"/>
          <w:lang w:val="en-US" w:eastAsia="zh-CN" w:bidi="ar"/>
        </w:rPr>
        <w:t>未予整改的情况下不采取有效措施的，向</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缴纳违约金¥</w:t>
      </w:r>
      <w:r>
        <w:rPr>
          <w:rFonts w:hint="eastAsia"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000元/次。</w:t>
      </w:r>
    </w:p>
    <w:p w14:paraId="78EBF603">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8.3.1.2.7</w:t>
      </w:r>
      <w:r>
        <w:rPr>
          <w:rFonts w:hint="eastAsia" w:ascii="宋体" w:hAnsi="宋体" w:eastAsia="宋体" w:cs="宋体"/>
          <w:color w:val="auto"/>
          <w:kern w:val="0"/>
          <w:sz w:val="24"/>
          <w:szCs w:val="24"/>
          <w:highlight w:val="none"/>
          <w:lang w:val="en-US" w:eastAsia="zh-CN" w:bidi="ar"/>
        </w:rPr>
        <w:t>对于需要审批的技术文件,不进行审批或不进行认真分析、核对即盲目批准，或没有按已审批的技术文件检查、督促</w:t>
      </w:r>
      <w:r>
        <w:rPr>
          <w:rFonts w:hint="eastAsia" w:hAnsi="宋体" w:cs="宋体"/>
          <w:color w:val="auto"/>
          <w:kern w:val="0"/>
          <w:sz w:val="24"/>
          <w:szCs w:val="24"/>
          <w:highlight w:val="none"/>
          <w:lang w:val="en-US" w:eastAsia="zh-CN" w:bidi="ar"/>
        </w:rPr>
        <w:t>施工单位</w:t>
      </w:r>
      <w:r>
        <w:rPr>
          <w:rFonts w:hint="eastAsia" w:ascii="宋体" w:hAnsi="宋体" w:eastAsia="宋体" w:cs="宋体"/>
          <w:color w:val="auto"/>
          <w:kern w:val="0"/>
          <w:sz w:val="24"/>
          <w:szCs w:val="24"/>
          <w:highlight w:val="none"/>
          <w:lang w:val="en-US" w:eastAsia="zh-CN" w:bidi="ar"/>
        </w:rPr>
        <w:t>按技术文件、有关规定进行施工，导致工程出现质量缺陷、安全事故或进度延误，</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因此遭受损失, 向</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缴纳违约金¥</w:t>
      </w:r>
      <w:r>
        <w:rPr>
          <w:rFonts w:hint="eastAsia"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000元/次。</w:t>
      </w:r>
    </w:p>
    <w:p w14:paraId="32753A1A">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8.3.1.2.8</w:t>
      </w:r>
      <w:r>
        <w:rPr>
          <w:rFonts w:hint="eastAsia" w:ascii="宋体" w:hAnsi="宋体" w:eastAsia="宋体" w:cs="宋体"/>
          <w:color w:val="auto"/>
          <w:kern w:val="0"/>
          <w:sz w:val="24"/>
          <w:szCs w:val="24"/>
          <w:highlight w:val="none"/>
          <w:lang w:val="en-US" w:eastAsia="zh-CN" w:bidi="ar"/>
        </w:rPr>
        <w:t>没有按规定做好材料见证送检工作，没有做好工程材料、构配件、设备进场审批，</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因此遭受损失，向</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缴纳违约金¥</w:t>
      </w:r>
      <w:r>
        <w:rPr>
          <w:rFonts w:hint="eastAsia"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000元/次。</w:t>
      </w:r>
    </w:p>
    <w:p w14:paraId="31239B2A">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8.3.1.2.9</w:t>
      </w:r>
      <w:r>
        <w:rPr>
          <w:rFonts w:hint="eastAsia" w:ascii="宋体" w:hAnsi="宋体" w:eastAsia="宋体" w:cs="宋体"/>
          <w:color w:val="auto"/>
          <w:kern w:val="0"/>
          <w:sz w:val="24"/>
          <w:szCs w:val="24"/>
          <w:highlight w:val="none"/>
          <w:lang w:val="en-US" w:eastAsia="zh-CN" w:bidi="ar"/>
        </w:rPr>
        <w:t>对必须进行检查验收的项目，不进行检查验收或不按照规定方法进行检查验收，</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因此遭受损失，向</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缴纳违约金¥</w:t>
      </w:r>
      <w:r>
        <w:rPr>
          <w:rFonts w:hint="eastAsia"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000元/次。</w:t>
      </w:r>
    </w:p>
    <w:p w14:paraId="11D119BC">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8.3.1.2.10</w:t>
      </w:r>
      <w:r>
        <w:rPr>
          <w:rFonts w:hint="eastAsia" w:ascii="宋体" w:hAnsi="宋体" w:eastAsia="宋体" w:cs="宋体"/>
          <w:color w:val="auto"/>
          <w:kern w:val="0"/>
          <w:sz w:val="24"/>
          <w:szCs w:val="24"/>
          <w:highlight w:val="none"/>
          <w:lang w:val="en-US" w:eastAsia="zh-CN" w:bidi="ar"/>
        </w:rPr>
        <w:t xml:space="preserve">连续3次检查发现重要工序没有监理人员旁站的；明知工程存在缺陷，仍不采取措施加以处理，放任缺陷存在；或者将明显不合格的工程按照合格进行验收，致使工程留下隐患, </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因此遭受损失的，向</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缴纳违约金¥</w:t>
      </w:r>
      <w:r>
        <w:rPr>
          <w:rFonts w:hint="eastAsia"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000元/次。</w:t>
      </w:r>
    </w:p>
    <w:p w14:paraId="3B1E3348">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8.3.1.2.11</w:t>
      </w:r>
      <w:r>
        <w:rPr>
          <w:rFonts w:hint="eastAsia" w:ascii="宋体" w:hAnsi="宋体" w:eastAsia="宋体" w:cs="宋体"/>
          <w:color w:val="auto"/>
          <w:kern w:val="0"/>
          <w:sz w:val="24"/>
          <w:szCs w:val="24"/>
          <w:highlight w:val="none"/>
          <w:lang w:val="en-US" w:eastAsia="zh-CN" w:bidi="ar"/>
        </w:rPr>
        <w:t>进度滞后超过7天没有书面分析原因提出处理意见，进度滞后情况发生后没有督促</w:t>
      </w:r>
      <w:r>
        <w:rPr>
          <w:rFonts w:hint="eastAsia" w:hAnsi="宋体" w:cs="宋体"/>
          <w:color w:val="auto"/>
          <w:kern w:val="0"/>
          <w:sz w:val="24"/>
          <w:szCs w:val="24"/>
          <w:highlight w:val="none"/>
          <w:lang w:val="en-US" w:eastAsia="zh-CN" w:bidi="ar"/>
        </w:rPr>
        <w:t>施工单位</w:t>
      </w:r>
      <w:r>
        <w:rPr>
          <w:rFonts w:hint="eastAsia" w:ascii="宋体" w:hAnsi="宋体" w:eastAsia="宋体" w:cs="宋体"/>
          <w:color w:val="auto"/>
          <w:kern w:val="0"/>
          <w:sz w:val="24"/>
          <w:szCs w:val="24"/>
          <w:highlight w:val="none"/>
          <w:lang w:val="en-US" w:eastAsia="zh-CN" w:bidi="ar"/>
        </w:rPr>
        <w:t>采取有效措施纠偏致使进度失控，</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因此遭受损失的，向</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缴纳违约金¥</w:t>
      </w:r>
      <w:r>
        <w:rPr>
          <w:rFonts w:hint="eastAsia"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000元/次。</w:t>
      </w:r>
    </w:p>
    <w:p w14:paraId="5DD74A1F">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right="0" w:firstLine="482"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8.3.1.2.12</w:t>
      </w:r>
      <w:r>
        <w:rPr>
          <w:rFonts w:hint="eastAsia" w:ascii="宋体" w:hAnsi="宋体" w:eastAsia="宋体" w:cs="宋体"/>
          <w:color w:val="auto"/>
          <w:kern w:val="0"/>
          <w:sz w:val="24"/>
          <w:szCs w:val="24"/>
          <w:highlight w:val="none"/>
          <w:lang w:val="en-US" w:eastAsia="zh-CN" w:bidi="ar"/>
        </w:rPr>
        <w:t>对质监站、安监站等政府有关部门和</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上级部门提出的需整改问题没有督促</w:t>
      </w:r>
      <w:r>
        <w:rPr>
          <w:rFonts w:hint="eastAsia" w:hAnsi="宋体" w:cs="宋体"/>
          <w:color w:val="auto"/>
          <w:kern w:val="0"/>
          <w:sz w:val="24"/>
          <w:szCs w:val="24"/>
          <w:highlight w:val="none"/>
          <w:lang w:val="en-US" w:eastAsia="zh-CN" w:bidi="ar"/>
        </w:rPr>
        <w:t>施工单位</w:t>
      </w:r>
      <w:r>
        <w:rPr>
          <w:rFonts w:hint="eastAsia" w:ascii="宋体" w:hAnsi="宋体" w:eastAsia="宋体" w:cs="宋体"/>
          <w:color w:val="auto"/>
          <w:kern w:val="0"/>
          <w:sz w:val="24"/>
          <w:szCs w:val="24"/>
          <w:highlight w:val="none"/>
          <w:lang w:val="en-US" w:eastAsia="zh-CN" w:bidi="ar"/>
        </w:rPr>
        <w:t>落实整改，被政府部门勒令停工，</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因此遭受损失的，向</w:t>
      </w:r>
      <w:r>
        <w:rPr>
          <w:rFonts w:hint="eastAsia" w:hAnsi="宋体" w:cs="宋体"/>
          <w:color w:val="auto"/>
          <w:kern w:val="0"/>
          <w:sz w:val="24"/>
          <w:szCs w:val="24"/>
          <w:highlight w:val="none"/>
          <w:lang w:val="en-US" w:eastAsia="zh-CN" w:bidi="ar"/>
        </w:rPr>
        <w:t>委托人</w:t>
      </w:r>
      <w:r>
        <w:rPr>
          <w:rFonts w:hint="eastAsia" w:ascii="宋体" w:hAnsi="宋体" w:eastAsia="宋体" w:cs="宋体"/>
          <w:color w:val="auto"/>
          <w:kern w:val="0"/>
          <w:sz w:val="24"/>
          <w:szCs w:val="24"/>
          <w:highlight w:val="none"/>
          <w:lang w:val="en-US" w:eastAsia="zh-CN" w:bidi="ar"/>
        </w:rPr>
        <w:t>缴纳违约金¥</w:t>
      </w:r>
      <w:r>
        <w:rPr>
          <w:rFonts w:hint="eastAsia"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000元/次。</w:t>
      </w:r>
    </w:p>
    <w:p w14:paraId="5665551D">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8.3.1.2.13</w:t>
      </w:r>
      <w:r>
        <w:rPr>
          <w:rFonts w:hint="eastAsia" w:ascii="宋体" w:hAnsi="宋体" w:eastAsia="宋体" w:cs="宋体"/>
          <w:color w:val="auto"/>
          <w:kern w:val="0"/>
          <w:sz w:val="24"/>
          <w:szCs w:val="24"/>
          <w:highlight w:val="none"/>
          <w:lang w:val="en-US" w:eastAsia="zh-CN" w:bidi="ar"/>
        </w:rPr>
        <w:t>没有及时签发验收资料，督促</w:t>
      </w:r>
      <w:r>
        <w:rPr>
          <w:rFonts w:hint="eastAsia" w:hAnsi="宋体" w:cs="宋体"/>
          <w:color w:val="auto"/>
          <w:kern w:val="0"/>
          <w:sz w:val="24"/>
          <w:szCs w:val="24"/>
          <w:highlight w:val="none"/>
          <w:lang w:val="en-US" w:eastAsia="zh-CN" w:bidi="ar"/>
        </w:rPr>
        <w:t>施工单位</w:t>
      </w:r>
      <w:r>
        <w:rPr>
          <w:rFonts w:hint="eastAsia" w:ascii="宋体" w:hAnsi="宋体" w:eastAsia="宋体" w:cs="宋体"/>
          <w:color w:val="auto"/>
          <w:kern w:val="0"/>
          <w:sz w:val="24"/>
          <w:szCs w:val="24"/>
          <w:highlight w:val="none"/>
          <w:lang w:val="en-US" w:eastAsia="zh-CN" w:bidi="ar"/>
        </w:rPr>
        <w:t>按要求整理好验收资料，致使无法办理工程验收，工期延误，</w:t>
      </w:r>
      <w:r>
        <w:rPr>
          <w:rFonts w:hint="eastAsia" w:hAnsi="宋体" w:cs="宋体"/>
          <w:color w:val="auto"/>
          <w:kern w:val="0"/>
          <w:sz w:val="24"/>
          <w:szCs w:val="24"/>
          <w:highlight w:val="none"/>
          <w:lang w:val="en-US" w:eastAsia="zh-CN" w:bidi="ar"/>
        </w:rPr>
        <w:t>委托人</w:t>
      </w:r>
      <w:r>
        <w:rPr>
          <w:rFonts w:hint="eastAsia" w:ascii="宋体" w:hAnsi="宋体" w:eastAsia="宋体" w:cs="宋体"/>
          <w:color w:val="auto"/>
          <w:kern w:val="0"/>
          <w:sz w:val="24"/>
          <w:szCs w:val="24"/>
          <w:highlight w:val="none"/>
          <w:lang w:val="en-US" w:eastAsia="zh-CN" w:bidi="ar"/>
        </w:rPr>
        <w:t>因此遭受损失的，向</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缴纳违约金¥</w:t>
      </w:r>
      <w:r>
        <w:rPr>
          <w:rFonts w:hint="eastAsia"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000元/次。</w:t>
      </w:r>
    </w:p>
    <w:p w14:paraId="06D3C432">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8.3.1.2.14</w:t>
      </w:r>
      <w:r>
        <w:rPr>
          <w:rFonts w:hint="eastAsia" w:ascii="宋体" w:hAnsi="宋体" w:eastAsia="宋体" w:cs="宋体"/>
          <w:color w:val="auto"/>
          <w:kern w:val="0"/>
          <w:sz w:val="24"/>
          <w:szCs w:val="24"/>
          <w:highlight w:val="none"/>
          <w:lang w:val="en-US" w:eastAsia="zh-CN" w:bidi="ar"/>
        </w:rPr>
        <w:t>如因监理人工作不力造成重大工程事故，或管理不力阻碍工程顺利进行，并经</w:t>
      </w:r>
      <w:r>
        <w:rPr>
          <w:rFonts w:hint="eastAsia" w:hAnsi="宋体" w:cs="宋体"/>
          <w:color w:val="auto"/>
          <w:kern w:val="0"/>
          <w:sz w:val="24"/>
          <w:szCs w:val="24"/>
          <w:highlight w:val="none"/>
          <w:lang w:val="en-US" w:eastAsia="zh-CN" w:bidi="ar"/>
        </w:rPr>
        <w:t>委托人</w:t>
      </w:r>
      <w:r>
        <w:rPr>
          <w:rFonts w:hint="eastAsia" w:ascii="宋体" w:hAnsi="宋体" w:eastAsia="宋体" w:cs="宋体"/>
          <w:color w:val="auto"/>
          <w:kern w:val="0"/>
          <w:sz w:val="24"/>
          <w:szCs w:val="24"/>
          <w:highlight w:val="none"/>
          <w:lang w:val="en-US" w:eastAsia="zh-CN" w:bidi="ar"/>
        </w:rPr>
        <w:t>5次敦促改善仍未有结果，</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有权提出终止合同。</w:t>
      </w:r>
    </w:p>
    <w:p w14:paraId="58BF4C41">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8.3.1.2.15</w:t>
      </w:r>
      <w:r>
        <w:rPr>
          <w:rFonts w:hint="eastAsia" w:ascii="宋体" w:hAnsi="宋体" w:eastAsia="宋体" w:cs="宋体"/>
          <w:color w:val="auto"/>
          <w:kern w:val="0"/>
          <w:sz w:val="24"/>
          <w:szCs w:val="24"/>
          <w:highlight w:val="none"/>
          <w:lang w:val="en-US" w:eastAsia="zh-CN" w:bidi="ar"/>
        </w:rPr>
        <w:t>如监理人拒不配合</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对监理人在合作期间内的阳光合作监督及调查工作的，或者被证实存在隐 瞒信息、提供虚假信息和伪证行为的，</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有权视情节严重程度，对原合同的履行采取暂停支付业务进度款、终止合作、追究经济损失、解除合同等措施，且无需承担任何违约责任。</w:t>
      </w:r>
    </w:p>
    <w:p w14:paraId="48E9C092">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default" w:ascii="宋体" w:hAnsi="宋体" w:eastAsia="宋体" w:cs="宋体"/>
          <w:color w:val="auto"/>
          <w:kern w:val="0"/>
          <w:sz w:val="24"/>
          <w:szCs w:val="24"/>
          <w:highlight w:val="none"/>
          <w:lang w:val="en-US" w:eastAsia="zh-CN" w:bidi="ar"/>
        </w:rPr>
      </w:pPr>
      <w:r>
        <w:rPr>
          <w:rFonts w:hint="eastAsia" w:hAnsi="宋体" w:cs="宋体"/>
          <w:b/>
          <w:bCs/>
          <w:color w:val="auto"/>
          <w:kern w:val="0"/>
          <w:sz w:val="24"/>
          <w:szCs w:val="24"/>
          <w:highlight w:val="none"/>
          <w:lang w:val="en-US" w:eastAsia="zh-CN" w:bidi="ar"/>
        </w:rPr>
        <w:t>8.3.1.2.16</w:t>
      </w:r>
      <w:r>
        <w:rPr>
          <w:rFonts w:hint="eastAsia" w:ascii="宋体" w:hAnsi="宋体" w:eastAsia="宋体" w:cs="宋体"/>
          <w:color w:val="auto"/>
          <w:kern w:val="0"/>
          <w:sz w:val="24"/>
          <w:szCs w:val="24"/>
          <w:highlight w:val="none"/>
          <w:lang w:val="en-US" w:eastAsia="zh-CN" w:bidi="ar"/>
        </w:rPr>
        <w:t>监理人</w:t>
      </w:r>
      <w:r>
        <w:rPr>
          <w:rFonts w:hint="eastAsia" w:hAnsi="宋体" w:cs="宋体"/>
          <w:color w:val="auto"/>
          <w:kern w:val="0"/>
          <w:sz w:val="24"/>
          <w:szCs w:val="24"/>
          <w:highlight w:val="none"/>
          <w:lang w:val="en-US" w:eastAsia="zh-CN" w:bidi="ar"/>
        </w:rPr>
        <w:t>需每天发送监理日志给</w:t>
      </w:r>
      <w:r>
        <w:rPr>
          <w:rFonts w:hint="eastAsia" w:hAnsi="宋体" w:cs="宋体"/>
          <w:snapToGrid w:val="0"/>
          <w:color w:val="auto"/>
          <w:kern w:val="0"/>
          <w:szCs w:val="24"/>
        </w:rPr>
        <w:t>委托人</w:t>
      </w:r>
      <w:r>
        <w:rPr>
          <w:rFonts w:hint="eastAsia" w:hAnsi="宋体" w:cs="宋体"/>
          <w:color w:val="auto"/>
          <w:kern w:val="0"/>
          <w:sz w:val="24"/>
          <w:szCs w:val="24"/>
          <w:highlight w:val="none"/>
          <w:lang w:val="en-US" w:eastAsia="zh-CN" w:bidi="ar"/>
        </w:rPr>
        <w:t>，未按要求发送监理日志的，</w:t>
      </w:r>
      <w:r>
        <w:rPr>
          <w:rFonts w:hint="eastAsia" w:ascii="宋体" w:hAnsi="宋体" w:eastAsia="宋体" w:cs="宋体"/>
          <w:color w:val="auto"/>
          <w:kern w:val="0"/>
          <w:sz w:val="24"/>
          <w:szCs w:val="24"/>
          <w:highlight w:val="none"/>
          <w:lang w:val="en-US" w:eastAsia="zh-CN" w:bidi="ar"/>
        </w:rPr>
        <w:t>按¥</w:t>
      </w:r>
      <w:r>
        <w:rPr>
          <w:rFonts w:hint="eastAsia"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000元/天支付违约金给</w:t>
      </w:r>
      <w:r>
        <w:rPr>
          <w:rFonts w:hint="eastAsia" w:hAnsi="宋体" w:cs="宋体"/>
          <w:snapToGrid w:val="0"/>
          <w:color w:val="auto"/>
          <w:kern w:val="0"/>
          <w:szCs w:val="24"/>
        </w:rPr>
        <w:t>委托人</w:t>
      </w:r>
      <w:r>
        <w:rPr>
          <w:rFonts w:hint="eastAsia" w:hAnsi="宋体" w:cs="宋体"/>
          <w:color w:val="auto"/>
          <w:kern w:val="0"/>
          <w:sz w:val="24"/>
          <w:szCs w:val="24"/>
          <w:highlight w:val="none"/>
          <w:lang w:val="en-US" w:eastAsia="zh-CN" w:bidi="ar"/>
        </w:rPr>
        <w:t>。</w:t>
      </w:r>
    </w:p>
    <w:p w14:paraId="2B2911E5">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8.3.2</w:t>
      </w:r>
      <w:r>
        <w:rPr>
          <w:rFonts w:hint="eastAsia" w:ascii="宋体" w:hAnsi="宋体" w:eastAsia="宋体" w:cs="宋体"/>
          <w:b w:val="0"/>
          <w:bCs w:val="0"/>
          <w:color w:val="auto"/>
          <w:kern w:val="0"/>
          <w:sz w:val="24"/>
          <w:szCs w:val="24"/>
          <w:highlight w:val="none"/>
          <w:lang w:val="en-US" w:eastAsia="zh-CN" w:bidi="ar"/>
        </w:rPr>
        <w:t>监理过失事件违约</w:t>
      </w:r>
    </w:p>
    <w:p w14:paraId="0756D198">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8.3.2.1</w:t>
      </w:r>
      <w:r>
        <w:rPr>
          <w:rFonts w:hint="eastAsia" w:ascii="宋体" w:hAnsi="宋体" w:eastAsia="宋体" w:cs="宋体"/>
          <w:color w:val="auto"/>
          <w:kern w:val="0"/>
          <w:sz w:val="24"/>
          <w:szCs w:val="24"/>
          <w:highlight w:val="none"/>
          <w:lang w:val="en-US" w:eastAsia="zh-CN" w:bidi="ar"/>
        </w:rPr>
        <w:t>监理过失事件违约的认定</w:t>
      </w:r>
    </w:p>
    <w:p w14:paraId="38D7D73C">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工程建设过程中，如发生以下情况：①</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发现勘察（或设计或施工）中存在问题，而监理</w:t>
      </w:r>
      <w:r>
        <w:rPr>
          <w:rFonts w:hint="eastAsia" w:hAnsi="宋体" w:cs="宋体"/>
          <w:color w:val="auto"/>
          <w:kern w:val="0"/>
          <w:sz w:val="24"/>
          <w:szCs w:val="24"/>
          <w:highlight w:val="none"/>
          <w:lang w:val="en-US" w:eastAsia="zh-CN" w:bidi="ar"/>
        </w:rPr>
        <w:t>人</w:t>
      </w:r>
      <w:r>
        <w:rPr>
          <w:rFonts w:hint="eastAsia" w:ascii="宋体" w:hAnsi="宋体" w:eastAsia="宋体" w:cs="宋体"/>
          <w:color w:val="auto"/>
          <w:kern w:val="0"/>
          <w:sz w:val="24"/>
          <w:szCs w:val="24"/>
          <w:highlight w:val="none"/>
          <w:lang w:val="en-US" w:eastAsia="zh-CN" w:bidi="ar"/>
        </w:rPr>
        <w:t>未发现的；②监理</w:t>
      </w:r>
      <w:r>
        <w:rPr>
          <w:rFonts w:hint="eastAsia" w:hAnsi="宋体" w:cs="宋体"/>
          <w:color w:val="auto"/>
          <w:kern w:val="0"/>
          <w:sz w:val="24"/>
          <w:szCs w:val="24"/>
          <w:highlight w:val="none"/>
          <w:lang w:val="en-US" w:eastAsia="zh-CN" w:bidi="ar"/>
        </w:rPr>
        <w:t>人</w:t>
      </w:r>
      <w:r>
        <w:rPr>
          <w:rFonts w:hint="eastAsia" w:ascii="宋体" w:hAnsi="宋体" w:eastAsia="宋体" w:cs="宋体"/>
          <w:color w:val="auto"/>
          <w:kern w:val="0"/>
          <w:sz w:val="24"/>
          <w:szCs w:val="24"/>
          <w:highlight w:val="none"/>
          <w:lang w:val="en-US" w:eastAsia="zh-CN" w:bidi="ar"/>
        </w:rPr>
        <w:t>发现勘察（或设计或施工）中存在的问题，但未督促勘察（或设计或施工）单位整改或整改不到位的（以监理</w:t>
      </w:r>
      <w:r>
        <w:rPr>
          <w:rFonts w:hint="eastAsia" w:hAnsi="宋体" w:cs="宋体"/>
          <w:color w:val="auto"/>
          <w:kern w:val="0"/>
          <w:sz w:val="24"/>
          <w:szCs w:val="24"/>
          <w:highlight w:val="none"/>
          <w:lang w:val="en-US" w:eastAsia="zh-CN" w:bidi="ar"/>
        </w:rPr>
        <w:t>人</w:t>
      </w:r>
      <w:r>
        <w:rPr>
          <w:rFonts w:hint="eastAsia" w:ascii="宋体" w:hAnsi="宋体" w:eastAsia="宋体" w:cs="宋体"/>
          <w:color w:val="auto"/>
          <w:kern w:val="0"/>
          <w:sz w:val="24"/>
          <w:szCs w:val="24"/>
          <w:highlight w:val="none"/>
          <w:lang w:val="en-US" w:eastAsia="zh-CN" w:bidi="ar"/>
        </w:rPr>
        <w:t>发出的整改通知和勘察（或设计或施工）单位回复及监理复查意见为准）；③监理</w:t>
      </w:r>
      <w:r>
        <w:rPr>
          <w:rFonts w:hint="eastAsia" w:hAnsi="宋体" w:cs="宋体"/>
          <w:color w:val="auto"/>
          <w:kern w:val="0"/>
          <w:sz w:val="24"/>
          <w:szCs w:val="24"/>
          <w:highlight w:val="none"/>
          <w:lang w:val="en-US" w:eastAsia="zh-CN" w:bidi="ar"/>
        </w:rPr>
        <w:t>人</w:t>
      </w:r>
      <w:r>
        <w:rPr>
          <w:rFonts w:hint="eastAsia" w:ascii="宋体" w:hAnsi="宋体" w:eastAsia="宋体" w:cs="宋体"/>
          <w:color w:val="auto"/>
          <w:kern w:val="0"/>
          <w:sz w:val="24"/>
          <w:szCs w:val="24"/>
          <w:highlight w:val="none"/>
          <w:lang w:val="en-US" w:eastAsia="zh-CN" w:bidi="ar"/>
        </w:rPr>
        <w:t>三次及以上发出整改通知勘察（或设计或施工）单位未能给予响应的，但监理</w:t>
      </w:r>
      <w:r>
        <w:rPr>
          <w:rFonts w:hint="eastAsia" w:hAnsi="宋体" w:cs="宋体"/>
          <w:color w:val="auto"/>
          <w:kern w:val="0"/>
          <w:sz w:val="24"/>
          <w:szCs w:val="24"/>
          <w:highlight w:val="none"/>
          <w:lang w:val="en-US" w:eastAsia="zh-CN" w:bidi="ar"/>
        </w:rPr>
        <w:t>人</w:t>
      </w:r>
      <w:r>
        <w:rPr>
          <w:rFonts w:hint="eastAsia" w:ascii="宋体" w:hAnsi="宋体" w:eastAsia="宋体" w:cs="宋体"/>
          <w:color w:val="auto"/>
          <w:kern w:val="0"/>
          <w:sz w:val="24"/>
          <w:szCs w:val="24"/>
          <w:highlight w:val="none"/>
          <w:lang w:val="en-US" w:eastAsia="zh-CN" w:bidi="ar"/>
        </w:rPr>
        <w:t>未能采取果断措施的；以上三种情况一旦</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向监理</w:t>
      </w:r>
      <w:r>
        <w:rPr>
          <w:rFonts w:hint="eastAsia" w:hAnsi="宋体" w:cs="宋体"/>
          <w:color w:val="auto"/>
          <w:kern w:val="0"/>
          <w:sz w:val="24"/>
          <w:szCs w:val="24"/>
          <w:highlight w:val="none"/>
          <w:lang w:val="en-US" w:eastAsia="zh-CN" w:bidi="ar"/>
        </w:rPr>
        <w:t>人</w:t>
      </w:r>
      <w:r>
        <w:rPr>
          <w:rFonts w:hint="eastAsia" w:ascii="宋体" w:hAnsi="宋体" w:eastAsia="宋体" w:cs="宋体"/>
          <w:color w:val="auto"/>
          <w:kern w:val="0"/>
          <w:sz w:val="24"/>
          <w:szCs w:val="24"/>
          <w:highlight w:val="none"/>
          <w:lang w:val="en-US" w:eastAsia="zh-CN" w:bidi="ar"/>
        </w:rPr>
        <w:t>发出整改通知，即认定为监理人监理过失事件违约，每发出一份整改通知即认定为监理过失事件违约一次。并由</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管理人员在“监理行为记录档案”作记录。</w:t>
      </w:r>
    </w:p>
    <w:p w14:paraId="464B489D">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8.3.2.2</w:t>
      </w:r>
      <w:r>
        <w:rPr>
          <w:rFonts w:hint="eastAsia" w:ascii="宋体" w:hAnsi="宋体" w:eastAsia="宋体" w:cs="宋体"/>
          <w:color w:val="auto"/>
          <w:kern w:val="0"/>
          <w:sz w:val="24"/>
          <w:szCs w:val="24"/>
          <w:highlight w:val="none"/>
          <w:lang w:val="en-US" w:eastAsia="zh-CN" w:bidi="ar"/>
        </w:rPr>
        <w:t>监理过失事件违约的责任承担。</w:t>
      </w:r>
    </w:p>
    <w:p w14:paraId="6D9A22C4">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8.3.2.2.1</w:t>
      </w:r>
      <w:r>
        <w:rPr>
          <w:rFonts w:hint="eastAsia" w:ascii="宋体" w:hAnsi="宋体" w:eastAsia="宋体" w:cs="宋体"/>
          <w:color w:val="auto"/>
          <w:kern w:val="0"/>
          <w:sz w:val="24"/>
          <w:szCs w:val="24"/>
          <w:highlight w:val="none"/>
          <w:lang w:val="en-US" w:eastAsia="zh-CN" w:bidi="ar"/>
        </w:rPr>
        <w:t>监理人发生监理过失事件违约一次，承担严重违约责任一次，监理人向</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交纳违约金¥5000元。</w:t>
      </w:r>
    </w:p>
    <w:p w14:paraId="25586651">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8.3.2.2.2</w:t>
      </w:r>
      <w:r>
        <w:rPr>
          <w:rFonts w:hint="eastAsia" w:ascii="宋体" w:hAnsi="宋体" w:eastAsia="宋体" w:cs="宋体"/>
          <w:color w:val="auto"/>
          <w:kern w:val="0"/>
          <w:sz w:val="24"/>
          <w:szCs w:val="24"/>
          <w:highlight w:val="none"/>
          <w:lang w:val="en-US" w:eastAsia="zh-CN" w:bidi="ar"/>
        </w:rPr>
        <w:t>如因监理人的原因而造成的经济损失，按如下规定向</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赔偿：</w:t>
      </w:r>
    </w:p>
    <w:p w14:paraId="3FC590A4">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（1）根据损失额（或工程变更引起增加额）与本工程签订的施工合同金额的比例，按相应比例双倍扣减监理酬金；若增加工程投资比例超过施工合同金额的20%时，</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有权单方解除合同，并要求监理人赔偿</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由此遭受的实际损失中的50%。</w:t>
      </w:r>
    </w:p>
    <w:p w14:paraId="73593157">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（2）因监理人责任导致工期延误，其中分项工期延误日数占该项总工期的30%时，则</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有权扣除该分项工程监理酬金的60%；分项工期延误日数达到该项总工期的50%时，则</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有权单方解除合同。因监理人责任导致工程竣工拖延的，依据拖延的日数，监理人应每日按监理酬金总额的1%向</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支付违约金。由于监理人责任导致工期延误，致使</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要承担赔偿第三方责任的，监理人必须承担赔偿</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由此遭受的实际损失中的50%。</w:t>
      </w:r>
    </w:p>
    <w:p w14:paraId="34916109">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8.3.2.2.3</w:t>
      </w:r>
      <w:r>
        <w:rPr>
          <w:rFonts w:hint="eastAsia" w:ascii="宋体" w:hAnsi="宋体" w:eastAsia="宋体" w:cs="宋体"/>
          <w:color w:val="auto"/>
          <w:kern w:val="0"/>
          <w:sz w:val="24"/>
          <w:szCs w:val="24"/>
          <w:highlight w:val="none"/>
          <w:lang w:val="en-US" w:eastAsia="zh-CN" w:bidi="ar"/>
        </w:rPr>
        <w:t>监理人发生监理过失违约后，当</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认为监理人无正当理由而又未履行监理义务时，有权部分解除合同或完全解除合同。</w:t>
      </w:r>
    </w:p>
    <w:p w14:paraId="557FC763">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8.3.3</w:t>
      </w:r>
      <w:r>
        <w:rPr>
          <w:rFonts w:hint="eastAsia" w:ascii="宋体" w:hAnsi="宋体" w:eastAsia="宋体" w:cs="宋体"/>
          <w:b w:val="0"/>
          <w:bCs w:val="0"/>
          <w:color w:val="auto"/>
          <w:kern w:val="0"/>
          <w:sz w:val="24"/>
          <w:szCs w:val="24"/>
          <w:highlight w:val="none"/>
          <w:lang w:val="en-US" w:eastAsia="zh-CN" w:bidi="ar"/>
        </w:rPr>
        <w:t>监理渎职事件违约</w:t>
      </w:r>
    </w:p>
    <w:p w14:paraId="5E38A9DD">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8.3.3.1</w:t>
      </w:r>
      <w:r>
        <w:rPr>
          <w:rFonts w:hint="eastAsia" w:ascii="宋体" w:hAnsi="宋体" w:eastAsia="宋体" w:cs="宋体"/>
          <w:color w:val="auto"/>
          <w:kern w:val="0"/>
          <w:sz w:val="24"/>
          <w:szCs w:val="24"/>
          <w:highlight w:val="none"/>
          <w:lang w:val="en-US" w:eastAsia="zh-CN" w:bidi="ar"/>
        </w:rPr>
        <w:t>监理渎职事件违约的认定</w:t>
      </w:r>
    </w:p>
    <w:p w14:paraId="0D148F45">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监理人员不按监理合同履行职责，滥用监理职权，或与其他人故意串通，行为恶劣造成严重社会影响的，无论是否造成损失，一经发现并认定为监理渎职违约，并由</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管理人员在“监理行为记录档案”作记录。</w:t>
      </w:r>
    </w:p>
    <w:p w14:paraId="4070CB70">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8.3.3.2</w:t>
      </w:r>
      <w:r>
        <w:rPr>
          <w:rFonts w:hint="eastAsia" w:ascii="宋体" w:hAnsi="宋体" w:eastAsia="宋体" w:cs="宋体"/>
          <w:color w:val="auto"/>
          <w:kern w:val="0"/>
          <w:sz w:val="24"/>
          <w:szCs w:val="24"/>
          <w:highlight w:val="none"/>
          <w:lang w:val="en-US" w:eastAsia="zh-CN" w:bidi="ar"/>
        </w:rPr>
        <w:t>监理渎职事件违约的责任承担。</w:t>
      </w:r>
    </w:p>
    <w:p w14:paraId="44F0A5B0">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8.3.3.2.1</w:t>
      </w:r>
      <w:r>
        <w:rPr>
          <w:rFonts w:hint="eastAsia" w:ascii="宋体" w:hAnsi="宋体" w:eastAsia="宋体" w:cs="宋体"/>
          <w:color w:val="auto"/>
          <w:kern w:val="0"/>
          <w:sz w:val="24"/>
          <w:szCs w:val="24"/>
          <w:highlight w:val="none"/>
          <w:lang w:val="en-US" w:eastAsia="zh-CN" w:bidi="ar"/>
        </w:rPr>
        <w:t>监理人发生监理渎职违约一次，承担非常严重违约责任一次，扣除监理人违约金¥5000元。</w:t>
      </w:r>
    </w:p>
    <w:p w14:paraId="0DF18FF3">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8.3.3.2.2</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勒令监理人更换监理人员，直至解除合同（合同解除办法同上）。</w:t>
      </w:r>
    </w:p>
    <w:p w14:paraId="7A5156E3">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8.3.3.2.3</w:t>
      </w:r>
      <w:r>
        <w:rPr>
          <w:rFonts w:hint="eastAsia" w:ascii="宋体" w:hAnsi="宋体" w:eastAsia="宋体" w:cs="宋体"/>
          <w:color w:val="auto"/>
          <w:kern w:val="0"/>
          <w:sz w:val="24"/>
          <w:szCs w:val="24"/>
          <w:highlight w:val="none"/>
          <w:lang w:val="en-US" w:eastAsia="zh-CN" w:bidi="ar"/>
        </w:rPr>
        <w:t>如监理人的原因造成</w:t>
      </w:r>
      <w:r>
        <w:rPr>
          <w:rFonts w:hint="eastAsia" w:hAnsi="宋体" w:cs="宋体"/>
          <w:color w:val="auto"/>
          <w:kern w:val="0"/>
          <w:sz w:val="24"/>
          <w:szCs w:val="24"/>
          <w:highlight w:val="none"/>
          <w:lang w:val="en-US" w:eastAsia="zh-CN" w:bidi="ar"/>
        </w:rPr>
        <w:t>委托人</w:t>
      </w:r>
      <w:r>
        <w:rPr>
          <w:rFonts w:hint="eastAsia" w:ascii="宋体" w:hAnsi="宋体" w:eastAsia="宋体" w:cs="宋体"/>
          <w:color w:val="auto"/>
          <w:kern w:val="0"/>
          <w:sz w:val="24"/>
          <w:szCs w:val="24"/>
          <w:highlight w:val="none"/>
          <w:lang w:val="en-US" w:eastAsia="zh-CN" w:bidi="ar"/>
        </w:rPr>
        <w:t>或工程损失的，监理人承担全部赔偿责任。</w:t>
      </w:r>
    </w:p>
    <w:p w14:paraId="7963AB89">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8.3.3.2.4</w:t>
      </w:r>
      <w:r>
        <w:rPr>
          <w:rFonts w:hint="eastAsia" w:ascii="宋体" w:hAnsi="宋体" w:eastAsia="宋体" w:cs="宋体"/>
          <w:color w:val="auto"/>
          <w:kern w:val="0"/>
          <w:sz w:val="24"/>
          <w:szCs w:val="24"/>
          <w:highlight w:val="none"/>
          <w:lang w:val="en-US" w:eastAsia="zh-CN" w:bidi="ar"/>
        </w:rPr>
        <w:t>监理人必须加强对监理人员职业操守、廉政建设的培训和教育，本项目监理人员利用职业身份“吃、拿、卡、要”或有其他违反职业操守及廉政建设相关规定的，一经查实，监理人应立即清退该监理人员，并承担1次非常严重违约责任，扣除监理人违约金¥5000元。若监理人违背了以下7款的任何情形之一，不仅视为非常严重的违约，承担1次非常严重违约责任，扣除监理人违约金¥5000元，而且直接解除合同，不做费用补偿，且对已完成的监理服务，不再支付监理费用，并通报建设行政主管部门，构成犯罪的，依法移交司法机关处理：</w:t>
      </w:r>
    </w:p>
    <w:p w14:paraId="46558AB5">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1）禁止向</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及施工方推销材料、设备，或以倾向性、排他性变相推销。</w:t>
      </w:r>
    </w:p>
    <w:p w14:paraId="4BFB64BF">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2）禁止与施工方串通，对不合格材料、产品、工程进行包庇及验收。</w:t>
      </w:r>
    </w:p>
    <w:p w14:paraId="036CEF95">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3）禁止与施工方串通，对材料用量、工程量进行虚假签认。</w:t>
      </w:r>
    </w:p>
    <w:p w14:paraId="11F11973">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4）禁止与施工方串通，不合理提高施工难度及增加材料用量，以增大施工费用，获取不正当收益。</w:t>
      </w:r>
    </w:p>
    <w:p w14:paraId="40261285">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5）禁止接受施工方的请吃送礼或变相受礼。</w:t>
      </w:r>
    </w:p>
    <w:p w14:paraId="42002876">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6）禁止向施工方介绍分包或推销材料、设备等。</w:t>
      </w:r>
    </w:p>
    <w:p w14:paraId="2DA1A4D4">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7）禁止故意刁难施工方以谋取私利，损害</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的合法利益。</w:t>
      </w:r>
    </w:p>
    <w:p w14:paraId="0AC2E2F6">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8.3.3.2.5</w:t>
      </w:r>
      <w:r>
        <w:rPr>
          <w:rFonts w:hint="eastAsia" w:ascii="宋体" w:hAnsi="宋体" w:eastAsia="宋体" w:cs="宋体"/>
          <w:color w:val="auto"/>
          <w:kern w:val="0"/>
          <w:sz w:val="24"/>
          <w:szCs w:val="24"/>
          <w:highlight w:val="none"/>
          <w:lang w:val="en-US" w:eastAsia="zh-CN" w:bidi="ar"/>
        </w:rPr>
        <w:t>如监理人在投标时根据招标文件《商务评分表》“人员配置”作出了增加人员的承诺，而开工后，实际上没有增加，经</w:t>
      </w:r>
      <w:r>
        <w:rPr>
          <w:rFonts w:hint="eastAsia" w:hAnsi="宋体" w:cs="宋体"/>
          <w:color w:val="auto"/>
          <w:kern w:val="0"/>
          <w:sz w:val="24"/>
          <w:szCs w:val="24"/>
          <w:highlight w:val="none"/>
          <w:lang w:val="en-US" w:eastAsia="zh-CN" w:bidi="ar"/>
        </w:rPr>
        <w:t>委托人</w:t>
      </w:r>
      <w:r>
        <w:rPr>
          <w:rFonts w:hint="eastAsia" w:ascii="宋体" w:hAnsi="宋体" w:eastAsia="宋体" w:cs="宋体"/>
          <w:color w:val="auto"/>
          <w:kern w:val="0"/>
          <w:sz w:val="24"/>
          <w:szCs w:val="24"/>
          <w:highlight w:val="none"/>
          <w:lang w:val="en-US" w:eastAsia="zh-CN" w:bidi="ar"/>
        </w:rPr>
        <w:t>要求后，在10天内仍未能配齐增加的造价工程师和专业工程师，则视为非常严重的违约，直接解除合同。</w:t>
      </w:r>
    </w:p>
    <w:p w14:paraId="6C65FF52">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8.3.4</w:t>
      </w:r>
      <w:r>
        <w:rPr>
          <w:rFonts w:hint="eastAsia" w:ascii="宋体" w:hAnsi="宋体" w:eastAsia="宋体" w:cs="宋体"/>
          <w:b w:val="0"/>
          <w:bCs w:val="0"/>
          <w:color w:val="auto"/>
          <w:kern w:val="0"/>
          <w:sz w:val="24"/>
          <w:szCs w:val="24"/>
          <w:highlight w:val="none"/>
          <w:lang w:val="en-US" w:eastAsia="zh-CN" w:bidi="ar"/>
        </w:rPr>
        <w:t>监理不达标造成的违约</w:t>
      </w:r>
    </w:p>
    <w:p w14:paraId="00B066A8">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8.3.4.1</w:t>
      </w:r>
      <w:r>
        <w:rPr>
          <w:rFonts w:hint="eastAsia" w:ascii="宋体" w:hAnsi="宋体" w:eastAsia="宋体" w:cs="宋体"/>
          <w:color w:val="auto"/>
          <w:kern w:val="0"/>
          <w:sz w:val="24"/>
          <w:szCs w:val="24"/>
          <w:highlight w:val="none"/>
          <w:lang w:val="en-US" w:eastAsia="zh-CN" w:bidi="ar"/>
        </w:rPr>
        <w:t>监理不达标违约的认定</w:t>
      </w:r>
    </w:p>
    <w:p w14:paraId="1E66A875">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工程竣工结算后，监理协议书第三项监理目标的任何一项目标的不达标，均视为监理人的监理目标违约。</w:t>
      </w:r>
    </w:p>
    <w:p w14:paraId="2AF8C642">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8.3.4.2</w:t>
      </w:r>
      <w:r>
        <w:rPr>
          <w:rFonts w:hint="eastAsia" w:ascii="宋体" w:hAnsi="宋体" w:eastAsia="宋体" w:cs="宋体"/>
          <w:color w:val="auto"/>
          <w:kern w:val="0"/>
          <w:sz w:val="24"/>
          <w:szCs w:val="24"/>
          <w:highlight w:val="none"/>
          <w:lang w:val="en-US" w:eastAsia="zh-CN" w:bidi="ar"/>
        </w:rPr>
        <w:t>监理目标违约的责任承担。</w:t>
      </w:r>
    </w:p>
    <w:p w14:paraId="6CE4D74B">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8.3.4.2.1</w:t>
      </w:r>
      <w:r>
        <w:rPr>
          <w:rFonts w:hint="eastAsia" w:ascii="宋体" w:hAnsi="宋体" w:eastAsia="宋体" w:cs="宋体"/>
          <w:color w:val="auto"/>
          <w:kern w:val="0"/>
          <w:sz w:val="24"/>
          <w:szCs w:val="24"/>
          <w:highlight w:val="none"/>
          <w:lang w:val="en-US" w:eastAsia="zh-CN" w:bidi="ar"/>
        </w:rPr>
        <w:t>质量控制不达标：工程竣工验收质量未达到施工合同等级要求的，不管任何原因，结算扣减监理合同价款的5％，同时不免除追究当事人和监理人的法律责任，监理人需无条件免费监理服务至工程质量达到合格止。</w:t>
      </w:r>
    </w:p>
    <w:p w14:paraId="66A5EE39">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8.3.4.2.2</w:t>
      </w:r>
      <w:r>
        <w:rPr>
          <w:rFonts w:hint="eastAsia" w:ascii="宋体" w:hAnsi="宋体" w:eastAsia="宋体" w:cs="宋体"/>
          <w:color w:val="auto"/>
          <w:kern w:val="0"/>
          <w:sz w:val="24"/>
          <w:szCs w:val="24"/>
          <w:highlight w:val="none"/>
          <w:lang w:val="en-US" w:eastAsia="zh-CN" w:bidi="ar"/>
        </w:rPr>
        <w:t>投资控制不达标：如监理人原因造成工程建安费结算价突破投资控制值的，每突破1％，结算扣减监理合同价款的1％。</w:t>
      </w:r>
    </w:p>
    <w:p w14:paraId="2C674A4F">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8.3.4.2.3</w:t>
      </w:r>
      <w:r>
        <w:rPr>
          <w:rFonts w:hint="eastAsia" w:ascii="宋体" w:hAnsi="宋体" w:eastAsia="宋体" w:cs="宋体"/>
          <w:color w:val="auto"/>
          <w:kern w:val="0"/>
          <w:sz w:val="24"/>
          <w:szCs w:val="24"/>
          <w:highlight w:val="none"/>
          <w:lang w:val="en-US" w:eastAsia="zh-CN" w:bidi="ar"/>
        </w:rPr>
        <w:t>进度控制不达标：工程竣工验收通过日延误的，</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视监理人的责任情况结算索赔监理合同价款1％－3％的违约金。</w:t>
      </w:r>
    </w:p>
    <w:p w14:paraId="06AC3C00">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8.3.4.2.4</w:t>
      </w:r>
      <w:r>
        <w:rPr>
          <w:rFonts w:hint="eastAsia" w:ascii="宋体" w:hAnsi="宋体" w:eastAsia="宋体" w:cs="宋体"/>
          <w:color w:val="auto"/>
          <w:kern w:val="0"/>
          <w:sz w:val="24"/>
          <w:szCs w:val="24"/>
          <w:highlight w:val="none"/>
          <w:lang w:val="en-US" w:eastAsia="zh-CN" w:bidi="ar"/>
        </w:rPr>
        <w:t>安全管理不达标：工程发生一般安全生产事故，或被上级主管部门通报批评、被新闻媒体曝光的，监理人需支付监理合同价款的1%作为违约金；发生较大以上安全质量事故（按国家及合同有关规定界定）的，监理人需支付监理合同价款的3%作为违约金。情节严重的，</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有权部分或全部解除合同。</w:t>
      </w:r>
    </w:p>
    <w:p w14:paraId="74682909">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8.3.4.2.5</w:t>
      </w:r>
      <w:r>
        <w:rPr>
          <w:rFonts w:hint="eastAsia" w:ascii="宋体" w:hAnsi="宋体" w:eastAsia="宋体" w:cs="宋体"/>
          <w:color w:val="auto"/>
          <w:kern w:val="0"/>
          <w:sz w:val="24"/>
          <w:szCs w:val="24"/>
          <w:highlight w:val="none"/>
          <w:lang w:val="en-US" w:eastAsia="zh-CN" w:bidi="ar"/>
        </w:rPr>
        <w:t>监理人应保证每季度进度计量（价）数据的准确性，如发生计量（价）误差＞5%，则视为监理人违约一次，扣除监理人违约金¥2000元/次。</w:t>
      </w:r>
    </w:p>
    <w:p w14:paraId="63F8C004">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8.3.4.2.6</w:t>
      </w:r>
      <w:r>
        <w:rPr>
          <w:rFonts w:hint="eastAsia" w:ascii="宋体" w:hAnsi="宋体" w:eastAsia="宋体" w:cs="宋体"/>
          <w:color w:val="auto"/>
          <w:kern w:val="0"/>
          <w:sz w:val="24"/>
          <w:szCs w:val="24"/>
          <w:highlight w:val="none"/>
          <w:lang w:val="en-US" w:eastAsia="zh-CN" w:bidi="ar"/>
        </w:rPr>
        <w:t>监理人未按要求配备用于监理现场抽检所用的试验设备和仪器的（如不具备条件的须委托有相应资质的单位进行现场检测），扣除违约金¥2000元，并无条件在整改期内达到要求为止，配备满足。</w:t>
      </w:r>
    </w:p>
    <w:p w14:paraId="7765F1E1">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8.3.4.2.7</w:t>
      </w:r>
      <w:r>
        <w:rPr>
          <w:rFonts w:hint="eastAsia" w:ascii="宋体" w:hAnsi="宋体" w:eastAsia="宋体" w:cs="宋体"/>
          <w:color w:val="auto"/>
          <w:kern w:val="0"/>
          <w:sz w:val="24"/>
          <w:szCs w:val="24"/>
          <w:highlight w:val="none"/>
          <w:lang w:val="en-US" w:eastAsia="zh-CN" w:bidi="ar"/>
        </w:rPr>
        <w:t>对监理人上述违约处罚，不免除追究当事人和监理人的法律责任。</w:t>
      </w:r>
    </w:p>
    <w:p w14:paraId="52118FAD">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8.3.5</w:t>
      </w:r>
      <w:r>
        <w:rPr>
          <w:rFonts w:hint="eastAsia" w:ascii="宋体" w:hAnsi="宋体" w:eastAsia="宋体" w:cs="宋体"/>
          <w:b w:val="0"/>
          <w:bCs w:val="0"/>
          <w:color w:val="auto"/>
          <w:kern w:val="0"/>
          <w:sz w:val="24"/>
          <w:szCs w:val="24"/>
          <w:highlight w:val="none"/>
          <w:lang w:val="en-US" w:eastAsia="zh-CN" w:bidi="ar"/>
        </w:rPr>
        <w:t>监理违约的处理程序</w:t>
      </w:r>
    </w:p>
    <w:p w14:paraId="07DC66B0">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8.3.5.1</w:t>
      </w:r>
      <w:r>
        <w:rPr>
          <w:rFonts w:hint="eastAsia" w:ascii="宋体" w:hAnsi="宋体" w:eastAsia="宋体" w:cs="宋体"/>
          <w:color w:val="auto"/>
          <w:kern w:val="0"/>
          <w:sz w:val="24"/>
          <w:szCs w:val="24"/>
          <w:highlight w:val="none"/>
          <w:lang w:val="en-US" w:eastAsia="zh-CN" w:bidi="ar"/>
        </w:rPr>
        <w:t>由</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管理人员在“监理行为记录档案”中将监理人的具体违约情况记录，并将记录内容书面告知监理人。</w:t>
      </w:r>
    </w:p>
    <w:p w14:paraId="4222CAAA">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8.3.5.2</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不定期将有关监理人的违约情况以记录、通知、会议纪要等书面形式通知监理人，指明其未能履约的内容和</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要求其承担违约责任的等级。</w:t>
      </w:r>
    </w:p>
    <w:p w14:paraId="2B1997C4">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8.3.5.3</w:t>
      </w:r>
      <w:r>
        <w:rPr>
          <w:rFonts w:hint="eastAsia" w:ascii="宋体" w:hAnsi="宋体" w:eastAsia="宋体" w:cs="宋体"/>
          <w:color w:val="auto"/>
          <w:kern w:val="0"/>
          <w:sz w:val="24"/>
          <w:szCs w:val="24"/>
          <w:highlight w:val="none"/>
          <w:lang w:val="en-US" w:eastAsia="zh-CN" w:bidi="ar"/>
        </w:rPr>
        <w:t>监理人收到书面处理通知后，如有足够证据证明不应由其承担违约责任的，应在收到违约处理决定后3天内以书面形式向</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提出异议并附上有关证据，</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在收到监理人的异议后15天内审核完毕且作出书面决定并通知监理人。否则书面通知则作为处理决定。</w:t>
      </w:r>
    </w:p>
    <w:p w14:paraId="5CCE1E3A">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8.3.5.4</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将进一步将监理人执行国家强制性规范、标准和履行合同、招投标文件义务的情况（包括但不限于由</w:t>
      </w:r>
      <w:r>
        <w:rPr>
          <w:rFonts w:hint="eastAsia" w:hAnsi="宋体" w:cs="宋体"/>
          <w:color w:val="auto"/>
          <w:kern w:val="0"/>
          <w:sz w:val="24"/>
          <w:szCs w:val="24"/>
          <w:highlight w:val="none"/>
          <w:lang w:val="en-US" w:eastAsia="zh-CN" w:bidi="ar"/>
        </w:rPr>
        <w:t>委托人</w:t>
      </w:r>
      <w:r>
        <w:rPr>
          <w:rFonts w:hint="eastAsia" w:ascii="宋体" w:hAnsi="宋体" w:eastAsia="宋体" w:cs="宋体"/>
          <w:color w:val="auto"/>
          <w:kern w:val="0"/>
          <w:sz w:val="24"/>
          <w:szCs w:val="24"/>
          <w:highlight w:val="none"/>
          <w:lang w:val="en-US" w:eastAsia="zh-CN" w:bidi="ar"/>
        </w:rPr>
        <w:t>组织的考核、考评通报、违约责任处理决定等）再报当地建设行政主管部门并在媒体上公开披露。</w:t>
      </w:r>
    </w:p>
    <w:p w14:paraId="45E7E883">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8.3.5.5</w:t>
      </w:r>
      <w:r>
        <w:rPr>
          <w:rFonts w:hint="eastAsia" w:ascii="宋体" w:hAnsi="宋体" w:eastAsia="宋体" w:cs="宋体"/>
          <w:color w:val="auto"/>
          <w:kern w:val="0"/>
          <w:sz w:val="24"/>
          <w:szCs w:val="24"/>
          <w:highlight w:val="none"/>
          <w:lang w:val="en-US" w:eastAsia="zh-CN" w:bidi="ar"/>
        </w:rPr>
        <w:t>部分解除合同：</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向监理人发出部分解除合同的通知后，合同部分解除即生效，监理人必须在3日内停止被解除部分的工作，5日内配合</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完成现场工作和有关资料的移交，所交接资料必须完整。监理人无特殊原因未在规定期限内完成移交和撤出，或交接资料不完整的，</w:t>
      </w:r>
      <w:r>
        <w:rPr>
          <w:rFonts w:hint="eastAsia" w:hAnsi="宋体" w:cs="宋体"/>
          <w:snapToGrid w:val="0"/>
          <w:color w:val="auto"/>
          <w:kern w:val="0"/>
          <w:szCs w:val="24"/>
        </w:rPr>
        <w:t>委托人</w:t>
      </w:r>
      <w:r>
        <w:rPr>
          <w:rFonts w:hint="eastAsia" w:ascii="宋体" w:hAnsi="宋体" w:eastAsia="宋体" w:cs="宋体"/>
          <w:color w:val="auto"/>
          <w:kern w:val="0"/>
          <w:sz w:val="24"/>
          <w:szCs w:val="24"/>
          <w:highlight w:val="none"/>
          <w:lang w:val="en-US" w:eastAsia="zh-CN" w:bidi="ar"/>
        </w:rPr>
        <w:t>有权处理其留在现场的材料、设备和其他物件，处理费用由监理人承担，</w:t>
      </w:r>
      <w:r>
        <w:rPr>
          <w:rFonts w:hint="eastAsia" w:hAnsi="宋体" w:cs="宋体"/>
          <w:color w:val="auto"/>
          <w:kern w:val="0"/>
          <w:sz w:val="24"/>
          <w:szCs w:val="24"/>
          <w:highlight w:val="none"/>
          <w:lang w:val="en-US" w:eastAsia="zh-CN" w:bidi="ar"/>
        </w:rPr>
        <w:t>委托人</w:t>
      </w:r>
      <w:r>
        <w:rPr>
          <w:rFonts w:hint="eastAsia" w:ascii="宋体" w:hAnsi="宋体" w:eastAsia="宋体" w:cs="宋体"/>
          <w:color w:val="auto"/>
          <w:kern w:val="0"/>
          <w:sz w:val="24"/>
          <w:szCs w:val="24"/>
          <w:highlight w:val="none"/>
          <w:lang w:val="en-US" w:eastAsia="zh-CN" w:bidi="ar"/>
        </w:rPr>
        <w:t>有权视情况全部解除合同。因监理人拒交或延误交接现场工作和有关资料而引致</w:t>
      </w:r>
      <w:r>
        <w:rPr>
          <w:rFonts w:hint="eastAsia" w:hAnsi="宋体" w:cs="宋体"/>
          <w:color w:val="auto"/>
          <w:kern w:val="0"/>
          <w:sz w:val="24"/>
          <w:szCs w:val="24"/>
          <w:highlight w:val="none"/>
          <w:lang w:val="en-US" w:eastAsia="zh-CN" w:bidi="ar"/>
        </w:rPr>
        <w:t>委托人</w:t>
      </w:r>
      <w:r>
        <w:rPr>
          <w:rFonts w:hint="eastAsia" w:ascii="宋体" w:hAnsi="宋体" w:eastAsia="宋体" w:cs="宋体"/>
          <w:color w:val="auto"/>
          <w:kern w:val="0"/>
          <w:sz w:val="24"/>
          <w:szCs w:val="24"/>
          <w:highlight w:val="none"/>
          <w:lang w:val="en-US" w:eastAsia="zh-CN" w:bidi="ar"/>
        </w:rPr>
        <w:t>工期延误及其他方面的损失，</w:t>
      </w:r>
      <w:r>
        <w:rPr>
          <w:rFonts w:hint="eastAsia" w:hAnsi="宋体" w:cs="宋体"/>
          <w:color w:val="auto"/>
          <w:kern w:val="0"/>
          <w:sz w:val="24"/>
          <w:szCs w:val="24"/>
          <w:highlight w:val="none"/>
          <w:lang w:val="en-US" w:eastAsia="zh-CN" w:bidi="ar"/>
        </w:rPr>
        <w:t>委托人</w:t>
      </w:r>
      <w:r>
        <w:rPr>
          <w:rFonts w:hint="eastAsia" w:ascii="宋体" w:hAnsi="宋体" w:eastAsia="宋体" w:cs="宋体"/>
          <w:color w:val="auto"/>
          <w:kern w:val="0"/>
          <w:sz w:val="24"/>
          <w:szCs w:val="24"/>
          <w:highlight w:val="none"/>
          <w:lang w:val="en-US" w:eastAsia="zh-CN" w:bidi="ar"/>
        </w:rPr>
        <w:t>有权要求监理人赔偿有关损失。</w:t>
      </w:r>
      <w:r>
        <w:rPr>
          <w:rFonts w:hint="eastAsia" w:hAnsi="宋体" w:cs="宋体"/>
          <w:color w:val="auto"/>
          <w:kern w:val="0"/>
          <w:sz w:val="24"/>
          <w:szCs w:val="24"/>
          <w:highlight w:val="none"/>
          <w:lang w:val="en-US" w:eastAsia="zh-CN" w:bidi="ar"/>
        </w:rPr>
        <w:t>委托人</w:t>
      </w:r>
      <w:r>
        <w:rPr>
          <w:rFonts w:hint="eastAsia" w:ascii="宋体" w:hAnsi="宋体" w:eastAsia="宋体" w:cs="宋体"/>
          <w:color w:val="auto"/>
          <w:kern w:val="0"/>
          <w:sz w:val="24"/>
          <w:szCs w:val="24"/>
          <w:highlight w:val="none"/>
          <w:lang w:val="en-US" w:eastAsia="zh-CN" w:bidi="ar"/>
        </w:rPr>
        <w:t>在发出部分解除合同的通知后，</w:t>
      </w:r>
      <w:r>
        <w:rPr>
          <w:rFonts w:hint="eastAsia" w:hAnsi="宋体" w:cs="宋体"/>
          <w:color w:val="auto"/>
          <w:kern w:val="0"/>
          <w:sz w:val="24"/>
          <w:szCs w:val="24"/>
          <w:highlight w:val="none"/>
          <w:lang w:val="en-US" w:eastAsia="zh-CN" w:bidi="ar"/>
        </w:rPr>
        <w:t>委托人</w:t>
      </w:r>
      <w:r>
        <w:rPr>
          <w:rFonts w:hint="eastAsia" w:ascii="宋体" w:hAnsi="宋体" w:eastAsia="宋体" w:cs="宋体"/>
          <w:color w:val="auto"/>
          <w:kern w:val="0"/>
          <w:sz w:val="24"/>
          <w:szCs w:val="24"/>
          <w:highlight w:val="none"/>
          <w:lang w:val="en-US" w:eastAsia="zh-CN" w:bidi="ar"/>
        </w:rPr>
        <w:t>即可委托新的监理人承接该部分工程，监理人不得影响或阻碍新的监理人办理进场手续和相关工作。</w:t>
      </w:r>
    </w:p>
    <w:p w14:paraId="32356876">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8.3.5.6</w:t>
      </w:r>
      <w:r>
        <w:rPr>
          <w:rFonts w:hint="eastAsia" w:ascii="宋体" w:hAnsi="宋体" w:eastAsia="宋体" w:cs="宋体"/>
          <w:color w:val="auto"/>
          <w:kern w:val="0"/>
          <w:sz w:val="24"/>
          <w:szCs w:val="24"/>
          <w:highlight w:val="none"/>
          <w:lang w:val="en-US" w:eastAsia="zh-CN" w:bidi="ar"/>
        </w:rPr>
        <w:t>完全解除合同：</w:t>
      </w:r>
      <w:r>
        <w:rPr>
          <w:rFonts w:hint="eastAsia" w:hAnsi="宋体" w:cs="宋体"/>
          <w:color w:val="auto"/>
          <w:kern w:val="0"/>
          <w:sz w:val="24"/>
          <w:szCs w:val="24"/>
          <w:highlight w:val="none"/>
          <w:lang w:val="en-US" w:eastAsia="zh-CN" w:bidi="ar"/>
        </w:rPr>
        <w:t>委托人</w:t>
      </w:r>
      <w:r>
        <w:rPr>
          <w:rFonts w:hint="eastAsia" w:ascii="宋体" w:hAnsi="宋体" w:eastAsia="宋体" w:cs="宋体"/>
          <w:color w:val="auto"/>
          <w:kern w:val="0"/>
          <w:sz w:val="24"/>
          <w:szCs w:val="24"/>
          <w:highlight w:val="none"/>
          <w:lang w:val="en-US" w:eastAsia="zh-CN" w:bidi="ar"/>
        </w:rPr>
        <w:t>向监理人发出解除合同的通知后，合同即解除，监理人必须在3日内停止全部工作，5日内配合</w:t>
      </w:r>
      <w:r>
        <w:rPr>
          <w:rFonts w:hint="eastAsia" w:hAnsi="宋体" w:cs="宋体"/>
          <w:color w:val="auto"/>
          <w:kern w:val="0"/>
          <w:sz w:val="24"/>
          <w:szCs w:val="24"/>
          <w:highlight w:val="none"/>
          <w:lang w:val="en-US" w:eastAsia="zh-CN" w:bidi="ar"/>
        </w:rPr>
        <w:t>委托人</w:t>
      </w:r>
      <w:r>
        <w:rPr>
          <w:rFonts w:hint="eastAsia" w:ascii="宋体" w:hAnsi="宋体" w:eastAsia="宋体" w:cs="宋体"/>
          <w:color w:val="auto"/>
          <w:kern w:val="0"/>
          <w:sz w:val="24"/>
          <w:szCs w:val="24"/>
          <w:highlight w:val="none"/>
          <w:lang w:val="en-US" w:eastAsia="zh-CN" w:bidi="ar"/>
        </w:rPr>
        <w:t>完成现场工作和有关资料的移交，并于完成交接工作当日内离场。监理人应保证所移交的资料齐全完整，监理人无特殊原因未在规定期限内完成移交和离场或所移交的资料不完整的，</w:t>
      </w:r>
      <w:r>
        <w:rPr>
          <w:rFonts w:hint="eastAsia" w:hAnsi="宋体" w:cs="宋体"/>
          <w:color w:val="auto"/>
          <w:kern w:val="0"/>
          <w:sz w:val="24"/>
          <w:szCs w:val="24"/>
          <w:highlight w:val="none"/>
          <w:lang w:val="en-US" w:eastAsia="zh-CN" w:bidi="ar"/>
        </w:rPr>
        <w:t>委托人</w:t>
      </w:r>
      <w:r>
        <w:rPr>
          <w:rFonts w:hint="eastAsia" w:ascii="宋体" w:hAnsi="宋体" w:eastAsia="宋体" w:cs="宋体"/>
          <w:color w:val="auto"/>
          <w:kern w:val="0"/>
          <w:sz w:val="24"/>
          <w:szCs w:val="24"/>
          <w:highlight w:val="none"/>
          <w:lang w:val="en-US" w:eastAsia="zh-CN" w:bidi="ar"/>
        </w:rPr>
        <w:t>有权处理其留在现场的材料、设备和其他物件，处理费用由监理人承担，如果引致</w:t>
      </w:r>
      <w:r>
        <w:rPr>
          <w:rFonts w:hint="eastAsia" w:hAnsi="宋体" w:cs="宋体"/>
          <w:color w:val="auto"/>
          <w:kern w:val="0"/>
          <w:sz w:val="24"/>
          <w:szCs w:val="24"/>
          <w:highlight w:val="none"/>
          <w:lang w:val="en-US" w:eastAsia="zh-CN" w:bidi="ar"/>
        </w:rPr>
        <w:t>委托人</w:t>
      </w:r>
      <w:r>
        <w:rPr>
          <w:rFonts w:hint="eastAsia" w:ascii="宋体" w:hAnsi="宋体" w:eastAsia="宋体" w:cs="宋体"/>
          <w:color w:val="auto"/>
          <w:kern w:val="0"/>
          <w:sz w:val="24"/>
          <w:szCs w:val="24"/>
          <w:highlight w:val="none"/>
          <w:lang w:val="en-US" w:eastAsia="zh-CN" w:bidi="ar"/>
        </w:rPr>
        <w:t>工期延误和其他方面的损失，监理人需赔偿</w:t>
      </w:r>
      <w:r>
        <w:rPr>
          <w:rFonts w:hint="eastAsia" w:hAnsi="宋体" w:cs="宋体"/>
          <w:color w:val="auto"/>
          <w:kern w:val="0"/>
          <w:sz w:val="24"/>
          <w:szCs w:val="24"/>
          <w:highlight w:val="none"/>
          <w:lang w:val="en-US" w:eastAsia="zh-CN" w:bidi="ar"/>
        </w:rPr>
        <w:t>委托人</w:t>
      </w:r>
      <w:r>
        <w:rPr>
          <w:rFonts w:hint="eastAsia" w:ascii="宋体" w:hAnsi="宋体" w:eastAsia="宋体" w:cs="宋体"/>
          <w:color w:val="auto"/>
          <w:kern w:val="0"/>
          <w:sz w:val="24"/>
          <w:szCs w:val="24"/>
          <w:highlight w:val="none"/>
          <w:lang w:val="en-US" w:eastAsia="zh-CN" w:bidi="ar"/>
        </w:rPr>
        <w:t>损失额的10%。</w:t>
      </w:r>
      <w:r>
        <w:rPr>
          <w:rFonts w:hint="eastAsia" w:hAnsi="宋体" w:cs="宋体"/>
          <w:color w:val="auto"/>
          <w:kern w:val="0"/>
          <w:sz w:val="24"/>
          <w:szCs w:val="24"/>
          <w:highlight w:val="none"/>
          <w:lang w:val="en-US" w:eastAsia="zh-CN" w:bidi="ar"/>
        </w:rPr>
        <w:t>委托人</w:t>
      </w:r>
      <w:r>
        <w:rPr>
          <w:rFonts w:hint="eastAsia" w:ascii="宋体" w:hAnsi="宋体" w:eastAsia="宋体" w:cs="宋体"/>
          <w:color w:val="auto"/>
          <w:kern w:val="0"/>
          <w:sz w:val="24"/>
          <w:szCs w:val="24"/>
          <w:highlight w:val="none"/>
          <w:lang w:val="en-US" w:eastAsia="zh-CN" w:bidi="ar"/>
        </w:rPr>
        <w:t>在发出解除合同的通知后，</w:t>
      </w:r>
      <w:r>
        <w:rPr>
          <w:rFonts w:hint="eastAsia" w:hAnsi="宋体" w:cs="宋体"/>
          <w:color w:val="auto"/>
          <w:kern w:val="0"/>
          <w:sz w:val="24"/>
          <w:szCs w:val="24"/>
          <w:highlight w:val="none"/>
          <w:lang w:val="en-US" w:eastAsia="zh-CN" w:bidi="ar"/>
        </w:rPr>
        <w:t>委托人</w:t>
      </w:r>
      <w:r>
        <w:rPr>
          <w:rFonts w:hint="eastAsia" w:ascii="宋体" w:hAnsi="宋体" w:eastAsia="宋体" w:cs="宋体"/>
          <w:color w:val="auto"/>
          <w:kern w:val="0"/>
          <w:sz w:val="24"/>
          <w:szCs w:val="24"/>
          <w:highlight w:val="none"/>
          <w:lang w:val="en-US" w:eastAsia="zh-CN" w:bidi="ar"/>
        </w:rPr>
        <w:t>即可委托新的监理人承接该工程，监理人不得影响或阻碍新的监理人办理进场手续和相关工作。</w:t>
      </w:r>
    </w:p>
    <w:p w14:paraId="6510BF61">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8.3.6</w:t>
      </w:r>
      <w:r>
        <w:rPr>
          <w:rFonts w:hint="eastAsia" w:ascii="宋体" w:hAnsi="宋体" w:eastAsia="宋体" w:cs="宋体"/>
          <w:b w:val="0"/>
          <w:bCs w:val="0"/>
          <w:color w:val="auto"/>
          <w:kern w:val="0"/>
          <w:sz w:val="24"/>
          <w:szCs w:val="24"/>
          <w:highlight w:val="none"/>
          <w:lang w:val="en-US" w:eastAsia="zh-CN" w:bidi="ar"/>
        </w:rPr>
        <w:t>其他违约及违约责任</w:t>
      </w:r>
    </w:p>
    <w:p w14:paraId="64E76998">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8.3.6.1</w:t>
      </w:r>
      <w:r>
        <w:rPr>
          <w:rFonts w:hint="eastAsia" w:ascii="宋体" w:hAnsi="宋体" w:eastAsia="宋体" w:cs="宋体"/>
          <w:b w:val="0"/>
          <w:bCs w:val="0"/>
          <w:color w:val="auto"/>
          <w:kern w:val="0"/>
          <w:sz w:val="24"/>
          <w:szCs w:val="24"/>
          <w:highlight w:val="none"/>
          <w:lang w:val="en-US" w:eastAsia="zh-CN" w:bidi="ar"/>
        </w:rPr>
        <w:t>根据《韶关市人民政府办公室关于加强市本级政府投资项目财政投资评审监督管理的实施意见》（韶府办发函〔2021〕32号，以下简称“本实施意见”）</w:t>
      </w:r>
      <w:r>
        <w:rPr>
          <w:rFonts w:hint="eastAsia" w:ascii="宋体" w:hAnsi="宋体" w:eastAsia="宋体" w:cs="宋体"/>
          <w:color w:val="auto"/>
          <w:kern w:val="0"/>
          <w:sz w:val="24"/>
          <w:szCs w:val="24"/>
          <w:highlight w:val="none"/>
          <w:lang w:val="en-US" w:eastAsia="zh-CN" w:bidi="ar"/>
        </w:rPr>
        <w:t>文件精神，监理人违反本实施意见，造成项目投资失控或浪费的，建设行政主管部门将在市场诚信管理、市场准入、资质管理等方面，依法对监理人进行相应处理，并责成项目</w:t>
      </w:r>
      <w:r>
        <w:rPr>
          <w:rFonts w:hint="eastAsia" w:hAnsi="宋体" w:cs="宋体"/>
          <w:color w:val="auto"/>
          <w:kern w:val="0"/>
          <w:sz w:val="24"/>
          <w:szCs w:val="24"/>
          <w:highlight w:val="none"/>
          <w:lang w:val="en-US" w:eastAsia="zh-CN" w:bidi="ar"/>
        </w:rPr>
        <w:t>委托人</w:t>
      </w:r>
      <w:r>
        <w:rPr>
          <w:rFonts w:hint="eastAsia" w:ascii="宋体" w:hAnsi="宋体" w:eastAsia="宋体" w:cs="宋体"/>
          <w:color w:val="auto"/>
          <w:kern w:val="0"/>
          <w:sz w:val="24"/>
          <w:szCs w:val="24"/>
          <w:highlight w:val="none"/>
          <w:lang w:val="en-US" w:eastAsia="zh-CN" w:bidi="ar"/>
        </w:rPr>
        <w:t>按合同约定予以相应处罚。</w:t>
      </w:r>
    </w:p>
    <w:p w14:paraId="12671BA0">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（1）本工程变更的程序和管理按本实施意见执行，凡不符合本实施意见要求的变更均为无效变更。</w:t>
      </w:r>
    </w:p>
    <w:p w14:paraId="6BE6E914">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（2）责任追究办法如下，根据合同约定扣减监理人的费用及追究相应法律责任,在合同中明确约定下列违约责任条款：</w:t>
      </w:r>
    </w:p>
    <w:p w14:paraId="0AE218A0">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①因监理人责任引起变更造成投资规模增加10%以上的,监理人需支付合同价款的20%作为违约金。</w:t>
      </w:r>
    </w:p>
    <w:p w14:paraId="72A57361">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②因监理人责任引起变更造成投资规模增加15%以上的,监理人需支付合同价款的30%作为违约金。</w:t>
      </w:r>
    </w:p>
    <w:p w14:paraId="2C022627">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③因监理人责任引起变更造成投资规模增加20%以上的,监理人需支付合同价款的40%作为违约金。</w:t>
      </w:r>
    </w:p>
    <w:p w14:paraId="57CB7962">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出现以上情况造成需支付的违约金等，违约金由监理人直接将违约金转入</w:t>
      </w:r>
      <w:r>
        <w:rPr>
          <w:rFonts w:hint="eastAsia" w:hAnsi="宋体" w:cs="宋体"/>
          <w:color w:val="auto"/>
          <w:kern w:val="0"/>
          <w:sz w:val="24"/>
          <w:szCs w:val="24"/>
          <w:highlight w:val="none"/>
          <w:lang w:val="en-US" w:eastAsia="zh-CN" w:bidi="ar"/>
        </w:rPr>
        <w:t>委托人</w:t>
      </w:r>
      <w:r>
        <w:rPr>
          <w:rFonts w:hint="eastAsia" w:ascii="宋体" w:hAnsi="宋体" w:eastAsia="宋体" w:cs="宋体"/>
          <w:color w:val="auto"/>
          <w:kern w:val="0"/>
          <w:sz w:val="24"/>
          <w:szCs w:val="24"/>
          <w:highlight w:val="none"/>
          <w:lang w:val="en-US" w:eastAsia="zh-CN" w:bidi="ar"/>
        </w:rPr>
        <w:t>或通过“广东省非税收入管理系统”缴纳。</w:t>
      </w:r>
    </w:p>
    <w:p w14:paraId="3F679242">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8.3.6.2</w:t>
      </w:r>
      <w:r>
        <w:rPr>
          <w:rFonts w:hint="eastAsia" w:ascii="宋体" w:hAnsi="宋体" w:eastAsia="宋体" w:cs="宋体"/>
          <w:b w:val="0"/>
          <w:bCs w:val="0"/>
          <w:color w:val="auto"/>
          <w:kern w:val="0"/>
          <w:sz w:val="24"/>
          <w:szCs w:val="24"/>
          <w:highlight w:val="none"/>
          <w:lang w:val="en-US" w:eastAsia="zh-CN" w:bidi="ar"/>
        </w:rPr>
        <w:t>本</w:t>
      </w:r>
      <w:r>
        <w:rPr>
          <w:rFonts w:hint="eastAsia" w:ascii="宋体" w:hAnsi="宋体" w:eastAsia="宋体" w:cs="宋体"/>
          <w:color w:val="auto"/>
          <w:kern w:val="0"/>
          <w:sz w:val="24"/>
          <w:szCs w:val="24"/>
          <w:highlight w:val="none"/>
          <w:lang w:val="en-US" w:eastAsia="zh-CN" w:bidi="ar"/>
        </w:rPr>
        <w:t>工程质量必须达到合格标准。若因监理人原因，工程在竣工验收或分部工程验收时没有达到此标准，监理人按监理合同价款（指监理结算价款</w:t>
      </w:r>
      <w:r>
        <w:rPr>
          <w:rFonts w:hint="eastAsia" w:ascii="宋体" w:hAnsi="宋体" w:eastAsia="宋体" w:cs="宋体"/>
          <w:b w:val="0"/>
          <w:bCs w:val="0"/>
          <w:color w:val="auto"/>
          <w:kern w:val="0"/>
          <w:sz w:val="24"/>
          <w:szCs w:val="24"/>
          <w:highlight w:val="none"/>
          <w:lang w:val="en-US" w:eastAsia="zh-CN" w:bidi="ar"/>
        </w:rPr>
        <w:t>）的</w:t>
      </w:r>
      <w:r>
        <w:rPr>
          <w:rFonts w:hint="eastAsia" w:ascii="宋体" w:hAnsi="宋体" w:eastAsia="宋体" w:cs="宋体"/>
          <w:b w:val="0"/>
          <w:bCs w:val="0"/>
          <w:color w:val="auto"/>
          <w:kern w:val="0"/>
          <w:sz w:val="24"/>
          <w:szCs w:val="24"/>
          <w:highlight w:val="none"/>
          <w:u w:val="single"/>
          <w:lang w:val="en-US" w:eastAsia="zh-CN" w:bidi="ar"/>
        </w:rPr>
        <w:t>5</w:t>
      </w:r>
      <w:r>
        <w:rPr>
          <w:rFonts w:hint="eastAsia" w:ascii="宋体" w:hAnsi="宋体" w:eastAsia="宋体" w:cs="宋体"/>
          <w:b w:val="0"/>
          <w:bCs w:val="0"/>
          <w:color w:val="auto"/>
          <w:kern w:val="0"/>
          <w:sz w:val="24"/>
          <w:szCs w:val="24"/>
          <w:highlight w:val="none"/>
          <w:lang w:val="en-US" w:eastAsia="zh-CN" w:bidi="ar"/>
        </w:rPr>
        <w:t>％向</w:t>
      </w:r>
      <w:r>
        <w:rPr>
          <w:rFonts w:hint="eastAsia" w:hAnsi="宋体" w:cs="宋体"/>
          <w:b w:val="0"/>
          <w:bCs w:val="0"/>
          <w:color w:val="auto"/>
          <w:kern w:val="0"/>
          <w:sz w:val="24"/>
          <w:szCs w:val="24"/>
          <w:highlight w:val="none"/>
          <w:lang w:val="en-US" w:eastAsia="zh-CN" w:bidi="ar"/>
        </w:rPr>
        <w:t>委托人</w:t>
      </w:r>
      <w:r>
        <w:rPr>
          <w:rFonts w:hint="eastAsia" w:ascii="宋体" w:hAnsi="宋体" w:eastAsia="宋体" w:cs="宋体"/>
          <w:b w:val="0"/>
          <w:bCs w:val="0"/>
          <w:color w:val="auto"/>
          <w:kern w:val="0"/>
          <w:sz w:val="24"/>
          <w:szCs w:val="24"/>
          <w:highlight w:val="none"/>
          <w:lang w:val="en-US" w:eastAsia="zh-CN" w:bidi="ar"/>
        </w:rPr>
        <w:t>返纳质量违约金。</w:t>
      </w:r>
    </w:p>
    <w:p w14:paraId="152B42D7">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8.3.6.3</w:t>
      </w:r>
      <w:r>
        <w:rPr>
          <w:rFonts w:hint="eastAsia" w:ascii="宋体" w:hAnsi="宋体" w:eastAsia="宋体" w:cs="宋体"/>
          <w:b w:val="0"/>
          <w:bCs w:val="0"/>
          <w:color w:val="auto"/>
          <w:kern w:val="0"/>
          <w:sz w:val="24"/>
          <w:szCs w:val="24"/>
          <w:highlight w:val="none"/>
          <w:lang w:val="en-US" w:eastAsia="zh-CN" w:bidi="ar"/>
        </w:rPr>
        <w:t>监理人在监理期间应严格遵守国家、省、市有关防火、爆破和监理安全以及文明监理、深夜监理、环卫城管等规定，建立规章制度和防护措施。否则，由此造成的经济和法律责任，均由监理人负责。</w:t>
      </w:r>
    </w:p>
    <w:p w14:paraId="37F334DE">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8.3.6.4</w:t>
      </w:r>
      <w:r>
        <w:rPr>
          <w:rFonts w:hint="eastAsia" w:ascii="宋体" w:hAnsi="宋体" w:eastAsia="宋体" w:cs="宋体"/>
          <w:b w:val="0"/>
          <w:bCs w:val="0"/>
          <w:color w:val="auto"/>
          <w:kern w:val="0"/>
          <w:sz w:val="24"/>
          <w:szCs w:val="24"/>
          <w:highlight w:val="none"/>
          <w:lang w:val="en-US" w:eastAsia="zh-CN" w:bidi="ar"/>
        </w:rPr>
        <w:t>监理人应按安全监理的要求，采取严格科学的安全措施，确保监理安全和第三者的安全，承担由于自身安全措施不力所造成的事故责任和发生的费用。</w:t>
      </w:r>
    </w:p>
    <w:p w14:paraId="28243508">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8.3.6.5</w:t>
      </w:r>
      <w:r>
        <w:rPr>
          <w:rFonts w:hint="eastAsia" w:ascii="宋体" w:hAnsi="宋体" w:eastAsia="宋体" w:cs="宋体"/>
          <w:b w:val="0"/>
          <w:bCs w:val="0"/>
          <w:color w:val="auto"/>
          <w:kern w:val="0"/>
          <w:sz w:val="24"/>
          <w:szCs w:val="24"/>
          <w:highlight w:val="none"/>
          <w:lang w:val="en-US" w:eastAsia="zh-CN" w:bidi="ar"/>
        </w:rPr>
        <w:t>监理人拟派驻监理机构组成人员数量须符合《广东省建设厅粤建管（2002）9</w:t>
      </w:r>
      <w:r>
        <w:rPr>
          <w:rFonts w:hint="eastAsia" w:ascii="宋体" w:hAnsi="宋体" w:eastAsia="宋体" w:cs="宋体"/>
          <w:color w:val="auto"/>
          <w:kern w:val="0"/>
          <w:sz w:val="24"/>
          <w:szCs w:val="24"/>
          <w:highlight w:val="none"/>
          <w:lang w:val="en-US" w:eastAsia="zh-CN" w:bidi="ar"/>
        </w:rPr>
        <w:t>7号文》关于工程项目监理最少人数配置的要求,且在施工现场进行监理的总监理工程师、专业监理工程师、其他监理人员全部必须是投标文件中所拟派的人员。同时，监理人派驻到工程所在地进行监理服务的监理人员，应能够胜任监理合同约定的监理服务工作。</w:t>
      </w:r>
      <w:r>
        <w:rPr>
          <w:rFonts w:hint="eastAsia" w:hAnsi="宋体" w:cs="宋体"/>
          <w:color w:val="auto"/>
          <w:kern w:val="0"/>
          <w:sz w:val="24"/>
          <w:szCs w:val="24"/>
          <w:highlight w:val="none"/>
          <w:lang w:val="en-US" w:eastAsia="zh-CN" w:bidi="ar"/>
        </w:rPr>
        <w:t>委托人</w:t>
      </w:r>
      <w:r>
        <w:rPr>
          <w:rFonts w:hint="eastAsia" w:ascii="宋体" w:hAnsi="宋体" w:eastAsia="宋体" w:cs="宋体"/>
          <w:color w:val="auto"/>
          <w:kern w:val="0"/>
          <w:sz w:val="24"/>
          <w:szCs w:val="24"/>
          <w:highlight w:val="none"/>
          <w:lang w:val="en-US" w:eastAsia="zh-CN" w:bidi="ar"/>
        </w:rPr>
        <w:t>有权以书面形式要求监理人更换不能按照监理合同的约定进行监理服务的派驻人员，若监理人拒不执行或无法</w:t>
      </w:r>
      <w:r>
        <w:rPr>
          <w:rFonts w:hint="eastAsia" w:ascii="宋体" w:hAnsi="宋体" w:eastAsia="宋体" w:cs="宋体"/>
          <w:b w:val="0"/>
          <w:bCs w:val="0"/>
          <w:color w:val="auto"/>
          <w:kern w:val="0"/>
          <w:sz w:val="24"/>
          <w:szCs w:val="24"/>
          <w:highlight w:val="none"/>
          <w:lang w:val="en-US" w:eastAsia="zh-CN" w:bidi="ar"/>
        </w:rPr>
        <w:t>在15个工作日内完成更换，则每发生一次扣除签约合同价的10%作为违约金。</w:t>
      </w:r>
    </w:p>
    <w:p w14:paraId="775F8551">
      <w:pPr>
        <w:pStyle w:val="6"/>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baseline"/>
        <w:rPr>
          <w:rFonts w:hint="default" w:ascii="宋体" w:hAnsi="宋体" w:eastAsia="宋体" w:cs="宋体"/>
          <w:b w:val="0"/>
          <w:bCs w:val="0"/>
          <w:color w:val="auto"/>
          <w:kern w:val="0"/>
          <w:sz w:val="24"/>
          <w:szCs w:val="24"/>
          <w:highlight w:val="none"/>
          <w:lang w:val="en-US" w:eastAsia="zh-CN" w:bidi="ar"/>
        </w:rPr>
      </w:pPr>
      <w:r>
        <w:rPr>
          <w:rFonts w:hint="eastAsia" w:ascii="宋体" w:hAnsi="宋体" w:cs="宋体"/>
          <w:snapToGrid w:val="0"/>
          <w:color w:val="auto"/>
          <w:kern w:val="0"/>
          <w:szCs w:val="22"/>
          <w:highlight w:val="none"/>
        </w:rPr>
        <w:t>监理人需在施工现场设置总监办公室组织机构场地，监理人设置的机构场地、设备等需满足整个监理实施过程中的正常运作。本工程监理人现场办公场所、试验室、生活住所、办公设备及生活家具等由监理人自行解决，委托人不另外提供。</w:t>
      </w:r>
      <w:r>
        <w:rPr>
          <w:rFonts w:hint="eastAsia" w:ascii="宋体" w:hAnsi="宋体" w:cs="宋体"/>
          <w:snapToGrid w:val="0"/>
          <w:color w:val="auto"/>
          <w:kern w:val="0"/>
          <w:szCs w:val="22"/>
          <w:highlight w:val="none"/>
          <w:lang w:val="en-US" w:eastAsia="zh-CN"/>
        </w:rPr>
        <w:t>如未设置场地的，</w:t>
      </w:r>
      <w:r>
        <w:rPr>
          <w:rFonts w:hint="eastAsia" w:ascii="宋体" w:hAnsi="宋体" w:cs="宋体"/>
          <w:snapToGrid w:val="0"/>
          <w:color w:val="auto"/>
          <w:kern w:val="0"/>
          <w:szCs w:val="22"/>
          <w:highlight w:val="none"/>
        </w:rPr>
        <w:t>按违约处理</w:t>
      </w:r>
      <w:r>
        <w:rPr>
          <w:rFonts w:hint="eastAsia" w:ascii="宋体" w:hAnsi="宋体" w:cs="宋体"/>
          <w:snapToGrid w:val="0"/>
          <w:color w:val="auto"/>
          <w:kern w:val="0"/>
          <w:szCs w:val="22"/>
          <w:highlight w:val="none"/>
          <w:lang w:eastAsia="zh-CN"/>
        </w:rPr>
        <w:t>，</w:t>
      </w:r>
      <w:r>
        <w:rPr>
          <w:rFonts w:hint="eastAsia" w:ascii="宋体" w:hAnsi="宋体" w:cs="宋体"/>
          <w:snapToGrid w:val="0"/>
          <w:color w:val="auto"/>
          <w:kern w:val="0"/>
          <w:szCs w:val="22"/>
          <w:highlight w:val="none"/>
          <w:lang w:val="en-US" w:eastAsia="zh-CN"/>
        </w:rPr>
        <w:t>支付</w:t>
      </w:r>
      <w:r>
        <w:rPr>
          <w:rFonts w:hint="eastAsia" w:ascii="宋体" w:hAnsi="宋体" w:eastAsia="宋体" w:cs="宋体"/>
          <w:color w:val="auto"/>
          <w:kern w:val="0"/>
          <w:sz w:val="24"/>
          <w:szCs w:val="24"/>
          <w:highlight w:val="none"/>
          <w:lang w:val="en-US" w:eastAsia="zh-CN" w:bidi="ar"/>
        </w:rPr>
        <w:t>¥</w:t>
      </w:r>
      <w:r>
        <w:rPr>
          <w:rFonts w:hint="eastAsia" w:ascii="宋体" w:hAnsi="宋体" w:cs="宋体"/>
          <w:snapToGrid w:val="0"/>
          <w:color w:val="auto"/>
          <w:kern w:val="0"/>
          <w:szCs w:val="22"/>
          <w:highlight w:val="none"/>
          <w:lang w:val="en-US" w:eastAsia="zh-CN"/>
        </w:rPr>
        <w:t>3000元</w:t>
      </w:r>
      <w:r>
        <w:rPr>
          <w:rFonts w:hint="eastAsia" w:ascii="宋体" w:hAnsi="宋体" w:eastAsia="宋体" w:cs="宋体"/>
          <w:color w:val="auto"/>
          <w:kern w:val="0"/>
          <w:sz w:val="24"/>
          <w:szCs w:val="24"/>
          <w:highlight w:val="none"/>
          <w:lang w:val="en-US" w:eastAsia="zh-CN" w:bidi="ar"/>
        </w:rPr>
        <w:t>违约金。如未按规定落实配置，委托人警告督促</w:t>
      </w:r>
      <w:r>
        <w:rPr>
          <w:rFonts w:hint="eastAsia" w:hAnsi="宋体" w:cs="宋体"/>
          <w:color w:val="auto"/>
          <w:kern w:val="0"/>
          <w:sz w:val="24"/>
          <w:szCs w:val="24"/>
          <w:highlight w:val="none"/>
          <w:lang w:val="en-US" w:eastAsia="zh-CN" w:bidi="ar"/>
        </w:rPr>
        <w:t>未</w:t>
      </w:r>
      <w:r>
        <w:rPr>
          <w:rFonts w:hint="eastAsia" w:ascii="宋体" w:hAnsi="宋体" w:eastAsia="宋体" w:cs="宋体"/>
          <w:color w:val="auto"/>
          <w:kern w:val="0"/>
          <w:sz w:val="24"/>
          <w:szCs w:val="24"/>
          <w:highlight w:val="none"/>
          <w:lang w:val="en-US" w:eastAsia="zh-CN" w:bidi="ar"/>
        </w:rPr>
        <w:t>落实的，按每次</w:t>
      </w:r>
      <w:r>
        <w:rPr>
          <w:rFonts w:hint="eastAsia" w:ascii="宋体" w:hAnsi="宋体" w:cs="宋体"/>
          <w:snapToGrid w:val="0"/>
          <w:color w:val="auto"/>
          <w:kern w:val="0"/>
          <w:szCs w:val="22"/>
          <w:highlight w:val="none"/>
          <w:lang w:val="en-US" w:eastAsia="zh-CN"/>
        </w:rPr>
        <w:t>支付</w:t>
      </w:r>
      <w:r>
        <w:rPr>
          <w:rFonts w:hint="eastAsia" w:ascii="宋体" w:hAnsi="宋体" w:eastAsia="宋体" w:cs="宋体"/>
          <w:color w:val="auto"/>
          <w:kern w:val="0"/>
          <w:sz w:val="24"/>
          <w:szCs w:val="24"/>
          <w:highlight w:val="none"/>
          <w:lang w:val="en-US" w:eastAsia="zh-CN" w:bidi="ar"/>
        </w:rPr>
        <w:t>¥</w:t>
      </w:r>
      <w:r>
        <w:rPr>
          <w:rFonts w:hint="eastAsia" w:ascii="宋体" w:hAnsi="宋体" w:cs="宋体"/>
          <w:snapToGrid w:val="0"/>
          <w:color w:val="auto"/>
          <w:kern w:val="0"/>
          <w:szCs w:val="22"/>
          <w:highlight w:val="none"/>
          <w:lang w:val="en-US" w:eastAsia="zh-CN"/>
        </w:rPr>
        <w:t>3000元</w:t>
      </w:r>
      <w:r>
        <w:rPr>
          <w:rFonts w:hint="eastAsia" w:ascii="宋体" w:hAnsi="宋体" w:eastAsia="宋体" w:cs="宋体"/>
          <w:color w:val="auto"/>
          <w:kern w:val="0"/>
          <w:sz w:val="24"/>
          <w:szCs w:val="24"/>
          <w:highlight w:val="none"/>
          <w:lang w:val="en-US" w:eastAsia="zh-CN" w:bidi="ar"/>
        </w:rPr>
        <w:t>/次违约金。</w:t>
      </w:r>
    </w:p>
    <w:p w14:paraId="103B4701">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560"/>
        <w:jc w:val="left"/>
        <w:rPr>
          <w:rFonts w:hint="eastAsia" w:ascii="宋体" w:hAnsi="宋体" w:eastAsia="宋体" w:cs="宋体"/>
          <w:color w:val="auto"/>
          <w:sz w:val="24"/>
          <w:szCs w:val="24"/>
        </w:rPr>
      </w:pPr>
      <w:r>
        <w:rPr>
          <w:rFonts w:hint="eastAsia" w:ascii="宋体" w:hAnsi="宋体" w:eastAsia="宋体" w:cs="宋体"/>
          <w:b/>
          <w:bCs/>
          <w:color w:val="auto"/>
          <w:kern w:val="0"/>
          <w:sz w:val="24"/>
          <w:szCs w:val="24"/>
          <w:highlight w:val="none"/>
          <w:lang w:val="en-US" w:eastAsia="zh-CN" w:bidi="ar"/>
        </w:rPr>
        <w:t>8.3.6.6</w:t>
      </w:r>
      <w:r>
        <w:rPr>
          <w:rFonts w:hint="eastAsia" w:ascii="宋体" w:hAnsi="宋体" w:eastAsia="宋体" w:cs="宋体"/>
          <w:color w:val="auto"/>
          <w:kern w:val="0"/>
          <w:sz w:val="24"/>
          <w:szCs w:val="24"/>
          <w:highlight w:val="none"/>
          <w:lang w:val="en-US" w:eastAsia="zh-CN" w:bidi="ar"/>
        </w:rPr>
        <w:t>监理</w:t>
      </w:r>
      <w:r>
        <w:rPr>
          <w:rFonts w:hint="eastAsia" w:hAnsi="宋体" w:cs="宋体"/>
          <w:color w:val="auto"/>
          <w:kern w:val="0"/>
          <w:sz w:val="24"/>
          <w:szCs w:val="24"/>
          <w:highlight w:val="none"/>
          <w:lang w:val="en-US" w:eastAsia="zh-CN" w:bidi="ar"/>
        </w:rPr>
        <w:t>人</w:t>
      </w:r>
      <w:r>
        <w:rPr>
          <w:rFonts w:hint="eastAsia" w:ascii="宋体" w:hAnsi="宋体" w:eastAsia="宋体" w:cs="宋体"/>
          <w:color w:val="auto"/>
          <w:kern w:val="0"/>
          <w:sz w:val="24"/>
          <w:szCs w:val="24"/>
          <w:highlight w:val="none"/>
          <w:lang w:val="en-US" w:eastAsia="zh-CN" w:bidi="ar"/>
        </w:rPr>
        <w:t>应在每月28日前根据工程进度向</w:t>
      </w:r>
      <w:r>
        <w:rPr>
          <w:rFonts w:hint="eastAsia" w:hAnsi="宋体" w:cs="宋体"/>
          <w:color w:val="auto"/>
          <w:kern w:val="0"/>
          <w:sz w:val="24"/>
          <w:szCs w:val="24"/>
          <w:highlight w:val="none"/>
          <w:lang w:val="en-US" w:eastAsia="zh-CN" w:bidi="ar"/>
        </w:rPr>
        <w:t>委托人</w:t>
      </w:r>
      <w:r>
        <w:rPr>
          <w:rFonts w:hint="eastAsia" w:ascii="宋体" w:hAnsi="宋体" w:eastAsia="宋体" w:cs="宋体"/>
          <w:color w:val="auto"/>
          <w:kern w:val="0"/>
          <w:sz w:val="24"/>
          <w:szCs w:val="24"/>
          <w:highlight w:val="none"/>
          <w:lang w:val="en-US" w:eastAsia="zh-CN" w:bidi="ar"/>
        </w:rPr>
        <w:t>报审下月的工作计划表（样表见下表）。如未按时提交，每推迟一天，按¥</w:t>
      </w:r>
      <w:r>
        <w:rPr>
          <w:rFonts w:hint="eastAsia"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000元/天支付违约金；如未实施工作计划表中内容，每项按¥</w:t>
      </w:r>
      <w:r>
        <w:rPr>
          <w:rFonts w:hint="eastAsia"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000元/项支付违约金。</w:t>
      </w:r>
    </w:p>
    <w:p w14:paraId="4F01E0E1">
      <w:pPr>
        <w:keepNext w:val="0"/>
        <w:keepLines w:val="0"/>
        <w:pageBreakBefore w:val="0"/>
        <w:widowControl w:val="0"/>
        <w:suppressLineNumbers w:val="0"/>
        <w:kinsoku/>
        <w:overflowPunct/>
        <w:topLinePunct w:val="0"/>
        <w:autoSpaceDN/>
        <w:bidi w:val="0"/>
        <w:spacing w:before="0" w:beforeAutospacing="0" w:after="0" w:afterAutospacing="0" w:line="560" w:lineRule="exact"/>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月监理工作计划及完成情况表</w:t>
      </w:r>
    </w:p>
    <w:tbl>
      <w:tblPr>
        <w:tblStyle w:val="16"/>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2280"/>
        <w:gridCol w:w="1900"/>
        <w:gridCol w:w="1955"/>
        <w:gridCol w:w="2250"/>
      </w:tblGrid>
      <w:tr w14:paraId="47043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14" w:type="dxa"/>
            <w:tcBorders>
              <w:top w:val="single" w:color="auto" w:sz="4" w:space="0"/>
              <w:left w:val="single" w:color="auto" w:sz="4" w:space="0"/>
              <w:bottom w:val="single" w:color="auto" w:sz="4" w:space="0"/>
              <w:right w:val="single" w:color="auto" w:sz="4" w:space="0"/>
            </w:tcBorders>
            <w:noWrap w:val="0"/>
            <w:vAlign w:val="top"/>
          </w:tcPr>
          <w:p w14:paraId="7F34915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编号</w:t>
            </w:r>
          </w:p>
        </w:tc>
        <w:tc>
          <w:tcPr>
            <w:tcW w:w="2280" w:type="dxa"/>
            <w:tcBorders>
              <w:top w:val="single" w:color="auto" w:sz="4" w:space="0"/>
              <w:left w:val="single" w:color="auto" w:sz="4" w:space="0"/>
              <w:bottom w:val="single" w:color="auto" w:sz="4" w:space="0"/>
              <w:right w:val="single" w:color="auto" w:sz="4" w:space="0"/>
            </w:tcBorders>
            <w:noWrap w:val="0"/>
            <w:vAlign w:val="top"/>
          </w:tcPr>
          <w:p w14:paraId="73BE402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工作内容</w:t>
            </w:r>
          </w:p>
        </w:tc>
        <w:tc>
          <w:tcPr>
            <w:tcW w:w="1900" w:type="dxa"/>
            <w:tcBorders>
              <w:top w:val="single" w:color="auto" w:sz="4" w:space="0"/>
              <w:left w:val="single" w:color="auto" w:sz="4" w:space="0"/>
              <w:bottom w:val="single" w:color="auto" w:sz="4" w:space="0"/>
              <w:right w:val="single" w:color="auto" w:sz="4" w:space="0"/>
            </w:tcBorders>
            <w:noWrap w:val="0"/>
            <w:vAlign w:val="top"/>
          </w:tcPr>
          <w:p w14:paraId="1CE2D56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计划开始时间</w:t>
            </w:r>
          </w:p>
        </w:tc>
        <w:tc>
          <w:tcPr>
            <w:tcW w:w="1955" w:type="dxa"/>
            <w:tcBorders>
              <w:top w:val="single" w:color="auto" w:sz="4" w:space="0"/>
              <w:left w:val="single" w:color="auto" w:sz="4" w:space="0"/>
              <w:bottom w:val="single" w:color="auto" w:sz="4" w:space="0"/>
              <w:right w:val="single" w:color="auto" w:sz="4" w:space="0"/>
            </w:tcBorders>
            <w:noWrap w:val="0"/>
            <w:vAlign w:val="top"/>
          </w:tcPr>
          <w:p w14:paraId="6684C57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计划完成时间</w:t>
            </w:r>
          </w:p>
        </w:tc>
        <w:tc>
          <w:tcPr>
            <w:tcW w:w="2250" w:type="dxa"/>
            <w:tcBorders>
              <w:top w:val="single" w:color="auto" w:sz="4" w:space="0"/>
              <w:left w:val="single" w:color="auto" w:sz="4" w:space="0"/>
              <w:bottom w:val="single" w:color="auto" w:sz="4" w:space="0"/>
              <w:right w:val="single" w:color="auto" w:sz="4" w:space="0"/>
            </w:tcBorders>
            <w:noWrap w:val="0"/>
            <w:vAlign w:val="top"/>
          </w:tcPr>
          <w:p w14:paraId="60870BB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完成的佐证材料</w:t>
            </w:r>
          </w:p>
        </w:tc>
      </w:tr>
      <w:tr w14:paraId="2A8DA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Borders>
              <w:top w:val="single" w:color="auto" w:sz="4" w:space="0"/>
              <w:left w:val="single" w:color="auto" w:sz="4" w:space="0"/>
              <w:bottom w:val="single" w:color="auto" w:sz="4" w:space="0"/>
              <w:right w:val="single" w:color="auto" w:sz="4" w:space="0"/>
            </w:tcBorders>
            <w:noWrap w:val="0"/>
            <w:vAlign w:val="top"/>
          </w:tcPr>
          <w:p w14:paraId="4BDA70D6">
            <w:pPr>
              <w:keepNext w:val="0"/>
              <w:keepLines w:val="0"/>
              <w:pageBreakBefore w:val="0"/>
              <w:widowControl w:val="0"/>
              <w:suppressLineNumbers w:val="0"/>
              <w:kinsoku/>
              <w:overflowPunct/>
              <w:topLinePunct w:val="0"/>
              <w:autoSpaceDE w:val="0"/>
              <w:autoSpaceDN/>
              <w:bidi w:val="0"/>
              <w:spacing w:before="0" w:beforeAutospacing="0" w:after="0" w:afterAutospacing="0" w:line="560" w:lineRule="exact"/>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w:t>
            </w:r>
          </w:p>
        </w:tc>
        <w:tc>
          <w:tcPr>
            <w:tcW w:w="2280" w:type="dxa"/>
            <w:tcBorders>
              <w:top w:val="single" w:color="auto" w:sz="4" w:space="0"/>
              <w:left w:val="single" w:color="auto" w:sz="4" w:space="0"/>
              <w:bottom w:val="single" w:color="auto" w:sz="4" w:space="0"/>
              <w:right w:val="single" w:color="auto" w:sz="4" w:space="0"/>
            </w:tcBorders>
            <w:noWrap w:val="0"/>
            <w:vAlign w:val="top"/>
          </w:tcPr>
          <w:p w14:paraId="16F4C4CD">
            <w:pPr>
              <w:keepNext w:val="0"/>
              <w:keepLines w:val="0"/>
              <w:pageBreakBefore w:val="0"/>
              <w:widowControl w:val="0"/>
              <w:suppressLineNumbers w:val="0"/>
              <w:kinsoku/>
              <w:overflowPunct/>
              <w:topLinePunct w:val="0"/>
              <w:autoSpaceDE w:val="0"/>
              <w:autoSpaceDN/>
              <w:bidi w:val="0"/>
              <w:spacing w:before="0" w:beforeAutospacing="0" w:after="0" w:afterAutospacing="0" w:line="560" w:lineRule="exact"/>
              <w:ind w:left="0" w:right="0"/>
              <w:jc w:val="left"/>
              <w:rPr>
                <w:rFonts w:hint="eastAsia" w:ascii="宋体" w:hAnsi="宋体" w:eastAsia="宋体" w:cs="宋体"/>
                <w:color w:val="auto"/>
                <w:kern w:val="2"/>
                <w:sz w:val="24"/>
                <w:szCs w:val="24"/>
                <w:highlight w:val="none"/>
              </w:rPr>
            </w:pPr>
          </w:p>
        </w:tc>
        <w:tc>
          <w:tcPr>
            <w:tcW w:w="1900" w:type="dxa"/>
            <w:tcBorders>
              <w:top w:val="single" w:color="auto" w:sz="4" w:space="0"/>
              <w:left w:val="single" w:color="auto" w:sz="4" w:space="0"/>
              <w:bottom w:val="single" w:color="auto" w:sz="4" w:space="0"/>
              <w:right w:val="single" w:color="auto" w:sz="4" w:space="0"/>
            </w:tcBorders>
            <w:noWrap w:val="0"/>
            <w:vAlign w:val="top"/>
          </w:tcPr>
          <w:p w14:paraId="5FE0C02E">
            <w:pPr>
              <w:keepNext w:val="0"/>
              <w:keepLines w:val="0"/>
              <w:pageBreakBefore w:val="0"/>
              <w:widowControl w:val="0"/>
              <w:suppressLineNumbers w:val="0"/>
              <w:kinsoku/>
              <w:overflowPunct/>
              <w:topLinePunct w:val="0"/>
              <w:autoSpaceDE w:val="0"/>
              <w:autoSpaceDN/>
              <w:bidi w:val="0"/>
              <w:spacing w:before="0" w:beforeAutospacing="0" w:after="0" w:afterAutospacing="0" w:line="560" w:lineRule="exact"/>
              <w:ind w:left="0" w:right="0"/>
              <w:jc w:val="left"/>
              <w:rPr>
                <w:rFonts w:hint="eastAsia" w:ascii="宋体" w:hAnsi="宋体" w:eastAsia="宋体" w:cs="宋体"/>
                <w:color w:val="auto"/>
                <w:kern w:val="2"/>
                <w:sz w:val="24"/>
                <w:szCs w:val="24"/>
                <w:highlight w:val="none"/>
              </w:rPr>
            </w:pPr>
          </w:p>
        </w:tc>
        <w:tc>
          <w:tcPr>
            <w:tcW w:w="1955" w:type="dxa"/>
            <w:tcBorders>
              <w:top w:val="single" w:color="auto" w:sz="4" w:space="0"/>
              <w:left w:val="single" w:color="auto" w:sz="4" w:space="0"/>
              <w:bottom w:val="single" w:color="auto" w:sz="4" w:space="0"/>
              <w:right w:val="single" w:color="auto" w:sz="4" w:space="0"/>
            </w:tcBorders>
            <w:noWrap w:val="0"/>
            <w:vAlign w:val="top"/>
          </w:tcPr>
          <w:p w14:paraId="0796E336">
            <w:pPr>
              <w:keepNext w:val="0"/>
              <w:keepLines w:val="0"/>
              <w:pageBreakBefore w:val="0"/>
              <w:widowControl w:val="0"/>
              <w:suppressLineNumbers w:val="0"/>
              <w:kinsoku/>
              <w:overflowPunct/>
              <w:topLinePunct w:val="0"/>
              <w:autoSpaceDE w:val="0"/>
              <w:autoSpaceDN/>
              <w:bidi w:val="0"/>
              <w:spacing w:before="0" w:beforeAutospacing="0" w:after="0" w:afterAutospacing="0" w:line="560" w:lineRule="exact"/>
              <w:ind w:left="0" w:right="0"/>
              <w:jc w:val="left"/>
              <w:rPr>
                <w:rFonts w:hint="eastAsia" w:ascii="宋体" w:hAnsi="宋体" w:eastAsia="宋体" w:cs="宋体"/>
                <w:color w:val="auto"/>
                <w:kern w:val="2"/>
                <w:sz w:val="24"/>
                <w:szCs w:val="24"/>
                <w:highlight w:val="none"/>
              </w:rPr>
            </w:pPr>
          </w:p>
        </w:tc>
        <w:tc>
          <w:tcPr>
            <w:tcW w:w="2250" w:type="dxa"/>
            <w:tcBorders>
              <w:top w:val="single" w:color="auto" w:sz="4" w:space="0"/>
              <w:left w:val="single" w:color="auto" w:sz="4" w:space="0"/>
              <w:bottom w:val="single" w:color="auto" w:sz="4" w:space="0"/>
              <w:right w:val="single" w:color="auto" w:sz="4" w:space="0"/>
            </w:tcBorders>
            <w:noWrap w:val="0"/>
            <w:vAlign w:val="top"/>
          </w:tcPr>
          <w:p w14:paraId="4DE8DDEF">
            <w:pPr>
              <w:keepNext w:val="0"/>
              <w:keepLines w:val="0"/>
              <w:pageBreakBefore w:val="0"/>
              <w:widowControl w:val="0"/>
              <w:suppressLineNumbers w:val="0"/>
              <w:kinsoku/>
              <w:overflowPunct/>
              <w:topLinePunct w:val="0"/>
              <w:autoSpaceDE w:val="0"/>
              <w:autoSpaceDN/>
              <w:bidi w:val="0"/>
              <w:spacing w:before="0" w:beforeAutospacing="0" w:after="0" w:afterAutospacing="0" w:line="560" w:lineRule="exact"/>
              <w:ind w:left="0" w:right="0"/>
              <w:jc w:val="left"/>
              <w:rPr>
                <w:rFonts w:hint="eastAsia" w:ascii="宋体" w:hAnsi="宋体" w:eastAsia="宋体" w:cs="宋体"/>
                <w:color w:val="auto"/>
                <w:kern w:val="2"/>
                <w:sz w:val="24"/>
                <w:szCs w:val="24"/>
                <w:highlight w:val="none"/>
              </w:rPr>
            </w:pPr>
          </w:p>
        </w:tc>
      </w:tr>
      <w:tr w14:paraId="76F62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Borders>
              <w:top w:val="single" w:color="auto" w:sz="4" w:space="0"/>
              <w:left w:val="single" w:color="auto" w:sz="4" w:space="0"/>
              <w:bottom w:val="single" w:color="auto" w:sz="4" w:space="0"/>
              <w:right w:val="single" w:color="auto" w:sz="4" w:space="0"/>
            </w:tcBorders>
            <w:noWrap w:val="0"/>
            <w:vAlign w:val="top"/>
          </w:tcPr>
          <w:p w14:paraId="52CF5901">
            <w:pPr>
              <w:keepNext w:val="0"/>
              <w:keepLines w:val="0"/>
              <w:pageBreakBefore w:val="0"/>
              <w:widowControl w:val="0"/>
              <w:suppressLineNumbers w:val="0"/>
              <w:kinsoku/>
              <w:overflowPunct/>
              <w:topLinePunct w:val="0"/>
              <w:autoSpaceDE w:val="0"/>
              <w:autoSpaceDN/>
              <w:bidi w:val="0"/>
              <w:spacing w:before="0" w:beforeAutospacing="0" w:after="0" w:afterAutospacing="0" w:line="560" w:lineRule="exact"/>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w:t>
            </w:r>
          </w:p>
        </w:tc>
        <w:tc>
          <w:tcPr>
            <w:tcW w:w="2280" w:type="dxa"/>
            <w:tcBorders>
              <w:top w:val="single" w:color="auto" w:sz="4" w:space="0"/>
              <w:left w:val="single" w:color="auto" w:sz="4" w:space="0"/>
              <w:bottom w:val="single" w:color="auto" w:sz="4" w:space="0"/>
              <w:right w:val="single" w:color="auto" w:sz="4" w:space="0"/>
            </w:tcBorders>
            <w:noWrap w:val="0"/>
            <w:vAlign w:val="top"/>
          </w:tcPr>
          <w:p w14:paraId="30B36C5D">
            <w:pPr>
              <w:keepNext w:val="0"/>
              <w:keepLines w:val="0"/>
              <w:pageBreakBefore w:val="0"/>
              <w:widowControl w:val="0"/>
              <w:suppressLineNumbers w:val="0"/>
              <w:kinsoku/>
              <w:overflowPunct/>
              <w:topLinePunct w:val="0"/>
              <w:autoSpaceDE w:val="0"/>
              <w:autoSpaceDN/>
              <w:bidi w:val="0"/>
              <w:spacing w:before="0" w:beforeAutospacing="0" w:after="0" w:afterAutospacing="0" w:line="560" w:lineRule="exact"/>
              <w:ind w:left="0" w:right="0"/>
              <w:jc w:val="left"/>
              <w:rPr>
                <w:rFonts w:hint="eastAsia" w:ascii="宋体" w:hAnsi="宋体" w:eastAsia="宋体" w:cs="宋体"/>
                <w:color w:val="auto"/>
                <w:kern w:val="2"/>
                <w:sz w:val="24"/>
                <w:szCs w:val="24"/>
                <w:highlight w:val="none"/>
              </w:rPr>
            </w:pPr>
          </w:p>
        </w:tc>
        <w:tc>
          <w:tcPr>
            <w:tcW w:w="1900" w:type="dxa"/>
            <w:tcBorders>
              <w:top w:val="single" w:color="auto" w:sz="4" w:space="0"/>
              <w:left w:val="single" w:color="auto" w:sz="4" w:space="0"/>
              <w:bottom w:val="single" w:color="auto" w:sz="4" w:space="0"/>
              <w:right w:val="single" w:color="auto" w:sz="4" w:space="0"/>
            </w:tcBorders>
            <w:noWrap w:val="0"/>
            <w:vAlign w:val="top"/>
          </w:tcPr>
          <w:p w14:paraId="31F50F95">
            <w:pPr>
              <w:keepNext w:val="0"/>
              <w:keepLines w:val="0"/>
              <w:pageBreakBefore w:val="0"/>
              <w:widowControl w:val="0"/>
              <w:suppressLineNumbers w:val="0"/>
              <w:kinsoku/>
              <w:overflowPunct/>
              <w:topLinePunct w:val="0"/>
              <w:autoSpaceDE w:val="0"/>
              <w:autoSpaceDN/>
              <w:bidi w:val="0"/>
              <w:spacing w:before="0" w:beforeAutospacing="0" w:after="0" w:afterAutospacing="0" w:line="560" w:lineRule="exact"/>
              <w:ind w:left="0" w:right="0"/>
              <w:jc w:val="left"/>
              <w:rPr>
                <w:rFonts w:hint="eastAsia" w:ascii="宋体" w:hAnsi="宋体" w:eastAsia="宋体" w:cs="宋体"/>
                <w:color w:val="auto"/>
                <w:kern w:val="2"/>
                <w:sz w:val="24"/>
                <w:szCs w:val="24"/>
                <w:highlight w:val="none"/>
              </w:rPr>
            </w:pPr>
          </w:p>
        </w:tc>
        <w:tc>
          <w:tcPr>
            <w:tcW w:w="1955" w:type="dxa"/>
            <w:tcBorders>
              <w:top w:val="single" w:color="auto" w:sz="4" w:space="0"/>
              <w:left w:val="single" w:color="auto" w:sz="4" w:space="0"/>
              <w:bottom w:val="single" w:color="auto" w:sz="4" w:space="0"/>
              <w:right w:val="single" w:color="auto" w:sz="4" w:space="0"/>
            </w:tcBorders>
            <w:noWrap w:val="0"/>
            <w:vAlign w:val="top"/>
          </w:tcPr>
          <w:p w14:paraId="5214D896">
            <w:pPr>
              <w:keepNext w:val="0"/>
              <w:keepLines w:val="0"/>
              <w:pageBreakBefore w:val="0"/>
              <w:widowControl w:val="0"/>
              <w:suppressLineNumbers w:val="0"/>
              <w:kinsoku/>
              <w:overflowPunct/>
              <w:topLinePunct w:val="0"/>
              <w:autoSpaceDE w:val="0"/>
              <w:autoSpaceDN/>
              <w:bidi w:val="0"/>
              <w:spacing w:before="0" w:beforeAutospacing="0" w:after="0" w:afterAutospacing="0" w:line="560" w:lineRule="exact"/>
              <w:ind w:left="0" w:right="0"/>
              <w:jc w:val="left"/>
              <w:rPr>
                <w:rFonts w:hint="eastAsia" w:ascii="宋体" w:hAnsi="宋体" w:eastAsia="宋体" w:cs="宋体"/>
                <w:color w:val="auto"/>
                <w:kern w:val="2"/>
                <w:sz w:val="24"/>
                <w:szCs w:val="24"/>
                <w:highlight w:val="none"/>
              </w:rPr>
            </w:pPr>
          </w:p>
        </w:tc>
        <w:tc>
          <w:tcPr>
            <w:tcW w:w="2250" w:type="dxa"/>
            <w:tcBorders>
              <w:top w:val="single" w:color="auto" w:sz="4" w:space="0"/>
              <w:left w:val="single" w:color="auto" w:sz="4" w:space="0"/>
              <w:bottom w:val="single" w:color="auto" w:sz="4" w:space="0"/>
              <w:right w:val="single" w:color="auto" w:sz="4" w:space="0"/>
            </w:tcBorders>
            <w:noWrap w:val="0"/>
            <w:vAlign w:val="top"/>
          </w:tcPr>
          <w:p w14:paraId="3476878F">
            <w:pPr>
              <w:keepNext w:val="0"/>
              <w:keepLines w:val="0"/>
              <w:pageBreakBefore w:val="0"/>
              <w:widowControl w:val="0"/>
              <w:suppressLineNumbers w:val="0"/>
              <w:kinsoku/>
              <w:overflowPunct/>
              <w:topLinePunct w:val="0"/>
              <w:autoSpaceDE w:val="0"/>
              <w:autoSpaceDN/>
              <w:bidi w:val="0"/>
              <w:spacing w:before="0" w:beforeAutospacing="0" w:after="0" w:afterAutospacing="0" w:line="560" w:lineRule="exact"/>
              <w:ind w:left="0" w:right="0"/>
              <w:jc w:val="left"/>
              <w:rPr>
                <w:rFonts w:hint="eastAsia" w:ascii="宋体" w:hAnsi="宋体" w:eastAsia="宋体" w:cs="宋体"/>
                <w:color w:val="auto"/>
                <w:kern w:val="2"/>
                <w:sz w:val="24"/>
                <w:szCs w:val="24"/>
                <w:highlight w:val="none"/>
              </w:rPr>
            </w:pPr>
          </w:p>
        </w:tc>
      </w:tr>
      <w:tr w14:paraId="74455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Borders>
              <w:top w:val="single" w:color="auto" w:sz="4" w:space="0"/>
              <w:left w:val="single" w:color="auto" w:sz="4" w:space="0"/>
              <w:bottom w:val="single" w:color="auto" w:sz="4" w:space="0"/>
              <w:right w:val="single" w:color="auto" w:sz="4" w:space="0"/>
            </w:tcBorders>
            <w:noWrap w:val="0"/>
            <w:vAlign w:val="top"/>
          </w:tcPr>
          <w:p w14:paraId="093E762C">
            <w:pPr>
              <w:keepNext w:val="0"/>
              <w:keepLines w:val="0"/>
              <w:pageBreakBefore w:val="0"/>
              <w:widowControl w:val="0"/>
              <w:suppressLineNumbers w:val="0"/>
              <w:kinsoku/>
              <w:overflowPunct/>
              <w:topLinePunct w:val="0"/>
              <w:autoSpaceDE w:val="0"/>
              <w:autoSpaceDN/>
              <w:bidi w:val="0"/>
              <w:spacing w:before="0" w:beforeAutospacing="0" w:after="0" w:afterAutospacing="0" w:line="560" w:lineRule="exact"/>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p>
        </w:tc>
        <w:tc>
          <w:tcPr>
            <w:tcW w:w="2280" w:type="dxa"/>
            <w:tcBorders>
              <w:top w:val="single" w:color="auto" w:sz="4" w:space="0"/>
              <w:left w:val="single" w:color="auto" w:sz="4" w:space="0"/>
              <w:bottom w:val="single" w:color="auto" w:sz="4" w:space="0"/>
              <w:right w:val="single" w:color="auto" w:sz="4" w:space="0"/>
            </w:tcBorders>
            <w:noWrap w:val="0"/>
            <w:vAlign w:val="top"/>
          </w:tcPr>
          <w:p w14:paraId="6A4E77A1">
            <w:pPr>
              <w:keepNext w:val="0"/>
              <w:keepLines w:val="0"/>
              <w:pageBreakBefore w:val="0"/>
              <w:widowControl w:val="0"/>
              <w:suppressLineNumbers w:val="0"/>
              <w:kinsoku/>
              <w:overflowPunct/>
              <w:topLinePunct w:val="0"/>
              <w:autoSpaceDE w:val="0"/>
              <w:autoSpaceDN/>
              <w:bidi w:val="0"/>
              <w:spacing w:before="0" w:beforeAutospacing="0" w:after="0" w:afterAutospacing="0" w:line="560" w:lineRule="exact"/>
              <w:ind w:left="0" w:right="0"/>
              <w:jc w:val="left"/>
              <w:rPr>
                <w:rFonts w:hint="eastAsia" w:ascii="宋体" w:hAnsi="宋体" w:eastAsia="宋体" w:cs="宋体"/>
                <w:color w:val="auto"/>
                <w:kern w:val="2"/>
                <w:sz w:val="24"/>
                <w:szCs w:val="24"/>
                <w:highlight w:val="none"/>
              </w:rPr>
            </w:pPr>
          </w:p>
        </w:tc>
        <w:tc>
          <w:tcPr>
            <w:tcW w:w="1900" w:type="dxa"/>
            <w:tcBorders>
              <w:top w:val="single" w:color="auto" w:sz="4" w:space="0"/>
              <w:left w:val="single" w:color="auto" w:sz="4" w:space="0"/>
              <w:bottom w:val="single" w:color="auto" w:sz="4" w:space="0"/>
              <w:right w:val="single" w:color="auto" w:sz="4" w:space="0"/>
            </w:tcBorders>
            <w:noWrap w:val="0"/>
            <w:vAlign w:val="top"/>
          </w:tcPr>
          <w:p w14:paraId="620BE2B8">
            <w:pPr>
              <w:keepNext w:val="0"/>
              <w:keepLines w:val="0"/>
              <w:pageBreakBefore w:val="0"/>
              <w:widowControl w:val="0"/>
              <w:suppressLineNumbers w:val="0"/>
              <w:kinsoku/>
              <w:overflowPunct/>
              <w:topLinePunct w:val="0"/>
              <w:autoSpaceDE w:val="0"/>
              <w:autoSpaceDN/>
              <w:bidi w:val="0"/>
              <w:spacing w:before="0" w:beforeAutospacing="0" w:after="0" w:afterAutospacing="0" w:line="560" w:lineRule="exact"/>
              <w:ind w:left="0" w:right="0"/>
              <w:jc w:val="left"/>
              <w:rPr>
                <w:rFonts w:hint="eastAsia" w:ascii="宋体" w:hAnsi="宋体" w:eastAsia="宋体" w:cs="宋体"/>
                <w:color w:val="auto"/>
                <w:kern w:val="2"/>
                <w:sz w:val="24"/>
                <w:szCs w:val="24"/>
                <w:highlight w:val="none"/>
              </w:rPr>
            </w:pPr>
          </w:p>
        </w:tc>
        <w:tc>
          <w:tcPr>
            <w:tcW w:w="1955" w:type="dxa"/>
            <w:tcBorders>
              <w:top w:val="single" w:color="auto" w:sz="4" w:space="0"/>
              <w:left w:val="single" w:color="auto" w:sz="4" w:space="0"/>
              <w:bottom w:val="single" w:color="auto" w:sz="4" w:space="0"/>
              <w:right w:val="single" w:color="auto" w:sz="4" w:space="0"/>
            </w:tcBorders>
            <w:noWrap w:val="0"/>
            <w:vAlign w:val="top"/>
          </w:tcPr>
          <w:p w14:paraId="6C4A2A51">
            <w:pPr>
              <w:keepNext w:val="0"/>
              <w:keepLines w:val="0"/>
              <w:pageBreakBefore w:val="0"/>
              <w:widowControl w:val="0"/>
              <w:suppressLineNumbers w:val="0"/>
              <w:kinsoku/>
              <w:overflowPunct/>
              <w:topLinePunct w:val="0"/>
              <w:autoSpaceDE w:val="0"/>
              <w:autoSpaceDN/>
              <w:bidi w:val="0"/>
              <w:spacing w:before="0" w:beforeAutospacing="0" w:after="0" w:afterAutospacing="0" w:line="560" w:lineRule="exact"/>
              <w:ind w:left="0" w:right="0"/>
              <w:jc w:val="left"/>
              <w:rPr>
                <w:rFonts w:hint="eastAsia" w:ascii="宋体" w:hAnsi="宋体" w:eastAsia="宋体" w:cs="宋体"/>
                <w:color w:val="auto"/>
                <w:kern w:val="2"/>
                <w:sz w:val="24"/>
                <w:szCs w:val="24"/>
                <w:highlight w:val="none"/>
              </w:rPr>
            </w:pPr>
          </w:p>
        </w:tc>
        <w:tc>
          <w:tcPr>
            <w:tcW w:w="2250" w:type="dxa"/>
            <w:tcBorders>
              <w:top w:val="single" w:color="auto" w:sz="4" w:space="0"/>
              <w:left w:val="single" w:color="auto" w:sz="4" w:space="0"/>
              <w:bottom w:val="single" w:color="auto" w:sz="4" w:space="0"/>
              <w:right w:val="single" w:color="auto" w:sz="4" w:space="0"/>
            </w:tcBorders>
            <w:noWrap w:val="0"/>
            <w:vAlign w:val="top"/>
          </w:tcPr>
          <w:p w14:paraId="2756557F">
            <w:pPr>
              <w:keepNext w:val="0"/>
              <w:keepLines w:val="0"/>
              <w:pageBreakBefore w:val="0"/>
              <w:widowControl w:val="0"/>
              <w:suppressLineNumbers w:val="0"/>
              <w:kinsoku/>
              <w:overflowPunct/>
              <w:topLinePunct w:val="0"/>
              <w:autoSpaceDE w:val="0"/>
              <w:autoSpaceDN/>
              <w:bidi w:val="0"/>
              <w:spacing w:before="0" w:beforeAutospacing="0" w:after="0" w:afterAutospacing="0" w:line="560" w:lineRule="exact"/>
              <w:ind w:left="0" w:right="0"/>
              <w:jc w:val="left"/>
              <w:rPr>
                <w:rFonts w:hint="eastAsia" w:ascii="宋体" w:hAnsi="宋体" w:eastAsia="宋体" w:cs="宋体"/>
                <w:color w:val="auto"/>
                <w:kern w:val="2"/>
                <w:sz w:val="24"/>
                <w:szCs w:val="24"/>
                <w:highlight w:val="none"/>
              </w:rPr>
            </w:pPr>
          </w:p>
        </w:tc>
      </w:tr>
    </w:tbl>
    <w:p w14:paraId="11182BA1">
      <w:pPr>
        <w:keepNext w:val="0"/>
        <w:keepLines w:val="0"/>
        <w:pageBreakBefore w:val="0"/>
        <w:widowControl w:val="0"/>
        <w:suppressLineNumbers w:val="0"/>
        <w:kinsoku/>
        <w:overflowPunct/>
        <w:topLinePunct w:val="0"/>
        <w:autoSpaceDN/>
        <w:bidi w:val="0"/>
        <w:spacing w:before="0" w:beforeAutospacing="0" w:after="0" w:afterAutospacing="0" w:line="560" w:lineRule="exact"/>
        <w:ind w:right="0"/>
        <w:jc w:val="left"/>
        <w:rPr>
          <w:rFonts w:hint="eastAsia" w:ascii="宋体" w:hAnsi="宋体" w:eastAsia="宋体" w:cs="宋体"/>
          <w:color w:val="auto"/>
          <w:kern w:val="2"/>
          <w:sz w:val="24"/>
          <w:szCs w:val="24"/>
          <w:highlight w:val="none"/>
          <w:lang w:val="en-US" w:eastAsia="zh-CN" w:bidi="ar"/>
        </w:rPr>
      </w:pPr>
    </w:p>
    <w:p w14:paraId="1CCF0B99">
      <w:pPr>
        <w:keepNext w:val="0"/>
        <w:keepLines w:val="0"/>
        <w:pageBreakBefore w:val="0"/>
        <w:widowControl w:val="0"/>
        <w:suppressLineNumbers w:val="0"/>
        <w:kinsoku/>
        <w:overflowPunct/>
        <w:topLinePunct w:val="0"/>
        <w:autoSpaceDN/>
        <w:bidi w:val="0"/>
        <w:spacing w:before="0" w:beforeAutospacing="0" w:after="0" w:afterAutospacing="0" w:line="560" w:lineRule="exact"/>
        <w:ind w:left="0" w:right="0" w:firstLine="240" w:firstLineChars="100"/>
        <w:jc w:val="left"/>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监理单位项目总监签名：          建设单位项目现场负责人签名：</w:t>
      </w:r>
    </w:p>
    <w:p w14:paraId="385A86AB">
      <w:pPr>
        <w:keepNext w:val="0"/>
        <w:keepLines w:val="0"/>
        <w:pageBreakBefore w:val="0"/>
        <w:widowControl w:val="0"/>
        <w:suppressLineNumbers w:val="0"/>
        <w:kinsoku/>
        <w:overflowPunct/>
        <w:topLinePunct w:val="0"/>
        <w:autoSpaceDN/>
        <w:bidi w:val="0"/>
        <w:spacing w:before="0" w:beforeAutospacing="0" w:after="0" w:afterAutospacing="0" w:line="560" w:lineRule="exact"/>
        <w:ind w:right="0" w:firstLine="240" w:firstLineChars="100"/>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u w:val="single"/>
          <w:lang w:val="en-US" w:eastAsia="zh-CN" w:bidi="ar"/>
        </w:rPr>
        <w:t xml:space="preserve">                  </w:t>
      </w:r>
      <w:r>
        <w:rPr>
          <w:rFonts w:hint="eastAsia" w:ascii="宋体" w:hAnsi="宋体" w:eastAsia="宋体" w:cs="宋体"/>
          <w:b w:val="0"/>
          <w:bCs w:val="0"/>
          <w:color w:val="auto"/>
          <w:kern w:val="2"/>
          <w:sz w:val="24"/>
          <w:szCs w:val="24"/>
          <w:highlight w:val="none"/>
          <w:lang w:val="en-US" w:eastAsia="zh-CN" w:bidi="ar"/>
        </w:rPr>
        <w:t xml:space="preserve">（盖章）      </w:t>
      </w:r>
      <w:r>
        <w:rPr>
          <w:rFonts w:hint="eastAsia" w:ascii="宋体" w:hAnsi="宋体" w:eastAsia="宋体" w:cs="宋体"/>
          <w:b w:val="0"/>
          <w:bCs w:val="0"/>
          <w:color w:val="auto"/>
          <w:kern w:val="2"/>
          <w:sz w:val="24"/>
          <w:szCs w:val="24"/>
          <w:highlight w:val="none"/>
          <w:u w:val="single"/>
          <w:lang w:val="en-US" w:eastAsia="zh-CN" w:bidi="ar"/>
        </w:rPr>
        <w:t xml:space="preserve">                   </w:t>
      </w:r>
      <w:r>
        <w:rPr>
          <w:rFonts w:hint="eastAsia" w:ascii="宋体" w:hAnsi="宋体" w:eastAsia="宋体" w:cs="宋体"/>
          <w:b w:val="0"/>
          <w:bCs w:val="0"/>
          <w:color w:val="auto"/>
          <w:kern w:val="2"/>
          <w:sz w:val="24"/>
          <w:szCs w:val="24"/>
          <w:highlight w:val="none"/>
          <w:lang w:val="en-US" w:eastAsia="zh-CN" w:bidi="ar"/>
        </w:rPr>
        <w:t>（盖章</w:t>
      </w:r>
      <w:r>
        <w:rPr>
          <w:rFonts w:hint="eastAsia" w:ascii="宋体" w:hAnsi="宋体" w:eastAsia="宋体" w:cs="宋体"/>
          <w:b/>
          <w:bCs/>
          <w:color w:val="auto"/>
          <w:kern w:val="2"/>
          <w:sz w:val="24"/>
          <w:szCs w:val="24"/>
          <w:highlight w:val="none"/>
          <w:lang w:val="en-US" w:eastAsia="zh-CN" w:bidi="ar"/>
        </w:rPr>
        <w:t>）</w:t>
      </w:r>
    </w:p>
    <w:p w14:paraId="39220251">
      <w:pPr>
        <w:keepNext w:val="0"/>
        <w:keepLines w:val="0"/>
        <w:pageBreakBefore w:val="0"/>
        <w:widowControl w:val="0"/>
        <w:suppressLineNumbers w:val="0"/>
        <w:kinsoku/>
        <w:wordWrap w:val="0"/>
        <w:overflowPunct/>
        <w:topLinePunct w:val="0"/>
        <w:autoSpaceDN/>
        <w:bidi w:val="0"/>
        <w:adjustRightInd w:val="0"/>
        <w:snapToGrid w:val="0"/>
        <w:spacing w:before="0" w:beforeAutospacing="0" w:after="0" w:afterAutospacing="0" w:line="560" w:lineRule="exact"/>
        <w:ind w:right="0" w:firstLine="480" w:firstLineChars="200"/>
        <w:jc w:val="left"/>
        <w:rPr>
          <w:rFonts w:hint="eastAsia" w:ascii="宋体" w:hAnsi="宋体" w:eastAsia="宋体" w:cs="宋体"/>
          <w:b w:val="0"/>
          <w:bCs w:val="0"/>
          <w:color w:val="auto"/>
          <w:kern w:val="0"/>
          <w:sz w:val="24"/>
          <w:szCs w:val="24"/>
          <w:highlight w:val="none"/>
          <w:lang w:val="en-US" w:eastAsia="zh-CN" w:bidi="ar"/>
        </w:rPr>
      </w:pPr>
    </w:p>
    <w:p w14:paraId="35E58789">
      <w:pPr>
        <w:keepNext w:val="0"/>
        <w:keepLines w:val="0"/>
        <w:pageBreakBefore w:val="0"/>
        <w:widowControl w:val="0"/>
        <w:suppressLineNumbers w:val="0"/>
        <w:kinsoku/>
        <w:wordWrap w:val="0"/>
        <w:overflowPunct/>
        <w:topLinePunct w:val="0"/>
        <w:autoSpaceDN/>
        <w:bidi w:val="0"/>
        <w:adjustRightInd w:val="0"/>
        <w:snapToGrid w:val="0"/>
        <w:spacing w:before="0" w:beforeAutospacing="0" w:after="0" w:afterAutospacing="0" w:line="560" w:lineRule="exact"/>
        <w:ind w:right="0" w:firstLine="482" w:firstLineChars="2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8.3.6.7</w:t>
      </w:r>
      <w:r>
        <w:rPr>
          <w:rFonts w:hint="eastAsia" w:ascii="宋体" w:hAnsi="宋体" w:eastAsia="宋体" w:cs="宋体"/>
          <w:color w:val="auto"/>
          <w:kern w:val="0"/>
          <w:sz w:val="24"/>
          <w:szCs w:val="24"/>
          <w:highlight w:val="none"/>
          <w:lang w:val="en-US" w:eastAsia="zh-CN" w:bidi="ar"/>
        </w:rPr>
        <w:t>监理</w:t>
      </w:r>
      <w:r>
        <w:rPr>
          <w:rFonts w:hint="eastAsia" w:hAnsi="宋体" w:cs="宋体"/>
          <w:color w:val="auto"/>
          <w:kern w:val="0"/>
          <w:sz w:val="24"/>
          <w:szCs w:val="24"/>
          <w:highlight w:val="none"/>
          <w:lang w:val="en-US" w:eastAsia="zh-CN" w:bidi="ar"/>
        </w:rPr>
        <w:t>人</w:t>
      </w:r>
      <w:r>
        <w:rPr>
          <w:rFonts w:hint="eastAsia" w:ascii="宋体" w:hAnsi="宋体" w:eastAsia="宋体" w:cs="宋体"/>
          <w:b w:val="0"/>
          <w:bCs w:val="0"/>
          <w:color w:val="auto"/>
          <w:kern w:val="0"/>
          <w:sz w:val="24"/>
          <w:szCs w:val="24"/>
          <w:highlight w:val="none"/>
          <w:lang w:val="en-US" w:eastAsia="zh-CN" w:bidi="ar"/>
        </w:rPr>
        <w:t>根据</w:t>
      </w:r>
      <w:r>
        <w:rPr>
          <w:rFonts w:hint="eastAsia" w:hAnsi="宋体" w:cs="宋体"/>
          <w:color w:val="auto"/>
          <w:kern w:val="0"/>
          <w:sz w:val="24"/>
          <w:szCs w:val="24"/>
          <w:highlight w:val="none"/>
          <w:lang w:val="en-US" w:eastAsia="zh-CN" w:bidi="ar"/>
        </w:rPr>
        <w:t>委托人</w:t>
      </w:r>
      <w:r>
        <w:rPr>
          <w:rFonts w:hint="eastAsia" w:ascii="宋体" w:hAnsi="宋体" w:eastAsia="宋体" w:cs="宋体"/>
          <w:b w:val="0"/>
          <w:bCs w:val="0"/>
          <w:color w:val="auto"/>
          <w:kern w:val="0"/>
          <w:sz w:val="24"/>
          <w:szCs w:val="24"/>
          <w:highlight w:val="none"/>
          <w:lang w:val="en-US" w:eastAsia="zh-CN" w:bidi="ar"/>
        </w:rPr>
        <w:t>与施工单位签订的施工合同中约定的工程进度节点计划考核内容，结合现场实际施工进度对比后，在考核节点后的5天内提交考核报告，报告每逾期一天，按¥</w:t>
      </w:r>
      <w:r>
        <w:rPr>
          <w:rFonts w:hint="eastAsia" w:hAnsi="宋体" w:cs="宋体"/>
          <w:b w:val="0"/>
          <w:bCs w:val="0"/>
          <w:color w:val="auto"/>
          <w:kern w:val="0"/>
          <w:sz w:val="24"/>
          <w:szCs w:val="24"/>
          <w:highlight w:val="none"/>
          <w:lang w:val="en-US" w:eastAsia="zh-CN" w:bidi="ar"/>
        </w:rPr>
        <w:t>3</w:t>
      </w:r>
      <w:r>
        <w:rPr>
          <w:rFonts w:hint="eastAsia" w:ascii="宋体" w:hAnsi="宋体" w:eastAsia="宋体" w:cs="宋体"/>
          <w:b w:val="0"/>
          <w:bCs w:val="0"/>
          <w:color w:val="auto"/>
          <w:kern w:val="0"/>
          <w:sz w:val="24"/>
          <w:szCs w:val="24"/>
          <w:highlight w:val="none"/>
          <w:lang w:val="en-US" w:eastAsia="zh-CN" w:bidi="ar"/>
        </w:rPr>
        <w:t>000元/天支付违约金。</w:t>
      </w:r>
    </w:p>
    <w:p w14:paraId="28572697">
      <w:pPr>
        <w:pStyle w:val="15"/>
        <w:keepNext w:val="0"/>
        <w:keepLines w:val="0"/>
        <w:pageBreakBefore w:val="0"/>
        <w:widowControl w:val="0"/>
        <w:suppressLineNumbers w:val="0"/>
        <w:kinsoku/>
        <w:overflowPunct/>
        <w:topLinePunct w:val="0"/>
        <w:autoSpaceDE w:val="0"/>
        <w:autoSpaceDN/>
        <w:bidi w:val="0"/>
        <w:spacing w:before="0" w:beforeAutospacing="0" w:after="0" w:afterAutospacing="0" w:line="560" w:lineRule="exact"/>
        <w:ind w:left="0" w:right="0" w:firstLine="482" w:firstLineChars="200"/>
        <w:jc w:val="left"/>
        <w:textAlignment w:val="baseline"/>
        <w:rPr>
          <w:rFonts w:hint="eastAsia" w:ascii="宋体" w:hAnsi="宋体" w:eastAsia="宋体" w:cs="宋体"/>
          <w:b w:val="0"/>
          <w:bCs w:val="0"/>
          <w:color w:val="auto"/>
          <w:kern w:val="0"/>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8.3.6.8</w:t>
      </w:r>
      <w:r>
        <w:rPr>
          <w:rFonts w:hint="eastAsia" w:ascii="宋体" w:hAnsi="宋体" w:eastAsia="宋体" w:cs="宋体"/>
          <w:b w:val="0"/>
          <w:bCs w:val="0"/>
          <w:color w:val="auto"/>
          <w:kern w:val="0"/>
          <w:sz w:val="24"/>
          <w:szCs w:val="24"/>
          <w:highlight w:val="none"/>
          <w:vertAlign w:val="baseline"/>
          <w:lang w:val="en-US" w:eastAsia="zh-CN" w:bidi="ar"/>
        </w:rPr>
        <w:t>总监理工程师未按要求到场的，按</w:t>
      </w:r>
      <w:r>
        <w:rPr>
          <w:rFonts w:hint="eastAsia" w:ascii="宋体" w:hAnsi="宋体" w:eastAsia="宋体" w:cs="宋体"/>
          <w:b w:val="0"/>
          <w:bCs w:val="0"/>
          <w:color w:val="auto"/>
          <w:kern w:val="0"/>
          <w:sz w:val="24"/>
          <w:szCs w:val="24"/>
          <w:highlight w:val="none"/>
          <w:lang w:val="en-US" w:eastAsia="zh-CN" w:bidi="ar"/>
        </w:rPr>
        <w:t>¥</w:t>
      </w:r>
      <w:r>
        <w:rPr>
          <w:rFonts w:hint="eastAsia" w:cs="宋体"/>
          <w:b w:val="0"/>
          <w:bCs w:val="0"/>
          <w:color w:val="auto"/>
          <w:kern w:val="0"/>
          <w:sz w:val="24"/>
          <w:szCs w:val="24"/>
          <w:highlight w:val="none"/>
          <w:vertAlign w:val="baseline"/>
          <w:lang w:val="en-US" w:eastAsia="zh-CN" w:bidi="ar"/>
        </w:rPr>
        <w:t>3</w:t>
      </w:r>
      <w:r>
        <w:rPr>
          <w:rFonts w:hint="eastAsia" w:ascii="宋体" w:hAnsi="宋体" w:eastAsia="宋体" w:cs="宋体"/>
          <w:b w:val="0"/>
          <w:bCs w:val="0"/>
          <w:color w:val="auto"/>
          <w:kern w:val="0"/>
          <w:sz w:val="24"/>
          <w:szCs w:val="24"/>
          <w:highlight w:val="none"/>
          <w:vertAlign w:val="baseline"/>
          <w:lang w:val="en-US" w:eastAsia="zh-CN" w:bidi="ar"/>
        </w:rPr>
        <w:t>000元/次支付违约金。</w:t>
      </w:r>
    </w:p>
    <w:p w14:paraId="087B1B14">
      <w:pPr>
        <w:pStyle w:val="15"/>
        <w:keepNext w:val="0"/>
        <w:keepLines w:val="0"/>
        <w:pageBreakBefore w:val="0"/>
        <w:widowControl w:val="0"/>
        <w:suppressLineNumbers w:val="0"/>
        <w:kinsoku/>
        <w:overflowPunct/>
        <w:topLinePunct w:val="0"/>
        <w:autoSpaceDE w:val="0"/>
        <w:autoSpaceDN/>
        <w:bidi w:val="0"/>
        <w:spacing w:before="0" w:beforeAutospacing="0" w:after="0" w:afterAutospacing="0" w:line="560" w:lineRule="exact"/>
        <w:ind w:left="0" w:right="0" w:firstLine="482" w:firstLineChars="200"/>
        <w:jc w:val="left"/>
        <w:textAlignment w:val="baseline"/>
        <w:rPr>
          <w:rFonts w:hint="eastAsia" w:ascii="宋体" w:hAnsi="宋体" w:eastAsia="宋体" w:cs="宋体"/>
          <w:b w:val="0"/>
          <w:bCs w:val="0"/>
          <w:color w:val="auto"/>
          <w:kern w:val="0"/>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8.3.6.9</w:t>
      </w:r>
      <w:r>
        <w:rPr>
          <w:rFonts w:hint="eastAsia" w:ascii="宋体" w:hAnsi="宋体" w:eastAsia="宋体" w:cs="宋体"/>
          <w:b w:val="0"/>
          <w:bCs w:val="0"/>
          <w:color w:val="auto"/>
          <w:kern w:val="0"/>
          <w:sz w:val="24"/>
          <w:szCs w:val="24"/>
          <w:highlight w:val="none"/>
          <w:vertAlign w:val="baseline"/>
          <w:lang w:val="en-US" w:eastAsia="zh-CN" w:bidi="ar"/>
        </w:rPr>
        <w:t>施工期间，监理人员未经</w:t>
      </w:r>
      <w:r>
        <w:rPr>
          <w:rFonts w:hint="eastAsia" w:hAnsi="宋体" w:cs="宋体"/>
          <w:color w:val="auto"/>
          <w:kern w:val="0"/>
          <w:sz w:val="24"/>
          <w:szCs w:val="24"/>
          <w:highlight w:val="none"/>
          <w:lang w:val="en-US" w:eastAsia="zh-CN" w:bidi="ar"/>
        </w:rPr>
        <w:t>委托人</w:t>
      </w:r>
      <w:r>
        <w:rPr>
          <w:rFonts w:hint="eastAsia" w:ascii="宋体" w:hAnsi="宋体" w:eastAsia="宋体" w:cs="宋体"/>
          <w:b w:val="0"/>
          <w:bCs w:val="0"/>
          <w:color w:val="auto"/>
          <w:kern w:val="0"/>
          <w:sz w:val="24"/>
          <w:szCs w:val="24"/>
          <w:highlight w:val="none"/>
          <w:vertAlign w:val="baseline"/>
          <w:lang w:val="en-US" w:eastAsia="zh-CN" w:bidi="ar"/>
        </w:rPr>
        <w:t>同意擅自离岗的，按</w:t>
      </w:r>
      <w:r>
        <w:rPr>
          <w:rFonts w:hint="eastAsia" w:ascii="宋体" w:hAnsi="宋体" w:eastAsia="宋体" w:cs="宋体"/>
          <w:b w:val="0"/>
          <w:bCs w:val="0"/>
          <w:color w:val="auto"/>
          <w:kern w:val="0"/>
          <w:sz w:val="24"/>
          <w:szCs w:val="24"/>
          <w:highlight w:val="none"/>
          <w:lang w:val="en-US" w:eastAsia="zh-CN" w:bidi="ar"/>
        </w:rPr>
        <w:t>¥</w:t>
      </w:r>
      <w:r>
        <w:rPr>
          <w:rFonts w:hint="eastAsia" w:cs="宋体"/>
          <w:b w:val="0"/>
          <w:bCs w:val="0"/>
          <w:color w:val="auto"/>
          <w:kern w:val="0"/>
          <w:sz w:val="24"/>
          <w:szCs w:val="24"/>
          <w:highlight w:val="none"/>
          <w:vertAlign w:val="baseline"/>
          <w:lang w:val="en-US" w:eastAsia="zh-CN" w:bidi="ar"/>
        </w:rPr>
        <w:t>3</w:t>
      </w:r>
      <w:r>
        <w:rPr>
          <w:rFonts w:hint="eastAsia" w:ascii="宋体" w:hAnsi="宋体" w:eastAsia="宋体" w:cs="宋体"/>
          <w:b w:val="0"/>
          <w:bCs w:val="0"/>
          <w:color w:val="auto"/>
          <w:kern w:val="0"/>
          <w:sz w:val="24"/>
          <w:szCs w:val="24"/>
          <w:highlight w:val="none"/>
          <w:vertAlign w:val="baseline"/>
          <w:lang w:val="en-US" w:eastAsia="zh-CN" w:bidi="ar"/>
        </w:rPr>
        <w:t>000元/次支付违约金。</w:t>
      </w:r>
    </w:p>
    <w:p w14:paraId="1B396696">
      <w:pPr>
        <w:pStyle w:val="15"/>
        <w:keepNext w:val="0"/>
        <w:keepLines w:val="0"/>
        <w:pageBreakBefore w:val="0"/>
        <w:widowControl w:val="0"/>
        <w:suppressLineNumbers w:val="0"/>
        <w:kinsoku/>
        <w:overflowPunct/>
        <w:topLinePunct w:val="0"/>
        <w:autoSpaceDE w:val="0"/>
        <w:autoSpaceDN/>
        <w:bidi w:val="0"/>
        <w:spacing w:before="0" w:beforeAutospacing="0" w:after="0" w:afterAutospacing="0" w:line="560" w:lineRule="exact"/>
        <w:ind w:left="0" w:right="0" w:firstLine="482" w:firstLineChars="200"/>
        <w:jc w:val="left"/>
        <w:textAlignment w:val="baseline"/>
        <w:rPr>
          <w:rFonts w:hint="eastAsia" w:ascii="宋体" w:hAnsi="宋体" w:eastAsia="宋体" w:cs="宋体"/>
          <w:b w:val="0"/>
          <w:bCs w:val="0"/>
          <w:color w:val="auto"/>
          <w:kern w:val="0"/>
          <w:sz w:val="24"/>
          <w:szCs w:val="24"/>
          <w:highlight w:val="none"/>
          <w:vertAlign w:val="baseline"/>
          <w:lang w:val="en-US" w:eastAsia="zh-CN" w:bidi="ar"/>
        </w:rPr>
      </w:pPr>
      <w:r>
        <w:rPr>
          <w:rFonts w:hint="eastAsia" w:ascii="宋体" w:hAnsi="宋体" w:eastAsia="宋体" w:cs="宋体"/>
          <w:b/>
          <w:bCs/>
          <w:color w:val="auto"/>
          <w:kern w:val="0"/>
          <w:sz w:val="24"/>
          <w:szCs w:val="24"/>
          <w:highlight w:val="none"/>
          <w:vertAlign w:val="baseline"/>
          <w:lang w:val="en-US" w:eastAsia="zh-CN" w:bidi="ar"/>
        </w:rPr>
        <w:t>8.3.6.10</w:t>
      </w:r>
      <w:r>
        <w:rPr>
          <w:rFonts w:hint="eastAsia" w:ascii="宋体" w:hAnsi="宋体" w:eastAsia="宋体" w:cs="宋体"/>
          <w:b w:val="0"/>
          <w:bCs w:val="0"/>
          <w:color w:val="auto"/>
          <w:kern w:val="0"/>
          <w:sz w:val="24"/>
          <w:szCs w:val="24"/>
          <w:highlight w:val="none"/>
          <w:vertAlign w:val="baseline"/>
          <w:lang w:val="en-US" w:eastAsia="zh-CN" w:bidi="ar"/>
        </w:rPr>
        <w:t>监理未按要求及时提供会议纪要、材料检查记录等施工过程的监理资料的，按</w:t>
      </w:r>
      <w:r>
        <w:rPr>
          <w:rFonts w:hint="eastAsia" w:ascii="宋体" w:hAnsi="宋体" w:eastAsia="宋体" w:cs="宋体"/>
          <w:b w:val="0"/>
          <w:bCs w:val="0"/>
          <w:color w:val="auto"/>
          <w:kern w:val="0"/>
          <w:sz w:val="24"/>
          <w:szCs w:val="24"/>
          <w:highlight w:val="none"/>
          <w:lang w:val="en-US" w:eastAsia="zh-CN" w:bidi="ar"/>
        </w:rPr>
        <w:t>¥</w:t>
      </w:r>
      <w:r>
        <w:rPr>
          <w:rFonts w:hint="eastAsia" w:cs="宋体"/>
          <w:b w:val="0"/>
          <w:bCs w:val="0"/>
          <w:color w:val="auto"/>
          <w:kern w:val="0"/>
          <w:sz w:val="24"/>
          <w:szCs w:val="24"/>
          <w:highlight w:val="none"/>
          <w:vertAlign w:val="baseline"/>
          <w:lang w:val="en-US" w:eastAsia="zh-CN" w:bidi="ar"/>
        </w:rPr>
        <w:t>3</w:t>
      </w:r>
      <w:r>
        <w:rPr>
          <w:rFonts w:hint="eastAsia" w:ascii="宋体" w:hAnsi="宋体" w:eastAsia="宋体" w:cs="宋体"/>
          <w:b w:val="0"/>
          <w:bCs w:val="0"/>
          <w:color w:val="auto"/>
          <w:kern w:val="0"/>
          <w:sz w:val="24"/>
          <w:szCs w:val="24"/>
          <w:highlight w:val="none"/>
          <w:vertAlign w:val="baseline"/>
          <w:lang w:val="en-US" w:eastAsia="zh-CN" w:bidi="ar"/>
        </w:rPr>
        <w:t>000元/次支付违约金。</w:t>
      </w:r>
    </w:p>
    <w:p w14:paraId="3AD3841E">
      <w:pPr>
        <w:pStyle w:val="15"/>
        <w:keepNext w:val="0"/>
        <w:keepLines w:val="0"/>
        <w:pageBreakBefore w:val="0"/>
        <w:widowControl w:val="0"/>
        <w:suppressLineNumbers w:val="0"/>
        <w:kinsoku/>
        <w:overflowPunct/>
        <w:topLinePunct w:val="0"/>
        <w:autoSpaceDE w:val="0"/>
        <w:autoSpaceDN/>
        <w:bidi w:val="0"/>
        <w:spacing w:before="0" w:beforeAutospacing="0" w:after="0" w:afterAutospacing="0" w:line="560" w:lineRule="exact"/>
        <w:ind w:left="0" w:right="0" w:firstLine="482" w:firstLineChars="200"/>
        <w:jc w:val="left"/>
        <w:textAlignment w:val="baseline"/>
        <w:rPr>
          <w:rFonts w:hint="eastAsia" w:ascii="宋体" w:hAnsi="宋体" w:eastAsia="宋体" w:cs="宋体"/>
          <w:b w:val="0"/>
          <w:bCs w:val="0"/>
          <w:color w:val="auto"/>
          <w:kern w:val="0"/>
          <w:sz w:val="24"/>
          <w:szCs w:val="24"/>
          <w:highlight w:val="none"/>
          <w:vertAlign w:val="baseline"/>
          <w:lang w:val="en-US" w:eastAsia="zh-CN" w:bidi="ar"/>
        </w:rPr>
      </w:pPr>
      <w:r>
        <w:rPr>
          <w:rFonts w:hint="eastAsia" w:ascii="宋体" w:hAnsi="宋体" w:eastAsia="宋体" w:cs="宋体"/>
          <w:b/>
          <w:bCs/>
          <w:color w:val="auto"/>
          <w:kern w:val="0"/>
          <w:sz w:val="24"/>
          <w:szCs w:val="24"/>
          <w:highlight w:val="none"/>
          <w:vertAlign w:val="baseline"/>
          <w:lang w:val="en-US" w:eastAsia="zh-CN" w:bidi="ar"/>
        </w:rPr>
        <w:t>8.3.6.11</w:t>
      </w:r>
      <w:r>
        <w:rPr>
          <w:rFonts w:hint="eastAsia" w:ascii="宋体" w:hAnsi="宋体" w:eastAsia="宋体" w:cs="宋体"/>
          <w:i w:val="0"/>
          <w:iCs w:val="0"/>
          <w:color w:val="auto"/>
          <w:kern w:val="0"/>
          <w:sz w:val="24"/>
          <w:szCs w:val="24"/>
          <w:highlight w:val="none"/>
          <w:lang w:val="en-US" w:eastAsia="zh-CN" w:bidi="ar"/>
        </w:rPr>
        <w:t>施工现场存在安全隐患，</w:t>
      </w:r>
      <w:r>
        <w:rPr>
          <w:rFonts w:hint="eastAsia" w:ascii="宋体" w:hAnsi="宋体" w:eastAsia="宋体" w:cs="宋体"/>
          <w:color w:val="auto"/>
          <w:kern w:val="0"/>
          <w:sz w:val="24"/>
          <w:szCs w:val="24"/>
          <w:highlight w:val="none"/>
          <w:lang w:val="en-US" w:eastAsia="zh-CN" w:bidi="ar"/>
        </w:rPr>
        <w:t>监理</w:t>
      </w:r>
      <w:r>
        <w:rPr>
          <w:rFonts w:hint="eastAsia" w:hAnsi="宋体" w:cs="宋体"/>
          <w:color w:val="auto"/>
          <w:kern w:val="0"/>
          <w:sz w:val="24"/>
          <w:szCs w:val="24"/>
          <w:highlight w:val="none"/>
          <w:lang w:val="en-US" w:eastAsia="zh-CN" w:bidi="ar"/>
        </w:rPr>
        <w:t>人</w:t>
      </w:r>
      <w:r>
        <w:rPr>
          <w:rFonts w:hint="eastAsia" w:ascii="宋体" w:hAnsi="宋体" w:eastAsia="宋体" w:cs="宋体"/>
          <w:i w:val="0"/>
          <w:iCs w:val="0"/>
          <w:color w:val="auto"/>
          <w:kern w:val="0"/>
          <w:sz w:val="24"/>
          <w:szCs w:val="24"/>
          <w:highlight w:val="none"/>
          <w:lang w:val="en-US" w:eastAsia="zh-CN" w:bidi="ar"/>
        </w:rPr>
        <w:t>未及时发现并发出整改指令，</w:t>
      </w:r>
      <w:r>
        <w:rPr>
          <w:rFonts w:hint="eastAsia" w:ascii="宋体" w:hAnsi="宋体" w:eastAsia="宋体" w:cs="宋体"/>
          <w:b w:val="0"/>
          <w:bCs w:val="0"/>
          <w:color w:val="auto"/>
          <w:kern w:val="0"/>
          <w:sz w:val="24"/>
          <w:szCs w:val="24"/>
          <w:highlight w:val="none"/>
          <w:vertAlign w:val="baseline"/>
          <w:lang w:val="en-US" w:eastAsia="zh-CN" w:bidi="ar"/>
        </w:rPr>
        <w:t>按</w:t>
      </w:r>
      <w:r>
        <w:rPr>
          <w:rFonts w:hint="eastAsia" w:ascii="宋体" w:hAnsi="宋体" w:eastAsia="宋体" w:cs="宋体"/>
          <w:b w:val="0"/>
          <w:bCs w:val="0"/>
          <w:color w:val="auto"/>
          <w:kern w:val="0"/>
          <w:sz w:val="24"/>
          <w:szCs w:val="24"/>
          <w:highlight w:val="none"/>
          <w:lang w:val="en-US" w:eastAsia="zh-CN" w:bidi="ar"/>
        </w:rPr>
        <w:t>¥</w:t>
      </w:r>
      <w:r>
        <w:rPr>
          <w:rFonts w:hint="eastAsia" w:cs="宋体"/>
          <w:b w:val="0"/>
          <w:bCs w:val="0"/>
          <w:color w:val="auto"/>
          <w:kern w:val="0"/>
          <w:sz w:val="24"/>
          <w:szCs w:val="24"/>
          <w:highlight w:val="none"/>
          <w:vertAlign w:val="baseline"/>
          <w:lang w:val="en-US" w:eastAsia="zh-CN" w:bidi="ar"/>
        </w:rPr>
        <w:t>2</w:t>
      </w:r>
      <w:r>
        <w:rPr>
          <w:rFonts w:hint="eastAsia" w:ascii="宋体" w:hAnsi="宋体" w:eastAsia="宋体" w:cs="宋体"/>
          <w:b w:val="0"/>
          <w:bCs w:val="0"/>
          <w:color w:val="auto"/>
          <w:kern w:val="0"/>
          <w:sz w:val="24"/>
          <w:szCs w:val="24"/>
          <w:highlight w:val="none"/>
          <w:vertAlign w:val="baseline"/>
          <w:lang w:val="en-US" w:eastAsia="zh-CN" w:bidi="ar"/>
        </w:rPr>
        <w:t>000元/次支付违约金。</w:t>
      </w:r>
    </w:p>
    <w:p w14:paraId="7A483CA6">
      <w:pPr>
        <w:pStyle w:val="15"/>
        <w:keepNext w:val="0"/>
        <w:keepLines w:val="0"/>
        <w:pageBreakBefore w:val="0"/>
        <w:widowControl w:val="0"/>
        <w:suppressLineNumbers w:val="0"/>
        <w:kinsoku/>
        <w:overflowPunct/>
        <w:topLinePunct w:val="0"/>
        <w:autoSpaceDE w:val="0"/>
        <w:autoSpaceDN/>
        <w:bidi w:val="0"/>
        <w:spacing w:before="0" w:beforeAutospacing="0" w:after="0" w:afterAutospacing="0" w:line="560" w:lineRule="exact"/>
        <w:ind w:left="0" w:right="0" w:firstLine="482" w:firstLineChars="200"/>
        <w:jc w:val="left"/>
        <w:textAlignment w:val="baseline"/>
        <w:rPr>
          <w:rFonts w:hint="eastAsia" w:ascii="宋体" w:hAnsi="宋体" w:eastAsia="宋体" w:cs="宋体"/>
          <w:b w:val="0"/>
          <w:bCs w:val="0"/>
          <w:color w:val="auto"/>
          <w:kern w:val="0"/>
          <w:sz w:val="24"/>
          <w:szCs w:val="24"/>
          <w:highlight w:val="none"/>
          <w:vertAlign w:val="baseline"/>
          <w:lang w:val="en-US" w:eastAsia="zh-CN" w:bidi="ar"/>
        </w:rPr>
      </w:pPr>
      <w:r>
        <w:rPr>
          <w:rFonts w:hint="eastAsia" w:ascii="宋体" w:hAnsi="宋体" w:eastAsia="宋体" w:cs="宋体"/>
          <w:b/>
          <w:bCs/>
          <w:color w:val="auto"/>
          <w:kern w:val="0"/>
          <w:sz w:val="24"/>
          <w:szCs w:val="24"/>
          <w:highlight w:val="none"/>
          <w:vertAlign w:val="baseline"/>
          <w:lang w:val="en-US" w:eastAsia="zh-CN" w:bidi="ar"/>
        </w:rPr>
        <w:t>8.3.6.12</w:t>
      </w:r>
      <w:r>
        <w:rPr>
          <w:rFonts w:hint="eastAsia" w:ascii="宋体" w:hAnsi="宋体" w:eastAsia="宋体" w:cs="宋体"/>
          <w:i w:val="0"/>
          <w:iCs w:val="0"/>
          <w:color w:val="auto"/>
          <w:kern w:val="0"/>
          <w:sz w:val="24"/>
          <w:szCs w:val="24"/>
          <w:highlight w:val="none"/>
          <w:lang w:val="en-US" w:eastAsia="zh-CN" w:bidi="ar"/>
        </w:rPr>
        <w:t>施工现场出现与图纸不符的建设内容，</w:t>
      </w:r>
      <w:r>
        <w:rPr>
          <w:rFonts w:hint="eastAsia" w:ascii="宋体" w:hAnsi="宋体" w:eastAsia="宋体" w:cs="宋体"/>
          <w:color w:val="auto"/>
          <w:kern w:val="0"/>
          <w:sz w:val="24"/>
          <w:szCs w:val="24"/>
          <w:highlight w:val="none"/>
          <w:lang w:val="en-US" w:eastAsia="zh-CN" w:bidi="ar"/>
        </w:rPr>
        <w:t>监理</w:t>
      </w:r>
      <w:r>
        <w:rPr>
          <w:rFonts w:hint="eastAsia" w:hAnsi="宋体" w:cs="宋体"/>
          <w:color w:val="auto"/>
          <w:kern w:val="0"/>
          <w:sz w:val="24"/>
          <w:szCs w:val="24"/>
          <w:highlight w:val="none"/>
          <w:lang w:val="en-US" w:eastAsia="zh-CN" w:bidi="ar"/>
        </w:rPr>
        <w:t>人</w:t>
      </w:r>
      <w:r>
        <w:rPr>
          <w:rFonts w:hint="eastAsia" w:ascii="宋体" w:hAnsi="宋体" w:eastAsia="宋体" w:cs="宋体"/>
          <w:i w:val="0"/>
          <w:iCs w:val="0"/>
          <w:color w:val="auto"/>
          <w:kern w:val="0"/>
          <w:sz w:val="24"/>
          <w:szCs w:val="24"/>
          <w:highlight w:val="none"/>
          <w:lang w:val="en-US" w:eastAsia="zh-CN" w:bidi="ar"/>
        </w:rPr>
        <w:t>未及时发现并发出整改指令，导致资金浪费或工期延误，</w:t>
      </w:r>
      <w:r>
        <w:rPr>
          <w:rFonts w:hint="eastAsia" w:ascii="宋体" w:hAnsi="宋体" w:eastAsia="宋体" w:cs="宋体"/>
          <w:b w:val="0"/>
          <w:bCs w:val="0"/>
          <w:color w:val="auto"/>
          <w:kern w:val="0"/>
          <w:sz w:val="24"/>
          <w:szCs w:val="24"/>
          <w:highlight w:val="none"/>
          <w:vertAlign w:val="baseline"/>
          <w:lang w:val="en-US" w:eastAsia="zh-CN" w:bidi="ar"/>
        </w:rPr>
        <w:t>按</w:t>
      </w:r>
      <w:r>
        <w:rPr>
          <w:rFonts w:hint="eastAsia" w:ascii="宋体" w:hAnsi="宋体" w:eastAsia="宋体" w:cs="宋体"/>
          <w:b w:val="0"/>
          <w:bCs w:val="0"/>
          <w:color w:val="auto"/>
          <w:kern w:val="0"/>
          <w:sz w:val="24"/>
          <w:szCs w:val="24"/>
          <w:highlight w:val="none"/>
          <w:lang w:val="en-US" w:eastAsia="zh-CN" w:bidi="ar"/>
        </w:rPr>
        <w:t>¥</w:t>
      </w:r>
      <w:r>
        <w:rPr>
          <w:rFonts w:hint="eastAsia" w:cs="宋体"/>
          <w:b w:val="0"/>
          <w:bCs w:val="0"/>
          <w:color w:val="auto"/>
          <w:kern w:val="0"/>
          <w:sz w:val="24"/>
          <w:szCs w:val="24"/>
          <w:highlight w:val="none"/>
          <w:vertAlign w:val="baseline"/>
          <w:lang w:val="en-US" w:eastAsia="zh-CN" w:bidi="ar"/>
        </w:rPr>
        <w:t>2</w:t>
      </w:r>
      <w:r>
        <w:rPr>
          <w:rFonts w:hint="eastAsia" w:ascii="宋体" w:hAnsi="宋体" w:eastAsia="宋体" w:cs="宋体"/>
          <w:b w:val="0"/>
          <w:bCs w:val="0"/>
          <w:color w:val="auto"/>
          <w:kern w:val="0"/>
          <w:sz w:val="24"/>
          <w:szCs w:val="24"/>
          <w:highlight w:val="none"/>
          <w:vertAlign w:val="baseline"/>
          <w:lang w:val="en-US" w:eastAsia="zh-CN" w:bidi="ar"/>
        </w:rPr>
        <w:t>000元/次支付违约金。</w:t>
      </w:r>
    </w:p>
    <w:p w14:paraId="57C41032">
      <w:pPr>
        <w:pStyle w:val="15"/>
        <w:keepNext w:val="0"/>
        <w:keepLines w:val="0"/>
        <w:pageBreakBefore w:val="0"/>
        <w:widowControl w:val="0"/>
        <w:suppressLineNumbers w:val="0"/>
        <w:kinsoku/>
        <w:overflowPunct/>
        <w:topLinePunct w:val="0"/>
        <w:autoSpaceDE w:val="0"/>
        <w:autoSpaceDN/>
        <w:bidi w:val="0"/>
        <w:spacing w:before="0" w:beforeAutospacing="0" w:after="0" w:afterAutospacing="0" w:line="560" w:lineRule="exact"/>
        <w:ind w:left="0" w:right="0" w:firstLine="482" w:firstLineChars="200"/>
        <w:jc w:val="left"/>
        <w:textAlignment w:val="baseline"/>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vertAlign w:val="baseline"/>
          <w:lang w:val="en-US" w:eastAsia="zh-CN" w:bidi="ar"/>
        </w:rPr>
        <w:t>8.3.6.1</w:t>
      </w:r>
      <w:r>
        <w:rPr>
          <w:rFonts w:hint="eastAsia" w:cs="宋体"/>
          <w:b/>
          <w:bCs/>
          <w:color w:val="auto"/>
          <w:kern w:val="0"/>
          <w:sz w:val="24"/>
          <w:szCs w:val="24"/>
          <w:highlight w:val="none"/>
          <w:vertAlign w:val="baseline"/>
          <w:lang w:val="en-US" w:eastAsia="zh-CN" w:bidi="ar"/>
        </w:rPr>
        <w:t>3</w:t>
      </w:r>
      <w:r>
        <w:rPr>
          <w:rFonts w:hint="eastAsia" w:ascii="宋体" w:hAnsi="宋体" w:eastAsia="宋体" w:cs="宋体"/>
          <w:color w:val="auto"/>
          <w:kern w:val="0"/>
          <w:sz w:val="24"/>
          <w:szCs w:val="24"/>
          <w:highlight w:val="none"/>
          <w:vertAlign w:val="baseline"/>
          <w:lang w:val="en-US" w:eastAsia="zh-CN" w:bidi="ar"/>
        </w:rPr>
        <w:t>服务期间，根据《建设工程监理规范》规定：3.2.1一名总监理工程师只宜担任一项委托监理合同的项目总监理工程师工作。当需要同时担任多项委托监理合同的项目总监理工程师工作时，须经</w:t>
      </w:r>
      <w:r>
        <w:rPr>
          <w:rFonts w:hint="eastAsia" w:hAnsi="宋体" w:cs="宋体"/>
          <w:color w:val="auto"/>
          <w:kern w:val="0"/>
          <w:sz w:val="24"/>
          <w:szCs w:val="24"/>
          <w:highlight w:val="none"/>
          <w:lang w:val="en-US" w:eastAsia="zh-CN" w:bidi="ar"/>
        </w:rPr>
        <w:t>委托人</w:t>
      </w:r>
      <w:r>
        <w:rPr>
          <w:rFonts w:hint="eastAsia" w:ascii="宋体" w:hAnsi="宋体" w:eastAsia="宋体" w:cs="宋体"/>
          <w:color w:val="auto"/>
          <w:kern w:val="0"/>
          <w:sz w:val="24"/>
          <w:szCs w:val="24"/>
          <w:highlight w:val="none"/>
          <w:vertAlign w:val="baseline"/>
          <w:lang w:val="en-US" w:eastAsia="zh-CN" w:bidi="ar"/>
        </w:rPr>
        <w:t>同意，且最多不得超过三项。若乙方违反，一经发现，按</w:t>
      </w:r>
      <w:r>
        <w:rPr>
          <w:rFonts w:hint="eastAsia" w:ascii="宋体" w:hAnsi="宋体" w:eastAsia="宋体" w:cs="宋体"/>
          <w:b w:val="0"/>
          <w:bCs w:val="0"/>
          <w:color w:val="auto"/>
          <w:kern w:val="0"/>
          <w:sz w:val="24"/>
          <w:szCs w:val="24"/>
          <w:highlight w:val="none"/>
          <w:lang w:val="en-US" w:eastAsia="zh-CN" w:bidi="ar"/>
        </w:rPr>
        <w:t>¥</w:t>
      </w:r>
      <w:r>
        <w:rPr>
          <w:rFonts w:hint="eastAsia" w:ascii="宋体" w:hAnsi="宋体" w:eastAsia="宋体" w:cs="宋体"/>
          <w:color w:val="auto"/>
          <w:kern w:val="0"/>
          <w:sz w:val="24"/>
          <w:szCs w:val="24"/>
          <w:highlight w:val="none"/>
          <w:vertAlign w:val="baseline"/>
          <w:lang w:val="en-US" w:eastAsia="zh-CN" w:bidi="ar"/>
        </w:rPr>
        <w:t>20000元/次支付违约金并赔偿由此给甲方造成的一切损失。</w:t>
      </w:r>
    </w:p>
    <w:p w14:paraId="77833E50">
      <w:pPr>
        <w:keepNext w:val="0"/>
        <w:keepLines w:val="0"/>
        <w:pageBreakBefore w:val="0"/>
        <w:widowControl w:val="0"/>
        <w:suppressLineNumbers w:val="0"/>
        <w:wordWrap w:val="0"/>
        <w:overflowPunct/>
        <w:topLinePunct w:val="0"/>
        <w:autoSpaceDN/>
        <w:bidi w:val="0"/>
        <w:adjustRightInd w:val="0"/>
        <w:snapToGrid w:val="0"/>
        <w:spacing w:before="0" w:beforeAutospacing="0" w:after="0" w:afterAutospacing="0" w:line="600" w:lineRule="exact"/>
        <w:ind w:right="0"/>
        <w:jc w:val="center"/>
        <w:rPr>
          <w:rFonts w:hint="eastAsia" w:ascii="宋体" w:hAnsi="宋体" w:eastAsia="宋体" w:cs="宋体"/>
          <w:color w:val="auto"/>
          <w:kern w:val="2"/>
          <w:sz w:val="24"/>
          <w:szCs w:val="24"/>
          <w:highlight w:val="none"/>
        </w:rPr>
      </w:pPr>
      <w:r>
        <w:rPr>
          <w:rFonts w:hint="eastAsia" w:ascii="宋体" w:hAnsi="宋体" w:eastAsia="宋体" w:cs="宋体"/>
          <w:b/>
          <w:bCs/>
          <w:color w:val="auto"/>
          <w:kern w:val="0"/>
          <w:sz w:val="24"/>
          <w:szCs w:val="24"/>
          <w:highlight w:val="none"/>
          <w:lang w:val="en-US" w:eastAsia="zh-CN" w:bidi="ar"/>
        </w:rPr>
        <w:t>监理违约行为一览表</w:t>
      </w:r>
    </w:p>
    <w:tbl>
      <w:tblPr>
        <w:tblStyle w:val="16"/>
        <w:tblW w:w="91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2"/>
        <w:gridCol w:w="4357"/>
        <w:gridCol w:w="1352"/>
        <w:gridCol w:w="2438"/>
      </w:tblGrid>
      <w:tr w14:paraId="076876C2">
        <w:tblPrEx>
          <w:tblCellMar>
            <w:top w:w="0" w:type="dxa"/>
            <w:left w:w="108" w:type="dxa"/>
            <w:bottom w:w="0" w:type="dxa"/>
            <w:right w:w="108" w:type="dxa"/>
          </w:tblCellMar>
        </w:tblPrEx>
        <w:trPr>
          <w:trHeight w:val="515" w:hRule="atLeast"/>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14:paraId="7311DD99">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b/>
                <w:bCs/>
                <w:i w:val="0"/>
                <w:iCs w:val="0"/>
                <w:color w:val="auto"/>
                <w:kern w:val="0"/>
                <w:sz w:val="24"/>
                <w:szCs w:val="24"/>
                <w:highlight w:val="none"/>
                <w:lang w:val="en-US" w:eastAsia="zh-CN" w:bidi="ar"/>
              </w:rPr>
            </w:pPr>
            <w:r>
              <w:rPr>
                <w:rFonts w:hint="eastAsia" w:ascii="宋体" w:hAnsi="宋体" w:eastAsia="宋体" w:cs="宋体"/>
                <w:b/>
                <w:bCs/>
                <w:i w:val="0"/>
                <w:iCs w:val="0"/>
                <w:color w:val="auto"/>
                <w:kern w:val="0"/>
                <w:sz w:val="24"/>
                <w:szCs w:val="24"/>
                <w:highlight w:val="none"/>
                <w:lang w:val="en-US" w:eastAsia="zh-CN" w:bidi="ar"/>
              </w:rPr>
              <w:t>序号</w:t>
            </w:r>
          </w:p>
        </w:tc>
        <w:tc>
          <w:tcPr>
            <w:tcW w:w="4357" w:type="dxa"/>
            <w:tcBorders>
              <w:top w:val="single" w:color="000000" w:sz="4" w:space="0"/>
              <w:left w:val="nil"/>
              <w:bottom w:val="single" w:color="000000" w:sz="4" w:space="0"/>
              <w:right w:val="single" w:color="000000" w:sz="4" w:space="0"/>
            </w:tcBorders>
            <w:noWrap w:val="0"/>
            <w:vAlign w:val="center"/>
          </w:tcPr>
          <w:p w14:paraId="64CF00F1">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b/>
                <w:bCs/>
                <w:i w:val="0"/>
                <w:iCs w:val="0"/>
                <w:color w:val="auto"/>
                <w:kern w:val="2"/>
                <w:sz w:val="24"/>
                <w:szCs w:val="24"/>
                <w:highlight w:val="none"/>
              </w:rPr>
            </w:pPr>
            <w:r>
              <w:rPr>
                <w:rFonts w:hint="eastAsia" w:ascii="宋体" w:hAnsi="宋体" w:eastAsia="宋体" w:cs="宋体"/>
                <w:b/>
                <w:bCs/>
                <w:i w:val="0"/>
                <w:iCs w:val="0"/>
                <w:color w:val="auto"/>
                <w:kern w:val="0"/>
                <w:sz w:val="24"/>
                <w:szCs w:val="24"/>
                <w:highlight w:val="none"/>
                <w:lang w:val="en-US" w:eastAsia="zh-CN" w:bidi="ar"/>
              </w:rPr>
              <w:t>违约行为</w:t>
            </w:r>
          </w:p>
        </w:tc>
        <w:tc>
          <w:tcPr>
            <w:tcW w:w="1352" w:type="dxa"/>
            <w:tcBorders>
              <w:top w:val="single" w:color="000000" w:sz="4" w:space="0"/>
              <w:left w:val="nil"/>
              <w:bottom w:val="single" w:color="000000" w:sz="4" w:space="0"/>
              <w:right w:val="single" w:color="000000" w:sz="4" w:space="0"/>
            </w:tcBorders>
            <w:noWrap w:val="0"/>
            <w:vAlign w:val="center"/>
          </w:tcPr>
          <w:p w14:paraId="2D6EC2AB">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b/>
                <w:bCs/>
                <w:i w:val="0"/>
                <w:iCs w:val="0"/>
                <w:color w:val="auto"/>
                <w:kern w:val="2"/>
                <w:sz w:val="24"/>
                <w:szCs w:val="24"/>
                <w:highlight w:val="none"/>
              </w:rPr>
            </w:pPr>
            <w:r>
              <w:rPr>
                <w:rFonts w:hint="eastAsia" w:ascii="宋体" w:hAnsi="宋体" w:eastAsia="宋体" w:cs="宋体"/>
                <w:b/>
                <w:bCs/>
                <w:i w:val="0"/>
                <w:iCs w:val="0"/>
                <w:color w:val="auto"/>
                <w:kern w:val="0"/>
                <w:sz w:val="24"/>
                <w:szCs w:val="24"/>
                <w:highlight w:val="none"/>
                <w:lang w:val="en-US" w:eastAsia="zh-CN" w:bidi="ar"/>
              </w:rPr>
              <w:t>违约金额</w:t>
            </w:r>
          </w:p>
        </w:tc>
        <w:tc>
          <w:tcPr>
            <w:tcW w:w="2438" w:type="dxa"/>
            <w:tcBorders>
              <w:top w:val="single" w:color="000000" w:sz="4" w:space="0"/>
              <w:left w:val="nil"/>
              <w:bottom w:val="single" w:color="000000" w:sz="4" w:space="0"/>
              <w:right w:val="single" w:color="000000" w:sz="4" w:space="0"/>
            </w:tcBorders>
            <w:noWrap w:val="0"/>
            <w:vAlign w:val="center"/>
          </w:tcPr>
          <w:p w14:paraId="700DFE53">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b/>
                <w:bCs/>
                <w:i w:val="0"/>
                <w:iCs w:val="0"/>
                <w:color w:val="auto"/>
                <w:kern w:val="2"/>
                <w:sz w:val="24"/>
                <w:szCs w:val="24"/>
                <w:highlight w:val="none"/>
              </w:rPr>
            </w:pPr>
            <w:r>
              <w:rPr>
                <w:rFonts w:hint="eastAsia" w:ascii="宋体" w:hAnsi="宋体" w:eastAsia="宋体" w:cs="宋体"/>
                <w:b/>
                <w:bCs/>
                <w:i w:val="0"/>
                <w:iCs w:val="0"/>
                <w:color w:val="auto"/>
                <w:kern w:val="0"/>
                <w:sz w:val="24"/>
                <w:szCs w:val="24"/>
                <w:highlight w:val="none"/>
                <w:lang w:val="en-US" w:eastAsia="zh-CN" w:bidi="ar"/>
              </w:rPr>
              <w:t>备注</w:t>
            </w:r>
          </w:p>
        </w:tc>
      </w:tr>
      <w:tr w14:paraId="7A2B9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14:paraId="4316697F">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b/>
                <w:bCs/>
                <w:i w:val="0"/>
                <w:iCs w:val="0"/>
                <w:color w:val="auto"/>
                <w:kern w:val="0"/>
                <w:sz w:val="24"/>
                <w:szCs w:val="24"/>
                <w:highlight w:val="none"/>
                <w:lang w:val="en-US" w:eastAsia="zh-CN" w:bidi="ar"/>
              </w:rPr>
              <w:t>8.3.1</w:t>
            </w:r>
          </w:p>
        </w:tc>
        <w:tc>
          <w:tcPr>
            <w:tcW w:w="4357" w:type="dxa"/>
            <w:tcBorders>
              <w:top w:val="single" w:color="000000" w:sz="4" w:space="0"/>
              <w:left w:val="nil"/>
              <w:bottom w:val="single" w:color="000000" w:sz="4" w:space="0"/>
              <w:right w:val="single" w:color="000000" w:sz="4" w:space="0"/>
            </w:tcBorders>
            <w:noWrap w:val="0"/>
            <w:vAlign w:val="center"/>
          </w:tcPr>
          <w:p w14:paraId="2B6D9A67">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监理不良行为违约</w:t>
            </w:r>
          </w:p>
        </w:tc>
        <w:tc>
          <w:tcPr>
            <w:tcW w:w="1352" w:type="dxa"/>
            <w:tcBorders>
              <w:top w:val="single" w:color="000000" w:sz="4" w:space="0"/>
              <w:left w:val="nil"/>
              <w:bottom w:val="single" w:color="000000" w:sz="4" w:space="0"/>
              <w:right w:val="single" w:color="000000" w:sz="4" w:space="0"/>
            </w:tcBorders>
            <w:noWrap w:val="0"/>
            <w:vAlign w:val="center"/>
          </w:tcPr>
          <w:p w14:paraId="77F7EE9D">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center"/>
              <w:rPr>
                <w:rFonts w:hint="eastAsia" w:ascii="宋体" w:hAnsi="宋体" w:eastAsia="宋体" w:cs="宋体"/>
                <w:i w:val="0"/>
                <w:iCs w:val="0"/>
                <w:color w:val="auto"/>
                <w:kern w:val="2"/>
                <w:sz w:val="24"/>
                <w:szCs w:val="24"/>
                <w:highlight w:val="none"/>
              </w:rPr>
            </w:pPr>
          </w:p>
        </w:tc>
        <w:tc>
          <w:tcPr>
            <w:tcW w:w="2438" w:type="dxa"/>
            <w:tcBorders>
              <w:top w:val="single" w:color="000000" w:sz="4" w:space="0"/>
              <w:left w:val="nil"/>
              <w:bottom w:val="single" w:color="000000" w:sz="4" w:space="0"/>
              <w:right w:val="single" w:color="000000" w:sz="4" w:space="0"/>
            </w:tcBorders>
            <w:noWrap w:val="0"/>
            <w:vAlign w:val="center"/>
          </w:tcPr>
          <w:p w14:paraId="5393B036">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rPr>
                <w:rFonts w:hint="eastAsia" w:ascii="宋体" w:hAnsi="宋体" w:eastAsia="宋体" w:cs="宋体"/>
                <w:i w:val="0"/>
                <w:iCs w:val="0"/>
                <w:color w:val="auto"/>
                <w:kern w:val="2"/>
                <w:sz w:val="24"/>
                <w:szCs w:val="24"/>
                <w:highlight w:val="none"/>
              </w:rPr>
            </w:pPr>
          </w:p>
        </w:tc>
      </w:tr>
      <w:tr w14:paraId="18638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14:paraId="15F4A3DB">
            <w:pPr>
              <w:keepNext w:val="0"/>
              <w:keepLines w:val="0"/>
              <w:pageBreakBefore w:val="0"/>
              <w:widowControl/>
              <w:suppressLineNumbers w:val="0"/>
              <w:overflowPunct/>
              <w:topLinePunct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1</w:t>
            </w:r>
          </w:p>
        </w:tc>
        <w:tc>
          <w:tcPr>
            <w:tcW w:w="4357" w:type="dxa"/>
            <w:tcBorders>
              <w:top w:val="single" w:color="000000" w:sz="4" w:space="0"/>
              <w:left w:val="nil"/>
              <w:bottom w:val="single" w:color="000000" w:sz="4" w:space="0"/>
              <w:right w:val="single" w:color="000000" w:sz="4" w:space="0"/>
            </w:tcBorders>
            <w:noWrap w:val="0"/>
            <w:vAlign w:val="center"/>
          </w:tcPr>
          <w:p w14:paraId="2AC42AF4">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本项目对驻场总监实施指纹考勤，指纹考勤每月累计不少于20天，未经</w:t>
            </w:r>
            <w:r>
              <w:rPr>
                <w:rFonts w:hint="eastAsia" w:hAnsi="宋体" w:cs="宋体"/>
                <w:snapToGrid w:val="0"/>
                <w:color w:val="auto"/>
                <w:kern w:val="0"/>
                <w:szCs w:val="24"/>
              </w:rPr>
              <w:t>委托人</w:t>
            </w:r>
            <w:r>
              <w:rPr>
                <w:rFonts w:hint="eastAsia" w:ascii="宋体" w:hAnsi="宋体" w:eastAsia="宋体" w:cs="宋体"/>
                <w:i w:val="0"/>
                <w:iCs w:val="0"/>
                <w:color w:val="auto"/>
                <w:kern w:val="0"/>
                <w:sz w:val="24"/>
                <w:szCs w:val="24"/>
                <w:highlight w:val="none"/>
                <w:lang w:val="en-US" w:eastAsia="zh-CN" w:bidi="ar"/>
              </w:rPr>
              <w:t>书面同意，每少1天，视为监理人发生监理不良行为一次，承担一般违约责任一次。</w:t>
            </w:r>
          </w:p>
        </w:tc>
        <w:tc>
          <w:tcPr>
            <w:tcW w:w="1352" w:type="dxa"/>
            <w:tcBorders>
              <w:top w:val="single" w:color="000000" w:sz="4" w:space="0"/>
              <w:left w:val="nil"/>
              <w:bottom w:val="single" w:color="000000" w:sz="4" w:space="0"/>
              <w:right w:val="single" w:color="000000" w:sz="4" w:space="0"/>
            </w:tcBorders>
            <w:noWrap w:val="0"/>
            <w:vAlign w:val="center"/>
          </w:tcPr>
          <w:p w14:paraId="33D02F1B">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2"/>
                <w:sz w:val="24"/>
                <w:szCs w:val="24"/>
                <w:highlight w:val="none"/>
              </w:rPr>
            </w:pPr>
            <w:r>
              <w:rPr>
                <w:rFonts w:hint="eastAsia" w:hAnsi="宋体" w:cs="宋体"/>
                <w:i w:val="0"/>
                <w:iCs w:val="0"/>
                <w:color w:val="auto"/>
                <w:kern w:val="0"/>
                <w:sz w:val="24"/>
                <w:szCs w:val="24"/>
                <w:highlight w:val="none"/>
                <w:lang w:val="en-US" w:eastAsia="zh-CN" w:bidi="ar"/>
              </w:rPr>
              <w:t>3</w:t>
            </w:r>
            <w:r>
              <w:rPr>
                <w:rFonts w:hint="eastAsia" w:ascii="宋体" w:hAnsi="宋体" w:eastAsia="宋体" w:cs="宋体"/>
                <w:i w:val="0"/>
                <w:iCs w:val="0"/>
                <w:color w:val="auto"/>
                <w:kern w:val="0"/>
                <w:sz w:val="24"/>
                <w:szCs w:val="24"/>
                <w:highlight w:val="none"/>
                <w:lang w:val="en-US" w:eastAsia="zh-CN" w:bidi="ar"/>
              </w:rPr>
              <w:t>000元/天</w:t>
            </w:r>
          </w:p>
        </w:tc>
        <w:tc>
          <w:tcPr>
            <w:tcW w:w="2438" w:type="dxa"/>
            <w:tcBorders>
              <w:top w:val="single" w:color="000000" w:sz="4" w:space="0"/>
              <w:left w:val="nil"/>
              <w:bottom w:val="single" w:color="000000" w:sz="4" w:space="0"/>
              <w:right w:val="single" w:color="000000" w:sz="4" w:space="0"/>
            </w:tcBorders>
            <w:noWrap w:val="0"/>
            <w:vAlign w:val="center"/>
          </w:tcPr>
          <w:p w14:paraId="766595EC">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rPr>
                <w:rFonts w:hint="eastAsia" w:ascii="宋体" w:hAnsi="宋体" w:eastAsia="宋体" w:cs="宋体"/>
                <w:i w:val="0"/>
                <w:iCs w:val="0"/>
                <w:color w:val="auto"/>
                <w:kern w:val="2"/>
                <w:sz w:val="24"/>
                <w:szCs w:val="24"/>
                <w:highlight w:val="none"/>
              </w:rPr>
            </w:pPr>
          </w:p>
        </w:tc>
      </w:tr>
      <w:tr w14:paraId="1A542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14:paraId="7D12EB61">
            <w:pPr>
              <w:keepNext w:val="0"/>
              <w:keepLines w:val="0"/>
              <w:pageBreakBefore w:val="0"/>
              <w:widowControl/>
              <w:suppressLineNumbers w:val="0"/>
              <w:overflowPunct/>
              <w:topLinePunct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2</w:t>
            </w:r>
          </w:p>
        </w:tc>
        <w:tc>
          <w:tcPr>
            <w:tcW w:w="4357" w:type="dxa"/>
            <w:tcBorders>
              <w:top w:val="single" w:color="000000" w:sz="4" w:space="0"/>
              <w:left w:val="nil"/>
              <w:bottom w:val="single" w:color="000000" w:sz="4" w:space="0"/>
              <w:right w:val="single" w:color="000000" w:sz="4" w:space="0"/>
            </w:tcBorders>
            <w:noWrap w:val="0"/>
            <w:vAlign w:val="center"/>
          </w:tcPr>
          <w:p w14:paraId="7AD27E2F">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本项目对驻场监理人员实施指纹考勤，指纹考勤每月累计不到位天数超过6天的</w:t>
            </w:r>
          </w:p>
        </w:tc>
        <w:tc>
          <w:tcPr>
            <w:tcW w:w="1352" w:type="dxa"/>
            <w:tcBorders>
              <w:top w:val="single" w:color="000000" w:sz="4" w:space="0"/>
              <w:left w:val="nil"/>
              <w:bottom w:val="single" w:color="000000" w:sz="4" w:space="0"/>
              <w:right w:val="single" w:color="000000" w:sz="4" w:space="0"/>
            </w:tcBorders>
            <w:noWrap w:val="0"/>
            <w:vAlign w:val="center"/>
          </w:tcPr>
          <w:p w14:paraId="01A1AE48">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2"/>
                <w:sz w:val="24"/>
                <w:szCs w:val="24"/>
                <w:highlight w:val="none"/>
              </w:rPr>
            </w:pPr>
            <w:r>
              <w:rPr>
                <w:rFonts w:hint="eastAsia" w:hAnsi="宋体" w:cs="宋体"/>
                <w:i w:val="0"/>
                <w:iCs w:val="0"/>
                <w:color w:val="auto"/>
                <w:kern w:val="0"/>
                <w:sz w:val="24"/>
                <w:szCs w:val="24"/>
                <w:highlight w:val="none"/>
                <w:lang w:val="en-US" w:eastAsia="zh-CN" w:bidi="ar"/>
              </w:rPr>
              <w:t>3</w:t>
            </w:r>
            <w:r>
              <w:rPr>
                <w:rFonts w:hint="eastAsia" w:ascii="宋体" w:hAnsi="宋体" w:eastAsia="宋体" w:cs="宋体"/>
                <w:i w:val="0"/>
                <w:iCs w:val="0"/>
                <w:color w:val="auto"/>
                <w:kern w:val="0"/>
                <w:sz w:val="24"/>
                <w:szCs w:val="24"/>
                <w:highlight w:val="none"/>
                <w:lang w:val="en-US" w:eastAsia="zh-CN" w:bidi="ar"/>
              </w:rPr>
              <w:t>000元/人/天</w:t>
            </w:r>
          </w:p>
        </w:tc>
        <w:tc>
          <w:tcPr>
            <w:tcW w:w="2438" w:type="dxa"/>
            <w:tcBorders>
              <w:top w:val="single" w:color="000000" w:sz="4" w:space="0"/>
              <w:left w:val="nil"/>
              <w:bottom w:val="single" w:color="000000" w:sz="4" w:space="0"/>
              <w:right w:val="single" w:color="000000" w:sz="4" w:space="0"/>
            </w:tcBorders>
            <w:noWrap w:val="0"/>
            <w:vAlign w:val="center"/>
          </w:tcPr>
          <w:p w14:paraId="33C656AB">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rPr>
                <w:rFonts w:hint="eastAsia" w:ascii="宋体" w:hAnsi="宋体" w:eastAsia="宋体" w:cs="宋体"/>
                <w:i w:val="0"/>
                <w:iCs w:val="0"/>
                <w:color w:val="auto"/>
                <w:kern w:val="2"/>
                <w:sz w:val="24"/>
                <w:szCs w:val="24"/>
                <w:highlight w:val="none"/>
              </w:rPr>
            </w:pPr>
          </w:p>
        </w:tc>
      </w:tr>
      <w:tr w14:paraId="0DFF8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14:paraId="1944C874">
            <w:pPr>
              <w:keepNext w:val="0"/>
              <w:keepLines w:val="0"/>
              <w:pageBreakBefore w:val="0"/>
              <w:widowControl/>
              <w:suppressLineNumbers w:val="0"/>
              <w:overflowPunct/>
              <w:topLinePunct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3</w:t>
            </w:r>
          </w:p>
        </w:tc>
        <w:tc>
          <w:tcPr>
            <w:tcW w:w="4357" w:type="dxa"/>
            <w:tcBorders>
              <w:top w:val="single" w:color="000000" w:sz="4" w:space="0"/>
              <w:left w:val="nil"/>
              <w:bottom w:val="single" w:color="000000" w:sz="4" w:space="0"/>
              <w:right w:val="single" w:color="000000" w:sz="4" w:space="0"/>
            </w:tcBorders>
            <w:noWrap w:val="0"/>
            <w:vAlign w:val="center"/>
          </w:tcPr>
          <w:p w14:paraId="102A9408">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其他监理人员必须按配备要求在现场驻场监理，离开项目现场必须经</w:t>
            </w:r>
            <w:r>
              <w:rPr>
                <w:rFonts w:hint="eastAsia" w:hAnsi="宋体" w:cs="宋体"/>
                <w:i w:val="0"/>
                <w:iCs w:val="0"/>
                <w:color w:val="auto"/>
                <w:kern w:val="0"/>
                <w:sz w:val="24"/>
                <w:szCs w:val="24"/>
                <w:highlight w:val="none"/>
                <w:lang w:val="en-US" w:eastAsia="zh-CN" w:bidi="ar"/>
              </w:rPr>
              <w:t>委托人</w:t>
            </w:r>
            <w:r>
              <w:rPr>
                <w:rFonts w:hint="eastAsia" w:ascii="宋体" w:hAnsi="宋体" w:eastAsia="宋体" w:cs="宋体"/>
                <w:i w:val="0"/>
                <w:iCs w:val="0"/>
                <w:color w:val="auto"/>
                <w:kern w:val="0"/>
                <w:sz w:val="24"/>
                <w:szCs w:val="24"/>
                <w:highlight w:val="none"/>
                <w:lang w:val="en-US" w:eastAsia="zh-CN" w:bidi="ar"/>
              </w:rPr>
              <w:t>书面同意，如</w:t>
            </w:r>
            <w:r>
              <w:rPr>
                <w:rFonts w:hint="eastAsia" w:hAnsi="宋体" w:cs="宋体"/>
                <w:i w:val="0"/>
                <w:iCs w:val="0"/>
                <w:color w:val="auto"/>
                <w:kern w:val="0"/>
                <w:sz w:val="24"/>
                <w:szCs w:val="24"/>
                <w:highlight w:val="none"/>
                <w:lang w:val="en-US" w:eastAsia="zh-CN" w:bidi="ar"/>
              </w:rPr>
              <w:t>委托人</w:t>
            </w:r>
            <w:r>
              <w:rPr>
                <w:rFonts w:hint="eastAsia" w:ascii="宋体" w:hAnsi="宋体" w:eastAsia="宋体" w:cs="宋体"/>
                <w:i w:val="0"/>
                <w:iCs w:val="0"/>
                <w:color w:val="auto"/>
                <w:kern w:val="0"/>
                <w:sz w:val="24"/>
                <w:szCs w:val="24"/>
                <w:highlight w:val="none"/>
                <w:lang w:val="en-US" w:eastAsia="zh-CN" w:bidi="ar"/>
              </w:rPr>
              <w:t>发现监理人员非正常离岗</w:t>
            </w:r>
          </w:p>
        </w:tc>
        <w:tc>
          <w:tcPr>
            <w:tcW w:w="1352" w:type="dxa"/>
            <w:tcBorders>
              <w:top w:val="single" w:color="000000" w:sz="4" w:space="0"/>
              <w:left w:val="nil"/>
              <w:bottom w:val="single" w:color="000000" w:sz="4" w:space="0"/>
              <w:right w:val="single" w:color="000000" w:sz="4" w:space="0"/>
            </w:tcBorders>
            <w:noWrap w:val="0"/>
            <w:vAlign w:val="center"/>
          </w:tcPr>
          <w:p w14:paraId="086D8FB9">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2"/>
                <w:sz w:val="24"/>
                <w:szCs w:val="24"/>
                <w:highlight w:val="none"/>
              </w:rPr>
            </w:pPr>
            <w:r>
              <w:rPr>
                <w:rFonts w:hint="eastAsia" w:hAnsi="宋体" w:cs="宋体"/>
                <w:i w:val="0"/>
                <w:iCs w:val="0"/>
                <w:color w:val="auto"/>
                <w:kern w:val="0"/>
                <w:sz w:val="24"/>
                <w:szCs w:val="24"/>
                <w:highlight w:val="none"/>
                <w:lang w:val="en-US" w:eastAsia="zh-CN" w:bidi="ar"/>
              </w:rPr>
              <w:t>3</w:t>
            </w:r>
            <w:r>
              <w:rPr>
                <w:rFonts w:hint="eastAsia" w:ascii="宋体" w:hAnsi="宋体" w:eastAsia="宋体" w:cs="宋体"/>
                <w:i w:val="0"/>
                <w:iCs w:val="0"/>
                <w:color w:val="auto"/>
                <w:kern w:val="0"/>
                <w:sz w:val="24"/>
                <w:szCs w:val="24"/>
                <w:highlight w:val="none"/>
                <w:lang w:val="en-US" w:eastAsia="zh-CN" w:bidi="ar"/>
              </w:rPr>
              <w:t>000元</w:t>
            </w:r>
          </w:p>
        </w:tc>
        <w:tc>
          <w:tcPr>
            <w:tcW w:w="2438" w:type="dxa"/>
            <w:tcBorders>
              <w:top w:val="single" w:color="000000" w:sz="4" w:space="0"/>
              <w:left w:val="nil"/>
              <w:bottom w:val="single" w:color="000000" w:sz="4" w:space="0"/>
              <w:right w:val="single" w:color="000000" w:sz="4" w:space="0"/>
            </w:tcBorders>
            <w:noWrap w:val="0"/>
            <w:vAlign w:val="center"/>
          </w:tcPr>
          <w:p w14:paraId="6187FB15">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rPr>
                <w:rFonts w:hint="eastAsia" w:ascii="宋体" w:hAnsi="宋体" w:eastAsia="宋体" w:cs="宋体"/>
                <w:i w:val="0"/>
                <w:iCs w:val="0"/>
                <w:color w:val="auto"/>
                <w:kern w:val="2"/>
                <w:sz w:val="24"/>
                <w:szCs w:val="24"/>
                <w:highlight w:val="none"/>
              </w:rPr>
            </w:pPr>
          </w:p>
        </w:tc>
      </w:tr>
      <w:tr w14:paraId="70772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14:paraId="6B5C8F94">
            <w:pPr>
              <w:keepNext w:val="0"/>
              <w:keepLines w:val="0"/>
              <w:pageBreakBefore w:val="0"/>
              <w:widowControl/>
              <w:suppressLineNumbers w:val="0"/>
              <w:overflowPunct/>
              <w:topLinePunct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4</w:t>
            </w:r>
          </w:p>
        </w:tc>
        <w:tc>
          <w:tcPr>
            <w:tcW w:w="4357" w:type="dxa"/>
            <w:tcBorders>
              <w:top w:val="single" w:color="000000" w:sz="4" w:space="0"/>
              <w:left w:val="nil"/>
              <w:bottom w:val="single" w:color="000000" w:sz="4" w:space="0"/>
              <w:right w:val="single" w:color="000000" w:sz="4" w:space="0"/>
            </w:tcBorders>
            <w:noWrap w:val="0"/>
            <w:vAlign w:val="center"/>
          </w:tcPr>
          <w:p w14:paraId="36B16B48">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同一问题未能按时整改，每重复一次</w:t>
            </w:r>
          </w:p>
        </w:tc>
        <w:tc>
          <w:tcPr>
            <w:tcW w:w="1352" w:type="dxa"/>
            <w:tcBorders>
              <w:top w:val="single" w:color="000000" w:sz="4" w:space="0"/>
              <w:left w:val="nil"/>
              <w:bottom w:val="single" w:color="000000" w:sz="4" w:space="0"/>
              <w:right w:val="single" w:color="000000" w:sz="4" w:space="0"/>
            </w:tcBorders>
            <w:noWrap w:val="0"/>
            <w:vAlign w:val="center"/>
          </w:tcPr>
          <w:p w14:paraId="6A0FA638">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2"/>
                <w:sz w:val="24"/>
                <w:szCs w:val="24"/>
                <w:highlight w:val="none"/>
              </w:rPr>
            </w:pPr>
            <w:r>
              <w:rPr>
                <w:rFonts w:hint="eastAsia" w:hAnsi="宋体" w:cs="宋体"/>
                <w:i w:val="0"/>
                <w:iCs w:val="0"/>
                <w:color w:val="auto"/>
                <w:kern w:val="0"/>
                <w:sz w:val="24"/>
                <w:szCs w:val="24"/>
                <w:highlight w:val="none"/>
                <w:lang w:val="en-US" w:eastAsia="zh-CN" w:bidi="ar"/>
              </w:rPr>
              <w:t>3</w:t>
            </w:r>
            <w:r>
              <w:rPr>
                <w:rFonts w:hint="eastAsia" w:ascii="宋体" w:hAnsi="宋体" w:eastAsia="宋体" w:cs="宋体"/>
                <w:i w:val="0"/>
                <w:iCs w:val="0"/>
                <w:color w:val="auto"/>
                <w:kern w:val="0"/>
                <w:sz w:val="24"/>
                <w:szCs w:val="24"/>
                <w:highlight w:val="none"/>
                <w:lang w:val="en-US" w:eastAsia="zh-CN" w:bidi="ar"/>
              </w:rPr>
              <w:t>000元</w:t>
            </w:r>
          </w:p>
        </w:tc>
        <w:tc>
          <w:tcPr>
            <w:tcW w:w="2438" w:type="dxa"/>
            <w:tcBorders>
              <w:top w:val="single" w:color="000000" w:sz="4" w:space="0"/>
              <w:left w:val="nil"/>
              <w:bottom w:val="single" w:color="000000" w:sz="4" w:space="0"/>
              <w:right w:val="single" w:color="000000" w:sz="4" w:space="0"/>
            </w:tcBorders>
            <w:noWrap w:val="0"/>
            <w:vAlign w:val="center"/>
          </w:tcPr>
          <w:p w14:paraId="62465587">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rPr>
                <w:rFonts w:hint="eastAsia" w:ascii="宋体" w:hAnsi="宋体" w:eastAsia="宋体" w:cs="宋体"/>
                <w:i w:val="0"/>
                <w:iCs w:val="0"/>
                <w:color w:val="auto"/>
                <w:kern w:val="2"/>
                <w:sz w:val="24"/>
                <w:szCs w:val="24"/>
                <w:highlight w:val="none"/>
              </w:rPr>
            </w:pPr>
          </w:p>
        </w:tc>
      </w:tr>
      <w:tr w14:paraId="127DD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14:paraId="70691994">
            <w:pPr>
              <w:keepNext w:val="0"/>
              <w:keepLines w:val="0"/>
              <w:pageBreakBefore w:val="0"/>
              <w:widowControl/>
              <w:suppressLineNumbers w:val="0"/>
              <w:overflowPunct/>
              <w:topLinePunct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b/>
                <w:bCs/>
                <w:i w:val="0"/>
                <w:iCs w:val="0"/>
                <w:color w:val="auto"/>
                <w:kern w:val="0"/>
                <w:sz w:val="24"/>
                <w:szCs w:val="24"/>
                <w:highlight w:val="none"/>
                <w:lang w:val="en-US" w:eastAsia="zh-CN" w:bidi="ar"/>
              </w:rPr>
              <w:t>8.3.2</w:t>
            </w:r>
          </w:p>
        </w:tc>
        <w:tc>
          <w:tcPr>
            <w:tcW w:w="4357" w:type="dxa"/>
            <w:tcBorders>
              <w:top w:val="single" w:color="000000" w:sz="4" w:space="0"/>
              <w:left w:val="nil"/>
              <w:bottom w:val="single" w:color="000000" w:sz="4" w:space="0"/>
              <w:right w:val="single" w:color="000000" w:sz="4" w:space="0"/>
            </w:tcBorders>
            <w:noWrap w:val="0"/>
            <w:vAlign w:val="center"/>
          </w:tcPr>
          <w:p w14:paraId="54127425">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监理过失事件违约</w:t>
            </w:r>
          </w:p>
        </w:tc>
        <w:tc>
          <w:tcPr>
            <w:tcW w:w="1352" w:type="dxa"/>
            <w:tcBorders>
              <w:top w:val="single" w:color="000000" w:sz="4" w:space="0"/>
              <w:left w:val="nil"/>
              <w:bottom w:val="single" w:color="000000" w:sz="4" w:space="0"/>
              <w:right w:val="single" w:color="000000" w:sz="4" w:space="0"/>
            </w:tcBorders>
            <w:noWrap w:val="0"/>
            <w:vAlign w:val="center"/>
          </w:tcPr>
          <w:p w14:paraId="5D94EE8F">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center"/>
              <w:rPr>
                <w:rFonts w:hint="eastAsia" w:ascii="宋体" w:hAnsi="宋体" w:eastAsia="宋体" w:cs="宋体"/>
                <w:i w:val="0"/>
                <w:iCs w:val="0"/>
                <w:color w:val="auto"/>
                <w:kern w:val="2"/>
                <w:sz w:val="24"/>
                <w:szCs w:val="24"/>
                <w:highlight w:val="none"/>
              </w:rPr>
            </w:pPr>
          </w:p>
        </w:tc>
        <w:tc>
          <w:tcPr>
            <w:tcW w:w="2438" w:type="dxa"/>
            <w:tcBorders>
              <w:top w:val="single" w:color="000000" w:sz="4" w:space="0"/>
              <w:left w:val="nil"/>
              <w:bottom w:val="single" w:color="000000" w:sz="4" w:space="0"/>
              <w:right w:val="single" w:color="000000" w:sz="4" w:space="0"/>
            </w:tcBorders>
            <w:noWrap w:val="0"/>
            <w:vAlign w:val="center"/>
          </w:tcPr>
          <w:p w14:paraId="50AD20A4">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rPr>
                <w:rFonts w:hint="eastAsia" w:ascii="宋体" w:hAnsi="宋体" w:eastAsia="宋体" w:cs="宋体"/>
                <w:i w:val="0"/>
                <w:iCs w:val="0"/>
                <w:color w:val="auto"/>
                <w:kern w:val="2"/>
                <w:sz w:val="24"/>
                <w:szCs w:val="24"/>
                <w:highlight w:val="none"/>
              </w:rPr>
            </w:pPr>
          </w:p>
        </w:tc>
      </w:tr>
      <w:tr w14:paraId="58205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14:paraId="4FE51883">
            <w:pPr>
              <w:keepNext w:val="0"/>
              <w:keepLines w:val="0"/>
              <w:pageBreakBefore w:val="0"/>
              <w:widowControl/>
              <w:suppressLineNumbers w:val="0"/>
              <w:overflowPunct/>
              <w:topLinePunct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1</w:t>
            </w:r>
          </w:p>
        </w:tc>
        <w:tc>
          <w:tcPr>
            <w:tcW w:w="4357" w:type="dxa"/>
            <w:tcBorders>
              <w:top w:val="single" w:color="000000" w:sz="4" w:space="0"/>
              <w:left w:val="nil"/>
              <w:bottom w:val="single" w:color="000000" w:sz="4" w:space="0"/>
              <w:right w:val="single" w:color="000000" w:sz="4" w:space="0"/>
            </w:tcBorders>
            <w:noWrap w:val="0"/>
            <w:vAlign w:val="center"/>
          </w:tcPr>
          <w:p w14:paraId="6E396BDA">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监理人发生监理过失事件违约一次，承担严重违约责任一次</w:t>
            </w:r>
          </w:p>
        </w:tc>
        <w:tc>
          <w:tcPr>
            <w:tcW w:w="1352" w:type="dxa"/>
            <w:tcBorders>
              <w:top w:val="single" w:color="000000" w:sz="4" w:space="0"/>
              <w:left w:val="nil"/>
              <w:bottom w:val="single" w:color="000000" w:sz="4" w:space="0"/>
              <w:right w:val="single" w:color="000000" w:sz="4" w:space="0"/>
            </w:tcBorders>
            <w:noWrap w:val="0"/>
            <w:vAlign w:val="center"/>
          </w:tcPr>
          <w:p w14:paraId="0D63F98E">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2"/>
                <w:sz w:val="24"/>
                <w:szCs w:val="24"/>
                <w:highlight w:val="none"/>
              </w:rPr>
            </w:pPr>
            <w:r>
              <w:rPr>
                <w:rFonts w:hint="eastAsia" w:hAnsi="宋体" w:cs="宋体"/>
                <w:i w:val="0"/>
                <w:iCs w:val="0"/>
                <w:color w:val="auto"/>
                <w:kern w:val="0"/>
                <w:sz w:val="24"/>
                <w:szCs w:val="24"/>
                <w:highlight w:val="none"/>
                <w:lang w:val="en-US" w:eastAsia="zh-CN" w:bidi="ar"/>
              </w:rPr>
              <w:t>5</w:t>
            </w:r>
            <w:r>
              <w:rPr>
                <w:rFonts w:hint="eastAsia" w:ascii="宋体" w:hAnsi="宋体" w:eastAsia="宋体" w:cs="宋体"/>
                <w:i w:val="0"/>
                <w:iCs w:val="0"/>
                <w:color w:val="auto"/>
                <w:kern w:val="0"/>
                <w:sz w:val="24"/>
                <w:szCs w:val="24"/>
                <w:highlight w:val="none"/>
                <w:lang w:val="en-US" w:eastAsia="zh-CN" w:bidi="ar"/>
              </w:rPr>
              <w:t>000元</w:t>
            </w:r>
          </w:p>
        </w:tc>
        <w:tc>
          <w:tcPr>
            <w:tcW w:w="2438" w:type="dxa"/>
            <w:tcBorders>
              <w:top w:val="single" w:color="000000" w:sz="4" w:space="0"/>
              <w:left w:val="nil"/>
              <w:bottom w:val="single" w:color="000000" w:sz="4" w:space="0"/>
              <w:right w:val="single" w:color="000000" w:sz="4" w:space="0"/>
            </w:tcBorders>
            <w:noWrap w:val="0"/>
            <w:vAlign w:val="center"/>
          </w:tcPr>
          <w:p w14:paraId="69D128FA">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rPr>
                <w:rFonts w:hint="eastAsia" w:ascii="宋体" w:hAnsi="宋体" w:eastAsia="宋体" w:cs="宋体"/>
                <w:i w:val="0"/>
                <w:iCs w:val="0"/>
                <w:color w:val="auto"/>
                <w:kern w:val="2"/>
                <w:sz w:val="24"/>
                <w:szCs w:val="24"/>
                <w:highlight w:val="none"/>
              </w:rPr>
            </w:pPr>
          </w:p>
        </w:tc>
      </w:tr>
      <w:tr w14:paraId="044CD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14:paraId="2EEAAEE4">
            <w:pPr>
              <w:keepNext w:val="0"/>
              <w:keepLines w:val="0"/>
              <w:pageBreakBefore w:val="0"/>
              <w:widowControl/>
              <w:suppressLineNumbers w:val="0"/>
              <w:overflowPunct/>
              <w:topLinePunct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2</w:t>
            </w:r>
          </w:p>
        </w:tc>
        <w:tc>
          <w:tcPr>
            <w:tcW w:w="4357" w:type="dxa"/>
            <w:tcBorders>
              <w:top w:val="single" w:color="000000" w:sz="4" w:space="0"/>
              <w:left w:val="nil"/>
              <w:bottom w:val="single" w:color="000000" w:sz="4" w:space="0"/>
              <w:right w:val="single" w:color="000000" w:sz="4" w:space="0"/>
            </w:tcBorders>
            <w:noWrap w:val="0"/>
            <w:vAlign w:val="center"/>
          </w:tcPr>
          <w:p w14:paraId="21C89DAC">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因监理人责任导致工期延误，其中分项工期延误日数占该项总工期的30%时</w:t>
            </w:r>
          </w:p>
        </w:tc>
        <w:tc>
          <w:tcPr>
            <w:tcW w:w="1352" w:type="dxa"/>
            <w:tcBorders>
              <w:top w:val="single" w:color="000000" w:sz="4" w:space="0"/>
              <w:left w:val="nil"/>
              <w:bottom w:val="single" w:color="000000" w:sz="4" w:space="0"/>
              <w:right w:val="single" w:color="000000" w:sz="4" w:space="0"/>
            </w:tcBorders>
            <w:noWrap w:val="0"/>
            <w:vAlign w:val="center"/>
          </w:tcPr>
          <w:p w14:paraId="4DBBF519">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lang w:val="en-US" w:eastAsia="zh-CN" w:bidi="ar"/>
              </w:rPr>
              <w:t>/</w:t>
            </w:r>
          </w:p>
        </w:tc>
        <w:tc>
          <w:tcPr>
            <w:tcW w:w="2438" w:type="dxa"/>
            <w:tcBorders>
              <w:top w:val="single" w:color="000000" w:sz="4" w:space="0"/>
              <w:left w:val="nil"/>
              <w:bottom w:val="single" w:color="000000" w:sz="4" w:space="0"/>
              <w:right w:val="single" w:color="000000" w:sz="4" w:space="0"/>
            </w:tcBorders>
            <w:noWrap w:val="0"/>
            <w:vAlign w:val="center"/>
          </w:tcPr>
          <w:p w14:paraId="342E4FF8">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2"/>
                <w:sz w:val="24"/>
                <w:szCs w:val="24"/>
                <w:highlight w:val="none"/>
              </w:rPr>
            </w:pPr>
            <w:r>
              <w:rPr>
                <w:rFonts w:hint="eastAsia" w:hAnsi="宋体" w:cs="宋体"/>
                <w:i w:val="0"/>
                <w:iCs w:val="0"/>
                <w:color w:val="auto"/>
                <w:kern w:val="0"/>
                <w:sz w:val="24"/>
                <w:szCs w:val="24"/>
                <w:highlight w:val="none"/>
                <w:lang w:val="en-US" w:eastAsia="zh-CN" w:bidi="ar"/>
              </w:rPr>
              <w:t>委托人</w:t>
            </w:r>
            <w:r>
              <w:rPr>
                <w:rFonts w:hint="eastAsia" w:ascii="宋体" w:hAnsi="宋体" w:eastAsia="宋体" w:cs="宋体"/>
                <w:i w:val="0"/>
                <w:iCs w:val="0"/>
                <w:color w:val="auto"/>
                <w:kern w:val="0"/>
                <w:sz w:val="24"/>
                <w:szCs w:val="24"/>
                <w:highlight w:val="none"/>
                <w:lang w:val="en-US" w:eastAsia="zh-CN" w:bidi="ar"/>
              </w:rPr>
              <w:t>有权扣除该分项工程监理酬金的60%</w:t>
            </w:r>
          </w:p>
        </w:tc>
      </w:tr>
      <w:tr w14:paraId="1B228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14:paraId="3DEBB1A5">
            <w:pPr>
              <w:keepNext w:val="0"/>
              <w:keepLines w:val="0"/>
              <w:pageBreakBefore w:val="0"/>
              <w:widowControl/>
              <w:suppressLineNumbers w:val="0"/>
              <w:overflowPunct/>
              <w:topLinePunct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3</w:t>
            </w:r>
          </w:p>
        </w:tc>
        <w:tc>
          <w:tcPr>
            <w:tcW w:w="4357" w:type="dxa"/>
            <w:tcBorders>
              <w:top w:val="single" w:color="000000" w:sz="4" w:space="0"/>
              <w:left w:val="nil"/>
              <w:bottom w:val="single" w:color="000000" w:sz="4" w:space="0"/>
              <w:right w:val="single" w:color="000000" w:sz="4" w:space="0"/>
            </w:tcBorders>
            <w:noWrap w:val="0"/>
            <w:vAlign w:val="center"/>
          </w:tcPr>
          <w:p w14:paraId="4E9CD831">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分项工期延误日数达到该项总工期的50%时</w:t>
            </w:r>
          </w:p>
        </w:tc>
        <w:tc>
          <w:tcPr>
            <w:tcW w:w="1352" w:type="dxa"/>
            <w:tcBorders>
              <w:top w:val="single" w:color="000000" w:sz="4" w:space="0"/>
              <w:left w:val="nil"/>
              <w:bottom w:val="single" w:color="000000" w:sz="4" w:space="0"/>
              <w:right w:val="single" w:color="000000" w:sz="4" w:space="0"/>
            </w:tcBorders>
            <w:noWrap w:val="0"/>
            <w:vAlign w:val="center"/>
          </w:tcPr>
          <w:p w14:paraId="7D26FC3B">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lang w:val="en-US" w:eastAsia="zh-CN" w:bidi="ar"/>
              </w:rPr>
              <w:t>/</w:t>
            </w:r>
          </w:p>
        </w:tc>
        <w:tc>
          <w:tcPr>
            <w:tcW w:w="2438" w:type="dxa"/>
            <w:tcBorders>
              <w:top w:val="single" w:color="000000" w:sz="4" w:space="0"/>
              <w:left w:val="nil"/>
              <w:bottom w:val="single" w:color="000000" w:sz="4" w:space="0"/>
              <w:right w:val="single" w:color="000000" w:sz="4" w:space="0"/>
            </w:tcBorders>
            <w:noWrap w:val="0"/>
            <w:vAlign w:val="center"/>
          </w:tcPr>
          <w:p w14:paraId="629D63BB">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2"/>
                <w:sz w:val="24"/>
                <w:szCs w:val="24"/>
                <w:highlight w:val="none"/>
              </w:rPr>
            </w:pPr>
            <w:r>
              <w:rPr>
                <w:rFonts w:hint="eastAsia" w:hAnsi="宋体" w:cs="宋体"/>
                <w:i w:val="0"/>
                <w:iCs w:val="0"/>
                <w:color w:val="auto"/>
                <w:kern w:val="0"/>
                <w:sz w:val="24"/>
                <w:szCs w:val="24"/>
                <w:highlight w:val="none"/>
                <w:lang w:val="en-US" w:eastAsia="zh-CN" w:bidi="ar"/>
              </w:rPr>
              <w:t>委托人</w:t>
            </w:r>
            <w:r>
              <w:rPr>
                <w:rFonts w:hint="eastAsia" w:ascii="宋体" w:hAnsi="宋体" w:eastAsia="宋体" w:cs="宋体"/>
                <w:i w:val="0"/>
                <w:iCs w:val="0"/>
                <w:color w:val="auto"/>
                <w:kern w:val="0"/>
                <w:sz w:val="24"/>
                <w:szCs w:val="24"/>
                <w:highlight w:val="none"/>
                <w:lang w:val="en-US" w:eastAsia="zh-CN" w:bidi="ar"/>
              </w:rPr>
              <w:t>有权单方解除合同</w:t>
            </w:r>
          </w:p>
        </w:tc>
      </w:tr>
      <w:tr w14:paraId="6C8E8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14:paraId="56CF6617">
            <w:pPr>
              <w:keepNext w:val="0"/>
              <w:keepLines w:val="0"/>
              <w:pageBreakBefore w:val="0"/>
              <w:widowControl/>
              <w:suppressLineNumbers w:val="0"/>
              <w:overflowPunct/>
              <w:topLinePunct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4</w:t>
            </w:r>
          </w:p>
        </w:tc>
        <w:tc>
          <w:tcPr>
            <w:tcW w:w="4357" w:type="dxa"/>
            <w:tcBorders>
              <w:top w:val="single" w:color="000000" w:sz="4" w:space="0"/>
              <w:left w:val="nil"/>
              <w:bottom w:val="single" w:color="000000" w:sz="4" w:space="0"/>
              <w:right w:val="single" w:color="000000" w:sz="4" w:space="0"/>
            </w:tcBorders>
            <w:noWrap w:val="0"/>
            <w:vAlign w:val="center"/>
          </w:tcPr>
          <w:p w14:paraId="1B91297A">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因监理人责任导致工程竣工拖延的，依据拖延的日数</w:t>
            </w:r>
          </w:p>
        </w:tc>
        <w:tc>
          <w:tcPr>
            <w:tcW w:w="1352" w:type="dxa"/>
            <w:tcBorders>
              <w:top w:val="single" w:color="000000" w:sz="4" w:space="0"/>
              <w:left w:val="nil"/>
              <w:bottom w:val="single" w:color="000000" w:sz="4" w:space="0"/>
              <w:right w:val="single" w:color="000000" w:sz="4" w:space="0"/>
            </w:tcBorders>
            <w:noWrap w:val="0"/>
            <w:vAlign w:val="center"/>
          </w:tcPr>
          <w:p w14:paraId="52E69070">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lang w:val="en-US" w:eastAsia="zh-CN" w:bidi="ar"/>
              </w:rPr>
              <w:t>/</w:t>
            </w:r>
          </w:p>
        </w:tc>
        <w:tc>
          <w:tcPr>
            <w:tcW w:w="2438" w:type="dxa"/>
            <w:tcBorders>
              <w:top w:val="single" w:color="000000" w:sz="4" w:space="0"/>
              <w:left w:val="nil"/>
              <w:bottom w:val="single" w:color="000000" w:sz="4" w:space="0"/>
              <w:right w:val="single" w:color="000000" w:sz="4" w:space="0"/>
            </w:tcBorders>
            <w:noWrap w:val="0"/>
            <w:vAlign w:val="center"/>
          </w:tcPr>
          <w:p w14:paraId="73C510AF">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监理人应每日按监理酬金总额的1%向</w:t>
            </w:r>
            <w:r>
              <w:rPr>
                <w:rFonts w:hint="eastAsia" w:hAnsi="宋体" w:cs="宋体"/>
                <w:i w:val="0"/>
                <w:iCs w:val="0"/>
                <w:color w:val="auto"/>
                <w:kern w:val="0"/>
                <w:sz w:val="24"/>
                <w:szCs w:val="24"/>
                <w:highlight w:val="none"/>
                <w:lang w:val="en-US" w:eastAsia="zh-CN" w:bidi="ar"/>
              </w:rPr>
              <w:t>委托人</w:t>
            </w:r>
            <w:r>
              <w:rPr>
                <w:rFonts w:hint="eastAsia" w:ascii="宋体" w:hAnsi="宋体" w:eastAsia="宋体" w:cs="宋体"/>
                <w:i w:val="0"/>
                <w:iCs w:val="0"/>
                <w:color w:val="auto"/>
                <w:kern w:val="0"/>
                <w:sz w:val="24"/>
                <w:szCs w:val="24"/>
                <w:highlight w:val="none"/>
                <w:lang w:val="en-US" w:eastAsia="zh-CN" w:bidi="ar"/>
              </w:rPr>
              <w:t>支付违约金</w:t>
            </w:r>
          </w:p>
        </w:tc>
      </w:tr>
      <w:tr w14:paraId="1C83D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14:paraId="772B181A">
            <w:pPr>
              <w:keepNext w:val="0"/>
              <w:keepLines w:val="0"/>
              <w:pageBreakBefore w:val="0"/>
              <w:widowControl/>
              <w:suppressLineNumbers w:val="0"/>
              <w:overflowPunct/>
              <w:topLinePunct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5</w:t>
            </w:r>
          </w:p>
        </w:tc>
        <w:tc>
          <w:tcPr>
            <w:tcW w:w="4357" w:type="dxa"/>
            <w:tcBorders>
              <w:top w:val="single" w:color="000000" w:sz="4" w:space="0"/>
              <w:left w:val="nil"/>
              <w:bottom w:val="single" w:color="000000" w:sz="4" w:space="0"/>
              <w:right w:val="single" w:color="000000" w:sz="4" w:space="0"/>
            </w:tcBorders>
            <w:noWrap w:val="0"/>
            <w:vAlign w:val="center"/>
          </w:tcPr>
          <w:p w14:paraId="4252918E">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由于监理人责任导致工期延误，致使</w:t>
            </w:r>
            <w:r>
              <w:rPr>
                <w:rFonts w:hint="eastAsia" w:hAnsi="宋体" w:cs="宋体"/>
                <w:i w:val="0"/>
                <w:iCs w:val="0"/>
                <w:color w:val="auto"/>
                <w:kern w:val="0"/>
                <w:sz w:val="24"/>
                <w:szCs w:val="24"/>
                <w:highlight w:val="none"/>
                <w:lang w:val="en-US" w:eastAsia="zh-CN" w:bidi="ar"/>
              </w:rPr>
              <w:t>委托人</w:t>
            </w:r>
            <w:r>
              <w:rPr>
                <w:rFonts w:hint="eastAsia" w:ascii="宋体" w:hAnsi="宋体" w:eastAsia="宋体" w:cs="宋体"/>
                <w:i w:val="0"/>
                <w:iCs w:val="0"/>
                <w:color w:val="auto"/>
                <w:kern w:val="0"/>
                <w:sz w:val="24"/>
                <w:szCs w:val="24"/>
                <w:highlight w:val="none"/>
                <w:lang w:val="en-US" w:eastAsia="zh-CN" w:bidi="ar"/>
              </w:rPr>
              <w:t>要承担赔偿第三方责任的</w:t>
            </w:r>
          </w:p>
        </w:tc>
        <w:tc>
          <w:tcPr>
            <w:tcW w:w="1352" w:type="dxa"/>
            <w:tcBorders>
              <w:top w:val="single" w:color="000000" w:sz="4" w:space="0"/>
              <w:left w:val="nil"/>
              <w:bottom w:val="single" w:color="000000" w:sz="4" w:space="0"/>
              <w:right w:val="single" w:color="000000" w:sz="4" w:space="0"/>
            </w:tcBorders>
            <w:noWrap w:val="0"/>
            <w:vAlign w:val="center"/>
          </w:tcPr>
          <w:p w14:paraId="2790FBE0">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lang w:val="en-US" w:eastAsia="zh-CN" w:bidi="ar"/>
              </w:rPr>
              <w:t>/</w:t>
            </w:r>
          </w:p>
        </w:tc>
        <w:tc>
          <w:tcPr>
            <w:tcW w:w="2438" w:type="dxa"/>
            <w:tcBorders>
              <w:top w:val="single" w:color="000000" w:sz="4" w:space="0"/>
              <w:left w:val="nil"/>
              <w:bottom w:val="single" w:color="000000" w:sz="4" w:space="0"/>
              <w:right w:val="single" w:color="000000" w:sz="4" w:space="0"/>
            </w:tcBorders>
            <w:noWrap w:val="0"/>
            <w:vAlign w:val="center"/>
          </w:tcPr>
          <w:p w14:paraId="010FEBD6">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监理人必须承担赔偿</w:t>
            </w:r>
            <w:r>
              <w:rPr>
                <w:rFonts w:hint="eastAsia" w:hAnsi="宋体" w:cs="宋体"/>
                <w:i w:val="0"/>
                <w:iCs w:val="0"/>
                <w:color w:val="auto"/>
                <w:kern w:val="0"/>
                <w:sz w:val="24"/>
                <w:szCs w:val="24"/>
                <w:highlight w:val="none"/>
                <w:lang w:val="en-US" w:eastAsia="zh-CN" w:bidi="ar"/>
              </w:rPr>
              <w:t>委托人</w:t>
            </w:r>
            <w:r>
              <w:rPr>
                <w:rFonts w:hint="eastAsia" w:ascii="宋体" w:hAnsi="宋体" w:eastAsia="宋体" w:cs="宋体"/>
                <w:i w:val="0"/>
                <w:iCs w:val="0"/>
                <w:color w:val="auto"/>
                <w:kern w:val="0"/>
                <w:sz w:val="24"/>
                <w:szCs w:val="24"/>
                <w:highlight w:val="none"/>
                <w:lang w:val="en-US" w:eastAsia="zh-CN" w:bidi="ar"/>
              </w:rPr>
              <w:t>由此遭受的实际损失中的50%</w:t>
            </w:r>
          </w:p>
        </w:tc>
      </w:tr>
      <w:tr w14:paraId="35152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14:paraId="74EA815E">
            <w:pPr>
              <w:keepNext w:val="0"/>
              <w:keepLines w:val="0"/>
              <w:pageBreakBefore w:val="0"/>
              <w:widowControl/>
              <w:suppressLineNumbers w:val="0"/>
              <w:overflowPunct/>
              <w:topLinePunct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6</w:t>
            </w:r>
          </w:p>
        </w:tc>
        <w:tc>
          <w:tcPr>
            <w:tcW w:w="4357" w:type="dxa"/>
            <w:tcBorders>
              <w:top w:val="single" w:color="000000" w:sz="4" w:space="0"/>
              <w:left w:val="nil"/>
              <w:bottom w:val="single" w:color="000000" w:sz="4" w:space="0"/>
              <w:right w:val="single" w:color="000000" w:sz="4" w:space="0"/>
            </w:tcBorders>
            <w:noWrap w:val="0"/>
            <w:vAlign w:val="center"/>
          </w:tcPr>
          <w:p w14:paraId="7C4CD500">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监理人发生监理过失违约后，当</w:t>
            </w:r>
            <w:r>
              <w:rPr>
                <w:rFonts w:hint="eastAsia" w:hAnsi="宋体" w:cs="宋体"/>
                <w:i w:val="0"/>
                <w:iCs w:val="0"/>
                <w:color w:val="auto"/>
                <w:kern w:val="0"/>
                <w:sz w:val="24"/>
                <w:szCs w:val="24"/>
                <w:highlight w:val="none"/>
                <w:lang w:val="en-US" w:eastAsia="zh-CN" w:bidi="ar"/>
              </w:rPr>
              <w:t>委托人</w:t>
            </w:r>
            <w:r>
              <w:rPr>
                <w:rFonts w:hint="eastAsia" w:ascii="宋体" w:hAnsi="宋体" w:eastAsia="宋体" w:cs="宋体"/>
                <w:i w:val="0"/>
                <w:iCs w:val="0"/>
                <w:color w:val="auto"/>
                <w:kern w:val="0"/>
                <w:sz w:val="24"/>
                <w:szCs w:val="24"/>
                <w:highlight w:val="none"/>
                <w:lang w:val="en-US" w:eastAsia="zh-CN" w:bidi="ar"/>
              </w:rPr>
              <w:t>认为监理人无正当理由而又未履行监理义务时</w:t>
            </w:r>
          </w:p>
        </w:tc>
        <w:tc>
          <w:tcPr>
            <w:tcW w:w="1352" w:type="dxa"/>
            <w:tcBorders>
              <w:top w:val="single" w:color="000000" w:sz="4" w:space="0"/>
              <w:left w:val="nil"/>
              <w:bottom w:val="single" w:color="000000" w:sz="4" w:space="0"/>
              <w:right w:val="single" w:color="000000" w:sz="4" w:space="0"/>
            </w:tcBorders>
            <w:noWrap w:val="0"/>
            <w:vAlign w:val="center"/>
          </w:tcPr>
          <w:p w14:paraId="1BC1C673">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lang w:val="en-US" w:eastAsia="zh-CN" w:bidi="ar"/>
              </w:rPr>
              <w:t>/</w:t>
            </w:r>
          </w:p>
        </w:tc>
        <w:tc>
          <w:tcPr>
            <w:tcW w:w="2438" w:type="dxa"/>
            <w:tcBorders>
              <w:top w:val="single" w:color="000000" w:sz="4" w:space="0"/>
              <w:left w:val="nil"/>
              <w:bottom w:val="single" w:color="000000" w:sz="4" w:space="0"/>
              <w:right w:val="single" w:color="000000" w:sz="4" w:space="0"/>
            </w:tcBorders>
            <w:noWrap w:val="0"/>
            <w:vAlign w:val="center"/>
          </w:tcPr>
          <w:p w14:paraId="60FBF82A">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有权部分解除合同或完全解除合同</w:t>
            </w:r>
          </w:p>
        </w:tc>
      </w:tr>
      <w:tr w14:paraId="2133E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14:paraId="09881DA5">
            <w:pPr>
              <w:keepNext w:val="0"/>
              <w:keepLines w:val="0"/>
              <w:pageBreakBefore w:val="0"/>
              <w:widowControl/>
              <w:suppressLineNumbers w:val="0"/>
              <w:overflowPunct/>
              <w:topLinePunct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b/>
                <w:bCs/>
                <w:i w:val="0"/>
                <w:iCs w:val="0"/>
                <w:color w:val="auto"/>
                <w:kern w:val="0"/>
                <w:sz w:val="24"/>
                <w:szCs w:val="24"/>
                <w:highlight w:val="none"/>
                <w:lang w:val="en-US" w:eastAsia="zh-CN" w:bidi="ar"/>
              </w:rPr>
              <w:t>8.3.3</w:t>
            </w:r>
          </w:p>
        </w:tc>
        <w:tc>
          <w:tcPr>
            <w:tcW w:w="4357" w:type="dxa"/>
            <w:tcBorders>
              <w:top w:val="single" w:color="000000" w:sz="4" w:space="0"/>
              <w:left w:val="nil"/>
              <w:bottom w:val="single" w:color="000000" w:sz="4" w:space="0"/>
              <w:right w:val="single" w:color="000000" w:sz="4" w:space="0"/>
            </w:tcBorders>
            <w:noWrap w:val="0"/>
            <w:vAlign w:val="center"/>
          </w:tcPr>
          <w:p w14:paraId="463F8EDD">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监理渎职事件违约</w:t>
            </w:r>
          </w:p>
        </w:tc>
        <w:tc>
          <w:tcPr>
            <w:tcW w:w="1352" w:type="dxa"/>
            <w:tcBorders>
              <w:top w:val="single" w:color="000000" w:sz="4" w:space="0"/>
              <w:left w:val="nil"/>
              <w:bottom w:val="single" w:color="000000" w:sz="4" w:space="0"/>
              <w:right w:val="single" w:color="000000" w:sz="4" w:space="0"/>
            </w:tcBorders>
            <w:noWrap w:val="0"/>
            <w:vAlign w:val="center"/>
          </w:tcPr>
          <w:p w14:paraId="21343D09">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lang w:val="en-US" w:eastAsia="zh-CN" w:bidi="ar"/>
              </w:rPr>
              <w:t>/</w:t>
            </w:r>
          </w:p>
        </w:tc>
        <w:tc>
          <w:tcPr>
            <w:tcW w:w="2438" w:type="dxa"/>
            <w:tcBorders>
              <w:top w:val="single" w:color="000000" w:sz="4" w:space="0"/>
              <w:left w:val="nil"/>
              <w:bottom w:val="single" w:color="000000" w:sz="4" w:space="0"/>
              <w:right w:val="single" w:color="000000" w:sz="4" w:space="0"/>
            </w:tcBorders>
            <w:noWrap w:val="0"/>
            <w:vAlign w:val="center"/>
          </w:tcPr>
          <w:p w14:paraId="161FE253">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rPr>
                <w:rFonts w:hint="eastAsia" w:ascii="宋体" w:hAnsi="宋体" w:eastAsia="宋体" w:cs="宋体"/>
                <w:i w:val="0"/>
                <w:iCs w:val="0"/>
                <w:color w:val="auto"/>
                <w:kern w:val="2"/>
                <w:sz w:val="24"/>
                <w:szCs w:val="24"/>
                <w:highlight w:val="none"/>
              </w:rPr>
            </w:pPr>
          </w:p>
        </w:tc>
      </w:tr>
      <w:tr w14:paraId="169A8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14:paraId="02AC1886">
            <w:pPr>
              <w:keepNext w:val="0"/>
              <w:keepLines w:val="0"/>
              <w:pageBreakBefore w:val="0"/>
              <w:widowControl/>
              <w:suppressLineNumbers w:val="0"/>
              <w:overflowPunct/>
              <w:topLinePunct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1</w:t>
            </w:r>
          </w:p>
        </w:tc>
        <w:tc>
          <w:tcPr>
            <w:tcW w:w="4357" w:type="dxa"/>
            <w:tcBorders>
              <w:top w:val="single" w:color="000000" w:sz="4" w:space="0"/>
              <w:left w:val="nil"/>
              <w:bottom w:val="single" w:color="000000" w:sz="4" w:space="0"/>
              <w:right w:val="single" w:color="000000" w:sz="4" w:space="0"/>
            </w:tcBorders>
            <w:noWrap w:val="0"/>
            <w:vAlign w:val="center"/>
          </w:tcPr>
          <w:p w14:paraId="103912CE">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监理人发生监理渎职违约一次，承担非常严重违约责任一次</w:t>
            </w:r>
          </w:p>
        </w:tc>
        <w:tc>
          <w:tcPr>
            <w:tcW w:w="1352" w:type="dxa"/>
            <w:tcBorders>
              <w:top w:val="single" w:color="000000" w:sz="4" w:space="0"/>
              <w:left w:val="nil"/>
              <w:bottom w:val="single" w:color="000000" w:sz="4" w:space="0"/>
              <w:right w:val="single" w:color="000000" w:sz="4" w:space="0"/>
            </w:tcBorders>
            <w:noWrap w:val="0"/>
            <w:vAlign w:val="center"/>
          </w:tcPr>
          <w:p w14:paraId="76B4F885">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5000元</w:t>
            </w:r>
          </w:p>
        </w:tc>
        <w:tc>
          <w:tcPr>
            <w:tcW w:w="2438" w:type="dxa"/>
            <w:tcBorders>
              <w:top w:val="single" w:color="000000" w:sz="4" w:space="0"/>
              <w:left w:val="nil"/>
              <w:bottom w:val="single" w:color="000000" w:sz="4" w:space="0"/>
              <w:right w:val="single" w:color="000000" w:sz="4" w:space="0"/>
            </w:tcBorders>
            <w:noWrap w:val="0"/>
            <w:vAlign w:val="center"/>
          </w:tcPr>
          <w:p w14:paraId="6520B8C7">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rPr>
                <w:rFonts w:hint="eastAsia" w:ascii="宋体" w:hAnsi="宋体" w:eastAsia="宋体" w:cs="宋体"/>
                <w:i w:val="0"/>
                <w:iCs w:val="0"/>
                <w:color w:val="auto"/>
                <w:kern w:val="2"/>
                <w:sz w:val="24"/>
                <w:szCs w:val="24"/>
                <w:highlight w:val="none"/>
              </w:rPr>
            </w:pPr>
          </w:p>
        </w:tc>
      </w:tr>
      <w:tr w14:paraId="3386C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14:paraId="17627D04">
            <w:pPr>
              <w:keepNext w:val="0"/>
              <w:keepLines w:val="0"/>
              <w:pageBreakBefore w:val="0"/>
              <w:widowControl/>
              <w:suppressLineNumbers w:val="0"/>
              <w:overflowPunct/>
              <w:topLinePunct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2</w:t>
            </w:r>
          </w:p>
        </w:tc>
        <w:tc>
          <w:tcPr>
            <w:tcW w:w="4357" w:type="dxa"/>
            <w:tcBorders>
              <w:top w:val="single" w:color="000000" w:sz="4" w:space="0"/>
              <w:left w:val="nil"/>
              <w:bottom w:val="single" w:color="000000" w:sz="4" w:space="0"/>
              <w:right w:val="single" w:color="000000" w:sz="4" w:space="0"/>
            </w:tcBorders>
            <w:noWrap w:val="0"/>
            <w:vAlign w:val="center"/>
          </w:tcPr>
          <w:p w14:paraId="0A67D3C4">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2"/>
                <w:sz w:val="24"/>
                <w:szCs w:val="24"/>
                <w:highlight w:val="none"/>
              </w:rPr>
            </w:pPr>
            <w:r>
              <w:rPr>
                <w:rFonts w:hint="eastAsia" w:hAnsi="宋体" w:cs="宋体"/>
                <w:i w:val="0"/>
                <w:iCs w:val="0"/>
                <w:color w:val="auto"/>
                <w:kern w:val="0"/>
                <w:sz w:val="24"/>
                <w:szCs w:val="24"/>
                <w:highlight w:val="none"/>
                <w:lang w:val="en-US" w:eastAsia="zh-CN" w:bidi="ar"/>
              </w:rPr>
              <w:t>委托人</w:t>
            </w:r>
            <w:r>
              <w:rPr>
                <w:rFonts w:hint="eastAsia" w:ascii="宋体" w:hAnsi="宋体" w:eastAsia="宋体" w:cs="宋体"/>
                <w:i w:val="0"/>
                <w:iCs w:val="0"/>
                <w:color w:val="auto"/>
                <w:kern w:val="0"/>
                <w:sz w:val="24"/>
                <w:szCs w:val="24"/>
                <w:highlight w:val="none"/>
                <w:lang w:val="en-US" w:eastAsia="zh-CN" w:bidi="ar"/>
              </w:rPr>
              <w:t>勒令监理人更换监理人员，直至解除合同</w:t>
            </w:r>
          </w:p>
        </w:tc>
        <w:tc>
          <w:tcPr>
            <w:tcW w:w="1352" w:type="dxa"/>
            <w:tcBorders>
              <w:top w:val="single" w:color="000000" w:sz="4" w:space="0"/>
              <w:left w:val="nil"/>
              <w:bottom w:val="single" w:color="000000" w:sz="4" w:space="0"/>
              <w:right w:val="single" w:color="000000" w:sz="4" w:space="0"/>
            </w:tcBorders>
            <w:noWrap w:val="0"/>
            <w:vAlign w:val="center"/>
          </w:tcPr>
          <w:p w14:paraId="387A83E3">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lang w:val="en-US" w:eastAsia="zh-CN" w:bidi="ar"/>
              </w:rPr>
              <w:t>/</w:t>
            </w:r>
          </w:p>
        </w:tc>
        <w:tc>
          <w:tcPr>
            <w:tcW w:w="2438" w:type="dxa"/>
            <w:tcBorders>
              <w:top w:val="single" w:color="000000" w:sz="4" w:space="0"/>
              <w:left w:val="nil"/>
              <w:bottom w:val="single" w:color="000000" w:sz="4" w:space="0"/>
              <w:right w:val="single" w:color="000000" w:sz="4" w:space="0"/>
            </w:tcBorders>
            <w:noWrap w:val="0"/>
            <w:vAlign w:val="center"/>
          </w:tcPr>
          <w:p w14:paraId="1CD44478">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有权部分解除合同或完全解除合同</w:t>
            </w:r>
          </w:p>
        </w:tc>
      </w:tr>
      <w:tr w14:paraId="771B1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14:paraId="78C4C968">
            <w:pPr>
              <w:keepNext w:val="0"/>
              <w:keepLines w:val="0"/>
              <w:pageBreakBefore w:val="0"/>
              <w:widowControl/>
              <w:suppressLineNumbers w:val="0"/>
              <w:overflowPunct/>
              <w:topLinePunct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3</w:t>
            </w:r>
          </w:p>
        </w:tc>
        <w:tc>
          <w:tcPr>
            <w:tcW w:w="4357" w:type="dxa"/>
            <w:tcBorders>
              <w:top w:val="single" w:color="000000" w:sz="4" w:space="0"/>
              <w:left w:val="nil"/>
              <w:bottom w:val="single" w:color="000000" w:sz="4" w:space="0"/>
              <w:right w:val="single" w:color="000000" w:sz="4" w:space="0"/>
            </w:tcBorders>
            <w:noWrap w:val="0"/>
            <w:vAlign w:val="center"/>
          </w:tcPr>
          <w:p w14:paraId="3ABBB0F0">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如监理人的原因造成</w:t>
            </w:r>
            <w:r>
              <w:rPr>
                <w:rFonts w:hint="eastAsia" w:hAnsi="宋体" w:cs="宋体"/>
                <w:i w:val="0"/>
                <w:iCs w:val="0"/>
                <w:color w:val="auto"/>
                <w:kern w:val="0"/>
                <w:sz w:val="24"/>
                <w:szCs w:val="24"/>
                <w:highlight w:val="none"/>
                <w:lang w:val="en-US" w:eastAsia="zh-CN" w:bidi="ar"/>
              </w:rPr>
              <w:t>委托人</w:t>
            </w:r>
            <w:r>
              <w:rPr>
                <w:rFonts w:hint="eastAsia" w:ascii="宋体" w:hAnsi="宋体" w:eastAsia="宋体" w:cs="宋体"/>
                <w:i w:val="0"/>
                <w:iCs w:val="0"/>
                <w:color w:val="auto"/>
                <w:kern w:val="0"/>
                <w:sz w:val="24"/>
                <w:szCs w:val="24"/>
                <w:highlight w:val="none"/>
                <w:lang w:val="en-US" w:eastAsia="zh-CN" w:bidi="ar"/>
              </w:rPr>
              <w:t>或工程损失的</w:t>
            </w:r>
          </w:p>
        </w:tc>
        <w:tc>
          <w:tcPr>
            <w:tcW w:w="1352" w:type="dxa"/>
            <w:tcBorders>
              <w:top w:val="single" w:color="000000" w:sz="4" w:space="0"/>
              <w:left w:val="nil"/>
              <w:bottom w:val="single" w:color="000000" w:sz="4" w:space="0"/>
              <w:right w:val="single" w:color="000000" w:sz="4" w:space="0"/>
            </w:tcBorders>
            <w:noWrap w:val="0"/>
            <w:vAlign w:val="center"/>
          </w:tcPr>
          <w:p w14:paraId="7D906068">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lang w:val="en-US" w:eastAsia="zh-CN" w:bidi="ar"/>
              </w:rPr>
              <w:t>/</w:t>
            </w:r>
          </w:p>
        </w:tc>
        <w:tc>
          <w:tcPr>
            <w:tcW w:w="2438" w:type="dxa"/>
            <w:tcBorders>
              <w:top w:val="single" w:color="000000" w:sz="4" w:space="0"/>
              <w:left w:val="nil"/>
              <w:bottom w:val="single" w:color="000000" w:sz="4" w:space="0"/>
              <w:right w:val="single" w:color="000000" w:sz="4" w:space="0"/>
            </w:tcBorders>
            <w:noWrap w:val="0"/>
            <w:vAlign w:val="center"/>
          </w:tcPr>
          <w:p w14:paraId="56504680">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监理人承担全部赔偿责任</w:t>
            </w:r>
          </w:p>
        </w:tc>
      </w:tr>
      <w:tr w14:paraId="3E37A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14:paraId="21A6BE7F">
            <w:pPr>
              <w:keepNext w:val="0"/>
              <w:keepLines w:val="0"/>
              <w:pageBreakBefore w:val="0"/>
              <w:widowControl/>
              <w:suppressLineNumbers w:val="0"/>
              <w:overflowPunct/>
              <w:topLinePunct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4</w:t>
            </w:r>
          </w:p>
        </w:tc>
        <w:tc>
          <w:tcPr>
            <w:tcW w:w="4357" w:type="dxa"/>
            <w:tcBorders>
              <w:top w:val="single" w:color="000000" w:sz="4" w:space="0"/>
              <w:left w:val="nil"/>
              <w:bottom w:val="single" w:color="000000" w:sz="4" w:space="0"/>
              <w:right w:val="single" w:color="000000" w:sz="4" w:space="0"/>
            </w:tcBorders>
            <w:noWrap w:val="0"/>
            <w:vAlign w:val="center"/>
          </w:tcPr>
          <w:p w14:paraId="3C94EEBB">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监理人必须加强对监理人员职业操守、廉政建设的培训和教育，本项目监理人员利用职业身份“吃、拿、卡、要”或有其他违反职业操守及廉政建设相关规定的，一经查实，监理人应立即清退该监理人员，并承担1次非常严重违约责任</w:t>
            </w:r>
          </w:p>
        </w:tc>
        <w:tc>
          <w:tcPr>
            <w:tcW w:w="1352" w:type="dxa"/>
            <w:tcBorders>
              <w:top w:val="single" w:color="000000" w:sz="4" w:space="0"/>
              <w:left w:val="nil"/>
              <w:bottom w:val="single" w:color="000000" w:sz="4" w:space="0"/>
              <w:right w:val="single" w:color="000000" w:sz="4" w:space="0"/>
            </w:tcBorders>
            <w:noWrap w:val="0"/>
            <w:vAlign w:val="center"/>
          </w:tcPr>
          <w:p w14:paraId="31B420DA">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5000元</w:t>
            </w:r>
          </w:p>
        </w:tc>
        <w:tc>
          <w:tcPr>
            <w:tcW w:w="2438" w:type="dxa"/>
            <w:tcBorders>
              <w:top w:val="single" w:color="000000" w:sz="4" w:space="0"/>
              <w:left w:val="nil"/>
              <w:bottom w:val="single" w:color="000000" w:sz="4" w:space="0"/>
              <w:right w:val="single" w:color="000000" w:sz="4" w:space="0"/>
            </w:tcBorders>
            <w:noWrap w:val="0"/>
            <w:vAlign w:val="center"/>
          </w:tcPr>
          <w:p w14:paraId="1F9E88C8">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rPr>
                <w:rFonts w:hint="eastAsia" w:ascii="宋体" w:hAnsi="宋体" w:eastAsia="宋体" w:cs="宋体"/>
                <w:i w:val="0"/>
                <w:iCs w:val="0"/>
                <w:color w:val="auto"/>
                <w:kern w:val="2"/>
                <w:sz w:val="24"/>
                <w:szCs w:val="24"/>
                <w:highlight w:val="none"/>
              </w:rPr>
            </w:pPr>
          </w:p>
        </w:tc>
      </w:tr>
      <w:tr w14:paraId="51886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14:paraId="65C1417C">
            <w:pPr>
              <w:keepNext w:val="0"/>
              <w:keepLines w:val="0"/>
              <w:pageBreakBefore w:val="0"/>
              <w:widowControl/>
              <w:suppressLineNumbers w:val="0"/>
              <w:overflowPunct/>
              <w:topLinePunct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5</w:t>
            </w:r>
          </w:p>
        </w:tc>
        <w:tc>
          <w:tcPr>
            <w:tcW w:w="4357" w:type="dxa"/>
            <w:tcBorders>
              <w:top w:val="single" w:color="000000" w:sz="4" w:space="0"/>
              <w:left w:val="nil"/>
              <w:bottom w:val="single" w:color="000000" w:sz="4" w:space="0"/>
              <w:right w:val="single" w:color="000000" w:sz="4" w:space="0"/>
            </w:tcBorders>
            <w:noWrap w:val="0"/>
            <w:vAlign w:val="center"/>
          </w:tcPr>
          <w:p w14:paraId="6C1E8ABA">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val="en-US" w:eastAsia="zh-CN" w:bidi="ar"/>
              </w:rPr>
              <w:t>若监理人违背了以下7款的任何情形之一，不仅视为非常严重的违约，承担1次非常严重违约责任</w:t>
            </w:r>
          </w:p>
          <w:p w14:paraId="4764EE1A">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val="en-US" w:eastAsia="zh-CN" w:bidi="ar"/>
              </w:rPr>
              <w:t>1）禁止向施工方推销材料、设备，或以倾向性、排他性变相推销；</w:t>
            </w:r>
          </w:p>
          <w:p w14:paraId="38CFAEC4">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val="en-US" w:eastAsia="zh-CN" w:bidi="ar"/>
              </w:rPr>
              <w:t>2）禁止与施工方串通，对不合格材料、产品、工程进行包庇及验收；</w:t>
            </w:r>
          </w:p>
          <w:p w14:paraId="7B643383">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val="en-US" w:eastAsia="zh-CN" w:bidi="ar"/>
              </w:rPr>
              <w:t>3）禁止与施工方串通，对材料用量、工程量进行虚假签认；</w:t>
            </w:r>
          </w:p>
          <w:p w14:paraId="7E016BA7">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val="en-US" w:eastAsia="zh-CN" w:bidi="ar"/>
              </w:rPr>
              <w:t>4）禁止与施工方串通，不合理提高施工难度及增加材料用量，以增大施工费用，获取不正当收益。</w:t>
            </w:r>
          </w:p>
          <w:p w14:paraId="5B6EA55E">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val="en-US" w:eastAsia="zh-CN" w:bidi="ar"/>
              </w:rPr>
              <w:t>5）禁止接受施工方的请吃送礼或变相受礼；</w:t>
            </w:r>
          </w:p>
          <w:p w14:paraId="65F6BFC3">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val="en-US" w:eastAsia="zh-CN" w:bidi="ar"/>
              </w:rPr>
              <w:t>6）禁止向监理人介绍分包或推销材料、设备等；</w:t>
            </w:r>
          </w:p>
          <w:p w14:paraId="6931466E">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7）禁止故意刁难施工方以谋取私利，损害</w:t>
            </w:r>
            <w:r>
              <w:rPr>
                <w:rFonts w:hint="eastAsia" w:hAnsi="宋体" w:cs="宋体"/>
                <w:i w:val="0"/>
                <w:iCs w:val="0"/>
                <w:color w:val="auto"/>
                <w:kern w:val="0"/>
                <w:sz w:val="24"/>
                <w:szCs w:val="24"/>
                <w:highlight w:val="none"/>
                <w:lang w:val="en-US" w:eastAsia="zh-CN" w:bidi="ar"/>
              </w:rPr>
              <w:t>委托人</w:t>
            </w:r>
            <w:r>
              <w:rPr>
                <w:rFonts w:hint="eastAsia" w:ascii="宋体" w:hAnsi="宋体" w:eastAsia="宋体" w:cs="宋体"/>
                <w:i w:val="0"/>
                <w:iCs w:val="0"/>
                <w:color w:val="auto"/>
                <w:kern w:val="0"/>
                <w:sz w:val="24"/>
                <w:szCs w:val="24"/>
                <w:highlight w:val="none"/>
                <w:lang w:val="en-US" w:eastAsia="zh-CN" w:bidi="ar"/>
              </w:rPr>
              <w:t>的合法利益。</w:t>
            </w:r>
          </w:p>
        </w:tc>
        <w:tc>
          <w:tcPr>
            <w:tcW w:w="1352" w:type="dxa"/>
            <w:tcBorders>
              <w:top w:val="single" w:color="000000" w:sz="4" w:space="0"/>
              <w:left w:val="nil"/>
              <w:bottom w:val="single" w:color="000000" w:sz="4" w:space="0"/>
              <w:right w:val="single" w:color="000000" w:sz="4" w:space="0"/>
            </w:tcBorders>
            <w:noWrap w:val="0"/>
            <w:vAlign w:val="center"/>
          </w:tcPr>
          <w:p w14:paraId="70B2297D">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5000元</w:t>
            </w:r>
          </w:p>
        </w:tc>
        <w:tc>
          <w:tcPr>
            <w:tcW w:w="2438" w:type="dxa"/>
            <w:tcBorders>
              <w:top w:val="single" w:color="000000" w:sz="4" w:space="0"/>
              <w:left w:val="nil"/>
              <w:bottom w:val="single" w:color="000000" w:sz="4" w:space="0"/>
              <w:right w:val="single" w:color="000000" w:sz="4" w:space="0"/>
            </w:tcBorders>
            <w:noWrap w:val="0"/>
            <w:vAlign w:val="center"/>
          </w:tcPr>
          <w:p w14:paraId="3C8A9D2C">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2"/>
                <w:sz w:val="24"/>
                <w:szCs w:val="24"/>
                <w:highlight w:val="none"/>
                <w:lang w:val="en-US"/>
              </w:rPr>
            </w:pPr>
            <w:r>
              <w:rPr>
                <w:rFonts w:hint="eastAsia" w:ascii="宋体" w:hAnsi="宋体" w:eastAsia="宋体" w:cs="宋体"/>
                <w:i w:val="0"/>
                <w:iCs w:val="0"/>
                <w:color w:val="auto"/>
                <w:kern w:val="0"/>
                <w:sz w:val="24"/>
                <w:szCs w:val="24"/>
                <w:highlight w:val="none"/>
                <w:lang w:val="en-US" w:eastAsia="zh-CN" w:bidi="ar"/>
              </w:rPr>
              <w:t>而且直接解除合同，不做费用补偿，且对已完成的监理服务，不再支付监理费用，并通报建设行政主管部门，构成犯罪的，依法移交司法机关处理</w:t>
            </w:r>
          </w:p>
        </w:tc>
      </w:tr>
      <w:tr w14:paraId="43D3F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14:paraId="2D2DF158">
            <w:pPr>
              <w:keepNext w:val="0"/>
              <w:keepLines w:val="0"/>
              <w:pageBreakBefore w:val="0"/>
              <w:widowControl/>
              <w:suppressLineNumbers w:val="0"/>
              <w:overflowPunct/>
              <w:topLinePunct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6</w:t>
            </w:r>
          </w:p>
        </w:tc>
        <w:tc>
          <w:tcPr>
            <w:tcW w:w="4357" w:type="dxa"/>
            <w:tcBorders>
              <w:top w:val="single" w:color="000000" w:sz="4" w:space="0"/>
              <w:left w:val="nil"/>
              <w:bottom w:val="single" w:color="000000" w:sz="4" w:space="0"/>
              <w:right w:val="single" w:color="000000" w:sz="4" w:space="0"/>
            </w:tcBorders>
            <w:noWrap w:val="0"/>
            <w:vAlign w:val="center"/>
          </w:tcPr>
          <w:p w14:paraId="3A33BE27">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如监理人在投标时根据招标文件《商务评分表》“人员配置”作出了增加人员的承诺，而开工后，实际上没有增加，经</w:t>
            </w:r>
            <w:r>
              <w:rPr>
                <w:rFonts w:hint="eastAsia" w:hAnsi="宋体" w:cs="宋体"/>
                <w:i w:val="0"/>
                <w:iCs w:val="0"/>
                <w:color w:val="auto"/>
                <w:kern w:val="0"/>
                <w:sz w:val="24"/>
                <w:szCs w:val="24"/>
                <w:highlight w:val="none"/>
                <w:lang w:val="en-US" w:eastAsia="zh-CN" w:bidi="ar"/>
              </w:rPr>
              <w:t>委托人</w:t>
            </w:r>
            <w:r>
              <w:rPr>
                <w:rFonts w:hint="eastAsia" w:ascii="宋体" w:hAnsi="宋体" w:eastAsia="宋体" w:cs="宋体"/>
                <w:i w:val="0"/>
                <w:iCs w:val="0"/>
                <w:color w:val="auto"/>
                <w:kern w:val="0"/>
                <w:sz w:val="24"/>
                <w:szCs w:val="24"/>
                <w:highlight w:val="none"/>
                <w:lang w:val="en-US" w:eastAsia="zh-CN" w:bidi="ar"/>
              </w:rPr>
              <w:t>要求后，在10天内仍未能配齐增加的造价工程师和专业工程师</w:t>
            </w:r>
          </w:p>
        </w:tc>
        <w:tc>
          <w:tcPr>
            <w:tcW w:w="1352" w:type="dxa"/>
            <w:tcBorders>
              <w:top w:val="single" w:color="000000" w:sz="4" w:space="0"/>
              <w:left w:val="nil"/>
              <w:bottom w:val="single" w:color="000000" w:sz="4" w:space="0"/>
              <w:right w:val="single" w:color="000000" w:sz="4" w:space="0"/>
            </w:tcBorders>
            <w:noWrap w:val="0"/>
            <w:vAlign w:val="center"/>
          </w:tcPr>
          <w:p w14:paraId="153BC7E5">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lang w:val="en-US" w:eastAsia="zh-CN" w:bidi="ar"/>
              </w:rPr>
              <w:t>/</w:t>
            </w:r>
          </w:p>
        </w:tc>
        <w:tc>
          <w:tcPr>
            <w:tcW w:w="2438" w:type="dxa"/>
            <w:tcBorders>
              <w:top w:val="single" w:color="000000" w:sz="4" w:space="0"/>
              <w:left w:val="nil"/>
              <w:bottom w:val="single" w:color="000000" w:sz="4" w:space="0"/>
              <w:right w:val="single" w:color="000000" w:sz="4" w:space="0"/>
            </w:tcBorders>
            <w:noWrap w:val="0"/>
            <w:vAlign w:val="center"/>
          </w:tcPr>
          <w:p w14:paraId="6434BB72">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视为非常严重的违约，直接解除合同</w:t>
            </w:r>
          </w:p>
        </w:tc>
      </w:tr>
      <w:tr w14:paraId="4635F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14:paraId="32922B8A">
            <w:pPr>
              <w:keepNext w:val="0"/>
              <w:keepLines w:val="0"/>
              <w:pageBreakBefore w:val="0"/>
              <w:widowControl/>
              <w:suppressLineNumbers w:val="0"/>
              <w:overflowPunct/>
              <w:topLinePunct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b/>
                <w:bCs/>
                <w:i w:val="0"/>
                <w:iCs w:val="0"/>
                <w:color w:val="auto"/>
                <w:kern w:val="0"/>
                <w:sz w:val="24"/>
                <w:szCs w:val="24"/>
                <w:highlight w:val="none"/>
                <w:lang w:val="en-US" w:eastAsia="zh-CN" w:bidi="ar"/>
              </w:rPr>
              <w:t>8.3.4</w:t>
            </w:r>
          </w:p>
        </w:tc>
        <w:tc>
          <w:tcPr>
            <w:tcW w:w="4357" w:type="dxa"/>
            <w:tcBorders>
              <w:top w:val="single" w:color="000000" w:sz="4" w:space="0"/>
              <w:left w:val="nil"/>
              <w:bottom w:val="single" w:color="000000" w:sz="4" w:space="0"/>
              <w:right w:val="single" w:color="000000" w:sz="4" w:space="0"/>
            </w:tcBorders>
            <w:noWrap w:val="0"/>
            <w:vAlign w:val="center"/>
          </w:tcPr>
          <w:p w14:paraId="115C8E69">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监理不达标造成的违约</w:t>
            </w:r>
          </w:p>
        </w:tc>
        <w:tc>
          <w:tcPr>
            <w:tcW w:w="1352" w:type="dxa"/>
            <w:tcBorders>
              <w:top w:val="single" w:color="000000" w:sz="4" w:space="0"/>
              <w:left w:val="nil"/>
              <w:bottom w:val="single" w:color="000000" w:sz="4" w:space="0"/>
              <w:right w:val="single" w:color="000000" w:sz="4" w:space="0"/>
            </w:tcBorders>
            <w:noWrap w:val="0"/>
            <w:vAlign w:val="center"/>
          </w:tcPr>
          <w:p w14:paraId="40424AD3">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center"/>
              <w:rPr>
                <w:rFonts w:hint="eastAsia" w:ascii="宋体" w:hAnsi="宋体" w:eastAsia="宋体" w:cs="宋体"/>
                <w:i w:val="0"/>
                <w:iCs w:val="0"/>
                <w:color w:val="auto"/>
                <w:kern w:val="2"/>
                <w:sz w:val="24"/>
                <w:szCs w:val="24"/>
                <w:highlight w:val="none"/>
              </w:rPr>
            </w:pPr>
          </w:p>
        </w:tc>
        <w:tc>
          <w:tcPr>
            <w:tcW w:w="2438" w:type="dxa"/>
            <w:tcBorders>
              <w:top w:val="single" w:color="000000" w:sz="4" w:space="0"/>
              <w:left w:val="nil"/>
              <w:bottom w:val="single" w:color="000000" w:sz="4" w:space="0"/>
              <w:right w:val="single" w:color="000000" w:sz="4" w:space="0"/>
            </w:tcBorders>
            <w:noWrap w:val="0"/>
            <w:vAlign w:val="center"/>
          </w:tcPr>
          <w:p w14:paraId="77571E53">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rPr>
                <w:rFonts w:hint="eastAsia" w:ascii="宋体" w:hAnsi="宋体" w:eastAsia="宋体" w:cs="宋体"/>
                <w:i w:val="0"/>
                <w:iCs w:val="0"/>
                <w:color w:val="auto"/>
                <w:kern w:val="2"/>
                <w:sz w:val="24"/>
                <w:szCs w:val="24"/>
                <w:highlight w:val="none"/>
              </w:rPr>
            </w:pPr>
          </w:p>
        </w:tc>
      </w:tr>
      <w:tr w14:paraId="56A25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14:paraId="5E354BFE">
            <w:pPr>
              <w:keepNext w:val="0"/>
              <w:keepLines w:val="0"/>
              <w:pageBreakBefore w:val="0"/>
              <w:widowControl/>
              <w:suppressLineNumbers w:val="0"/>
              <w:overflowPunct/>
              <w:topLinePunct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1</w:t>
            </w:r>
          </w:p>
        </w:tc>
        <w:tc>
          <w:tcPr>
            <w:tcW w:w="4357" w:type="dxa"/>
            <w:tcBorders>
              <w:top w:val="single" w:color="000000" w:sz="4" w:space="0"/>
              <w:left w:val="nil"/>
              <w:bottom w:val="single" w:color="000000" w:sz="4" w:space="0"/>
              <w:right w:val="single" w:color="000000" w:sz="4" w:space="0"/>
            </w:tcBorders>
            <w:noWrap w:val="0"/>
            <w:vAlign w:val="center"/>
          </w:tcPr>
          <w:p w14:paraId="78C0CF1E">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质量控制不达标：工程竣工验收质量未达到施工合同等级要求的，不管任何原因</w:t>
            </w:r>
          </w:p>
        </w:tc>
        <w:tc>
          <w:tcPr>
            <w:tcW w:w="1352" w:type="dxa"/>
            <w:tcBorders>
              <w:top w:val="single" w:color="000000" w:sz="4" w:space="0"/>
              <w:left w:val="nil"/>
              <w:bottom w:val="single" w:color="000000" w:sz="4" w:space="0"/>
              <w:right w:val="single" w:color="000000" w:sz="4" w:space="0"/>
            </w:tcBorders>
            <w:noWrap w:val="0"/>
            <w:vAlign w:val="center"/>
          </w:tcPr>
          <w:p w14:paraId="582350C3">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lang w:val="en-US" w:eastAsia="zh-CN" w:bidi="ar"/>
              </w:rPr>
              <w:t>/</w:t>
            </w:r>
          </w:p>
        </w:tc>
        <w:tc>
          <w:tcPr>
            <w:tcW w:w="2438" w:type="dxa"/>
            <w:tcBorders>
              <w:top w:val="single" w:color="000000" w:sz="4" w:space="0"/>
              <w:left w:val="nil"/>
              <w:bottom w:val="single" w:color="000000" w:sz="4" w:space="0"/>
              <w:right w:val="single" w:color="000000" w:sz="4" w:space="0"/>
            </w:tcBorders>
            <w:noWrap w:val="0"/>
            <w:vAlign w:val="center"/>
          </w:tcPr>
          <w:p w14:paraId="071873AD">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结算扣减监理合同价款的5％，同时不免除追究当事人和监理人的法律责任，监理人需无条件免费监理服务至工程质量达到合格止</w:t>
            </w:r>
          </w:p>
        </w:tc>
      </w:tr>
      <w:tr w14:paraId="2F5FE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14:paraId="593761FB">
            <w:pPr>
              <w:keepNext w:val="0"/>
              <w:keepLines w:val="0"/>
              <w:pageBreakBefore w:val="0"/>
              <w:widowControl/>
              <w:suppressLineNumbers w:val="0"/>
              <w:overflowPunct/>
              <w:topLinePunct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2</w:t>
            </w:r>
          </w:p>
        </w:tc>
        <w:tc>
          <w:tcPr>
            <w:tcW w:w="4357" w:type="dxa"/>
            <w:tcBorders>
              <w:top w:val="single" w:color="000000" w:sz="4" w:space="0"/>
              <w:left w:val="nil"/>
              <w:bottom w:val="single" w:color="000000" w:sz="4" w:space="0"/>
              <w:right w:val="single" w:color="000000" w:sz="4" w:space="0"/>
            </w:tcBorders>
            <w:noWrap w:val="0"/>
            <w:vAlign w:val="center"/>
          </w:tcPr>
          <w:p w14:paraId="0FFEF4FE">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投资控制不达标：如监理人原因造成工程建安费结算价突破投资控制值的</w:t>
            </w:r>
          </w:p>
        </w:tc>
        <w:tc>
          <w:tcPr>
            <w:tcW w:w="1352" w:type="dxa"/>
            <w:tcBorders>
              <w:top w:val="single" w:color="000000" w:sz="4" w:space="0"/>
              <w:left w:val="nil"/>
              <w:bottom w:val="single" w:color="000000" w:sz="4" w:space="0"/>
              <w:right w:val="single" w:color="000000" w:sz="4" w:space="0"/>
            </w:tcBorders>
            <w:noWrap w:val="0"/>
            <w:vAlign w:val="center"/>
          </w:tcPr>
          <w:p w14:paraId="022A23D6">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lang w:val="en-US" w:eastAsia="zh-CN" w:bidi="ar"/>
              </w:rPr>
              <w:t>/</w:t>
            </w:r>
          </w:p>
        </w:tc>
        <w:tc>
          <w:tcPr>
            <w:tcW w:w="2438" w:type="dxa"/>
            <w:tcBorders>
              <w:top w:val="single" w:color="000000" w:sz="4" w:space="0"/>
              <w:left w:val="nil"/>
              <w:bottom w:val="single" w:color="000000" w:sz="4" w:space="0"/>
              <w:right w:val="single" w:color="000000" w:sz="4" w:space="0"/>
            </w:tcBorders>
            <w:noWrap w:val="0"/>
            <w:vAlign w:val="center"/>
          </w:tcPr>
          <w:p w14:paraId="6C984953">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每突破1％，结算扣减监理合同价款的1％</w:t>
            </w:r>
          </w:p>
        </w:tc>
      </w:tr>
      <w:tr w14:paraId="70C8A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14:paraId="795282F7">
            <w:pPr>
              <w:keepNext w:val="0"/>
              <w:keepLines w:val="0"/>
              <w:pageBreakBefore w:val="0"/>
              <w:widowControl/>
              <w:suppressLineNumbers w:val="0"/>
              <w:overflowPunct/>
              <w:topLinePunct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3</w:t>
            </w:r>
          </w:p>
        </w:tc>
        <w:tc>
          <w:tcPr>
            <w:tcW w:w="4357" w:type="dxa"/>
            <w:tcBorders>
              <w:top w:val="single" w:color="000000" w:sz="4" w:space="0"/>
              <w:left w:val="nil"/>
              <w:bottom w:val="single" w:color="000000" w:sz="4" w:space="0"/>
              <w:right w:val="single" w:color="000000" w:sz="4" w:space="0"/>
            </w:tcBorders>
            <w:noWrap w:val="0"/>
            <w:vAlign w:val="center"/>
          </w:tcPr>
          <w:p w14:paraId="5064B996">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进度控制不达标：工程竣工验收通过日延误的</w:t>
            </w:r>
          </w:p>
        </w:tc>
        <w:tc>
          <w:tcPr>
            <w:tcW w:w="1352" w:type="dxa"/>
            <w:tcBorders>
              <w:top w:val="single" w:color="000000" w:sz="4" w:space="0"/>
              <w:left w:val="nil"/>
              <w:bottom w:val="single" w:color="000000" w:sz="4" w:space="0"/>
              <w:right w:val="single" w:color="000000" w:sz="4" w:space="0"/>
            </w:tcBorders>
            <w:noWrap w:val="0"/>
            <w:vAlign w:val="center"/>
          </w:tcPr>
          <w:p w14:paraId="2042EAB4">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lang w:val="en-US" w:eastAsia="zh-CN" w:bidi="ar"/>
              </w:rPr>
              <w:t>/</w:t>
            </w:r>
          </w:p>
        </w:tc>
        <w:tc>
          <w:tcPr>
            <w:tcW w:w="2438" w:type="dxa"/>
            <w:tcBorders>
              <w:top w:val="single" w:color="000000" w:sz="4" w:space="0"/>
              <w:left w:val="nil"/>
              <w:bottom w:val="single" w:color="000000" w:sz="4" w:space="0"/>
              <w:right w:val="single" w:color="000000" w:sz="4" w:space="0"/>
            </w:tcBorders>
            <w:noWrap w:val="0"/>
            <w:vAlign w:val="center"/>
          </w:tcPr>
          <w:p w14:paraId="20D82F6E">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2"/>
                <w:sz w:val="24"/>
                <w:szCs w:val="24"/>
                <w:highlight w:val="none"/>
              </w:rPr>
            </w:pPr>
            <w:r>
              <w:rPr>
                <w:rFonts w:hint="eastAsia" w:hAnsi="宋体" w:cs="宋体"/>
                <w:i w:val="0"/>
                <w:iCs w:val="0"/>
                <w:color w:val="auto"/>
                <w:kern w:val="0"/>
                <w:sz w:val="24"/>
                <w:szCs w:val="24"/>
                <w:highlight w:val="none"/>
                <w:lang w:val="en-US" w:eastAsia="zh-CN" w:bidi="ar"/>
              </w:rPr>
              <w:t>委托人</w:t>
            </w:r>
            <w:r>
              <w:rPr>
                <w:rFonts w:hint="eastAsia" w:ascii="宋体" w:hAnsi="宋体" w:eastAsia="宋体" w:cs="宋体"/>
                <w:i w:val="0"/>
                <w:iCs w:val="0"/>
                <w:color w:val="auto"/>
                <w:kern w:val="0"/>
                <w:sz w:val="24"/>
                <w:szCs w:val="24"/>
                <w:highlight w:val="none"/>
                <w:lang w:val="en-US" w:eastAsia="zh-CN" w:bidi="ar"/>
              </w:rPr>
              <w:t>视监理人的责任情况结算索赔监理合同价款1％－3％的违约金</w:t>
            </w:r>
          </w:p>
        </w:tc>
      </w:tr>
      <w:tr w14:paraId="59393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14:paraId="349EEE9C">
            <w:pPr>
              <w:keepNext w:val="0"/>
              <w:keepLines w:val="0"/>
              <w:pageBreakBefore w:val="0"/>
              <w:widowControl/>
              <w:suppressLineNumbers w:val="0"/>
              <w:overflowPunct/>
              <w:topLinePunct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4</w:t>
            </w:r>
          </w:p>
        </w:tc>
        <w:tc>
          <w:tcPr>
            <w:tcW w:w="4357" w:type="dxa"/>
            <w:tcBorders>
              <w:top w:val="single" w:color="000000" w:sz="4" w:space="0"/>
              <w:left w:val="nil"/>
              <w:bottom w:val="single" w:color="000000" w:sz="4" w:space="0"/>
              <w:right w:val="single" w:color="000000" w:sz="4" w:space="0"/>
            </w:tcBorders>
            <w:noWrap w:val="0"/>
            <w:vAlign w:val="center"/>
          </w:tcPr>
          <w:p w14:paraId="1D5B0BE2">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安全管理不达标：工程发生一般安全生产事故，或被上级主管部门通报批评、被新闻媒体曝光的</w:t>
            </w:r>
          </w:p>
        </w:tc>
        <w:tc>
          <w:tcPr>
            <w:tcW w:w="1352" w:type="dxa"/>
            <w:tcBorders>
              <w:top w:val="single" w:color="000000" w:sz="4" w:space="0"/>
              <w:left w:val="nil"/>
              <w:bottom w:val="single" w:color="000000" w:sz="4" w:space="0"/>
              <w:right w:val="single" w:color="000000" w:sz="4" w:space="0"/>
            </w:tcBorders>
            <w:noWrap w:val="0"/>
            <w:vAlign w:val="center"/>
          </w:tcPr>
          <w:p w14:paraId="7E2307B8">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lang w:val="en-US" w:eastAsia="zh-CN" w:bidi="ar"/>
              </w:rPr>
              <w:t>/</w:t>
            </w:r>
          </w:p>
        </w:tc>
        <w:tc>
          <w:tcPr>
            <w:tcW w:w="2438" w:type="dxa"/>
            <w:tcBorders>
              <w:top w:val="single" w:color="000000" w:sz="4" w:space="0"/>
              <w:left w:val="nil"/>
              <w:bottom w:val="single" w:color="000000" w:sz="4" w:space="0"/>
              <w:right w:val="single" w:color="000000" w:sz="4" w:space="0"/>
            </w:tcBorders>
            <w:noWrap w:val="0"/>
            <w:vAlign w:val="center"/>
          </w:tcPr>
          <w:p w14:paraId="3F256BA8">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监理人需支付监理合同价款的1%作为违约金</w:t>
            </w:r>
          </w:p>
        </w:tc>
      </w:tr>
      <w:tr w14:paraId="7B331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14:paraId="500A7AC1">
            <w:pPr>
              <w:keepNext w:val="0"/>
              <w:keepLines w:val="0"/>
              <w:pageBreakBefore w:val="0"/>
              <w:widowControl/>
              <w:suppressLineNumbers w:val="0"/>
              <w:overflowPunct/>
              <w:topLinePunct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5</w:t>
            </w:r>
          </w:p>
        </w:tc>
        <w:tc>
          <w:tcPr>
            <w:tcW w:w="4357" w:type="dxa"/>
            <w:tcBorders>
              <w:top w:val="single" w:color="000000" w:sz="4" w:space="0"/>
              <w:left w:val="nil"/>
              <w:bottom w:val="single" w:color="000000" w:sz="4" w:space="0"/>
              <w:right w:val="single" w:color="000000" w:sz="4" w:space="0"/>
            </w:tcBorders>
            <w:noWrap w:val="0"/>
            <w:vAlign w:val="center"/>
          </w:tcPr>
          <w:p w14:paraId="2ECD06E7">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安全管理不达标：发生较大以上安全质量事故（按国家及合同有关规定界定）的</w:t>
            </w:r>
          </w:p>
        </w:tc>
        <w:tc>
          <w:tcPr>
            <w:tcW w:w="1352" w:type="dxa"/>
            <w:tcBorders>
              <w:top w:val="single" w:color="000000" w:sz="4" w:space="0"/>
              <w:left w:val="nil"/>
              <w:bottom w:val="single" w:color="000000" w:sz="4" w:space="0"/>
              <w:right w:val="single" w:color="000000" w:sz="4" w:space="0"/>
            </w:tcBorders>
            <w:noWrap w:val="0"/>
            <w:vAlign w:val="center"/>
          </w:tcPr>
          <w:p w14:paraId="2BC58F81">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lang w:val="en-US" w:eastAsia="zh-CN" w:bidi="ar"/>
              </w:rPr>
              <w:t>/</w:t>
            </w:r>
          </w:p>
        </w:tc>
        <w:tc>
          <w:tcPr>
            <w:tcW w:w="2438" w:type="dxa"/>
            <w:tcBorders>
              <w:top w:val="single" w:color="000000" w:sz="4" w:space="0"/>
              <w:left w:val="nil"/>
              <w:bottom w:val="single" w:color="000000" w:sz="4" w:space="0"/>
              <w:right w:val="single" w:color="000000" w:sz="4" w:space="0"/>
            </w:tcBorders>
            <w:noWrap w:val="0"/>
            <w:vAlign w:val="center"/>
          </w:tcPr>
          <w:p w14:paraId="254FFF40">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监理人需支付监理合同价款的3%作为违约金</w:t>
            </w:r>
          </w:p>
        </w:tc>
      </w:tr>
      <w:tr w14:paraId="63043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14:paraId="1D48F493">
            <w:pPr>
              <w:keepNext w:val="0"/>
              <w:keepLines w:val="0"/>
              <w:pageBreakBefore w:val="0"/>
              <w:widowControl/>
              <w:suppressLineNumbers w:val="0"/>
              <w:overflowPunct/>
              <w:topLinePunct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6</w:t>
            </w:r>
          </w:p>
        </w:tc>
        <w:tc>
          <w:tcPr>
            <w:tcW w:w="4357" w:type="dxa"/>
            <w:tcBorders>
              <w:top w:val="single" w:color="000000" w:sz="4" w:space="0"/>
              <w:left w:val="nil"/>
              <w:bottom w:val="single" w:color="000000" w:sz="4" w:space="0"/>
              <w:right w:val="single" w:color="000000" w:sz="4" w:space="0"/>
            </w:tcBorders>
            <w:noWrap w:val="0"/>
            <w:vAlign w:val="center"/>
          </w:tcPr>
          <w:p w14:paraId="14C1DCD2">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安全管理不达标：情节严重的</w:t>
            </w:r>
          </w:p>
        </w:tc>
        <w:tc>
          <w:tcPr>
            <w:tcW w:w="1352" w:type="dxa"/>
            <w:tcBorders>
              <w:top w:val="single" w:color="000000" w:sz="4" w:space="0"/>
              <w:left w:val="nil"/>
              <w:bottom w:val="single" w:color="000000" w:sz="4" w:space="0"/>
              <w:right w:val="single" w:color="000000" w:sz="4" w:space="0"/>
            </w:tcBorders>
            <w:noWrap w:val="0"/>
            <w:vAlign w:val="center"/>
          </w:tcPr>
          <w:p w14:paraId="122C3AD6">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lang w:val="en-US" w:eastAsia="zh-CN" w:bidi="ar"/>
              </w:rPr>
              <w:t>/</w:t>
            </w:r>
          </w:p>
        </w:tc>
        <w:tc>
          <w:tcPr>
            <w:tcW w:w="2438" w:type="dxa"/>
            <w:tcBorders>
              <w:top w:val="single" w:color="000000" w:sz="4" w:space="0"/>
              <w:left w:val="nil"/>
              <w:bottom w:val="single" w:color="000000" w:sz="4" w:space="0"/>
              <w:right w:val="single" w:color="000000" w:sz="4" w:space="0"/>
            </w:tcBorders>
            <w:noWrap w:val="0"/>
            <w:vAlign w:val="center"/>
          </w:tcPr>
          <w:p w14:paraId="0CE6F1D3">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2"/>
                <w:sz w:val="24"/>
                <w:szCs w:val="24"/>
                <w:highlight w:val="none"/>
              </w:rPr>
            </w:pPr>
            <w:r>
              <w:rPr>
                <w:rFonts w:hint="eastAsia" w:hAnsi="宋体" w:cs="宋体"/>
                <w:i w:val="0"/>
                <w:iCs w:val="0"/>
                <w:color w:val="auto"/>
                <w:kern w:val="0"/>
                <w:sz w:val="24"/>
                <w:szCs w:val="24"/>
                <w:highlight w:val="none"/>
                <w:lang w:val="en-US" w:eastAsia="zh-CN" w:bidi="ar"/>
              </w:rPr>
              <w:t>委托人</w:t>
            </w:r>
            <w:r>
              <w:rPr>
                <w:rFonts w:hint="eastAsia" w:ascii="宋体" w:hAnsi="宋体" w:eastAsia="宋体" w:cs="宋体"/>
                <w:i w:val="0"/>
                <w:iCs w:val="0"/>
                <w:color w:val="auto"/>
                <w:kern w:val="0"/>
                <w:sz w:val="24"/>
                <w:szCs w:val="24"/>
                <w:highlight w:val="none"/>
                <w:lang w:val="en-US" w:eastAsia="zh-CN" w:bidi="ar"/>
              </w:rPr>
              <w:t>有权部分或全部解除合同</w:t>
            </w:r>
          </w:p>
        </w:tc>
      </w:tr>
      <w:tr w14:paraId="42B58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14:paraId="5C90B2F9">
            <w:pPr>
              <w:keepNext w:val="0"/>
              <w:keepLines w:val="0"/>
              <w:pageBreakBefore w:val="0"/>
              <w:widowControl/>
              <w:suppressLineNumbers w:val="0"/>
              <w:overflowPunct/>
              <w:topLinePunct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7</w:t>
            </w:r>
          </w:p>
        </w:tc>
        <w:tc>
          <w:tcPr>
            <w:tcW w:w="4357" w:type="dxa"/>
            <w:tcBorders>
              <w:top w:val="single" w:color="000000" w:sz="4" w:space="0"/>
              <w:left w:val="nil"/>
              <w:bottom w:val="single" w:color="000000" w:sz="4" w:space="0"/>
              <w:right w:val="single" w:color="000000" w:sz="4" w:space="0"/>
            </w:tcBorders>
            <w:noWrap w:val="0"/>
            <w:vAlign w:val="center"/>
          </w:tcPr>
          <w:p w14:paraId="0B2167C8">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监理人应保证每季度进度计量（价）数据的准确性，如发生计量（价）误差＞5%，则视为监理人违约一次</w:t>
            </w:r>
          </w:p>
        </w:tc>
        <w:tc>
          <w:tcPr>
            <w:tcW w:w="1352" w:type="dxa"/>
            <w:tcBorders>
              <w:top w:val="single" w:color="000000" w:sz="4" w:space="0"/>
              <w:left w:val="nil"/>
              <w:bottom w:val="single" w:color="000000" w:sz="4" w:space="0"/>
              <w:right w:val="single" w:color="000000" w:sz="4" w:space="0"/>
            </w:tcBorders>
            <w:noWrap w:val="0"/>
            <w:vAlign w:val="center"/>
          </w:tcPr>
          <w:p w14:paraId="61F23309">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2000元</w:t>
            </w:r>
          </w:p>
        </w:tc>
        <w:tc>
          <w:tcPr>
            <w:tcW w:w="2438" w:type="dxa"/>
            <w:tcBorders>
              <w:top w:val="single" w:color="000000" w:sz="4" w:space="0"/>
              <w:left w:val="nil"/>
              <w:bottom w:val="single" w:color="000000" w:sz="4" w:space="0"/>
              <w:right w:val="single" w:color="000000" w:sz="4" w:space="0"/>
            </w:tcBorders>
            <w:noWrap w:val="0"/>
            <w:vAlign w:val="center"/>
          </w:tcPr>
          <w:p w14:paraId="6A3E733A">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并无条件在整改期内达到要求为止，配备满足</w:t>
            </w:r>
          </w:p>
        </w:tc>
      </w:tr>
      <w:tr w14:paraId="31A5A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14:paraId="2147A71A">
            <w:pPr>
              <w:keepNext w:val="0"/>
              <w:keepLines w:val="0"/>
              <w:pageBreakBefore w:val="0"/>
              <w:widowControl/>
              <w:suppressLineNumbers w:val="0"/>
              <w:overflowPunct/>
              <w:topLinePunct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b/>
                <w:bCs/>
                <w:i w:val="0"/>
                <w:iCs w:val="0"/>
                <w:color w:val="auto"/>
                <w:kern w:val="0"/>
                <w:sz w:val="24"/>
                <w:szCs w:val="24"/>
                <w:highlight w:val="none"/>
                <w:lang w:val="en-US" w:eastAsia="zh-CN" w:bidi="ar"/>
              </w:rPr>
              <w:t>8.3.6</w:t>
            </w:r>
          </w:p>
        </w:tc>
        <w:tc>
          <w:tcPr>
            <w:tcW w:w="4357" w:type="dxa"/>
            <w:tcBorders>
              <w:top w:val="single" w:color="000000" w:sz="4" w:space="0"/>
              <w:left w:val="nil"/>
              <w:bottom w:val="single" w:color="000000" w:sz="4" w:space="0"/>
              <w:right w:val="single" w:color="000000" w:sz="4" w:space="0"/>
            </w:tcBorders>
            <w:noWrap w:val="0"/>
            <w:vAlign w:val="center"/>
          </w:tcPr>
          <w:p w14:paraId="3E117332">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其他违约及违约责任</w:t>
            </w:r>
          </w:p>
        </w:tc>
        <w:tc>
          <w:tcPr>
            <w:tcW w:w="1352" w:type="dxa"/>
            <w:tcBorders>
              <w:top w:val="single" w:color="000000" w:sz="4" w:space="0"/>
              <w:left w:val="nil"/>
              <w:bottom w:val="single" w:color="000000" w:sz="4" w:space="0"/>
              <w:right w:val="single" w:color="000000" w:sz="4" w:space="0"/>
            </w:tcBorders>
            <w:noWrap w:val="0"/>
            <w:vAlign w:val="center"/>
          </w:tcPr>
          <w:p w14:paraId="3ED60EC9">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center"/>
              <w:rPr>
                <w:rFonts w:hint="eastAsia" w:ascii="宋体" w:hAnsi="宋体" w:eastAsia="宋体" w:cs="宋体"/>
                <w:i w:val="0"/>
                <w:iCs w:val="0"/>
                <w:color w:val="auto"/>
                <w:kern w:val="2"/>
                <w:sz w:val="24"/>
                <w:szCs w:val="24"/>
                <w:highlight w:val="none"/>
              </w:rPr>
            </w:pPr>
          </w:p>
        </w:tc>
        <w:tc>
          <w:tcPr>
            <w:tcW w:w="2438" w:type="dxa"/>
            <w:tcBorders>
              <w:top w:val="single" w:color="000000" w:sz="4" w:space="0"/>
              <w:left w:val="nil"/>
              <w:bottom w:val="single" w:color="000000" w:sz="4" w:space="0"/>
              <w:right w:val="single" w:color="000000" w:sz="4" w:space="0"/>
            </w:tcBorders>
            <w:noWrap w:val="0"/>
            <w:vAlign w:val="center"/>
          </w:tcPr>
          <w:p w14:paraId="139041A9">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rPr>
                <w:rFonts w:hint="eastAsia" w:ascii="宋体" w:hAnsi="宋体" w:eastAsia="宋体" w:cs="宋体"/>
                <w:i w:val="0"/>
                <w:iCs w:val="0"/>
                <w:color w:val="auto"/>
                <w:kern w:val="2"/>
                <w:sz w:val="24"/>
                <w:szCs w:val="24"/>
                <w:highlight w:val="none"/>
              </w:rPr>
            </w:pPr>
          </w:p>
        </w:tc>
      </w:tr>
      <w:tr w14:paraId="673DF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14:paraId="5B46EBFF">
            <w:pPr>
              <w:keepNext w:val="0"/>
              <w:keepLines w:val="0"/>
              <w:pageBreakBefore w:val="0"/>
              <w:widowControl/>
              <w:suppressLineNumbers w:val="0"/>
              <w:overflowPunct/>
              <w:topLinePunct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1</w:t>
            </w:r>
          </w:p>
        </w:tc>
        <w:tc>
          <w:tcPr>
            <w:tcW w:w="4357" w:type="dxa"/>
            <w:tcBorders>
              <w:top w:val="single" w:color="000000" w:sz="4" w:space="0"/>
              <w:left w:val="nil"/>
              <w:bottom w:val="single" w:color="000000" w:sz="4" w:space="0"/>
              <w:right w:val="single" w:color="000000" w:sz="4" w:space="0"/>
            </w:tcBorders>
            <w:noWrap w:val="0"/>
            <w:vAlign w:val="center"/>
          </w:tcPr>
          <w:p w14:paraId="1C972146">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因监理人责任引起变更造成投资规模增加10%以上的</w:t>
            </w:r>
          </w:p>
        </w:tc>
        <w:tc>
          <w:tcPr>
            <w:tcW w:w="1352" w:type="dxa"/>
            <w:tcBorders>
              <w:top w:val="single" w:color="000000" w:sz="4" w:space="0"/>
              <w:left w:val="nil"/>
              <w:bottom w:val="single" w:color="000000" w:sz="4" w:space="0"/>
              <w:right w:val="single" w:color="000000" w:sz="4" w:space="0"/>
            </w:tcBorders>
            <w:noWrap w:val="0"/>
            <w:vAlign w:val="center"/>
          </w:tcPr>
          <w:p w14:paraId="7C871E20">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lang w:val="en-US" w:eastAsia="zh-CN" w:bidi="ar"/>
              </w:rPr>
              <w:t>/</w:t>
            </w:r>
          </w:p>
        </w:tc>
        <w:tc>
          <w:tcPr>
            <w:tcW w:w="2438" w:type="dxa"/>
            <w:tcBorders>
              <w:top w:val="single" w:color="000000" w:sz="4" w:space="0"/>
              <w:left w:val="nil"/>
              <w:bottom w:val="single" w:color="000000" w:sz="4" w:space="0"/>
              <w:right w:val="single" w:color="000000" w:sz="4" w:space="0"/>
            </w:tcBorders>
            <w:noWrap w:val="0"/>
            <w:vAlign w:val="center"/>
          </w:tcPr>
          <w:p w14:paraId="16592348">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监理人需支付合同价款的20%作为违约金</w:t>
            </w:r>
          </w:p>
        </w:tc>
      </w:tr>
      <w:tr w14:paraId="542EF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14:paraId="52954445">
            <w:pPr>
              <w:keepNext w:val="0"/>
              <w:keepLines w:val="0"/>
              <w:pageBreakBefore w:val="0"/>
              <w:widowControl/>
              <w:suppressLineNumbers w:val="0"/>
              <w:overflowPunct/>
              <w:topLinePunct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2</w:t>
            </w:r>
          </w:p>
        </w:tc>
        <w:tc>
          <w:tcPr>
            <w:tcW w:w="4357" w:type="dxa"/>
            <w:tcBorders>
              <w:top w:val="single" w:color="000000" w:sz="4" w:space="0"/>
              <w:left w:val="nil"/>
              <w:bottom w:val="single" w:color="000000" w:sz="4" w:space="0"/>
              <w:right w:val="single" w:color="000000" w:sz="4" w:space="0"/>
            </w:tcBorders>
            <w:noWrap w:val="0"/>
            <w:vAlign w:val="center"/>
          </w:tcPr>
          <w:p w14:paraId="6C3FDA98">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因监理人责任引起变更造成投资规模增加15%以上的</w:t>
            </w:r>
          </w:p>
        </w:tc>
        <w:tc>
          <w:tcPr>
            <w:tcW w:w="1352" w:type="dxa"/>
            <w:tcBorders>
              <w:top w:val="single" w:color="000000" w:sz="4" w:space="0"/>
              <w:left w:val="nil"/>
              <w:bottom w:val="single" w:color="000000" w:sz="4" w:space="0"/>
              <w:right w:val="single" w:color="000000" w:sz="4" w:space="0"/>
            </w:tcBorders>
            <w:noWrap w:val="0"/>
            <w:vAlign w:val="center"/>
          </w:tcPr>
          <w:p w14:paraId="40CC80D2">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lang w:val="en-US" w:eastAsia="zh-CN" w:bidi="ar"/>
              </w:rPr>
              <w:t>/</w:t>
            </w:r>
          </w:p>
        </w:tc>
        <w:tc>
          <w:tcPr>
            <w:tcW w:w="2438" w:type="dxa"/>
            <w:tcBorders>
              <w:top w:val="single" w:color="000000" w:sz="4" w:space="0"/>
              <w:left w:val="nil"/>
              <w:bottom w:val="single" w:color="000000" w:sz="4" w:space="0"/>
              <w:right w:val="single" w:color="000000" w:sz="4" w:space="0"/>
            </w:tcBorders>
            <w:noWrap w:val="0"/>
            <w:vAlign w:val="center"/>
          </w:tcPr>
          <w:p w14:paraId="5B30F85E">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监理人需支付合同价款的30%作为违约金</w:t>
            </w:r>
          </w:p>
        </w:tc>
      </w:tr>
      <w:tr w14:paraId="6115E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14:paraId="18280AC3">
            <w:pPr>
              <w:keepNext w:val="0"/>
              <w:keepLines w:val="0"/>
              <w:pageBreakBefore w:val="0"/>
              <w:widowControl/>
              <w:suppressLineNumbers w:val="0"/>
              <w:overflowPunct/>
              <w:topLinePunct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3</w:t>
            </w:r>
          </w:p>
        </w:tc>
        <w:tc>
          <w:tcPr>
            <w:tcW w:w="4357" w:type="dxa"/>
            <w:tcBorders>
              <w:top w:val="single" w:color="000000" w:sz="4" w:space="0"/>
              <w:left w:val="nil"/>
              <w:bottom w:val="single" w:color="000000" w:sz="4" w:space="0"/>
              <w:right w:val="single" w:color="000000" w:sz="4" w:space="0"/>
            </w:tcBorders>
            <w:noWrap w:val="0"/>
            <w:vAlign w:val="center"/>
          </w:tcPr>
          <w:p w14:paraId="3265D468">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因监理人责任引起变更造成投资规模增加20%以上的</w:t>
            </w:r>
          </w:p>
        </w:tc>
        <w:tc>
          <w:tcPr>
            <w:tcW w:w="1352" w:type="dxa"/>
            <w:tcBorders>
              <w:top w:val="single" w:color="000000" w:sz="4" w:space="0"/>
              <w:left w:val="nil"/>
              <w:bottom w:val="single" w:color="000000" w:sz="4" w:space="0"/>
              <w:right w:val="single" w:color="000000" w:sz="4" w:space="0"/>
            </w:tcBorders>
            <w:noWrap w:val="0"/>
            <w:vAlign w:val="center"/>
          </w:tcPr>
          <w:p w14:paraId="763CB0E2">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lang w:val="en-US" w:eastAsia="zh-CN" w:bidi="ar"/>
              </w:rPr>
              <w:t>/</w:t>
            </w:r>
          </w:p>
        </w:tc>
        <w:tc>
          <w:tcPr>
            <w:tcW w:w="2438" w:type="dxa"/>
            <w:tcBorders>
              <w:top w:val="single" w:color="000000" w:sz="4" w:space="0"/>
              <w:left w:val="nil"/>
              <w:bottom w:val="single" w:color="000000" w:sz="4" w:space="0"/>
              <w:right w:val="single" w:color="000000" w:sz="4" w:space="0"/>
            </w:tcBorders>
            <w:noWrap w:val="0"/>
            <w:vAlign w:val="center"/>
          </w:tcPr>
          <w:p w14:paraId="11AF0253">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监理人需支付合同价款的40%作为违约金</w:t>
            </w:r>
          </w:p>
        </w:tc>
      </w:tr>
      <w:tr w14:paraId="0342F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14:paraId="28E1B08B">
            <w:pPr>
              <w:keepNext w:val="0"/>
              <w:keepLines w:val="0"/>
              <w:pageBreakBefore w:val="0"/>
              <w:widowControl/>
              <w:suppressLineNumbers w:val="0"/>
              <w:overflowPunct/>
              <w:topLinePunct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4</w:t>
            </w:r>
          </w:p>
        </w:tc>
        <w:tc>
          <w:tcPr>
            <w:tcW w:w="4357" w:type="dxa"/>
            <w:tcBorders>
              <w:top w:val="single" w:color="000000" w:sz="4" w:space="0"/>
              <w:left w:val="nil"/>
              <w:bottom w:val="single" w:color="000000" w:sz="4" w:space="0"/>
              <w:right w:val="single" w:color="000000" w:sz="4" w:space="0"/>
            </w:tcBorders>
            <w:noWrap w:val="0"/>
            <w:vAlign w:val="center"/>
          </w:tcPr>
          <w:p w14:paraId="28C96DBB">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本工程质量必须达到合格标准。若因监理人原因，工程在竣工验收或分部工程验收时没有达到此标准</w:t>
            </w:r>
          </w:p>
        </w:tc>
        <w:tc>
          <w:tcPr>
            <w:tcW w:w="1352" w:type="dxa"/>
            <w:tcBorders>
              <w:top w:val="single" w:color="000000" w:sz="4" w:space="0"/>
              <w:left w:val="nil"/>
              <w:bottom w:val="single" w:color="000000" w:sz="4" w:space="0"/>
              <w:right w:val="single" w:color="000000" w:sz="4" w:space="0"/>
            </w:tcBorders>
            <w:noWrap w:val="0"/>
            <w:vAlign w:val="center"/>
          </w:tcPr>
          <w:p w14:paraId="34C9533C">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lang w:val="en-US" w:eastAsia="zh-CN" w:bidi="ar"/>
              </w:rPr>
              <w:t>/</w:t>
            </w:r>
          </w:p>
        </w:tc>
        <w:tc>
          <w:tcPr>
            <w:tcW w:w="2438" w:type="dxa"/>
            <w:tcBorders>
              <w:top w:val="single" w:color="000000" w:sz="4" w:space="0"/>
              <w:left w:val="nil"/>
              <w:bottom w:val="single" w:color="000000" w:sz="4" w:space="0"/>
              <w:right w:val="single" w:color="000000" w:sz="4" w:space="0"/>
            </w:tcBorders>
            <w:noWrap w:val="0"/>
            <w:vAlign w:val="center"/>
          </w:tcPr>
          <w:p w14:paraId="3BF183C3">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监理人按监理合同价款（指监理结算价款）的5％向</w:t>
            </w:r>
            <w:r>
              <w:rPr>
                <w:rFonts w:hint="eastAsia" w:hAnsi="宋体" w:cs="宋体"/>
                <w:i w:val="0"/>
                <w:iCs w:val="0"/>
                <w:color w:val="auto"/>
                <w:kern w:val="0"/>
                <w:sz w:val="24"/>
                <w:szCs w:val="24"/>
                <w:highlight w:val="none"/>
                <w:lang w:val="en-US" w:eastAsia="zh-CN" w:bidi="ar"/>
              </w:rPr>
              <w:t>委托人</w:t>
            </w:r>
            <w:r>
              <w:rPr>
                <w:rFonts w:hint="eastAsia" w:ascii="宋体" w:hAnsi="宋体" w:eastAsia="宋体" w:cs="宋体"/>
                <w:i w:val="0"/>
                <w:iCs w:val="0"/>
                <w:color w:val="auto"/>
                <w:kern w:val="0"/>
                <w:sz w:val="24"/>
                <w:szCs w:val="24"/>
                <w:highlight w:val="none"/>
                <w:lang w:val="en-US" w:eastAsia="zh-CN" w:bidi="ar"/>
              </w:rPr>
              <w:t>返纳质量违约金</w:t>
            </w:r>
          </w:p>
        </w:tc>
      </w:tr>
      <w:tr w14:paraId="54258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14:paraId="16A09E3A">
            <w:pPr>
              <w:keepNext w:val="0"/>
              <w:keepLines w:val="0"/>
              <w:pageBreakBefore w:val="0"/>
              <w:widowControl/>
              <w:suppressLineNumbers w:val="0"/>
              <w:overflowPunct/>
              <w:topLinePunct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5</w:t>
            </w:r>
          </w:p>
        </w:tc>
        <w:tc>
          <w:tcPr>
            <w:tcW w:w="4357" w:type="dxa"/>
            <w:tcBorders>
              <w:top w:val="single" w:color="000000" w:sz="4" w:space="0"/>
              <w:left w:val="nil"/>
              <w:bottom w:val="single" w:color="000000" w:sz="4" w:space="0"/>
              <w:right w:val="single" w:color="000000" w:sz="4" w:space="0"/>
            </w:tcBorders>
            <w:noWrap w:val="0"/>
            <w:vAlign w:val="center"/>
          </w:tcPr>
          <w:p w14:paraId="05A028D5">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监理人拟派驻监理机构组成人员数量须符合《广东省建设厅粤建管（2002）97号文》关于工程项目监理最少人数配置的要求,且在施工现场进行监理的总监理工程师、专业监理工程师、其他监理人员全部必须是投标文件中所拟派的人员。同时，监理人派驻到工程所在地进行监理服务的监理人员，应能够胜任监理合同约定的监理服务工作。</w:t>
            </w:r>
            <w:r>
              <w:rPr>
                <w:rFonts w:hint="eastAsia" w:hAnsi="宋体" w:cs="宋体"/>
                <w:i w:val="0"/>
                <w:iCs w:val="0"/>
                <w:color w:val="auto"/>
                <w:kern w:val="0"/>
                <w:sz w:val="24"/>
                <w:szCs w:val="24"/>
                <w:highlight w:val="none"/>
                <w:lang w:val="en-US" w:eastAsia="zh-CN" w:bidi="ar"/>
              </w:rPr>
              <w:t>委托人</w:t>
            </w:r>
            <w:r>
              <w:rPr>
                <w:rFonts w:hint="eastAsia" w:ascii="宋体" w:hAnsi="宋体" w:eastAsia="宋体" w:cs="宋体"/>
                <w:i w:val="0"/>
                <w:iCs w:val="0"/>
                <w:color w:val="auto"/>
                <w:kern w:val="0"/>
                <w:sz w:val="24"/>
                <w:szCs w:val="24"/>
                <w:highlight w:val="none"/>
                <w:lang w:val="en-US" w:eastAsia="zh-CN" w:bidi="ar"/>
              </w:rPr>
              <w:t>有权以书面形式要求监理人更换不能按照监理合同的约定进行监理服务的派驻人员，若监理人拒不执行或无法在15个工作日内完成更换</w:t>
            </w:r>
          </w:p>
        </w:tc>
        <w:tc>
          <w:tcPr>
            <w:tcW w:w="1352" w:type="dxa"/>
            <w:tcBorders>
              <w:top w:val="single" w:color="000000" w:sz="4" w:space="0"/>
              <w:left w:val="nil"/>
              <w:bottom w:val="single" w:color="000000" w:sz="4" w:space="0"/>
              <w:right w:val="single" w:color="000000" w:sz="4" w:space="0"/>
            </w:tcBorders>
            <w:noWrap w:val="0"/>
            <w:vAlign w:val="center"/>
          </w:tcPr>
          <w:p w14:paraId="3448F861">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2"/>
                <w:sz w:val="24"/>
                <w:szCs w:val="24"/>
                <w:highlight w:val="none"/>
                <w:lang w:val="en-US" w:eastAsia="zh-CN" w:bidi="ar"/>
              </w:rPr>
              <w:t>/</w:t>
            </w:r>
          </w:p>
        </w:tc>
        <w:tc>
          <w:tcPr>
            <w:tcW w:w="2438" w:type="dxa"/>
            <w:tcBorders>
              <w:top w:val="single" w:color="000000" w:sz="4" w:space="0"/>
              <w:left w:val="nil"/>
              <w:bottom w:val="single" w:color="000000" w:sz="4" w:space="0"/>
              <w:right w:val="single" w:color="000000" w:sz="4" w:space="0"/>
            </w:tcBorders>
            <w:noWrap w:val="0"/>
            <w:vAlign w:val="center"/>
          </w:tcPr>
          <w:p w14:paraId="2E0D1434">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每发生一次扣除签约合同价的10%作为违约金</w:t>
            </w:r>
          </w:p>
        </w:tc>
      </w:tr>
      <w:tr w14:paraId="70219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14:paraId="53CFDE46">
            <w:pPr>
              <w:keepNext w:val="0"/>
              <w:keepLines w:val="0"/>
              <w:pageBreakBefore w:val="0"/>
              <w:widowControl/>
              <w:suppressLineNumbers w:val="0"/>
              <w:overflowPunct/>
              <w:topLinePunct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6</w:t>
            </w:r>
          </w:p>
        </w:tc>
        <w:tc>
          <w:tcPr>
            <w:tcW w:w="4357" w:type="dxa"/>
            <w:tcBorders>
              <w:top w:val="single" w:color="000000" w:sz="4" w:space="0"/>
              <w:left w:val="nil"/>
              <w:bottom w:val="single" w:color="000000" w:sz="4" w:space="0"/>
              <w:right w:val="single" w:color="000000" w:sz="4" w:space="0"/>
            </w:tcBorders>
            <w:noWrap w:val="0"/>
            <w:vAlign w:val="center"/>
          </w:tcPr>
          <w:p w14:paraId="13E96EF8">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监理</w:t>
            </w:r>
            <w:r>
              <w:rPr>
                <w:rFonts w:hint="eastAsia" w:hAnsi="宋体" w:cs="宋体"/>
                <w:color w:val="auto"/>
                <w:kern w:val="0"/>
                <w:sz w:val="24"/>
                <w:szCs w:val="24"/>
                <w:highlight w:val="none"/>
                <w:lang w:val="en-US" w:eastAsia="zh-CN" w:bidi="ar"/>
              </w:rPr>
              <w:t>人</w:t>
            </w:r>
            <w:r>
              <w:rPr>
                <w:rFonts w:hint="eastAsia" w:ascii="宋体" w:hAnsi="宋体" w:eastAsia="宋体" w:cs="宋体"/>
                <w:i w:val="0"/>
                <w:iCs w:val="0"/>
                <w:color w:val="auto"/>
                <w:kern w:val="0"/>
                <w:sz w:val="24"/>
                <w:szCs w:val="24"/>
                <w:highlight w:val="none"/>
                <w:lang w:val="en-US" w:eastAsia="zh-CN" w:bidi="ar"/>
              </w:rPr>
              <w:t>应在每月28日前根据工程进度向</w:t>
            </w:r>
            <w:r>
              <w:rPr>
                <w:rFonts w:hint="eastAsia" w:hAnsi="宋体" w:cs="宋体"/>
                <w:color w:val="auto"/>
                <w:kern w:val="0"/>
                <w:sz w:val="24"/>
                <w:szCs w:val="24"/>
                <w:highlight w:val="none"/>
                <w:lang w:val="en-US" w:eastAsia="zh-CN" w:bidi="ar"/>
              </w:rPr>
              <w:t>委托人</w:t>
            </w:r>
            <w:r>
              <w:rPr>
                <w:rFonts w:hint="eastAsia" w:ascii="宋体" w:hAnsi="宋体" w:eastAsia="宋体" w:cs="宋体"/>
                <w:i w:val="0"/>
                <w:iCs w:val="0"/>
                <w:color w:val="auto"/>
                <w:kern w:val="0"/>
                <w:sz w:val="24"/>
                <w:szCs w:val="24"/>
                <w:highlight w:val="none"/>
                <w:lang w:val="en-US" w:eastAsia="zh-CN" w:bidi="ar"/>
              </w:rPr>
              <w:t>报审下月的工作计划表（样表见下表）。如未按时提交，每推迟一天</w:t>
            </w:r>
          </w:p>
        </w:tc>
        <w:tc>
          <w:tcPr>
            <w:tcW w:w="1352" w:type="dxa"/>
            <w:tcBorders>
              <w:top w:val="single" w:color="000000" w:sz="4" w:space="0"/>
              <w:left w:val="nil"/>
              <w:bottom w:val="single" w:color="000000" w:sz="4" w:space="0"/>
              <w:right w:val="single" w:color="000000" w:sz="4" w:space="0"/>
            </w:tcBorders>
            <w:noWrap w:val="0"/>
            <w:vAlign w:val="center"/>
          </w:tcPr>
          <w:p w14:paraId="43B84379">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2"/>
                <w:sz w:val="24"/>
                <w:szCs w:val="24"/>
                <w:highlight w:val="none"/>
              </w:rPr>
            </w:pPr>
            <w:r>
              <w:rPr>
                <w:rFonts w:hint="eastAsia" w:hAnsi="宋体" w:cs="宋体"/>
                <w:i w:val="0"/>
                <w:iCs w:val="0"/>
                <w:color w:val="auto"/>
                <w:kern w:val="0"/>
                <w:sz w:val="24"/>
                <w:szCs w:val="24"/>
                <w:highlight w:val="none"/>
                <w:lang w:val="en-US" w:eastAsia="zh-CN" w:bidi="ar"/>
              </w:rPr>
              <w:t>3</w:t>
            </w:r>
            <w:r>
              <w:rPr>
                <w:rFonts w:hint="eastAsia" w:ascii="宋体" w:hAnsi="宋体" w:eastAsia="宋体" w:cs="宋体"/>
                <w:i w:val="0"/>
                <w:iCs w:val="0"/>
                <w:color w:val="auto"/>
                <w:kern w:val="0"/>
                <w:sz w:val="24"/>
                <w:szCs w:val="24"/>
                <w:highlight w:val="none"/>
                <w:lang w:val="en-US" w:eastAsia="zh-CN" w:bidi="ar"/>
              </w:rPr>
              <w:t>000元/天</w:t>
            </w:r>
          </w:p>
        </w:tc>
        <w:tc>
          <w:tcPr>
            <w:tcW w:w="2438" w:type="dxa"/>
            <w:tcBorders>
              <w:top w:val="single" w:color="000000" w:sz="4" w:space="0"/>
              <w:left w:val="nil"/>
              <w:bottom w:val="single" w:color="000000" w:sz="4" w:space="0"/>
              <w:right w:val="single" w:color="000000" w:sz="4" w:space="0"/>
            </w:tcBorders>
            <w:noWrap w:val="0"/>
            <w:vAlign w:val="center"/>
          </w:tcPr>
          <w:p w14:paraId="47C583B2">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rPr>
                <w:rFonts w:hint="eastAsia" w:ascii="宋体" w:hAnsi="宋体" w:eastAsia="宋体" w:cs="宋体"/>
                <w:i w:val="0"/>
                <w:iCs w:val="0"/>
                <w:color w:val="auto"/>
                <w:kern w:val="2"/>
                <w:sz w:val="24"/>
                <w:szCs w:val="24"/>
                <w:highlight w:val="none"/>
              </w:rPr>
            </w:pPr>
          </w:p>
        </w:tc>
      </w:tr>
      <w:tr w14:paraId="1458B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14:paraId="078A7252">
            <w:pPr>
              <w:keepNext w:val="0"/>
              <w:keepLines w:val="0"/>
              <w:pageBreakBefore w:val="0"/>
              <w:widowControl/>
              <w:suppressLineNumbers w:val="0"/>
              <w:overflowPunct/>
              <w:topLinePunct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7</w:t>
            </w:r>
          </w:p>
        </w:tc>
        <w:tc>
          <w:tcPr>
            <w:tcW w:w="4357" w:type="dxa"/>
            <w:tcBorders>
              <w:top w:val="single" w:color="000000" w:sz="4" w:space="0"/>
              <w:left w:val="nil"/>
              <w:bottom w:val="single" w:color="000000" w:sz="4" w:space="0"/>
              <w:right w:val="single" w:color="000000" w:sz="4" w:space="0"/>
            </w:tcBorders>
            <w:noWrap w:val="0"/>
            <w:vAlign w:val="center"/>
          </w:tcPr>
          <w:p w14:paraId="3A6FB427">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如未实施工作计划表中内容</w:t>
            </w:r>
          </w:p>
        </w:tc>
        <w:tc>
          <w:tcPr>
            <w:tcW w:w="1352" w:type="dxa"/>
            <w:tcBorders>
              <w:top w:val="single" w:color="000000" w:sz="4" w:space="0"/>
              <w:left w:val="nil"/>
              <w:bottom w:val="single" w:color="000000" w:sz="4" w:space="0"/>
              <w:right w:val="single" w:color="000000" w:sz="4" w:space="0"/>
            </w:tcBorders>
            <w:noWrap w:val="0"/>
            <w:vAlign w:val="center"/>
          </w:tcPr>
          <w:p w14:paraId="45653A21">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2"/>
                <w:sz w:val="24"/>
                <w:szCs w:val="24"/>
                <w:highlight w:val="none"/>
              </w:rPr>
            </w:pPr>
            <w:r>
              <w:rPr>
                <w:rFonts w:hint="eastAsia" w:hAnsi="宋体" w:cs="宋体"/>
                <w:i w:val="0"/>
                <w:iCs w:val="0"/>
                <w:color w:val="auto"/>
                <w:kern w:val="0"/>
                <w:sz w:val="24"/>
                <w:szCs w:val="24"/>
                <w:highlight w:val="none"/>
                <w:lang w:val="en-US" w:eastAsia="zh-CN" w:bidi="ar"/>
              </w:rPr>
              <w:t>3</w:t>
            </w:r>
            <w:r>
              <w:rPr>
                <w:rFonts w:hint="eastAsia" w:ascii="宋体" w:hAnsi="宋体" w:eastAsia="宋体" w:cs="宋体"/>
                <w:i w:val="0"/>
                <w:iCs w:val="0"/>
                <w:color w:val="auto"/>
                <w:kern w:val="0"/>
                <w:sz w:val="24"/>
                <w:szCs w:val="24"/>
                <w:highlight w:val="none"/>
                <w:lang w:val="en-US" w:eastAsia="zh-CN" w:bidi="ar"/>
              </w:rPr>
              <w:t>000元/项</w:t>
            </w:r>
          </w:p>
        </w:tc>
        <w:tc>
          <w:tcPr>
            <w:tcW w:w="2438" w:type="dxa"/>
            <w:tcBorders>
              <w:top w:val="single" w:color="000000" w:sz="4" w:space="0"/>
              <w:left w:val="nil"/>
              <w:bottom w:val="single" w:color="000000" w:sz="4" w:space="0"/>
              <w:right w:val="single" w:color="000000" w:sz="4" w:space="0"/>
            </w:tcBorders>
            <w:noWrap w:val="0"/>
            <w:vAlign w:val="center"/>
          </w:tcPr>
          <w:p w14:paraId="1DD77602">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rPr>
                <w:rFonts w:hint="eastAsia" w:ascii="宋体" w:hAnsi="宋体" w:eastAsia="宋体" w:cs="宋体"/>
                <w:i w:val="0"/>
                <w:iCs w:val="0"/>
                <w:color w:val="auto"/>
                <w:kern w:val="2"/>
                <w:sz w:val="24"/>
                <w:szCs w:val="24"/>
                <w:highlight w:val="none"/>
              </w:rPr>
            </w:pPr>
          </w:p>
        </w:tc>
      </w:tr>
      <w:tr w14:paraId="1A7F4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14:paraId="5438D13D">
            <w:pPr>
              <w:keepNext w:val="0"/>
              <w:keepLines w:val="0"/>
              <w:pageBreakBefore w:val="0"/>
              <w:widowControl/>
              <w:suppressLineNumbers w:val="0"/>
              <w:overflowPunct/>
              <w:topLinePunct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8</w:t>
            </w:r>
          </w:p>
        </w:tc>
        <w:tc>
          <w:tcPr>
            <w:tcW w:w="4357" w:type="dxa"/>
            <w:tcBorders>
              <w:top w:val="single" w:color="000000" w:sz="4" w:space="0"/>
              <w:left w:val="nil"/>
              <w:bottom w:val="single" w:color="000000" w:sz="4" w:space="0"/>
              <w:right w:val="single" w:color="000000" w:sz="4" w:space="0"/>
            </w:tcBorders>
            <w:noWrap w:val="0"/>
            <w:vAlign w:val="center"/>
          </w:tcPr>
          <w:p w14:paraId="22540079">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监理</w:t>
            </w:r>
            <w:r>
              <w:rPr>
                <w:rFonts w:hint="eastAsia" w:hAnsi="宋体" w:cs="宋体"/>
                <w:color w:val="auto"/>
                <w:kern w:val="0"/>
                <w:sz w:val="24"/>
                <w:szCs w:val="24"/>
                <w:highlight w:val="none"/>
                <w:lang w:val="en-US" w:eastAsia="zh-CN" w:bidi="ar"/>
              </w:rPr>
              <w:t>人</w:t>
            </w:r>
            <w:r>
              <w:rPr>
                <w:rFonts w:hint="eastAsia" w:ascii="宋体" w:hAnsi="宋体" w:eastAsia="宋体" w:cs="宋体"/>
                <w:i w:val="0"/>
                <w:iCs w:val="0"/>
                <w:color w:val="auto"/>
                <w:kern w:val="0"/>
                <w:sz w:val="24"/>
                <w:szCs w:val="24"/>
                <w:highlight w:val="none"/>
                <w:lang w:val="en-US" w:eastAsia="zh-CN" w:bidi="ar"/>
              </w:rPr>
              <w:t>根据</w:t>
            </w:r>
            <w:r>
              <w:rPr>
                <w:rFonts w:hint="eastAsia" w:hAnsi="宋体" w:cs="宋体"/>
                <w:color w:val="auto"/>
                <w:kern w:val="0"/>
                <w:sz w:val="24"/>
                <w:szCs w:val="24"/>
                <w:highlight w:val="none"/>
                <w:lang w:val="en-US" w:eastAsia="zh-CN" w:bidi="ar"/>
              </w:rPr>
              <w:t>委托人</w:t>
            </w:r>
            <w:r>
              <w:rPr>
                <w:rFonts w:hint="eastAsia" w:ascii="宋体" w:hAnsi="宋体" w:eastAsia="宋体" w:cs="宋体"/>
                <w:i w:val="0"/>
                <w:iCs w:val="0"/>
                <w:color w:val="auto"/>
                <w:kern w:val="0"/>
                <w:sz w:val="24"/>
                <w:szCs w:val="24"/>
                <w:highlight w:val="none"/>
                <w:lang w:val="en-US" w:eastAsia="zh-CN" w:bidi="ar"/>
              </w:rPr>
              <w:t>与施工单位签订的施工合同中约定的工程进度节点计划考核内容，结合现场实际施工进度对比后，在考核节点后的5天内提交考核报告，报告每逾期一天</w:t>
            </w:r>
          </w:p>
        </w:tc>
        <w:tc>
          <w:tcPr>
            <w:tcW w:w="1352" w:type="dxa"/>
            <w:tcBorders>
              <w:top w:val="single" w:color="000000" w:sz="4" w:space="0"/>
              <w:left w:val="nil"/>
              <w:bottom w:val="single" w:color="000000" w:sz="4" w:space="0"/>
              <w:right w:val="single" w:color="000000" w:sz="4" w:space="0"/>
            </w:tcBorders>
            <w:noWrap w:val="0"/>
            <w:vAlign w:val="center"/>
          </w:tcPr>
          <w:p w14:paraId="458BE8AA">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2"/>
                <w:sz w:val="24"/>
                <w:szCs w:val="24"/>
                <w:highlight w:val="none"/>
              </w:rPr>
            </w:pPr>
            <w:r>
              <w:rPr>
                <w:rFonts w:hint="eastAsia" w:hAnsi="宋体" w:cs="宋体"/>
                <w:i w:val="0"/>
                <w:iCs w:val="0"/>
                <w:color w:val="auto"/>
                <w:kern w:val="0"/>
                <w:sz w:val="24"/>
                <w:szCs w:val="24"/>
                <w:highlight w:val="none"/>
                <w:lang w:val="en-US" w:eastAsia="zh-CN" w:bidi="ar"/>
              </w:rPr>
              <w:t>3</w:t>
            </w:r>
            <w:r>
              <w:rPr>
                <w:rFonts w:hint="eastAsia" w:ascii="宋体" w:hAnsi="宋体" w:eastAsia="宋体" w:cs="宋体"/>
                <w:i w:val="0"/>
                <w:iCs w:val="0"/>
                <w:color w:val="auto"/>
                <w:kern w:val="0"/>
                <w:sz w:val="24"/>
                <w:szCs w:val="24"/>
                <w:highlight w:val="none"/>
                <w:lang w:val="en-US" w:eastAsia="zh-CN" w:bidi="ar"/>
              </w:rPr>
              <w:t>000元/天</w:t>
            </w:r>
          </w:p>
        </w:tc>
        <w:tc>
          <w:tcPr>
            <w:tcW w:w="2438" w:type="dxa"/>
            <w:tcBorders>
              <w:top w:val="single" w:color="000000" w:sz="4" w:space="0"/>
              <w:left w:val="nil"/>
              <w:bottom w:val="single" w:color="000000" w:sz="4" w:space="0"/>
              <w:right w:val="single" w:color="000000" w:sz="4" w:space="0"/>
            </w:tcBorders>
            <w:noWrap w:val="0"/>
            <w:vAlign w:val="center"/>
          </w:tcPr>
          <w:p w14:paraId="2C76AE3E">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rPr>
                <w:rFonts w:hint="eastAsia" w:ascii="宋体" w:hAnsi="宋体" w:eastAsia="宋体" w:cs="宋体"/>
                <w:i w:val="0"/>
                <w:iCs w:val="0"/>
                <w:color w:val="auto"/>
                <w:kern w:val="2"/>
                <w:sz w:val="24"/>
                <w:szCs w:val="24"/>
                <w:highlight w:val="none"/>
              </w:rPr>
            </w:pPr>
          </w:p>
        </w:tc>
      </w:tr>
      <w:tr w14:paraId="19398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14:paraId="72104FE0">
            <w:pPr>
              <w:keepNext w:val="0"/>
              <w:keepLines w:val="0"/>
              <w:pageBreakBefore w:val="0"/>
              <w:widowControl/>
              <w:suppressLineNumbers w:val="0"/>
              <w:overflowPunct/>
              <w:topLinePunct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val="en-US" w:eastAsia="zh-CN" w:bidi="ar"/>
              </w:rPr>
              <w:t>9</w:t>
            </w:r>
          </w:p>
        </w:tc>
        <w:tc>
          <w:tcPr>
            <w:tcW w:w="4357" w:type="dxa"/>
            <w:tcBorders>
              <w:top w:val="single" w:color="000000" w:sz="4" w:space="0"/>
              <w:left w:val="nil"/>
              <w:bottom w:val="single" w:color="000000" w:sz="4" w:space="0"/>
              <w:right w:val="single" w:color="000000" w:sz="4" w:space="0"/>
            </w:tcBorders>
            <w:noWrap w:val="0"/>
            <w:vAlign w:val="center"/>
          </w:tcPr>
          <w:p w14:paraId="7CCA2A0E">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val="en-US" w:eastAsia="zh-CN" w:bidi="ar"/>
              </w:rPr>
              <w:t>施工现场存在安全隐患，</w:t>
            </w:r>
            <w:r>
              <w:rPr>
                <w:rFonts w:hint="eastAsia" w:ascii="宋体" w:hAnsi="宋体" w:eastAsia="宋体" w:cs="宋体"/>
                <w:color w:val="auto"/>
                <w:kern w:val="0"/>
                <w:sz w:val="24"/>
                <w:szCs w:val="24"/>
                <w:highlight w:val="none"/>
                <w:lang w:val="en-US" w:eastAsia="zh-CN" w:bidi="ar"/>
              </w:rPr>
              <w:t>监理</w:t>
            </w:r>
            <w:r>
              <w:rPr>
                <w:rFonts w:hint="eastAsia" w:hAnsi="宋体" w:cs="宋体"/>
                <w:color w:val="auto"/>
                <w:kern w:val="0"/>
                <w:sz w:val="24"/>
                <w:szCs w:val="24"/>
                <w:highlight w:val="none"/>
                <w:lang w:val="en-US" w:eastAsia="zh-CN" w:bidi="ar"/>
              </w:rPr>
              <w:t>人</w:t>
            </w:r>
            <w:r>
              <w:rPr>
                <w:rFonts w:hint="eastAsia" w:ascii="宋体" w:hAnsi="宋体" w:eastAsia="宋体" w:cs="宋体"/>
                <w:i w:val="0"/>
                <w:iCs w:val="0"/>
                <w:color w:val="auto"/>
                <w:kern w:val="0"/>
                <w:sz w:val="24"/>
                <w:szCs w:val="24"/>
                <w:highlight w:val="none"/>
                <w:lang w:val="en-US" w:eastAsia="zh-CN" w:bidi="ar"/>
              </w:rPr>
              <w:t>未及时发现并发出整改指令</w:t>
            </w:r>
          </w:p>
        </w:tc>
        <w:tc>
          <w:tcPr>
            <w:tcW w:w="1352" w:type="dxa"/>
            <w:tcBorders>
              <w:top w:val="single" w:color="000000" w:sz="4" w:space="0"/>
              <w:left w:val="nil"/>
              <w:bottom w:val="single" w:color="000000" w:sz="4" w:space="0"/>
              <w:right w:val="single" w:color="000000" w:sz="4" w:space="0"/>
            </w:tcBorders>
            <w:noWrap w:val="0"/>
            <w:vAlign w:val="center"/>
          </w:tcPr>
          <w:p w14:paraId="267A8887">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val="en-US" w:eastAsia="zh-CN" w:bidi="ar"/>
              </w:rPr>
              <w:t>2000元/次</w:t>
            </w:r>
          </w:p>
        </w:tc>
        <w:tc>
          <w:tcPr>
            <w:tcW w:w="2438" w:type="dxa"/>
            <w:tcBorders>
              <w:top w:val="single" w:color="000000" w:sz="4" w:space="0"/>
              <w:left w:val="nil"/>
              <w:bottom w:val="single" w:color="000000" w:sz="4" w:space="0"/>
              <w:right w:val="single" w:color="000000" w:sz="4" w:space="0"/>
            </w:tcBorders>
            <w:noWrap w:val="0"/>
            <w:vAlign w:val="center"/>
          </w:tcPr>
          <w:p w14:paraId="584357BE">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rPr>
                <w:rFonts w:hint="eastAsia" w:ascii="宋体" w:hAnsi="宋体" w:eastAsia="宋体" w:cs="宋体"/>
                <w:i w:val="0"/>
                <w:iCs w:val="0"/>
                <w:color w:val="auto"/>
                <w:kern w:val="2"/>
                <w:sz w:val="24"/>
                <w:szCs w:val="24"/>
                <w:highlight w:val="none"/>
              </w:rPr>
            </w:pPr>
          </w:p>
        </w:tc>
      </w:tr>
      <w:tr w14:paraId="4AD79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14:paraId="0105E11D">
            <w:pPr>
              <w:keepNext w:val="0"/>
              <w:keepLines w:val="0"/>
              <w:pageBreakBefore w:val="0"/>
              <w:widowControl/>
              <w:suppressLineNumbers w:val="0"/>
              <w:overflowPunct/>
              <w:topLinePunct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val="en-US" w:eastAsia="zh-CN" w:bidi="ar"/>
              </w:rPr>
              <w:t>10</w:t>
            </w:r>
          </w:p>
        </w:tc>
        <w:tc>
          <w:tcPr>
            <w:tcW w:w="4357" w:type="dxa"/>
            <w:tcBorders>
              <w:top w:val="single" w:color="000000" w:sz="4" w:space="0"/>
              <w:left w:val="nil"/>
              <w:bottom w:val="single" w:color="000000" w:sz="4" w:space="0"/>
              <w:right w:val="single" w:color="000000" w:sz="4" w:space="0"/>
            </w:tcBorders>
            <w:noWrap w:val="0"/>
            <w:vAlign w:val="center"/>
          </w:tcPr>
          <w:p w14:paraId="44C2654A">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val="en-US" w:eastAsia="zh-CN" w:bidi="ar"/>
              </w:rPr>
              <w:t>施工现场出现与图纸不符的建设内容，</w:t>
            </w:r>
            <w:r>
              <w:rPr>
                <w:rFonts w:hint="eastAsia" w:ascii="宋体" w:hAnsi="宋体" w:eastAsia="宋体" w:cs="宋体"/>
                <w:color w:val="auto"/>
                <w:kern w:val="0"/>
                <w:sz w:val="24"/>
                <w:szCs w:val="24"/>
                <w:highlight w:val="none"/>
                <w:lang w:val="en-US" w:eastAsia="zh-CN" w:bidi="ar"/>
              </w:rPr>
              <w:t>监理</w:t>
            </w:r>
            <w:r>
              <w:rPr>
                <w:rFonts w:hint="eastAsia" w:hAnsi="宋体" w:cs="宋体"/>
                <w:color w:val="auto"/>
                <w:kern w:val="0"/>
                <w:sz w:val="24"/>
                <w:szCs w:val="24"/>
                <w:highlight w:val="none"/>
                <w:lang w:val="en-US" w:eastAsia="zh-CN" w:bidi="ar"/>
              </w:rPr>
              <w:t>人</w:t>
            </w:r>
            <w:r>
              <w:rPr>
                <w:rFonts w:hint="eastAsia" w:ascii="宋体" w:hAnsi="宋体" w:eastAsia="宋体" w:cs="宋体"/>
                <w:i w:val="0"/>
                <w:iCs w:val="0"/>
                <w:color w:val="auto"/>
                <w:kern w:val="0"/>
                <w:sz w:val="24"/>
                <w:szCs w:val="24"/>
                <w:highlight w:val="none"/>
                <w:lang w:val="en-US" w:eastAsia="zh-CN" w:bidi="ar"/>
              </w:rPr>
              <w:t>未及时发现并发出整改指令，导致资金浪费或工期延误</w:t>
            </w:r>
          </w:p>
        </w:tc>
        <w:tc>
          <w:tcPr>
            <w:tcW w:w="1352" w:type="dxa"/>
            <w:tcBorders>
              <w:top w:val="single" w:color="000000" w:sz="4" w:space="0"/>
              <w:left w:val="nil"/>
              <w:bottom w:val="single" w:color="000000" w:sz="4" w:space="0"/>
              <w:right w:val="single" w:color="000000" w:sz="4" w:space="0"/>
            </w:tcBorders>
            <w:noWrap w:val="0"/>
            <w:vAlign w:val="center"/>
          </w:tcPr>
          <w:p w14:paraId="7719853E">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val="en-US" w:eastAsia="zh-CN" w:bidi="ar"/>
              </w:rPr>
              <w:t>2000元/次</w:t>
            </w:r>
          </w:p>
        </w:tc>
        <w:tc>
          <w:tcPr>
            <w:tcW w:w="2438" w:type="dxa"/>
            <w:tcBorders>
              <w:top w:val="single" w:color="000000" w:sz="4" w:space="0"/>
              <w:left w:val="nil"/>
              <w:bottom w:val="single" w:color="000000" w:sz="4" w:space="0"/>
              <w:right w:val="single" w:color="000000" w:sz="4" w:space="0"/>
            </w:tcBorders>
            <w:noWrap w:val="0"/>
            <w:vAlign w:val="center"/>
          </w:tcPr>
          <w:p w14:paraId="113E8BE6">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rPr>
                <w:rFonts w:hint="eastAsia" w:ascii="宋体" w:hAnsi="宋体" w:eastAsia="宋体" w:cs="宋体"/>
                <w:i w:val="0"/>
                <w:iCs w:val="0"/>
                <w:color w:val="auto"/>
                <w:kern w:val="2"/>
                <w:sz w:val="24"/>
                <w:szCs w:val="24"/>
                <w:highlight w:val="none"/>
              </w:rPr>
            </w:pPr>
          </w:p>
        </w:tc>
      </w:tr>
      <w:tr w14:paraId="204EC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14:paraId="0B28BA53">
            <w:pPr>
              <w:keepNext w:val="0"/>
              <w:keepLines w:val="0"/>
              <w:pageBreakBefore w:val="0"/>
              <w:widowControl/>
              <w:suppressLineNumbers w:val="0"/>
              <w:overflowPunct/>
              <w:topLinePunct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val="en-US" w:eastAsia="zh-CN" w:bidi="ar"/>
              </w:rPr>
              <w:t>11</w:t>
            </w:r>
          </w:p>
        </w:tc>
        <w:tc>
          <w:tcPr>
            <w:tcW w:w="4357" w:type="dxa"/>
            <w:tcBorders>
              <w:top w:val="single" w:color="000000" w:sz="4" w:space="0"/>
              <w:left w:val="nil"/>
              <w:bottom w:val="single" w:color="000000" w:sz="4" w:space="0"/>
              <w:right w:val="single" w:color="000000" w:sz="4" w:space="0"/>
            </w:tcBorders>
            <w:noWrap w:val="0"/>
            <w:vAlign w:val="center"/>
          </w:tcPr>
          <w:p w14:paraId="722CF0B7">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val="en-US" w:eastAsia="zh-CN" w:bidi="ar"/>
              </w:rPr>
              <w:t>总监理工程师未按要求到场的</w:t>
            </w:r>
          </w:p>
        </w:tc>
        <w:tc>
          <w:tcPr>
            <w:tcW w:w="1352" w:type="dxa"/>
            <w:tcBorders>
              <w:top w:val="single" w:color="000000" w:sz="4" w:space="0"/>
              <w:left w:val="nil"/>
              <w:bottom w:val="single" w:color="000000" w:sz="4" w:space="0"/>
              <w:right w:val="single" w:color="000000" w:sz="4" w:space="0"/>
            </w:tcBorders>
            <w:noWrap w:val="0"/>
            <w:vAlign w:val="center"/>
          </w:tcPr>
          <w:p w14:paraId="7ADE40A1">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0"/>
                <w:sz w:val="24"/>
                <w:szCs w:val="24"/>
                <w:highlight w:val="none"/>
              </w:rPr>
            </w:pPr>
            <w:r>
              <w:rPr>
                <w:rFonts w:hint="eastAsia" w:hAnsi="宋体" w:cs="宋体"/>
                <w:i w:val="0"/>
                <w:iCs w:val="0"/>
                <w:color w:val="auto"/>
                <w:kern w:val="0"/>
                <w:sz w:val="24"/>
                <w:szCs w:val="24"/>
                <w:highlight w:val="none"/>
                <w:lang w:val="en-US" w:eastAsia="zh-CN" w:bidi="ar"/>
              </w:rPr>
              <w:t>3</w:t>
            </w:r>
            <w:r>
              <w:rPr>
                <w:rFonts w:hint="eastAsia" w:ascii="宋体" w:hAnsi="宋体" w:eastAsia="宋体" w:cs="宋体"/>
                <w:i w:val="0"/>
                <w:iCs w:val="0"/>
                <w:color w:val="auto"/>
                <w:kern w:val="0"/>
                <w:sz w:val="24"/>
                <w:szCs w:val="24"/>
                <w:highlight w:val="none"/>
                <w:lang w:val="en-US" w:eastAsia="zh-CN" w:bidi="ar"/>
              </w:rPr>
              <w:t>000元/次</w:t>
            </w:r>
          </w:p>
        </w:tc>
        <w:tc>
          <w:tcPr>
            <w:tcW w:w="2438" w:type="dxa"/>
            <w:tcBorders>
              <w:top w:val="single" w:color="000000" w:sz="4" w:space="0"/>
              <w:left w:val="nil"/>
              <w:bottom w:val="single" w:color="000000" w:sz="4" w:space="0"/>
              <w:right w:val="single" w:color="000000" w:sz="4" w:space="0"/>
            </w:tcBorders>
            <w:noWrap w:val="0"/>
            <w:vAlign w:val="center"/>
          </w:tcPr>
          <w:p w14:paraId="2AEDE33C">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rPr>
                <w:rFonts w:hint="eastAsia" w:ascii="宋体" w:hAnsi="宋体" w:eastAsia="宋体" w:cs="宋体"/>
                <w:i w:val="0"/>
                <w:iCs w:val="0"/>
                <w:color w:val="auto"/>
                <w:kern w:val="2"/>
                <w:sz w:val="24"/>
                <w:szCs w:val="24"/>
                <w:highlight w:val="none"/>
              </w:rPr>
            </w:pPr>
          </w:p>
        </w:tc>
      </w:tr>
      <w:tr w14:paraId="4449B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14:paraId="5E99238C">
            <w:pPr>
              <w:keepNext w:val="0"/>
              <w:keepLines w:val="0"/>
              <w:pageBreakBefore w:val="0"/>
              <w:widowControl/>
              <w:suppressLineNumbers w:val="0"/>
              <w:overflowPunct/>
              <w:topLinePunct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val="en-US" w:eastAsia="zh-CN" w:bidi="ar"/>
              </w:rPr>
              <w:t>12</w:t>
            </w:r>
          </w:p>
        </w:tc>
        <w:tc>
          <w:tcPr>
            <w:tcW w:w="4357" w:type="dxa"/>
            <w:tcBorders>
              <w:top w:val="single" w:color="000000" w:sz="4" w:space="0"/>
              <w:left w:val="nil"/>
              <w:bottom w:val="single" w:color="000000" w:sz="4" w:space="0"/>
              <w:right w:val="single" w:color="000000" w:sz="4" w:space="0"/>
            </w:tcBorders>
            <w:noWrap w:val="0"/>
            <w:vAlign w:val="center"/>
          </w:tcPr>
          <w:p w14:paraId="0C01D7D9">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val="en-US" w:eastAsia="zh-CN" w:bidi="ar"/>
              </w:rPr>
              <w:t>施工期间，监理人员未经</w:t>
            </w:r>
            <w:r>
              <w:rPr>
                <w:rFonts w:hint="eastAsia" w:hAnsi="宋体" w:cs="宋体"/>
                <w:color w:val="auto"/>
                <w:kern w:val="0"/>
                <w:sz w:val="24"/>
                <w:szCs w:val="24"/>
                <w:highlight w:val="none"/>
                <w:lang w:val="en-US" w:eastAsia="zh-CN" w:bidi="ar"/>
              </w:rPr>
              <w:t>委托人</w:t>
            </w:r>
            <w:r>
              <w:rPr>
                <w:rFonts w:hint="eastAsia" w:ascii="宋体" w:hAnsi="宋体" w:eastAsia="宋体" w:cs="宋体"/>
                <w:i w:val="0"/>
                <w:iCs w:val="0"/>
                <w:color w:val="auto"/>
                <w:kern w:val="0"/>
                <w:sz w:val="24"/>
                <w:szCs w:val="24"/>
                <w:highlight w:val="none"/>
                <w:lang w:val="en-US" w:eastAsia="zh-CN" w:bidi="ar"/>
              </w:rPr>
              <w:t>同意擅自离岗的</w:t>
            </w:r>
          </w:p>
        </w:tc>
        <w:tc>
          <w:tcPr>
            <w:tcW w:w="1352" w:type="dxa"/>
            <w:tcBorders>
              <w:top w:val="single" w:color="000000" w:sz="4" w:space="0"/>
              <w:left w:val="nil"/>
              <w:bottom w:val="single" w:color="000000" w:sz="4" w:space="0"/>
              <w:right w:val="single" w:color="000000" w:sz="4" w:space="0"/>
            </w:tcBorders>
            <w:noWrap w:val="0"/>
            <w:vAlign w:val="center"/>
          </w:tcPr>
          <w:p w14:paraId="27E668CF">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0"/>
                <w:sz w:val="24"/>
                <w:szCs w:val="24"/>
                <w:highlight w:val="none"/>
              </w:rPr>
            </w:pPr>
            <w:r>
              <w:rPr>
                <w:rFonts w:hint="eastAsia" w:hAnsi="宋体" w:cs="宋体"/>
                <w:i w:val="0"/>
                <w:iCs w:val="0"/>
                <w:color w:val="auto"/>
                <w:kern w:val="0"/>
                <w:sz w:val="24"/>
                <w:szCs w:val="24"/>
                <w:highlight w:val="none"/>
                <w:lang w:val="en-US" w:eastAsia="zh-CN" w:bidi="ar"/>
              </w:rPr>
              <w:t>3</w:t>
            </w:r>
            <w:r>
              <w:rPr>
                <w:rFonts w:hint="eastAsia" w:ascii="宋体" w:hAnsi="宋体" w:eastAsia="宋体" w:cs="宋体"/>
                <w:i w:val="0"/>
                <w:iCs w:val="0"/>
                <w:color w:val="auto"/>
                <w:kern w:val="0"/>
                <w:sz w:val="24"/>
                <w:szCs w:val="24"/>
                <w:highlight w:val="none"/>
                <w:lang w:val="en-US" w:eastAsia="zh-CN" w:bidi="ar"/>
              </w:rPr>
              <w:t>000元/次</w:t>
            </w:r>
          </w:p>
        </w:tc>
        <w:tc>
          <w:tcPr>
            <w:tcW w:w="2438" w:type="dxa"/>
            <w:tcBorders>
              <w:top w:val="single" w:color="000000" w:sz="4" w:space="0"/>
              <w:left w:val="nil"/>
              <w:bottom w:val="single" w:color="000000" w:sz="4" w:space="0"/>
              <w:right w:val="single" w:color="000000" w:sz="4" w:space="0"/>
            </w:tcBorders>
            <w:noWrap w:val="0"/>
            <w:vAlign w:val="center"/>
          </w:tcPr>
          <w:p w14:paraId="4A1CEBA5">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rPr>
                <w:rFonts w:hint="eastAsia" w:ascii="宋体" w:hAnsi="宋体" w:eastAsia="宋体" w:cs="宋体"/>
                <w:i w:val="0"/>
                <w:iCs w:val="0"/>
                <w:color w:val="auto"/>
                <w:kern w:val="2"/>
                <w:sz w:val="24"/>
                <w:szCs w:val="24"/>
                <w:highlight w:val="none"/>
              </w:rPr>
            </w:pPr>
          </w:p>
        </w:tc>
      </w:tr>
      <w:tr w14:paraId="601C2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14:paraId="3C79CCF9">
            <w:pPr>
              <w:keepNext w:val="0"/>
              <w:keepLines w:val="0"/>
              <w:pageBreakBefore w:val="0"/>
              <w:widowControl/>
              <w:suppressLineNumbers w:val="0"/>
              <w:overflowPunct/>
              <w:topLinePunct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val="en-US" w:eastAsia="zh-CN" w:bidi="ar"/>
              </w:rPr>
              <w:t>13</w:t>
            </w:r>
          </w:p>
        </w:tc>
        <w:tc>
          <w:tcPr>
            <w:tcW w:w="4357" w:type="dxa"/>
            <w:tcBorders>
              <w:top w:val="single" w:color="000000" w:sz="4" w:space="0"/>
              <w:left w:val="nil"/>
              <w:bottom w:val="single" w:color="000000" w:sz="4" w:space="0"/>
              <w:right w:val="single" w:color="000000" w:sz="4" w:space="0"/>
            </w:tcBorders>
            <w:noWrap w:val="0"/>
            <w:vAlign w:val="center"/>
          </w:tcPr>
          <w:p w14:paraId="04E50C73">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val="en-US" w:eastAsia="zh-CN" w:bidi="ar"/>
              </w:rPr>
              <w:t>监理未按要求及时提供会议纪要、材料检查记录等施工过程的监理资料的</w:t>
            </w:r>
          </w:p>
        </w:tc>
        <w:tc>
          <w:tcPr>
            <w:tcW w:w="1352" w:type="dxa"/>
            <w:tcBorders>
              <w:top w:val="single" w:color="000000" w:sz="4" w:space="0"/>
              <w:left w:val="nil"/>
              <w:bottom w:val="single" w:color="000000" w:sz="4" w:space="0"/>
              <w:right w:val="single" w:color="000000" w:sz="4" w:space="0"/>
            </w:tcBorders>
            <w:noWrap w:val="0"/>
            <w:vAlign w:val="center"/>
          </w:tcPr>
          <w:p w14:paraId="52F539FF">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0"/>
                <w:sz w:val="24"/>
                <w:szCs w:val="24"/>
                <w:highlight w:val="none"/>
              </w:rPr>
            </w:pPr>
            <w:r>
              <w:rPr>
                <w:rFonts w:hint="eastAsia" w:hAnsi="宋体" w:cs="宋体"/>
                <w:i w:val="0"/>
                <w:iCs w:val="0"/>
                <w:color w:val="auto"/>
                <w:kern w:val="0"/>
                <w:sz w:val="24"/>
                <w:szCs w:val="24"/>
                <w:highlight w:val="none"/>
                <w:lang w:val="en-US" w:eastAsia="zh-CN" w:bidi="ar"/>
              </w:rPr>
              <w:t>3</w:t>
            </w:r>
            <w:r>
              <w:rPr>
                <w:rFonts w:hint="eastAsia" w:ascii="宋体" w:hAnsi="宋体" w:eastAsia="宋体" w:cs="宋体"/>
                <w:i w:val="0"/>
                <w:iCs w:val="0"/>
                <w:color w:val="auto"/>
                <w:kern w:val="0"/>
                <w:sz w:val="24"/>
                <w:szCs w:val="24"/>
                <w:highlight w:val="none"/>
                <w:lang w:val="en-US" w:eastAsia="zh-CN" w:bidi="ar"/>
              </w:rPr>
              <w:t>000元/次</w:t>
            </w:r>
          </w:p>
        </w:tc>
        <w:tc>
          <w:tcPr>
            <w:tcW w:w="2438" w:type="dxa"/>
            <w:tcBorders>
              <w:top w:val="single" w:color="000000" w:sz="4" w:space="0"/>
              <w:left w:val="nil"/>
              <w:bottom w:val="single" w:color="000000" w:sz="4" w:space="0"/>
              <w:right w:val="single" w:color="000000" w:sz="4" w:space="0"/>
            </w:tcBorders>
            <w:noWrap w:val="0"/>
            <w:vAlign w:val="center"/>
          </w:tcPr>
          <w:p w14:paraId="35A930B8">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rPr>
                <w:rFonts w:hint="eastAsia" w:ascii="宋体" w:hAnsi="宋体" w:eastAsia="宋体" w:cs="宋体"/>
                <w:i w:val="0"/>
                <w:iCs w:val="0"/>
                <w:color w:val="auto"/>
                <w:kern w:val="2"/>
                <w:sz w:val="24"/>
                <w:szCs w:val="24"/>
                <w:highlight w:val="none"/>
              </w:rPr>
            </w:pPr>
          </w:p>
        </w:tc>
      </w:tr>
      <w:tr w14:paraId="2617A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14:paraId="632F07DE">
            <w:pPr>
              <w:keepNext w:val="0"/>
              <w:keepLines w:val="0"/>
              <w:pageBreakBefore w:val="0"/>
              <w:widowControl/>
              <w:suppressLineNumbers w:val="0"/>
              <w:overflowPunct/>
              <w:topLinePunct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14</w:t>
            </w:r>
          </w:p>
        </w:tc>
        <w:tc>
          <w:tcPr>
            <w:tcW w:w="4357" w:type="dxa"/>
            <w:tcBorders>
              <w:top w:val="single" w:color="000000" w:sz="4" w:space="0"/>
              <w:left w:val="nil"/>
              <w:bottom w:val="single" w:color="000000" w:sz="4" w:space="0"/>
              <w:right w:val="single" w:color="000000" w:sz="4" w:space="0"/>
            </w:tcBorders>
            <w:noWrap w:val="0"/>
            <w:vAlign w:val="center"/>
          </w:tcPr>
          <w:p w14:paraId="14728913">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监理人在</w:t>
            </w:r>
            <w:r>
              <w:rPr>
                <w:rFonts w:hint="eastAsia" w:hAnsi="宋体" w:cs="宋体"/>
                <w:i w:val="0"/>
                <w:iCs w:val="0"/>
                <w:color w:val="auto"/>
                <w:kern w:val="0"/>
                <w:sz w:val="24"/>
                <w:szCs w:val="24"/>
                <w:highlight w:val="none"/>
                <w:lang w:val="en-US" w:eastAsia="zh-CN" w:bidi="ar"/>
              </w:rPr>
              <w:t>施工单位</w:t>
            </w:r>
            <w:r>
              <w:rPr>
                <w:rFonts w:hint="eastAsia" w:ascii="宋体" w:hAnsi="宋体" w:eastAsia="宋体" w:cs="宋体"/>
                <w:i w:val="0"/>
                <w:iCs w:val="0"/>
                <w:color w:val="auto"/>
                <w:kern w:val="0"/>
                <w:sz w:val="24"/>
                <w:szCs w:val="24"/>
                <w:highlight w:val="none"/>
                <w:lang w:val="en-US" w:eastAsia="zh-CN" w:bidi="ar"/>
              </w:rPr>
              <w:t>进场前未对相关监理人员进行专项工程交底的（以书面记录为准），向</w:t>
            </w:r>
            <w:r>
              <w:rPr>
                <w:rFonts w:hint="eastAsia" w:hAnsi="宋体" w:cs="宋体"/>
                <w:i w:val="0"/>
                <w:iCs w:val="0"/>
                <w:color w:val="auto"/>
                <w:kern w:val="0"/>
                <w:sz w:val="24"/>
                <w:szCs w:val="24"/>
                <w:highlight w:val="none"/>
                <w:lang w:val="en-US" w:eastAsia="zh-CN" w:bidi="ar"/>
              </w:rPr>
              <w:t>委托人</w:t>
            </w:r>
            <w:r>
              <w:rPr>
                <w:rFonts w:hint="eastAsia" w:ascii="宋体" w:hAnsi="宋体" w:eastAsia="宋体" w:cs="宋体"/>
                <w:i w:val="0"/>
                <w:iCs w:val="0"/>
                <w:color w:val="auto"/>
                <w:kern w:val="0"/>
                <w:sz w:val="24"/>
                <w:szCs w:val="24"/>
                <w:highlight w:val="none"/>
                <w:lang w:val="en-US" w:eastAsia="zh-CN" w:bidi="ar"/>
              </w:rPr>
              <w:t>缴纳违约金</w:t>
            </w:r>
          </w:p>
        </w:tc>
        <w:tc>
          <w:tcPr>
            <w:tcW w:w="1352" w:type="dxa"/>
            <w:tcBorders>
              <w:top w:val="single" w:color="000000" w:sz="4" w:space="0"/>
              <w:left w:val="nil"/>
              <w:bottom w:val="single" w:color="000000" w:sz="4" w:space="0"/>
              <w:right w:val="single" w:color="000000" w:sz="4" w:space="0"/>
            </w:tcBorders>
            <w:noWrap w:val="0"/>
            <w:vAlign w:val="center"/>
          </w:tcPr>
          <w:p w14:paraId="4B814658">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0"/>
                <w:sz w:val="24"/>
                <w:szCs w:val="24"/>
                <w:highlight w:val="none"/>
                <w:lang w:val="en-US" w:eastAsia="zh-CN" w:bidi="ar"/>
              </w:rPr>
            </w:pPr>
            <w:r>
              <w:rPr>
                <w:rFonts w:hint="eastAsia" w:hAnsi="宋体" w:cs="宋体"/>
                <w:i w:val="0"/>
                <w:iCs w:val="0"/>
                <w:color w:val="auto"/>
                <w:kern w:val="0"/>
                <w:sz w:val="24"/>
                <w:szCs w:val="24"/>
                <w:highlight w:val="none"/>
                <w:lang w:val="en-US" w:eastAsia="zh-CN" w:bidi="ar"/>
              </w:rPr>
              <w:t>2</w:t>
            </w:r>
            <w:r>
              <w:rPr>
                <w:rFonts w:hint="eastAsia" w:ascii="宋体" w:hAnsi="宋体" w:eastAsia="宋体" w:cs="宋体"/>
                <w:i w:val="0"/>
                <w:iCs w:val="0"/>
                <w:color w:val="auto"/>
                <w:kern w:val="0"/>
                <w:sz w:val="24"/>
                <w:szCs w:val="24"/>
                <w:highlight w:val="none"/>
                <w:lang w:val="en-US" w:eastAsia="zh-CN" w:bidi="ar"/>
              </w:rPr>
              <w:t>000元/次</w:t>
            </w:r>
          </w:p>
        </w:tc>
        <w:tc>
          <w:tcPr>
            <w:tcW w:w="2438" w:type="dxa"/>
            <w:tcBorders>
              <w:top w:val="single" w:color="000000" w:sz="4" w:space="0"/>
              <w:left w:val="nil"/>
              <w:bottom w:val="single" w:color="000000" w:sz="4" w:space="0"/>
              <w:right w:val="single" w:color="000000" w:sz="4" w:space="0"/>
            </w:tcBorders>
            <w:noWrap w:val="0"/>
            <w:vAlign w:val="center"/>
          </w:tcPr>
          <w:p w14:paraId="3503E526">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rPr>
                <w:rFonts w:hint="eastAsia" w:ascii="宋体" w:hAnsi="宋体" w:eastAsia="宋体" w:cs="宋体"/>
                <w:i w:val="0"/>
                <w:iCs w:val="0"/>
                <w:color w:val="auto"/>
                <w:kern w:val="2"/>
                <w:sz w:val="24"/>
                <w:szCs w:val="24"/>
                <w:highlight w:val="none"/>
              </w:rPr>
            </w:pPr>
          </w:p>
        </w:tc>
      </w:tr>
      <w:tr w14:paraId="2E4D9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14:paraId="6AE8C297">
            <w:pPr>
              <w:keepNext w:val="0"/>
              <w:keepLines w:val="0"/>
              <w:pageBreakBefore w:val="0"/>
              <w:widowControl/>
              <w:suppressLineNumbers w:val="0"/>
              <w:overflowPunct/>
              <w:topLinePunct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15</w:t>
            </w:r>
          </w:p>
        </w:tc>
        <w:tc>
          <w:tcPr>
            <w:tcW w:w="4357" w:type="dxa"/>
            <w:tcBorders>
              <w:top w:val="single" w:color="000000" w:sz="4" w:space="0"/>
              <w:left w:val="nil"/>
              <w:bottom w:val="single" w:color="000000" w:sz="4" w:space="0"/>
              <w:right w:val="single" w:color="000000" w:sz="4" w:space="0"/>
            </w:tcBorders>
            <w:noWrap w:val="0"/>
            <w:vAlign w:val="center"/>
          </w:tcPr>
          <w:p w14:paraId="2DA24CFA">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对</w:t>
            </w:r>
            <w:r>
              <w:rPr>
                <w:rFonts w:hint="eastAsia" w:hAnsi="宋体" w:cs="宋体"/>
                <w:i w:val="0"/>
                <w:iCs w:val="0"/>
                <w:color w:val="auto"/>
                <w:kern w:val="0"/>
                <w:sz w:val="24"/>
                <w:szCs w:val="24"/>
                <w:highlight w:val="none"/>
                <w:lang w:val="en-US" w:eastAsia="zh-CN" w:bidi="ar"/>
              </w:rPr>
              <w:t>施工单位</w:t>
            </w:r>
            <w:r>
              <w:rPr>
                <w:rFonts w:hint="eastAsia" w:ascii="宋体" w:hAnsi="宋体" w:eastAsia="宋体" w:cs="宋体"/>
                <w:i w:val="0"/>
                <w:iCs w:val="0"/>
                <w:color w:val="auto"/>
                <w:kern w:val="0"/>
                <w:sz w:val="24"/>
                <w:szCs w:val="24"/>
                <w:highlight w:val="none"/>
                <w:lang w:val="en-US" w:eastAsia="zh-CN" w:bidi="ar"/>
              </w:rPr>
              <w:t>未按图纸或招标文件的规定施工的，监理人未及时发现的，经</w:t>
            </w:r>
            <w:r>
              <w:rPr>
                <w:rFonts w:hint="eastAsia" w:hAnsi="宋体" w:cs="宋体"/>
                <w:i w:val="0"/>
                <w:iCs w:val="0"/>
                <w:color w:val="auto"/>
                <w:kern w:val="0"/>
                <w:sz w:val="24"/>
                <w:szCs w:val="24"/>
                <w:highlight w:val="none"/>
                <w:lang w:val="en-US" w:eastAsia="zh-CN" w:bidi="ar"/>
              </w:rPr>
              <w:t>委托人</w:t>
            </w:r>
            <w:r>
              <w:rPr>
                <w:rFonts w:hint="eastAsia" w:ascii="宋体" w:hAnsi="宋体" w:eastAsia="宋体" w:cs="宋体"/>
                <w:i w:val="0"/>
                <w:iCs w:val="0"/>
                <w:color w:val="auto"/>
                <w:kern w:val="0"/>
                <w:sz w:val="24"/>
                <w:szCs w:val="24"/>
                <w:highlight w:val="none"/>
                <w:lang w:val="en-US" w:eastAsia="zh-CN" w:bidi="ar"/>
              </w:rPr>
              <w:t>指正属实后，向</w:t>
            </w:r>
            <w:r>
              <w:rPr>
                <w:rFonts w:hint="eastAsia" w:hAnsi="宋体" w:cs="宋体"/>
                <w:i w:val="0"/>
                <w:iCs w:val="0"/>
                <w:color w:val="auto"/>
                <w:kern w:val="0"/>
                <w:sz w:val="24"/>
                <w:szCs w:val="24"/>
                <w:highlight w:val="none"/>
                <w:lang w:val="en-US" w:eastAsia="zh-CN" w:bidi="ar"/>
              </w:rPr>
              <w:t>委托人</w:t>
            </w:r>
            <w:r>
              <w:rPr>
                <w:rFonts w:hint="eastAsia" w:ascii="宋体" w:hAnsi="宋体" w:eastAsia="宋体" w:cs="宋体"/>
                <w:i w:val="0"/>
                <w:iCs w:val="0"/>
                <w:color w:val="auto"/>
                <w:kern w:val="0"/>
                <w:sz w:val="24"/>
                <w:szCs w:val="24"/>
                <w:highlight w:val="none"/>
                <w:lang w:val="en-US" w:eastAsia="zh-CN" w:bidi="ar"/>
              </w:rPr>
              <w:t>缴纳违约金</w:t>
            </w:r>
          </w:p>
        </w:tc>
        <w:tc>
          <w:tcPr>
            <w:tcW w:w="1352" w:type="dxa"/>
            <w:tcBorders>
              <w:top w:val="single" w:color="000000" w:sz="4" w:space="0"/>
              <w:left w:val="nil"/>
              <w:bottom w:val="single" w:color="000000" w:sz="4" w:space="0"/>
              <w:right w:val="single" w:color="000000" w:sz="4" w:space="0"/>
            </w:tcBorders>
            <w:noWrap w:val="0"/>
            <w:vAlign w:val="center"/>
          </w:tcPr>
          <w:p w14:paraId="48615F01">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0"/>
                <w:sz w:val="24"/>
                <w:szCs w:val="24"/>
                <w:highlight w:val="none"/>
                <w:lang w:val="en-US" w:eastAsia="zh-CN" w:bidi="ar"/>
              </w:rPr>
            </w:pPr>
            <w:r>
              <w:rPr>
                <w:rFonts w:hint="eastAsia" w:hAnsi="宋体" w:cs="宋体"/>
                <w:i w:val="0"/>
                <w:iCs w:val="0"/>
                <w:color w:val="auto"/>
                <w:kern w:val="0"/>
                <w:sz w:val="24"/>
                <w:szCs w:val="24"/>
                <w:highlight w:val="none"/>
                <w:lang w:val="en-US" w:eastAsia="zh-CN" w:bidi="ar"/>
              </w:rPr>
              <w:t>2</w:t>
            </w:r>
            <w:r>
              <w:rPr>
                <w:rFonts w:hint="eastAsia" w:ascii="宋体" w:hAnsi="宋体" w:eastAsia="宋体" w:cs="宋体"/>
                <w:i w:val="0"/>
                <w:iCs w:val="0"/>
                <w:color w:val="auto"/>
                <w:kern w:val="0"/>
                <w:sz w:val="24"/>
                <w:szCs w:val="24"/>
                <w:highlight w:val="none"/>
                <w:lang w:val="en-US" w:eastAsia="zh-CN" w:bidi="ar"/>
              </w:rPr>
              <w:t>000元/次</w:t>
            </w:r>
          </w:p>
        </w:tc>
        <w:tc>
          <w:tcPr>
            <w:tcW w:w="2438" w:type="dxa"/>
            <w:tcBorders>
              <w:top w:val="single" w:color="000000" w:sz="4" w:space="0"/>
              <w:left w:val="nil"/>
              <w:bottom w:val="single" w:color="000000" w:sz="4" w:space="0"/>
              <w:right w:val="single" w:color="000000" w:sz="4" w:space="0"/>
            </w:tcBorders>
            <w:noWrap w:val="0"/>
            <w:vAlign w:val="center"/>
          </w:tcPr>
          <w:p w14:paraId="021099C5">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rPr>
                <w:rFonts w:hint="eastAsia" w:ascii="宋体" w:hAnsi="宋体" w:eastAsia="宋体" w:cs="宋体"/>
                <w:i w:val="0"/>
                <w:iCs w:val="0"/>
                <w:color w:val="auto"/>
                <w:kern w:val="2"/>
                <w:sz w:val="24"/>
                <w:szCs w:val="24"/>
                <w:highlight w:val="none"/>
              </w:rPr>
            </w:pPr>
          </w:p>
        </w:tc>
      </w:tr>
      <w:tr w14:paraId="42184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14:paraId="3536350A">
            <w:pPr>
              <w:keepNext w:val="0"/>
              <w:keepLines w:val="0"/>
              <w:pageBreakBefore w:val="0"/>
              <w:widowControl/>
              <w:suppressLineNumbers w:val="0"/>
              <w:overflowPunct/>
              <w:topLinePunct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16</w:t>
            </w:r>
          </w:p>
        </w:tc>
        <w:tc>
          <w:tcPr>
            <w:tcW w:w="4357" w:type="dxa"/>
            <w:tcBorders>
              <w:top w:val="single" w:color="000000" w:sz="4" w:space="0"/>
              <w:left w:val="nil"/>
              <w:bottom w:val="single" w:color="000000" w:sz="4" w:space="0"/>
              <w:right w:val="single" w:color="000000" w:sz="4" w:space="0"/>
            </w:tcBorders>
            <w:noWrap w:val="0"/>
            <w:vAlign w:val="center"/>
          </w:tcPr>
          <w:p w14:paraId="5E18BBCF">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监理人对发现</w:t>
            </w:r>
            <w:r>
              <w:rPr>
                <w:rFonts w:hint="eastAsia" w:hAnsi="宋体" w:cs="宋体"/>
                <w:i w:val="0"/>
                <w:iCs w:val="0"/>
                <w:color w:val="auto"/>
                <w:kern w:val="0"/>
                <w:sz w:val="24"/>
                <w:szCs w:val="24"/>
                <w:highlight w:val="none"/>
                <w:lang w:val="en-US" w:eastAsia="zh-CN" w:bidi="ar"/>
              </w:rPr>
              <w:t>施工单位</w:t>
            </w:r>
            <w:r>
              <w:rPr>
                <w:rFonts w:hint="eastAsia" w:ascii="宋体" w:hAnsi="宋体" w:eastAsia="宋体" w:cs="宋体"/>
                <w:i w:val="0"/>
                <w:iCs w:val="0"/>
                <w:color w:val="auto"/>
                <w:kern w:val="0"/>
                <w:sz w:val="24"/>
                <w:szCs w:val="24"/>
                <w:highlight w:val="none"/>
                <w:lang w:val="en-US" w:eastAsia="zh-CN" w:bidi="ar"/>
              </w:rPr>
              <w:t>的施工质量不符合要求而未及时发出整改通知，或对发出通知但</w:t>
            </w:r>
            <w:r>
              <w:rPr>
                <w:rFonts w:hint="eastAsia" w:hAnsi="宋体" w:cs="宋体"/>
                <w:i w:val="0"/>
                <w:iCs w:val="0"/>
                <w:color w:val="auto"/>
                <w:kern w:val="0"/>
                <w:sz w:val="24"/>
                <w:szCs w:val="24"/>
                <w:highlight w:val="none"/>
                <w:lang w:val="en-US" w:eastAsia="zh-CN" w:bidi="ar"/>
              </w:rPr>
              <w:t>施工单位</w:t>
            </w:r>
            <w:r>
              <w:rPr>
                <w:rFonts w:hint="eastAsia" w:ascii="宋体" w:hAnsi="宋体" w:eastAsia="宋体" w:cs="宋体"/>
                <w:i w:val="0"/>
                <w:iCs w:val="0"/>
                <w:color w:val="auto"/>
                <w:kern w:val="0"/>
                <w:sz w:val="24"/>
                <w:szCs w:val="24"/>
                <w:highlight w:val="none"/>
                <w:lang w:val="en-US" w:eastAsia="zh-CN" w:bidi="ar"/>
              </w:rPr>
              <w:t>未予整改的情况下不采取有效措施的，向</w:t>
            </w:r>
            <w:r>
              <w:rPr>
                <w:rFonts w:hint="eastAsia" w:hAnsi="宋体" w:cs="宋体"/>
                <w:i w:val="0"/>
                <w:iCs w:val="0"/>
                <w:color w:val="auto"/>
                <w:kern w:val="0"/>
                <w:sz w:val="24"/>
                <w:szCs w:val="24"/>
                <w:highlight w:val="none"/>
                <w:lang w:val="en-US" w:eastAsia="zh-CN" w:bidi="ar"/>
              </w:rPr>
              <w:t>委托人</w:t>
            </w:r>
            <w:r>
              <w:rPr>
                <w:rFonts w:hint="eastAsia" w:ascii="宋体" w:hAnsi="宋体" w:eastAsia="宋体" w:cs="宋体"/>
                <w:i w:val="0"/>
                <w:iCs w:val="0"/>
                <w:color w:val="auto"/>
                <w:kern w:val="0"/>
                <w:sz w:val="24"/>
                <w:szCs w:val="24"/>
                <w:highlight w:val="none"/>
                <w:lang w:val="en-US" w:eastAsia="zh-CN" w:bidi="ar"/>
              </w:rPr>
              <w:t>缴纳违约金</w:t>
            </w:r>
          </w:p>
        </w:tc>
        <w:tc>
          <w:tcPr>
            <w:tcW w:w="1352" w:type="dxa"/>
            <w:tcBorders>
              <w:top w:val="single" w:color="000000" w:sz="4" w:space="0"/>
              <w:left w:val="nil"/>
              <w:bottom w:val="single" w:color="000000" w:sz="4" w:space="0"/>
              <w:right w:val="single" w:color="000000" w:sz="4" w:space="0"/>
            </w:tcBorders>
            <w:noWrap w:val="0"/>
            <w:vAlign w:val="center"/>
          </w:tcPr>
          <w:p w14:paraId="2E4CDFFF">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0"/>
                <w:sz w:val="24"/>
                <w:szCs w:val="24"/>
                <w:highlight w:val="none"/>
                <w:lang w:val="en-US" w:eastAsia="zh-CN" w:bidi="ar"/>
              </w:rPr>
            </w:pPr>
            <w:r>
              <w:rPr>
                <w:rFonts w:hint="eastAsia" w:hAnsi="宋体" w:cs="宋体"/>
                <w:i w:val="0"/>
                <w:iCs w:val="0"/>
                <w:color w:val="auto"/>
                <w:kern w:val="0"/>
                <w:sz w:val="24"/>
                <w:szCs w:val="24"/>
                <w:highlight w:val="none"/>
                <w:lang w:val="en-US" w:eastAsia="zh-CN" w:bidi="ar"/>
              </w:rPr>
              <w:t>2</w:t>
            </w:r>
            <w:r>
              <w:rPr>
                <w:rFonts w:hint="eastAsia" w:ascii="宋体" w:hAnsi="宋体" w:eastAsia="宋体" w:cs="宋体"/>
                <w:i w:val="0"/>
                <w:iCs w:val="0"/>
                <w:color w:val="auto"/>
                <w:kern w:val="0"/>
                <w:sz w:val="24"/>
                <w:szCs w:val="24"/>
                <w:highlight w:val="none"/>
                <w:lang w:val="en-US" w:eastAsia="zh-CN" w:bidi="ar"/>
              </w:rPr>
              <w:t>000元/次</w:t>
            </w:r>
          </w:p>
        </w:tc>
        <w:tc>
          <w:tcPr>
            <w:tcW w:w="2438" w:type="dxa"/>
            <w:tcBorders>
              <w:top w:val="single" w:color="000000" w:sz="4" w:space="0"/>
              <w:left w:val="nil"/>
              <w:bottom w:val="single" w:color="000000" w:sz="4" w:space="0"/>
              <w:right w:val="single" w:color="000000" w:sz="4" w:space="0"/>
            </w:tcBorders>
            <w:noWrap w:val="0"/>
            <w:vAlign w:val="center"/>
          </w:tcPr>
          <w:p w14:paraId="37438A7B">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rPr>
                <w:rFonts w:hint="eastAsia" w:ascii="宋体" w:hAnsi="宋体" w:eastAsia="宋体" w:cs="宋体"/>
                <w:i w:val="0"/>
                <w:iCs w:val="0"/>
                <w:color w:val="auto"/>
                <w:kern w:val="2"/>
                <w:sz w:val="24"/>
                <w:szCs w:val="24"/>
                <w:highlight w:val="none"/>
              </w:rPr>
            </w:pPr>
          </w:p>
        </w:tc>
      </w:tr>
      <w:tr w14:paraId="2B0A9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14:paraId="6829229B">
            <w:pPr>
              <w:keepNext w:val="0"/>
              <w:keepLines w:val="0"/>
              <w:pageBreakBefore w:val="0"/>
              <w:widowControl/>
              <w:suppressLineNumbers w:val="0"/>
              <w:overflowPunct/>
              <w:topLinePunct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17</w:t>
            </w:r>
          </w:p>
        </w:tc>
        <w:tc>
          <w:tcPr>
            <w:tcW w:w="4357" w:type="dxa"/>
            <w:tcBorders>
              <w:top w:val="single" w:color="000000" w:sz="4" w:space="0"/>
              <w:left w:val="nil"/>
              <w:bottom w:val="single" w:color="000000" w:sz="4" w:space="0"/>
              <w:right w:val="single" w:color="000000" w:sz="4" w:space="0"/>
            </w:tcBorders>
            <w:noWrap w:val="0"/>
            <w:vAlign w:val="center"/>
          </w:tcPr>
          <w:p w14:paraId="110A0EF5">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对于需要审批的技术文件,不进行审批或不进行认真分析、核对即盲目批准，或没有按已审批的技术文件检查、督促</w:t>
            </w:r>
            <w:r>
              <w:rPr>
                <w:rFonts w:hint="eastAsia" w:hAnsi="宋体" w:cs="宋体"/>
                <w:i w:val="0"/>
                <w:iCs w:val="0"/>
                <w:color w:val="auto"/>
                <w:kern w:val="0"/>
                <w:sz w:val="24"/>
                <w:szCs w:val="24"/>
                <w:highlight w:val="none"/>
                <w:lang w:val="en-US" w:eastAsia="zh-CN" w:bidi="ar"/>
              </w:rPr>
              <w:t>施工单位</w:t>
            </w:r>
            <w:r>
              <w:rPr>
                <w:rFonts w:hint="eastAsia" w:ascii="宋体" w:hAnsi="宋体" w:eastAsia="宋体" w:cs="宋体"/>
                <w:i w:val="0"/>
                <w:iCs w:val="0"/>
                <w:color w:val="auto"/>
                <w:kern w:val="0"/>
                <w:sz w:val="24"/>
                <w:szCs w:val="24"/>
                <w:highlight w:val="none"/>
                <w:lang w:val="en-US" w:eastAsia="zh-CN" w:bidi="ar"/>
              </w:rPr>
              <w:t>按技术文件、有关规定进行施工，导致工程出现质量缺陷、安全事故或进度延误，</w:t>
            </w:r>
            <w:r>
              <w:rPr>
                <w:rFonts w:hint="eastAsia" w:hAnsi="宋体" w:cs="宋体"/>
                <w:i w:val="0"/>
                <w:iCs w:val="0"/>
                <w:color w:val="auto"/>
                <w:kern w:val="0"/>
                <w:sz w:val="24"/>
                <w:szCs w:val="24"/>
                <w:highlight w:val="none"/>
                <w:lang w:val="en-US" w:eastAsia="zh-CN" w:bidi="ar"/>
              </w:rPr>
              <w:t>委托人</w:t>
            </w:r>
            <w:r>
              <w:rPr>
                <w:rFonts w:hint="eastAsia" w:ascii="宋体" w:hAnsi="宋体" w:eastAsia="宋体" w:cs="宋体"/>
                <w:i w:val="0"/>
                <w:iCs w:val="0"/>
                <w:color w:val="auto"/>
                <w:kern w:val="0"/>
                <w:sz w:val="24"/>
                <w:szCs w:val="24"/>
                <w:highlight w:val="none"/>
                <w:lang w:val="en-US" w:eastAsia="zh-CN" w:bidi="ar"/>
              </w:rPr>
              <w:t>因此遭受损失, 向</w:t>
            </w:r>
            <w:r>
              <w:rPr>
                <w:rFonts w:hint="eastAsia" w:hAnsi="宋体" w:cs="宋体"/>
                <w:i w:val="0"/>
                <w:iCs w:val="0"/>
                <w:color w:val="auto"/>
                <w:kern w:val="0"/>
                <w:sz w:val="24"/>
                <w:szCs w:val="24"/>
                <w:highlight w:val="none"/>
                <w:lang w:val="en-US" w:eastAsia="zh-CN" w:bidi="ar"/>
              </w:rPr>
              <w:t>委托人</w:t>
            </w:r>
            <w:r>
              <w:rPr>
                <w:rFonts w:hint="eastAsia" w:ascii="宋体" w:hAnsi="宋体" w:eastAsia="宋体" w:cs="宋体"/>
                <w:i w:val="0"/>
                <w:iCs w:val="0"/>
                <w:color w:val="auto"/>
                <w:kern w:val="0"/>
                <w:sz w:val="24"/>
                <w:szCs w:val="24"/>
                <w:highlight w:val="none"/>
                <w:lang w:val="en-US" w:eastAsia="zh-CN" w:bidi="ar"/>
              </w:rPr>
              <w:t>缴纳违约金</w:t>
            </w:r>
          </w:p>
        </w:tc>
        <w:tc>
          <w:tcPr>
            <w:tcW w:w="1352" w:type="dxa"/>
            <w:tcBorders>
              <w:top w:val="single" w:color="000000" w:sz="4" w:space="0"/>
              <w:left w:val="nil"/>
              <w:bottom w:val="single" w:color="000000" w:sz="4" w:space="0"/>
              <w:right w:val="single" w:color="000000" w:sz="4" w:space="0"/>
            </w:tcBorders>
            <w:noWrap w:val="0"/>
            <w:vAlign w:val="center"/>
          </w:tcPr>
          <w:p w14:paraId="4AD53098">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0"/>
                <w:sz w:val="24"/>
                <w:szCs w:val="24"/>
                <w:highlight w:val="none"/>
                <w:lang w:val="en-US" w:eastAsia="zh-CN" w:bidi="ar"/>
              </w:rPr>
            </w:pPr>
            <w:r>
              <w:rPr>
                <w:rFonts w:hint="eastAsia" w:hAnsi="宋体" w:cs="宋体"/>
                <w:i w:val="0"/>
                <w:iCs w:val="0"/>
                <w:color w:val="auto"/>
                <w:kern w:val="0"/>
                <w:sz w:val="24"/>
                <w:szCs w:val="24"/>
                <w:highlight w:val="none"/>
                <w:lang w:val="en-US" w:eastAsia="zh-CN" w:bidi="ar"/>
              </w:rPr>
              <w:t>2</w:t>
            </w:r>
            <w:r>
              <w:rPr>
                <w:rFonts w:hint="eastAsia" w:ascii="宋体" w:hAnsi="宋体" w:eastAsia="宋体" w:cs="宋体"/>
                <w:i w:val="0"/>
                <w:iCs w:val="0"/>
                <w:color w:val="auto"/>
                <w:kern w:val="0"/>
                <w:sz w:val="24"/>
                <w:szCs w:val="24"/>
                <w:highlight w:val="none"/>
                <w:lang w:val="en-US" w:eastAsia="zh-CN" w:bidi="ar"/>
              </w:rPr>
              <w:t>000元/次</w:t>
            </w:r>
          </w:p>
        </w:tc>
        <w:tc>
          <w:tcPr>
            <w:tcW w:w="2438" w:type="dxa"/>
            <w:tcBorders>
              <w:top w:val="single" w:color="000000" w:sz="4" w:space="0"/>
              <w:left w:val="nil"/>
              <w:bottom w:val="single" w:color="000000" w:sz="4" w:space="0"/>
              <w:right w:val="single" w:color="000000" w:sz="4" w:space="0"/>
            </w:tcBorders>
            <w:noWrap w:val="0"/>
            <w:vAlign w:val="center"/>
          </w:tcPr>
          <w:p w14:paraId="19626968">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rPr>
                <w:rFonts w:hint="eastAsia" w:ascii="宋体" w:hAnsi="宋体" w:eastAsia="宋体" w:cs="宋体"/>
                <w:i w:val="0"/>
                <w:iCs w:val="0"/>
                <w:color w:val="auto"/>
                <w:kern w:val="2"/>
                <w:sz w:val="24"/>
                <w:szCs w:val="24"/>
                <w:highlight w:val="none"/>
              </w:rPr>
            </w:pPr>
          </w:p>
        </w:tc>
      </w:tr>
      <w:tr w14:paraId="694CD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14:paraId="05630207">
            <w:pPr>
              <w:keepNext w:val="0"/>
              <w:keepLines w:val="0"/>
              <w:pageBreakBefore w:val="0"/>
              <w:widowControl/>
              <w:suppressLineNumbers w:val="0"/>
              <w:overflowPunct/>
              <w:topLinePunct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18</w:t>
            </w:r>
          </w:p>
        </w:tc>
        <w:tc>
          <w:tcPr>
            <w:tcW w:w="4357" w:type="dxa"/>
            <w:tcBorders>
              <w:top w:val="single" w:color="000000" w:sz="4" w:space="0"/>
              <w:left w:val="nil"/>
              <w:bottom w:val="single" w:color="000000" w:sz="4" w:space="0"/>
              <w:right w:val="single" w:color="000000" w:sz="4" w:space="0"/>
            </w:tcBorders>
            <w:noWrap w:val="0"/>
            <w:vAlign w:val="center"/>
          </w:tcPr>
          <w:p w14:paraId="1A072362">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没有按规定做好材料见证送检工作，没有做好工程材料、构配件、设备进场审批，</w:t>
            </w:r>
            <w:r>
              <w:rPr>
                <w:rFonts w:hint="eastAsia" w:hAnsi="宋体" w:cs="宋体"/>
                <w:i w:val="0"/>
                <w:iCs w:val="0"/>
                <w:color w:val="auto"/>
                <w:kern w:val="0"/>
                <w:sz w:val="24"/>
                <w:szCs w:val="24"/>
                <w:highlight w:val="none"/>
                <w:lang w:val="en-US" w:eastAsia="zh-CN" w:bidi="ar"/>
              </w:rPr>
              <w:t>委托人</w:t>
            </w:r>
            <w:r>
              <w:rPr>
                <w:rFonts w:hint="eastAsia" w:ascii="宋体" w:hAnsi="宋体" w:eastAsia="宋体" w:cs="宋体"/>
                <w:i w:val="0"/>
                <w:iCs w:val="0"/>
                <w:color w:val="auto"/>
                <w:kern w:val="0"/>
                <w:sz w:val="24"/>
                <w:szCs w:val="24"/>
                <w:highlight w:val="none"/>
                <w:lang w:val="en-US" w:eastAsia="zh-CN" w:bidi="ar"/>
              </w:rPr>
              <w:t>因此遭受损失，向</w:t>
            </w:r>
            <w:r>
              <w:rPr>
                <w:rFonts w:hint="eastAsia" w:hAnsi="宋体" w:cs="宋体"/>
                <w:i w:val="0"/>
                <w:iCs w:val="0"/>
                <w:color w:val="auto"/>
                <w:kern w:val="0"/>
                <w:sz w:val="24"/>
                <w:szCs w:val="24"/>
                <w:highlight w:val="none"/>
                <w:lang w:val="en-US" w:eastAsia="zh-CN" w:bidi="ar"/>
              </w:rPr>
              <w:t>委托人</w:t>
            </w:r>
            <w:r>
              <w:rPr>
                <w:rFonts w:hint="eastAsia" w:ascii="宋体" w:hAnsi="宋体" w:eastAsia="宋体" w:cs="宋体"/>
                <w:i w:val="0"/>
                <w:iCs w:val="0"/>
                <w:color w:val="auto"/>
                <w:kern w:val="0"/>
                <w:sz w:val="24"/>
                <w:szCs w:val="24"/>
                <w:highlight w:val="none"/>
                <w:lang w:val="en-US" w:eastAsia="zh-CN" w:bidi="ar"/>
              </w:rPr>
              <w:t>缴纳违约金</w:t>
            </w:r>
          </w:p>
        </w:tc>
        <w:tc>
          <w:tcPr>
            <w:tcW w:w="1352" w:type="dxa"/>
            <w:tcBorders>
              <w:top w:val="single" w:color="000000" w:sz="4" w:space="0"/>
              <w:left w:val="nil"/>
              <w:bottom w:val="single" w:color="000000" w:sz="4" w:space="0"/>
              <w:right w:val="single" w:color="000000" w:sz="4" w:space="0"/>
            </w:tcBorders>
            <w:noWrap w:val="0"/>
            <w:vAlign w:val="center"/>
          </w:tcPr>
          <w:p w14:paraId="3B452934">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0"/>
                <w:sz w:val="24"/>
                <w:szCs w:val="24"/>
                <w:highlight w:val="none"/>
                <w:lang w:val="en-US" w:eastAsia="zh-CN" w:bidi="ar"/>
              </w:rPr>
            </w:pPr>
            <w:r>
              <w:rPr>
                <w:rFonts w:hint="eastAsia" w:hAnsi="宋体" w:cs="宋体"/>
                <w:i w:val="0"/>
                <w:iCs w:val="0"/>
                <w:color w:val="auto"/>
                <w:kern w:val="0"/>
                <w:sz w:val="24"/>
                <w:szCs w:val="24"/>
                <w:highlight w:val="none"/>
                <w:lang w:val="en-US" w:eastAsia="zh-CN" w:bidi="ar"/>
              </w:rPr>
              <w:t>2</w:t>
            </w:r>
            <w:r>
              <w:rPr>
                <w:rFonts w:hint="eastAsia" w:ascii="宋体" w:hAnsi="宋体" w:eastAsia="宋体" w:cs="宋体"/>
                <w:i w:val="0"/>
                <w:iCs w:val="0"/>
                <w:color w:val="auto"/>
                <w:kern w:val="0"/>
                <w:sz w:val="24"/>
                <w:szCs w:val="24"/>
                <w:highlight w:val="none"/>
                <w:lang w:val="en-US" w:eastAsia="zh-CN" w:bidi="ar"/>
              </w:rPr>
              <w:t>000元/次</w:t>
            </w:r>
          </w:p>
        </w:tc>
        <w:tc>
          <w:tcPr>
            <w:tcW w:w="2438" w:type="dxa"/>
            <w:tcBorders>
              <w:top w:val="single" w:color="000000" w:sz="4" w:space="0"/>
              <w:left w:val="nil"/>
              <w:bottom w:val="single" w:color="000000" w:sz="4" w:space="0"/>
              <w:right w:val="single" w:color="000000" w:sz="4" w:space="0"/>
            </w:tcBorders>
            <w:noWrap w:val="0"/>
            <w:vAlign w:val="center"/>
          </w:tcPr>
          <w:p w14:paraId="413B12C2">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rPr>
                <w:rFonts w:hint="eastAsia" w:ascii="宋体" w:hAnsi="宋体" w:eastAsia="宋体" w:cs="宋体"/>
                <w:i w:val="0"/>
                <w:iCs w:val="0"/>
                <w:color w:val="auto"/>
                <w:kern w:val="2"/>
                <w:sz w:val="24"/>
                <w:szCs w:val="24"/>
                <w:highlight w:val="none"/>
              </w:rPr>
            </w:pPr>
          </w:p>
        </w:tc>
      </w:tr>
      <w:tr w14:paraId="4EE38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14:paraId="714B8A25">
            <w:pPr>
              <w:keepNext w:val="0"/>
              <w:keepLines w:val="0"/>
              <w:pageBreakBefore w:val="0"/>
              <w:widowControl/>
              <w:suppressLineNumbers w:val="0"/>
              <w:overflowPunct/>
              <w:topLinePunct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19</w:t>
            </w:r>
          </w:p>
        </w:tc>
        <w:tc>
          <w:tcPr>
            <w:tcW w:w="4357" w:type="dxa"/>
            <w:tcBorders>
              <w:top w:val="single" w:color="000000" w:sz="4" w:space="0"/>
              <w:left w:val="nil"/>
              <w:bottom w:val="single" w:color="000000" w:sz="4" w:space="0"/>
              <w:right w:val="single" w:color="000000" w:sz="4" w:space="0"/>
            </w:tcBorders>
            <w:noWrap w:val="0"/>
            <w:vAlign w:val="center"/>
          </w:tcPr>
          <w:p w14:paraId="1C477545">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对必须进行检查验收的项目，不进行检查验收或不按照规定方法进行检查验收，</w:t>
            </w:r>
            <w:r>
              <w:rPr>
                <w:rFonts w:hint="eastAsia" w:hAnsi="宋体" w:cs="宋体"/>
                <w:i w:val="0"/>
                <w:iCs w:val="0"/>
                <w:color w:val="auto"/>
                <w:kern w:val="0"/>
                <w:sz w:val="24"/>
                <w:szCs w:val="24"/>
                <w:highlight w:val="none"/>
                <w:lang w:val="en-US" w:eastAsia="zh-CN" w:bidi="ar"/>
              </w:rPr>
              <w:t>委托人</w:t>
            </w:r>
            <w:r>
              <w:rPr>
                <w:rFonts w:hint="eastAsia" w:ascii="宋体" w:hAnsi="宋体" w:eastAsia="宋体" w:cs="宋体"/>
                <w:i w:val="0"/>
                <w:iCs w:val="0"/>
                <w:color w:val="auto"/>
                <w:kern w:val="0"/>
                <w:sz w:val="24"/>
                <w:szCs w:val="24"/>
                <w:highlight w:val="none"/>
                <w:lang w:val="en-US" w:eastAsia="zh-CN" w:bidi="ar"/>
              </w:rPr>
              <w:t>因此遭受损失，向</w:t>
            </w:r>
            <w:r>
              <w:rPr>
                <w:rFonts w:hint="eastAsia" w:hAnsi="宋体" w:cs="宋体"/>
                <w:i w:val="0"/>
                <w:iCs w:val="0"/>
                <w:color w:val="auto"/>
                <w:kern w:val="0"/>
                <w:sz w:val="24"/>
                <w:szCs w:val="24"/>
                <w:highlight w:val="none"/>
                <w:lang w:val="en-US" w:eastAsia="zh-CN" w:bidi="ar"/>
              </w:rPr>
              <w:t>委托人</w:t>
            </w:r>
            <w:r>
              <w:rPr>
                <w:rFonts w:hint="eastAsia" w:ascii="宋体" w:hAnsi="宋体" w:eastAsia="宋体" w:cs="宋体"/>
                <w:i w:val="0"/>
                <w:iCs w:val="0"/>
                <w:color w:val="auto"/>
                <w:kern w:val="0"/>
                <w:sz w:val="24"/>
                <w:szCs w:val="24"/>
                <w:highlight w:val="none"/>
                <w:lang w:val="en-US" w:eastAsia="zh-CN" w:bidi="ar"/>
              </w:rPr>
              <w:t>缴纳违约金。</w:t>
            </w:r>
          </w:p>
        </w:tc>
        <w:tc>
          <w:tcPr>
            <w:tcW w:w="1352" w:type="dxa"/>
            <w:tcBorders>
              <w:top w:val="single" w:color="000000" w:sz="4" w:space="0"/>
              <w:left w:val="nil"/>
              <w:bottom w:val="single" w:color="000000" w:sz="4" w:space="0"/>
              <w:right w:val="single" w:color="000000" w:sz="4" w:space="0"/>
            </w:tcBorders>
            <w:noWrap w:val="0"/>
            <w:vAlign w:val="center"/>
          </w:tcPr>
          <w:p w14:paraId="0B0CE218">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0"/>
                <w:sz w:val="24"/>
                <w:szCs w:val="24"/>
                <w:highlight w:val="none"/>
                <w:lang w:val="en-US" w:eastAsia="zh-CN" w:bidi="ar"/>
              </w:rPr>
            </w:pPr>
            <w:r>
              <w:rPr>
                <w:rFonts w:hint="eastAsia" w:hAnsi="宋体" w:cs="宋体"/>
                <w:i w:val="0"/>
                <w:iCs w:val="0"/>
                <w:color w:val="auto"/>
                <w:kern w:val="0"/>
                <w:sz w:val="24"/>
                <w:szCs w:val="24"/>
                <w:highlight w:val="none"/>
                <w:lang w:val="en-US" w:eastAsia="zh-CN" w:bidi="ar"/>
              </w:rPr>
              <w:t>2</w:t>
            </w:r>
            <w:r>
              <w:rPr>
                <w:rFonts w:hint="eastAsia" w:ascii="宋体" w:hAnsi="宋体" w:eastAsia="宋体" w:cs="宋体"/>
                <w:i w:val="0"/>
                <w:iCs w:val="0"/>
                <w:color w:val="auto"/>
                <w:kern w:val="0"/>
                <w:sz w:val="24"/>
                <w:szCs w:val="24"/>
                <w:highlight w:val="none"/>
                <w:lang w:val="en-US" w:eastAsia="zh-CN" w:bidi="ar"/>
              </w:rPr>
              <w:t>000元/次</w:t>
            </w:r>
          </w:p>
        </w:tc>
        <w:tc>
          <w:tcPr>
            <w:tcW w:w="2438" w:type="dxa"/>
            <w:tcBorders>
              <w:top w:val="single" w:color="000000" w:sz="4" w:space="0"/>
              <w:left w:val="nil"/>
              <w:bottom w:val="single" w:color="000000" w:sz="4" w:space="0"/>
              <w:right w:val="single" w:color="000000" w:sz="4" w:space="0"/>
            </w:tcBorders>
            <w:noWrap w:val="0"/>
            <w:vAlign w:val="center"/>
          </w:tcPr>
          <w:p w14:paraId="386C5B73">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rPr>
                <w:rFonts w:hint="eastAsia" w:ascii="宋体" w:hAnsi="宋体" w:eastAsia="宋体" w:cs="宋体"/>
                <w:i w:val="0"/>
                <w:iCs w:val="0"/>
                <w:color w:val="auto"/>
                <w:kern w:val="2"/>
                <w:sz w:val="24"/>
                <w:szCs w:val="24"/>
                <w:highlight w:val="none"/>
              </w:rPr>
            </w:pPr>
          </w:p>
        </w:tc>
      </w:tr>
      <w:tr w14:paraId="172A7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14:paraId="3011123A">
            <w:pPr>
              <w:keepNext w:val="0"/>
              <w:keepLines w:val="0"/>
              <w:pageBreakBefore w:val="0"/>
              <w:widowControl/>
              <w:suppressLineNumbers w:val="0"/>
              <w:overflowPunct/>
              <w:topLinePunct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20</w:t>
            </w:r>
          </w:p>
        </w:tc>
        <w:tc>
          <w:tcPr>
            <w:tcW w:w="4357" w:type="dxa"/>
            <w:tcBorders>
              <w:top w:val="single" w:color="000000" w:sz="4" w:space="0"/>
              <w:left w:val="nil"/>
              <w:bottom w:val="single" w:color="000000" w:sz="4" w:space="0"/>
              <w:right w:val="single" w:color="000000" w:sz="4" w:space="0"/>
            </w:tcBorders>
            <w:noWrap w:val="0"/>
            <w:vAlign w:val="center"/>
          </w:tcPr>
          <w:p w14:paraId="5869B8C9">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 xml:space="preserve">连续3次检查发现重要工序没有监理人员旁站的；明知工程存在缺陷，仍不采取措施加以处理，放任缺陷存在；或者将明显不合格的工程按照合格进行验收，致使工程留下隐患, </w:t>
            </w:r>
            <w:r>
              <w:rPr>
                <w:rFonts w:hint="eastAsia" w:hAnsi="宋体" w:cs="宋体"/>
                <w:i w:val="0"/>
                <w:iCs w:val="0"/>
                <w:color w:val="auto"/>
                <w:kern w:val="0"/>
                <w:sz w:val="24"/>
                <w:szCs w:val="24"/>
                <w:highlight w:val="none"/>
                <w:lang w:val="en-US" w:eastAsia="zh-CN" w:bidi="ar"/>
              </w:rPr>
              <w:t>委托人</w:t>
            </w:r>
            <w:r>
              <w:rPr>
                <w:rFonts w:hint="eastAsia" w:ascii="宋体" w:hAnsi="宋体" w:eastAsia="宋体" w:cs="宋体"/>
                <w:i w:val="0"/>
                <w:iCs w:val="0"/>
                <w:color w:val="auto"/>
                <w:kern w:val="0"/>
                <w:sz w:val="24"/>
                <w:szCs w:val="24"/>
                <w:highlight w:val="none"/>
                <w:lang w:val="en-US" w:eastAsia="zh-CN" w:bidi="ar"/>
              </w:rPr>
              <w:t>因此遭受损失的，向</w:t>
            </w:r>
            <w:r>
              <w:rPr>
                <w:rFonts w:hint="eastAsia" w:hAnsi="宋体" w:cs="宋体"/>
                <w:i w:val="0"/>
                <w:iCs w:val="0"/>
                <w:color w:val="auto"/>
                <w:kern w:val="0"/>
                <w:sz w:val="24"/>
                <w:szCs w:val="24"/>
                <w:highlight w:val="none"/>
                <w:lang w:val="en-US" w:eastAsia="zh-CN" w:bidi="ar"/>
              </w:rPr>
              <w:t>委托人</w:t>
            </w:r>
            <w:r>
              <w:rPr>
                <w:rFonts w:hint="eastAsia" w:ascii="宋体" w:hAnsi="宋体" w:eastAsia="宋体" w:cs="宋体"/>
                <w:i w:val="0"/>
                <w:iCs w:val="0"/>
                <w:color w:val="auto"/>
                <w:kern w:val="0"/>
                <w:sz w:val="24"/>
                <w:szCs w:val="24"/>
                <w:highlight w:val="none"/>
                <w:lang w:val="en-US" w:eastAsia="zh-CN" w:bidi="ar"/>
              </w:rPr>
              <w:t>缴纳违约金</w:t>
            </w:r>
          </w:p>
        </w:tc>
        <w:tc>
          <w:tcPr>
            <w:tcW w:w="1352" w:type="dxa"/>
            <w:tcBorders>
              <w:top w:val="single" w:color="000000" w:sz="4" w:space="0"/>
              <w:left w:val="nil"/>
              <w:bottom w:val="single" w:color="000000" w:sz="4" w:space="0"/>
              <w:right w:val="single" w:color="000000" w:sz="4" w:space="0"/>
            </w:tcBorders>
            <w:noWrap w:val="0"/>
            <w:vAlign w:val="center"/>
          </w:tcPr>
          <w:p w14:paraId="67FC2E9C">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0"/>
                <w:sz w:val="24"/>
                <w:szCs w:val="24"/>
                <w:highlight w:val="none"/>
                <w:lang w:val="en-US" w:eastAsia="zh-CN" w:bidi="ar"/>
              </w:rPr>
            </w:pPr>
            <w:r>
              <w:rPr>
                <w:rFonts w:hint="eastAsia" w:hAnsi="宋体" w:cs="宋体"/>
                <w:i w:val="0"/>
                <w:iCs w:val="0"/>
                <w:color w:val="auto"/>
                <w:kern w:val="0"/>
                <w:sz w:val="24"/>
                <w:szCs w:val="24"/>
                <w:highlight w:val="none"/>
                <w:lang w:val="en-US" w:eastAsia="zh-CN" w:bidi="ar"/>
              </w:rPr>
              <w:t>2</w:t>
            </w:r>
            <w:r>
              <w:rPr>
                <w:rFonts w:hint="eastAsia" w:ascii="宋体" w:hAnsi="宋体" w:eastAsia="宋体" w:cs="宋体"/>
                <w:i w:val="0"/>
                <w:iCs w:val="0"/>
                <w:color w:val="auto"/>
                <w:kern w:val="0"/>
                <w:sz w:val="24"/>
                <w:szCs w:val="24"/>
                <w:highlight w:val="none"/>
                <w:lang w:val="en-US" w:eastAsia="zh-CN" w:bidi="ar"/>
              </w:rPr>
              <w:t>000元/次</w:t>
            </w:r>
          </w:p>
        </w:tc>
        <w:tc>
          <w:tcPr>
            <w:tcW w:w="2438" w:type="dxa"/>
            <w:tcBorders>
              <w:top w:val="single" w:color="000000" w:sz="4" w:space="0"/>
              <w:left w:val="nil"/>
              <w:bottom w:val="single" w:color="000000" w:sz="4" w:space="0"/>
              <w:right w:val="single" w:color="000000" w:sz="4" w:space="0"/>
            </w:tcBorders>
            <w:noWrap w:val="0"/>
            <w:vAlign w:val="center"/>
          </w:tcPr>
          <w:p w14:paraId="083299FC">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rPr>
                <w:rFonts w:hint="eastAsia" w:ascii="宋体" w:hAnsi="宋体" w:eastAsia="宋体" w:cs="宋体"/>
                <w:i w:val="0"/>
                <w:iCs w:val="0"/>
                <w:color w:val="auto"/>
                <w:kern w:val="2"/>
                <w:sz w:val="24"/>
                <w:szCs w:val="24"/>
                <w:highlight w:val="none"/>
              </w:rPr>
            </w:pPr>
          </w:p>
        </w:tc>
      </w:tr>
      <w:tr w14:paraId="71511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14:paraId="615B6143">
            <w:pPr>
              <w:keepNext w:val="0"/>
              <w:keepLines w:val="0"/>
              <w:pageBreakBefore w:val="0"/>
              <w:widowControl/>
              <w:suppressLineNumbers w:val="0"/>
              <w:overflowPunct/>
              <w:topLinePunct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21</w:t>
            </w:r>
          </w:p>
        </w:tc>
        <w:tc>
          <w:tcPr>
            <w:tcW w:w="4357" w:type="dxa"/>
            <w:tcBorders>
              <w:top w:val="single" w:color="000000" w:sz="4" w:space="0"/>
              <w:left w:val="nil"/>
              <w:bottom w:val="single" w:color="000000" w:sz="4" w:space="0"/>
              <w:right w:val="single" w:color="000000" w:sz="4" w:space="0"/>
            </w:tcBorders>
            <w:noWrap w:val="0"/>
            <w:vAlign w:val="center"/>
          </w:tcPr>
          <w:p w14:paraId="6EA920E0">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进度滞后超过7天没有书面分析原因提出处理意见，进度滞后情况发生后没有督促</w:t>
            </w:r>
            <w:r>
              <w:rPr>
                <w:rFonts w:hint="eastAsia" w:hAnsi="宋体" w:cs="宋体"/>
                <w:i w:val="0"/>
                <w:iCs w:val="0"/>
                <w:color w:val="auto"/>
                <w:kern w:val="0"/>
                <w:sz w:val="24"/>
                <w:szCs w:val="24"/>
                <w:highlight w:val="none"/>
                <w:lang w:val="en-US" w:eastAsia="zh-CN" w:bidi="ar"/>
              </w:rPr>
              <w:t>施工单位</w:t>
            </w:r>
            <w:r>
              <w:rPr>
                <w:rFonts w:hint="eastAsia" w:ascii="宋体" w:hAnsi="宋体" w:eastAsia="宋体" w:cs="宋体"/>
                <w:i w:val="0"/>
                <w:iCs w:val="0"/>
                <w:color w:val="auto"/>
                <w:kern w:val="0"/>
                <w:sz w:val="24"/>
                <w:szCs w:val="24"/>
                <w:highlight w:val="none"/>
                <w:lang w:val="en-US" w:eastAsia="zh-CN" w:bidi="ar"/>
              </w:rPr>
              <w:t>采取有效措施纠偏致使进度失控，</w:t>
            </w:r>
            <w:r>
              <w:rPr>
                <w:rFonts w:hint="eastAsia" w:hAnsi="宋体" w:cs="宋体"/>
                <w:i w:val="0"/>
                <w:iCs w:val="0"/>
                <w:color w:val="auto"/>
                <w:kern w:val="0"/>
                <w:sz w:val="24"/>
                <w:szCs w:val="24"/>
                <w:highlight w:val="none"/>
                <w:lang w:val="en-US" w:eastAsia="zh-CN" w:bidi="ar"/>
              </w:rPr>
              <w:t>委托人</w:t>
            </w:r>
            <w:r>
              <w:rPr>
                <w:rFonts w:hint="eastAsia" w:ascii="宋体" w:hAnsi="宋体" w:eastAsia="宋体" w:cs="宋体"/>
                <w:i w:val="0"/>
                <w:iCs w:val="0"/>
                <w:color w:val="auto"/>
                <w:kern w:val="0"/>
                <w:sz w:val="24"/>
                <w:szCs w:val="24"/>
                <w:highlight w:val="none"/>
                <w:lang w:val="en-US" w:eastAsia="zh-CN" w:bidi="ar"/>
              </w:rPr>
              <w:t>因此遭受损失的，向</w:t>
            </w:r>
            <w:r>
              <w:rPr>
                <w:rFonts w:hint="eastAsia" w:hAnsi="宋体" w:cs="宋体"/>
                <w:i w:val="0"/>
                <w:iCs w:val="0"/>
                <w:color w:val="auto"/>
                <w:kern w:val="0"/>
                <w:sz w:val="24"/>
                <w:szCs w:val="24"/>
                <w:highlight w:val="none"/>
                <w:lang w:val="en-US" w:eastAsia="zh-CN" w:bidi="ar"/>
              </w:rPr>
              <w:t>委托人</w:t>
            </w:r>
            <w:r>
              <w:rPr>
                <w:rFonts w:hint="eastAsia" w:ascii="宋体" w:hAnsi="宋体" w:eastAsia="宋体" w:cs="宋体"/>
                <w:i w:val="0"/>
                <w:iCs w:val="0"/>
                <w:color w:val="auto"/>
                <w:kern w:val="0"/>
                <w:sz w:val="24"/>
                <w:szCs w:val="24"/>
                <w:highlight w:val="none"/>
                <w:lang w:val="en-US" w:eastAsia="zh-CN" w:bidi="ar"/>
              </w:rPr>
              <w:t>缴纳违约金</w:t>
            </w:r>
          </w:p>
        </w:tc>
        <w:tc>
          <w:tcPr>
            <w:tcW w:w="1352" w:type="dxa"/>
            <w:tcBorders>
              <w:top w:val="single" w:color="000000" w:sz="4" w:space="0"/>
              <w:left w:val="nil"/>
              <w:bottom w:val="single" w:color="000000" w:sz="4" w:space="0"/>
              <w:right w:val="single" w:color="000000" w:sz="4" w:space="0"/>
            </w:tcBorders>
            <w:noWrap w:val="0"/>
            <w:vAlign w:val="center"/>
          </w:tcPr>
          <w:p w14:paraId="0E237D4A">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0"/>
                <w:sz w:val="24"/>
                <w:szCs w:val="24"/>
                <w:highlight w:val="none"/>
                <w:lang w:val="en-US" w:eastAsia="zh-CN" w:bidi="ar"/>
              </w:rPr>
            </w:pPr>
            <w:r>
              <w:rPr>
                <w:rFonts w:hint="eastAsia" w:hAnsi="宋体" w:cs="宋体"/>
                <w:i w:val="0"/>
                <w:iCs w:val="0"/>
                <w:color w:val="auto"/>
                <w:kern w:val="0"/>
                <w:sz w:val="24"/>
                <w:szCs w:val="24"/>
                <w:highlight w:val="none"/>
                <w:lang w:val="en-US" w:eastAsia="zh-CN" w:bidi="ar"/>
              </w:rPr>
              <w:t>2</w:t>
            </w:r>
            <w:r>
              <w:rPr>
                <w:rFonts w:hint="eastAsia" w:ascii="宋体" w:hAnsi="宋体" w:eastAsia="宋体" w:cs="宋体"/>
                <w:i w:val="0"/>
                <w:iCs w:val="0"/>
                <w:color w:val="auto"/>
                <w:kern w:val="0"/>
                <w:sz w:val="24"/>
                <w:szCs w:val="24"/>
                <w:highlight w:val="none"/>
                <w:lang w:val="en-US" w:eastAsia="zh-CN" w:bidi="ar"/>
              </w:rPr>
              <w:t>000元/次</w:t>
            </w:r>
          </w:p>
        </w:tc>
        <w:tc>
          <w:tcPr>
            <w:tcW w:w="2438" w:type="dxa"/>
            <w:tcBorders>
              <w:top w:val="single" w:color="000000" w:sz="4" w:space="0"/>
              <w:left w:val="nil"/>
              <w:bottom w:val="single" w:color="000000" w:sz="4" w:space="0"/>
              <w:right w:val="single" w:color="000000" w:sz="4" w:space="0"/>
            </w:tcBorders>
            <w:noWrap w:val="0"/>
            <w:vAlign w:val="center"/>
          </w:tcPr>
          <w:p w14:paraId="1C16850A">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rPr>
                <w:rFonts w:hint="eastAsia" w:ascii="宋体" w:hAnsi="宋体" w:eastAsia="宋体" w:cs="宋体"/>
                <w:i w:val="0"/>
                <w:iCs w:val="0"/>
                <w:color w:val="auto"/>
                <w:kern w:val="2"/>
                <w:sz w:val="24"/>
                <w:szCs w:val="24"/>
                <w:highlight w:val="none"/>
              </w:rPr>
            </w:pPr>
          </w:p>
        </w:tc>
      </w:tr>
      <w:tr w14:paraId="50B4E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14:paraId="28D9E093">
            <w:pPr>
              <w:keepNext w:val="0"/>
              <w:keepLines w:val="0"/>
              <w:pageBreakBefore w:val="0"/>
              <w:widowControl/>
              <w:suppressLineNumbers w:val="0"/>
              <w:overflowPunct/>
              <w:topLinePunct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22</w:t>
            </w:r>
          </w:p>
        </w:tc>
        <w:tc>
          <w:tcPr>
            <w:tcW w:w="4357" w:type="dxa"/>
            <w:tcBorders>
              <w:top w:val="single" w:color="000000" w:sz="4" w:space="0"/>
              <w:left w:val="nil"/>
              <w:bottom w:val="single" w:color="000000" w:sz="4" w:space="0"/>
              <w:right w:val="single" w:color="000000" w:sz="4" w:space="0"/>
            </w:tcBorders>
            <w:noWrap w:val="0"/>
            <w:vAlign w:val="center"/>
          </w:tcPr>
          <w:p w14:paraId="2697B001">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对质监站、安监站等政府有关部门和</w:t>
            </w:r>
            <w:r>
              <w:rPr>
                <w:rFonts w:hint="eastAsia" w:hAnsi="宋体" w:cs="宋体"/>
                <w:i w:val="0"/>
                <w:iCs w:val="0"/>
                <w:color w:val="auto"/>
                <w:kern w:val="0"/>
                <w:sz w:val="24"/>
                <w:szCs w:val="24"/>
                <w:highlight w:val="none"/>
                <w:lang w:val="en-US" w:eastAsia="zh-CN" w:bidi="ar"/>
              </w:rPr>
              <w:t>委托人</w:t>
            </w:r>
            <w:r>
              <w:rPr>
                <w:rFonts w:hint="eastAsia" w:ascii="宋体" w:hAnsi="宋体" w:eastAsia="宋体" w:cs="宋体"/>
                <w:i w:val="0"/>
                <w:iCs w:val="0"/>
                <w:color w:val="auto"/>
                <w:kern w:val="0"/>
                <w:sz w:val="24"/>
                <w:szCs w:val="24"/>
                <w:highlight w:val="none"/>
                <w:lang w:val="en-US" w:eastAsia="zh-CN" w:bidi="ar"/>
              </w:rPr>
              <w:t>上级部门提出的需整改问题没有督促</w:t>
            </w:r>
            <w:r>
              <w:rPr>
                <w:rFonts w:hint="eastAsia" w:hAnsi="宋体" w:cs="宋体"/>
                <w:i w:val="0"/>
                <w:iCs w:val="0"/>
                <w:color w:val="auto"/>
                <w:kern w:val="0"/>
                <w:sz w:val="24"/>
                <w:szCs w:val="24"/>
                <w:highlight w:val="none"/>
                <w:lang w:val="en-US" w:eastAsia="zh-CN" w:bidi="ar"/>
              </w:rPr>
              <w:t>施工单位</w:t>
            </w:r>
            <w:r>
              <w:rPr>
                <w:rFonts w:hint="eastAsia" w:ascii="宋体" w:hAnsi="宋体" w:eastAsia="宋体" w:cs="宋体"/>
                <w:i w:val="0"/>
                <w:iCs w:val="0"/>
                <w:color w:val="auto"/>
                <w:kern w:val="0"/>
                <w:sz w:val="24"/>
                <w:szCs w:val="24"/>
                <w:highlight w:val="none"/>
                <w:lang w:val="en-US" w:eastAsia="zh-CN" w:bidi="ar"/>
              </w:rPr>
              <w:t>落实整改，被政府部门勒令停工，</w:t>
            </w:r>
            <w:r>
              <w:rPr>
                <w:rFonts w:hint="eastAsia" w:hAnsi="宋体" w:cs="宋体"/>
                <w:i w:val="0"/>
                <w:iCs w:val="0"/>
                <w:color w:val="auto"/>
                <w:kern w:val="0"/>
                <w:sz w:val="24"/>
                <w:szCs w:val="24"/>
                <w:highlight w:val="none"/>
                <w:lang w:val="en-US" w:eastAsia="zh-CN" w:bidi="ar"/>
              </w:rPr>
              <w:t>委托人</w:t>
            </w:r>
            <w:r>
              <w:rPr>
                <w:rFonts w:hint="eastAsia" w:ascii="宋体" w:hAnsi="宋体" w:eastAsia="宋体" w:cs="宋体"/>
                <w:i w:val="0"/>
                <w:iCs w:val="0"/>
                <w:color w:val="auto"/>
                <w:kern w:val="0"/>
                <w:sz w:val="24"/>
                <w:szCs w:val="24"/>
                <w:highlight w:val="none"/>
                <w:lang w:val="en-US" w:eastAsia="zh-CN" w:bidi="ar"/>
              </w:rPr>
              <w:t>因此遭受损失的，向</w:t>
            </w:r>
            <w:r>
              <w:rPr>
                <w:rFonts w:hint="eastAsia" w:hAnsi="宋体" w:cs="宋体"/>
                <w:i w:val="0"/>
                <w:iCs w:val="0"/>
                <w:color w:val="auto"/>
                <w:kern w:val="0"/>
                <w:sz w:val="24"/>
                <w:szCs w:val="24"/>
                <w:highlight w:val="none"/>
                <w:lang w:val="en-US" w:eastAsia="zh-CN" w:bidi="ar"/>
              </w:rPr>
              <w:t>委托人</w:t>
            </w:r>
            <w:r>
              <w:rPr>
                <w:rFonts w:hint="eastAsia" w:ascii="宋体" w:hAnsi="宋体" w:eastAsia="宋体" w:cs="宋体"/>
                <w:i w:val="0"/>
                <w:iCs w:val="0"/>
                <w:color w:val="auto"/>
                <w:kern w:val="0"/>
                <w:sz w:val="24"/>
                <w:szCs w:val="24"/>
                <w:highlight w:val="none"/>
                <w:lang w:val="en-US" w:eastAsia="zh-CN" w:bidi="ar"/>
              </w:rPr>
              <w:t>缴纳违约金</w:t>
            </w:r>
          </w:p>
        </w:tc>
        <w:tc>
          <w:tcPr>
            <w:tcW w:w="1352" w:type="dxa"/>
            <w:tcBorders>
              <w:top w:val="single" w:color="000000" w:sz="4" w:space="0"/>
              <w:left w:val="nil"/>
              <w:bottom w:val="single" w:color="000000" w:sz="4" w:space="0"/>
              <w:right w:val="single" w:color="000000" w:sz="4" w:space="0"/>
            </w:tcBorders>
            <w:noWrap w:val="0"/>
            <w:vAlign w:val="center"/>
          </w:tcPr>
          <w:p w14:paraId="520A532B">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0"/>
                <w:sz w:val="24"/>
                <w:szCs w:val="24"/>
                <w:highlight w:val="none"/>
                <w:lang w:val="en-US" w:eastAsia="zh-CN" w:bidi="ar"/>
              </w:rPr>
            </w:pPr>
            <w:r>
              <w:rPr>
                <w:rFonts w:hint="eastAsia" w:hAnsi="宋体" w:cs="宋体"/>
                <w:i w:val="0"/>
                <w:iCs w:val="0"/>
                <w:color w:val="auto"/>
                <w:kern w:val="0"/>
                <w:sz w:val="24"/>
                <w:szCs w:val="24"/>
                <w:highlight w:val="none"/>
                <w:lang w:val="en-US" w:eastAsia="zh-CN" w:bidi="ar"/>
              </w:rPr>
              <w:t>2</w:t>
            </w:r>
            <w:r>
              <w:rPr>
                <w:rFonts w:hint="eastAsia" w:ascii="宋体" w:hAnsi="宋体" w:eastAsia="宋体" w:cs="宋体"/>
                <w:i w:val="0"/>
                <w:iCs w:val="0"/>
                <w:color w:val="auto"/>
                <w:kern w:val="0"/>
                <w:sz w:val="24"/>
                <w:szCs w:val="24"/>
                <w:highlight w:val="none"/>
                <w:lang w:val="en-US" w:eastAsia="zh-CN" w:bidi="ar"/>
              </w:rPr>
              <w:t>000元/次</w:t>
            </w:r>
          </w:p>
        </w:tc>
        <w:tc>
          <w:tcPr>
            <w:tcW w:w="2438" w:type="dxa"/>
            <w:tcBorders>
              <w:top w:val="single" w:color="000000" w:sz="4" w:space="0"/>
              <w:left w:val="nil"/>
              <w:bottom w:val="single" w:color="000000" w:sz="4" w:space="0"/>
              <w:right w:val="single" w:color="000000" w:sz="4" w:space="0"/>
            </w:tcBorders>
            <w:noWrap w:val="0"/>
            <w:vAlign w:val="center"/>
          </w:tcPr>
          <w:p w14:paraId="60515004">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rPr>
                <w:rFonts w:hint="eastAsia" w:ascii="宋体" w:hAnsi="宋体" w:eastAsia="宋体" w:cs="宋体"/>
                <w:i w:val="0"/>
                <w:iCs w:val="0"/>
                <w:color w:val="auto"/>
                <w:kern w:val="2"/>
                <w:sz w:val="24"/>
                <w:szCs w:val="24"/>
                <w:highlight w:val="none"/>
              </w:rPr>
            </w:pPr>
          </w:p>
        </w:tc>
      </w:tr>
      <w:tr w14:paraId="08D0C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14:paraId="29BB9DE2">
            <w:pPr>
              <w:keepNext w:val="0"/>
              <w:keepLines w:val="0"/>
              <w:pageBreakBefore w:val="0"/>
              <w:widowControl/>
              <w:suppressLineNumbers w:val="0"/>
              <w:overflowPunct/>
              <w:topLinePunct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23</w:t>
            </w:r>
          </w:p>
        </w:tc>
        <w:tc>
          <w:tcPr>
            <w:tcW w:w="4357" w:type="dxa"/>
            <w:tcBorders>
              <w:top w:val="single" w:color="000000" w:sz="4" w:space="0"/>
              <w:left w:val="nil"/>
              <w:bottom w:val="single" w:color="000000" w:sz="4" w:space="0"/>
              <w:right w:val="single" w:color="000000" w:sz="4" w:space="0"/>
            </w:tcBorders>
            <w:noWrap w:val="0"/>
            <w:vAlign w:val="center"/>
          </w:tcPr>
          <w:p w14:paraId="4FFEC967">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没有及时签发验收资料，督促</w:t>
            </w:r>
            <w:r>
              <w:rPr>
                <w:rFonts w:hint="eastAsia" w:hAnsi="宋体" w:cs="宋体"/>
                <w:i w:val="0"/>
                <w:iCs w:val="0"/>
                <w:color w:val="auto"/>
                <w:kern w:val="0"/>
                <w:sz w:val="24"/>
                <w:szCs w:val="24"/>
                <w:highlight w:val="none"/>
                <w:lang w:val="en-US" w:eastAsia="zh-CN" w:bidi="ar"/>
              </w:rPr>
              <w:t>施工单位</w:t>
            </w:r>
            <w:r>
              <w:rPr>
                <w:rFonts w:hint="eastAsia" w:ascii="宋体" w:hAnsi="宋体" w:eastAsia="宋体" w:cs="宋体"/>
                <w:i w:val="0"/>
                <w:iCs w:val="0"/>
                <w:color w:val="auto"/>
                <w:kern w:val="0"/>
                <w:sz w:val="24"/>
                <w:szCs w:val="24"/>
                <w:highlight w:val="none"/>
                <w:lang w:val="en-US" w:eastAsia="zh-CN" w:bidi="ar"/>
              </w:rPr>
              <w:t>按要求整理好验收资料，致使无法办理工程验收，工期延误，</w:t>
            </w:r>
            <w:r>
              <w:rPr>
                <w:rFonts w:hint="eastAsia" w:hAnsi="宋体" w:cs="宋体"/>
                <w:i w:val="0"/>
                <w:iCs w:val="0"/>
                <w:color w:val="auto"/>
                <w:kern w:val="0"/>
                <w:sz w:val="24"/>
                <w:szCs w:val="24"/>
                <w:highlight w:val="none"/>
                <w:lang w:val="en-US" w:eastAsia="zh-CN" w:bidi="ar"/>
              </w:rPr>
              <w:t>委托人</w:t>
            </w:r>
            <w:r>
              <w:rPr>
                <w:rFonts w:hint="eastAsia" w:ascii="宋体" w:hAnsi="宋体" w:eastAsia="宋体" w:cs="宋体"/>
                <w:i w:val="0"/>
                <w:iCs w:val="0"/>
                <w:color w:val="auto"/>
                <w:kern w:val="0"/>
                <w:sz w:val="24"/>
                <w:szCs w:val="24"/>
                <w:highlight w:val="none"/>
                <w:lang w:val="en-US" w:eastAsia="zh-CN" w:bidi="ar"/>
              </w:rPr>
              <w:t>因此遭受损失的，向</w:t>
            </w:r>
            <w:r>
              <w:rPr>
                <w:rFonts w:hint="eastAsia" w:hAnsi="宋体" w:cs="宋体"/>
                <w:i w:val="0"/>
                <w:iCs w:val="0"/>
                <w:color w:val="auto"/>
                <w:kern w:val="0"/>
                <w:sz w:val="24"/>
                <w:szCs w:val="24"/>
                <w:highlight w:val="none"/>
                <w:lang w:val="en-US" w:eastAsia="zh-CN" w:bidi="ar"/>
              </w:rPr>
              <w:t>委托人</w:t>
            </w:r>
            <w:r>
              <w:rPr>
                <w:rFonts w:hint="eastAsia" w:ascii="宋体" w:hAnsi="宋体" w:eastAsia="宋体" w:cs="宋体"/>
                <w:i w:val="0"/>
                <w:iCs w:val="0"/>
                <w:color w:val="auto"/>
                <w:kern w:val="0"/>
                <w:sz w:val="24"/>
                <w:szCs w:val="24"/>
                <w:highlight w:val="none"/>
                <w:lang w:val="en-US" w:eastAsia="zh-CN" w:bidi="ar"/>
              </w:rPr>
              <w:t>缴纳违约金</w:t>
            </w:r>
          </w:p>
        </w:tc>
        <w:tc>
          <w:tcPr>
            <w:tcW w:w="1352" w:type="dxa"/>
            <w:tcBorders>
              <w:top w:val="single" w:color="000000" w:sz="4" w:space="0"/>
              <w:left w:val="nil"/>
              <w:bottom w:val="single" w:color="000000" w:sz="4" w:space="0"/>
              <w:right w:val="single" w:color="000000" w:sz="4" w:space="0"/>
            </w:tcBorders>
            <w:noWrap w:val="0"/>
            <w:vAlign w:val="center"/>
          </w:tcPr>
          <w:p w14:paraId="0644E38D">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0"/>
                <w:sz w:val="24"/>
                <w:szCs w:val="24"/>
                <w:highlight w:val="none"/>
                <w:lang w:val="en-US" w:eastAsia="zh-CN" w:bidi="ar"/>
              </w:rPr>
            </w:pPr>
            <w:r>
              <w:rPr>
                <w:rFonts w:hint="eastAsia" w:hAnsi="宋体" w:cs="宋体"/>
                <w:i w:val="0"/>
                <w:iCs w:val="0"/>
                <w:color w:val="auto"/>
                <w:kern w:val="0"/>
                <w:sz w:val="24"/>
                <w:szCs w:val="24"/>
                <w:highlight w:val="none"/>
                <w:lang w:val="en-US" w:eastAsia="zh-CN" w:bidi="ar"/>
              </w:rPr>
              <w:t>2</w:t>
            </w:r>
            <w:r>
              <w:rPr>
                <w:rFonts w:hint="eastAsia" w:ascii="宋体" w:hAnsi="宋体" w:eastAsia="宋体" w:cs="宋体"/>
                <w:i w:val="0"/>
                <w:iCs w:val="0"/>
                <w:color w:val="auto"/>
                <w:kern w:val="0"/>
                <w:sz w:val="24"/>
                <w:szCs w:val="24"/>
                <w:highlight w:val="none"/>
                <w:lang w:val="en-US" w:eastAsia="zh-CN" w:bidi="ar"/>
              </w:rPr>
              <w:t>000元/次</w:t>
            </w:r>
          </w:p>
        </w:tc>
        <w:tc>
          <w:tcPr>
            <w:tcW w:w="2438" w:type="dxa"/>
            <w:tcBorders>
              <w:top w:val="single" w:color="000000" w:sz="4" w:space="0"/>
              <w:left w:val="nil"/>
              <w:bottom w:val="single" w:color="000000" w:sz="4" w:space="0"/>
              <w:right w:val="single" w:color="000000" w:sz="4" w:space="0"/>
            </w:tcBorders>
            <w:noWrap w:val="0"/>
            <w:vAlign w:val="center"/>
          </w:tcPr>
          <w:p w14:paraId="565231E9">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rPr>
                <w:rFonts w:hint="eastAsia" w:ascii="宋体" w:hAnsi="宋体" w:eastAsia="宋体" w:cs="宋体"/>
                <w:i w:val="0"/>
                <w:iCs w:val="0"/>
                <w:color w:val="auto"/>
                <w:kern w:val="2"/>
                <w:sz w:val="24"/>
                <w:szCs w:val="24"/>
                <w:highlight w:val="none"/>
              </w:rPr>
            </w:pPr>
          </w:p>
        </w:tc>
      </w:tr>
      <w:tr w14:paraId="5B63C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14:paraId="1A3BA648">
            <w:pPr>
              <w:keepNext w:val="0"/>
              <w:keepLines w:val="0"/>
              <w:pageBreakBefore w:val="0"/>
              <w:widowControl/>
              <w:suppressLineNumbers w:val="0"/>
              <w:overflowPunct/>
              <w:topLinePunct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24</w:t>
            </w:r>
          </w:p>
        </w:tc>
        <w:tc>
          <w:tcPr>
            <w:tcW w:w="4357" w:type="dxa"/>
            <w:tcBorders>
              <w:top w:val="single" w:color="000000" w:sz="4" w:space="0"/>
              <w:left w:val="nil"/>
              <w:bottom w:val="single" w:color="000000" w:sz="4" w:space="0"/>
              <w:right w:val="single" w:color="000000" w:sz="4" w:space="0"/>
            </w:tcBorders>
            <w:noWrap w:val="0"/>
            <w:vAlign w:val="center"/>
          </w:tcPr>
          <w:p w14:paraId="2ED9318D">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如因监理人工作不力造成重大工程事故，或管理不力阻碍工程顺利进行，并经</w:t>
            </w:r>
            <w:r>
              <w:rPr>
                <w:rFonts w:hint="eastAsia" w:hAnsi="宋体" w:cs="宋体"/>
                <w:i w:val="0"/>
                <w:iCs w:val="0"/>
                <w:color w:val="auto"/>
                <w:kern w:val="0"/>
                <w:sz w:val="24"/>
                <w:szCs w:val="24"/>
                <w:highlight w:val="none"/>
                <w:lang w:val="en-US" w:eastAsia="zh-CN" w:bidi="ar"/>
              </w:rPr>
              <w:t>委托人</w:t>
            </w:r>
            <w:r>
              <w:rPr>
                <w:rFonts w:hint="eastAsia" w:ascii="宋体" w:hAnsi="宋体" w:eastAsia="宋体" w:cs="宋体"/>
                <w:i w:val="0"/>
                <w:iCs w:val="0"/>
                <w:color w:val="auto"/>
                <w:kern w:val="0"/>
                <w:sz w:val="24"/>
                <w:szCs w:val="24"/>
                <w:highlight w:val="none"/>
                <w:lang w:val="en-US" w:eastAsia="zh-CN" w:bidi="ar"/>
              </w:rPr>
              <w:t>5次敦促改善仍未有结果，</w:t>
            </w:r>
            <w:r>
              <w:rPr>
                <w:rFonts w:hint="eastAsia" w:hAnsi="宋体" w:cs="宋体"/>
                <w:i w:val="0"/>
                <w:iCs w:val="0"/>
                <w:color w:val="auto"/>
                <w:kern w:val="0"/>
                <w:sz w:val="24"/>
                <w:szCs w:val="24"/>
                <w:highlight w:val="none"/>
                <w:lang w:val="en-US" w:eastAsia="zh-CN" w:bidi="ar"/>
              </w:rPr>
              <w:t>委托人</w:t>
            </w:r>
            <w:r>
              <w:rPr>
                <w:rFonts w:hint="eastAsia" w:ascii="宋体" w:hAnsi="宋体" w:eastAsia="宋体" w:cs="宋体"/>
                <w:i w:val="0"/>
                <w:iCs w:val="0"/>
                <w:color w:val="auto"/>
                <w:kern w:val="0"/>
                <w:sz w:val="24"/>
                <w:szCs w:val="24"/>
                <w:highlight w:val="none"/>
                <w:lang w:val="en-US" w:eastAsia="zh-CN" w:bidi="ar"/>
              </w:rPr>
              <w:t>有权提出终止合同。</w:t>
            </w:r>
          </w:p>
        </w:tc>
        <w:tc>
          <w:tcPr>
            <w:tcW w:w="1352" w:type="dxa"/>
            <w:tcBorders>
              <w:top w:val="single" w:color="000000" w:sz="4" w:space="0"/>
              <w:left w:val="nil"/>
              <w:bottom w:val="single" w:color="000000" w:sz="4" w:space="0"/>
              <w:right w:val="single" w:color="000000" w:sz="4" w:space="0"/>
            </w:tcBorders>
            <w:noWrap w:val="0"/>
            <w:vAlign w:val="center"/>
          </w:tcPr>
          <w:p w14:paraId="2A58CE48">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w:t>
            </w:r>
          </w:p>
        </w:tc>
        <w:tc>
          <w:tcPr>
            <w:tcW w:w="2438" w:type="dxa"/>
            <w:tcBorders>
              <w:top w:val="single" w:color="000000" w:sz="4" w:space="0"/>
              <w:left w:val="nil"/>
              <w:bottom w:val="single" w:color="000000" w:sz="4" w:space="0"/>
              <w:right w:val="single" w:color="000000" w:sz="4" w:space="0"/>
            </w:tcBorders>
            <w:noWrap w:val="0"/>
            <w:vAlign w:val="center"/>
          </w:tcPr>
          <w:p w14:paraId="55AD9B34">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rPr>
                <w:rFonts w:hint="eastAsia" w:ascii="宋体" w:hAnsi="宋体" w:eastAsia="宋体" w:cs="宋体"/>
                <w:i w:val="0"/>
                <w:iCs w:val="0"/>
                <w:color w:val="auto"/>
                <w:kern w:val="2"/>
                <w:sz w:val="24"/>
                <w:szCs w:val="24"/>
                <w:highlight w:val="none"/>
              </w:rPr>
            </w:pPr>
          </w:p>
        </w:tc>
      </w:tr>
      <w:tr w14:paraId="3646B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2" w:type="dxa"/>
            <w:tcBorders>
              <w:top w:val="single" w:color="000000" w:sz="4" w:space="0"/>
              <w:left w:val="single" w:color="000000" w:sz="4" w:space="0"/>
              <w:bottom w:val="single" w:color="000000" w:sz="4" w:space="0"/>
              <w:right w:val="single" w:color="000000" w:sz="4" w:space="0"/>
            </w:tcBorders>
            <w:noWrap w:val="0"/>
            <w:vAlign w:val="center"/>
          </w:tcPr>
          <w:p w14:paraId="65F9B913">
            <w:pPr>
              <w:keepNext w:val="0"/>
              <w:keepLines w:val="0"/>
              <w:pageBreakBefore w:val="0"/>
              <w:widowControl/>
              <w:suppressLineNumbers w:val="0"/>
              <w:overflowPunct/>
              <w:topLinePunct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25</w:t>
            </w:r>
          </w:p>
        </w:tc>
        <w:tc>
          <w:tcPr>
            <w:tcW w:w="4357" w:type="dxa"/>
            <w:tcBorders>
              <w:top w:val="single" w:color="000000" w:sz="4" w:space="0"/>
              <w:left w:val="nil"/>
              <w:bottom w:val="single" w:color="000000" w:sz="4" w:space="0"/>
              <w:right w:val="single" w:color="000000" w:sz="4" w:space="0"/>
            </w:tcBorders>
            <w:noWrap w:val="0"/>
            <w:vAlign w:val="center"/>
          </w:tcPr>
          <w:p w14:paraId="40DCFBFB">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如乙方拒不配合甲方对乙方在合作期间内的阳光合作监督及调查工作的，或者被证实存在隐瞒信息、提供虚假信息和伪证行为的，甲方有权视情节严重程度，对原合同的履行采取暂停支付业务进度款、终止合作、追究经济损失、解除合同等措施，且无需承担任何违约责任。</w:t>
            </w:r>
          </w:p>
        </w:tc>
        <w:tc>
          <w:tcPr>
            <w:tcW w:w="1352" w:type="dxa"/>
            <w:tcBorders>
              <w:top w:val="single" w:color="000000" w:sz="4" w:space="0"/>
              <w:left w:val="nil"/>
              <w:bottom w:val="single" w:color="000000" w:sz="4" w:space="0"/>
              <w:right w:val="single" w:color="000000" w:sz="4" w:space="0"/>
            </w:tcBorders>
            <w:noWrap w:val="0"/>
            <w:vAlign w:val="center"/>
          </w:tcPr>
          <w:p w14:paraId="62F59971">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w:t>
            </w:r>
          </w:p>
        </w:tc>
        <w:tc>
          <w:tcPr>
            <w:tcW w:w="2438" w:type="dxa"/>
            <w:tcBorders>
              <w:top w:val="single" w:color="000000" w:sz="4" w:space="0"/>
              <w:left w:val="nil"/>
              <w:bottom w:val="single" w:color="000000" w:sz="4" w:space="0"/>
              <w:right w:val="single" w:color="000000" w:sz="4" w:space="0"/>
            </w:tcBorders>
            <w:noWrap w:val="0"/>
            <w:vAlign w:val="center"/>
          </w:tcPr>
          <w:p w14:paraId="5D3AD133">
            <w:pPr>
              <w:keepNext w:val="0"/>
              <w:keepLines w:val="0"/>
              <w:pageBreakBefore w:val="0"/>
              <w:widowControl w:val="0"/>
              <w:suppressLineNumbers w:val="0"/>
              <w:kinsoku w:val="0"/>
              <w:wordWrap w:val="0"/>
              <w:overflowPunct/>
              <w:topLinePunct w:val="0"/>
              <w:autoSpaceDE w:val="0"/>
              <w:autoSpaceDN/>
              <w:bidi w:val="0"/>
              <w:adjustRightInd/>
              <w:snapToGrid/>
              <w:spacing w:before="0" w:beforeAutospacing="0" w:after="0" w:afterAutospacing="0" w:line="520" w:lineRule="exact"/>
              <w:ind w:left="0" w:right="0"/>
              <w:jc w:val="left"/>
              <w:rPr>
                <w:rFonts w:hint="eastAsia" w:ascii="宋体" w:hAnsi="宋体" w:eastAsia="宋体" w:cs="宋体"/>
                <w:i w:val="0"/>
                <w:iCs w:val="0"/>
                <w:color w:val="auto"/>
                <w:kern w:val="2"/>
                <w:sz w:val="24"/>
                <w:szCs w:val="24"/>
                <w:highlight w:val="none"/>
              </w:rPr>
            </w:pPr>
          </w:p>
        </w:tc>
      </w:tr>
    </w:tbl>
    <w:p w14:paraId="07E59632">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right="0" w:firstLine="482" w:firstLineChars="200"/>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8.4</w:t>
      </w:r>
      <w:r>
        <w:rPr>
          <w:rFonts w:hint="eastAsia" w:ascii="宋体" w:hAnsi="宋体" w:eastAsia="宋体" w:cs="宋体"/>
          <w:b w:val="0"/>
          <w:bCs w:val="0"/>
          <w:color w:val="auto"/>
          <w:kern w:val="0"/>
          <w:sz w:val="24"/>
          <w:szCs w:val="24"/>
          <w:highlight w:val="none"/>
          <w:lang w:val="en-US" w:eastAsia="zh-CN" w:bidi="ar"/>
        </w:rPr>
        <w:t>变更、签证“一月一清”工作</w:t>
      </w:r>
    </w:p>
    <w:p w14:paraId="1ECA4F1E">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right="0" w:firstLine="482" w:firstLineChars="200"/>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8.4.1</w:t>
      </w:r>
      <w:r>
        <w:rPr>
          <w:rFonts w:hint="eastAsia" w:ascii="宋体" w:hAnsi="宋体" w:eastAsia="宋体" w:cs="宋体"/>
          <w:b w:val="0"/>
          <w:bCs w:val="0"/>
          <w:color w:val="auto"/>
          <w:kern w:val="0"/>
          <w:sz w:val="24"/>
          <w:szCs w:val="24"/>
          <w:highlight w:val="none"/>
          <w:lang w:val="en-US" w:eastAsia="zh-CN" w:bidi="ar"/>
        </w:rPr>
        <w:t>监理人应积极配合</w:t>
      </w:r>
      <w:r>
        <w:rPr>
          <w:rFonts w:hint="eastAsia" w:hAnsi="宋体" w:cs="宋体"/>
          <w:b w:val="0"/>
          <w:bCs w:val="0"/>
          <w:color w:val="auto"/>
          <w:kern w:val="0"/>
          <w:sz w:val="24"/>
          <w:szCs w:val="24"/>
          <w:highlight w:val="none"/>
          <w:lang w:val="en-US" w:eastAsia="zh-CN" w:bidi="ar"/>
        </w:rPr>
        <w:t>委托人</w:t>
      </w:r>
      <w:r>
        <w:rPr>
          <w:rFonts w:hint="eastAsia" w:ascii="宋体" w:hAnsi="宋体" w:eastAsia="宋体" w:cs="宋体"/>
          <w:b w:val="0"/>
          <w:bCs w:val="0"/>
          <w:color w:val="auto"/>
          <w:kern w:val="0"/>
          <w:sz w:val="24"/>
          <w:szCs w:val="24"/>
          <w:highlight w:val="none"/>
          <w:lang w:val="en-US" w:eastAsia="zh-CN" w:bidi="ar"/>
        </w:rPr>
        <w:t>进行办理</w:t>
      </w:r>
      <w:r>
        <w:rPr>
          <w:rFonts w:hint="eastAsia" w:hAnsi="宋体" w:cs="宋体"/>
          <w:b w:val="0"/>
          <w:bCs w:val="0"/>
          <w:color w:val="auto"/>
          <w:kern w:val="0"/>
          <w:sz w:val="24"/>
          <w:szCs w:val="24"/>
          <w:highlight w:val="none"/>
          <w:lang w:val="en-US" w:eastAsia="zh-CN" w:bidi="ar"/>
        </w:rPr>
        <w:t>施工单位</w:t>
      </w:r>
      <w:r>
        <w:rPr>
          <w:rFonts w:hint="eastAsia" w:ascii="宋体" w:hAnsi="宋体" w:eastAsia="宋体" w:cs="宋体"/>
          <w:b w:val="0"/>
          <w:bCs w:val="0"/>
          <w:color w:val="auto"/>
          <w:kern w:val="0"/>
          <w:sz w:val="24"/>
          <w:szCs w:val="24"/>
          <w:highlight w:val="none"/>
          <w:lang w:val="en-US" w:eastAsia="zh-CN" w:bidi="ar"/>
        </w:rPr>
        <w:t>的变更、签证“一月一清”工作，该工作纳入履约评价。</w:t>
      </w:r>
    </w:p>
    <w:p w14:paraId="02B9473A">
      <w:pPr>
        <w:pStyle w:val="10"/>
        <w:keepNext w:val="0"/>
        <w:keepLines w:val="0"/>
        <w:pageBreakBefore w:val="0"/>
        <w:widowControl w:val="0"/>
        <w:kinsoku/>
        <w:overflowPunct/>
        <w:topLinePunct w:val="0"/>
        <w:autoSpaceDE/>
        <w:autoSpaceDN/>
        <w:bidi w:val="0"/>
        <w:spacing w:line="560" w:lineRule="exact"/>
        <w:ind w:firstLine="482"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.5</w:t>
      </w:r>
      <w:r>
        <w:rPr>
          <w:rFonts w:hint="eastAsia" w:ascii="宋体" w:hAnsi="宋体" w:eastAsia="宋体" w:cs="宋体"/>
          <w:b w:val="0"/>
          <w:bCs w:val="0"/>
          <w:color w:val="auto"/>
          <w:sz w:val="24"/>
          <w:szCs w:val="24"/>
          <w:highlight w:val="none"/>
        </w:rPr>
        <w:t>各专项验收、竣工验收工作</w:t>
      </w:r>
    </w:p>
    <w:p w14:paraId="2759FA08">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right="0" w:firstLine="482" w:firstLineChars="200"/>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8.5.1</w:t>
      </w:r>
      <w:r>
        <w:rPr>
          <w:rFonts w:hint="eastAsia" w:ascii="宋体" w:hAnsi="宋体" w:eastAsia="宋体" w:cs="宋体"/>
          <w:b w:val="0"/>
          <w:bCs w:val="0"/>
          <w:color w:val="auto"/>
          <w:kern w:val="0"/>
          <w:sz w:val="24"/>
          <w:szCs w:val="24"/>
          <w:highlight w:val="none"/>
          <w:lang w:val="en-US" w:eastAsia="zh-CN" w:bidi="ar"/>
        </w:rPr>
        <w:t>协助</w:t>
      </w:r>
      <w:r>
        <w:rPr>
          <w:rFonts w:hint="eastAsia" w:hAnsi="宋体" w:cs="宋体"/>
          <w:b w:val="0"/>
          <w:bCs w:val="0"/>
          <w:color w:val="auto"/>
          <w:kern w:val="0"/>
          <w:sz w:val="24"/>
          <w:szCs w:val="24"/>
          <w:highlight w:val="none"/>
          <w:lang w:val="en-US" w:eastAsia="zh-CN" w:bidi="ar"/>
        </w:rPr>
        <w:t>委托人</w:t>
      </w:r>
      <w:r>
        <w:rPr>
          <w:rFonts w:hint="eastAsia" w:ascii="宋体" w:hAnsi="宋体" w:eastAsia="宋体" w:cs="宋体"/>
          <w:b w:val="0"/>
          <w:bCs w:val="0"/>
          <w:color w:val="auto"/>
          <w:kern w:val="0"/>
          <w:sz w:val="24"/>
          <w:szCs w:val="24"/>
          <w:highlight w:val="none"/>
          <w:lang w:val="en-US" w:eastAsia="zh-CN" w:bidi="ar"/>
        </w:rPr>
        <w:t>组织和办理各专项验收、竣工验收手续。</w:t>
      </w:r>
    </w:p>
    <w:p w14:paraId="3E34641F">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8.5.2</w:t>
      </w:r>
      <w:r>
        <w:rPr>
          <w:rFonts w:hint="eastAsia" w:ascii="宋体" w:hAnsi="宋体" w:eastAsia="宋体" w:cs="宋体"/>
          <w:b w:val="0"/>
          <w:bCs w:val="0"/>
          <w:color w:val="auto"/>
          <w:kern w:val="0"/>
          <w:sz w:val="24"/>
          <w:szCs w:val="24"/>
          <w:highlight w:val="none"/>
          <w:lang w:val="en-US" w:eastAsia="zh-CN" w:bidi="ar"/>
        </w:rPr>
        <w:t>督促</w:t>
      </w:r>
      <w:r>
        <w:rPr>
          <w:rFonts w:hint="eastAsia" w:hAnsi="宋体" w:cs="宋体"/>
          <w:b w:val="0"/>
          <w:bCs w:val="0"/>
          <w:color w:val="auto"/>
          <w:kern w:val="0"/>
          <w:sz w:val="24"/>
          <w:szCs w:val="24"/>
          <w:highlight w:val="none"/>
          <w:lang w:val="en-US" w:eastAsia="zh-CN" w:bidi="ar"/>
        </w:rPr>
        <w:t>施工单位</w:t>
      </w:r>
      <w:r>
        <w:rPr>
          <w:rFonts w:hint="eastAsia" w:ascii="宋体" w:hAnsi="宋体" w:eastAsia="宋体" w:cs="宋体"/>
          <w:b w:val="0"/>
          <w:bCs w:val="0"/>
          <w:color w:val="auto"/>
          <w:kern w:val="0"/>
          <w:sz w:val="24"/>
          <w:szCs w:val="24"/>
          <w:highlight w:val="none"/>
          <w:lang w:val="en-US" w:eastAsia="zh-CN" w:bidi="ar"/>
        </w:rPr>
        <w:t>及时整理工程技术资料办理各项验收，通过监督管理使实体工程、工程技术资料均能达到验收要求，按计划完成各项验收工作。</w:t>
      </w:r>
    </w:p>
    <w:p w14:paraId="390AC0EF">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8.5.3</w:t>
      </w:r>
      <w:r>
        <w:rPr>
          <w:rFonts w:hint="eastAsia" w:ascii="宋体" w:hAnsi="宋体" w:eastAsia="宋体" w:cs="宋体"/>
          <w:b w:val="0"/>
          <w:bCs w:val="0"/>
          <w:color w:val="auto"/>
          <w:kern w:val="0"/>
          <w:sz w:val="24"/>
          <w:szCs w:val="24"/>
          <w:highlight w:val="none"/>
          <w:lang w:val="en-US" w:eastAsia="zh-CN" w:bidi="ar"/>
        </w:rPr>
        <w:t>当验收出现特殊情况未能办理时，提出合理化建议，并积极配合</w:t>
      </w:r>
      <w:r>
        <w:rPr>
          <w:rFonts w:hint="eastAsia" w:hAnsi="宋体" w:cs="宋体"/>
          <w:b w:val="0"/>
          <w:bCs w:val="0"/>
          <w:color w:val="auto"/>
          <w:kern w:val="0"/>
          <w:sz w:val="24"/>
          <w:szCs w:val="24"/>
          <w:highlight w:val="none"/>
          <w:lang w:val="en-US" w:eastAsia="zh-CN" w:bidi="ar"/>
        </w:rPr>
        <w:t>委托人</w:t>
      </w:r>
      <w:r>
        <w:rPr>
          <w:rFonts w:hint="eastAsia" w:ascii="宋体" w:hAnsi="宋体" w:eastAsia="宋体" w:cs="宋体"/>
          <w:b w:val="0"/>
          <w:bCs w:val="0"/>
          <w:color w:val="auto"/>
          <w:kern w:val="0"/>
          <w:sz w:val="24"/>
          <w:szCs w:val="24"/>
          <w:highlight w:val="none"/>
          <w:lang w:val="en-US" w:eastAsia="zh-CN" w:bidi="ar"/>
        </w:rPr>
        <w:t>尽快完成各项验收工作。</w:t>
      </w:r>
    </w:p>
    <w:p w14:paraId="495BCCB4">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482" w:firstLineChars="200"/>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8.5.4</w:t>
      </w:r>
      <w:r>
        <w:rPr>
          <w:rFonts w:hint="eastAsia" w:ascii="宋体" w:hAnsi="宋体" w:eastAsia="宋体" w:cs="宋体"/>
          <w:b w:val="0"/>
          <w:bCs w:val="0"/>
          <w:color w:val="auto"/>
          <w:kern w:val="0"/>
          <w:sz w:val="24"/>
          <w:szCs w:val="24"/>
          <w:highlight w:val="none"/>
          <w:lang w:val="en-US" w:eastAsia="zh-CN" w:bidi="ar"/>
        </w:rPr>
        <w:t>依据有关法律、法规、工程建设强制性标准、设计文件及施工合同，对</w:t>
      </w:r>
      <w:r>
        <w:rPr>
          <w:rFonts w:hint="eastAsia" w:hAnsi="宋体" w:cs="宋体"/>
          <w:b w:val="0"/>
          <w:bCs w:val="0"/>
          <w:color w:val="auto"/>
          <w:kern w:val="0"/>
          <w:sz w:val="24"/>
          <w:szCs w:val="24"/>
          <w:highlight w:val="none"/>
          <w:lang w:val="en-US" w:eastAsia="zh-CN" w:bidi="ar"/>
        </w:rPr>
        <w:t>施工单位</w:t>
      </w:r>
      <w:r>
        <w:rPr>
          <w:rFonts w:hint="eastAsia" w:ascii="宋体" w:hAnsi="宋体" w:eastAsia="宋体" w:cs="宋体"/>
          <w:b w:val="0"/>
          <w:bCs w:val="0"/>
          <w:color w:val="auto"/>
          <w:kern w:val="0"/>
          <w:sz w:val="24"/>
          <w:szCs w:val="24"/>
          <w:highlight w:val="none"/>
          <w:lang w:val="en-US" w:eastAsia="zh-CN" w:bidi="ar"/>
        </w:rPr>
        <w:t>报送的竣工资料进行审查，并对工程质量进行竣工预验收。</w:t>
      </w:r>
    </w:p>
    <w:p w14:paraId="64932609">
      <w:pPr>
        <w:pStyle w:val="32"/>
        <w:rPr>
          <w:rFonts w:hint="default" w:ascii="宋体" w:hAnsi="宋体" w:eastAsia="宋体" w:cs="宋体"/>
          <w:snapToGrid w:val="0"/>
          <w:color w:val="auto"/>
          <w:kern w:val="0"/>
          <w:sz w:val="24"/>
          <w:szCs w:val="24"/>
          <w:lang w:val="en-US" w:eastAsia="zh-CN" w:bidi="ar-SA"/>
        </w:rPr>
      </w:pPr>
      <w:r>
        <w:rPr>
          <w:rFonts w:hint="eastAsia" w:ascii="宋体" w:hAnsi="宋体" w:eastAsia="宋体" w:cs="宋体"/>
          <w:b w:val="0"/>
          <w:bCs w:val="0"/>
          <w:color w:val="auto"/>
          <w:kern w:val="0"/>
          <w:sz w:val="24"/>
          <w:szCs w:val="24"/>
          <w:highlight w:val="none"/>
          <w:lang w:val="en-US" w:eastAsia="zh-CN" w:bidi="ar"/>
        </w:rPr>
        <w:t xml:space="preserve"> </w:t>
      </w:r>
      <w:r>
        <w:rPr>
          <w:rFonts w:hint="eastAsia" w:ascii="宋体" w:hAnsi="宋体" w:eastAsia="宋体" w:cs="宋体"/>
          <w:b/>
          <w:bCs/>
          <w:color w:val="auto"/>
          <w:kern w:val="0"/>
          <w:sz w:val="24"/>
          <w:szCs w:val="24"/>
          <w:highlight w:val="none"/>
          <w:lang w:val="en-US" w:eastAsia="zh-CN" w:bidi="ar"/>
        </w:rPr>
        <w:t>8.5.5</w:t>
      </w:r>
      <w:r>
        <w:rPr>
          <w:rFonts w:hint="eastAsia" w:ascii="宋体" w:hAnsi="宋体" w:eastAsia="宋体" w:cs="宋体"/>
          <w:b w:val="0"/>
          <w:bCs w:val="0"/>
          <w:color w:val="auto"/>
          <w:kern w:val="0"/>
          <w:sz w:val="24"/>
          <w:szCs w:val="24"/>
          <w:highlight w:val="none"/>
          <w:lang w:val="en-US" w:eastAsia="zh-CN" w:bidi="ar"/>
        </w:rPr>
        <w:t>参加由</w:t>
      </w:r>
      <w:r>
        <w:rPr>
          <w:rFonts w:hint="eastAsia" w:ascii="宋体" w:hAnsi="宋体" w:cs="宋体"/>
          <w:b w:val="0"/>
          <w:bCs w:val="0"/>
          <w:color w:val="auto"/>
          <w:kern w:val="0"/>
          <w:sz w:val="24"/>
          <w:szCs w:val="24"/>
          <w:highlight w:val="none"/>
          <w:lang w:val="en-US" w:eastAsia="zh-CN" w:bidi="ar"/>
        </w:rPr>
        <w:t>委托人</w:t>
      </w:r>
      <w:r>
        <w:rPr>
          <w:rFonts w:hint="eastAsia" w:ascii="宋体" w:hAnsi="宋体" w:eastAsia="宋体" w:cs="宋体"/>
          <w:b w:val="0"/>
          <w:bCs w:val="0"/>
          <w:color w:val="auto"/>
          <w:kern w:val="0"/>
          <w:sz w:val="24"/>
          <w:szCs w:val="24"/>
          <w:highlight w:val="none"/>
          <w:lang w:val="en-US" w:eastAsia="zh-CN" w:bidi="ar"/>
        </w:rPr>
        <w:t>组织的竣工验收，并提供相关监理资料。对验收中提出的整改问题，督促</w:t>
      </w:r>
      <w:r>
        <w:rPr>
          <w:rFonts w:hint="eastAsia" w:ascii="宋体" w:hAnsi="宋体" w:cs="宋体"/>
          <w:b w:val="0"/>
          <w:bCs w:val="0"/>
          <w:color w:val="auto"/>
          <w:kern w:val="0"/>
          <w:sz w:val="24"/>
          <w:szCs w:val="24"/>
          <w:highlight w:val="none"/>
          <w:lang w:val="en-US" w:eastAsia="zh-CN" w:bidi="ar"/>
        </w:rPr>
        <w:t>施工单位</w:t>
      </w:r>
      <w:r>
        <w:rPr>
          <w:rFonts w:hint="eastAsia" w:ascii="宋体" w:hAnsi="宋体" w:eastAsia="宋体" w:cs="宋体"/>
          <w:b w:val="0"/>
          <w:bCs w:val="0"/>
          <w:color w:val="auto"/>
          <w:kern w:val="0"/>
          <w:sz w:val="24"/>
          <w:szCs w:val="24"/>
          <w:highlight w:val="none"/>
          <w:lang w:val="en-US" w:eastAsia="zh-CN" w:bidi="ar"/>
        </w:rPr>
        <w:t>进行整改。工程质量符合要求后，会同参加验收的各方签署竣工验收报告。</w:t>
      </w:r>
    </w:p>
    <w:p w14:paraId="25850E0F">
      <w:pPr>
        <w:pStyle w:val="32"/>
        <w:rPr>
          <w:rFonts w:ascii="宋体" w:hAnsi="宋体" w:cs="宋体"/>
          <w:snapToGrid w:val="0"/>
          <w:color w:val="auto"/>
        </w:rPr>
      </w:pPr>
    </w:p>
    <w:p w14:paraId="2DC974F8">
      <w:pPr>
        <w:pStyle w:val="32"/>
        <w:rPr>
          <w:rFonts w:ascii="宋体" w:hAnsi="宋体" w:cs="宋体"/>
          <w:snapToGrid w:val="0"/>
          <w:color w:val="auto"/>
        </w:rPr>
      </w:pPr>
    </w:p>
    <w:p w14:paraId="5413BC7D">
      <w:pPr>
        <w:pStyle w:val="32"/>
        <w:rPr>
          <w:rFonts w:ascii="宋体" w:hAnsi="宋体" w:cs="宋体"/>
          <w:snapToGrid w:val="0"/>
          <w:color w:val="auto"/>
        </w:rPr>
      </w:pPr>
    </w:p>
    <w:p w14:paraId="49FF3589">
      <w:pPr>
        <w:pStyle w:val="32"/>
        <w:rPr>
          <w:rFonts w:ascii="宋体" w:hAnsi="宋体" w:cs="宋体"/>
          <w:snapToGrid w:val="0"/>
          <w:color w:val="auto"/>
        </w:rPr>
      </w:pPr>
    </w:p>
    <w:p w14:paraId="52989117">
      <w:pPr>
        <w:pStyle w:val="32"/>
        <w:rPr>
          <w:rFonts w:ascii="宋体" w:hAnsi="宋体" w:cs="宋体"/>
          <w:snapToGrid w:val="0"/>
          <w:color w:val="auto"/>
        </w:rPr>
      </w:pPr>
    </w:p>
    <w:p w14:paraId="4CCBA7FD">
      <w:pPr>
        <w:pStyle w:val="32"/>
        <w:rPr>
          <w:rFonts w:ascii="宋体" w:hAnsi="宋体" w:cs="宋体"/>
          <w:snapToGrid w:val="0"/>
          <w:color w:val="auto"/>
        </w:rPr>
      </w:pPr>
    </w:p>
    <w:p w14:paraId="02CE4F39">
      <w:pPr>
        <w:pStyle w:val="32"/>
        <w:rPr>
          <w:rFonts w:ascii="宋体" w:hAnsi="宋体" w:cs="宋体"/>
          <w:snapToGrid w:val="0"/>
          <w:color w:val="auto"/>
        </w:rPr>
      </w:pPr>
    </w:p>
    <w:p w14:paraId="2D626482">
      <w:pPr>
        <w:pStyle w:val="32"/>
        <w:rPr>
          <w:rFonts w:ascii="宋体" w:hAnsi="宋体" w:cs="宋体"/>
          <w:snapToGrid w:val="0"/>
          <w:color w:val="auto"/>
        </w:rPr>
      </w:pPr>
    </w:p>
    <w:p w14:paraId="7742EB11">
      <w:pPr>
        <w:pStyle w:val="32"/>
        <w:rPr>
          <w:rFonts w:ascii="宋体" w:hAnsi="宋体" w:cs="宋体"/>
          <w:snapToGrid w:val="0"/>
          <w:color w:val="auto"/>
        </w:rPr>
      </w:pPr>
    </w:p>
    <w:p w14:paraId="406A5A16">
      <w:pPr>
        <w:pStyle w:val="32"/>
        <w:ind w:left="0" w:leftChars="0" w:firstLine="0" w:firstLineChars="0"/>
        <w:rPr>
          <w:rFonts w:ascii="宋体" w:hAnsi="宋体" w:cs="宋体"/>
          <w:snapToGrid w:val="0"/>
          <w:color w:val="auto"/>
        </w:rPr>
      </w:pPr>
    </w:p>
    <w:p w14:paraId="03D0750B">
      <w:pPr>
        <w:pStyle w:val="32"/>
        <w:rPr>
          <w:rFonts w:ascii="宋体" w:hAnsi="宋体" w:cs="宋体"/>
          <w:snapToGrid w:val="0"/>
          <w:color w:val="auto"/>
        </w:rPr>
      </w:pPr>
    </w:p>
    <w:bookmarkEnd w:id="137"/>
    <w:p w14:paraId="1812A431">
      <w:pPr>
        <w:rPr>
          <w:rFonts w:hint="eastAsia" w:ascii="Times New Roman"/>
          <w:b/>
          <w:snapToGrid w:val="0"/>
          <w:color w:val="auto"/>
          <w:sz w:val="32"/>
          <w:szCs w:val="22"/>
        </w:rPr>
      </w:pPr>
      <w:bookmarkStart w:id="215" w:name="_Toc12650"/>
      <w:bookmarkStart w:id="216" w:name="_Toc21669"/>
      <w:bookmarkStart w:id="217" w:name="_Toc21554"/>
      <w:bookmarkStart w:id="218" w:name="_Hlt69698796"/>
      <w:r>
        <w:rPr>
          <w:rFonts w:hint="eastAsia" w:ascii="Times New Roman"/>
          <w:b/>
          <w:snapToGrid w:val="0"/>
          <w:color w:val="auto"/>
          <w:sz w:val="32"/>
          <w:szCs w:val="22"/>
        </w:rPr>
        <w:br w:type="page"/>
      </w:r>
    </w:p>
    <w:p w14:paraId="3ABE3413">
      <w:pPr>
        <w:pStyle w:val="2"/>
        <w:tabs>
          <w:tab w:val="left" w:pos="885"/>
        </w:tabs>
        <w:wordWrap w:val="0"/>
        <w:autoSpaceDE/>
        <w:autoSpaceDN/>
        <w:snapToGrid w:val="0"/>
        <w:spacing w:line="440" w:lineRule="exact"/>
        <w:ind w:left="885" w:hanging="885"/>
        <w:jc w:val="center"/>
        <w:rPr>
          <w:rFonts w:ascii="Times New Roman"/>
          <w:b/>
          <w:snapToGrid w:val="0"/>
          <w:color w:val="auto"/>
          <w:sz w:val="32"/>
          <w:szCs w:val="22"/>
        </w:rPr>
      </w:pPr>
      <w:r>
        <w:rPr>
          <w:rFonts w:hint="eastAsia" w:ascii="Times New Roman"/>
          <w:b/>
          <w:snapToGrid w:val="0"/>
          <w:color w:val="auto"/>
          <w:sz w:val="32"/>
          <w:szCs w:val="22"/>
        </w:rPr>
        <w:t>第四章</w:t>
      </w:r>
      <w:bookmarkStart w:id="219" w:name="_Hlt87793853"/>
      <w:bookmarkEnd w:id="219"/>
      <w:r>
        <w:rPr>
          <w:rFonts w:hint="eastAsia" w:ascii="Times New Roman"/>
          <w:b/>
          <w:snapToGrid w:val="0"/>
          <w:color w:val="auto"/>
          <w:sz w:val="32"/>
          <w:szCs w:val="22"/>
        </w:rPr>
        <w:t xml:space="preserve"> 技术要求</w:t>
      </w:r>
      <w:bookmarkEnd w:id="215"/>
      <w:bookmarkEnd w:id="216"/>
      <w:bookmarkEnd w:id="217"/>
    </w:p>
    <w:bookmarkEnd w:id="218"/>
    <w:p w14:paraId="31AD0981">
      <w:pPr>
        <w:pStyle w:val="4"/>
        <w:keepNext w:val="0"/>
        <w:keepLines w:val="0"/>
        <w:widowControl w:val="0"/>
        <w:wordWrap w:val="0"/>
        <w:adjustRightInd w:val="0"/>
        <w:snapToGrid w:val="0"/>
        <w:spacing w:before="0" w:after="0" w:line="440" w:lineRule="exact"/>
        <w:ind w:left="643"/>
        <w:jc w:val="both"/>
        <w:rPr>
          <w:b/>
          <w:snapToGrid w:val="0"/>
          <w:color w:val="auto"/>
        </w:rPr>
      </w:pPr>
      <w:bookmarkStart w:id="220" w:name="_Hlt75685840"/>
      <w:bookmarkEnd w:id="220"/>
      <w:bookmarkStart w:id="221" w:name="_Hlt87793346"/>
      <w:bookmarkEnd w:id="221"/>
      <w:bookmarkStart w:id="222" w:name="_Hlt69116854"/>
      <w:bookmarkEnd w:id="222"/>
      <w:bookmarkStart w:id="223" w:name="_Hlt69265216"/>
      <w:bookmarkEnd w:id="223"/>
      <w:bookmarkStart w:id="224" w:name="_Hlt68774758"/>
      <w:bookmarkEnd w:id="224"/>
      <w:bookmarkStart w:id="225" w:name="_Hlt69358207"/>
      <w:bookmarkEnd w:id="225"/>
      <w:bookmarkStart w:id="226" w:name="_Hlt69359335"/>
      <w:bookmarkEnd w:id="226"/>
      <w:bookmarkStart w:id="227" w:name="_Hlt87793370"/>
      <w:bookmarkEnd w:id="227"/>
      <w:bookmarkStart w:id="228" w:name="_Hlt80411122"/>
      <w:bookmarkEnd w:id="228"/>
      <w:bookmarkStart w:id="229" w:name="_Hlt66104926"/>
      <w:bookmarkEnd w:id="229"/>
      <w:bookmarkStart w:id="230" w:name="_Hlt69357851"/>
      <w:bookmarkEnd w:id="230"/>
    </w:p>
    <w:p w14:paraId="0355CA4A">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2" w:firstLineChars="200"/>
        <w:textAlignment w:val="auto"/>
        <w:rPr>
          <w:rFonts w:hint="eastAsia" w:ascii="Times New Roman" w:hAnsi="Times New Roman" w:cs="Times New Roman"/>
          <w:b/>
          <w:bCs w:val="0"/>
          <w:caps w:val="0"/>
          <w:smallCaps w:val="0"/>
          <w:snapToGrid w:val="0"/>
          <w:color w:val="auto"/>
          <w:spacing w:val="0"/>
          <w:kern w:val="0"/>
          <w:highlight w:val="none"/>
        </w:rPr>
      </w:pPr>
      <w:bookmarkStart w:id="231" w:name="_Hlt69670335"/>
      <w:bookmarkEnd w:id="231"/>
      <w:r>
        <w:rPr>
          <w:rFonts w:hint="eastAsia" w:ascii="Times New Roman" w:hAnsi="Times New Roman" w:cs="Times New Roman"/>
          <w:b/>
          <w:bCs w:val="0"/>
          <w:caps w:val="0"/>
          <w:smallCaps w:val="0"/>
          <w:snapToGrid w:val="0"/>
          <w:color w:val="auto"/>
          <w:spacing w:val="0"/>
          <w:kern w:val="0"/>
          <w:highlight w:val="none"/>
        </w:rPr>
        <w:t>1</w:t>
      </w:r>
      <w:r>
        <w:rPr>
          <w:rFonts w:hint="eastAsia" w:ascii="Times New Roman" w:hAnsi="Times New Roman" w:cs="Times New Roman"/>
          <w:b/>
          <w:bCs w:val="0"/>
          <w:caps w:val="0"/>
          <w:smallCaps w:val="0"/>
          <w:snapToGrid w:val="0"/>
          <w:color w:val="auto"/>
          <w:spacing w:val="0"/>
          <w:kern w:val="0"/>
          <w:highlight w:val="none"/>
          <w:lang w:eastAsia="zh-CN"/>
        </w:rPr>
        <w:t>．房屋建筑工程建设项目</w:t>
      </w:r>
    </w:p>
    <w:p w14:paraId="551CA588">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cs="Times New Roman"/>
          <w:b w:val="0"/>
          <w:bCs/>
          <w:caps w:val="0"/>
          <w:smallCaps w:val="0"/>
          <w:snapToGrid w:val="0"/>
          <w:color w:val="auto"/>
          <w:spacing w:val="0"/>
          <w:kern w:val="0"/>
          <w:highlight w:val="none"/>
          <w:lang w:eastAsia="zh-CN"/>
        </w:rPr>
      </w:pPr>
      <w:bookmarkStart w:id="232" w:name="_Hlt69635252"/>
      <w:bookmarkEnd w:id="232"/>
      <w:bookmarkStart w:id="233" w:name="_Hlt78709799"/>
      <w:bookmarkEnd w:id="233"/>
      <w:bookmarkStart w:id="234" w:name="_Hlt69359243"/>
      <w:bookmarkEnd w:id="234"/>
      <w:bookmarkStart w:id="235" w:name="_Hlt69116858"/>
      <w:bookmarkEnd w:id="235"/>
      <w:bookmarkStart w:id="236" w:name="_Hlt69359245"/>
      <w:bookmarkEnd w:id="236"/>
      <w:bookmarkStart w:id="237" w:name="_Hlt69358458"/>
      <w:bookmarkEnd w:id="237"/>
      <w:bookmarkStart w:id="238" w:name="_Hlt69359086"/>
      <w:bookmarkEnd w:id="238"/>
      <w:r>
        <w:rPr>
          <w:rFonts w:hint="eastAsia" w:ascii="Times New Roman" w:hAnsi="Times New Roman" w:cs="Times New Roman"/>
          <w:b w:val="0"/>
          <w:bCs/>
          <w:caps w:val="0"/>
          <w:smallCaps w:val="0"/>
          <w:snapToGrid w:val="0"/>
          <w:color w:val="auto"/>
          <w:spacing w:val="0"/>
          <w:kern w:val="0"/>
          <w:highlight w:val="none"/>
          <w:lang w:eastAsia="zh-CN"/>
        </w:rPr>
        <w:t>房屋建筑工程建设项目必须执行的现行技术规范，包括且不限于：</w:t>
      </w:r>
    </w:p>
    <w:p w14:paraId="1BD235D1">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1</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《建筑工程施工质量验收统一标准》；</w:t>
      </w:r>
    </w:p>
    <w:p w14:paraId="030424B6">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2</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《建筑地基基础工程施工质量验收规范》；</w:t>
      </w:r>
    </w:p>
    <w:p w14:paraId="663045E5">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3</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《砌体工程施工质量验收规范》；</w:t>
      </w:r>
    </w:p>
    <w:p w14:paraId="55FE1ABE">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4</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《混凝土结构工程施工质量验收规范》；</w:t>
      </w:r>
    </w:p>
    <w:p w14:paraId="4DE925EE">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5</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《屋面工程质量验收规范》；</w:t>
      </w:r>
    </w:p>
    <w:p w14:paraId="4DEBB1E7">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6</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《地下防水工程质量验收规范》；</w:t>
      </w:r>
    </w:p>
    <w:p w14:paraId="64BD8E65">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7</w:t>
      </w:r>
      <w:r>
        <w:rPr>
          <w:rFonts w:hint="eastAsia" w:ascii="Times New Roman" w:hAnsi="Times New Roman" w:cs="Times New Roman"/>
          <w:b w:val="0"/>
          <w:bCs/>
          <w:caps w:val="0"/>
          <w:smallCaps w:val="0"/>
          <w:snapToGrid w:val="0"/>
          <w:color w:val="auto"/>
          <w:spacing w:val="0"/>
          <w:kern w:val="0"/>
          <w:highlight w:val="none"/>
          <w:lang w:eastAsia="zh-CN"/>
        </w:rPr>
        <w:t>）</w:t>
      </w:r>
      <w:bookmarkStart w:id="239" w:name="_Hlt78795211"/>
      <w:bookmarkEnd w:id="239"/>
      <w:r>
        <w:rPr>
          <w:rFonts w:hint="eastAsia" w:ascii="Times New Roman" w:hAnsi="Times New Roman" w:cs="Times New Roman"/>
          <w:b w:val="0"/>
          <w:bCs/>
          <w:caps w:val="0"/>
          <w:smallCaps w:val="0"/>
          <w:snapToGrid w:val="0"/>
          <w:color w:val="auto"/>
          <w:spacing w:val="0"/>
          <w:kern w:val="0"/>
          <w:highlight w:val="none"/>
        </w:rPr>
        <w:t>《建筑地面工程施工质量验收规范》；</w:t>
      </w:r>
    </w:p>
    <w:p w14:paraId="39AD1248">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8</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《建筑装饰装修工程施工质量验收规范》；</w:t>
      </w:r>
    </w:p>
    <w:p w14:paraId="23F9EC37">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9</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《建筑给排水及采暖工程施工质量验收规范》；</w:t>
      </w:r>
    </w:p>
    <w:p w14:paraId="669C3BFE">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10</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《建筑电气工程施工质量验收规范》；</w:t>
      </w:r>
    </w:p>
    <w:p w14:paraId="0B5BA1E6">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eastAsia="宋体" w:cs="Times New Roman"/>
          <w:b w:val="0"/>
          <w:bCs/>
          <w:caps w:val="0"/>
          <w:smallCaps w:val="0"/>
          <w:snapToGrid w:val="0"/>
          <w:color w:val="auto"/>
          <w:spacing w:val="0"/>
          <w:kern w:val="0"/>
          <w:highlight w:val="none"/>
          <w:lang w:val="en-US" w:eastAsia="zh-CN"/>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11</w:t>
      </w:r>
      <w:r>
        <w:rPr>
          <w:rFonts w:hint="eastAsia" w:ascii="Times New Roman" w:hAnsi="Times New Roman" w:cs="Times New Roman"/>
          <w:b w:val="0"/>
          <w:bCs/>
          <w:caps w:val="0"/>
          <w:smallCaps w:val="0"/>
          <w:snapToGrid w:val="0"/>
          <w:color w:val="auto"/>
          <w:spacing w:val="0"/>
          <w:kern w:val="0"/>
          <w:highlight w:val="none"/>
          <w:lang w:eastAsia="zh-CN"/>
        </w:rPr>
        <w:t>）《广东省住房和城乡建设厅绿色施工导则》；</w:t>
      </w:r>
    </w:p>
    <w:p w14:paraId="033F53A1">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default" w:ascii="Times New Roman" w:hAnsi="Times New Roman" w:eastAsia="宋体" w:cs="Times New Roman"/>
          <w:b w:val="0"/>
          <w:bCs/>
          <w:caps w:val="0"/>
          <w:smallCaps w:val="0"/>
          <w:snapToGrid w:val="0"/>
          <w:color w:val="auto"/>
          <w:spacing w:val="0"/>
          <w:kern w:val="0"/>
          <w:highlight w:val="none"/>
          <w:lang w:val="en-US" w:eastAsia="zh-CN"/>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12</w:t>
      </w:r>
      <w:r>
        <w:rPr>
          <w:rFonts w:hint="eastAsia" w:ascii="Times New Roman" w:hAnsi="Times New Roman" w:cs="Times New Roman"/>
          <w:b w:val="0"/>
          <w:bCs/>
          <w:caps w:val="0"/>
          <w:smallCaps w:val="0"/>
          <w:snapToGrid w:val="0"/>
          <w:color w:val="auto"/>
          <w:spacing w:val="0"/>
          <w:kern w:val="0"/>
          <w:highlight w:val="none"/>
          <w:lang w:eastAsia="zh-CN"/>
        </w:rPr>
        <w:t>）《广东省建筑工程绿色施工评价标准》；</w:t>
      </w:r>
    </w:p>
    <w:p w14:paraId="6D46E2F8">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13</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其他现行国家</w:t>
      </w:r>
      <w:r>
        <w:rPr>
          <w:rFonts w:hint="eastAsia" w:ascii="Times New Roman" w:hAnsi="Times New Roman" w:cs="Times New Roman"/>
          <w:b w:val="0"/>
          <w:bCs/>
          <w:caps w:val="0"/>
          <w:smallCaps w:val="0"/>
          <w:snapToGrid w:val="0"/>
          <w:color w:val="auto"/>
          <w:spacing w:val="0"/>
          <w:kern w:val="0"/>
          <w:highlight w:val="none"/>
          <w:lang w:eastAsia="zh-CN"/>
        </w:rPr>
        <w:t>、广东省关于房建工程的</w:t>
      </w:r>
      <w:r>
        <w:rPr>
          <w:rFonts w:hint="eastAsia" w:ascii="Times New Roman" w:hAnsi="Times New Roman" w:cs="Times New Roman"/>
          <w:b w:val="0"/>
          <w:bCs/>
          <w:caps w:val="0"/>
          <w:smallCaps w:val="0"/>
          <w:snapToGrid w:val="0"/>
          <w:color w:val="auto"/>
          <w:spacing w:val="0"/>
          <w:kern w:val="0"/>
          <w:highlight w:val="none"/>
        </w:rPr>
        <w:t>施工</w:t>
      </w:r>
      <w:r>
        <w:rPr>
          <w:rFonts w:hint="eastAsia" w:ascii="Times New Roman" w:hAnsi="Times New Roman" w:cs="Times New Roman"/>
          <w:b w:val="0"/>
          <w:bCs/>
          <w:caps w:val="0"/>
          <w:smallCaps w:val="0"/>
          <w:snapToGrid w:val="0"/>
          <w:color w:val="auto"/>
          <w:spacing w:val="0"/>
          <w:kern w:val="0"/>
          <w:highlight w:val="none"/>
          <w:lang w:eastAsia="zh-CN"/>
        </w:rPr>
        <w:t>及验收</w:t>
      </w:r>
      <w:r>
        <w:rPr>
          <w:rFonts w:hint="eastAsia" w:ascii="Times New Roman" w:hAnsi="Times New Roman" w:cs="Times New Roman"/>
          <w:b w:val="0"/>
          <w:bCs/>
          <w:caps w:val="0"/>
          <w:smallCaps w:val="0"/>
          <w:snapToGrid w:val="0"/>
          <w:color w:val="auto"/>
          <w:spacing w:val="0"/>
          <w:kern w:val="0"/>
          <w:highlight w:val="none"/>
        </w:rPr>
        <w:t>规范</w:t>
      </w:r>
      <w:r>
        <w:rPr>
          <w:rFonts w:hint="eastAsia" w:ascii="Times New Roman" w:hAnsi="Times New Roman" w:cs="Times New Roman"/>
          <w:b w:val="0"/>
          <w:bCs/>
          <w:caps w:val="0"/>
          <w:smallCaps w:val="0"/>
          <w:snapToGrid w:val="0"/>
          <w:color w:val="auto"/>
          <w:spacing w:val="0"/>
          <w:kern w:val="0"/>
          <w:highlight w:val="none"/>
          <w:lang w:eastAsia="zh-CN"/>
        </w:rPr>
        <w:t>、规程、</w:t>
      </w:r>
      <w:r>
        <w:rPr>
          <w:rFonts w:hint="eastAsia" w:ascii="Times New Roman" w:hAnsi="Times New Roman" w:cs="Times New Roman"/>
          <w:b w:val="0"/>
          <w:bCs/>
          <w:caps w:val="0"/>
          <w:smallCaps w:val="0"/>
          <w:snapToGrid w:val="0"/>
          <w:color w:val="auto"/>
          <w:spacing w:val="0"/>
          <w:kern w:val="0"/>
          <w:highlight w:val="none"/>
        </w:rPr>
        <w:t>标准。</w:t>
      </w:r>
    </w:p>
    <w:p w14:paraId="197740F9">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cs="Times New Roman"/>
          <w:b w:val="0"/>
          <w:bCs/>
          <w:caps w:val="0"/>
          <w:smallCaps w:val="0"/>
          <w:snapToGrid w:val="0"/>
          <w:color w:val="auto"/>
          <w:spacing w:val="0"/>
          <w:kern w:val="0"/>
          <w:highlight w:val="none"/>
        </w:rPr>
      </w:pPr>
    </w:p>
    <w:p w14:paraId="5839309F">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2" w:firstLineChars="200"/>
        <w:jc w:val="both"/>
        <w:textAlignment w:val="auto"/>
        <w:outlineLvl w:val="9"/>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bCs w:val="0"/>
          <w:caps w:val="0"/>
          <w:smallCaps w:val="0"/>
          <w:snapToGrid w:val="0"/>
          <w:color w:val="auto"/>
          <w:spacing w:val="0"/>
          <w:kern w:val="0"/>
          <w:highlight w:val="none"/>
          <w:lang w:val="en-US" w:eastAsia="zh-CN"/>
        </w:rPr>
        <w:t>2</w:t>
      </w:r>
      <w:r>
        <w:rPr>
          <w:rFonts w:hint="eastAsia" w:ascii="Times New Roman" w:hAnsi="Times New Roman" w:cs="Times New Roman"/>
          <w:b/>
          <w:bCs w:val="0"/>
          <w:caps w:val="0"/>
          <w:smallCaps w:val="0"/>
          <w:snapToGrid w:val="0"/>
          <w:color w:val="auto"/>
          <w:spacing w:val="0"/>
          <w:kern w:val="0"/>
          <w:highlight w:val="none"/>
          <w:lang w:eastAsia="zh-CN"/>
        </w:rPr>
        <w:t>．市政基础设施工程建设项目</w:t>
      </w:r>
    </w:p>
    <w:p w14:paraId="143B5ECF">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textAlignment w:val="auto"/>
        <w:rPr>
          <w:rFonts w:hint="eastAsia" w:ascii="Times New Roman" w:hAnsi="Times New Roman" w:cs="Times New Roman"/>
          <w:b w:val="0"/>
          <w:bCs/>
          <w:caps w:val="0"/>
          <w:smallCaps w:val="0"/>
          <w:snapToGrid w:val="0"/>
          <w:color w:val="auto"/>
          <w:spacing w:val="0"/>
          <w:kern w:val="0"/>
          <w:szCs w:val="28"/>
          <w:highlight w:val="none"/>
          <w:lang w:eastAsia="zh-CN"/>
        </w:rPr>
      </w:pPr>
      <w:r>
        <w:rPr>
          <w:rFonts w:hint="eastAsia" w:ascii="Times New Roman" w:hAnsi="Times New Roman" w:cs="Times New Roman"/>
          <w:b w:val="0"/>
          <w:bCs/>
          <w:caps w:val="0"/>
          <w:smallCaps w:val="0"/>
          <w:snapToGrid w:val="0"/>
          <w:color w:val="auto"/>
          <w:spacing w:val="0"/>
          <w:kern w:val="0"/>
          <w:highlight w:val="none"/>
          <w:lang w:eastAsia="zh-CN"/>
        </w:rPr>
        <w:t>市政基础设施工程建设项目必须执行的现行技术规范，包括且不限于：</w:t>
      </w:r>
    </w:p>
    <w:p w14:paraId="40217EEA">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textAlignment w:val="auto"/>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szCs w:val="28"/>
          <w:highlight w:val="none"/>
          <w:lang w:eastAsia="zh-CN"/>
        </w:rPr>
        <w:t>（</w:t>
      </w:r>
      <w:r>
        <w:rPr>
          <w:rFonts w:hint="eastAsia" w:ascii="Times New Roman" w:hAnsi="Times New Roman" w:cs="Times New Roman"/>
          <w:b w:val="0"/>
          <w:bCs/>
          <w:caps w:val="0"/>
          <w:smallCaps w:val="0"/>
          <w:snapToGrid w:val="0"/>
          <w:color w:val="auto"/>
          <w:spacing w:val="0"/>
          <w:kern w:val="0"/>
          <w:szCs w:val="28"/>
          <w:highlight w:val="none"/>
          <w:lang w:val="en-US" w:eastAsia="zh-CN"/>
        </w:rPr>
        <w:t>1</w:t>
      </w:r>
      <w:r>
        <w:rPr>
          <w:rFonts w:hint="eastAsia" w:ascii="Times New Roman" w:hAnsi="Times New Roman" w:cs="Times New Roman"/>
          <w:b w:val="0"/>
          <w:bCs/>
          <w:caps w:val="0"/>
          <w:smallCaps w:val="0"/>
          <w:snapToGrid w:val="0"/>
          <w:color w:val="auto"/>
          <w:spacing w:val="0"/>
          <w:kern w:val="0"/>
          <w:szCs w:val="28"/>
          <w:highlight w:val="none"/>
          <w:lang w:eastAsia="zh-CN"/>
        </w:rPr>
        <w:t>）</w:t>
      </w:r>
      <w:r>
        <w:rPr>
          <w:rFonts w:hint="eastAsia" w:ascii="Times New Roman" w:hAnsi="Times New Roman" w:cs="Times New Roman"/>
          <w:b w:val="0"/>
          <w:bCs/>
          <w:caps w:val="0"/>
          <w:smallCaps w:val="0"/>
          <w:snapToGrid w:val="0"/>
          <w:color w:val="auto"/>
          <w:spacing w:val="0"/>
          <w:kern w:val="0"/>
          <w:szCs w:val="28"/>
          <w:highlight w:val="none"/>
        </w:rPr>
        <w:t>《公路路基施工技术规范》</w:t>
      </w:r>
      <w:r>
        <w:rPr>
          <w:rFonts w:hint="eastAsia" w:ascii="Times New Roman" w:hAnsi="Times New Roman" w:cs="Times New Roman"/>
          <w:b w:val="0"/>
          <w:bCs/>
          <w:caps w:val="0"/>
          <w:smallCaps w:val="0"/>
          <w:snapToGrid w:val="0"/>
          <w:color w:val="auto"/>
          <w:spacing w:val="0"/>
          <w:kern w:val="0"/>
          <w:highlight w:val="none"/>
        </w:rPr>
        <w:t>；</w:t>
      </w:r>
    </w:p>
    <w:p w14:paraId="7AE0DFC0">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textAlignment w:val="auto"/>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2</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《市政道路工程质量检验评定标准》；</w:t>
      </w:r>
    </w:p>
    <w:p w14:paraId="659FBBDC">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textAlignment w:val="auto"/>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3</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《市政排水管渠工程质量检验评定标准》；</w:t>
      </w:r>
    </w:p>
    <w:p w14:paraId="02CA21EA">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textAlignment w:val="auto"/>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4</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《给水排水管道工程施工及验收规范》；</w:t>
      </w:r>
    </w:p>
    <w:p w14:paraId="5DA183AE">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textAlignment w:val="auto"/>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5</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《城市道路路基工程施工及验收规范》；</w:t>
      </w:r>
    </w:p>
    <w:p w14:paraId="2C3C13C8">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textAlignment w:val="auto"/>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6</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《水泥砼路面施工及验收规范》；</w:t>
      </w:r>
    </w:p>
    <w:p w14:paraId="5E4ECD64">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textAlignment w:val="auto"/>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7</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《公路水泥砼路面施工技术规范》；</w:t>
      </w:r>
    </w:p>
    <w:p w14:paraId="663548ED">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textAlignment w:val="auto"/>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8</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《埋地硬聚氯乙烯排水管道工程技术规程》；</w:t>
      </w:r>
    </w:p>
    <w:p w14:paraId="1840D669">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textAlignment w:val="auto"/>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9</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《沥青路面施工及验收规范》；</w:t>
      </w:r>
    </w:p>
    <w:p w14:paraId="5C0D25E0">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textAlignment w:val="auto"/>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10</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《广东省</w:t>
      </w:r>
      <w:r>
        <w:rPr>
          <w:rFonts w:hint="eastAsia" w:ascii="Times New Roman" w:hAnsi="Times New Roman" w:cs="Times New Roman"/>
          <w:b w:val="0"/>
          <w:bCs/>
          <w:caps w:val="0"/>
          <w:smallCaps w:val="0"/>
          <w:snapToGrid w:val="0"/>
          <w:color w:val="auto"/>
          <w:spacing w:val="0"/>
          <w:kern w:val="0"/>
          <w:highlight w:val="none"/>
          <w:lang w:eastAsia="zh-CN"/>
        </w:rPr>
        <w:t>市政</w:t>
      </w:r>
      <w:r>
        <w:rPr>
          <w:rFonts w:hint="eastAsia" w:ascii="Times New Roman" w:hAnsi="Times New Roman" w:cs="Times New Roman"/>
          <w:b w:val="0"/>
          <w:bCs/>
          <w:caps w:val="0"/>
          <w:smallCaps w:val="0"/>
          <w:snapToGrid w:val="0"/>
          <w:color w:val="auto"/>
          <w:spacing w:val="0"/>
          <w:kern w:val="0"/>
          <w:highlight w:val="none"/>
        </w:rPr>
        <w:t>工程施工质量技术资料统一用表》。</w:t>
      </w:r>
    </w:p>
    <w:p w14:paraId="1D924A55">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textAlignment w:val="auto"/>
        <w:rPr>
          <w:rFonts w:hint="eastAsia" w:ascii="Times New Roman" w:hAnsi="Times New Roman" w:cs="Times New Roman"/>
          <w:b w:val="0"/>
          <w:bCs/>
          <w:caps w:val="0"/>
          <w:smallCaps w:val="0"/>
          <w:snapToGrid w:val="0"/>
          <w:color w:val="auto"/>
          <w:spacing w:val="0"/>
          <w:kern w:val="0"/>
          <w:highlight w:val="none"/>
          <w:lang w:eastAsia="zh-CN"/>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11</w:t>
      </w:r>
      <w:r>
        <w:rPr>
          <w:rFonts w:hint="eastAsia" w:ascii="Times New Roman" w:hAnsi="Times New Roman" w:cs="Times New Roman"/>
          <w:b w:val="0"/>
          <w:bCs/>
          <w:caps w:val="0"/>
          <w:smallCaps w:val="0"/>
          <w:snapToGrid w:val="0"/>
          <w:color w:val="auto"/>
          <w:spacing w:val="0"/>
          <w:kern w:val="0"/>
          <w:highlight w:val="none"/>
          <w:lang w:eastAsia="zh-CN"/>
        </w:rPr>
        <w:t>）其他现行国家、广东省关于市政工程的技术及验收规范、规程、标准。</w:t>
      </w:r>
    </w:p>
    <w:p w14:paraId="047D0DBD">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textAlignment w:val="auto"/>
        <w:rPr>
          <w:rFonts w:hint="eastAsia" w:ascii="Times New Roman" w:hAnsi="Times New Roman" w:cs="Times New Roman"/>
          <w:b w:val="0"/>
          <w:bCs/>
          <w:caps w:val="0"/>
          <w:smallCaps w:val="0"/>
          <w:snapToGrid w:val="0"/>
          <w:color w:val="auto"/>
          <w:spacing w:val="0"/>
          <w:kern w:val="0"/>
          <w:highlight w:val="none"/>
          <w:lang w:eastAsia="zh-CN"/>
        </w:rPr>
      </w:pPr>
    </w:p>
    <w:p w14:paraId="2EBF9F02">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560"/>
        <w:textAlignment w:val="auto"/>
        <w:rPr>
          <w:rFonts w:hint="eastAsia" w:ascii="Times New Roman" w:hAnsi="Times New Roman" w:cs="Times New Roman"/>
          <w:caps w:val="0"/>
          <w:smallCaps w:val="0"/>
          <w:strike/>
          <w:dstrike w:val="0"/>
          <w:snapToGrid w:val="0"/>
          <w:color w:val="auto"/>
          <w:spacing w:val="0"/>
          <w:kern w:val="0"/>
          <w:highlight w:val="none"/>
        </w:rPr>
      </w:pPr>
      <w:r>
        <w:rPr>
          <w:rFonts w:hint="eastAsia" w:ascii="Times New Roman" w:hAnsi="Times New Roman" w:cs="Times New Roman"/>
          <w:b/>
          <w:bCs w:val="0"/>
          <w:caps w:val="0"/>
          <w:smallCaps w:val="0"/>
          <w:snapToGrid w:val="0"/>
          <w:color w:val="auto"/>
          <w:spacing w:val="0"/>
          <w:kern w:val="0"/>
          <w:highlight w:val="none"/>
          <w:lang w:val="en-US" w:eastAsia="zh-CN"/>
        </w:rPr>
        <w:t>3．备查要求</w:t>
      </w:r>
    </w:p>
    <w:p w14:paraId="6DA64B0A">
      <w:pPr>
        <w:wordWrap w:val="0"/>
        <w:adjustRightInd w:val="0"/>
        <w:snapToGrid w:val="0"/>
        <w:spacing w:line="440" w:lineRule="exact"/>
        <w:ind w:firstLine="560"/>
        <w:rPr>
          <w:rFonts w:hAnsi="宋体" w:cs="宋体"/>
          <w:strike/>
          <w:snapToGrid w:val="0"/>
          <w:color w:val="auto"/>
          <w:kern w:val="0"/>
        </w:rPr>
        <w:sectPr>
          <w:endnotePr>
            <w:numFmt w:val="decimal"/>
          </w:endnotePr>
          <w:pgSz w:w="11906" w:h="16838"/>
          <w:pgMar w:top="1191" w:right="1417" w:bottom="1191" w:left="1417" w:header="850" w:footer="992" w:gutter="0"/>
          <w:cols w:space="0" w:num="1"/>
          <w:docGrid w:linePitch="327" w:charSpace="0"/>
        </w:sectPr>
      </w:pPr>
      <w:r>
        <w:rPr>
          <w:rFonts w:hint="eastAsia" w:ascii="Times New Roman" w:hAnsi="Times New Roman" w:cs="Times New Roman"/>
          <w:caps w:val="0"/>
          <w:smallCaps w:val="0"/>
          <w:snapToGrid w:val="0"/>
          <w:color w:val="auto"/>
          <w:spacing w:val="0"/>
          <w:kern w:val="0"/>
          <w:highlight w:val="none"/>
          <w:lang w:eastAsia="zh-CN"/>
        </w:rPr>
        <w:t>监理人</w:t>
      </w:r>
      <w:r>
        <w:rPr>
          <w:rFonts w:hint="eastAsia" w:ascii="Times New Roman" w:hAnsi="Times New Roman" w:cs="Times New Roman"/>
          <w:b w:val="0"/>
          <w:bCs/>
          <w:caps w:val="0"/>
          <w:smallCaps w:val="0"/>
          <w:snapToGrid w:val="0"/>
          <w:color w:val="auto"/>
          <w:spacing w:val="0"/>
          <w:kern w:val="0"/>
          <w:highlight w:val="none"/>
        </w:rPr>
        <w:t>必须在施工现场准备至少一套上述规范，</w:t>
      </w:r>
      <w:r>
        <w:rPr>
          <w:rFonts w:hint="eastAsia" w:ascii="Times New Roman" w:hAnsi="Times New Roman" w:cs="Times New Roman"/>
          <w:b w:val="0"/>
          <w:bCs/>
          <w:caps w:val="0"/>
          <w:smallCaps w:val="0"/>
          <w:snapToGrid w:val="0"/>
          <w:color w:val="auto"/>
          <w:spacing w:val="0"/>
          <w:kern w:val="0"/>
          <w:highlight w:val="none"/>
          <w:lang w:eastAsia="zh-CN"/>
        </w:rPr>
        <w:t>委托</w:t>
      </w:r>
      <w:r>
        <w:rPr>
          <w:rFonts w:hint="eastAsia" w:ascii="Times New Roman" w:hAnsi="Times New Roman" w:cs="Times New Roman"/>
          <w:b w:val="0"/>
          <w:bCs/>
          <w:caps w:val="0"/>
          <w:smallCaps w:val="0"/>
          <w:snapToGrid w:val="0"/>
          <w:color w:val="auto"/>
          <w:spacing w:val="0"/>
          <w:kern w:val="0"/>
          <w:highlight w:val="none"/>
        </w:rPr>
        <w:t>人可随时检查</w:t>
      </w:r>
      <w:r>
        <w:rPr>
          <w:rFonts w:hint="eastAsia" w:ascii="Times New Roman" w:hAnsi="Times New Roman" w:cs="Times New Roman"/>
          <w:b w:val="0"/>
          <w:bCs/>
          <w:caps w:val="0"/>
          <w:smallCaps w:val="0"/>
          <w:snapToGrid w:val="0"/>
          <w:color w:val="auto"/>
          <w:spacing w:val="0"/>
          <w:kern w:val="0"/>
          <w:highlight w:val="none"/>
          <w:lang w:eastAsia="zh-CN"/>
        </w:rPr>
        <w:t>监理</w:t>
      </w:r>
      <w:r>
        <w:rPr>
          <w:rFonts w:hint="eastAsia" w:ascii="Times New Roman" w:hAnsi="Times New Roman" w:cs="Times New Roman"/>
          <w:b w:val="0"/>
          <w:bCs/>
          <w:caps w:val="0"/>
          <w:smallCaps w:val="0"/>
          <w:snapToGrid w:val="0"/>
          <w:color w:val="auto"/>
          <w:spacing w:val="0"/>
          <w:kern w:val="0"/>
          <w:highlight w:val="none"/>
        </w:rPr>
        <w:t>人的上述规范，并监督</w:t>
      </w:r>
      <w:r>
        <w:rPr>
          <w:rFonts w:hint="eastAsia" w:ascii="Times New Roman" w:hAnsi="Times New Roman" w:cs="Times New Roman"/>
          <w:b w:val="0"/>
          <w:bCs/>
          <w:caps w:val="0"/>
          <w:smallCaps w:val="0"/>
          <w:snapToGrid w:val="0"/>
          <w:color w:val="auto"/>
          <w:spacing w:val="0"/>
          <w:kern w:val="0"/>
          <w:highlight w:val="none"/>
          <w:lang w:eastAsia="zh-CN"/>
        </w:rPr>
        <w:t>监理</w:t>
      </w:r>
      <w:r>
        <w:rPr>
          <w:rFonts w:hint="eastAsia" w:ascii="Times New Roman" w:hAnsi="Times New Roman" w:cs="Times New Roman"/>
          <w:b w:val="0"/>
          <w:bCs/>
          <w:caps w:val="0"/>
          <w:smallCaps w:val="0"/>
          <w:snapToGrid w:val="0"/>
          <w:color w:val="auto"/>
          <w:spacing w:val="0"/>
          <w:kern w:val="0"/>
          <w:highlight w:val="none"/>
        </w:rPr>
        <w:t>人按规范要求执行。</w:t>
      </w:r>
    </w:p>
    <w:p w14:paraId="3CCCC442">
      <w:pPr>
        <w:pStyle w:val="2"/>
        <w:wordWrap w:val="0"/>
        <w:autoSpaceDE/>
        <w:autoSpaceDN/>
        <w:snapToGrid w:val="0"/>
        <w:spacing w:line="440" w:lineRule="exact"/>
        <w:jc w:val="center"/>
        <w:rPr>
          <w:rFonts w:ascii="Times New Roman"/>
          <w:b/>
          <w:snapToGrid w:val="0"/>
          <w:color w:val="auto"/>
          <w:sz w:val="32"/>
          <w:szCs w:val="22"/>
        </w:rPr>
      </w:pPr>
      <w:bookmarkStart w:id="240" w:name="_Hlt69358336"/>
      <w:bookmarkEnd w:id="240"/>
      <w:bookmarkStart w:id="241" w:name="_Hlt69116863"/>
      <w:bookmarkEnd w:id="241"/>
      <w:bookmarkStart w:id="242" w:name="_Hlt69635247"/>
      <w:bookmarkEnd w:id="242"/>
      <w:bookmarkStart w:id="243" w:name="_Hlt69338190"/>
      <w:bookmarkEnd w:id="243"/>
      <w:bookmarkStart w:id="244" w:name="_Hlt69265207"/>
      <w:bookmarkEnd w:id="244"/>
      <w:bookmarkStart w:id="245" w:name="_Hlt66848640"/>
      <w:bookmarkEnd w:id="245"/>
      <w:bookmarkStart w:id="246" w:name="_Toc16011"/>
      <w:bookmarkStart w:id="247" w:name="_Toc28412"/>
      <w:bookmarkStart w:id="248" w:name="_Hlt69698785"/>
      <w:r>
        <w:rPr>
          <w:rFonts w:hint="eastAsia" w:ascii="Times New Roman"/>
          <w:b/>
          <w:snapToGrid w:val="0"/>
          <w:color w:val="auto"/>
          <w:sz w:val="32"/>
          <w:szCs w:val="22"/>
        </w:rPr>
        <w:t xml:space="preserve">第五章 </w:t>
      </w:r>
      <w:bookmarkStart w:id="249" w:name="_Hlt75747044"/>
      <w:bookmarkEnd w:id="249"/>
      <w:r>
        <w:rPr>
          <w:rFonts w:hint="eastAsia" w:ascii="Times New Roman"/>
          <w:b/>
          <w:snapToGrid w:val="0"/>
          <w:color w:val="auto"/>
          <w:sz w:val="32"/>
          <w:szCs w:val="22"/>
        </w:rPr>
        <w:t>投标文件格式</w:t>
      </w:r>
      <w:bookmarkEnd w:id="246"/>
      <w:bookmarkEnd w:id="247"/>
    </w:p>
    <w:bookmarkEnd w:id="248"/>
    <w:p w14:paraId="1EE2BA5E">
      <w:pPr>
        <w:pStyle w:val="33"/>
        <w:keepNext w:val="0"/>
        <w:keepLines w:val="0"/>
        <w:widowControl w:val="0"/>
        <w:wordWrap w:val="0"/>
        <w:adjustRightInd w:val="0"/>
        <w:snapToGrid w:val="0"/>
        <w:spacing w:before="0" w:after="0" w:line="240" w:lineRule="auto"/>
        <w:ind w:left="3640" w:leftChars="15" w:hanging="3604" w:hangingChars="1496"/>
        <w:jc w:val="both"/>
        <w:outlineLvl w:val="9"/>
        <w:rPr>
          <w:rFonts w:ascii="Times New Roman"/>
          <w:b/>
          <w:snapToGrid w:val="0"/>
          <w:color w:val="auto"/>
        </w:rPr>
      </w:pPr>
      <w:bookmarkStart w:id="250" w:name="_附件五：综合评审合理低价法"/>
      <w:bookmarkEnd w:id="250"/>
      <w:bookmarkStart w:id="251" w:name="_附件二：工期承诺书"/>
      <w:bookmarkEnd w:id="251"/>
      <w:bookmarkStart w:id="252" w:name="_附件二：近三年度主要施工项目（竣工及在建）一览表"/>
      <w:bookmarkEnd w:id="252"/>
      <w:bookmarkStart w:id="253" w:name="_附件一：投标函"/>
      <w:bookmarkEnd w:id="253"/>
      <w:bookmarkStart w:id="254" w:name="_附件一：对招标文件条款自愿接受承诺书"/>
      <w:bookmarkEnd w:id="254"/>
      <w:bookmarkStart w:id="255" w:name="_附件四：工期承诺书"/>
      <w:bookmarkEnd w:id="255"/>
      <w:bookmarkStart w:id="256" w:name="_Toc200338097"/>
      <w:bookmarkStart w:id="257" w:name="_Toc66849200"/>
      <w:bookmarkStart w:id="258" w:name="_Hlt66847557"/>
      <w:bookmarkStart w:id="259" w:name="_Toc137621693"/>
    </w:p>
    <w:p w14:paraId="75F7DF47">
      <w:pPr>
        <w:pStyle w:val="33"/>
        <w:keepNext w:val="0"/>
        <w:keepLines w:val="0"/>
        <w:widowControl w:val="0"/>
        <w:wordWrap w:val="0"/>
        <w:adjustRightInd w:val="0"/>
        <w:snapToGrid w:val="0"/>
        <w:spacing w:before="0" w:after="0" w:line="240" w:lineRule="auto"/>
        <w:ind w:left="3640" w:leftChars="15" w:hanging="3604" w:hangingChars="1496"/>
        <w:jc w:val="both"/>
        <w:outlineLvl w:val="1"/>
        <w:rPr>
          <w:rFonts w:ascii="Times New Roman"/>
          <w:b/>
          <w:snapToGrid w:val="0"/>
          <w:color w:val="auto"/>
        </w:rPr>
      </w:pPr>
      <w:bookmarkStart w:id="260" w:name="_Toc24031"/>
      <w:bookmarkStart w:id="261" w:name="_Toc63"/>
      <w:r>
        <w:rPr>
          <w:rFonts w:hint="eastAsia" w:ascii="Times New Roman"/>
          <w:b/>
          <w:snapToGrid w:val="0"/>
          <w:color w:val="auto"/>
        </w:rPr>
        <w:t>格式一 封面</w:t>
      </w:r>
      <w:bookmarkEnd w:id="260"/>
      <w:bookmarkEnd w:id="261"/>
    </w:p>
    <w:p w14:paraId="40CBA740">
      <w:pPr>
        <w:pStyle w:val="34"/>
        <w:widowControl w:val="0"/>
        <w:wordWrap w:val="0"/>
        <w:adjustRightInd w:val="0"/>
        <w:snapToGrid w:val="0"/>
        <w:spacing w:line="240" w:lineRule="auto"/>
        <w:rPr>
          <w:rFonts w:ascii="Times New Roman"/>
          <w:b/>
          <w:snapToGrid w:val="0"/>
          <w:color w:val="auto"/>
          <w:sz w:val="24"/>
        </w:rPr>
      </w:pPr>
    </w:p>
    <w:p w14:paraId="3C117EA1">
      <w:pPr>
        <w:pStyle w:val="34"/>
        <w:widowControl w:val="0"/>
        <w:wordWrap w:val="0"/>
        <w:adjustRightInd w:val="0"/>
        <w:snapToGrid w:val="0"/>
        <w:spacing w:line="240" w:lineRule="auto"/>
        <w:jc w:val="right"/>
        <w:rPr>
          <w:rFonts w:ascii="Times New Roman"/>
          <w:b/>
          <w:snapToGrid w:val="0"/>
          <w:color w:val="auto"/>
          <w:sz w:val="24"/>
        </w:rPr>
      </w:pPr>
    </w:p>
    <w:p w14:paraId="34B85A58">
      <w:pPr>
        <w:pStyle w:val="34"/>
        <w:widowControl w:val="0"/>
        <w:wordWrap w:val="0"/>
        <w:adjustRightInd w:val="0"/>
        <w:snapToGrid w:val="0"/>
        <w:spacing w:line="240" w:lineRule="auto"/>
        <w:rPr>
          <w:rFonts w:ascii="Times New Roman"/>
          <w:b/>
          <w:snapToGrid w:val="0"/>
          <w:color w:val="auto"/>
          <w:sz w:val="24"/>
        </w:rPr>
      </w:pPr>
    </w:p>
    <w:p w14:paraId="278ED17C">
      <w:pPr>
        <w:pStyle w:val="34"/>
        <w:widowControl w:val="0"/>
        <w:wordWrap w:val="0"/>
        <w:adjustRightInd w:val="0"/>
        <w:snapToGrid w:val="0"/>
        <w:spacing w:line="240" w:lineRule="auto"/>
        <w:rPr>
          <w:rFonts w:ascii="Times New Roman"/>
          <w:b/>
          <w:snapToGrid w:val="0"/>
          <w:color w:val="auto"/>
          <w:sz w:val="24"/>
        </w:rPr>
      </w:pPr>
    </w:p>
    <w:p w14:paraId="3D125300">
      <w:pPr>
        <w:pStyle w:val="34"/>
        <w:widowControl w:val="0"/>
        <w:wordWrap w:val="0"/>
        <w:adjustRightInd w:val="0"/>
        <w:snapToGrid w:val="0"/>
        <w:spacing w:line="240" w:lineRule="auto"/>
        <w:rPr>
          <w:rFonts w:ascii="Times New Roman"/>
          <w:b/>
          <w:snapToGrid w:val="0"/>
          <w:color w:val="auto"/>
          <w:sz w:val="24"/>
        </w:rPr>
      </w:pPr>
    </w:p>
    <w:p w14:paraId="3AAA04E0">
      <w:pPr>
        <w:pStyle w:val="34"/>
        <w:widowControl w:val="0"/>
        <w:wordWrap w:val="0"/>
        <w:adjustRightInd w:val="0"/>
        <w:snapToGrid w:val="0"/>
        <w:spacing w:line="240" w:lineRule="auto"/>
        <w:rPr>
          <w:rFonts w:ascii="Times New Roman"/>
          <w:b/>
          <w:snapToGrid w:val="0"/>
          <w:color w:val="auto"/>
          <w:sz w:val="24"/>
        </w:rPr>
      </w:pPr>
    </w:p>
    <w:p w14:paraId="40DD7D93">
      <w:pPr>
        <w:pStyle w:val="34"/>
        <w:widowControl w:val="0"/>
        <w:wordWrap w:val="0"/>
        <w:adjustRightInd w:val="0"/>
        <w:snapToGrid w:val="0"/>
        <w:spacing w:line="240" w:lineRule="auto"/>
        <w:rPr>
          <w:rFonts w:ascii="Times New Roman"/>
          <w:b/>
          <w:snapToGrid w:val="0"/>
          <w:color w:val="auto"/>
          <w:sz w:val="24"/>
        </w:rPr>
      </w:pPr>
    </w:p>
    <w:p w14:paraId="37E6FE0D">
      <w:pPr>
        <w:pStyle w:val="34"/>
        <w:widowControl w:val="0"/>
        <w:wordWrap w:val="0"/>
        <w:adjustRightInd w:val="0"/>
        <w:snapToGrid w:val="0"/>
        <w:spacing w:line="240" w:lineRule="auto"/>
        <w:rPr>
          <w:rFonts w:ascii="Times New Roman"/>
          <w:b/>
          <w:snapToGrid w:val="0"/>
          <w:color w:val="auto"/>
          <w:sz w:val="24"/>
        </w:rPr>
      </w:pPr>
    </w:p>
    <w:p w14:paraId="21693167">
      <w:pPr>
        <w:pStyle w:val="34"/>
        <w:widowControl w:val="0"/>
        <w:wordWrap w:val="0"/>
        <w:adjustRightInd w:val="0"/>
        <w:snapToGrid w:val="0"/>
        <w:spacing w:line="240" w:lineRule="auto"/>
        <w:rPr>
          <w:rFonts w:ascii="Times New Roman"/>
          <w:b/>
          <w:snapToGrid w:val="0"/>
          <w:color w:val="auto"/>
          <w:sz w:val="24"/>
        </w:rPr>
      </w:pPr>
    </w:p>
    <w:p w14:paraId="3FC88FE7">
      <w:pPr>
        <w:pStyle w:val="34"/>
        <w:widowControl w:val="0"/>
        <w:wordWrap w:val="0"/>
        <w:adjustRightInd w:val="0"/>
        <w:snapToGrid w:val="0"/>
        <w:spacing w:line="240" w:lineRule="auto"/>
        <w:rPr>
          <w:rFonts w:ascii="Times New Roman"/>
          <w:b/>
          <w:snapToGrid w:val="0"/>
          <w:color w:val="auto"/>
          <w:sz w:val="24"/>
        </w:rPr>
      </w:pPr>
    </w:p>
    <w:p w14:paraId="708A8E8F">
      <w:pPr>
        <w:pStyle w:val="34"/>
        <w:widowControl w:val="0"/>
        <w:wordWrap w:val="0"/>
        <w:adjustRightInd w:val="0"/>
        <w:snapToGrid w:val="0"/>
        <w:spacing w:line="240" w:lineRule="auto"/>
        <w:ind w:firstLine="0"/>
        <w:jc w:val="center"/>
        <w:rPr>
          <w:rFonts w:ascii="Times New Roman"/>
          <w:b/>
          <w:snapToGrid w:val="0"/>
          <w:color w:val="auto"/>
          <w:sz w:val="48"/>
          <w:szCs w:val="48"/>
        </w:rPr>
      </w:pPr>
      <w:r>
        <w:rPr>
          <w:rFonts w:hint="eastAsia" w:ascii="Times New Roman"/>
          <w:bCs/>
          <w:snapToGrid w:val="0"/>
          <w:color w:val="auto"/>
          <w:sz w:val="48"/>
          <w:szCs w:val="48"/>
          <w:u w:val="single"/>
        </w:rPr>
        <w:t xml:space="preserve">             </w:t>
      </w:r>
      <w:r>
        <w:rPr>
          <w:rFonts w:hint="eastAsia" w:ascii="Times New Roman"/>
          <w:b/>
          <w:snapToGrid w:val="0"/>
          <w:color w:val="auto"/>
          <w:sz w:val="48"/>
          <w:szCs w:val="48"/>
        </w:rPr>
        <w:t>（项目名称）招标</w:t>
      </w:r>
    </w:p>
    <w:p w14:paraId="5AE03BAF">
      <w:pPr>
        <w:pStyle w:val="34"/>
        <w:widowControl w:val="0"/>
        <w:wordWrap w:val="0"/>
        <w:adjustRightInd w:val="0"/>
        <w:snapToGrid w:val="0"/>
        <w:spacing w:line="240" w:lineRule="auto"/>
        <w:ind w:firstLine="0"/>
        <w:jc w:val="center"/>
        <w:rPr>
          <w:rFonts w:ascii="Times New Roman"/>
          <w:b/>
          <w:snapToGrid w:val="0"/>
          <w:color w:val="auto"/>
          <w:sz w:val="32"/>
        </w:rPr>
      </w:pPr>
    </w:p>
    <w:p w14:paraId="1C0172EA">
      <w:pPr>
        <w:pStyle w:val="34"/>
        <w:widowControl w:val="0"/>
        <w:wordWrap w:val="0"/>
        <w:adjustRightInd w:val="0"/>
        <w:snapToGrid w:val="0"/>
        <w:spacing w:line="240" w:lineRule="auto"/>
        <w:ind w:firstLine="0"/>
        <w:jc w:val="center"/>
        <w:rPr>
          <w:rFonts w:ascii="Times New Roman"/>
          <w:b/>
          <w:snapToGrid w:val="0"/>
          <w:color w:val="auto"/>
          <w:sz w:val="72"/>
        </w:rPr>
      </w:pPr>
      <w:r>
        <w:rPr>
          <w:rFonts w:hint="eastAsia" w:ascii="Times New Roman"/>
          <w:b/>
          <w:snapToGrid w:val="0"/>
          <w:color w:val="auto"/>
          <w:sz w:val="72"/>
        </w:rPr>
        <w:t>投  标  文  件</w:t>
      </w:r>
    </w:p>
    <w:p w14:paraId="6A58BD7D">
      <w:pPr>
        <w:pStyle w:val="34"/>
        <w:widowControl w:val="0"/>
        <w:wordWrap w:val="0"/>
        <w:adjustRightInd w:val="0"/>
        <w:snapToGrid w:val="0"/>
        <w:spacing w:line="240" w:lineRule="auto"/>
        <w:ind w:firstLine="0"/>
        <w:jc w:val="center"/>
        <w:rPr>
          <w:rFonts w:ascii="Times New Roman"/>
          <w:b/>
          <w:snapToGrid w:val="0"/>
          <w:color w:val="auto"/>
          <w:sz w:val="32"/>
        </w:rPr>
      </w:pPr>
    </w:p>
    <w:p w14:paraId="56F6FCB2">
      <w:pPr>
        <w:pStyle w:val="34"/>
        <w:widowControl w:val="0"/>
        <w:wordWrap w:val="0"/>
        <w:adjustRightInd w:val="0"/>
        <w:snapToGrid w:val="0"/>
        <w:spacing w:line="240" w:lineRule="auto"/>
        <w:ind w:firstLine="0"/>
        <w:jc w:val="center"/>
        <w:rPr>
          <w:rFonts w:ascii="Times New Roman"/>
          <w:b/>
          <w:snapToGrid w:val="0"/>
          <w:color w:val="auto"/>
          <w:sz w:val="48"/>
          <w:szCs w:val="48"/>
        </w:rPr>
      </w:pPr>
      <w:r>
        <w:rPr>
          <w:rFonts w:hint="eastAsia" w:ascii="Times New Roman"/>
          <w:b/>
          <w:snapToGrid w:val="0"/>
          <w:color w:val="auto"/>
          <w:sz w:val="48"/>
          <w:szCs w:val="48"/>
        </w:rPr>
        <w:t>（商务标书／监理大纲）</w:t>
      </w:r>
    </w:p>
    <w:p w14:paraId="0EDEF3FE">
      <w:pPr>
        <w:pStyle w:val="34"/>
        <w:widowControl w:val="0"/>
        <w:wordWrap w:val="0"/>
        <w:adjustRightInd w:val="0"/>
        <w:snapToGrid w:val="0"/>
        <w:spacing w:line="240" w:lineRule="auto"/>
        <w:rPr>
          <w:rFonts w:ascii="Times New Roman"/>
          <w:b/>
          <w:snapToGrid w:val="0"/>
          <w:color w:val="auto"/>
        </w:rPr>
      </w:pPr>
    </w:p>
    <w:p w14:paraId="04F2820B">
      <w:pPr>
        <w:pStyle w:val="34"/>
        <w:widowControl w:val="0"/>
        <w:wordWrap w:val="0"/>
        <w:adjustRightInd w:val="0"/>
        <w:snapToGrid w:val="0"/>
        <w:spacing w:line="240" w:lineRule="auto"/>
        <w:rPr>
          <w:rFonts w:ascii="Times New Roman"/>
          <w:b/>
          <w:snapToGrid w:val="0"/>
          <w:color w:val="auto"/>
          <w:sz w:val="32"/>
        </w:rPr>
      </w:pPr>
    </w:p>
    <w:p w14:paraId="668C9A82">
      <w:pPr>
        <w:pStyle w:val="34"/>
        <w:widowControl w:val="0"/>
        <w:wordWrap w:val="0"/>
        <w:adjustRightInd w:val="0"/>
        <w:snapToGrid w:val="0"/>
        <w:spacing w:line="240" w:lineRule="auto"/>
        <w:rPr>
          <w:rFonts w:ascii="Times New Roman"/>
          <w:b/>
          <w:snapToGrid w:val="0"/>
          <w:color w:val="auto"/>
          <w:sz w:val="32"/>
        </w:rPr>
      </w:pPr>
    </w:p>
    <w:p w14:paraId="1F7560AB">
      <w:pPr>
        <w:pStyle w:val="34"/>
        <w:widowControl w:val="0"/>
        <w:wordWrap w:val="0"/>
        <w:adjustRightInd w:val="0"/>
        <w:snapToGrid w:val="0"/>
        <w:spacing w:line="240" w:lineRule="auto"/>
        <w:rPr>
          <w:rFonts w:ascii="Times New Roman"/>
          <w:b/>
          <w:snapToGrid w:val="0"/>
          <w:color w:val="auto"/>
          <w:sz w:val="32"/>
        </w:rPr>
      </w:pPr>
    </w:p>
    <w:p w14:paraId="3AFD4AEE">
      <w:pPr>
        <w:pStyle w:val="34"/>
        <w:widowControl w:val="0"/>
        <w:wordWrap w:val="0"/>
        <w:adjustRightInd w:val="0"/>
        <w:snapToGrid w:val="0"/>
        <w:spacing w:line="240" w:lineRule="auto"/>
        <w:rPr>
          <w:rFonts w:ascii="Times New Roman"/>
          <w:b/>
          <w:snapToGrid w:val="0"/>
          <w:color w:val="auto"/>
          <w:sz w:val="32"/>
        </w:rPr>
      </w:pPr>
    </w:p>
    <w:p w14:paraId="29513C18">
      <w:pPr>
        <w:pStyle w:val="34"/>
        <w:widowControl w:val="0"/>
        <w:wordWrap w:val="0"/>
        <w:adjustRightInd w:val="0"/>
        <w:snapToGrid w:val="0"/>
        <w:spacing w:line="240" w:lineRule="auto"/>
        <w:rPr>
          <w:rFonts w:ascii="Times New Roman"/>
          <w:b/>
          <w:snapToGrid w:val="0"/>
          <w:color w:val="auto"/>
          <w:sz w:val="32"/>
        </w:rPr>
      </w:pPr>
    </w:p>
    <w:p w14:paraId="49271E08">
      <w:pPr>
        <w:pStyle w:val="34"/>
        <w:widowControl w:val="0"/>
        <w:wordWrap w:val="0"/>
        <w:adjustRightInd w:val="0"/>
        <w:snapToGrid w:val="0"/>
        <w:spacing w:line="240" w:lineRule="auto"/>
        <w:rPr>
          <w:rFonts w:ascii="Times New Roman"/>
          <w:b/>
          <w:snapToGrid w:val="0"/>
          <w:color w:val="auto"/>
          <w:sz w:val="32"/>
        </w:rPr>
      </w:pPr>
    </w:p>
    <w:p w14:paraId="34E35540">
      <w:pPr>
        <w:pStyle w:val="34"/>
        <w:widowControl w:val="0"/>
        <w:wordWrap w:val="0"/>
        <w:adjustRightInd w:val="0"/>
        <w:snapToGrid w:val="0"/>
        <w:spacing w:line="240" w:lineRule="auto"/>
        <w:rPr>
          <w:rFonts w:ascii="Times New Roman"/>
          <w:b/>
          <w:snapToGrid w:val="0"/>
          <w:color w:val="auto"/>
          <w:sz w:val="32"/>
        </w:rPr>
      </w:pPr>
    </w:p>
    <w:p w14:paraId="7A0ABABE">
      <w:pPr>
        <w:pStyle w:val="34"/>
        <w:widowControl w:val="0"/>
        <w:wordWrap w:val="0"/>
        <w:adjustRightInd w:val="0"/>
        <w:snapToGrid w:val="0"/>
        <w:spacing w:line="240" w:lineRule="auto"/>
        <w:rPr>
          <w:rFonts w:ascii="Times New Roman"/>
          <w:b/>
          <w:snapToGrid w:val="0"/>
          <w:color w:val="auto"/>
          <w:sz w:val="32"/>
        </w:rPr>
      </w:pPr>
    </w:p>
    <w:p w14:paraId="36A3050C">
      <w:pPr>
        <w:pStyle w:val="34"/>
        <w:widowControl w:val="0"/>
        <w:wordWrap w:val="0"/>
        <w:adjustRightInd w:val="0"/>
        <w:snapToGrid w:val="0"/>
        <w:spacing w:line="240" w:lineRule="auto"/>
        <w:ind w:firstLine="0"/>
        <w:jc w:val="center"/>
        <w:rPr>
          <w:rFonts w:ascii="Times New Roman"/>
          <w:bCs/>
          <w:snapToGrid w:val="0"/>
          <w:color w:val="auto"/>
          <w:sz w:val="32"/>
        </w:rPr>
      </w:pPr>
      <w:r>
        <w:rPr>
          <w:rFonts w:hint="eastAsia" w:ascii="Times New Roman"/>
          <w:bCs/>
          <w:snapToGrid w:val="0"/>
          <w:color w:val="auto"/>
          <w:sz w:val="32"/>
        </w:rPr>
        <w:t>投标人：</w:t>
      </w:r>
      <w:r>
        <w:rPr>
          <w:rFonts w:hint="eastAsia" w:ascii="Times New Roman"/>
          <w:bCs/>
          <w:snapToGrid w:val="0"/>
          <w:color w:val="auto"/>
          <w:sz w:val="32"/>
          <w:u w:val="single"/>
        </w:rPr>
        <w:t xml:space="preserve">                                    </w:t>
      </w:r>
      <w:r>
        <w:rPr>
          <w:rFonts w:hint="eastAsia" w:ascii="Times New Roman"/>
          <w:bCs/>
          <w:snapToGrid w:val="0"/>
          <w:color w:val="auto"/>
          <w:sz w:val="32"/>
        </w:rPr>
        <w:t>（盖单位章）</w:t>
      </w:r>
    </w:p>
    <w:p w14:paraId="0172F4AC">
      <w:pPr>
        <w:pStyle w:val="34"/>
        <w:widowControl w:val="0"/>
        <w:wordWrap w:val="0"/>
        <w:adjustRightInd w:val="0"/>
        <w:snapToGrid w:val="0"/>
        <w:spacing w:line="240" w:lineRule="auto"/>
        <w:ind w:firstLine="0"/>
        <w:jc w:val="center"/>
        <w:rPr>
          <w:rFonts w:ascii="Times New Roman"/>
          <w:bCs/>
          <w:snapToGrid w:val="0"/>
          <w:color w:val="auto"/>
          <w:sz w:val="32"/>
        </w:rPr>
      </w:pPr>
    </w:p>
    <w:p w14:paraId="74D7F489">
      <w:pPr>
        <w:pStyle w:val="34"/>
        <w:widowControl w:val="0"/>
        <w:wordWrap w:val="0"/>
        <w:adjustRightInd w:val="0"/>
        <w:snapToGrid w:val="0"/>
        <w:spacing w:line="240" w:lineRule="auto"/>
        <w:ind w:firstLine="0"/>
        <w:jc w:val="center"/>
        <w:rPr>
          <w:rFonts w:ascii="Times New Roman"/>
          <w:bCs/>
          <w:snapToGrid w:val="0"/>
          <w:color w:val="auto"/>
          <w:sz w:val="32"/>
        </w:rPr>
      </w:pPr>
    </w:p>
    <w:p w14:paraId="649F13F8">
      <w:pPr>
        <w:pStyle w:val="34"/>
        <w:widowControl w:val="0"/>
        <w:wordWrap w:val="0"/>
        <w:adjustRightInd w:val="0"/>
        <w:snapToGrid w:val="0"/>
        <w:spacing w:line="240" w:lineRule="auto"/>
        <w:ind w:firstLine="0"/>
        <w:jc w:val="center"/>
        <w:rPr>
          <w:rFonts w:ascii="Times New Roman"/>
          <w:bCs/>
          <w:snapToGrid w:val="0"/>
          <w:color w:val="auto"/>
          <w:sz w:val="32"/>
        </w:rPr>
      </w:pPr>
    </w:p>
    <w:p w14:paraId="7478B769">
      <w:pPr>
        <w:pStyle w:val="34"/>
        <w:widowControl w:val="0"/>
        <w:wordWrap w:val="0"/>
        <w:adjustRightInd w:val="0"/>
        <w:snapToGrid w:val="0"/>
        <w:spacing w:line="240" w:lineRule="auto"/>
        <w:ind w:firstLine="0"/>
        <w:jc w:val="center"/>
        <w:rPr>
          <w:rFonts w:ascii="Times New Roman"/>
          <w:bCs/>
          <w:snapToGrid w:val="0"/>
          <w:color w:val="auto"/>
          <w:sz w:val="32"/>
        </w:rPr>
      </w:pPr>
      <w:r>
        <w:rPr>
          <w:rFonts w:hint="eastAsia" w:ascii="Times New Roman"/>
          <w:bCs/>
          <w:snapToGrid w:val="0"/>
          <w:color w:val="auto"/>
          <w:sz w:val="32"/>
        </w:rPr>
        <w:t>法定代表人或其委托代理人：</w:t>
      </w:r>
      <w:r>
        <w:rPr>
          <w:rFonts w:hint="eastAsia" w:ascii="Times New Roman"/>
          <w:bCs/>
          <w:snapToGrid w:val="0"/>
          <w:color w:val="auto"/>
          <w:sz w:val="32"/>
          <w:u w:val="single"/>
        </w:rPr>
        <w:t xml:space="preserve">                 </w:t>
      </w:r>
      <w:r>
        <w:rPr>
          <w:rFonts w:hint="eastAsia" w:ascii="Times New Roman"/>
          <w:bCs/>
          <w:snapToGrid w:val="0"/>
          <w:color w:val="auto"/>
          <w:sz w:val="32"/>
        </w:rPr>
        <w:t>（签字或盖章）</w:t>
      </w:r>
    </w:p>
    <w:p w14:paraId="3973D86C">
      <w:pPr>
        <w:pStyle w:val="34"/>
        <w:widowControl w:val="0"/>
        <w:wordWrap w:val="0"/>
        <w:adjustRightInd w:val="0"/>
        <w:snapToGrid w:val="0"/>
        <w:spacing w:line="240" w:lineRule="auto"/>
        <w:ind w:firstLine="0"/>
        <w:jc w:val="center"/>
        <w:rPr>
          <w:rFonts w:ascii="Times New Roman"/>
          <w:bCs/>
          <w:snapToGrid w:val="0"/>
          <w:color w:val="auto"/>
          <w:sz w:val="32"/>
        </w:rPr>
      </w:pPr>
    </w:p>
    <w:p w14:paraId="7534217B">
      <w:pPr>
        <w:pStyle w:val="34"/>
        <w:widowControl w:val="0"/>
        <w:wordWrap w:val="0"/>
        <w:adjustRightInd w:val="0"/>
        <w:snapToGrid w:val="0"/>
        <w:spacing w:line="240" w:lineRule="auto"/>
        <w:ind w:firstLine="0"/>
        <w:jc w:val="center"/>
        <w:rPr>
          <w:rFonts w:ascii="Times New Roman"/>
          <w:bCs/>
          <w:snapToGrid w:val="0"/>
          <w:color w:val="auto"/>
          <w:sz w:val="32"/>
          <w:u w:val="single"/>
        </w:rPr>
      </w:pPr>
    </w:p>
    <w:p w14:paraId="5DDC20C9">
      <w:pPr>
        <w:pStyle w:val="34"/>
        <w:widowControl w:val="0"/>
        <w:wordWrap w:val="0"/>
        <w:adjustRightInd w:val="0"/>
        <w:snapToGrid w:val="0"/>
        <w:spacing w:line="240" w:lineRule="auto"/>
        <w:ind w:firstLine="0"/>
        <w:jc w:val="center"/>
        <w:rPr>
          <w:rFonts w:ascii="Times New Roman"/>
          <w:b/>
          <w:snapToGrid w:val="0"/>
          <w:color w:val="auto"/>
        </w:rPr>
      </w:pPr>
      <w:r>
        <w:rPr>
          <w:rFonts w:hint="eastAsia" w:ascii="Times New Roman"/>
          <w:bCs/>
          <w:snapToGrid w:val="0"/>
          <w:color w:val="auto"/>
          <w:sz w:val="32"/>
          <w:u w:val="single"/>
        </w:rPr>
        <w:t xml:space="preserve">         </w:t>
      </w:r>
      <w:r>
        <w:rPr>
          <w:rFonts w:hint="eastAsia" w:ascii="Times New Roman"/>
          <w:bCs/>
          <w:snapToGrid w:val="0"/>
          <w:color w:val="auto"/>
          <w:sz w:val="32"/>
        </w:rPr>
        <w:t>年</w:t>
      </w:r>
      <w:r>
        <w:rPr>
          <w:rFonts w:hint="eastAsia" w:ascii="Times New Roman"/>
          <w:bCs/>
          <w:snapToGrid w:val="0"/>
          <w:color w:val="auto"/>
          <w:sz w:val="32"/>
          <w:u w:val="single"/>
        </w:rPr>
        <w:t xml:space="preserve">      </w:t>
      </w:r>
      <w:r>
        <w:rPr>
          <w:rFonts w:hint="eastAsia" w:ascii="Times New Roman"/>
          <w:bCs/>
          <w:snapToGrid w:val="0"/>
          <w:color w:val="auto"/>
          <w:sz w:val="32"/>
        </w:rPr>
        <w:t>月</w:t>
      </w:r>
      <w:r>
        <w:rPr>
          <w:rFonts w:hint="eastAsia" w:ascii="Times New Roman"/>
          <w:bCs/>
          <w:snapToGrid w:val="0"/>
          <w:color w:val="auto"/>
          <w:sz w:val="32"/>
          <w:u w:val="single"/>
        </w:rPr>
        <w:t xml:space="preserve">      </w:t>
      </w:r>
      <w:r>
        <w:rPr>
          <w:rFonts w:hint="eastAsia" w:ascii="Times New Roman"/>
          <w:bCs/>
          <w:snapToGrid w:val="0"/>
          <w:color w:val="auto"/>
          <w:sz w:val="32"/>
        </w:rPr>
        <w:t>日</w:t>
      </w:r>
    </w:p>
    <w:p w14:paraId="01D12716">
      <w:pPr>
        <w:pStyle w:val="34"/>
        <w:widowControl w:val="0"/>
        <w:wordWrap w:val="0"/>
        <w:adjustRightInd w:val="0"/>
        <w:snapToGrid w:val="0"/>
        <w:rPr>
          <w:rFonts w:ascii="Times New Roman"/>
          <w:b/>
          <w:snapToGrid w:val="0"/>
          <w:color w:val="auto"/>
        </w:rPr>
      </w:pPr>
    </w:p>
    <w:p w14:paraId="7CFD58B2">
      <w:pPr>
        <w:pStyle w:val="34"/>
        <w:widowControl w:val="0"/>
        <w:wordWrap w:val="0"/>
        <w:adjustRightInd w:val="0"/>
        <w:snapToGrid w:val="0"/>
        <w:rPr>
          <w:rFonts w:ascii="Times New Roman"/>
          <w:b/>
          <w:snapToGrid w:val="0"/>
          <w:color w:val="auto"/>
        </w:rPr>
      </w:pPr>
    </w:p>
    <w:p w14:paraId="0165AA14">
      <w:pPr>
        <w:pStyle w:val="34"/>
        <w:widowControl w:val="0"/>
        <w:wordWrap w:val="0"/>
        <w:adjustRightInd w:val="0"/>
        <w:snapToGrid w:val="0"/>
        <w:rPr>
          <w:rFonts w:ascii="Times New Roman"/>
          <w:b/>
          <w:snapToGrid w:val="0"/>
          <w:color w:val="auto"/>
        </w:rPr>
        <w:sectPr>
          <w:endnotePr>
            <w:numFmt w:val="decimal"/>
          </w:endnotePr>
          <w:pgSz w:w="11906" w:h="16838"/>
          <w:pgMar w:top="1417" w:right="1417" w:bottom="1417" w:left="1417" w:header="850" w:footer="992" w:gutter="0"/>
          <w:cols w:space="0" w:num="1"/>
          <w:docGrid w:linePitch="327" w:charSpace="0"/>
        </w:sectPr>
      </w:pPr>
    </w:p>
    <w:p w14:paraId="17D2CE45">
      <w:pPr>
        <w:pStyle w:val="3"/>
        <w:wordWrap w:val="0"/>
        <w:autoSpaceDE/>
        <w:autoSpaceDN/>
        <w:snapToGrid w:val="0"/>
        <w:spacing w:line="440" w:lineRule="exact"/>
        <w:rPr>
          <w:rFonts w:ascii="Times New Roman"/>
          <w:b/>
          <w:snapToGrid w:val="0"/>
          <w:color w:val="auto"/>
        </w:rPr>
      </w:pPr>
      <w:bookmarkStart w:id="262" w:name="_Toc31638"/>
      <w:bookmarkStart w:id="263" w:name="_Toc21838"/>
      <w:bookmarkStart w:id="264" w:name="_Toc104711098"/>
      <w:bookmarkStart w:id="265" w:name="_Toc106418843"/>
      <w:r>
        <w:rPr>
          <w:rFonts w:hint="eastAsia" w:ascii="Times New Roman"/>
          <w:b/>
          <w:snapToGrid w:val="0"/>
          <w:color w:val="auto"/>
        </w:rPr>
        <w:t>格式</w:t>
      </w:r>
      <w:bookmarkStart w:id="266" w:name="_Hlt97526007"/>
      <w:bookmarkEnd w:id="266"/>
      <w:r>
        <w:rPr>
          <w:rFonts w:hint="eastAsia" w:ascii="Times New Roman"/>
          <w:b/>
          <w:snapToGrid w:val="0"/>
          <w:color w:val="auto"/>
        </w:rPr>
        <w:t>二 投标函</w:t>
      </w:r>
      <w:bookmarkEnd w:id="262"/>
      <w:bookmarkEnd w:id="263"/>
    </w:p>
    <w:p w14:paraId="0E1F0577">
      <w:pPr>
        <w:wordWrap w:val="0"/>
        <w:adjustRightInd w:val="0"/>
        <w:snapToGrid w:val="0"/>
        <w:spacing w:before="260" w:after="260" w:line="440" w:lineRule="exact"/>
        <w:jc w:val="center"/>
        <w:rPr>
          <w:rFonts w:ascii="Times New Roman"/>
          <w:b/>
          <w:snapToGrid w:val="0"/>
          <w:color w:val="auto"/>
          <w:kern w:val="0"/>
        </w:rPr>
      </w:pPr>
      <w:r>
        <w:rPr>
          <w:rFonts w:hint="eastAsia" w:ascii="Times New Roman"/>
          <w:b/>
          <w:snapToGrid w:val="0"/>
          <w:color w:val="auto"/>
          <w:kern w:val="0"/>
          <w:sz w:val="30"/>
        </w:rPr>
        <w:t>投</w:t>
      </w:r>
      <w:r>
        <w:rPr>
          <w:rFonts w:ascii="Times New Roman"/>
          <w:b/>
          <w:snapToGrid w:val="0"/>
          <w:color w:val="auto"/>
          <w:kern w:val="0"/>
          <w:sz w:val="30"/>
        </w:rPr>
        <w:t xml:space="preserve">  </w:t>
      </w:r>
      <w:r>
        <w:rPr>
          <w:rFonts w:hint="eastAsia" w:ascii="Times New Roman"/>
          <w:b/>
          <w:snapToGrid w:val="0"/>
          <w:color w:val="auto"/>
          <w:kern w:val="0"/>
          <w:sz w:val="30"/>
        </w:rPr>
        <w:t>标</w:t>
      </w:r>
      <w:r>
        <w:rPr>
          <w:rFonts w:ascii="Times New Roman"/>
          <w:b/>
          <w:snapToGrid w:val="0"/>
          <w:color w:val="auto"/>
          <w:kern w:val="0"/>
          <w:sz w:val="30"/>
        </w:rPr>
        <w:t xml:space="preserve">  </w:t>
      </w:r>
      <w:r>
        <w:rPr>
          <w:rFonts w:hint="eastAsia" w:ascii="Times New Roman"/>
          <w:b/>
          <w:snapToGrid w:val="0"/>
          <w:color w:val="auto"/>
          <w:kern w:val="0"/>
          <w:sz w:val="30"/>
        </w:rPr>
        <w:t>函</w:t>
      </w:r>
      <w:bookmarkEnd w:id="264"/>
      <w:bookmarkEnd w:id="265"/>
    </w:p>
    <w:p w14:paraId="18F861C4">
      <w:pPr>
        <w:wordWrap w:val="0"/>
        <w:adjustRightInd w:val="0"/>
        <w:snapToGrid w:val="0"/>
        <w:spacing w:line="440" w:lineRule="exact"/>
        <w:jc w:val="center"/>
        <w:rPr>
          <w:rFonts w:ascii="Times New Roman"/>
          <w:b/>
          <w:snapToGrid w:val="0"/>
          <w:color w:val="auto"/>
          <w:kern w:val="0"/>
        </w:rPr>
      </w:pPr>
    </w:p>
    <w:p w14:paraId="57050E84">
      <w:pPr>
        <w:wordWrap w:val="0"/>
        <w:adjustRightInd w:val="0"/>
        <w:snapToGrid w:val="0"/>
        <w:spacing w:line="440" w:lineRule="exact"/>
        <w:rPr>
          <w:rFonts w:ascii="Times New Roman"/>
          <w:snapToGrid w:val="0"/>
          <w:color w:val="auto"/>
          <w:kern w:val="0"/>
        </w:rPr>
      </w:pPr>
      <w:r>
        <w:rPr>
          <w:rFonts w:hint="eastAsia" w:ascii="Times New Roman"/>
          <w:snapToGrid w:val="0"/>
          <w:color w:val="auto"/>
          <w:kern w:val="0"/>
        </w:rPr>
        <w:t>致：</w:t>
      </w:r>
      <w:r>
        <w:rPr>
          <w:rFonts w:hint="eastAsia" w:ascii="Times New Roman"/>
          <w:snapToGrid w:val="0"/>
          <w:color w:val="auto"/>
          <w:kern w:val="0"/>
          <w:u w:val="single"/>
        </w:rPr>
        <w:t xml:space="preserve">                   </w:t>
      </w:r>
      <w:r>
        <w:rPr>
          <w:rFonts w:hint="eastAsia" w:ascii="Times New Roman"/>
          <w:snapToGrid w:val="0"/>
          <w:color w:val="auto"/>
          <w:kern w:val="0"/>
        </w:rPr>
        <w:t>（招标人名称）</w:t>
      </w:r>
    </w:p>
    <w:p w14:paraId="47BD8D92">
      <w:pPr>
        <w:wordWrap w:val="0"/>
        <w:adjustRightInd w:val="0"/>
        <w:snapToGrid w:val="0"/>
        <w:spacing w:line="500" w:lineRule="exact"/>
        <w:ind w:firstLine="570"/>
        <w:rPr>
          <w:rFonts w:hAnsi="宋体" w:cs="宋体"/>
          <w:snapToGrid w:val="0"/>
          <w:color w:val="auto"/>
          <w:kern w:val="0"/>
          <w:u w:val="single"/>
        </w:rPr>
      </w:pPr>
      <w:r>
        <w:rPr>
          <w:rFonts w:hint="eastAsia" w:hAnsi="宋体" w:cs="宋体"/>
          <w:snapToGrid w:val="0"/>
          <w:color w:val="auto"/>
          <w:kern w:val="0"/>
        </w:rPr>
        <w:t xml:space="preserve">1. </w:t>
      </w:r>
      <w:r>
        <w:rPr>
          <w:rFonts w:hint="eastAsia" w:hAnsi="宋体" w:cs="宋体"/>
          <w:snapToGrid w:val="0"/>
          <w:color w:val="auto"/>
          <w:kern w:val="0"/>
          <w:szCs w:val="22"/>
        </w:rPr>
        <w:t>我方在仔细研究</w:t>
      </w:r>
      <w:r>
        <w:rPr>
          <w:rFonts w:hint="eastAsia" w:hAnsi="宋体" w:cs="宋体"/>
          <w:snapToGrid w:val="0"/>
          <w:color w:val="auto"/>
          <w:kern w:val="0"/>
          <w:szCs w:val="22"/>
          <w:u w:val="single"/>
        </w:rPr>
        <w:t xml:space="preserve">              </w:t>
      </w:r>
      <w:r>
        <w:rPr>
          <w:rFonts w:hint="eastAsia" w:hAnsi="宋体" w:cs="宋体"/>
          <w:snapToGrid w:val="0"/>
          <w:color w:val="auto"/>
          <w:kern w:val="0"/>
          <w:szCs w:val="22"/>
        </w:rPr>
        <w:t>（项目名称）（以下简称“本项目”）监理招标文件的全部内容后，结合自身资质、能力和特点，愿意接受招标文件的全部内容和条件。兹以人民币（大写）：</w:t>
      </w:r>
      <w:r>
        <w:rPr>
          <w:rFonts w:hint="eastAsia" w:hAnsi="宋体" w:cs="宋体"/>
          <w:snapToGrid w:val="0"/>
          <w:color w:val="auto"/>
          <w:kern w:val="0"/>
          <w:szCs w:val="22"/>
          <w:u w:val="single"/>
        </w:rPr>
        <w:t xml:space="preserve">           </w:t>
      </w:r>
      <w:r>
        <w:rPr>
          <w:rFonts w:hint="eastAsia" w:hAnsi="宋体" w:cs="宋体"/>
          <w:snapToGrid w:val="0"/>
          <w:color w:val="auto"/>
          <w:kern w:val="0"/>
          <w:szCs w:val="22"/>
        </w:rPr>
        <w:t xml:space="preserve">（小写）：（¥ </w:t>
      </w:r>
      <w:r>
        <w:rPr>
          <w:rFonts w:hint="eastAsia" w:hAnsi="宋体" w:cs="宋体"/>
          <w:snapToGrid w:val="0"/>
          <w:color w:val="auto"/>
          <w:kern w:val="0"/>
          <w:szCs w:val="22"/>
          <w:u w:val="single"/>
        </w:rPr>
        <w:t xml:space="preserve">        </w:t>
      </w:r>
      <w:r>
        <w:rPr>
          <w:rFonts w:hint="eastAsia" w:hAnsi="宋体" w:cs="宋体"/>
          <w:snapToGrid w:val="0"/>
          <w:color w:val="auto"/>
          <w:kern w:val="0"/>
          <w:szCs w:val="22"/>
        </w:rPr>
        <w:t>）的投标总价（其中，增值税税率为</w:t>
      </w:r>
      <w:r>
        <w:rPr>
          <w:rFonts w:hint="eastAsia" w:hAnsi="宋体" w:cs="宋体"/>
          <w:snapToGrid w:val="0"/>
          <w:color w:val="auto"/>
          <w:kern w:val="0"/>
          <w:szCs w:val="22"/>
          <w:u w:val="single"/>
        </w:rPr>
        <w:t xml:space="preserve">    </w:t>
      </w:r>
      <w:r>
        <w:rPr>
          <w:rFonts w:hint="eastAsia" w:hAnsi="宋体" w:cs="宋体"/>
          <w:snapToGrid w:val="0"/>
          <w:color w:val="auto"/>
          <w:kern w:val="0"/>
          <w:szCs w:val="22"/>
        </w:rPr>
        <w:t>）竞投本项目监理及相关服务，投标取费费率为</w:t>
      </w:r>
      <w:r>
        <w:rPr>
          <w:rFonts w:hint="eastAsia" w:hAnsi="宋体" w:cs="宋体"/>
          <w:snapToGrid w:val="0"/>
          <w:color w:val="auto"/>
          <w:kern w:val="0"/>
          <w:szCs w:val="22"/>
          <w:u w:val="single"/>
        </w:rPr>
        <w:t xml:space="preserve">     </w:t>
      </w:r>
      <w:r>
        <w:rPr>
          <w:rFonts w:hint="eastAsia" w:hAnsi="宋体" w:cs="宋体"/>
          <w:snapToGrid w:val="0"/>
          <w:color w:val="auto"/>
          <w:kern w:val="0"/>
          <w:szCs w:val="22"/>
        </w:rPr>
        <w:t>%。</w:t>
      </w:r>
    </w:p>
    <w:p w14:paraId="294652E1">
      <w:pPr>
        <w:wordWrap w:val="0"/>
        <w:adjustRightInd w:val="0"/>
        <w:snapToGrid w:val="0"/>
        <w:spacing w:line="440" w:lineRule="exact"/>
        <w:ind w:firstLine="570"/>
        <w:rPr>
          <w:rFonts w:hAnsi="宋体" w:cs="宋体"/>
          <w:snapToGrid w:val="0"/>
          <w:color w:val="auto"/>
          <w:kern w:val="0"/>
        </w:rPr>
      </w:pPr>
      <w:r>
        <w:rPr>
          <w:rFonts w:hint="eastAsia" w:hAnsi="宋体" w:cs="宋体"/>
          <w:snapToGrid w:val="0"/>
          <w:color w:val="auto"/>
          <w:kern w:val="0"/>
        </w:rPr>
        <w:t>2. 如果我方中标，我方保证按照委托人发出的开始监理通知中写明的日期开始本项目的</w:t>
      </w:r>
      <w:r>
        <w:rPr>
          <w:rFonts w:hint="eastAsia" w:hAnsi="宋体" w:cs="宋体"/>
          <w:snapToGrid w:val="0"/>
          <w:color w:val="auto"/>
          <w:kern w:val="0"/>
          <w:u w:val="single"/>
        </w:rPr>
        <w:t xml:space="preserve"> 监理及相关服务 </w:t>
      </w:r>
      <w:r>
        <w:rPr>
          <w:rFonts w:hint="eastAsia" w:hAnsi="宋体" w:cs="宋体"/>
          <w:snapToGrid w:val="0"/>
          <w:color w:val="auto"/>
          <w:kern w:val="0"/>
        </w:rPr>
        <w:t>，并在合同约定的服务期限内完成合同规定的全部义务。</w:t>
      </w:r>
    </w:p>
    <w:p w14:paraId="21AF791A">
      <w:pPr>
        <w:wordWrap w:val="0"/>
        <w:adjustRightInd w:val="0"/>
        <w:snapToGrid w:val="0"/>
        <w:spacing w:line="440" w:lineRule="exact"/>
        <w:ind w:firstLine="570"/>
        <w:rPr>
          <w:rFonts w:hAnsi="宋体" w:cs="宋体"/>
          <w:snapToGrid w:val="0"/>
          <w:color w:val="auto"/>
          <w:kern w:val="0"/>
        </w:rPr>
      </w:pPr>
      <w:r>
        <w:rPr>
          <w:rFonts w:hint="eastAsia" w:hAnsi="宋体" w:cs="宋体"/>
          <w:snapToGrid w:val="0"/>
          <w:color w:val="auto"/>
          <w:kern w:val="0"/>
        </w:rPr>
        <w:t>3. 本投标函在你方接收我方递交的投标文件之日起、到招标文件规定的投标有效期期满前对我方具有约束力。我方随时准备接受你方发出的中标通知书。</w:t>
      </w:r>
    </w:p>
    <w:p w14:paraId="2779C0A1">
      <w:pPr>
        <w:wordWrap w:val="0"/>
        <w:adjustRightInd w:val="0"/>
        <w:snapToGrid w:val="0"/>
        <w:spacing w:line="440" w:lineRule="exact"/>
        <w:ind w:firstLine="570"/>
        <w:rPr>
          <w:rFonts w:hAnsi="宋体" w:cs="宋体"/>
          <w:snapToGrid w:val="0"/>
          <w:color w:val="auto"/>
          <w:kern w:val="0"/>
        </w:rPr>
      </w:pPr>
      <w:r>
        <w:rPr>
          <w:rFonts w:hint="eastAsia" w:hAnsi="宋体" w:cs="宋体"/>
          <w:snapToGrid w:val="0"/>
          <w:color w:val="auto"/>
          <w:kern w:val="0"/>
        </w:rPr>
        <w:t>4．我方在此声明，我方不存在本项目招标文件第一章第三节第</w:t>
      </w:r>
      <w:r>
        <w:rPr>
          <w:rFonts w:hint="eastAsia" w:hAnsi="宋体" w:cs="宋体"/>
          <w:b/>
          <w:bCs/>
          <w:snapToGrid w:val="0"/>
          <w:color w:val="auto"/>
          <w:kern w:val="0"/>
        </w:rPr>
        <w:t>2.4</w:t>
      </w:r>
      <w:r>
        <w:rPr>
          <w:rFonts w:hint="eastAsia" w:hAnsi="宋体" w:cs="宋体"/>
          <w:snapToGrid w:val="0"/>
          <w:color w:val="auto"/>
          <w:kern w:val="0"/>
        </w:rPr>
        <w:t>条“禁止投标条款”所列出的任何一种情形，并愿意承担因我方就此弄虚作假所引起的一切法律后果。</w:t>
      </w:r>
    </w:p>
    <w:p w14:paraId="77321494">
      <w:pPr>
        <w:wordWrap w:val="0"/>
        <w:adjustRightInd w:val="0"/>
        <w:snapToGrid w:val="0"/>
        <w:spacing w:line="440" w:lineRule="exact"/>
        <w:ind w:firstLine="570"/>
        <w:rPr>
          <w:rFonts w:hAnsi="宋体" w:cs="宋体"/>
          <w:snapToGrid w:val="0"/>
          <w:color w:val="auto"/>
          <w:kern w:val="0"/>
        </w:rPr>
      </w:pPr>
      <w:r>
        <w:rPr>
          <w:rFonts w:hint="eastAsia" w:hAnsi="宋体" w:cs="宋体"/>
          <w:snapToGrid w:val="0"/>
          <w:color w:val="auto"/>
          <w:kern w:val="0"/>
        </w:rPr>
        <w:t>5．我方在此承诺，所递交投标文件的全部内容均为真实、有效、准确的，并愿意承担因我方就此弄虚作假所引起的一切法律后果，同时理解和同意有可能被要求提供更多的资料。</w:t>
      </w:r>
    </w:p>
    <w:p w14:paraId="73E60A0D">
      <w:pPr>
        <w:wordWrap w:val="0"/>
        <w:adjustRightInd w:val="0"/>
        <w:snapToGrid w:val="0"/>
        <w:spacing w:line="440" w:lineRule="exact"/>
        <w:ind w:firstLine="570"/>
        <w:rPr>
          <w:rFonts w:hAnsi="宋体" w:cs="宋体"/>
          <w:snapToGrid w:val="0"/>
          <w:color w:val="auto"/>
          <w:kern w:val="0"/>
        </w:rPr>
      </w:pPr>
      <w:bookmarkStart w:id="267" w:name="_Hlt68771070"/>
      <w:bookmarkEnd w:id="267"/>
      <w:r>
        <w:rPr>
          <w:rFonts w:hint="eastAsia" w:hAnsi="宋体" w:cs="宋体"/>
          <w:snapToGrid w:val="0"/>
          <w:color w:val="auto"/>
          <w:kern w:val="0"/>
        </w:rPr>
        <w:t>6. 我方理解你方不一定要接纳收到的最低投标总价或任何投标总价的投标人中标，也不要求你方解释我方是否中标的原因。</w:t>
      </w:r>
    </w:p>
    <w:p w14:paraId="1EC18271">
      <w:pPr>
        <w:wordWrap w:val="0"/>
        <w:adjustRightInd w:val="0"/>
        <w:snapToGrid w:val="0"/>
        <w:spacing w:line="440" w:lineRule="exact"/>
        <w:ind w:firstLine="570"/>
        <w:rPr>
          <w:rFonts w:ascii="Times New Roman"/>
          <w:snapToGrid w:val="0"/>
          <w:color w:val="auto"/>
          <w:kern w:val="0"/>
        </w:rPr>
      </w:pPr>
      <w:r>
        <w:rPr>
          <w:rFonts w:hint="eastAsia" w:ascii="Times New Roman"/>
          <w:snapToGrid w:val="0"/>
          <w:color w:val="auto"/>
          <w:kern w:val="0"/>
        </w:rPr>
        <w:t xml:space="preserve">  </w:t>
      </w:r>
    </w:p>
    <w:p w14:paraId="4E365035">
      <w:pPr>
        <w:wordWrap w:val="0"/>
        <w:adjustRightInd w:val="0"/>
        <w:snapToGrid w:val="0"/>
        <w:spacing w:line="440" w:lineRule="exact"/>
        <w:rPr>
          <w:rFonts w:ascii="Times New Roman"/>
          <w:snapToGrid w:val="0"/>
          <w:color w:val="auto"/>
          <w:kern w:val="0"/>
        </w:rPr>
      </w:pPr>
    </w:p>
    <w:p w14:paraId="31DFE840">
      <w:pPr>
        <w:wordWrap w:val="0"/>
        <w:adjustRightInd w:val="0"/>
        <w:snapToGrid w:val="0"/>
        <w:spacing w:line="440" w:lineRule="exact"/>
        <w:jc w:val="right"/>
        <w:rPr>
          <w:rFonts w:ascii="Times New Roman"/>
          <w:snapToGrid w:val="0"/>
          <w:color w:val="auto"/>
          <w:kern w:val="0"/>
        </w:rPr>
      </w:pPr>
      <w:r>
        <w:rPr>
          <w:rFonts w:hint="eastAsia" w:ascii="Times New Roman"/>
          <w:snapToGrid w:val="0"/>
          <w:color w:val="auto"/>
          <w:kern w:val="0"/>
        </w:rPr>
        <w:t xml:space="preserve">    投标人：</w:t>
      </w:r>
      <w:r>
        <w:rPr>
          <w:rFonts w:hint="eastAsia" w:ascii="Times New Roman"/>
          <w:snapToGrid w:val="0"/>
          <w:color w:val="auto"/>
          <w:kern w:val="0"/>
          <w:u w:val="single"/>
        </w:rPr>
        <w:t xml:space="preserve">                              </w:t>
      </w:r>
      <w:r>
        <w:rPr>
          <w:rFonts w:hint="eastAsia" w:ascii="Times New Roman"/>
          <w:snapToGrid w:val="0"/>
          <w:color w:val="auto"/>
          <w:kern w:val="0"/>
        </w:rPr>
        <w:t>（盖单位章）</w:t>
      </w:r>
    </w:p>
    <w:p w14:paraId="68B37CE4">
      <w:pPr>
        <w:wordWrap w:val="0"/>
        <w:adjustRightInd w:val="0"/>
        <w:snapToGrid w:val="0"/>
        <w:spacing w:line="440" w:lineRule="exact"/>
        <w:jc w:val="right"/>
        <w:rPr>
          <w:rFonts w:ascii="Times New Roman"/>
          <w:snapToGrid w:val="0"/>
          <w:color w:val="auto"/>
          <w:kern w:val="0"/>
        </w:rPr>
      </w:pPr>
    </w:p>
    <w:p w14:paraId="616913FB">
      <w:pPr>
        <w:wordWrap w:val="0"/>
        <w:adjustRightInd w:val="0"/>
        <w:snapToGrid w:val="0"/>
        <w:spacing w:line="440" w:lineRule="exact"/>
        <w:ind w:firstLine="480" w:firstLineChars="200"/>
        <w:jc w:val="right"/>
        <w:rPr>
          <w:rFonts w:ascii="Times New Roman"/>
          <w:snapToGrid w:val="0"/>
          <w:color w:val="auto"/>
          <w:kern w:val="0"/>
        </w:rPr>
      </w:pPr>
      <w:r>
        <w:rPr>
          <w:rFonts w:hint="eastAsia" w:ascii="Times New Roman"/>
          <w:snapToGrid w:val="0"/>
          <w:color w:val="auto"/>
          <w:kern w:val="0"/>
        </w:rPr>
        <w:t>法定代表人或其委托代理人：</w:t>
      </w:r>
      <w:r>
        <w:rPr>
          <w:rFonts w:hint="eastAsia" w:ascii="Times New Roman"/>
          <w:snapToGrid w:val="0"/>
          <w:color w:val="auto"/>
          <w:kern w:val="0"/>
          <w:u w:val="single"/>
        </w:rPr>
        <w:t xml:space="preserve">          </w:t>
      </w:r>
      <w:r>
        <w:rPr>
          <w:rFonts w:hint="eastAsia" w:ascii="Times New Roman"/>
          <w:snapToGrid w:val="0"/>
          <w:color w:val="auto"/>
          <w:kern w:val="0"/>
        </w:rPr>
        <w:t>（签字或盖章）</w:t>
      </w:r>
    </w:p>
    <w:p w14:paraId="2E672973">
      <w:pPr>
        <w:wordWrap w:val="0"/>
        <w:adjustRightInd w:val="0"/>
        <w:snapToGrid w:val="0"/>
        <w:spacing w:line="440" w:lineRule="exact"/>
        <w:ind w:firstLine="480" w:firstLineChars="200"/>
        <w:jc w:val="right"/>
        <w:rPr>
          <w:rFonts w:ascii="Times New Roman"/>
          <w:snapToGrid w:val="0"/>
          <w:color w:val="auto"/>
          <w:kern w:val="0"/>
        </w:rPr>
      </w:pPr>
    </w:p>
    <w:p w14:paraId="0EDA6C41">
      <w:pPr>
        <w:wordWrap w:val="0"/>
        <w:adjustRightInd w:val="0"/>
        <w:snapToGrid w:val="0"/>
        <w:spacing w:line="440" w:lineRule="exact"/>
        <w:jc w:val="left"/>
        <w:rPr>
          <w:rFonts w:ascii="Times New Roman"/>
          <w:snapToGrid w:val="0"/>
          <w:color w:val="auto"/>
          <w:kern w:val="0"/>
        </w:rPr>
        <w:sectPr>
          <w:endnotePr>
            <w:numFmt w:val="decimal"/>
          </w:endnotePr>
          <w:pgSz w:w="11906" w:h="16838"/>
          <w:pgMar w:top="1417" w:right="1417" w:bottom="1417" w:left="1417" w:header="850" w:footer="992" w:gutter="0"/>
          <w:cols w:space="0" w:num="1"/>
          <w:docGrid w:linePitch="327" w:charSpace="0"/>
        </w:sectPr>
      </w:pPr>
      <w:r>
        <w:rPr>
          <w:rFonts w:hint="eastAsia" w:ascii="Times New Roman"/>
          <w:snapToGrid w:val="0"/>
          <w:color w:val="auto"/>
          <w:kern w:val="0"/>
        </w:rPr>
        <w:t xml:space="preserve">                                       </w:t>
      </w:r>
      <w:r>
        <w:rPr>
          <w:rFonts w:hint="eastAsia" w:ascii="Times New Roman"/>
          <w:snapToGrid w:val="0"/>
          <w:color w:val="auto"/>
          <w:kern w:val="0"/>
          <w:u w:val="single"/>
        </w:rPr>
        <w:t xml:space="preserve">       </w:t>
      </w:r>
      <w:r>
        <w:rPr>
          <w:rFonts w:hint="eastAsia" w:ascii="Times New Roman"/>
          <w:snapToGrid w:val="0"/>
          <w:color w:val="auto"/>
          <w:kern w:val="0"/>
        </w:rPr>
        <w:t>年</w:t>
      </w:r>
      <w:r>
        <w:rPr>
          <w:rFonts w:hint="eastAsia" w:ascii="Times New Roman"/>
          <w:snapToGrid w:val="0"/>
          <w:color w:val="auto"/>
          <w:kern w:val="0"/>
          <w:u w:val="single"/>
        </w:rPr>
        <w:t xml:space="preserve">     </w:t>
      </w:r>
      <w:r>
        <w:rPr>
          <w:rFonts w:hint="eastAsia" w:ascii="Times New Roman"/>
          <w:snapToGrid w:val="0"/>
          <w:color w:val="auto"/>
          <w:kern w:val="0"/>
        </w:rPr>
        <w:t>月</w:t>
      </w:r>
      <w:r>
        <w:rPr>
          <w:rFonts w:hint="eastAsia" w:ascii="Times New Roman"/>
          <w:snapToGrid w:val="0"/>
          <w:color w:val="auto"/>
          <w:kern w:val="0"/>
          <w:u w:val="single"/>
        </w:rPr>
        <w:t xml:space="preserve">     </w:t>
      </w:r>
      <w:r>
        <w:rPr>
          <w:rFonts w:hint="eastAsia" w:ascii="Times New Roman"/>
          <w:snapToGrid w:val="0"/>
          <w:color w:val="auto"/>
          <w:kern w:val="0"/>
        </w:rPr>
        <w:t>日</w:t>
      </w:r>
    </w:p>
    <w:p w14:paraId="5086F807">
      <w:pPr>
        <w:pStyle w:val="34"/>
        <w:widowControl w:val="0"/>
        <w:wordWrap w:val="0"/>
        <w:adjustRightInd w:val="0"/>
        <w:snapToGrid w:val="0"/>
        <w:spacing w:line="400" w:lineRule="exact"/>
        <w:ind w:firstLine="0"/>
        <w:outlineLvl w:val="1"/>
        <w:rPr>
          <w:rFonts w:hAnsi="宋体" w:cs="宋体"/>
          <w:b/>
          <w:snapToGrid w:val="0"/>
          <w:color w:val="auto"/>
          <w:sz w:val="24"/>
        </w:rPr>
      </w:pPr>
      <w:bookmarkStart w:id="268" w:name="_Toc29439"/>
      <w:r>
        <w:rPr>
          <w:rFonts w:hint="eastAsia" w:hAnsi="宋体" w:cs="宋体"/>
          <w:b/>
          <w:snapToGrid w:val="0"/>
          <w:color w:val="auto"/>
          <w:sz w:val="24"/>
        </w:rPr>
        <w:t>格式三 各项承诺一览表</w:t>
      </w:r>
      <w:bookmarkEnd w:id="268"/>
    </w:p>
    <w:p w14:paraId="4EE7AEA6">
      <w:pPr>
        <w:pStyle w:val="33"/>
        <w:keepNext w:val="0"/>
        <w:keepLines w:val="0"/>
        <w:widowControl w:val="0"/>
        <w:wordWrap w:val="0"/>
        <w:adjustRightInd w:val="0"/>
        <w:snapToGrid w:val="0"/>
        <w:spacing w:before="260" w:after="260" w:line="440" w:lineRule="exact"/>
        <w:ind w:firstLine="0"/>
        <w:outlineLvl w:val="9"/>
        <w:rPr>
          <w:rFonts w:hAnsi="宋体" w:cs="宋体"/>
          <w:b/>
          <w:snapToGrid w:val="0"/>
          <w:color w:val="auto"/>
        </w:rPr>
      </w:pPr>
      <w:bookmarkStart w:id="269" w:name="_Toc27092"/>
      <w:bookmarkStart w:id="270" w:name="_Toc7685"/>
      <w:bookmarkStart w:id="271" w:name="_Toc18253"/>
      <w:bookmarkStart w:id="272" w:name="_Toc24548"/>
      <w:bookmarkStart w:id="273" w:name="_Toc11270"/>
      <w:r>
        <w:rPr>
          <w:rFonts w:hint="eastAsia" w:hAnsi="宋体" w:cs="宋体"/>
          <w:b/>
          <w:snapToGrid w:val="0"/>
          <w:color w:val="auto"/>
          <w:sz w:val="30"/>
        </w:rPr>
        <w:t>各项承诺一览表</w:t>
      </w:r>
      <w:bookmarkEnd w:id="269"/>
      <w:bookmarkEnd w:id="270"/>
      <w:bookmarkEnd w:id="271"/>
      <w:bookmarkEnd w:id="272"/>
      <w:bookmarkEnd w:id="273"/>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6"/>
        <w:gridCol w:w="1573"/>
        <w:gridCol w:w="2923"/>
        <w:gridCol w:w="4019"/>
      </w:tblGrid>
      <w:tr w14:paraId="4E2CD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716" w:type="dxa"/>
            <w:tcBorders>
              <w:tl2br w:val="nil"/>
              <w:tr2bl w:val="nil"/>
            </w:tcBorders>
            <w:vAlign w:val="center"/>
          </w:tcPr>
          <w:p w14:paraId="1EEE114F">
            <w:pPr>
              <w:pStyle w:val="35"/>
              <w:wordWrap w:val="0"/>
              <w:adjustRightInd w:val="0"/>
              <w:snapToGrid w:val="0"/>
              <w:spacing w:line="380" w:lineRule="exact"/>
              <w:jc w:val="center"/>
              <w:rPr>
                <w:rFonts w:hAnsi="宋体" w:cs="宋体"/>
                <w:bCs/>
                <w:snapToGrid w:val="0"/>
                <w:color w:val="auto"/>
                <w:kern w:val="0"/>
                <w:szCs w:val="21"/>
              </w:rPr>
            </w:pPr>
            <w:r>
              <w:rPr>
                <w:rFonts w:hint="eastAsia" w:hAnsi="宋体" w:cs="宋体"/>
                <w:bCs/>
                <w:snapToGrid w:val="0"/>
                <w:color w:val="auto"/>
                <w:kern w:val="0"/>
                <w:szCs w:val="21"/>
              </w:rPr>
              <w:t>序号</w:t>
            </w:r>
          </w:p>
        </w:tc>
        <w:tc>
          <w:tcPr>
            <w:tcW w:w="1573" w:type="dxa"/>
            <w:tcBorders>
              <w:tl2br w:val="nil"/>
              <w:tr2bl w:val="nil"/>
            </w:tcBorders>
            <w:vAlign w:val="center"/>
          </w:tcPr>
          <w:p w14:paraId="1DBB93DD">
            <w:pPr>
              <w:pStyle w:val="35"/>
              <w:wordWrap w:val="0"/>
              <w:adjustRightInd w:val="0"/>
              <w:snapToGrid w:val="0"/>
              <w:spacing w:line="380" w:lineRule="exact"/>
              <w:jc w:val="center"/>
              <w:rPr>
                <w:rFonts w:hAnsi="宋体" w:cs="宋体"/>
                <w:bCs/>
                <w:snapToGrid w:val="0"/>
                <w:color w:val="auto"/>
                <w:kern w:val="0"/>
                <w:szCs w:val="21"/>
              </w:rPr>
            </w:pPr>
            <w:r>
              <w:rPr>
                <w:rFonts w:hint="eastAsia" w:hAnsi="宋体" w:cs="宋体"/>
                <w:bCs/>
                <w:snapToGrid w:val="0"/>
                <w:color w:val="auto"/>
                <w:kern w:val="0"/>
                <w:szCs w:val="21"/>
              </w:rPr>
              <w:t>承诺事项</w:t>
            </w:r>
          </w:p>
        </w:tc>
        <w:tc>
          <w:tcPr>
            <w:tcW w:w="2923" w:type="dxa"/>
            <w:tcBorders>
              <w:tl2br w:val="nil"/>
              <w:tr2bl w:val="nil"/>
            </w:tcBorders>
            <w:vAlign w:val="center"/>
          </w:tcPr>
          <w:p w14:paraId="19B81098">
            <w:pPr>
              <w:pStyle w:val="35"/>
              <w:wordWrap w:val="0"/>
              <w:adjustRightInd w:val="0"/>
              <w:snapToGrid w:val="0"/>
              <w:spacing w:line="380" w:lineRule="exact"/>
              <w:jc w:val="center"/>
              <w:rPr>
                <w:rFonts w:hAnsi="宋体" w:cs="宋体"/>
                <w:bCs/>
                <w:snapToGrid w:val="0"/>
                <w:color w:val="auto"/>
                <w:kern w:val="0"/>
                <w:szCs w:val="21"/>
              </w:rPr>
            </w:pPr>
            <w:r>
              <w:rPr>
                <w:rFonts w:hint="eastAsia" w:hAnsi="宋体" w:cs="宋体"/>
                <w:bCs/>
                <w:snapToGrid w:val="0"/>
                <w:color w:val="auto"/>
                <w:kern w:val="0"/>
                <w:szCs w:val="21"/>
              </w:rPr>
              <w:t>承诺内容</w:t>
            </w:r>
          </w:p>
        </w:tc>
        <w:tc>
          <w:tcPr>
            <w:tcW w:w="4019" w:type="dxa"/>
            <w:tcBorders>
              <w:tl2br w:val="nil"/>
              <w:tr2bl w:val="nil"/>
            </w:tcBorders>
            <w:vAlign w:val="center"/>
          </w:tcPr>
          <w:p w14:paraId="27B5CACD">
            <w:pPr>
              <w:pStyle w:val="35"/>
              <w:wordWrap w:val="0"/>
              <w:adjustRightInd w:val="0"/>
              <w:snapToGrid w:val="0"/>
              <w:spacing w:line="380" w:lineRule="exact"/>
              <w:jc w:val="center"/>
              <w:rPr>
                <w:rFonts w:hAnsi="宋体" w:cs="宋体"/>
                <w:bCs/>
                <w:snapToGrid w:val="0"/>
                <w:color w:val="auto"/>
                <w:kern w:val="0"/>
                <w:szCs w:val="21"/>
              </w:rPr>
            </w:pPr>
            <w:r>
              <w:rPr>
                <w:rFonts w:hint="eastAsia" w:hAnsi="宋体" w:cs="宋体"/>
                <w:bCs/>
                <w:snapToGrid w:val="0"/>
                <w:color w:val="auto"/>
                <w:kern w:val="0"/>
                <w:szCs w:val="21"/>
              </w:rPr>
              <w:t>违约承诺</w:t>
            </w:r>
          </w:p>
        </w:tc>
      </w:tr>
      <w:tr w14:paraId="3CC43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5" w:hRule="atLeast"/>
          <w:jc w:val="center"/>
        </w:trPr>
        <w:tc>
          <w:tcPr>
            <w:tcW w:w="716" w:type="dxa"/>
            <w:tcBorders>
              <w:tl2br w:val="nil"/>
              <w:tr2bl w:val="nil"/>
            </w:tcBorders>
            <w:vAlign w:val="center"/>
          </w:tcPr>
          <w:p w14:paraId="16771675">
            <w:pPr>
              <w:pStyle w:val="35"/>
              <w:wordWrap w:val="0"/>
              <w:adjustRightInd w:val="0"/>
              <w:snapToGrid w:val="0"/>
              <w:spacing w:line="380" w:lineRule="exact"/>
              <w:jc w:val="center"/>
              <w:rPr>
                <w:rFonts w:hAnsi="宋体" w:cs="宋体"/>
                <w:snapToGrid w:val="0"/>
                <w:color w:val="auto"/>
                <w:kern w:val="0"/>
                <w:sz w:val="21"/>
                <w:szCs w:val="21"/>
              </w:rPr>
            </w:pPr>
            <w:r>
              <w:rPr>
                <w:rFonts w:hint="eastAsia" w:hAnsi="宋体" w:cs="宋体"/>
                <w:snapToGrid w:val="0"/>
                <w:color w:val="auto"/>
                <w:kern w:val="0"/>
                <w:sz w:val="21"/>
                <w:szCs w:val="21"/>
              </w:rPr>
              <w:t>1</w:t>
            </w:r>
          </w:p>
        </w:tc>
        <w:tc>
          <w:tcPr>
            <w:tcW w:w="1573" w:type="dxa"/>
            <w:tcBorders>
              <w:tl2br w:val="nil"/>
              <w:tr2bl w:val="nil"/>
            </w:tcBorders>
            <w:vAlign w:val="center"/>
          </w:tcPr>
          <w:p w14:paraId="62E8B834">
            <w:pPr>
              <w:pStyle w:val="36"/>
              <w:wordWrap w:val="0"/>
              <w:adjustRightInd w:val="0"/>
              <w:snapToGrid w:val="0"/>
              <w:spacing w:line="380" w:lineRule="exact"/>
              <w:ind w:firstLine="0" w:firstLineChars="0"/>
              <w:jc w:val="center"/>
              <w:rPr>
                <w:rFonts w:hAnsi="宋体" w:cs="宋体"/>
                <w:snapToGrid w:val="0"/>
                <w:color w:val="auto"/>
                <w:kern w:val="0"/>
                <w:sz w:val="21"/>
                <w:szCs w:val="21"/>
              </w:rPr>
            </w:pPr>
            <w:r>
              <w:rPr>
                <w:rFonts w:hint="eastAsia" w:hAnsi="宋体" w:cs="宋体"/>
                <w:snapToGrid w:val="0"/>
                <w:color w:val="auto"/>
                <w:kern w:val="0"/>
                <w:sz w:val="21"/>
                <w:szCs w:val="21"/>
              </w:rPr>
              <w:t>自愿接受招标</w:t>
            </w:r>
          </w:p>
          <w:p w14:paraId="6D18F464">
            <w:pPr>
              <w:pStyle w:val="36"/>
              <w:wordWrap w:val="0"/>
              <w:adjustRightInd w:val="0"/>
              <w:snapToGrid w:val="0"/>
              <w:spacing w:line="380" w:lineRule="exact"/>
              <w:ind w:firstLine="0" w:firstLineChars="0"/>
              <w:jc w:val="center"/>
              <w:rPr>
                <w:rFonts w:hAnsi="宋体" w:cs="宋体"/>
                <w:snapToGrid w:val="0"/>
                <w:color w:val="auto"/>
                <w:kern w:val="0"/>
                <w:sz w:val="21"/>
                <w:szCs w:val="21"/>
              </w:rPr>
            </w:pPr>
            <w:r>
              <w:rPr>
                <w:rFonts w:hint="eastAsia" w:hAnsi="宋体" w:cs="宋体"/>
                <w:snapToGrid w:val="0"/>
                <w:color w:val="auto"/>
                <w:kern w:val="0"/>
                <w:sz w:val="21"/>
                <w:szCs w:val="21"/>
              </w:rPr>
              <w:t>文件条款的承诺</w:t>
            </w:r>
          </w:p>
        </w:tc>
        <w:tc>
          <w:tcPr>
            <w:tcW w:w="2923" w:type="dxa"/>
            <w:tcBorders>
              <w:tl2br w:val="nil"/>
              <w:tr2bl w:val="nil"/>
            </w:tcBorders>
            <w:vAlign w:val="center"/>
          </w:tcPr>
          <w:p w14:paraId="52AB023F">
            <w:pPr>
              <w:pStyle w:val="36"/>
              <w:wordWrap w:val="0"/>
              <w:adjustRightInd w:val="0"/>
              <w:snapToGrid w:val="0"/>
              <w:spacing w:line="380" w:lineRule="exact"/>
              <w:ind w:firstLine="420"/>
              <w:rPr>
                <w:rFonts w:hAnsi="宋体" w:cs="宋体"/>
                <w:snapToGrid w:val="0"/>
                <w:color w:val="auto"/>
                <w:kern w:val="0"/>
                <w:sz w:val="21"/>
                <w:szCs w:val="21"/>
              </w:rPr>
            </w:pPr>
            <w:r>
              <w:rPr>
                <w:rFonts w:hint="eastAsia" w:hAnsi="宋体" w:cs="宋体"/>
                <w:snapToGrid w:val="0"/>
                <w:color w:val="auto"/>
                <w:kern w:val="0"/>
                <w:sz w:val="21"/>
                <w:szCs w:val="21"/>
              </w:rPr>
              <w:t>我方自愿接受招标文件的所有条款，所递交的投标文件已经充分响应招标文件的实质性要求。</w:t>
            </w:r>
          </w:p>
        </w:tc>
        <w:tc>
          <w:tcPr>
            <w:tcW w:w="4019" w:type="dxa"/>
            <w:tcBorders>
              <w:tl2br w:val="nil"/>
              <w:tr2bl w:val="nil"/>
            </w:tcBorders>
            <w:vAlign w:val="center"/>
          </w:tcPr>
          <w:p w14:paraId="1FBB0C66">
            <w:pPr>
              <w:pStyle w:val="36"/>
              <w:wordWrap w:val="0"/>
              <w:adjustRightInd w:val="0"/>
              <w:snapToGrid w:val="0"/>
              <w:spacing w:line="380" w:lineRule="exact"/>
              <w:ind w:firstLine="420"/>
              <w:rPr>
                <w:rFonts w:hAnsi="宋体" w:cs="宋体"/>
                <w:snapToGrid w:val="0"/>
                <w:color w:val="auto"/>
                <w:kern w:val="0"/>
                <w:sz w:val="21"/>
                <w:szCs w:val="21"/>
              </w:rPr>
            </w:pPr>
            <w:r>
              <w:rPr>
                <w:rFonts w:hint="eastAsia" w:hAnsi="宋体" w:cs="宋体"/>
                <w:snapToGrid w:val="0"/>
                <w:color w:val="auto"/>
                <w:kern w:val="0"/>
                <w:sz w:val="21"/>
                <w:szCs w:val="21"/>
              </w:rPr>
              <w:t>如果我方的投标文件未响应、违反、偏离招标文件的实质性要求，我方接受招标人或其授权的招标代理机构或其组建的评标委员会依据招标文件作出的相应处理，包括否决投标。</w:t>
            </w:r>
          </w:p>
        </w:tc>
      </w:tr>
      <w:tr w14:paraId="6F6FB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5" w:hRule="atLeast"/>
          <w:jc w:val="center"/>
        </w:trPr>
        <w:tc>
          <w:tcPr>
            <w:tcW w:w="716" w:type="dxa"/>
            <w:tcBorders>
              <w:tl2br w:val="nil"/>
              <w:tr2bl w:val="nil"/>
            </w:tcBorders>
            <w:vAlign w:val="center"/>
          </w:tcPr>
          <w:p w14:paraId="2399B54E">
            <w:pPr>
              <w:pStyle w:val="35"/>
              <w:wordWrap w:val="0"/>
              <w:adjustRightInd w:val="0"/>
              <w:snapToGrid w:val="0"/>
              <w:spacing w:line="380" w:lineRule="exact"/>
              <w:jc w:val="center"/>
              <w:rPr>
                <w:rFonts w:hAnsi="宋体" w:cs="宋体"/>
                <w:snapToGrid w:val="0"/>
                <w:color w:val="auto"/>
                <w:kern w:val="0"/>
                <w:sz w:val="21"/>
                <w:szCs w:val="21"/>
              </w:rPr>
            </w:pPr>
            <w:r>
              <w:rPr>
                <w:rFonts w:hint="eastAsia" w:hAnsi="宋体" w:cs="宋体"/>
                <w:snapToGrid w:val="0"/>
                <w:color w:val="auto"/>
                <w:kern w:val="0"/>
                <w:sz w:val="21"/>
                <w:szCs w:val="21"/>
              </w:rPr>
              <w:t>2</w:t>
            </w:r>
          </w:p>
        </w:tc>
        <w:tc>
          <w:tcPr>
            <w:tcW w:w="1573" w:type="dxa"/>
            <w:tcBorders>
              <w:tl2br w:val="nil"/>
              <w:tr2bl w:val="nil"/>
            </w:tcBorders>
            <w:vAlign w:val="center"/>
          </w:tcPr>
          <w:p w14:paraId="1253D73C">
            <w:pPr>
              <w:pStyle w:val="36"/>
              <w:wordWrap w:val="0"/>
              <w:adjustRightInd w:val="0"/>
              <w:snapToGrid w:val="0"/>
              <w:spacing w:line="380" w:lineRule="exact"/>
              <w:ind w:firstLine="0" w:firstLineChars="0"/>
              <w:jc w:val="center"/>
              <w:rPr>
                <w:rFonts w:hAnsi="宋体" w:cs="宋体"/>
                <w:snapToGrid w:val="0"/>
                <w:color w:val="auto"/>
                <w:kern w:val="0"/>
                <w:sz w:val="21"/>
                <w:szCs w:val="21"/>
              </w:rPr>
            </w:pPr>
            <w:r>
              <w:rPr>
                <w:rFonts w:hint="eastAsia" w:hAnsi="宋体" w:cs="宋体"/>
                <w:snapToGrid w:val="0"/>
                <w:color w:val="auto"/>
                <w:kern w:val="0"/>
                <w:sz w:val="21"/>
                <w:szCs w:val="21"/>
              </w:rPr>
              <w:t>无禁止投标</w:t>
            </w:r>
          </w:p>
          <w:p w14:paraId="7930E13C">
            <w:pPr>
              <w:pStyle w:val="36"/>
              <w:wordWrap w:val="0"/>
              <w:adjustRightInd w:val="0"/>
              <w:snapToGrid w:val="0"/>
              <w:spacing w:line="380" w:lineRule="exact"/>
              <w:ind w:firstLine="0" w:firstLineChars="0"/>
              <w:jc w:val="center"/>
              <w:rPr>
                <w:rFonts w:hAnsi="宋体" w:cs="宋体"/>
                <w:snapToGrid w:val="0"/>
                <w:color w:val="auto"/>
                <w:kern w:val="0"/>
                <w:sz w:val="21"/>
                <w:szCs w:val="21"/>
              </w:rPr>
            </w:pPr>
            <w:r>
              <w:rPr>
                <w:rFonts w:hint="eastAsia" w:hAnsi="宋体" w:cs="宋体"/>
                <w:snapToGrid w:val="0"/>
                <w:color w:val="auto"/>
                <w:kern w:val="0"/>
                <w:sz w:val="21"/>
                <w:szCs w:val="21"/>
              </w:rPr>
              <w:t>情形的承诺</w:t>
            </w:r>
          </w:p>
        </w:tc>
        <w:tc>
          <w:tcPr>
            <w:tcW w:w="2923" w:type="dxa"/>
            <w:tcBorders>
              <w:tl2br w:val="nil"/>
              <w:tr2bl w:val="nil"/>
            </w:tcBorders>
            <w:vAlign w:val="center"/>
          </w:tcPr>
          <w:p w14:paraId="547DD4A7">
            <w:pPr>
              <w:pStyle w:val="36"/>
              <w:wordWrap w:val="0"/>
              <w:adjustRightInd w:val="0"/>
              <w:snapToGrid w:val="0"/>
              <w:spacing w:line="380" w:lineRule="exact"/>
              <w:ind w:firstLine="420"/>
              <w:rPr>
                <w:rFonts w:hAnsi="宋体" w:cs="宋体"/>
                <w:snapToGrid w:val="0"/>
                <w:color w:val="auto"/>
                <w:kern w:val="0"/>
                <w:sz w:val="21"/>
                <w:szCs w:val="21"/>
              </w:rPr>
            </w:pPr>
            <w:r>
              <w:rPr>
                <w:rFonts w:hint="eastAsia" w:hAnsi="宋体" w:cs="宋体"/>
                <w:snapToGrid w:val="0"/>
                <w:color w:val="auto"/>
                <w:kern w:val="0"/>
                <w:sz w:val="21"/>
                <w:szCs w:val="21"/>
              </w:rPr>
              <w:t>我方不存在招标文件第一章第三节第</w:t>
            </w:r>
            <w:r>
              <w:rPr>
                <w:rFonts w:hint="eastAsia" w:hAnsi="宋体" w:cs="宋体"/>
                <w:b/>
                <w:bCs/>
                <w:snapToGrid w:val="0"/>
                <w:color w:val="auto"/>
                <w:kern w:val="0"/>
                <w:sz w:val="21"/>
                <w:szCs w:val="21"/>
              </w:rPr>
              <w:t>2.4</w:t>
            </w:r>
            <w:r>
              <w:rPr>
                <w:rFonts w:hint="eastAsia" w:hAnsi="宋体" w:cs="宋体"/>
                <w:snapToGrid w:val="0"/>
                <w:color w:val="auto"/>
                <w:kern w:val="0"/>
                <w:sz w:val="21"/>
                <w:szCs w:val="21"/>
              </w:rPr>
              <w:t>条“禁止投标条款”规定的任何一种情形。</w:t>
            </w:r>
          </w:p>
        </w:tc>
        <w:tc>
          <w:tcPr>
            <w:tcW w:w="4019" w:type="dxa"/>
            <w:tcBorders>
              <w:tl2br w:val="nil"/>
              <w:tr2bl w:val="nil"/>
            </w:tcBorders>
            <w:vAlign w:val="center"/>
          </w:tcPr>
          <w:p w14:paraId="78724D48">
            <w:pPr>
              <w:pStyle w:val="36"/>
              <w:wordWrap w:val="0"/>
              <w:adjustRightInd w:val="0"/>
              <w:snapToGrid w:val="0"/>
              <w:spacing w:line="380" w:lineRule="exact"/>
              <w:ind w:firstLine="420"/>
              <w:rPr>
                <w:rFonts w:hAnsi="宋体" w:cs="宋体"/>
                <w:snapToGrid w:val="0"/>
                <w:color w:val="auto"/>
                <w:kern w:val="0"/>
                <w:sz w:val="21"/>
                <w:szCs w:val="21"/>
              </w:rPr>
            </w:pPr>
            <w:r>
              <w:rPr>
                <w:rFonts w:hint="eastAsia" w:hAnsi="宋体" w:cs="宋体"/>
                <w:snapToGrid w:val="0"/>
                <w:color w:val="auto"/>
                <w:kern w:val="0"/>
                <w:sz w:val="21"/>
                <w:szCs w:val="21"/>
              </w:rPr>
              <w:t>如果我方有招标文件第一章第三节第</w:t>
            </w:r>
            <w:r>
              <w:rPr>
                <w:rFonts w:hint="eastAsia" w:hAnsi="宋体" w:cs="宋体"/>
                <w:b/>
                <w:bCs/>
                <w:snapToGrid w:val="0"/>
                <w:color w:val="auto"/>
                <w:kern w:val="0"/>
                <w:sz w:val="21"/>
                <w:szCs w:val="21"/>
              </w:rPr>
              <w:t>2.4</w:t>
            </w:r>
            <w:r>
              <w:rPr>
                <w:rFonts w:hint="eastAsia" w:hAnsi="宋体" w:cs="宋体"/>
                <w:snapToGrid w:val="0"/>
                <w:color w:val="auto"/>
                <w:kern w:val="0"/>
                <w:sz w:val="21"/>
                <w:szCs w:val="21"/>
              </w:rPr>
              <w:t>条“禁止投标条款”规定的任何一种情形，我方接受招标人或其授权的招标代理机构或其组建的评标委员会依据招标文件作出的相应处理以及有关监督部门作出的行政处罚，并承担由此引起的一切法律后果。</w:t>
            </w:r>
          </w:p>
        </w:tc>
      </w:tr>
      <w:tr w14:paraId="59707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0" w:hRule="atLeast"/>
          <w:jc w:val="center"/>
        </w:trPr>
        <w:tc>
          <w:tcPr>
            <w:tcW w:w="716" w:type="dxa"/>
            <w:tcBorders>
              <w:tl2br w:val="nil"/>
              <w:tr2bl w:val="nil"/>
            </w:tcBorders>
            <w:vAlign w:val="center"/>
          </w:tcPr>
          <w:p w14:paraId="55B80230">
            <w:pPr>
              <w:pStyle w:val="35"/>
              <w:wordWrap w:val="0"/>
              <w:adjustRightInd w:val="0"/>
              <w:snapToGrid w:val="0"/>
              <w:spacing w:line="380" w:lineRule="exact"/>
              <w:jc w:val="center"/>
              <w:rPr>
                <w:rFonts w:hAnsi="宋体" w:cs="宋体"/>
                <w:snapToGrid w:val="0"/>
                <w:color w:val="auto"/>
                <w:kern w:val="0"/>
                <w:sz w:val="21"/>
                <w:szCs w:val="21"/>
              </w:rPr>
            </w:pPr>
            <w:r>
              <w:rPr>
                <w:rFonts w:hint="eastAsia" w:hAnsi="宋体" w:cs="宋体"/>
                <w:snapToGrid w:val="0"/>
                <w:color w:val="auto"/>
                <w:kern w:val="0"/>
                <w:sz w:val="21"/>
                <w:szCs w:val="21"/>
              </w:rPr>
              <w:t>3</w:t>
            </w:r>
          </w:p>
        </w:tc>
        <w:tc>
          <w:tcPr>
            <w:tcW w:w="1573" w:type="dxa"/>
            <w:tcBorders>
              <w:tl2br w:val="nil"/>
              <w:tr2bl w:val="nil"/>
            </w:tcBorders>
            <w:vAlign w:val="center"/>
          </w:tcPr>
          <w:p w14:paraId="580A29B3">
            <w:pPr>
              <w:pStyle w:val="36"/>
              <w:wordWrap w:val="0"/>
              <w:adjustRightInd w:val="0"/>
              <w:snapToGrid w:val="0"/>
              <w:spacing w:line="380" w:lineRule="exact"/>
              <w:ind w:firstLine="0" w:firstLineChars="0"/>
              <w:jc w:val="center"/>
              <w:rPr>
                <w:rFonts w:hAnsi="宋体" w:cs="宋体"/>
                <w:snapToGrid w:val="0"/>
                <w:color w:val="auto"/>
                <w:kern w:val="0"/>
                <w:sz w:val="21"/>
                <w:szCs w:val="21"/>
              </w:rPr>
            </w:pPr>
            <w:r>
              <w:rPr>
                <w:rFonts w:hint="eastAsia" w:hAnsi="宋体" w:cs="宋体"/>
                <w:snapToGrid w:val="0"/>
                <w:color w:val="auto"/>
                <w:kern w:val="0"/>
                <w:sz w:val="21"/>
                <w:szCs w:val="21"/>
              </w:rPr>
              <w:t>自觉抵制围标</w:t>
            </w:r>
          </w:p>
          <w:p w14:paraId="382154C7">
            <w:pPr>
              <w:pStyle w:val="36"/>
              <w:wordWrap w:val="0"/>
              <w:adjustRightInd w:val="0"/>
              <w:snapToGrid w:val="0"/>
              <w:spacing w:line="380" w:lineRule="exact"/>
              <w:ind w:firstLine="0" w:firstLineChars="0"/>
              <w:jc w:val="center"/>
              <w:rPr>
                <w:rFonts w:hAnsi="宋体" w:cs="宋体"/>
                <w:snapToGrid w:val="0"/>
                <w:color w:val="auto"/>
                <w:kern w:val="0"/>
                <w:sz w:val="21"/>
                <w:szCs w:val="21"/>
              </w:rPr>
            </w:pPr>
            <w:r>
              <w:rPr>
                <w:rFonts w:hint="eastAsia" w:hAnsi="宋体" w:cs="宋体"/>
                <w:snapToGrid w:val="0"/>
                <w:color w:val="auto"/>
                <w:kern w:val="0"/>
                <w:sz w:val="21"/>
                <w:szCs w:val="21"/>
              </w:rPr>
              <w:t>串标和弄虚</w:t>
            </w:r>
          </w:p>
          <w:p w14:paraId="28E4BDE7">
            <w:pPr>
              <w:pStyle w:val="36"/>
              <w:wordWrap w:val="0"/>
              <w:adjustRightInd w:val="0"/>
              <w:snapToGrid w:val="0"/>
              <w:spacing w:line="380" w:lineRule="exact"/>
              <w:ind w:firstLine="0" w:firstLineChars="0"/>
              <w:jc w:val="center"/>
              <w:rPr>
                <w:rFonts w:hAnsi="宋体" w:cs="宋体"/>
                <w:snapToGrid w:val="0"/>
                <w:color w:val="auto"/>
                <w:kern w:val="0"/>
                <w:sz w:val="21"/>
                <w:szCs w:val="21"/>
              </w:rPr>
            </w:pPr>
            <w:r>
              <w:rPr>
                <w:rFonts w:hint="eastAsia" w:hAnsi="宋体" w:cs="宋体"/>
                <w:snapToGrid w:val="0"/>
                <w:color w:val="auto"/>
                <w:kern w:val="0"/>
                <w:sz w:val="21"/>
                <w:szCs w:val="21"/>
              </w:rPr>
              <w:t>作假行为的承诺</w:t>
            </w:r>
          </w:p>
        </w:tc>
        <w:tc>
          <w:tcPr>
            <w:tcW w:w="2923" w:type="dxa"/>
            <w:tcBorders>
              <w:tl2br w:val="nil"/>
              <w:tr2bl w:val="nil"/>
            </w:tcBorders>
            <w:vAlign w:val="center"/>
          </w:tcPr>
          <w:p w14:paraId="1E4C3AF5">
            <w:pPr>
              <w:pStyle w:val="36"/>
              <w:wordWrap w:val="0"/>
              <w:adjustRightInd w:val="0"/>
              <w:snapToGrid w:val="0"/>
              <w:spacing w:line="380" w:lineRule="exact"/>
              <w:ind w:firstLine="420"/>
              <w:rPr>
                <w:rFonts w:hAnsi="宋体" w:cs="宋体"/>
                <w:snapToGrid w:val="0"/>
                <w:color w:val="auto"/>
                <w:kern w:val="0"/>
                <w:sz w:val="21"/>
                <w:szCs w:val="21"/>
              </w:rPr>
            </w:pPr>
            <w:r>
              <w:rPr>
                <w:rFonts w:hint="eastAsia" w:hAnsi="宋体" w:cs="宋体"/>
                <w:snapToGrid w:val="0"/>
                <w:color w:val="auto"/>
                <w:kern w:val="0"/>
                <w:sz w:val="21"/>
                <w:szCs w:val="21"/>
              </w:rPr>
              <w:t>我方合法正当、诚实守信地参与投标，不组织、不参加围标串标违法行为，不通过弄虚作假行为骗取中标。</w:t>
            </w:r>
          </w:p>
        </w:tc>
        <w:tc>
          <w:tcPr>
            <w:tcW w:w="4019" w:type="dxa"/>
            <w:tcBorders>
              <w:tl2br w:val="nil"/>
              <w:tr2bl w:val="nil"/>
            </w:tcBorders>
            <w:vAlign w:val="center"/>
          </w:tcPr>
          <w:p w14:paraId="61BD219E">
            <w:pPr>
              <w:pStyle w:val="36"/>
              <w:wordWrap w:val="0"/>
              <w:adjustRightInd w:val="0"/>
              <w:snapToGrid w:val="0"/>
              <w:spacing w:line="380" w:lineRule="exact"/>
              <w:ind w:firstLine="420"/>
              <w:rPr>
                <w:rFonts w:hAnsi="宋体" w:cs="宋体"/>
                <w:snapToGrid w:val="0"/>
                <w:color w:val="auto"/>
                <w:kern w:val="0"/>
                <w:sz w:val="21"/>
                <w:szCs w:val="21"/>
              </w:rPr>
            </w:pPr>
            <w:r>
              <w:rPr>
                <w:rFonts w:hint="eastAsia" w:hAnsi="宋体" w:cs="宋体"/>
                <w:snapToGrid w:val="0"/>
                <w:color w:val="auto"/>
                <w:kern w:val="0"/>
                <w:sz w:val="21"/>
                <w:szCs w:val="21"/>
              </w:rPr>
              <w:t>如果我方组织或参加围标串标违法行为或通过弄虚作假行为骗取中标，我方接受招标人或其授权的招标代理机构或其组建的评标委员会依据招标文件作出的相应处理以及有关监督部门作出的行政处罚，并承担由此引起的一切法律后果。</w:t>
            </w:r>
          </w:p>
        </w:tc>
      </w:tr>
      <w:tr w14:paraId="1F036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0" w:hRule="atLeast"/>
          <w:jc w:val="center"/>
        </w:trPr>
        <w:tc>
          <w:tcPr>
            <w:tcW w:w="716" w:type="dxa"/>
            <w:tcBorders>
              <w:tl2br w:val="nil"/>
              <w:tr2bl w:val="nil"/>
            </w:tcBorders>
            <w:vAlign w:val="center"/>
          </w:tcPr>
          <w:p w14:paraId="7B94F892">
            <w:pPr>
              <w:pStyle w:val="35"/>
              <w:wordWrap w:val="0"/>
              <w:adjustRightInd w:val="0"/>
              <w:snapToGrid w:val="0"/>
              <w:spacing w:line="380" w:lineRule="exact"/>
              <w:jc w:val="center"/>
              <w:rPr>
                <w:rFonts w:hAnsi="宋体" w:cs="宋体"/>
                <w:snapToGrid w:val="0"/>
                <w:color w:val="auto"/>
                <w:kern w:val="0"/>
                <w:sz w:val="21"/>
                <w:szCs w:val="21"/>
              </w:rPr>
            </w:pPr>
            <w:r>
              <w:rPr>
                <w:rFonts w:hint="eastAsia" w:hAnsi="宋体" w:cs="宋体"/>
                <w:snapToGrid w:val="0"/>
                <w:color w:val="auto"/>
                <w:kern w:val="0"/>
                <w:sz w:val="21"/>
                <w:szCs w:val="21"/>
              </w:rPr>
              <w:t>4</w:t>
            </w:r>
          </w:p>
        </w:tc>
        <w:tc>
          <w:tcPr>
            <w:tcW w:w="1573" w:type="dxa"/>
            <w:tcBorders>
              <w:tl2br w:val="nil"/>
              <w:tr2bl w:val="nil"/>
            </w:tcBorders>
            <w:vAlign w:val="center"/>
          </w:tcPr>
          <w:p w14:paraId="2251A4B4">
            <w:pPr>
              <w:pStyle w:val="36"/>
              <w:wordWrap w:val="0"/>
              <w:adjustRightInd w:val="0"/>
              <w:snapToGrid w:val="0"/>
              <w:spacing w:line="380" w:lineRule="exact"/>
              <w:ind w:firstLine="0" w:firstLineChars="0"/>
              <w:jc w:val="center"/>
              <w:rPr>
                <w:rFonts w:hAnsi="宋体" w:cs="宋体"/>
                <w:snapToGrid w:val="0"/>
                <w:color w:val="auto"/>
                <w:kern w:val="0"/>
                <w:sz w:val="21"/>
                <w:szCs w:val="21"/>
              </w:rPr>
            </w:pPr>
            <w:r>
              <w:rPr>
                <w:rFonts w:hint="eastAsia" w:hAnsi="宋体" w:cs="宋体"/>
                <w:snapToGrid w:val="0"/>
                <w:color w:val="auto"/>
                <w:kern w:val="0"/>
                <w:sz w:val="21"/>
                <w:szCs w:val="21"/>
              </w:rPr>
              <w:t>总监理工程师</w:t>
            </w:r>
          </w:p>
          <w:p w14:paraId="5116476D">
            <w:pPr>
              <w:pStyle w:val="36"/>
              <w:wordWrap w:val="0"/>
              <w:adjustRightInd w:val="0"/>
              <w:snapToGrid w:val="0"/>
              <w:spacing w:line="380" w:lineRule="exact"/>
              <w:ind w:firstLine="0" w:firstLineChars="0"/>
              <w:jc w:val="center"/>
              <w:rPr>
                <w:rFonts w:hAnsi="宋体" w:cs="宋体"/>
                <w:snapToGrid w:val="0"/>
                <w:color w:val="auto"/>
                <w:kern w:val="0"/>
                <w:sz w:val="21"/>
                <w:szCs w:val="21"/>
              </w:rPr>
            </w:pPr>
            <w:r>
              <w:rPr>
                <w:rFonts w:hint="eastAsia" w:hAnsi="宋体" w:cs="宋体"/>
                <w:snapToGrid w:val="0"/>
                <w:color w:val="auto"/>
                <w:kern w:val="0"/>
                <w:sz w:val="21"/>
                <w:szCs w:val="21"/>
              </w:rPr>
              <w:t>任职承诺</w:t>
            </w:r>
          </w:p>
        </w:tc>
        <w:tc>
          <w:tcPr>
            <w:tcW w:w="2923" w:type="dxa"/>
            <w:tcBorders>
              <w:tl2br w:val="nil"/>
              <w:tr2bl w:val="nil"/>
            </w:tcBorders>
            <w:vAlign w:val="center"/>
          </w:tcPr>
          <w:p w14:paraId="5AD6F4BD">
            <w:pPr>
              <w:pStyle w:val="36"/>
              <w:wordWrap w:val="0"/>
              <w:adjustRightInd w:val="0"/>
              <w:snapToGrid w:val="0"/>
              <w:spacing w:line="380" w:lineRule="exact"/>
              <w:ind w:firstLine="0" w:firstLineChars="0"/>
              <w:rPr>
                <w:rFonts w:hAnsi="宋体" w:cs="宋体"/>
                <w:snapToGrid w:val="0"/>
                <w:color w:val="auto"/>
                <w:kern w:val="0"/>
                <w:sz w:val="21"/>
                <w:szCs w:val="21"/>
              </w:rPr>
            </w:pPr>
            <w:r>
              <w:rPr>
                <w:rFonts w:hint="eastAsia" w:hAnsi="宋体" w:cs="宋体"/>
                <w:snapToGrid w:val="0"/>
                <w:color w:val="auto"/>
                <w:kern w:val="0"/>
                <w:sz w:val="21"/>
                <w:szCs w:val="21"/>
              </w:rPr>
              <w:t xml:space="preserve">    我方拟派总监理工程师现阶段担任总监理工程师的在施（包括已中标未开工、已开工未竣工）建设工程项目不超过2个，经任职项目的建设单位同意，参加本项目投标。</w:t>
            </w:r>
          </w:p>
        </w:tc>
        <w:tc>
          <w:tcPr>
            <w:tcW w:w="4019" w:type="dxa"/>
            <w:tcBorders>
              <w:tl2br w:val="nil"/>
              <w:tr2bl w:val="nil"/>
            </w:tcBorders>
            <w:vAlign w:val="center"/>
          </w:tcPr>
          <w:p w14:paraId="24AD4FF2">
            <w:pPr>
              <w:pStyle w:val="36"/>
              <w:wordWrap w:val="0"/>
              <w:adjustRightInd w:val="0"/>
              <w:snapToGrid w:val="0"/>
              <w:spacing w:line="380" w:lineRule="exact"/>
              <w:ind w:firstLine="420"/>
              <w:rPr>
                <w:rFonts w:hAnsi="宋体" w:cs="宋体"/>
                <w:snapToGrid w:val="0"/>
                <w:color w:val="auto"/>
                <w:kern w:val="0"/>
                <w:sz w:val="21"/>
                <w:szCs w:val="21"/>
              </w:rPr>
            </w:pPr>
            <w:r>
              <w:rPr>
                <w:rFonts w:hint="eastAsia" w:hAnsi="宋体" w:cs="宋体"/>
                <w:snapToGrid w:val="0"/>
                <w:color w:val="auto"/>
                <w:kern w:val="0"/>
                <w:sz w:val="21"/>
                <w:szCs w:val="21"/>
              </w:rPr>
              <w:t>如果我方拟派总监理工程师在本项目招标投标活动期间担任总监理工程师的在施（包括已中标未开工、已开工未竣工）建设工程项目超过2个，或其参加本项目投标未得到任职项目的建设单位同意，我方接受招标人或其授权的招标代理机构或其组建的评标委员会依据招标文件作出的相应处理以及有关监督部门作出的行政处罚，并承担由此引起的一切法律后果。</w:t>
            </w:r>
          </w:p>
        </w:tc>
      </w:tr>
      <w:tr w14:paraId="21E59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5" w:hRule="atLeast"/>
          <w:jc w:val="center"/>
        </w:trPr>
        <w:tc>
          <w:tcPr>
            <w:tcW w:w="716" w:type="dxa"/>
            <w:tcBorders>
              <w:tl2br w:val="nil"/>
              <w:tr2bl w:val="nil"/>
            </w:tcBorders>
            <w:vAlign w:val="center"/>
          </w:tcPr>
          <w:p w14:paraId="778F68D9">
            <w:pPr>
              <w:pStyle w:val="35"/>
              <w:wordWrap w:val="0"/>
              <w:adjustRightInd w:val="0"/>
              <w:snapToGrid w:val="0"/>
              <w:spacing w:line="380" w:lineRule="exact"/>
              <w:jc w:val="center"/>
              <w:rPr>
                <w:rFonts w:hAnsi="宋体" w:cs="宋体"/>
                <w:snapToGrid w:val="0"/>
                <w:color w:val="auto"/>
                <w:kern w:val="0"/>
                <w:sz w:val="21"/>
                <w:szCs w:val="21"/>
              </w:rPr>
            </w:pPr>
            <w:r>
              <w:rPr>
                <w:rFonts w:hint="eastAsia" w:hAnsi="宋体" w:cs="宋体"/>
                <w:snapToGrid w:val="0"/>
                <w:color w:val="auto"/>
                <w:kern w:val="0"/>
                <w:sz w:val="21"/>
                <w:szCs w:val="21"/>
              </w:rPr>
              <w:t>5</w:t>
            </w:r>
          </w:p>
        </w:tc>
        <w:tc>
          <w:tcPr>
            <w:tcW w:w="1573" w:type="dxa"/>
            <w:tcBorders>
              <w:tl2br w:val="nil"/>
              <w:tr2bl w:val="nil"/>
            </w:tcBorders>
            <w:vAlign w:val="center"/>
          </w:tcPr>
          <w:p w14:paraId="0D26D38D">
            <w:pPr>
              <w:pStyle w:val="36"/>
              <w:wordWrap w:val="0"/>
              <w:adjustRightInd w:val="0"/>
              <w:snapToGrid w:val="0"/>
              <w:spacing w:line="380" w:lineRule="exact"/>
              <w:ind w:firstLine="0" w:firstLineChars="0"/>
              <w:jc w:val="center"/>
              <w:rPr>
                <w:rFonts w:hAnsi="宋体" w:cs="宋体"/>
                <w:snapToGrid w:val="0"/>
                <w:color w:val="auto"/>
                <w:kern w:val="0"/>
                <w:sz w:val="21"/>
                <w:szCs w:val="21"/>
              </w:rPr>
            </w:pPr>
            <w:r>
              <w:rPr>
                <w:rFonts w:hint="eastAsia" w:hAnsi="宋体" w:cs="宋体"/>
                <w:snapToGrid w:val="0"/>
                <w:color w:val="auto"/>
                <w:kern w:val="0"/>
                <w:sz w:val="21"/>
                <w:szCs w:val="21"/>
              </w:rPr>
              <w:t>投标文件</w:t>
            </w:r>
          </w:p>
          <w:p w14:paraId="0B73B71F">
            <w:pPr>
              <w:pStyle w:val="36"/>
              <w:wordWrap w:val="0"/>
              <w:adjustRightInd w:val="0"/>
              <w:snapToGrid w:val="0"/>
              <w:spacing w:line="380" w:lineRule="exact"/>
              <w:ind w:firstLine="0" w:firstLineChars="0"/>
              <w:jc w:val="center"/>
              <w:rPr>
                <w:rFonts w:hAnsi="宋体" w:cs="宋体"/>
                <w:snapToGrid w:val="0"/>
                <w:color w:val="auto"/>
                <w:kern w:val="0"/>
                <w:sz w:val="21"/>
                <w:szCs w:val="21"/>
              </w:rPr>
            </w:pPr>
            <w:r>
              <w:rPr>
                <w:rFonts w:hint="eastAsia" w:hAnsi="宋体" w:cs="宋体"/>
                <w:snapToGrid w:val="0"/>
                <w:color w:val="auto"/>
                <w:kern w:val="0"/>
                <w:sz w:val="21"/>
                <w:szCs w:val="21"/>
              </w:rPr>
              <w:t>真实性承诺</w:t>
            </w:r>
          </w:p>
        </w:tc>
        <w:tc>
          <w:tcPr>
            <w:tcW w:w="2923" w:type="dxa"/>
            <w:tcBorders>
              <w:tl2br w:val="nil"/>
              <w:tr2bl w:val="nil"/>
            </w:tcBorders>
            <w:vAlign w:val="center"/>
          </w:tcPr>
          <w:p w14:paraId="20C4D2CC">
            <w:pPr>
              <w:pStyle w:val="36"/>
              <w:wordWrap w:val="0"/>
              <w:adjustRightInd w:val="0"/>
              <w:snapToGrid w:val="0"/>
              <w:spacing w:line="380" w:lineRule="exact"/>
              <w:ind w:firstLine="420"/>
              <w:rPr>
                <w:rFonts w:hAnsi="宋体" w:cs="宋体"/>
                <w:snapToGrid w:val="0"/>
                <w:color w:val="auto"/>
                <w:kern w:val="0"/>
                <w:sz w:val="21"/>
                <w:szCs w:val="21"/>
              </w:rPr>
            </w:pPr>
            <w:r>
              <w:rPr>
                <w:rFonts w:hint="eastAsia" w:hAnsi="宋体" w:cs="宋体"/>
                <w:snapToGrid w:val="0"/>
                <w:color w:val="auto"/>
                <w:kern w:val="0"/>
                <w:sz w:val="21"/>
                <w:szCs w:val="21"/>
              </w:rPr>
              <w:t>我方所递交投标文件的全部内容均为真实、有效、准确的。</w:t>
            </w:r>
          </w:p>
        </w:tc>
        <w:tc>
          <w:tcPr>
            <w:tcW w:w="4019" w:type="dxa"/>
            <w:tcBorders>
              <w:tl2br w:val="nil"/>
              <w:tr2bl w:val="nil"/>
            </w:tcBorders>
            <w:vAlign w:val="center"/>
          </w:tcPr>
          <w:p w14:paraId="2EBB0720">
            <w:pPr>
              <w:pStyle w:val="36"/>
              <w:wordWrap w:val="0"/>
              <w:adjustRightInd w:val="0"/>
              <w:snapToGrid w:val="0"/>
              <w:spacing w:line="380" w:lineRule="exact"/>
              <w:ind w:firstLine="420"/>
              <w:rPr>
                <w:rFonts w:hAnsi="宋体" w:cs="宋体"/>
                <w:snapToGrid w:val="0"/>
                <w:color w:val="auto"/>
                <w:kern w:val="0"/>
                <w:sz w:val="21"/>
                <w:szCs w:val="21"/>
              </w:rPr>
            </w:pPr>
            <w:r>
              <w:rPr>
                <w:rFonts w:hint="eastAsia" w:hAnsi="宋体" w:cs="宋体"/>
                <w:snapToGrid w:val="0"/>
                <w:color w:val="auto"/>
                <w:kern w:val="0"/>
                <w:sz w:val="21"/>
                <w:szCs w:val="21"/>
              </w:rPr>
              <w:t>如果我方递交的投标文件任何内容不真实或无效或不准确，我方接受招标人或其授权的招标代理机构或其组建的评标委员会依据招标文件作出的相应处理，包括否决投标。</w:t>
            </w:r>
          </w:p>
        </w:tc>
      </w:tr>
      <w:tr w14:paraId="2CCA1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l2br w:val="nil"/>
              <w:tr2bl w:val="nil"/>
            </w:tcBorders>
            <w:vAlign w:val="center"/>
          </w:tcPr>
          <w:p w14:paraId="002D0C15">
            <w:pPr>
              <w:pStyle w:val="35"/>
              <w:wordWrap w:val="0"/>
              <w:adjustRightInd w:val="0"/>
              <w:snapToGrid w:val="0"/>
              <w:spacing w:line="380" w:lineRule="exact"/>
              <w:jc w:val="center"/>
              <w:rPr>
                <w:rFonts w:hAnsi="宋体" w:cs="宋体"/>
                <w:snapToGrid w:val="0"/>
                <w:color w:val="auto"/>
                <w:kern w:val="0"/>
                <w:sz w:val="21"/>
                <w:szCs w:val="21"/>
              </w:rPr>
            </w:pPr>
            <w:r>
              <w:rPr>
                <w:rFonts w:hint="eastAsia" w:hAnsi="宋体" w:cs="宋体"/>
                <w:snapToGrid w:val="0"/>
                <w:color w:val="auto"/>
                <w:kern w:val="0"/>
                <w:sz w:val="21"/>
                <w:szCs w:val="21"/>
              </w:rPr>
              <w:t>6</w:t>
            </w:r>
          </w:p>
        </w:tc>
        <w:tc>
          <w:tcPr>
            <w:tcW w:w="1573" w:type="dxa"/>
            <w:tcBorders>
              <w:tl2br w:val="nil"/>
              <w:tr2bl w:val="nil"/>
            </w:tcBorders>
            <w:vAlign w:val="center"/>
          </w:tcPr>
          <w:p w14:paraId="75D84640">
            <w:pPr>
              <w:pStyle w:val="36"/>
              <w:wordWrap w:val="0"/>
              <w:adjustRightInd w:val="0"/>
              <w:snapToGrid w:val="0"/>
              <w:spacing w:line="380" w:lineRule="exact"/>
              <w:ind w:firstLine="0" w:firstLineChars="0"/>
              <w:jc w:val="center"/>
              <w:rPr>
                <w:rFonts w:hAnsi="宋体" w:cs="宋体"/>
                <w:snapToGrid w:val="0"/>
                <w:color w:val="auto"/>
                <w:kern w:val="0"/>
                <w:sz w:val="21"/>
                <w:szCs w:val="21"/>
              </w:rPr>
            </w:pPr>
            <w:r>
              <w:rPr>
                <w:rFonts w:hint="eastAsia" w:hAnsi="宋体" w:cs="宋体"/>
                <w:snapToGrid w:val="0"/>
                <w:color w:val="auto"/>
                <w:kern w:val="0"/>
                <w:sz w:val="21"/>
                <w:szCs w:val="21"/>
              </w:rPr>
              <w:t>投标文件</w:t>
            </w:r>
          </w:p>
          <w:p w14:paraId="7EB34BAE">
            <w:pPr>
              <w:pStyle w:val="36"/>
              <w:wordWrap w:val="0"/>
              <w:adjustRightInd w:val="0"/>
              <w:snapToGrid w:val="0"/>
              <w:spacing w:line="380" w:lineRule="exact"/>
              <w:ind w:firstLine="0" w:firstLineChars="0"/>
              <w:jc w:val="center"/>
              <w:rPr>
                <w:rFonts w:hAnsi="宋体" w:cs="宋体"/>
                <w:snapToGrid w:val="0"/>
                <w:color w:val="auto"/>
                <w:kern w:val="0"/>
                <w:sz w:val="21"/>
                <w:szCs w:val="21"/>
              </w:rPr>
            </w:pPr>
            <w:r>
              <w:rPr>
                <w:rFonts w:hint="eastAsia" w:hAnsi="宋体" w:cs="宋体"/>
                <w:snapToGrid w:val="0"/>
                <w:color w:val="auto"/>
                <w:kern w:val="0"/>
                <w:sz w:val="21"/>
                <w:szCs w:val="21"/>
              </w:rPr>
              <w:t>信息公开承诺</w:t>
            </w:r>
          </w:p>
        </w:tc>
        <w:tc>
          <w:tcPr>
            <w:tcW w:w="2923" w:type="dxa"/>
            <w:tcBorders>
              <w:tl2br w:val="nil"/>
              <w:tr2bl w:val="nil"/>
            </w:tcBorders>
            <w:vAlign w:val="center"/>
          </w:tcPr>
          <w:p w14:paraId="2ED168D4">
            <w:pPr>
              <w:pStyle w:val="36"/>
              <w:wordWrap w:val="0"/>
              <w:adjustRightInd w:val="0"/>
              <w:snapToGrid w:val="0"/>
              <w:spacing w:line="380" w:lineRule="exact"/>
              <w:ind w:firstLine="420"/>
              <w:rPr>
                <w:rFonts w:hAnsi="宋体" w:cs="宋体"/>
                <w:snapToGrid w:val="0"/>
                <w:color w:val="auto"/>
                <w:kern w:val="0"/>
                <w:sz w:val="21"/>
                <w:szCs w:val="21"/>
              </w:rPr>
            </w:pPr>
            <w:r>
              <w:rPr>
                <w:rFonts w:hint="eastAsia" w:hAnsi="宋体" w:cs="宋体"/>
                <w:snapToGrid w:val="0"/>
                <w:color w:val="auto"/>
                <w:kern w:val="0"/>
                <w:sz w:val="21"/>
                <w:szCs w:val="21"/>
              </w:rPr>
              <w:t>我方提供完整的电子文件。如果我方成为本招标项目中标候选人，我方同意并授权招标人在评标结果公示期内公开我方商务标书的全部内容。</w:t>
            </w:r>
          </w:p>
        </w:tc>
        <w:tc>
          <w:tcPr>
            <w:tcW w:w="4019" w:type="dxa"/>
            <w:tcBorders>
              <w:tl2br w:val="nil"/>
              <w:tr2bl w:val="nil"/>
            </w:tcBorders>
            <w:vAlign w:val="center"/>
          </w:tcPr>
          <w:p w14:paraId="01BE50A1">
            <w:pPr>
              <w:pStyle w:val="36"/>
              <w:wordWrap w:val="0"/>
              <w:adjustRightInd w:val="0"/>
              <w:snapToGrid w:val="0"/>
              <w:spacing w:line="380" w:lineRule="exact"/>
              <w:ind w:firstLine="0" w:firstLineChars="0"/>
              <w:jc w:val="left"/>
              <w:rPr>
                <w:rFonts w:hAnsi="宋体" w:cs="宋体"/>
                <w:snapToGrid w:val="0"/>
                <w:color w:val="auto"/>
                <w:kern w:val="0"/>
                <w:sz w:val="21"/>
                <w:szCs w:val="21"/>
              </w:rPr>
            </w:pPr>
            <w:r>
              <w:rPr>
                <w:rFonts w:hint="eastAsia" w:hAnsi="宋体" w:cs="宋体"/>
                <w:snapToGrid w:val="0"/>
                <w:color w:val="auto"/>
                <w:kern w:val="0"/>
                <w:sz w:val="21"/>
                <w:szCs w:val="21"/>
              </w:rPr>
              <w:t xml:space="preserve">    /</w:t>
            </w:r>
          </w:p>
        </w:tc>
      </w:tr>
      <w:tr w14:paraId="2DAFE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l2br w:val="nil"/>
              <w:tr2bl w:val="nil"/>
            </w:tcBorders>
            <w:vAlign w:val="center"/>
          </w:tcPr>
          <w:p w14:paraId="514E26EF">
            <w:pPr>
              <w:pStyle w:val="35"/>
              <w:wordWrap w:val="0"/>
              <w:adjustRightInd w:val="0"/>
              <w:snapToGrid w:val="0"/>
              <w:spacing w:line="380" w:lineRule="exact"/>
              <w:jc w:val="center"/>
              <w:rPr>
                <w:rFonts w:hAnsi="宋体" w:cs="宋体"/>
                <w:snapToGrid w:val="0"/>
                <w:color w:val="auto"/>
                <w:kern w:val="0"/>
                <w:sz w:val="21"/>
                <w:szCs w:val="21"/>
              </w:rPr>
            </w:pPr>
            <w:r>
              <w:rPr>
                <w:rFonts w:hint="eastAsia" w:hAnsi="宋体" w:cs="宋体"/>
                <w:snapToGrid w:val="0"/>
                <w:color w:val="auto"/>
                <w:kern w:val="0"/>
                <w:sz w:val="21"/>
                <w:szCs w:val="21"/>
              </w:rPr>
              <w:t>7</w:t>
            </w:r>
          </w:p>
        </w:tc>
        <w:tc>
          <w:tcPr>
            <w:tcW w:w="1573" w:type="dxa"/>
            <w:tcBorders>
              <w:tl2br w:val="nil"/>
              <w:tr2bl w:val="nil"/>
            </w:tcBorders>
            <w:vAlign w:val="center"/>
          </w:tcPr>
          <w:p w14:paraId="7DEF66F1">
            <w:pPr>
              <w:pStyle w:val="36"/>
              <w:wordWrap w:val="0"/>
              <w:adjustRightInd w:val="0"/>
              <w:snapToGrid w:val="0"/>
              <w:spacing w:line="380" w:lineRule="exact"/>
              <w:ind w:firstLine="0" w:firstLineChars="0"/>
              <w:jc w:val="center"/>
              <w:rPr>
                <w:rFonts w:hAnsi="宋体" w:cs="宋体"/>
                <w:snapToGrid w:val="0"/>
                <w:color w:val="auto"/>
                <w:kern w:val="0"/>
                <w:sz w:val="21"/>
                <w:szCs w:val="21"/>
              </w:rPr>
            </w:pPr>
            <w:r>
              <w:rPr>
                <w:rFonts w:hint="eastAsia" w:hAnsi="宋体" w:cs="宋体"/>
                <w:snapToGrid w:val="0"/>
                <w:color w:val="auto"/>
                <w:kern w:val="0"/>
                <w:sz w:val="21"/>
                <w:szCs w:val="21"/>
              </w:rPr>
              <w:t>按时提交履约</w:t>
            </w:r>
          </w:p>
          <w:p w14:paraId="7BAEE76C">
            <w:pPr>
              <w:pStyle w:val="36"/>
              <w:wordWrap w:val="0"/>
              <w:adjustRightInd w:val="0"/>
              <w:snapToGrid w:val="0"/>
              <w:spacing w:line="380" w:lineRule="exact"/>
              <w:ind w:firstLine="0" w:firstLineChars="0"/>
              <w:jc w:val="center"/>
              <w:rPr>
                <w:rFonts w:hAnsi="宋体" w:cs="宋体"/>
                <w:snapToGrid w:val="0"/>
                <w:color w:val="auto"/>
                <w:kern w:val="0"/>
                <w:sz w:val="21"/>
                <w:szCs w:val="21"/>
              </w:rPr>
            </w:pPr>
            <w:r>
              <w:rPr>
                <w:rFonts w:hint="eastAsia" w:hAnsi="宋体" w:cs="宋体"/>
                <w:snapToGrid w:val="0"/>
                <w:color w:val="auto"/>
                <w:kern w:val="0"/>
                <w:sz w:val="21"/>
                <w:szCs w:val="21"/>
              </w:rPr>
              <w:t>保证的承诺</w:t>
            </w:r>
          </w:p>
        </w:tc>
        <w:tc>
          <w:tcPr>
            <w:tcW w:w="2923" w:type="dxa"/>
            <w:tcBorders>
              <w:tl2br w:val="nil"/>
              <w:tr2bl w:val="nil"/>
            </w:tcBorders>
            <w:vAlign w:val="center"/>
          </w:tcPr>
          <w:p w14:paraId="044BE95C">
            <w:pPr>
              <w:pStyle w:val="36"/>
              <w:wordWrap w:val="0"/>
              <w:adjustRightInd w:val="0"/>
              <w:snapToGrid w:val="0"/>
              <w:spacing w:line="380" w:lineRule="exact"/>
              <w:ind w:firstLine="420"/>
              <w:rPr>
                <w:rFonts w:hAnsi="宋体" w:cs="宋体"/>
                <w:snapToGrid w:val="0"/>
                <w:color w:val="auto"/>
                <w:kern w:val="0"/>
                <w:sz w:val="21"/>
                <w:szCs w:val="21"/>
              </w:rPr>
            </w:pPr>
            <w:r>
              <w:rPr>
                <w:rFonts w:hint="eastAsia" w:hAnsi="宋体" w:cs="宋体"/>
                <w:snapToGrid w:val="0"/>
                <w:color w:val="auto"/>
                <w:kern w:val="0"/>
                <w:sz w:val="21"/>
                <w:szCs w:val="21"/>
              </w:rPr>
              <w:t>如果我方中标，我方保证在招标文件规定的时限内全额提交履约保证。</w:t>
            </w:r>
          </w:p>
        </w:tc>
        <w:tc>
          <w:tcPr>
            <w:tcW w:w="4019" w:type="dxa"/>
            <w:tcBorders>
              <w:tl2br w:val="nil"/>
              <w:tr2bl w:val="nil"/>
            </w:tcBorders>
            <w:vAlign w:val="center"/>
          </w:tcPr>
          <w:p w14:paraId="0CFC7A06">
            <w:pPr>
              <w:pStyle w:val="36"/>
              <w:wordWrap w:val="0"/>
              <w:adjustRightInd w:val="0"/>
              <w:snapToGrid w:val="0"/>
              <w:spacing w:line="380" w:lineRule="exact"/>
              <w:ind w:firstLine="0" w:firstLineChars="0"/>
              <w:jc w:val="left"/>
              <w:rPr>
                <w:rFonts w:hAnsi="宋体" w:cs="宋体"/>
                <w:snapToGrid w:val="0"/>
                <w:color w:val="auto"/>
                <w:kern w:val="0"/>
                <w:sz w:val="21"/>
                <w:szCs w:val="21"/>
              </w:rPr>
            </w:pPr>
            <w:r>
              <w:rPr>
                <w:rFonts w:hint="eastAsia" w:hAnsi="宋体" w:cs="宋体"/>
                <w:snapToGrid w:val="0"/>
                <w:color w:val="auto"/>
                <w:kern w:val="0"/>
                <w:sz w:val="21"/>
                <w:szCs w:val="21"/>
              </w:rPr>
              <w:t xml:space="preserve">    如果我方未在招标文件规定的时限内全额提交履约保证，我方接受招标人依据招标文件作出的相应处理以及有关监督部门作出的行政处罚，并承担由此引起的一切法律后果。</w:t>
            </w:r>
          </w:p>
        </w:tc>
      </w:tr>
      <w:tr w14:paraId="29402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l2br w:val="nil"/>
              <w:tr2bl w:val="nil"/>
            </w:tcBorders>
            <w:vAlign w:val="center"/>
          </w:tcPr>
          <w:p w14:paraId="6C51973A">
            <w:pPr>
              <w:pStyle w:val="35"/>
              <w:wordWrap w:val="0"/>
              <w:adjustRightInd w:val="0"/>
              <w:snapToGrid w:val="0"/>
              <w:spacing w:line="380" w:lineRule="exact"/>
              <w:jc w:val="center"/>
              <w:rPr>
                <w:rFonts w:hAnsi="宋体" w:cs="宋体"/>
                <w:snapToGrid w:val="0"/>
                <w:color w:val="auto"/>
                <w:kern w:val="0"/>
                <w:sz w:val="21"/>
                <w:szCs w:val="21"/>
              </w:rPr>
            </w:pPr>
            <w:r>
              <w:rPr>
                <w:rFonts w:hint="eastAsia" w:hAnsi="宋体" w:cs="宋体"/>
                <w:snapToGrid w:val="0"/>
                <w:color w:val="auto"/>
                <w:kern w:val="0"/>
                <w:sz w:val="21"/>
                <w:szCs w:val="21"/>
              </w:rPr>
              <w:t>8</w:t>
            </w:r>
          </w:p>
        </w:tc>
        <w:tc>
          <w:tcPr>
            <w:tcW w:w="1573" w:type="dxa"/>
            <w:tcBorders>
              <w:tl2br w:val="nil"/>
              <w:tr2bl w:val="nil"/>
            </w:tcBorders>
            <w:vAlign w:val="center"/>
          </w:tcPr>
          <w:p w14:paraId="57319C25">
            <w:pPr>
              <w:pStyle w:val="36"/>
              <w:wordWrap w:val="0"/>
              <w:adjustRightInd w:val="0"/>
              <w:snapToGrid w:val="0"/>
              <w:spacing w:line="380" w:lineRule="exact"/>
              <w:ind w:firstLine="0" w:firstLineChars="0"/>
              <w:jc w:val="center"/>
              <w:rPr>
                <w:rFonts w:hAnsi="宋体" w:cs="宋体"/>
                <w:snapToGrid w:val="0"/>
                <w:color w:val="auto"/>
                <w:kern w:val="0"/>
                <w:sz w:val="21"/>
                <w:szCs w:val="21"/>
              </w:rPr>
            </w:pPr>
            <w:r>
              <w:rPr>
                <w:rFonts w:hint="eastAsia" w:hAnsi="宋体" w:cs="宋体"/>
                <w:snapToGrid w:val="0"/>
                <w:color w:val="auto"/>
                <w:kern w:val="0"/>
                <w:sz w:val="21"/>
                <w:szCs w:val="21"/>
              </w:rPr>
              <w:t>按时签订合同</w:t>
            </w:r>
          </w:p>
          <w:p w14:paraId="09BB9832">
            <w:pPr>
              <w:pStyle w:val="36"/>
              <w:wordWrap w:val="0"/>
              <w:adjustRightInd w:val="0"/>
              <w:snapToGrid w:val="0"/>
              <w:spacing w:line="380" w:lineRule="exact"/>
              <w:ind w:firstLine="0" w:firstLineChars="0"/>
              <w:jc w:val="center"/>
              <w:rPr>
                <w:rFonts w:hAnsi="宋体" w:cs="宋体"/>
                <w:snapToGrid w:val="0"/>
                <w:color w:val="auto"/>
                <w:kern w:val="0"/>
                <w:sz w:val="21"/>
                <w:szCs w:val="21"/>
              </w:rPr>
            </w:pPr>
            <w:r>
              <w:rPr>
                <w:rFonts w:hint="eastAsia" w:hAnsi="宋体" w:cs="宋体"/>
                <w:snapToGrid w:val="0"/>
                <w:color w:val="auto"/>
                <w:kern w:val="0"/>
                <w:sz w:val="21"/>
                <w:szCs w:val="21"/>
              </w:rPr>
              <w:t>的承诺</w:t>
            </w:r>
          </w:p>
        </w:tc>
        <w:tc>
          <w:tcPr>
            <w:tcW w:w="2923" w:type="dxa"/>
            <w:tcBorders>
              <w:tl2br w:val="nil"/>
              <w:tr2bl w:val="nil"/>
            </w:tcBorders>
            <w:vAlign w:val="center"/>
          </w:tcPr>
          <w:p w14:paraId="51D260FB">
            <w:pPr>
              <w:pStyle w:val="36"/>
              <w:wordWrap w:val="0"/>
              <w:adjustRightInd w:val="0"/>
              <w:snapToGrid w:val="0"/>
              <w:spacing w:line="380" w:lineRule="exact"/>
              <w:ind w:firstLine="420"/>
              <w:rPr>
                <w:rFonts w:hAnsi="宋体" w:cs="宋体"/>
                <w:snapToGrid w:val="0"/>
                <w:color w:val="auto"/>
                <w:kern w:val="0"/>
                <w:sz w:val="21"/>
                <w:szCs w:val="21"/>
              </w:rPr>
            </w:pPr>
            <w:r>
              <w:rPr>
                <w:rFonts w:hint="eastAsia" w:hAnsi="宋体" w:cs="宋体"/>
                <w:snapToGrid w:val="0"/>
                <w:color w:val="auto"/>
                <w:kern w:val="0"/>
                <w:sz w:val="21"/>
                <w:szCs w:val="21"/>
              </w:rPr>
              <w:t>如果我方中标，我方保证在招标文件规定的时限内与招标人签订合同，不提出违背或超出招标文件、中标文件的要求。</w:t>
            </w:r>
          </w:p>
        </w:tc>
        <w:tc>
          <w:tcPr>
            <w:tcW w:w="4019" w:type="dxa"/>
            <w:tcBorders>
              <w:tl2br w:val="nil"/>
              <w:tr2bl w:val="nil"/>
            </w:tcBorders>
            <w:vAlign w:val="center"/>
          </w:tcPr>
          <w:p w14:paraId="137FF45E">
            <w:pPr>
              <w:pStyle w:val="36"/>
              <w:wordWrap w:val="0"/>
              <w:adjustRightInd w:val="0"/>
              <w:snapToGrid w:val="0"/>
              <w:spacing w:line="380" w:lineRule="exact"/>
              <w:ind w:firstLine="420"/>
              <w:rPr>
                <w:rFonts w:hAnsi="宋体" w:cs="宋体"/>
                <w:snapToGrid w:val="0"/>
                <w:color w:val="auto"/>
                <w:kern w:val="0"/>
                <w:sz w:val="21"/>
                <w:szCs w:val="21"/>
              </w:rPr>
            </w:pPr>
            <w:r>
              <w:rPr>
                <w:rFonts w:hint="eastAsia" w:hAnsi="宋体" w:cs="宋体"/>
                <w:snapToGrid w:val="0"/>
                <w:color w:val="auto"/>
                <w:kern w:val="0"/>
                <w:sz w:val="21"/>
                <w:szCs w:val="21"/>
              </w:rPr>
              <w:t>如果我方未在招标文件规定的时限内与招标人签订合同，或我方在签订合同过程中提出违背或超出招标文件、中标文件的要求。我方接受招标人依据招标文件作出的相应处理以及有关监督部门作出的行政处罚，并承担由此引起的一切法律后果。</w:t>
            </w:r>
          </w:p>
        </w:tc>
      </w:tr>
    </w:tbl>
    <w:p w14:paraId="52576B38">
      <w:pPr>
        <w:pStyle w:val="35"/>
        <w:wordWrap w:val="0"/>
        <w:adjustRightInd w:val="0"/>
        <w:snapToGrid w:val="0"/>
        <w:spacing w:line="420" w:lineRule="exact"/>
        <w:jc w:val="left"/>
        <w:rPr>
          <w:rFonts w:hAnsi="宋体" w:cs="宋体"/>
          <w:snapToGrid w:val="0"/>
          <w:color w:val="auto"/>
          <w:kern w:val="0"/>
        </w:rPr>
      </w:pPr>
    </w:p>
    <w:p w14:paraId="1731AA60">
      <w:pPr>
        <w:pStyle w:val="35"/>
        <w:wordWrap w:val="0"/>
        <w:adjustRightInd w:val="0"/>
        <w:snapToGrid w:val="0"/>
        <w:spacing w:line="420" w:lineRule="exact"/>
        <w:jc w:val="left"/>
        <w:rPr>
          <w:rFonts w:hAnsi="宋体" w:cs="宋体"/>
          <w:snapToGrid w:val="0"/>
          <w:color w:val="auto"/>
          <w:kern w:val="0"/>
        </w:rPr>
      </w:pPr>
    </w:p>
    <w:p w14:paraId="5121CA10">
      <w:pPr>
        <w:pStyle w:val="11"/>
        <w:wordWrap w:val="0"/>
        <w:adjustRightInd w:val="0"/>
        <w:snapToGrid w:val="0"/>
        <w:spacing w:line="420" w:lineRule="exact"/>
        <w:ind w:firstLine="480" w:firstLineChars="200"/>
        <w:jc w:val="right"/>
        <w:rPr>
          <w:rFonts w:hAnsi="宋体" w:cs="宋体"/>
          <w:snapToGrid w:val="0"/>
          <w:color w:val="auto"/>
          <w:kern w:val="0"/>
          <w:szCs w:val="24"/>
        </w:rPr>
      </w:pPr>
      <w:r>
        <w:rPr>
          <w:rFonts w:hint="eastAsia" w:hAnsi="宋体" w:cs="宋体"/>
          <w:snapToGrid w:val="0"/>
          <w:color w:val="auto"/>
          <w:kern w:val="0"/>
          <w:szCs w:val="24"/>
        </w:rPr>
        <w:t>投标人：</w:t>
      </w:r>
      <w:r>
        <w:rPr>
          <w:rFonts w:hint="eastAsia" w:hAnsi="宋体" w:cs="宋体"/>
          <w:snapToGrid w:val="0"/>
          <w:color w:val="auto"/>
          <w:kern w:val="0"/>
          <w:szCs w:val="24"/>
          <w:u w:val="single"/>
        </w:rPr>
        <w:t xml:space="preserve">                                   </w:t>
      </w:r>
      <w:r>
        <w:rPr>
          <w:rFonts w:hint="eastAsia" w:hAnsi="宋体" w:cs="宋体"/>
          <w:snapToGrid w:val="0"/>
          <w:color w:val="auto"/>
          <w:kern w:val="0"/>
          <w:szCs w:val="24"/>
        </w:rPr>
        <w:t>（盖单位章）</w:t>
      </w:r>
    </w:p>
    <w:p w14:paraId="65158E7F">
      <w:pPr>
        <w:pStyle w:val="11"/>
        <w:wordWrap w:val="0"/>
        <w:adjustRightInd w:val="0"/>
        <w:snapToGrid w:val="0"/>
        <w:spacing w:line="420" w:lineRule="exact"/>
        <w:ind w:firstLine="480" w:firstLineChars="200"/>
        <w:jc w:val="right"/>
        <w:rPr>
          <w:rFonts w:hAnsi="宋体" w:cs="宋体"/>
          <w:snapToGrid w:val="0"/>
          <w:color w:val="auto"/>
          <w:kern w:val="0"/>
          <w:szCs w:val="24"/>
        </w:rPr>
      </w:pPr>
    </w:p>
    <w:p w14:paraId="1F6E705C">
      <w:pPr>
        <w:pStyle w:val="11"/>
        <w:wordWrap w:val="0"/>
        <w:adjustRightInd w:val="0"/>
        <w:snapToGrid w:val="0"/>
        <w:spacing w:line="420" w:lineRule="exact"/>
        <w:ind w:firstLine="480" w:firstLineChars="200"/>
        <w:jc w:val="right"/>
        <w:rPr>
          <w:rFonts w:hAnsi="宋体" w:cs="宋体"/>
          <w:snapToGrid w:val="0"/>
          <w:color w:val="auto"/>
          <w:kern w:val="0"/>
          <w:szCs w:val="24"/>
        </w:rPr>
      </w:pPr>
    </w:p>
    <w:p w14:paraId="3167EDA0">
      <w:pPr>
        <w:pStyle w:val="11"/>
        <w:wordWrap w:val="0"/>
        <w:adjustRightInd w:val="0"/>
        <w:snapToGrid w:val="0"/>
        <w:spacing w:line="420" w:lineRule="exact"/>
        <w:ind w:firstLine="480" w:firstLineChars="200"/>
        <w:jc w:val="right"/>
        <w:rPr>
          <w:rFonts w:hAnsi="宋体" w:cs="宋体"/>
          <w:snapToGrid w:val="0"/>
          <w:color w:val="auto"/>
          <w:kern w:val="0"/>
          <w:szCs w:val="24"/>
        </w:rPr>
      </w:pPr>
      <w:r>
        <w:rPr>
          <w:rFonts w:hint="eastAsia" w:hAnsi="宋体" w:cs="宋体"/>
          <w:snapToGrid w:val="0"/>
          <w:color w:val="auto"/>
          <w:kern w:val="0"/>
          <w:szCs w:val="24"/>
        </w:rPr>
        <w:t>法定代表人或其委托代理人：</w:t>
      </w:r>
      <w:r>
        <w:rPr>
          <w:rFonts w:hint="eastAsia" w:hAnsi="宋体" w:cs="宋体"/>
          <w:snapToGrid w:val="0"/>
          <w:color w:val="auto"/>
          <w:kern w:val="0"/>
          <w:szCs w:val="24"/>
          <w:u w:val="single"/>
        </w:rPr>
        <w:t xml:space="preserve">               </w:t>
      </w:r>
      <w:r>
        <w:rPr>
          <w:rFonts w:hint="eastAsia" w:hAnsi="宋体" w:cs="宋体"/>
          <w:snapToGrid w:val="0"/>
          <w:color w:val="auto"/>
          <w:kern w:val="0"/>
          <w:szCs w:val="24"/>
        </w:rPr>
        <w:t>（签字或盖章）</w:t>
      </w:r>
    </w:p>
    <w:p w14:paraId="6E8CD277">
      <w:pPr>
        <w:pStyle w:val="11"/>
        <w:wordWrap w:val="0"/>
        <w:adjustRightInd w:val="0"/>
        <w:snapToGrid w:val="0"/>
        <w:spacing w:line="420" w:lineRule="exact"/>
        <w:ind w:firstLine="480" w:firstLineChars="200"/>
        <w:rPr>
          <w:rFonts w:hAnsi="宋体" w:cs="宋体"/>
          <w:snapToGrid w:val="0"/>
          <w:color w:val="auto"/>
          <w:kern w:val="0"/>
          <w:szCs w:val="24"/>
        </w:rPr>
      </w:pPr>
    </w:p>
    <w:p w14:paraId="66D2BA22">
      <w:pPr>
        <w:pStyle w:val="11"/>
        <w:wordWrap w:val="0"/>
        <w:adjustRightInd w:val="0"/>
        <w:snapToGrid w:val="0"/>
        <w:spacing w:line="420" w:lineRule="exact"/>
        <w:ind w:firstLine="480" w:firstLineChars="200"/>
        <w:jc w:val="center"/>
        <w:rPr>
          <w:rFonts w:hAnsi="宋体" w:cs="宋体"/>
          <w:snapToGrid w:val="0"/>
          <w:color w:val="auto"/>
          <w:kern w:val="0"/>
          <w:szCs w:val="24"/>
        </w:rPr>
      </w:pPr>
      <w:r>
        <w:rPr>
          <w:rFonts w:hint="eastAsia" w:hAnsi="宋体" w:cs="宋体"/>
          <w:snapToGrid w:val="0"/>
          <w:color w:val="auto"/>
          <w:kern w:val="0"/>
          <w:szCs w:val="24"/>
        </w:rPr>
        <w:t xml:space="preserve">                      </w:t>
      </w:r>
      <w:r>
        <w:rPr>
          <w:rFonts w:hint="eastAsia" w:hAnsi="宋体" w:cs="宋体"/>
          <w:snapToGrid w:val="0"/>
          <w:color w:val="auto"/>
          <w:kern w:val="0"/>
          <w:szCs w:val="24"/>
          <w:u w:val="single"/>
        </w:rPr>
        <w:t xml:space="preserve">        </w:t>
      </w:r>
      <w:r>
        <w:rPr>
          <w:rFonts w:hint="eastAsia" w:hAnsi="宋体" w:cs="宋体"/>
          <w:snapToGrid w:val="0"/>
          <w:color w:val="auto"/>
          <w:kern w:val="0"/>
          <w:szCs w:val="24"/>
        </w:rPr>
        <w:t>年</w:t>
      </w:r>
      <w:r>
        <w:rPr>
          <w:rFonts w:hint="eastAsia" w:hAnsi="宋体" w:cs="宋体"/>
          <w:snapToGrid w:val="0"/>
          <w:color w:val="auto"/>
          <w:kern w:val="0"/>
          <w:szCs w:val="24"/>
          <w:u w:val="single"/>
        </w:rPr>
        <w:t xml:space="preserve">    </w:t>
      </w:r>
      <w:r>
        <w:rPr>
          <w:rFonts w:hint="eastAsia" w:hAnsi="宋体" w:cs="宋体"/>
          <w:snapToGrid w:val="0"/>
          <w:color w:val="auto"/>
          <w:kern w:val="0"/>
          <w:szCs w:val="24"/>
        </w:rPr>
        <w:t>月</w:t>
      </w:r>
      <w:r>
        <w:rPr>
          <w:rFonts w:hint="eastAsia" w:hAnsi="宋体" w:cs="宋体"/>
          <w:snapToGrid w:val="0"/>
          <w:color w:val="auto"/>
          <w:kern w:val="0"/>
          <w:szCs w:val="24"/>
          <w:u w:val="single"/>
        </w:rPr>
        <w:t xml:space="preserve">    </w:t>
      </w:r>
      <w:r>
        <w:rPr>
          <w:rFonts w:hint="eastAsia" w:hAnsi="宋体" w:cs="宋体"/>
          <w:snapToGrid w:val="0"/>
          <w:color w:val="auto"/>
          <w:kern w:val="0"/>
          <w:szCs w:val="24"/>
        </w:rPr>
        <w:t>日</w:t>
      </w:r>
    </w:p>
    <w:p w14:paraId="03EE5B04">
      <w:pPr>
        <w:wordWrap w:val="0"/>
        <w:adjustRightInd w:val="0"/>
        <w:snapToGrid w:val="0"/>
        <w:spacing w:line="420" w:lineRule="exact"/>
        <w:jc w:val="left"/>
        <w:rPr>
          <w:rFonts w:hAnsi="宋体" w:cs="宋体"/>
          <w:b/>
          <w:snapToGrid w:val="0"/>
          <w:color w:val="auto"/>
          <w:kern w:val="0"/>
        </w:rPr>
        <w:sectPr>
          <w:endnotePr>
            <w:numFmt w:val="decimal"/>
          </w:endnotePr>
          <w:pgSz w:w="11906" w:h="16838"/>
          <w:pgMar w:top="1417" w:right="1417" w:bottom="1417" w:left="1417" w:header="850" w:footer="992" w:gutter="0"/>
          <w:cols w:space="0" w:num="1"/>
          <w:docGrid w:linePitch="327" w:charSpace="0"/>
        </w:sectPr>
      </w:pPr>
    </w:p>
    <w:p w14:paraId="2439F3F4">
      <w:pPr>
        <w:wordWrap w:val="0"/>
        <w:adjustRightInd w:val="0"/>
        <w:snapToGrid w:val="0"/>
        <w:spacing w:line="440" w:lineRule="exact"/>
        <w:outlineLvl w:val="1"/>
        <w:rPr>
          <w:rFonts w:hAnsi="宋体" w:cs="宋体"/>
          <w:b/>
          <w:bCs/>
          <w:snapToGrid w:val="0"/>
          <w:color w:val="auto"/>
          <w:kern w:val="0"/>
          <w:szCs w:val="24"/>
        </w:rPr>
      </w:pPr>
      <w:bookmarkStart w:id="274" w:name="_Toc12381"/>
      <w:r>
        <w:rPr>
          <w:rFonts w:hint="eastAsia" w:hAnsi="宋体" w:cs="宋体"/>
          <w:b/>
          <w:bCs/>
          <w:snapToGrid w:val="0"/>
          <w:color w:val="auto"/>
          <w:kern w:val="0"/>
          <w:szCs w:val="24"/>
        </w:rPr>
        <w:t>格式四 授权委托书</w:t>
      </w:r>
      <w:bookmarkEnd w:id="274"/>
    </w:p>
    <w:p w14:paraId="29513806">
      <w:pPr>
        <w:wordWrap w:val="0"/>
        <w:adjustRightInd w:val="0"/>
        <w:snapToGrid w:val="0"/>
        <w:spacing w:line="440" w:lineRule="exact"/>
        <w:rPr>
          <w:rFonts w:hAnsi="宋体" w:cs="宋体"/>
          <w:b/>
          <w:bCs/>
          <w:snapToGrid w:val="0"/>
          <w:color w:val="auto"/>
          <w:kern w:val="0"/>
          <w:szCs w:val="24"/>
        </w:rPr>
      </w:pPr>
    </w:p>
    <w:p w14:paraId="3B17D526">
      <w:pPr>
        <w:wordWrap w:val="0"/>
        <w:adjustRightInd w:val="0"/>
        <w:snapToGrid w:val="0"/>
        <w:spacing w:before="260" w:after="260" w:line="440" w:lineRule="exact"/>
        <w:jc w:val="center"/>
        <w:rPr>
          <w:rFonts w:hAnsi="宋体" w:cs="宋体"/>
          <w:b/>
          <w:snapToGrid w:val="0"/>
          <w:color w:val="auto"/>
          <w:kern w:val="0"/>
        </w:rPr>
      </w:pPr>
      <w:r>
        <w:rPr>
          <w:rFonts w:hint="eastAsia" w:hAnsi="宋体" w:cs="宋体"/>
          <w:b/>
          <w:snapToGrid w:val="0"/>
          <w:color w:val="auto"/>
          <w:kern w:val="0"/>
          <w:sz w:val="30"/>
        </w:rPr>
        <w:t>授权委托书</w:t>
      </w:r>
    </w:p>
    <w:p w14:paraId="66D81681">
      <w:pPr>
        <w:wordWrap w:val="0"/>
        <w:adjustRightInd w:val="0"/>
        <w:snapToGrid w:val="0"/>
        <w:spacing w:line="440" w:lineRule="exact"/>
        <w:rPr>
          <w:rFonts w:hAnsi="宋体" w:cs="宋体"/>
          <w:snapToGrid w:val="0"/>
          <w:color w:val="auto"/>
          <w:kern w:val="0"/>
          <w:szCs w:val="28"/>
        </w:rPr>
      </w:pPr>
    </w:p>
    <w:p w14:paraId="22E5B71C">
      <w:pPr>
        <w:wordWrap w:val="0"/>
        <w:adjustRightInd w:val="0"/>
        <w:snapToGrid w:val="0"/>
        <w:spacing w:line="440" w:lineRule="exact"/>
        <w:rPr>
          <w:rFonts w:hAnsi="宋体" w:cs="宋体"/>
          <w:snapToGrid w:val="0"/>
          <w:color w:val="auto"/>
          <w:kern w:val="0"/>
          <w:szCs w:val="21"/>
        </w:rPr>
      </w:pPr>
      <w:r>
        <w:rPr>
          <w:rFonts w:hint="eastAsia" w:hAnsi="宋体" w:cs="宋体"/>
          <w:snapToGrid w:val="0"/>
          <w:color w:val="auto"/>
          <w:kern w:val="0"/>
          <w:szCs w:val="21"/>
        </w:rPr>
        <w:t xml:space="preserve">    本人</w:t>
      </w:r>
      <w:r>
        <w:rPr>
          <w:rFonts w:hint="eastAsia" w:hAnsi="宋体" w:cs="宋体"/>
          <w:snapToGrid w:val="0"/>
          <w:color w:val="auto"/>
          <w:kern w:val="0"/>
          <w:szCs w:val="21"/>
          <w:u w:val="single"/>
        </w:rPr>
        <w:t xml:space="preserve">      </w:t>
      </w:r>
      <w:r>
        <w:rPr>
          <w:rFonts w:hint="eastAsia" w:hAnsi="宋体" w:cs="宋体"/>
          <w:snapToGrid w:val="0"/>
          <w:color w:val="auto"/>
          <w:kern w:val="0"/>
          <w:szCs w:val="21"/>
        </w:rPr>
        <w:t>（姓名）系</w:t>
      </w:r>
      <w:r>
        <w:rPr>
          <w:rFonts w:hint="eastAsia" w:hAnsi="宋体" w:cs="宋体"/>
          <w:snapToGrid w:val="0"/>
          <w:color w:val="auto"/>
          <w:kern w:val="0"/>
          <w:szCs w:val="21"/>
          <w:u w:val="single"/>
        </w:rPr>
        <w:t xml:space="preserve">         </w:t>
      </w:r>
      <w:r>
        <w:rPr>
          <w:rFonts w:hint="eastAsia" w:hAnsi="宋体" w:cs="宋体"/>
          <w:snapToGrid w:val="0"/>
          <w:color w:val="auto"/>
          <w:kern w:val="0"/>
          <w:szCs w:val="21"/>
        </w:rPr>
        <w:t>（投标人名称）的法定代表人，现委托</w:t>
      </w:r>
      <w:r>
        <w:rPr>
          <w:rFonts w:hint="eastAsia" w:hAnsi="宋体" w:cs="宋体"/>
          <w:snapToGrid w:val="0"/>
          <w:color w:val="auto"/>
          <w:kern w:val="0"/>
          <w:szCs w:val="21"/>
          <w:u w:val="single"/>
        </w:rPr>
        <w:t xml:space="preserve">     </w:t>
      </w:r>
      <w:r>
        <w:rPr>
          <w:rFonts w:hint="eastAsia" w:hAnsi="宋体" w:cs="宋体"/>
          <w:snapToGrid w:val="0"/>
          <w:color w:val="auto"/>
          <w:kern w:val="0"/>
          <w:szCs w:val="21"/>
        </w:rPr>
        <w:t>（姓名）为我方代理人。代理人根据授权，以我方名义签署、澄清、说明、补正、递交、撤回、修改</w:t>
      </w:r>
      <w:r>
        <w:rPr>
          <w:rFonts w:hint="eastAsia" w:hAnsi="宋体" w:cs="宋体"/>
          <w:snapToGrid w:val="0"/>
          <w:color w:val="auto"/>
          <w:kern w:val="0"/>
          <w:szCs w:val="21"/>
          <w:u w:val="single"/>
        </w:rPr>
        <w:t xml:space="preserve">             </w:t>
      </w:r>
      <w:r>
        <w:rPr>
          <w:rFonts w:hint="eastAsia" w:hAnsi="宋体" w:cs="宋体"/>
          <w:snapToGrid w:val="0"/>
          <w:color w:val="auto"/>
          <w:kern w:val="0"/>
          <w:szCs w:val="21"/>
        </w:rPr>
        <w:t>（项目名称）监理投标文件、签订合同和处理有关事宜，其法律后果由我方承担。</w:t>
      </w:r>
    </w:p>
    <w:p w14:paraId="644094E8">
      <w:pPr>
        <w:wordWrap w:val="0"/>
        <w:adjustRightInd w:val="0"/>
        <w:snapToGrid w:val="0"/>
        <w:spacing w:line="440" w:lineRule="exact"/>
        <w:ind w:firstLine="480" w:firstLineChars="200"/>
        <w:rPr>
          <w:rFonts w:hAnsi="宋体" w:cs="宋体"/>
          <w:snapToGrid w:val="0"/>
          <w:color w:val="auto"/>
          <w:kern w:val="0"/>
          <w:szCs w:val="21"/>
        </w:rPr>
      </w:pPr>
      <w:r>
        <w:rPr>
          <w:rFonts w:hint="eastAsia" w:hAnsi="宋体" w:cs="宋体"/>
          <w:snapToGrid w:val="0"/>
          <w:color w:val="auto"/>
          <w:kern w:val="0"/>
          <w:szCs w:val="21"/>
        </w:rPr>
        <w:t>委托期限：至</w:t>
      </w:r>
      <w:r>
        <w:rPr>
          <w:rFonts w:hint="eastAsia" w:hAnsi="宋体" w:cs="宋体"/>
          <w:snapToGrid w:val="0"/>
          <w:color w:val="auto"/>
          <w:kern w:val="0"/>
          <w:szCs w:val="21"/>
          <w:u w:val="single"/>
        </w:rPr>
        <w:t xml:space="preserve">     年   月   日</w:t>
      </w:r>
      <w:r>
        <w:rPr>
          <w:rFonts w:hint="eastAsia" w:hAnsi="宋体" w:cs="宋体"/>
          <w:i/>
          <w:iCs/>
          <w:snapToGrid w:val="0"/>
          <w:color w:val="auto"/>
          <w:kern w:val="0"/>
          <w:szCs w:val="21"/>
          <w:u w:val="single"/>
        </w:rPr>
        <w:t>（不得短于招标文件规定的投标有效期）</w:t>
      </w:r>
      <w:r>
        <w:rPr>
          <w:rFonts w:hint="eastAsia" w:hAnsi="宋体" w:cs="宋体"/>
          <w:snapToGrid w:val="0"/>
          <w:color w:val="auto"/>
          <w:kern w:val="0"/>
          <w:szCs w:val="21"/>
        </w:rPr>
        <w:t xml:space="preserve"> 。</w:t>
      </w:r>
    </w:p>
    <w:p w14:paraId="784FB22A">
      <w:pPr>
        <w:wordWrap w:val="0"/>
        <w:adjustRightInd w:val="0"/>
        <w:snapToGrid w:val="0"/>
        <w:spacing w:line="440" w:lineRule="exact"/>
        <w:rPr>
          <w:rFonts w:hAnsi="宋体" w:cs="宋体"/>
          <w:snapToGrid w:val="0"/>
          <w:color w:val="auto"/>
          <w:kern w:val="0"/>
          <w:szCs w:val="21"/>
        </w:rPr>
      </w:pPr>
      <w:r>
        <w:rPr>
          <w:rFonts w:hint="eastAsia" w:hAnsi="宋体" w:cs="宋体"/>
          <w:snapToGrid w:val="0"/>
          <w:color w:val="auto"/>
          <w:kern w:val="0"/>
          <w:szCs w:val="21"/>
        </w:rPr>
        <w:t xml:space="preserve">    代理人无转委托权。</w:t>
      </w:r>
    </w:p>
    <w:p w14:paraId="1822E51C">
      <w:pPr>
        <w:wordWrap w:val="0"/>
        <w:adjustRightInd w:val="0"/>
        <w:snapToGrid w:val="0"/>
        <w:spacing w:line="440" w:lineRule="exact"/>
        <w:ind w:firstLine="480" w:firstLineChars="200"/>
        <w:rPr>
          <w:rFonts w:hAnsi="宋体" w:cs="宋体"/>
          <w:snapToGrid w:val="0"/>
          <w:color w:val="auto"/>
          <w:kern w:val="0"/>
          <w:szCs w:val="21"/>
        </w:rPr>
      </w:pPr>
    </w:p>
    <w:p w14:paraId="484FBBF2">
      <w:pPr>
        <w:wordWrap w:val="0"/>
        <w:adjustRightInd w:val="0"/>
        <w:snapToGrid w:val="0"/>
        <w:spacing w:line="440" w:lineRule="exact"/>
        <w:ind w:firstLine="480" w:firstLineChars="200"/>
        <w:rPr>
          <w:rFonts w:hAnsi="宋体" w:cs="宋体"/>
          <w:snapToGrid w:val="0"/>
          <w:color w:val="auto"/>
          <w:kern w:val="0"/>
          <w:szCs w:val="21"/>
        </w:rPr>
      </w:pPr>
    </w:p>
    <w:p w14:paraId="1149C019">
      <w:pPr>
        <w:wordWrap w:val="0"/>
        <w:adjustRightInd w:val="0"/>
        <w:snapToGrid w:val="0"/>
        <w:spacing w:line="440" w:lineRule="exact"/>
        <w:ind w:firstLine="480" w:firstLineChars="200"/>
        <w:rPr>
          <w:rFonts w:hAnsi="宋体" w:cs="宋体"/>
          <w:snapToGrid w:val="0"/>
          <w:color w:val="auto"/>
          <w:kern w:val="0"/>
          <w:szCs w:val="21"/>
        </w:rPr>
      </w:pPr>
      <w:r>
        <w:rPr>
          <w:rFonts w:hint="eastAsia" w:hAnsi="宋体" w:cs="宋体"/>
          <w:snapToGrid w:val="0"/>
          <w:color w:val="auto"/>
          <w:kern w:val="0"/>
          <w:szCs w:val="21"/>
        </w:rPr>
        <w:t>　　　　　　　　　　　投  标  人：</w:t>
      </w:r>
      <w:r>
        <w:rPr>
          <w:rFonts w:hint="eastAsia" w:hAnsi="宋体" w:cs="宋体"/>
          <w:snapToGrid w:val="0"/>
          <w:color w:val="auto"/>
          <w:kern w:val="0"/>
          <w:szCs w:val="21"/>
          <w:u w:val="single"/>
        </w:rPr>
        <w:t xml:space="preserve">                        </w:t>
      </w:r>
      <w:r>
        <w:rPr>
          <w:rFonts w:hint="eastAsia" w:hAnsi="宋体" w:cs="宋体"/>
          <w:snapToGrid w:val="0"/>
          <w:color w:val="auto"/>
          <w:kern w:val="0"/>
          <w:szCs w:val="21"/>
        </w:rPr>
        <w:t>（盖单位章）</w:t>
      </w:r>
    </w:p>
    <w:p w14:paraId="40D6E04C">
      <w:pPr>
        <w:wordWrap w:val="0"/>
        <w:adjustRightInd w:val="0"/>
        <w:snapToGrid w:val="0"/>
        <w:spacing w:line="440" w:lineRule="exact"/>
        <w:ind w:firstLine="480" w:firstLineChars="200"/>
        <w:rPr>
          <w:rFonts w:hAnsi="宋体" w:cs="宋体"/>
          <w:snapToGrid w:val="0"/>
          <w:color w:val="auto"/>
          <w:kern w:val="0"/>
          <w:szCs w:val="21"/>
        </w:rPr>
      </w:pPr>
      <w:r>
        <w:rPr>
          <w:rFonts w:hint="eastAsia" w:hAnsi="宋体" w:cs="宋体"/>
          <w:snapToGrid w:val="0"/>
          <w:color w:val="auto"/>
          <w:kern w:val="0"/>
          <w:szCs w:val="21"/>
        </w:rPr>
        <w:t>　　　　　　　　　　　　　　　　　</w:t>
      </w:r>
    </w:p>
    <w:p w14:paraId="49EACFD6">
      <w:pPr>
        <w:wordWrap w:val="0"/>
        <w:adjustRightInd w:val="0"/>
        <w:snapToGrid w:val="0"/>
        <w:spacing w:line="440" w:lineRule="exact"/>
        <w:ind w:firstLine="480" w:firstLineChars="200"/>
        <w:rPr>
          <w:rFonts w:hAnsi="宋体" w:cs="宋体"/>
          <w:snapToGrid w:val="0"/>
          <w:color w:val="auto"/>
          <w:kern w:val="0"/>
          <w:szCs w:val="21"/>
        </w:rPr>
      </w:pPr>
    </w:p>
    <w:p w14:paraId="4DE35951">
      <w:pPr>
        <w:wordWrap w:val="0"/>
        <w:adjustRightInd w:val="0"/>
        <w:snapToGrid w:val="0"/>
        <w:spacing w:line="440" w:lineRule="exact"/>
        <w:ind w:firstLine="480" w:firstLineChars="200"/>
        <w:rPr>
          <w:rFonts w:hAnsi="宋体" w:cs="宋体"/>
          <w:snapToGrid w:val="0"/>
          <w:color w:val="auto"/>
          <w:kern w:val="0"/>
          <w:szCs w:val="21"/>
        </w:rPr>
      </w:pPr>
      <w:r>
        <w:rPr>
          <w:rFonts w:hint="eastAsia" w:hAnsi="宋体" w:cs="宋体"/>
          <w:snapToGrid w:val="0"/>
          <w:color w:val="auto"/>
          <w:kern w:val="0"/>
          <w:szCs w:val="21"/>
        </w:rPr>
        <w:t>　　　　　　　　　　　法定代表人：</w:t>
      </w:r>
      <w:r>
        <w:rPr>
          <w:rFonts w:hint="eastAsia" w:hAnsi="宋体" w:cs="宋体"/>
          <w:snapToGrid w:val="0"/>
          <w:color w:val="auto"/>
          <w:kern w:val="0"/>
          <w:szCs w:val="21"/>
          <w:u w:val="single"/>
        </w:rPr>
        <w:t xml:space="preserve">                        </w:t>
      </w:r>
      <w:r>
        <w:rPr>
          <w:rFonts w:hint="eastAsia" w:hAnsi="宋体" w:cs="宋体"/>
          <w:snapToGrid w:val="0"/>
          <w:color w:val="auto"/>
          <w:kern w:val="0"/>
          <w:szCs w:val="21"/>
        </w:rPr>
        <w:t>（签字或盖章）</w:t>
      </w:r>
    </w:p>
    <w:p w14:paraId="143CEFC0">
      <w:pPr>
        <w:wordWrap w:val="0"/>
        <w:adjustRightInd w:val="0"/>
        <w:snapToGrid w:val="0"/>
        <w:spacing w:line="440" w:lineRule="exact"/>
        <w:ind w:firstLine="480" w:firstLineChars="200"/>
        <w:rPr>
          <w:rFonts w:hAnsi="宋体" w:cs="宋体"/>
          <w:snapToGrid w:val="0"/>
          <w:color w:val="auto"/>
          <w:kern w:val="0"/>
          <w:szCs w:val="21"/>
        </w:rPr>
      </w:pPr>
    </w:p>
    <w:p w14:paraId="32CF77CA">
      <w:pPr>
        <w:wordWrap w:val="0"/>
        <w:adjustRightInd w:val="0"/>
        <w:snapToGrid w:val="0"/>
        <w:spacing w:line="440" w:lineRule="exact"/>
        <w:ind w:firstLine="480" w:firstLineChars="200"/>
        <w:rPr>
          <w:rFonts w:hAnsi="宋体" w:cs="宋体"/>
          <w:snapToGrid w:val="0"/>
          <w:color w:val="auto"/>
          <w:kern w:val="0"/>
          <w:szCs w:val="21"/>
        </w:rPr>
      </w:pPr>
      <w:r>
        <w:rPr>
          <w:rFonts w:hint="eastAsia" w:hAnsi="宋体" w:cs="宋体"/>
          <w:snapToGrid w:val="0"/>
          <w:color w:val="auto"/>
          <w:kern w:val="0"/>
          <w:szCs w:val="21"/>
        </w:rPr>
        <w:t>　　　　　　　　　　　　　　　　　　　　　　　　　　　　　　　　　　　　 　　　　　　　　　　 委托代理人：</w:t>
      </w:r>
      <w:r>
        <w:rPr>
          <w:rFonts w:hint="eastAsia" w:hAnsi="宋体" w:cs="宋体"/>
          <w:snapToGrid w:val="0"/>
          <w:color w:val="auto"/>
          <w:kern w:val="0"/>
          <w:szCs w:val="21"/>
          <w:u w:val="single"/>
        </w:rPr>
        <w:t xml:space="preserve">                       </w:t>
      </w:r>
      <w:r>
        <w:rPr>
          <w:rFonts w:hint="eastAsia" w:hAnsi="宋体" w:cs="宋体"/>
          <w:snapToGrid w:val="0"/>
          <w:color w:val="auto"/>
          <w:kern w:val="0"/>
          <w:szCs w:val="21"/>
        </w:rPr>
        <w:t>（签字或盖章）</w:t>
      </w:r>
    </w:p>
    <w:p w14:paraId="77979FA7">
      <w:pPr>
        <w:wordWrap w:val="0"/>
        <w:adjustRightInd w:val="0"/>
        <w:snapToGrid w:val="0"/>
        <w:spacing w:line="440" w:lineRule="exact"/>
        <w:ind w:firstLine="480" w:firstLineChars="200"/>
        <w:rPr>
          <w:rFonts w:hAnsi="宋体" w:cs="宋体"/>
          <w:snapToGrid w:val="0"/>
          <w:color w:val="auto"/>
          <w:kern w:val="0"/>
          <w:szCs w:val="21"/>
        </w:rPr>
      </w:pPr>
      <w:r>
        <w:rPr>
          <w:rFonts w:hint="eastAsia" w:hAnsi="宋体" w:cs="宋体"/>
          <w:snapToGrid w:val="0"/>
          <w:color w:val="auto"/>
          <w:kern w:val="0"/>
          <w:szCs w:val="21"/>
        </w:rPr>
        <w:t>　　　　　　　　　　　　　　　　　　　　　　　　　　　　　　　　　　</w:t>
      </w:r>
    </w:p>
    <w:p w14:paraId="733FCB06">
      <w:pPr>
        <w:wordWrap w:val="0"/>
        <w:adjustRightInd w:val="0"/>
        <w:snapToGrid w:val="0"/>
        <w:spacing w:line="440" w:lineRule="exact"/>
        <w:ind w:firstLine="480" w:firstLineChars="200"/>
        <w:rPr>
          <w:rFonts w:hAnsi="宋体" w:cs="宋体"/>
          <w:snapToGrid w:val="0"/>
          <w:color w:val="auto"/>
          <w:kern w:val="0"/>
          <w:szCs w:val="21"/>
        </w:rPr>
      </w:pPr>
      <w:r>
        <w:rPr>
          <w:rFonts w:hint="eastAsia" w:hAnsi="宋体" w:cs="宋体"/>
          <w:snapToGrid w:val="0"/>
          <w:color w:val="auto"/>
          <w:kern w:val="0"/>
          <w:szCs w:val="21"/>
        </w:rPr>
        <w:t>　　　　　　　　　　　　　 　　</w:t>
      </w:r>
      <w:r>
        <w:rPr>
          <w:rFonts w:hint="eastAsia" w:hAnsi="宋体" w:cs="宋体"/>
          <w:snapToGrid w:val="0"/>
          <w:color w:val="auto"/>
          <w:kern w:val="0"/>
          <w:szCs w:val="21"/>
          <w:u w:val="single"/>
        </w:rPr>
        <w:t xml:space="preserve">        </w:t>
      </w:r>
      <w:r>
        <w:rPr>
          <w:rFonts w:hint="eastAsia" w:hAnsi="宋体" w:cs="宋体"/>
          <w:snapToGrid w:val="0"/>
          <w:color w:val="auto"/>
          <w:kern w:val="0"/>
          <w:szCs w:val="21"/>
        </w:rPr>
        <w:t>年</w:t>
      </w:r>
      <w:r>
        <w:rPr>
          <w:rFonts w:hint="eastAsia" w:hAnsi="宋体" w:cs="宋体"/>
          <w:snapToGrid w:val="0"/>
          <w:color w:val="auto"/>
          <w:kern w:val="0"/>
          <w:szCs w:val="21"/>
          <w:u w:val="single"/>
        </w:rPr>
        <w:t xml:space="preserve">      </w:t>
      </w:r>
      <w:r>
        <w:rPr>
          <w:rFonts w:hint="eastAsia" w:hAnsi="宋体" w:cs="宋体"/>
          <w:snapToGrid w:val="0"/>
          <w:color w:val="auto"/>
          <w:kern w:val="0"/>
          <w:szCs w:val="21"/>
        </w:rPr>
        <w:t>月</w:t>
      </w:r>
      <w:r>
        <w:rPr>
          <w:rFonts w:hint="eastAsia" w:hAnsi="宋体" w:cs="宋体"/>
          <w:snapToGrid w:val="0"/>
          <w:color w:val="auto"/>
          <w:kern w:val="0"/>
          <w:szCs w:val="21"/>
          <w:u w:val="single"/>
        </w:rPr>
        <w:t xml:space="preserve">      </w:t>
      </w:r>
      <w:r>
        <w:rPr>
          <w:rFonts w:hint="eastAsia" w:hAnsi="宋体" w:cs="宋体"/>
          <w:snapToGrid w:val="0"/>
          <w:color w:val="auto"/>
          <w:kern w:val="0"/>
          <w:szCs w:val="21"/>
        </w:rPr>
        <w:t>日</w:t>
      </w:r>
    </w:p>
    <w:p w14:paraId="01AE1BD4">
      <w:pPr>
        <w:wordWrap w:val="0"/>
        <w:adjustRightInd w:val="0"/>
        <w:snapToGrid w:val="0"/>
        <w:spacing w:line="440" w:lineRule="exact"/>
        <w:ind w:firstLine="480" w:firstLineChars="200"/>
        <w:rPr>
          <w:rFonts w:hAnsi="宋体" w:cs="宋体"/>
          <w:snapToGrid w:val="0"/>
          <w:color w:val="auto"/>
          <w:kern w:val="0"/>
          <w:szCs w:val="21"/>
        </w:rPr>
      </w:pPr>
    </w:p>
    <w:p w14:paraId="3CA281FC">
      <w:pPr>
        <w:wordWrap w:val="0"/>
        <w:adjustRightInd w:val="0"/>
        <w:snapToGrid w:val="0"/>
        <w:spacing w:line="440" w:lineRule="exact"/>
        <w:ind w:firstLine="480" w:firstLineChars="200"/>
        <w:rPr>
          <w:rFonts w:hAnsi="宋体" w:cs="宋体"/>
          <w:snapToGrid w:val="0"/>
          <w:color w:val="auto"/>
          <w:kern w:val="0"/>
          <w:szCs w:val="21"/>
        </w:rPr>
      </w:pPr>
    </w:p>
    <w:p w14:paraId="6D38DEE2">
      <w:pPr>
        <w:wordWrap w:val="0"/>
        <w:adjustRightInd w:val="0"/>
        <w:snapToGrid w:val="0"/>
        <w:ind w:firstLine="6440" w:firstLineChars="2300"/>
        <w:rPr>
          <w:rFonts w:hAnsi="宋体" w:cs="宋体"/>
          <w:snapToGrid w:val="0"/>
          <w:color w:val="auto"/>
          <w:kern w:val="0"/>
          <w:szCs w:val="24"/>
        </w:rPr>
      </w:pPr>
      <w:r>
        <w:rPr>
          <w:rFonts w:hint="eastAsia" w:hAnsi="宋体" w:cs="宋体"/>
          <w:snapToGrid w:val="0"/>
          <w:color w:val="auto"/>
          <w:kern w:val="0"/>
          <w:sz w:val="28"/>
          <w:szCs w:val="28"/>
          <w:u w:val="single"/>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33020</wp:posOffset>
                </wp:positionV>
                <wp:extent cx="3190875" cy="1584325"/>
                <wp:effectExtent l="4445" t="4445" r="5080" b="11430"/>
                <wp:wrapNone/>
                <wp:docPr id="3" name="自选图形 19"/>
                <wp:cNvGraphicFramePr/>
                <a:graphic xmlns:a="http://schemas.openxmlformats.org/drawingml/2006/main">
                  <a:graphicData uri="http://schemas.microsoft.com/office/word/2010/wordprocessingShape">
                    <wps:wsp>
                      <wps:cNvSpPr/>
                      <wps:spPr>
                        <a:xfrm>
                          <a:off x="0" y="0"/>
                          <a:ext cx="319087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80597CF">
                            <w:pPr>
                              <w:jc w:val="center"/>
                              <w:rPr>
                                <w:szCs w:val="21"/>
                              </w:rPr>
                            </w:pPr>
                          </w:p>
                          <w:p w14:paraId="7F17E7BA">
                            <w:pPr>
                              <w:jc w:val="center"/>
                              <w:rPr>
                                <w:szCs w:val="21"/>
                              </w:rPr>
                            </w:pPr>
                          </w:p>
                          <w:p w14:paraId="04B92384">
                            <w:pPr>
                              <w:jc w:val="center"/>
                              <w:rPr>
                                <w:szCs w:val="21"/>
                              </w:rPr>
                            </w:pPr>
                            <w:r>
                              <w:rPr>
                                <w:rFonts w:hint="eastAsia"/>
                                <w:szCs w:val="21"/>
                              </w:rPr>
                              <w:t>委托代理人身份证彩色扫描件正、反面</w:t>
                            </w:r>
                          </w:p>
                        </w:txbxContent>
                      </wps:txbx>
                      <wps:bodyPr wrap="square" upright="1"/>
                    </wps:wsp>
                  </a:graphicData>
                </a:graphic>
              </wp:anchor>
            </w:drawing>
          </mc:Choice>
          <mc:Fallback>
            <w:pict>
              <v:shape id="自选图形 19" o:spid="_x0000_s1026" o:spt="176" type="#_x0000_t176" style="position:absolute;left:0pt;margin-left:115.5pt;margin-top:2.6pt;height:124.75pt;width:251.25pt;z-index:251660288;mso-width-relative:page;mso-height-relative:page;" fillcolor="#FFFFFF" filled="t" stroked="t" coordsize="21600,21600" o:gfxdata="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sn06zYAAAACQEAAA8AAAAAAAAAAQAgAAAAIgAAAGRycy9kb3ducmV2LnhtbFBLAQIUABQAAAAI&#10;AIdO4kBaUS9UJgIAAFQEAAAOAAAAAAAAAAEAIAAAACcBAABkcnMvZTJvRG9jLnhtbFBLBQYAAAAA&#10;BgAGAFkBAAC/BQAAAAA=&#10;">
                <v:fill on="t" focussize="0,0"/>
                <v:stroke color="#000000" joinstyle="miter"/>
                <v:imagedata o:title=""/>
                <o:lock v:ext="edit" aspectratio="f"/>
                <v:textbox>
                  <w:txbxContent>
                    <w:p w14:paraId="180597CF">
                      <w:pPr>
                        <w:jc w:val="center"/>
                        <w:rPr>
                          <w:szCs w:val="21"/>
                        </w:rPr>
                      </w:pPr>
                    </w:p>
                    <w:p w14:paraId="7F17E7BA">
                      <w:pPr>
                        <w:jc w:val="center"/>
                        <w:rPr>
                          <w:szCs w:val="21"/>
                        </w:rPr>
                      </w:pPr>
                    </w:p>
                    <w:p w14:paraId="04B92384">
                      <w:pPr>
                        <w:jc w:val="center"/>
                        <w:rPr>
                          <w:szCs w:val="21"/>
                        </w:rPr>
                      </w:pPr>
                      <w:r>
                        <w:rPr>
                          <w:rFonts w:hint="eastAsia"/>
                          <w:szCs w:val="21"/>
                        </w:rPr>
                        <w:t>委托代理人身份证彩色扫描件正、反面</w:t>
                      </w:r>
                    </w:p>
                  </w:txbxContent>
                </v:textbox>
              </v:shape>
            </w:pict>
          </mc:Fallback>
        </mc:AlternateContent>
      </w:r>
    </w:p>
    <w:p w14:paraId="1810DE78">
      <w:pPr>
        <w:pStyle w:val="7"/>
        <w:wordWrap w:val="0"/>
        <w:adjustRightInd w:val="0"/>
        <w:snapToGrid w:val="0"/>
        <w:rPr>
          <w:rFonts w:hAnsi="宋体" w:cs="宋体"/>
          <w:snapToGrid w:val="0"/>
          <w:color w:val="auto"/>
          <w:kern w:val="0"/>
          <w:szCs w:val="24"/>
        </w:rPr>
      </w:pPr>
    </w:p>
    <w:p w14:paraId="16F9EB93">
      <w:pPr>
        <w:pStyle w:val="4"/>
        <w:keepNext w:val="0"/>
        <w:keepLines w:val="0"/>
        <w:widowControl w:val="0"/>
        <w:wordWrap w:val="0"/>
        <w:adjustRightInd w:val="0"/>
        <w:snapToGrid w:val="0"/>
        <w:rPr>
          <w:rFonts w:ascii="宋体" w:hAnsi="宋体" w:cs="宋体"/>
          <w:snapToGrid w:val="0"/>
          <w:color w:val="auto"/>
        </w:rPr>
      </w:pPr>
    </w:p>
    <w:p w14:paraId="1B52D379">
      <w:pPr>
        <w:wordWrap w:val="0"/>
        <w:adjustRightInd w:val="0"/>
        <w:snapToGrid w:val="0"/>
        <w:rPr>
          <w:rFonts w:hAnsi="宋体" w:cs="宋体"/>
          <w:snapToGrid w:val="0"/>
          <w:color w:val="auto"/>
          <w:kern w:val="0"/>
        </w:rPr>
        <w:sectPr>
          <w:endnotePr>
            <w:numFmt w:val="decimal"/>
          </w:endnotePr>
          <w:pgSz w:w="11906" w:h="16838"/>
          <w:pgMar w:top="1417" w:right="1417" w:bottom="1417" w:left="1417" w:header="850" w:footer="992" w:gutter="0"/>
          <w:cols w:space="0" w:num="1"/>
          <w:docGrid w:linePitch="327" w:charSpace="0"/>
        </w:sectPr>
      </w:pPr>
    </w:p>
    <w:p w14:paraId="717EFB5D">
      <w:pPr>
        <w:wordWrap w:val="0"/>
        <w:adjustRightInd w:val="0"/>
        <w:snapToGrid w:val="0"/>
        <w:spacing w:line="440" w:lineRule="exact"/>
        <w:outlineLvl w:val="1"/>
        <w:rPr>
          <w:rFonts w:hAnsi="宋体" w:cs="宋体"/>
          <w:b/>
          <w:snapToGrid w:val="0"/>
          <w:color w:val="auto"/>
          <w:kern w:val="0"/>
        </w:rPr>
      </w:pPr>
      <w:bookmarkStart w:id="275" w:name="_Toc11654"/>
      <w:r>
        <w:rPr>
          <w:rFonts w:hint="eastAsia" w:hAnsi="宋体" w:cs="宋体"/>
          <w:b/>
          <w:snapToGrid w:val="0"/>
          <w:color w:val="auto"/>
          <w:kern w:val="0"/>
        </w:rPr>
        <w:t>格式五 法定代表人身份证明</w:t>
      </w:r>
      <w:bookmarkEnd w:id="275"/>
    </w:p>
    <w:p w14:paraId="1F663D20">
      <w:pPr>
        <w:wordWrap w:val="0"/>
        <w:adjustRightInd w:val="0"/>
        <w:snapToGrid w:val="0"/>
        <w:spacing w:line="440" w:lineRule="exact"/>
        <w:rPr>
          <w:rFonts w:hAnsi="宋体" w:cs="宋体"/>
          <w:b/>
          <w:snapToGrid w:val="0"/>
          <w:color w:val="auto"/>
          <w:kern w:val="0"/>
        </w:rPr>
      </w:pPr>
    </w:p>
    <w:p w14:paraId="1B788975">
      <w:pPr>
        <w:wordWrap w:val="0"/>
        <w:adjustRightInd w:val="0"/>
        <w:snapToGrid w:val="0"/>
        <w:spacing w:before="260" w:after="260" w:line="440" w:lineRule="exact"/>
        <w:jc w:val="center"/>
        <w:rPr>
          <w:rFonts w:hAnsi="宋体" w:cs="宋体"/>
          <w:b/>
          <w:snapToGrid w:val="0"/>
          <w:color w:val="auto"/>
          <w:kern w:val="0"/>
        </w:rPr>
      </w:pPr>
      <w:r>
        <w:rPr>
          <w:rFonts w:hint="eastAsia" w:hAnsi="宋体" w:cs="宋体"/>
          <w:b/>
          <w:snapToGrid w:val="0"/>
          <w:color w:val="auto"/>
          <w:kern w:val="0"/>
          <w:sz w:val="30"/>
        </w:rPr>
        <w:t>法定代表人身份证明</w:t>
      </w:r>
    </w:p>
    <w:p w14:paraId="6D1A162B">
      <w:pPr>
        <w:wordWrap w:val="0"/>
        <w:adjustRightInd w:val="0"/>
        <w:snapToGrid w:val="0"/>
        <w:spacing w:line="440" w:lineRule="exact"/>
        <w:rPr>
          <w:rFonts w:hAnsi="宋体" w:cs="宋体"/>
          <w:snapToGrid w:val="0"/>
          <w:color w:val="auto"/>
          <w:kern w:val="0"/>
          <w:szCs w:val="21"/>
        </w:rPr>
      </w:pPr>
    </w:p>
    <w:p w14:paraId="0CA196E1">
      <w:pPr>
        <w:wordWrap w:val="0"/>
        <w:adjustRightInd w:val="0"/>
        <w:snapToGrid w:val="0"/>
        <w:spacing w:line="440" w:lineRule="exact"/>
        <w:rPr>
          <w:rFonts w:hAnsi="宋体" w:cs="宋体"/>
          <w:snapToGrid w:val="0"/>
          <w:color w:val="auto"/>
          <w:kern w:val="0"/>
          <w:szCs w:val="21"/>
          <w:u w:val="single"/>
        </w:rPr>
      </w:pPr>
      <w:r>
        <w:rPr>
          <w:rFonts w:hint="eastAsia" w:hAnsi="宋体" w:cs="宋体"/>
          <w:snapToGrid w:val="0"/>
          <w:color w:val="auto"/>
          <w:kern w:val="0"/>
          <w:szCs w:val="21"/>
        </w:rPr>
        <w:t>投标人名称：</w:t>
      </w:r>
      <w:r>
        <w:rPr>
          <w:rFonts w:hint="eastAsia" w:hAnsi="宋体" w:cs="宋体"/>
          <w:snapToGrid w:val="0"/>
          <w:color w:val="auto"/>
          <w:kern w:val="0"/>
          <w:szCs w:val="21"/>
          <w:u w:val="single"/>
        </w:rPr>
        <w:t xml:space="preserve">                  </w:t>
      </w:r>
    </w:p>
    <w:p w14:paraId="7600B549">
      <w:pPr>
        <w:wordWrap w:val="0"/>
        <w:adjustRightInd w:val="0"/>
        <w:snapToGrid w:val="0"/>
        <w:spacing w:line="440" w:lineRule="exact"/>
        <w:rPr>
          <w:rFonts w:hAnsi="宋体" w:cs="宋体"/>
          <w:snapToGrid w:val="0"/>
          <w:color w:val="auto"/>
          <w:kern w:val="0"/>
          <w:szCs w:val="21"/>
          <w:u w:val="single"/>
        </w:rPr>
      </w:pPr>
      <w:r>
        <w:rPr>
          <w:rFonts w:hint="eastAsia" w:hAnsi="宋体" w:cs="宋体"/>
          <w:snapToGrid w:val="0"/>
          <w:color w:val="auto"/>
          <w:kern w:val="0"/>
          <w:szCs w:val="21"/>
        </w:rPr>
        <w:t>姓名：</w:t>
      </w:r>
      <w:r>
        <w:rPr>
          <w:rFonts w:hint="eastAsia" w:hAnsi="宋体" w:cs="宋体"/>
          <w:snapToGrid w:val="0"/>
          <w:color w:val="auto"/>
          <w:kern w:val="0"/>
          <w:szCs w:val="21"/>
          <w:u w:val="single"/>
        </w:rPr>
        <w:t xml:space="preserve">         </w:t>
      </w:r>
      <w:r>
        <w:rPr>
          <w:rFonts w:hint="eastAsia" w:hAnsi="宋体" w:cs="宋体"/>
          <w:snapToGrid w:val="0"/>
          <w:color w:val="auto"/>
          <w:kern w:val="0"/>
          <w:szCs w:val="21"/>
        </w:rPr>
        <w:t>性别：</w:t>
      </w:r>
      <w:r>
        <w:rPr>
          <w:rFonts w:hint="eastAsia" w:hAnsi="宋体" w:cs="宋体"/>
          <w:snapToGrid w:val="0"/>
          <w:color w:val="auto"/>
          <w:kern w:val="0"/>
          <w:szCs w:val="21"/>
          <w:u w:val="single"/>
        </w:rPr>
        <w:t xml:space="preserve">      </w:t>
      </w:r>
      <w:r>
        <w:rPr>
          <w:rFonts w:hint="eastAsia" w:hAnsi="宋体" w:cs="宋体"/>
          <w:snapToGrid w:val="0"/>
          <w:color w:val="auto"/>
          <w:kern w:val="0"/>
          <w:szCs w:val="21"/>
        </w:rPr>
        <w:t>年龄：</w:t>
      </w:r>
      <w:r>
        <w:rPr>
          <w:rFonts w:hint="eastAsia" w:hAnsi="宋体" w:cs="宋体"/>
          <w:snapToGrid w:val="0"/>
          <w:color w:val="auto"/>
          <w:kern w:val="0"/>
          <w:szCs w:val="21"/>
          <w:u w:val="single"/>
        </w:rPr>
        <w:t xml:space="preserve">       </w:t>
      </w:r>
      <w:r>
        <w:rPr>
          <w:rFonts w:hint="eastAsia" w:hAnsi="宋体" w:cs="宋体"/>
          <w:snapToGrid w:val="0"/>
          <w:color w:val="auto"/>
          <w:kern w:val="0"/>
          <w:szCs w:val="21"/>
        </w:rPr>
        <w:t>职务：</w:t>
      </w:r>
      <w:r>
        <w:rPr>
          <w:rFonts w:hint="eastAsia" w:hAnsi="宋体" w:cs="宋体"/>
          <w:snapToGrid w:val="0"/>
          <w:color w:val="auto"/>
          <w:kern w:val="0"/>
          <w:szCs w:val="21"/>
          <w:u w:val="single"/>
        </w:rPr>
        <w:t xml:space="preserve">           </w:t>
      </w:r>
    </w:p>
    <w:p w14:paraId="318F0FBE">
      <w:pPr>
        <w:wordWrap w:val="0"/>
        <w:adjustRightInd w:val="0"/>
        <w:snapToGrid w:val="0"/>
        <w:spacing w:line="440" w:lineRule="exact"/>
        <w:rPr>
          <w:rFonts w:hAnsi="宋体" w:cs="宋体"/>
          <w:snapToGrid w:val="0"/>
          <w:color w:val="auto"/>
          <w:kern w:val="0"/>
          <w:szCs w:val="21"/>
        </w:rPr>
      </w:pPr>
      <w:r>
        <w:rPr>
          <w:rFonts w:hint="eastAsia" w:hAnsi="宋体" w:cs="宋体"/>
          <w:snapToGrid w:val="0"/>
          <w:color w:val="auto"/>
          <w:kern w:val="0"/>
          <w:szCs w:val="21"/>
        </w:rPr>
        <w:t>系</w:t>
      </w:r>
      <w:r>
        <w:rPr>
          <w:rFonts w:hint="eastAsia" w:hAnsi="宋体" w:cs="宋体"/>
          <w:snapToGrid w:val="0"/>
          <w:color w:val="auto"/>
          <w:kern w:val="0"/>
          <w:szCs w:val="21"/>
          <w:u w:val="single"/>
        </w:rPr>
        <w:t xml:space="preserve">                        </w:t>
      </w:r>
      <w:r>
        <w:rPr>
          <w:rFonts w:hint="eastAsia" w:hAnsi="宋体" w:cs="宋体"/>
          <w:snapToGrid w:val="0"/>
          <w:color w:val="auto"/>
          <w:kern w:val="0"/>
          <w:szCs w:val="21"/>
        </w:rPr>
        <w:t>（投标人名称）的法定代表人。</w:t>
      </w:r>
    </w:p>
    <w:p w14:paraId="28243746">
      <w:pPr>
        <w:wordWrap w:val="0"/>
        <w:adjustRightInd w:val="0"/>
        <w:snapToGrid w:val="0"/>
        <w:spacing w:line="440" w:lineRule="exact"/>
        <w:rPr>
          <w:rFonts w:hAnsi="宋体" w:cs="宋体"/>
          <w:snapToGrid w:val="0"/>
          <w:color w:val="auto"/>
          <w:kern w:val="0"/>
          <w:szCs w:val="21"/>
        </w:rPr>
      </w:pPr>
      <w:r>
        <w:rPr>
          <w:rFonts w:hint="eastAsia" w:hAnsi="宋体" w:cs="宋体"/>
          <w:snapToGrid w:val="0"/>
          <w:color w:val="auto"/>
          <w:kern w:val="0"/>
          <w:szCs w:val="21"/>
        </w:rPr>
        <w:t xml:space="preserve">    特此证明。</w:t>
      </w:r>
    </w:p>
    <w:p w14:paraId="1E36CBEE">
      <w:pPr>
        <w:wordWrap w:val="0"/>
        <w:adjustRightInd w:val="0"/>
        <w:snapToGrid w:val="0"/>
        <w:spacing w:line="440" w:lineRule="exact"/>
        <w:rPr>
          <w:rFonts w:hAnsi="宋体" w:cs="宋体"/>
          <w:snapToGrid w:val="0"/>
          <w:color w:val="auto"/>
          <w:kern w:val="0"/>
          <w:szCs w:val="21"/>
        </w:rPr>
      </w:pPr>
    </w:p>
    <w:p w14:paraId="1ED28CDF">
      <w:pPr>
        <w:wordWrap w:val="0"/>
        <w:adjustRightInd w:val="0"/>
        <w:snapToGrid w:val="0"/>
        <w:spacing w:line="440" w:lineRule="exact"/>
        <w:rPr>
          <w:rFonts w:hAnsi="宋体" w:cs="宋体"/>
          <w:snapToGrid w:val="0"/>
          <w:color w:val="auto"/>
          <w:kern w:val="0"/>
          <w:szCs w:val="21"/>
        </w:rPr>
      </w:pPr>
    </w:p>
    <w:p w14:paraId="11B4EA46">
      <w:pPr>
        <w:wordWrap w:val="0"/>
        <w:adjustRightInd w:val="0"/>
        <w:snapToGrid w:val="0"/>
        <w:spacing w:line="440" w:lineRule="exact"/>
        <w:jc w:val="right"/>
        <w:rPr>
          <w:rFonts w:hAnsi="宋体" w:cs="宋体"/>
          <w:snapToGrid w:val="0"/>
          <w:color w:val="auto"/>
          <w:kern w:val="0"/>
          <w:szCs w:val="21"/>
        </w:rPr>
      </w:pPr>
      <w:r>
        <w:rPr>
          <w:rFonts w:hint="eastAsia" w:hAnsi="宋体" w:cs="宋体"/>
          <w:snapToGrid w:val="0"/>
          <w:color w:val="auto"/>
          <w:kern w:val="0"/>
          <w:szCs w:val="21"/>
        </w:rPr>
        <w:t>投标人：</w:t>
      </w:r>
      <w:r>
        <w:rPr>
          <w:rFonts w:hint="eastAsia" w:hAnsi="宋体" w:cs="宋体"/>
          <w:snapToGrid w:val="0"/>
          <w:color w:val="auto"/>
          <w:kern w:val="0"/>
          <w:szCs w:val="21"/>
          <w:u w:val="single"/>
        </w:rPr>
        <w:t xml:space="preserve">                          </w:t>
      </w:r>
      <w:r>
        <w:rPr>
          <w:rFonts w:hint="eastAsia" w:hAnsi="宋体" w:cs="宋体"/>
          <w:snapToGrid w:val="0"/>
          <w:color w:val="auto"/>
          <w:kern w:val="0"/>
          <w:szCs w:val="21"/>
        </w:rPr>
        <w:t>（盖单位章）</w:t>
      </w:r>
    </w:p>
    <w:p w14:paraId="7DA4994E">
      <w:pPr>
        <w:wordWrap w:val="0"/>
        <w:adjustRightInd w:val="0"/>
        <w:snapToGrid w:val="0"/>
        <w:spacing w:line="440" w:lineRule="exact"/>
        <w:jc w:val="right"/>
        <w:rPr>
          <w:rFonts w:hAnsi="宋体" w:cs="宋体"/>
          <w:snapToGrid w:val="0"/>
          <w:color w:val="auto"/>
          <w:kern w:val="0"/>
          <w:szCs w:val="21"/>
        </w:rPr>
      </w:pPr>
    </w:p>
    <w:p w14:paraId="1C116C10">
      <w:pPr>
        <w:wordWrap w:val="0"/>
        <w:adjustRightInd w:val="0"/>
        <w:snapToGrid w:val="0"/>
        <w:spacing w:line="440" w:lineRule="exact"/>
        <w:jc w:val="right"/>
        <w:rPr>
          <w:rFonts w:hAnsi="宋体" w:cs="宋体"/>
          <w:snapToGrid w:val="0"/>
          <w:color w:val="auto"/>
          <w:kern w:val="0"/>
          <w:szCs w:val="21"/>
        </w:rPr>
      </w:pPr>
    </w:p>
    <w:p w14:paraId="334DFEEC">
      <w:pPr>
        <w:wordWrap w:val="0"/>
        <w:adjustRightInd w:val="0"/>
        <w:snapToGrid w:val="0"/>
        <w:spacing w:line="440" w:lineRule="exact"/>
        <w:jc w:val="right"/>
        <w:rPr>
          <w:rFonts w:hAnsi="宋体" w:cs="宋体"/>
          <w:snapToGrid w:val="0"/>
          <w:color w:val="auto"/>
          <w:kern w:val="0"/>
          <w:szCs w:val="21"/>
        </w:rPr>
      </w:pPr>
      <w:r>
        <w:rPr>
          <w:rFonts w:hint="eastAsia" w:hAnsi="宋体" w:cs="宋体"/>
          <w:snapToGrid w:val="0"/>
          <w:color w:val="auto"/>
          <w:kern w:val="0"/>
          <w:szCs w:val="21"/>
        </w:rPr>
        <w:t xml:space="preserve">                           法定代表人：</w:t>
      </w:r>
      <w:r>
        <w:rPr>
          <w:rFonts w:hint="eastAsia" w:hAnsi="宋体" w:cs="宋体"/>
          <w:snapToGrid w:val="0"/>
          <w:color w:val="auto"/>
          <w:kern w:val="0"/>
          <w:szCs w:val="21"/>
          <w:u w:val="single"/>
        </w:rPr>
        <w:t xml:space="preserve">                       </w:t>
      </w:r>
      <w:r>
        <w:rPr>
          <w:rFonts w:hint="eastAsia" w:hAnsi="宋体" w:cs="宋体"/>
          <w:snapToGrid w:val="0"/>
          <w:color w:val="auto"/>
          <w:kern w:val="0"/>
          <w:szCs w:val="21"/>
        </w:rPr>
        <w:t>（签字或盖章）</w:t>
      </w:r>
    </w:p>
    <w:p w14:paraId="5740A7DB">
      <w:pPr>
        <w:wordWrap w:val="0"/>
        <w:adjustRightInd w:val="0"/>
        <w:snapToGrid w:val="0"/>
        <w:spacing w:line="440" w:lineRule="exact"/>
        <w:jc w:val="center"/>
        <w:rPr>
          <w:rFonts w:hAnsi="宋体" w:cs="宋体"/>
          <w:snapToGrid w:val="0"/>
          <w:color w:val="auto"/>
          <w:kern w:val="0"/>
          <w:szCs w:val="21"/>
        </w:rPr>
      </w:pPr>
      <w:r>
        <w:rPr>
          <w:rFonts w:hint="eastAsia" w:hAnsi="宋体" w:cs="宋体"/>
          <w:snapToGrid w:val="0"/>
          <w:color w:val="auto"/>
          <w:kern w:val="0"/>
          <w:szCs w:val="21"/>
        </w:rPr>
        <w:t xml:space="preserve">                        </w:t>
      </w:r>
    </w:p>
    <w:p w14:paraId="0743E01A">
      <w:pPr>
        <w:wordWrap w:val="0"/>
        <w:adjustRightInd w:val="0"/>
        <w:snapToGrid w:val="0"/>
        <w:spacing w:line="440" w:lineRule="exact"/>
        <w:jc w:val="center"/>
        <w:rPr>
          <w:rFonts w:hAnsi="宋体" w:cs="宋体"/>
          <w:snapToGrid w:val="0"/>
          <w:color w:val="auto"/>
          <w:kern w:val="0"/>
          <w:szCs w:val="21"/>
        </w:rPr>
      </w:pPr>
      <w:r>
        <w:rPr>
          <w:rFonts w:hint="eastAsia" w:hAnsi="宋体" w:cs="宋体"/>
          <w:snapToGrid w:val="0"/>
          <w:color w:val="auto"/>
          <w:kern w:val="0"/>
          <w:szCs w:val="21"/>
        </w:rPr>
        <w:t xml:space="preserve">                            </w:t>
      </w:r>
      <w:r>
        <w:rPr>
          <w:rFonts w:hint="eastAsia" w:hAnsi="宋体" w:cs="宋体"/>
          <w:snapToGrid w:val="0"/>
          <w:color w:val="auto"/>
          <w:kern w:val="0"/>
          <w:szCs w:val="21"/>
          <w:u w:val="single"/>
        </w:rPr>
        <w:t xml:space="preserve">         </w:t>
      </w:r>
      <w:r>
        <w:rPr>
          <w:rFonts w:hint="eastAsia" w:hAnsi="宋体" w:cs="宋体"/>
          <w:snapToGrid w:val="0"/>
          <w:color w:val="auto"/>
          <w:kern w:val="0"/>
          <w:szCs w:val="21"/>
        </w:rPr>
        <w:t>年</w:t>
      </w:r>
      <w:r>
        <w:rPr>
          <w:rFonts w:hint="eastAsia" w:hAnsi="宋体" w:cs="宋体"/>
          <w:snapToGrid w:val="0"/>
          <w:color w:val="auto"/>
          <w:kern w:val="0"/>
          <w:szCs w:val="21"/>
          <w:u w:val="single"/>
        </w:rPr>
        <w:t xml:space="preserve">      </w:t>
      </w:r>
      <w:r>
        <w:rPr>
          <w:rFonts w:hint="eastAsia" w:hAnsi="宋体" w:cs="宋体"/>
          <w:snapToGrid w:val="0"/>
          <w:color w:val="auto"/>
          <w:kern w:val="0"/>
          <w:szCs w:val="21"/>
        </w:rPr>
        <w:t>月</w:t>
      </w:r>
      <w:r>
        <w:rPr>
          <w:rFonts w:hint="eastAsia" w:hAnsi="宋体" w:cs="宋体"/>
          <w:snapToGrid w:val="0"/>
          <w:color w:val="auto"/>
          <w:kern w:val="0"/>
          <w:szCs w:val="21"/>
          <w:u w:val="single"/>
        </w:rPr>
        <w:t xml:space="preserve">      </w:t>
      </w:r>
      <w:r>
        <w:rPr>
          <w:rFonts w:hint="eastAsia" w:hAnsi="宋体" w:cs="宋体"/>
          <w:snapToGrid w:val="0"/>
          <w:color w:val="auto"/>
          <w:kern w:val="0"/>
          <w:szCs w:val="21"/>
        </w:rPr>
        <w:t xml:space="preserve">日       </w:t>
      </w:r>
    </w:p>
    <w:p w14:paraId="780F8805">
      <w:pPr>
        <w:wordWrap w:val="0"/>
        <w:adjustRightInd w:val="0"/>
        <w:snapToGrid w:val="0"/>
        <w:spacing w:line="440" w:lineRule="exact"/>
        <w:ind w:firstLine="240" w:firstLineChars="100"/>
        <w:rPr>
          <w:rFonts w:hAnsi="宋体" w:cs="宋体"/>
          <w:snapToGrid w:val="0"/>
          <w:color w:val="auto"/>
          <w:kern w:val="0"/>
          <w:szCs w:val="21"/>
        </w:rPr>
      </w:pPr>
      <w:r>
        <w:rPr>
          <w:rFonts w:hint="eastAsia" w:hAnsi="宋体" w:cs="宋体"/>
          <w:snapToGrid w:val="0"/>
          <w:color w:val="auto"/>
          <w:kern w:val="0"/>
          <w:szCs w:val="21"/>
        </w:rPr>
        <w:t xml:space="preserve">     </w:t>
      </w:r>
    </w:p>
    <w:p w14:paraId="0368F341">
      <w:pPr>
        <w:wordWrap w:val="0"/>
        <w:adjustRightInd w:val="0"/>
        <w:snapToGrid w:val="0"/>
        <w:spacing w:line="440" w:lineRule="exact"/>
        <w:ind w:firstLine="240" w:firstLineChars="100"/>
        <w:rPr>
          <w:rFonts w:hAnsi="宋体" w:cs="宋体"/>
          <w:snapToGrid w:val="0"/>
          <w:color w:val="auto"/>
          <w:kern w:val="0"/>
          <w:szCs w:val="21"/>
        </w:rPr>
      </w:pPr>
    </w:p>
    <w:p w14:paraId="6669D9DB">
      <w:pPr>
        <w:wordWrap w:val="0"/>
        <w:adjustRightInd w:val="0"/>
        <w:snapToGrid w:val="0"/>
        <w:spacing w:line="440" w:lineRule="exact"/>
        <w:ind w:firstLine="240" w:firstLineChars="100"/>
        <w:rPr>
          <w:rFonts w:hAnsi="宋体" w:cs="宋体"/>
          <w:snapToGrid w:val="0"/>
          <w:color w:val="auto"/>
          <w:kern w:val="0"/>
          <w:szCs w:val="21"/>
        </w:rPr>
      </w:pPr>
    </w:p>
    <w:p w14:paraId="037F01AB">
      <w:pPr>
        <w:wordWrap w:val="0"/>
        <w:adjustRightInd w:val="0"/>
        <w:snapToGrid w:val="0"/>
        <w:spacing w:line="440" w:lineRule="exact"/>
        <w:ind w:firstLine="720" w:firstLineChars="300"/>
        <w:rPr>
          <w:rFonts w:hAnsi="宋体" w:cs="宋体"/>
          <w:b/>
          <w:snapToGrid w:val="0"/>
          <w:color w:val="auto"/>
          <w:kern w:val="0"/>
          <w:szCs w:val="21"/>
        </w:rPr>
      </w:pPr>
      <w:r>
        <w:rPr>
          <w:rFonts w:hint="eastAsia" w:hAnsi="宋体" w:cs="宋体"/>
          <w:snapToGrid w:val="0"/>
          <w:color w:val="auto"/>
          <w:kern w:val="0"/>
          <w:szCs w:val="21"/>
        </w:rPr>
        <w:t xml:space="preserve">  </w:t>
      </w:r>
      <w:r>
        <w:rPr>
          <w:rFonts w:hint="eastAsia" w:hAnsi="宋体" w:cs="宋体"/>
          <w:i/>
          <w:iCs/>
          <w:snapToGrid w:val="0"/>
          <w:color w:val="auto"/>
          <w:kern w:val="0"/>
          <w:szCs w:val="21"/>
        </w:rPr>
        <w:t xml:space="preserve"> </w:t>
      </w:r>
    </w:p>
    <w:p w14:paraId="3284445A">
      <w:pPr>
        <w:wordWrap w:val="0"/>
        <w:adjustRightInd w:val="0"/>
        <w:snapToGrid w:val="0"/>
        <w:rPr>
          <w:rFonts w:hAnsi="宋体" w:cs="宋体"/>
          <w:b/>
          <w:snapToGrid w:val="0"/>
          <w:color w:val="auto"/>
          <w:kern w:val="0"/>
          <w:szCs w:val="21"/>
        </w:rPr>
      </w:pPr>
      <w:r>
        <w:rPr>
          <w:rFonts w:hint="eastAsia" w:hAnsi="宋体" w:cs="宋体"/>
          <w:b/>
          <w:snapToGrid w:val="0"/>
          <w:color w:val="auto"/>
          <w:kern w:val="0"/>
          <w:szCs w:val="21"/>
        </w:rPr>
        <mc:AlternateContent>
          <mc:Choice Requires="wps">
            <w:drawing>
              <wp:anchor distT="0" distB="0" distL="114300" distR="114300" simplePos="0" relativeHeight="251659264" behindDoc="0" locked="0" layoutInCell="1" allowOverlap="1">
                <wp:simplePos x="0" y="0"/>
                <wp:positionH relativeFrom="column">
                  <wp:posOffset>1191260</wp:posOffset>
                </wp:positionH>
                <wp:positionV relativeFrom="paragraph">
                  <wp:posOffset>20320</wp:posOffset>
                </wp:positionV>
                <wp:extent cx="3253105" cy="1584325"/>
                <wp:effectExtent l="4445" t="4445" r="19050" b="11430"/>
                <wp:wrapNone/>
                <wp:docPr id="1" name="自选图形 18"/>
                <wp:cNvGraphicFramePr/>
                <a:graphic xmlns:a="http://schemas.openxmlformats.org/drawingml/2006/main">
                  <a:graphicData uri="http://schemas.microsoft.com/office/word/2010/wordprocessingShape">
                    <wps:wsp>
                      <wps:cNvSpPr/>
                      <wps:spPr>
                        <a:xfrm>
                          <a:off x="0" y="0"/>
                          <a:ext cx="325310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395F2E9">
                            <w:pPr>
                              <w:jc w:val="center"/>
                              <w:rPr>
                                <w:szCs w:val="21"/>
                              </w:rPr>
                            </w:pPr>
                          </w:p>
                          <w:p w14:paraId="1F147B65">
                            <w:pPr>
                              <w:jc w:val="center"/>
                              <w:rPr>
                                <w:szCs w:val="21"/>
                              </w:rPr>
                            </w:pPr>
                          </w:p>
                          <w:p w14:paraId="3F4F64E3">
                            <w:pPr>
                              <w:jc w:val="center"/>
                              <w:rPr>
                                <w:szCs w:val="21"/>
                              </w:rPr>
                            </w:pPr>
                            <w:r>
                              <w:rPr>
                                <w:rFonts w:hint="eastAsia"/>
                                <w:szCs w:val="21"/>
                              </w:rPr>
                              <w:t>法定代表人身份证彩色扫描件正、反面</w:t>
                            </w:r>
                          </w:p>
                        </w:txbxContent>
                      </wps:txbx>
                      <wps:bodyPr wrap="square" upright="1"/>
                    </wps:wsp>
                  </a:graphicData>
                </a:graphic>
              </wp:anchor>
            </w:drawing>
          </mc:Choice>
          <mc:Fallback>
            <w:pict>
              <v:shape id="自选图形 18" o:spid="_x0000_s1026" o:spt="176" type="#_x0000_t176" style="position:absolute;left:0pt;margin-left:93.8pt;margin-top:1.6pt;height:124.75pt;width:256.15pt;z-index:251659264;mso-width-relative:page;mso-height-relative:page;" fillcolor="#FFFFFF" filled="t" stroked="t" coordsize="21600,21600" o:gfxdata="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Ds&#10;wm7XAAAACQEAAA8AAAAAAAAAAQAgAAAAIgAAAGRycy9kb3ducmV2LnhtbFBLAQIUABQAAAAIAIdO&#10;4kCgE5luJAIAAFQEAAAOAAAAAAAAAAEAIAAAACYBAABkcnMvZTJvRG9jLnhtbFBLBQYAAAAABgAG&#10;AFkBAAC8BQAAAAA=&#10;">
                <v:fill on="t" focussize="0,0"/>
                <v:stroke color="#000000" joinstyle="miter"/>
                <v:imagedata o:title=""/>
                <o:lock v:ext="edit" aspectratio="f"/>
                <v:textbox>
                  <w:txbxContent>
                    <w:p w14:paraId="1395F2E9">
                      <w:pPr>
                        <w:jc w:val="center"/>
                        <w:rPr>
                          <w:szCs w:val="21"/>
                        </w:rPr>
                      </w:pPr>
                    </w:p>
                    <w:p w14:paraId="1F147B65">
                      <w:pPr>
                        <w:jc w:val="center"/>
                        <w:rPr>
                          <w:szCs w:val="21"/>
                        </w:rPr>
                      </w:pPr>
                    </w:p>
                    <w:p w14:paraId="3F4F64E3">
                      <w:pPr>
                        <w:jc w:val="center"/>
                        <w:rPr>
                          <w:szCs w:val="21"/>
                        </w:rPr>
                      </w:pPr>
                      <w:r>
                        <w:rPr>
                          <w:rFonts w:hint="eastAsia"/>
                          <w:szCs w:val="21"/>
                        </w:rPr>
                        <w:t>法定代表人身份证彩色扫描件正、反面</w:t>
                      </w:r>
                    </w:p>
                  </w:txbxContent>
                </v:textbox>
              </v:shape>
            </w:pict>
          </mc:Fallback>
        </mc:AlternateContent>
      </w:r>
    </w:p>
    <w:p w14:paraId="10E549E1">
      <w:pPr>
        <w:tabs>
          <w:tab w:val="left" w:pos="654"/>
          <w:tab w:val="left" w:pos="1734"/>
          <w:tab w:val="left" w:pos="2814"/>
          <w:tab w:val="left" w:pos="3894"/>
          <w:tab w:val="left" w:pos="5334"/>
          <w:tab w:val="left" w:pos="6414"/>
          <w:tab w:val="left" w:pos="7254"/>
          <w:tab w:val="left" w:pos="8574"/>
          <w:tab w:val="left" w:pos="9654"/>
        </w:tabs>
        <w:wordWrap w:val="0"/>
        <w:adjustRightInd w:val="0"/>
        <w:snapToGrid w:val="0"/>
        <w:rPr>
          <w:rFonts w:hAnsi="宋体" w:cs="宋体"/>
          <w:snapToGrid w:val="0"/>
          <w:color w:val="auto"/>
          <w:kern w:val="0"/>
          <w:sz w:val="28"/>
          <w:szCs w:val="28"/>
        </w:rPr>
      </w:pPr>
    </w:p>
    <w:p w14:paraId="40CB18AC">
      <w:pPr>
        <w:wordWrap w:val="0"/>
        <w:adjustRightInd w:val="0"/>
        <w:snapToGrid w:val="0"/>
        <w:spacing w:line="480" w:lineRule="exact"/>
        <w:jc w:val="center"/>
        <w:rPr>
          <w:rFonts w:hAnsi="宋体" w:cs="宋体"/>
          <w:b/>
          <w:snapToGrid w:val="0"/>
          <w:color w:val="auto"/>
          <w:kern w:val="0"/>
          <w:sz w:val="28"/>
          <w:szCs w:val="28"/>
        </w:rPr>
      </w:pPr>
    </w:p>
    <w:p w14:paraId="39D37795">
      <w:pPr>
        <w:wordWrap w:val="0"/>
        <w:adjustRightInd w:val="0"/>
        <w:snapToGrid w:val="0"/>
        <w:spacing w:line="480" w:lineRule="exact"/>
        <w:jc w:val="center"/>
        <w:rPr>
          <w:rFonts w:hAnsi="宋体" w:cs="宋体"/>
          <w:b/>
          <w:snapToGrid w:val="0"/>
          <w:color w:val="auto"/>
          <w:kern w:val="0"/>
          <w:sz w:val="28"/>
          <w:szCs w:val="28"/>
        </w:rPr>
      </w:pPr>
    </w:p>
    <w:p w14:paraId="02467B4F">
      <w:pPr>
        <w:wordWrap w:val="0"/>
        <w:adjustRightInd w:val="0"/>
        <w:snapToGrid w:val="0"/>
        <w:spacing w:line="480" w:lineRule="exact"/>
        <w:jc w:val="center"/>
        <w:rPr>
          <w:rFonts w:hAnsi="宋体" w:cs="宋体"/>
          <w:b/>
          <w:snapToGrid w:val="0"/>
          <w:color w:val="auto"/>
          <w:kern w:val="0"/>
          <w:sz w:val="28"/>
          <w:szCs w:val="28"/>
        </w:rPr>
        <w:sectPr>
          <w:endnotePr>
            <w:numFmt w:val="decimal"/>
          </w:endnotePr>
          <w:pgSz w:w="11906" w:h="16838"/>
          <w:pgMar w:top="1417" w:right="1417" w:bottom="1417" w:left="1417" w:header="850" w:footer="992" w:gutter="0"/>
          <w:cols w:space="0" w:num="1"/>
          <w:docGrid w:linePitch="327" w:charSpace="0"/>
        </w:sectPr>
      </w:pPr>
    </w:p>
    <w:p w14:paraId="6F6FD343">
      <w:pPr>
        <w:wordWrap w:val="0"/>
        <w:adjustRightInd w:val="0"/>
        <w:snapToGrid w:val="0"/>
        <w:spacing w:line="440" w:lineRule="exact"/>
        <w:outlineLvl w:val="1"/>
        <w:rPr>
          <w:rFonts w:hAnsi="宋体" w:cs="宋体"/>
          <w:b/>
          <w:bCs/>
          <w:snapToGrid w:val="0"/>
          <w:color w:val="auto"/>
          <w:kern w:val="0"/>
          <w:szCs w:val="24"/>
        </w:rPr>
      </w:pPr>
      <w:bookmarkStart w:id="276" w:name="_Toc3633"/>
      <w:r>
        <w:rPr>
          <w:rFonts w:hint="eastAsia" w:hAnsi="宋体" w:cs="宋体"/>
          <w:b/>
          <w:bCs/>
          <w:snapToGrid w:val="0"/>
          <w:color w:val="auto"/>
          <w:kern w:val="0"/>
          <w:szCs w:val="24"/>
        </w:rPr>
        <w:t>格式六 投标人基本情况表</w:t>
      </w:r>
      <w:bookmarkEnd w:id="276"/>
    </w:p>
    <w:p w14:paraId="1ADC333D">
      <w:pPr>
        <w:pStyle w:val="34"/>
        <w:widowControl w:val="0"/>
        <w:wordWrap w:val="0"/>
        <w:adjustRightInd w:val="0"/>
        <w:snapToGrid w:val="0"/>
        <w:spacing w:before="260" w:after="260" w:line="400" w:lineRule="exact"/>
        <w:ind w:firstLine="0"/>
        <w:jc w:val="center"/>
        <w:rPr>
          <w:rFonts w:hAnsi="宋体" w:cs="宋体"/>
          <w:snapToGrid w:val="0"/>
          <w:color w:val="auto"/>
          <w:sz w:val="24"/>
        </w:rPr>
      </w:pPr>
      <w:r>
        <w:rPr>
          <w:rFonts w:hint="eastAsia" w:hAnsi="宋体" w:cs="宋体"/>
          <w:b/>
          <w:snapToGrid w:val="0"/>
          <w:color w:val="auto"/>
          <w:sz w:val="30"/>
        </w:rPr>
        <w:t>投标人基本情况表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689"/>
        <w:gridCol w:w="803"/>
        <w:gridCol w:w="286"/>
        <w:gridCol w:w="960"/>
        <w:gridCol w:w="260"/>
        <w:gridCol w:w="709"/>
        <w:gridCol w:w="1416"/>
      </w:tblGrid>
      <w:tr w14:paraId="64C51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Align w:val="center"/>
          </w:tcPr>
          <w:p w14:paraId="61BF569E">
            <w:pPr>
              <w:pStyle w:val="37"/>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投标人名称</w:t>
            </w:r>
          </w:p>
        </w:tc>
        <w:tc>
          <w:tcPr>
            <w:tcW w:w="7020" w:type="dxa"/>
            <w:gridSpan w:val="8"/>
            <w:vAlign w:val="center"/>
          </w:tcPr>
          <w:p w14:paraId="0E4640E4">
            <w:pPr>
              <w:pStyle w:val="37"/>
              <w:wordWrap w:val="0"/>
              <w:adjustRightInd w:val="0"/>
              <w:snapToGrid w:val="0"/>
              <w:jc w:val="center"/>
              <w:rPr>
                <w:rFonts w:ascii="宋体" w:hAnsi="宋体" w:cs="宋体"/>
                <w:snapToGrid w:val="0"/>
                <w:color w:val="auto"/>
                <w:kern w:val="0"/>
                <w:szCs w:val="21"/>
              </w:rPr>
            </w:pPr>
          </w:p>
        </w:tc>
      </w:tr>
      <w:tr w14:paraId="0347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Align w:val="center"/>
          </w:tcPr>
          <w:p w14:paraId="1106F5B5">
            <w:pPr>
              <w:pStyle w:val="37"/>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注册地址</w:t>
            </w:r>
          </w:p>
        </w:tc>
        <w:tc>
          <w:tcPr>
            <w:tcW w:w="3389" w:type="dxa"/>
            <w:gridSpan w:val="3"/>
            <w:vAlign w:val="center"/>
          </w:tcPr>
          <w:p w14:paraId="46F0028D">
            <w:pPr>
              <w:pStyle w:val="37"/>
              <w:wordWrap w:val="0"/>
              <w:adjustRightInd w:val="0"/>
              <w:snapToGrid w:val="0"/>
              <w:jc w:val="center"/>
              <w:rPr>
                <w:rFonts w:ascii="宋体" w:hAnsi="宋体" w:cs="宋体"/>
                <w:snapToGrid w:val="0"/>
                <w:color w:val="auto"/>
                <w:kern w:val="0"/>
                <w:szCs w:val="21"/>
              </w:rPr>
            </w:pPr>
          </w:p>
        </w:tc>
        <w:tc>
          <w:tcPr>
            <w:tcW w:w="1246" w:type="dxa"/>
            <w:gridSpan w:val="2"/>
            <w:vAlign w:val="center"/>
          </w:tcPr>
          <w:p w14:paraId="6162A5F0">
            <w:pPr>
              <w:pStyle w:val="37"/>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邮政编码</w:t>
            </w:r>
          </w:p>
        </w:tc>
        <w:tc>
          <w:tcPr>
            <w:tcW w:w="2385" w:type="dxa"/>
            <w:gridSpan w:val="3"/>
            <w:vAlign w:val="center"/>
          </w:tcPr>
          <w:p w14:paraId="4C033522">
            <w:pPr>
              <w:pStyle w:val="37"/>
              <w:wordWrap w:val="0"/>
              <w:adjustRightInd w:val="0"/>
              <w:snapToGrid w:val="0"/>
              <w:jc w:val="center"/>
              <w:rPr>
                <w:rFonts w:ascii="宋体" w:hAnsi="宋体" w:cs="宋体"/>
                <w:snapToGrid w:val="0"/>
                <w:color w:val="auto"/>
                <w:kern w:val="0"/>
                <w:szCs w:val="21"/>
              </w:rPr>
            </w:pPr>
          </w:p>
        </w:tc>
      </w:tr>
      <w:tr w14:paraId="6F6AE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Merge w:val="restart"/>
            <w:vAlign w:val="center"/>
          </w:tcPr>
          <w:p w14:paraId="11B9AB3B">
            <w:pPr>
              <w:pStyle w:val="37"/>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联系方式</w:t>
            </w:r>
          </w:p>
        </w:tc>
        <w:tc>
          <w:tcPr>
            <w:tcW w:w="897" w:type="dxa"/>
            <w:vAlign w:val="center"/>
          </w:tcPr>
          <w:p w14:paraId="0A36D5DA">
            <w:pPr>
              <w:pStyle w:val="37"/>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联系人</w:t>
            </w:r>
          </w:p>
        </w:tc>
        <w:tc>
          <w:tcPr>
            <w:tcW w:w="2492" w:type="dxa"/>
            <w:gridSpan w:val="2"/>
            <w:vAlign w:val="center"/>
          </w:tcPr>
          <w:p w14:paraId="5FF7011D">
            <w:pPr>
              <w:pStyle w:val="37"/>
              <w:wordWrap w:val="0"/>
              <w:adjustRightInd w:val="0"/>
              <w:snapToGrid w:val="0"/>
              <w:jc w:val="center"/>
              <w:rPr>
                <w:rFonts w:ascii="宋体" w:hAnsi="宋体" w:cs="宋体"/>
                <w:snapToGrid w:val="0"/>
                <w:color w:val="auto"/>
                <w:kern w:val="0"/>
                <w:szCs w:val="21"/>
              </w:rPr>
            </w:pPr>
          </w:p>
        </w:tc>
        <w:tc>
          <w:tcPr>
            <w:tcW w:w="1246" w:type="dxa"/>
            <w:gridSpan w:val="2"/>
            <w:vAlign w:val="center"/>
          </w:tcPr>
          <w:p w14:paraId="305D7DD7">
            <w:pPr>
              <w:pStyle w:val="37"/>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电  话</w:t>
            </w:r>
          </w:p>
        </w:tc>
        <w:tc>
          <w:tcPr>
            <w:tcW w:w="2385" w:type="dxa"/>
            <w:gridSpan w:val="3"/>
            <w:vAlign w:val="center"/>
          </w:tcPr>
          <w:p w14:paraId="182D2EB0">
            <w:pPr>
              <w:pStyle w:val="37"/>
              <w:wordWrap w:val="0"/>
              <w:adjustRightInd w:val="0"/>
              <w:snapToGrid w:val="0"/>
              <w:jc w:val="center"/>
              <w:rPr>
                <w:rFonts w:ascii="宋体" w:hAnsi="宋体" w:cs="宋体"/>
                <w:snapToGrid w:val="0"/>
                <w:color w:val="auto"/>
                <w:kern w:val="0"/>
                <w:szCs w:val="21"/>
              </w:rPr>
            </w:pPr>
          </w:p>
        </w:tc>
      </w:tr>
      <w:tr w14:paraId="7364E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Merge w:val="continue"/>
            <w:vAlign w:val="center"/>
          </w:tcPr>
          <w:p w14:paraId="2BE32A7E">
            <w:pPr>
              <w:pStyle w:val="37"/>
              <w:wordWrap w:val="0"/>
              <w:adjustRightInd w:val="0"/>
              <w:snapToGrid w:val="0"/>
              <w:jc w:val="center"/>
              <w:rPr>
                <w:rFonts w:ascii="宋体" w:hAnsi="宋体" w:cs="宋体"/>
                <w:snapToGrid w:val="0"/>
                <w:color w:val="auto"/>
                <w:kern w:val="0"/>
                <w:szCs w:val="21"/>
              </w:rPr>
            </w:pPr>
          </w:p>
        </w:tc>
        <w:tc>
          <w:tcPr>
            <w:tcW w:w="897" w:type="dxa"/>
            <w:vAlign w:val="center"/>
          </w:tcPr>
          <w:p w14:paraId="15762386">
            <w:pPr>
              <w:pStyle w:val="37"/>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传  真</w:t>
            </w:r>
          </w:p>
        </w:tc>
        <w:tc>
          <w:tcPr>
            <w:tcW w:w="2492" w:type="dxa"/>
            <w:gridSpan w:val="2"/>
            <w:vAlign w:val="center"/>
          </w:tcPr>
          <w:p w14:paraId="0BCF6145">
            <w:pPr>
              <w:pStyle w:val="37"/>
              <w:wordWrap w:val="0"/>
              <w:adjustRightInd w:val="0"/>
              <w:snapToGrid w:val="0"/>
              <w:jc w:val="center"/>
              <w:rPr>
                <w:rFonts w:ascii="宋体" w:hAnsi="宋体" w:cs="宋体"/>
                <w:snapToGrid w:val="0"/>
                <w:color w:val="auto"/>
                <w:kern w:val="0"/>
                <w:szCs w:val="21"/>
              </w:rPr>
            </w:pPr>
          </w:p>
        </w:tc>
        <w:tc>
          <w:tcPr>
            <w:tcW w:w="1246" w:type="dxa"/>
            <w:gridSpan w:val="2"/>
            <w:vAlign w:val="center"/>
          </w:tcPr>
          <w:p w14:paraId="15269E09">
            <w:pPr>
              <w:pStyle w:val="37"/>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电子邮箱</w:t>
            </w:r>
          </w:p>
        </w:tc>
        <w:tc>
          <w:tcPr>
            <w:tcW w:w="2385" w:type="dxa"/>
            <w:gridSpan w:val="3"/>
            <w:vAlign w:val="center"/>
          </w:tcPr>
          <w:p w14:paraId="1C13A19E">
            <w:pPr>
              <w:pStyle w:val="37"/>
              <w:wordWrap w:val="0"/>
              <w:adjustRightInd w:val="0"/>
              <w:snapToGrid w:val="0"/>
              <w:jc w:val="center"/>
              <w:rPr>
                <w:rFonts w:ascii="宋体" w:hAnsi="宋体" w:cs="宋体"/>
                <w:snapToGrid w:val="0"/>
                <w:color w:val="auto"/>
                <w:kern w:val="0"/>
                <w:szCs w:val="21"/>
              </w:rPr>
            </w:pPr>
          </w:p>
        </w:tc>
      </w:tr>
      <w:tr w14:paraId="1109E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Align w:val="center"/>
          </w:tcPr>
          <w:p w14:paraId="5C724E14">
            <w:pPr>
              <w:pStyle w:val="37"/>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法定代表人</w:t>
            </w:r>
          </w:p>
        </w:tc>
        <w:tc>
          <w:tcPr>
            <w:tcW w:w="897" w:type="dxa"/>
            <w:vAlign w:val="center"/>
          </w:tcPr>
          <w:p w14:paraId="5D6F21B3">
            <w:pPr>
              <w:pStyle w:val="37"/>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姓名</w:t>
            </w:r>
          </w:p>
        </w:tc>
        <w:tc>
          <w:tcPr>
            <w:tcW w:w="1689" w:type="dxa"/>
            <w:vAlign w:val="center"/>
          </w:tcPr>
          <w:p w14:paraId="60E0CDF7">
            <w:pPr>
              <w:pStyle w:val="37"/>
              <w:wordWrap w:val="0"/>
              <w:adjustRightInd w:val="0"/>
              <w:snapToGrid w:val="0"/>
              <w:jc w:val="center"/>
              <w:rPr>
                <w:rFonts w:ascii="宋体" w:hAnsi="宋体" w:cs="宋体"/>
                <w:snapToGrid w:val="0"/>
                <w:color w:val="auto"/>
                <w:kern w:val="0"/>
                <w:szCs w:val="21"/>
              </w:rPr>
            </w:pPr>
          </w:p>
        </w:tc>
        <w:tc>
          <w:tcPr>
            <w:tcW w:w="1089" w:type="dxa"/>
            <w:gridSpan w:val="2"/>
            <w:vAlign w:val="center"/>
          </w:tcPr>
          <w:p w14:paraId="46905A41">
            <w:pPr>
              <w:pStyle w:val="37"/>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技术职称</w:t>
            </w:r>
          </w:p>
        </w:tc>
        <w:tc>
          <w:tcPr>
            <w:tcW w:w="1220" w:type="dxa"/>
            <w:gridSpan w:val="2"/>
            <w:vAlign w:val="center"/>
          </w:tcPr>
          <w:p w14:paraId="02D370F2">
            <w:pPr>
              <w:pStyle w:val="37"/>
              <w:wordWrap w:val="0"/>
              <w:adjustRightInd w:val="0"/>
              <w:snapToGrid w:val="0"/>
              <w:jc w:val="center"/>
              <w:rPr>
                <w:rFonts w:ascii="宋体" w:hAnsi="宋体" w:cs="宋体"/>
                <w:snapToGrid w:val="0"/>
                <w:color w:val="auto"/>
                <w:kern w:val="0"/>
                <w:szCs w:val="21"/>
              </w:rPr>
            </w:pPr>
          </w:p>
        </w:tc>
        <w:tc>
          <w:tcPr>
            <w:tcW w:w="709" w:type="dxa"/>
            <w:vAlign w:val="center"/>
          </w:tcPr>
          <w:p w14:paraId="536DA20C">
            <w:pPr>
              <w:pStyle w:val="37"/>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电话</w:t>
            </w:r>
          </w:p>
        </w:tc>
        <w:tc>
          <w:tcPr>
            <w:tcW w:w="1416" w:type="dxa"/>
            <w:vAlign w:val="center"/>
          </w:tcPr>
          <w:p w14:paraId="2337EFEA">
            <w:pPr>
              <w:pStyle w:val="37"/>
              <w:wordWrap w:val="0"/>
              <w:adjustRightInd w:val="0"/>
              <w:snapToGrid w:val="0"/>
              <w:jc w:val="center"/>
              <w:rPr>
                <w:rFonts w:ascii="宋体" w:hAnsi="宋体" w:cs="宋体"/>
                <w:snapToGrid w:val="0"/>
                <w:color w:val="auto"/>
                <w:kern w:val="0"/>
                <w:szCs w:val="21"/>
              </w:rPr>
            </w:pPr>
          </w:p>
        </w:tc>
      </w:tr>
      <w:tr w14:paraId="43293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Align w:val="center"/>
          </w:tcPr>
          <w:p w14:paraId="78BF686E">
            <w:pPr>
              <w:pStyle w:val="37"/>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技术负责人</w:t>
            </w:r>
          </w:p>
        </w:tc>
        <w:tc>
          <w:tcPr>
            <w:tcW w:w="897" w:type="dxa"/>
            <w:vAlign w:val="center"/>
          </w:tcPr>
          <w:p w14:paraId="4FB23F19">
            <w:pPr>
              <w:pStyle w:val="37"/>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姓名</w:t>
            </w:r>
          </w:p>
        </w:tc>
        <w:tc>
          <w:tcPr>
            <w:tcW w:w="1689" w:type="dxa"/>
            <w:vAlign w:val="center"/>
          </w:tcPr>
          <w:p w14:paraId="2BF5BB12">
            <w:pPr>
              <w:pStyle w:val="37"/>
              <w:wordWrap w:val="0"/>
              <w:adjustRightInd w:val="0"/>
              <w:snapToGrid w:val="0"/>
              <w:jc w:val="center"/>
              <w:rPr>
                <w:rFonts w:ascii="宋体" w:hAnsi="宋体" w:cs="宋体"/>
                <w:snapToGrid w:val="0"/>
                <w:color w:val="auto"/>
                <w:kern w:val="0"/>
                <w:szCs w:val="21"/>
              </w:rPr>
            </w:pPr>
          </w:p>
        </w:tc>
        <w:tc>
          <w:tcPr>
            <w:tcW w:w="1089" w:type="dxa"/>
            <w:gridSpan w:val="2"/>
            <w:vAlign w:val="center"/>
          </w:tcPr>
          <w:p w14:paraId="264E0D32">
            <w:pPr>
              <w:pStyle w:val="37"/>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技术职称</w:t>
            </w:r>
          </w:p>
        </w:tc>
        <w:tc>
          <w:tcPr>
            <w:tcW w:w="1220" w:type="dxa"/>
            <w:gridSpan w:val="2"/>
            <w:vAlign w:val="center"/>
          </w:tcPr>
          <w:p w14:paraId="09E06A12">
            <w:pPr>
              <w:pStyle w:val="37"/>
              <w:wordWrap w:val="0"/>
              <w:adjustRightInd w:val="0"/>
              <w:snapToGrid w:val="0"/>
              <w:jc w:val="center"/>
              <w:rPr>
                <w:rFonts w:ascii="宋体" w:hAnsi="宋体" w:cs="宋体"/>
                <w:snapToGrid w:val="0"/>
                <w:color w:val="auto"/>
                <w:kern w:val="0"/>
                <w:szCs w:val="21"/>
              </w:rPr>
            </w:pPr>
          </w:p>
        </w:tc>
        <w:tc>
          <w:tcPr>
            <w:tcW w:w="709" w:type="dxa"/>
            <w:vAlign w:val="center"/>
          </w:tcPr>
          <w:p w14:paraId="355614C4">
            <w:pPr>
              <w:pStyle w:val="37"/>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电话</w:t>
            </w:r>
          </w:p>
        </w:tc>
        <w:tc>
          <w:tcPr>
            <w:tcW w:w="1416" w:type="dxa"/>
            <w:vAlign w:val="center"/>
          </w:tcPr>
          <w:p w14:paraId="2823687A">
            <w:pPr>
              <w:pStyle w:val="37"/>
              <w:wordWrap w:val="0"/>
              <w:adjustRightInd w:val="0"/>
              <w:snapToGrid w:val="0"/>
              <w:jc w:val="center"/>
              <w:rPr>
                <w:rFonts w:ascii="宋体" w:hAnsi="宋体" w:cs="宋体"/>
                <w:snapToGrid w:val="0"/>
                <w:color w:val="auto"/>
                <w:kern w:val="0"/>
                <w:szCs w:val="21"/>
              </w:rPr>
            </w:pPr>
          </w:p>
        </w:tc>
      </w:tr>
      <w:tr w14:paraId="33D2F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Align w:val="center"/>
          </w:tcPr>
          <w:p w14:paraId="0BB9398F">
            <w:pPr>
              <w:pStyle w:val="37"/>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成立日期</w:t>
            </w:r>
          </w:p>
        </w:tc>
        <w:tc>
          <w:tcPr>
            <w:tcW w:w="2586" w:type="dxa"/>
            <w:gridSpan w:val="2"/>
            <w:vAlign w:val="center"/>
          </w:tcPr>
          <w:p w14:paraId="475239A3">
            <w:pPr>
              <w:pStyle w:val="37"/>
              <w:wordWrap w:val="0"/>
              <w:adjustRightInd w:val="0"/>
              <w:snapToGrid w:val="0"/>
              <w:jc w:val="center"/>
              <w:rPr>
                <w:rFonts w:ascii="宋体" w:hAnsi="宋体" w:cs="宋体"/>
                <w:snapToGrid w:val="0"/>
                <w:color w:val="auto"/>
                <w:kern w:val="0"/>
                <w:szCs w:val="21"/>
              </w:rPr>
            </w:pPr>
          </w:p>
        </w:tc>
        <w:tc>
          <w:tcPr>
            <w:tcW w:w="4434" w:type="dxa"/>
            <w:gridSpan w:val="6"/>
            <w:vAlign w:val="center"/>
          </w:tcPr>
          <w:p w14:paraId="5D7DBAAE">
            <w:pPr>
              <w:pStyle w:val="37"/>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员工总人数（个）：</w:t>
            </w:r>
          </w:p>
        </w:tc>
      </w:tr>
      <w:tr w14:paraId="2949F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5" w:type="dxa"/>
            <w:vAlign w:val="center"/>
          </w:tcPr>
          <w:p w14:paraId="75F71370">
            <w:pPr>
              <w:pStyle w:val="37"/>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企业资质</w:t>
            </w:r>
          </w:p>
          <w:p w14:paraId="12C849A3">
            <w:pPr>
              <w:pStyle w:val="37"/>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类型和等级</w:t>
            </w:r>
          </w:p>
        </w:tc>
        <w:tc>
          <w:tcPr>
            <w:tcW w:w="2586" w:type="dxa"/>
            <w:gridSpan w:val="2"/>
            <w:vAlign w:val="center"/>
          </w:tcPr>
          <w:p w14:paraId="77E25D70">
            <w:pPr>
              <w:pStyle w:val="37"/>
              <w:wordWrap w:val="0"/>
              <w:adjustRightInd w:val="0"/>
              <w:snapToGrid w:val="0"/>
              <w:jc w:val="left"/>
              <w:rPr>
                <w:rFonts w:ascii="宋体" w:hAnsi="宋体" w:cs="宋体"/>
                <w:snapToGrid w:val="0"/>
                <w:color w:val="auto"/>
                <w:kern w:val="0"/>
                <w:szCs w:val="21"/>
              </w:rPr>
            </w:pPr>
          </w:p>
        </w:tc>
        <w:tc>
          <w:tcPr>
            <w:tcW w:w="1089" w:type="dxa"/>
            <w:gridSpan w:val="2"/>
            <w:vMerge w:val="restart"/>
            <w:vAlign w:val="center"/>
          </w:tcPr>
          <w:p w14:paraId="06006AF3">
            <w:pPr>
              <w:pStyle w:val="37"/>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其中</w:t>
            </w:r>
          </w:p>
        </w:tc>
        <w:tc>
          <w:tcPr>
            <w:tcW w:w="1929" w:type="dxa"/>
            <w:gridSpan w:val="3"/>
            <w:vAlign w:val="center"/>
          </w:tcPr>
          <w:p w14:paraId="55384391">
            <w:pPr>
              <w:pStyle w:val="37"/>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各类注册人员</w:t>
            </w:r>
          </w:p>
        </w:tc>
        <w:tc>
          <w:tcPr>
            <w:tcW w:w="1416" w:type="dxa"/>
            <w:vAlign w:val="center"/>
          </w:tcPr>
          <w:p w14:paraId="6FC54B6B">
            <w:pPr>
              <w:pStyle w:val="37"/>
              <w:wordWrap w:val="0"/>
              <w:adjustRightInd w:val="0"/>
              <w:snapToGrid w:val="0"/>
              <w:jc w:val="center"/>
              <w:rPr>
                <w:rFonts w:ascii="宋体" w:hAnsi="宋体" w:cs="宋体"/>
                <w:snapToGrid w:val="0"/>
                <w:color w:val="auto"/>
                <w:kern w:val="0"/>
                <w:szCs w:val="21"/>
              </w:rPr>
            </w:pPr>
          </w:p>
        </w:tc>
      </w:tr>
      <w:tr w14:paraId="300C2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5" w:type="dxa"/>
            <w:vAlign w:val="center"/>
          </w:tcPr>
          <w:p w14:paraId="6812D538">
            <w:pPr>
              <w:pStyle w:val="37"/>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营业执照号</w:t>
            </w:r>
          </w:p>
        </w:tc>
        <w:tc>
          <w:tcPr>
            <w:tcW w:w="2586" w:type="dxa"/>
            <w:gridSpan w:val="2"/>
            <w:vAlign w:val="center"/>
          </w:tcPr>
          <w:p w14:paraId="4EB333C2">
            <w:pPr>
              <w:pStyle w:val="37"/>
              <w:wordWrap w:val="0"/>
              <w:adjustRightInd w:val="0"/>
              <w:snapToGrid w:val="0"/>
              <w:jc w:val="center"/>
              <w:rPr>
                <w:rFonts w:ascii="宋体" w:hAnsi="宋体" w:cs="宋体"/>
                <w:snapToGrid w:val="0"/>
                <w:color w:val="auto"/>
                <w:kern w:val="0"/>
                <w:szCs w:val="21"/>
              </w:rPr>
            </w:pPr>
          </w:p>
        </w:tc>
        <w:tc>
          <w:tcPr>
            <w:tcW w:w="1089" w:type="dxa"/>
            <w:gridSpan w:val="2"/>
            <w:vMerge w:val="continue"/>
            <w:vAlign w:val="center"/>
          </w:tcPr>
          <w:p w14:paraId="71498F5A">
            <w:pPr>
              <w:pStyle w:val="37"/>
              <w:wordWrap w:val="0"/>
              <w:adjustRightInd w:val="0"/>
              <w:snapToGrid w:val="0"/>
              <w:jc w:val="center"/>
              <w:rPr>
                <w:rFonts w:ascii="宋体" w:hAnsi="宋体" w:cs="宋体"/>
                <w:snapToGrid w:val="0"/>
                <w:color w:val="auto"/>
                <w:kern w:val="0"/>
                <w:szCs w:val="21"/>
              </w:rPr>
            </w:pPr>
          </w:p>
        </w:tc>
        <w:tc>
          <w:tcPr>
            <w:tcW w:w="1929" w:type="dxa"/>
            <w:gridSpan w:val="3"/>
            <w:vAlign w:val="center"/>
          </w:tcPr>
          <w:p w14:paraId="015D2AFC">
            <w:pPr>
              <w:pStyle w:val="37"/>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高级职称人员</w:t>
            </w:r>
          </w:p>
        </w:tc>
        <w:tc>
          <w:tcPr>
            <w:tcW w:w="1416" w:type="dxa"/>
            <w:vAlign w:val="center"/>
          </w:tcPr>
          <w:p w14:paraId="131791E0">
            <w:pPr>
              <w:pStyle w:val="37"/>
              <w:wordWrap w:val="0"/>
              <w:adjustRightInd w:val="0"/>
              <w:snapToGrid w:val="0"/>
              <w:jc w:val="center"/>
              <w:rPr>
                <w:rFonts w:ascii="宋体" w:hAnsi="宋体" w:cs="宋体"/>
                <w:snapToGrid w:val="0"/>
                <w:color w:val="auto"/>
                <w:kern w:val="0"/>
                <w:szCs w:val="21"/>
              </w:rPr>
            </w:pPr>
          </w:p>
        </w:tc>
      </w:tr>
      <w:tr w14:paraId="13608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5" w:type="dxa"/>
            <w:vAlign w:val="center"/>
          </w:tcPr>
          <w:p w14:paraId="704BF58A">
            <w:pPr>
              <w:pStyle w:val="37"/>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注册资金</w:t>
            </w:r>
          </w:p>
        </w:tc>
        <w:tc>
          <w:tcPr>
            <w:tcW w:w="2586" w:type="dxa"/>
            <w:gridSpan w:val="2"/>
            <w:vAlign w:val="center"/>
          </w:tcPr>
          <w:p w14:paraId="6EBCB299">
            <w:pPr>
              <w:pStyle w:val="37"/>
              <w:wordWrap w:val="0"/>
              <w:adjustRightInd w:val="0"/>
              <w:snapToGrid w:val="0"/>
              <w:jc w:val="center"/>
              <w:rPr>
                <w:rFonts w:ascii="宋体" w:hAnsi="宋体" w:cs="宋体"/>
                <w:snapToGrid w:val="0"/>
                <w:color w:val="auto"/>
                <w:kern w:val="0"/>
                <w:szCs w:val="21"/>
              </w:rPr>
            </w:pPr>
          </w:p>
        </w:tc>
        <w:tc>
          <w:tcPr>
            <w:tcW w:w="1089" w:type="dxa"/>
            <w:gridSpan w:val="2"/>
            <w:vMerge w:val="continue"/>
            <w:vAlign w:val="center"/>
          </w:tcPr>
          <w:p w14:paraId="33512835">
            <w:pPr>
              <w:pStyle w:val="37"/>
              <w:wordWrap w:val="0"/>
              <w:adjustRightInd w:val="0"/>
              <w:snapToGrid w:val="0"/>
              <w:jc w:val="center"/>
              <w:rPr>
                <w:rFonts w:ascii="宋体" w:hAnsi="宋体" w:cs="宋体"/>
                <w:snapToGrid w:val="0"/>
                <w:color w:val="auto"/>
                <w:kern w:val="0"/>
                <w:szCs w:val="21"/>
              </w:rPr>
            </w:pPr>
          </w:p>
        </w:tc>
        <w:tc>
          <w:tcPr>
            <w:tcW w:w="1929" w:type="dxa"/>
            <w:gridSpan w:val="3"/>
            <w:vAlign w:val="center"/>
          </w:tcPr>
          <w:p w14:paraId="753A5D4C">
            <w:pPr>
              <w:pStyle w:val="37"/>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中级职称人员</w:t>
            </w:r>
          </w:p>
        </w:tc>
        <w:tc>
          <w:tcPr>
            <w:tcW w:w="1416" w:type="dxa"/>
            <w:vAlign w:val="center"/>
          </w:tcPr>
          <w:p w14:paraId="79361470">
            <w:pPr>
              <w:pStyle w:val="37"/>
              <w:wordWrap w:val="0"/>
              <w:adjustRightInd w:val="0"/>
              <w:snapToGrid w:val="0"/>
              <w:jc w:val="center"/>
              <w:rPr>
                <w:rFonts w:ascii="宋体" w:hAnsi="宋体" w:cs="宋体"/>
                <w:snapToGrid w:val="0"/>
                <w:color w:val="auto"/>
                <w:kern w:val="0"/>
                <w:szCs w:val="21"/>
              </w:rPr>
            </w:pPr>
          </w:p>
        </w:tc>
      </w:tr>
      <w:tr w14:paraId="47CF4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5" w:type="dxa"/>
            <w:vAlign w:val="center"/>
          </w:tcPr>
          <w:p w14:paraId="1078A400">
            <w:pPr>
              <w:pStyle w:val="37"/>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基本账户</w:t>
            </w:r>
          </w:p>
          <w:p w14:paraId="3E3F4622">
            <w:pPr>
              <w:pStyle w:val="37"/>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开户银行</w:t>
            </w:r>
          </w:p>
        </w:tc>
        <w:tc>
          <w:tcPr>
            <w:tcW w:w="2586" w:type="dxa"/>
            <w:gridSpan w:val="2"/>
            <w:vAlign w:val="center"/>
          </w:tcPr>
          <w:p w14:paraId="49D61284">
            <w:pPr>
              <w:pStyle w:val="37"/>
              <w:wordWrap w:val="0"/>
              <w:adjustRightInd w:val="0"/>
              <w:snapToGrid w:val="0"/>
              <w:jc w:val="center"/>
              <w:rPr>
                <w:rFonts w:ascii="宋体" w:hAnsi="宋体" w:cs="宋体"/>
                <w:snapToGrid w:val="0"/>
                <w:color w:val="auto"/>
                <w:kern w:val="0"/>
                <w:szCs w:val="21"/>
              </w:rPr>
            </w:pPr>
          </w:p>
        </w:tc>
        <w:tc>
          <w:tcPr>
            <w:tcW w:w="1089" w:type="dxa"/>
            <w:gridSpan w:val="2"/>
            <w:vMerge w:val="continue"/>
            <w:vAlign w:val="center"/>
          </w:tcPr>
          <w:p w14:paraId="2E2AB73C">
            <w:pPr>
              <w:pStyle w:val="37"/>
              <w:wordWrap w:val="0"/>
              <w:adjustRightInd w:val="0"/>
              <w:snapToGrid w:val="0"/>
              <w:jc w:val="center"/>
              <w:rPr>
                <w:rFonts w:ascii="宋体" w:hAnsi="宋体" w:cs="宋体"/>
                <w:snapToGrid w:val="0"/>
                <w:color w:val="auto"/>
                <w:kern w:val="0"/>
                <w:szCs w:val="21"/>
              </w:rPr>
            </w:pPr>
          </w:p>
        </w:tc>
        <w:tc>
          <w:tcPr>
            <w:tcW w:w="1929" w:type="dxa"/>
            <w:gridSpan w:val="3"/>
            <w:vAlign w:val="center"/>
          </w:tcPr>
          <w:p w14:paraId="2F8BF633">
            <w:pPr>
              <w:pStyle w:val="37"/>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初级职称人员</w:t>
            </w:r>
          </w:p>
        </w:tc>
        <w:tc>
          <w:tcPr>
            <w:tcW w:w="1416" w:type="dxa"/>
            <w:vAlign w:val="center"/>
          </w:tcPr>
          <w:p w14:paraId="0D67F2B5">
            <w:pPr>
              <w:pStyle w:val="37"/>
              <w:wordWrap w:val="0"/>
              <w:adjustRightInd w:val="0"/>
              <w:snapToGrid w:val="0"/>
              <w:jc w:val="center"/>
              <w:rPr>
                <w:rFonts w:ascii="宋体" w:hAnsi="宋体" w:cs="宋体"/>
                <w:snapToGrid w:val="0"/>
                <w:color w:val="auto"/>
                <w:kern w:val="0"/>
                <w:szCs w:val="21"/>
              </w:rPr>
            </w:pPr>
          </w:p>
        </w:tc>
      </w:tr>
      <w:tr w14:paraId="3DB81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5" w:type="dxa"/>
            <w:vAlign w:val="center"/>
          </w:tcPr>
          <w:p w14:paraId="797F76B5">
            <w:pPr>
              <w:pStyle w:val="37"/>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基本账户</w:t>
            </w:r>
          </w:p>
          <w:p w14:paraId="1FB781F2">
            <w:pPr>
              <w:pStyle w:val="37"/>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银行账号</w:t>
            </w:r>
          </w:p>
        </w:tc>
        <w:tc>
          <w:tcPr>
            <w:tcW w:w="2586" w:type="dxa"/>
            <w:gridSpan w:val="2"/>
            <w:vAlign w:val="center"/>
          </w:tcPr>
          <w:p w14:paraId="27034B34">
            <w:pPr>
              <w:pStyle w:val="37"/>
              <w:wordWrap w:val="0"/>
              <w:adjustRightInd w:val="0"/>
              <w:snapToGrid w:val="0"/>
              <w:jc w:val="center"/>
              <w:rPr>
                <w:rFonts w:ascii="宋体" w:hAnsi="宋体" w:cs="宋体"/>
                <w:snapToGrid w:val="0"/>
                <w:color w:val="auto"/>
                <w:kern w:val="0"/>
                <w:szCs w:val="21"/>
              </w:rPr>
            </w:pPr>
          </w:p>
        </w:tc>
        <w:tc>
          <w:tcPr>
            <w:tcW w:w="1089" w:type="dxa"/>
            <w:gridSpan w:val="2"/>
            <w:vMerge w:val="continue"/>
            <w:vAlign w:val="center"/>
          </w:tcPr>
          <w:p w14:paraId="3111F5FC">
            <w:pPr>
              <w:pStyle w:val="37"/>
              <w:wordWrap w:val="0"/>
              <w:adjustRightInd w:val="0"/>
              <w:snapToGrid w:val="0"/>
              <w:jc w:val="center"/>
              <w:rPr>
                <w:rFonts w:ascii="宋体" w:hAnsi="宋体" w:cs="宋体"/>
                <w:snapToGrid w:val="0"/>
                <w:color w:val="auto"/>
                <w:kern w:val="0"/>
                <w:szCs w:val="21"/>
              </w:rPr>
            </w:pPr>
          </w:p>
        </w:tc>
        <w:tc>
          <w:tcPr>
            <w:tcW w:w="1929" w:type="dxa"/>
            <w:gridSpan w:val="3"/>
            <w:vAlign w:val="center"/>
          </w:tcPr>
          <w:p w14:paraId="10AC984F">
            <w:pPr>
              <w:pStyle w:val="37"/>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技术员</w:t>
            </w:r>
          </w:p>
        </w:tc>
        <w:tc>
          <w:tcPr>
            <w:tcW w:w="1416" w:type="dxa"/>
            <w:vAlign w:val="center"/>
          </w:tcPr>
          <w:p w14:paraId="3B2715D2">
            <w:pPr>
              <w:pStyle w:val="37"/>
              <w:wordWrap w:val="0"/>
              <w:adjustRightInd w:val="0"/>
              <w:snapToGrid w:val="0"/>
              <w:jc w:val="center"/>
              <w:rPr>
                <w:rFonts w:ascii="宋体" w:hAnsi="宋体" w:cs="宋体"/>
                <w:snapToGrid w:val="0"/>
                <w:color w:val="auto"/>
                <w:kern w:val="0"/>
                <w:szCs w:val="21"/>
              </w:rPr>
            </w:pPr>
          </w:p>
        </w:tc>
      </w:tr>
      <w:tr w14:paraId="77F0C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jc w:val="center"/>
        </w:trPr>
        <w:tc>
          <w:tcPr>
            <w:tcW w:w="1485" w:type="dxa"/>
            <w:vAlign w:val="center"/>
          </w:tcPr>
          <w:p w14:paraId="05DAD399">
            <w:pPr>
              <w:pStyle w:val="37"/>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经营范围</w:t>
            </w:r>
          </w:p>
        </w:tc>
        <w:tc>
          <w:tcPr>
            <w:tcW w:w="7020" w:type="dxa"/>
            <w:gridSpan w:val="8"/>
            <w:vAlign w:val="center"/>
          </w:tcPr>
          <w:p w14:paraId="7A9C2A5D">
            <w:pPr>
              <w:pStyle w:val="37"/>
              <w:wordWrap w:val="0"/>
              <w:adjustRightInd w:val="0"/>
              <w:snapToGrid w:val="0"/>
              <w:jc w:val="center"/>
              <w:rPr>
                <w:rFonts w:ascii="宋体" w:hAnsi="宋体" w:cs="宋体"/>
                <w:snapToGrid w:val="0"/>
                <w:color w:val="auto"/>
                <w:kern w:val="0"/>
                <w:szCs w:val="21"/>
              </w:rPr>
            </w:pPr>
          </w:p>
        </w:tc>
      </w:tr>
      <w:tr w14:paraId="49CBE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exact"/>
          <w:jc w:val="center"/>
        </w:trPr>
        <w:tc>
          <w:tcPr>
            <w:tcW w:w="1485" w:type="dxa"/>
            <w:vAlign w:val="center"/>
          </w:tcPr>
          <w:p w14:paraId="5F37A0F4">
            <w:pPr>
              <w:pStyle w:val="37"/>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关联企业情况</w:t>
            </w:r>
          </w:p>
        </w:tc>
        <w:tc>
          <w:tcPr>
            <w:tcW w:w="7020" w:type="dxa"/>
            <w:gridSpan w:val="8"/>
            <w:vAlign w:val="center"/>
          </w:tcPr>
          <w:p w14:paraId="2643225C">
            <w:pPr>
              <w:pStyle w:val="37"/>
              <w:wordWrap w:val="0"/>
              <w:adjustRightInd w:val="0"/>
              <w:snapToGrid w:val="0"/>
              <w:rPr>
                <w:rFonts w:ascii="宋体" w:hAnsi="宋体" w:cs="宋体"/>
                <w:snapToGrid w:val="0"/>
                <w:color w:val="auto"/>
                <w:kern w:val="0"/>
                <w:szCs w:val="21"/>
              </w:rPr>
            </w:pPr>
            <w:r>
              <w:rPr>
                <w:rFonts w:hint="eastAsia" w:ascii="宋体" w:hAnsi="宋体" w:cs="宋体"/>
                <w:snapToGrid w:val="0"/>
                <w:color w:val="auto"/>
                <w:kern w:val="0"/>
                <w:szCs w:val="21"/>
              </w:rPr>
              <w:t>包括但不限于与投标人存在以下关系的不同单位：</w:t>
            </w:r>
          </w:p>
          <w:p w14:paraId="46DB17FE">
            <w:pPr>
              <w:pStyle w:val="37"/>
              <w:wordWrap w:val="0"/>
              <w:adjustRightInd w:val="0"/>
              <w:snapToGrid w:val="0"/>
              <w:rPr>
                <w:rFonts w:ascii="宋体" w:hAnsi="宋体" w:cs="宋体"/>
                <w:snapToGrid w:val="0"/>
                <w:color w:val="auto"/>
                <w:kern w:val="0"/>
                <w:szCs w:val="21"/>
              </w:rPr>
            </w:pPr>
            <w:r>
              <w:rPr>
                <w:rFonts w:hint="eastAsia" w:ascii="宋体" w:hAnsi="宋体" w:cs="宋体"/>
                <w:snapToGrid w:val="0"/>
                <w:color w:val="auto"/>
                <w:kern w:val="0"/>
                <w:szCs w:val="21"/>
              </w:rPr>
              <w:t>1．法定代表人为同一人的。</w:t>
            </w:r>
          </w:p>
          <w:p w14:paraId="7A58807B">
            <w:pPr>
              <w:pStyle w:val="37"/>
              <w:wordWrap w:val="0"/>
              <w:adjustRightInd w:val="0"/>
              <w:snapToGrid w:val="0"/>
              <w:rPr>
                <w:rFonts w:ascii="宋体" w:hAnsi="宋体" w:cs="宋体"/>
                <w:snapToGrid w:val="0"/>
                <w:color w:val="auto"/>
                <w:kern w:val="0"/>
                <w:szCs w:val="21"/>
              </w:rPr>
            </w:pPr>
            <w:r>
              <w:rPr>
                <w:rFonts w:hint="eastAsia" w:ascii="宋体" w:hAnsi="宋体" w:cs="宋体"/>
                <w:snapToGrid w:val="0"/>
                <w:color w:val="auto"/>
                <w:kern w:val="0"/>
                <w:szCs w:val="21"/>
              </w:rPr>
              <w:t>2．存在控股、管理关系的。</w:t>
            </w:r>
          </w:p>
          <w:p w14:paraId="7E4B52ED">
            <w:pPr>
              <w:pStyle w:val="37"/>
              <w:wordWrap w:val="0"/>
              <w:adjustRightInd w:val="0"/>
              <w:snapToGrid w:val="0"/>
              <w:jc w:val="left"/>
              <w:rPr>
                <w:rFonts w:ascii="宋体" w:hAnsi="宋体" w:cs="宋体"/>
                <w:snapToGrid w:val="0"/>
                <w:color w:val="auto"/>
                <w:kern w:val="0"/>
                <w:szCs w:val="21"/>
              </w:rPr>
            </w:pPr>
            <w:r>
              <w:rPr>
                <w:rFonts w:hint="eastAsia" w:ascii="宋体" w:hAnsi="宋体" w:cs="宋体"/>
                <w:snapToGrid w:val="0"/>
                <w:color w:val="auto"/>
                <w:kern w:val="0"/>
                <w:szCs w:val="21"/>
              </w:rPr>
              <w:t>3．主要人员相互任职的。</w:t>
            </w:r>
          </w:p>
        </w:tc>
      </w:tr>
      <w:tr w14:paraId="2771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jc w:val="center"/>
        </w:trPr>
        <w:tc>
          <w:tcPr>
            <w:tcW w:w="1485" w:type="dxa"/>
            <w:vAlign w:val="center"/>
          </w:tcPr>
          <w:p w14:paraId="1A0FAB82">
            <w:pPr>
              <w:pStyle w:val="37"/>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备注</w:t>
            </w:r>
          </w:p>
        </w:tc>
        <w:tc>
          <w:tcPr>
            <w:tcW w:w="7020" w:type="dxa"/>
            <w:gridSpan w:val="8"/>
            <w:vAlign w:val="center"/>
          </w:tcPr>
          <w:p w14:paraId="267100F2">
            <w:pPr>
              <w:pStyle w:val="37"/>
              <w:wordWrap w:val="0"/>
              <w:adjustRightInd w:val="0"/>
              <w:snapToGrid w:val="0"/>
              <w:jc w:val="center"/>
              <w:rPr>
                <w:rFonts w:ascii="宋体" w:hAnsi="宋体" w:cs="宋体"/>
                <w:snapToGrid w:val="0"/>
                <w:color w:val="auto"/>
                <w:kern w:val="0"/>
                <w:szCs w:val="21"/>
              </w:rPr>
            </w:pPr>
          </w:p>
        </w:tc>
      </w:tr>
    </w:tbl>
    <w:p w14:paraId="7A2D3B90">
      <w:pPr>
        <w:pStyle w:val="37"/>
        <w:wordWrap w:val="0"/>
        <w:adjustRightInd w:val="0"/>
        <w:snapToGrid w:val="0"/>
        <w:spacing w:line="400" w:lineRule="exact"/>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说明：</w:t>
      </w:r>
    </w:p>
    <w:p w14:paraId="4D1A647F">
      <w:pPr>
        <w:pStyle w:val="37"/>
        <w:wordWrap w:val="0"/>
        <w:adjustRightInd w:val="0"/>
        <w:snapToGrid w:val="0"/>
        <w:spacing w:line="400" w:lineRule="exact"/>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1．《投标人基本情况表》后应附以下资料：</w:t>
      </w:r>
    </w:p>
    <w:p w14:paraId="438C513B">
      <w:pPr>
        <w:pStyle w:val="37"/>
        <w:wordWrap w:val="0"/>
        <w:adjustRightInd w:val="0"/>
        <w:snapToGrid w:val="0"/>
        <w:spacing w:line="400" w:lineRule="exact"/>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（1）企业营业执照、资质证书彩色扫描件（因推行电子证照，企业的营业执照、资质证书等可以提供电子证照）；</w:t>
      </w:r>
    </w:p>
    <w:p w14:paraId="7D2E2159">
      <w:pPr>
        <w:pStyle w:val="37"/>
        <w:wordWrap w:val="0"/>
        <w:adjustRightInd w:val="0"/>
        <w:snapToGrid w:val="0"/>
        <w:spacing w:line="400" w:lineRule="exact"/>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（2）</w:t>
      </w:r>
      <w:r>
        <w:rPr>
          <w:rFonts w:hint="eastAsia" w:ascii="宋体" w:hAnsi="宋体" w:cs="宋体"/>
          <w:snapToGrid w:val="0"/>
          <w:color w:val="auto"/>
          <w:kern w:val="0"/>
        </w:rPr>
        <w:t>“进粤企业和人员诚信信息登记平台”企业信息情况打印页。（适用于省外企业）</w:t>
      </w:r>
      <w:r>
        <w:rPr>
          <w:rFonts w:hint="eastAsia" w:ascii="宋体" w:hAnsi="宋体" w:cs="宋体"/>
          <w:snapToGrid w:val="0"/>
          <w:color w:val="auto"/>
          <w:kern w:val="0"/>
          <w:szCs w:val="21"/>
        </w:rPr>
        <w:t>。</w:t>
      </w:r>
    </w:p>
    <w:p w14:paraId="499FA827">
      <w:pPr>
        <w:pStyle w:val="34"/>
        <w:widowControl w:val="0"/>
        <w:wordWrap w:val="0"/>
        <w:adjustRightInd w:val="0"/>
        <w:snapToGrid w:val="0"/>
        <w:spacing w:line="400" w:lineRule="exact"/>
        <w:rPr>
          <w:rFonts w:hAnsi="宋体" w:cs="宋体"/>
          <w:snapToGrid w:val="0"/>
          <w:color w:val="auto"/>
          <w:sz w:val="21"/>
          <w:szCs w:val="21"/>
        </w:rPr>
      </w:pPr>
      <w:r>
        <w:rPr>
          <w:rFonts w:hint="eastAsia" w:hAnsi="宋体" w:cs="宋体"/>
          <w:snapToGrid w:val="0"/>
          <w:color w:val="auto"/>
          <w:sz w:val="21"/>
          <w:szCs w:val="21"/>
        </w:rPr>
        <w:t>（3）《法人和非法人组织公共信用信息报告》打印件(在“信用中国”网站企业查询界面中下载) 。</w:t>
      </w:r>
    </w:p>
    <w:p w14:paraId="538423B6">
      <w:pPr>
        <w:wordWrap w:val="0"/>
        <w:adjustRightInd w:val="0"/>
        <w:snapToGrid w:val="0"/>
        <w:spacing w:line="440" w:lineRule="exact"/>
        <w:jc w:val="left"/>
        <w:outlineLvl w:val="1"/>
        <w:rPr>
          <w:rFonts w:hAnsi="宋体" w:cs="宋体"/>
          <w:b/>
          <w:snapToGrid w:val="0"/>
          <w:color w:val="auto"/>
          <w:kern w:val="0"/>
        </w:rPr>
      </w:pPr>
      <w:bookmarkStart w:id="277" w:name="_Toc16301"/>
      <w:r>
        <w:rPr>
          <w:rFonts w:hint="eastAsia" w:hAnsi="宋体" w:cs="宋体"/>
          <w:b/>
          <w:snapToGrid w:val="0"/>
          <w:color w:val="auto"/>
          <w:kern w:val="0"/>
        </w:rPr>
        <w:t>格式七  总监理工程师任职声明（适用于无任职项目）</w:t>
      </w:r>
      <w:bookmarkEnd w:id="277"/>
    </w:p>
    <w:p w14:paraId="0ED97636">
      <w:pPr>
        <w:wordWrap w:val="0"/>
        <w:adjustRightInd w:val="0"/>
        <w:snapToGrid w:val="0"/>
        <w:spacing w:line="440" w:lineRule="exact"/>
        <w:jc w:val="left"/>
        <w:rPr>
          <w:rFonts w:hAnsi="宋体" w:cs="宋体"/>
          <w:b/>
          <w:snapToGrid w:val="0"/>
          <w:color w:val="auto"/>
          <w:kern w:val="0"/>
        </w:rPr>
      </w:pPr>
    </w:p>
    <w:p w14:paraId="3039CBEC">
      <w:pPr>
        <w:wordWrap w:val="0"/>
        <w:adjustRightInd w:val="0"/>
        <w:snapToGrid w:val="0"/>
        <w:spacing w:before="260" w:after="260" w:line="440" w:lineRule="exact"/>
        <w:jc w:val="center"/>
        <w:rPr>
          <w:rFonts w:hAnsi="宋体" w:cs="宋体"/>
          <w:snapToGrid w:val="0"/>
          <w:color w:val="auto"/>
          <w:kern w:val="0"/>
          <w:szCs w:val="28"/>
        </w:rPr>
      </w:pPr>
      <w:r>
        <w:rPr>
          <w:rFonts w:hint="eastAsia" w:hAnsi="宋体" w:cs="宋体"/>
          <w:b/>
          <w:snapToGrid w:val="0"/>
          <w:color w:val="auto"/>
          <w:kern w:val="0"/>
          <w:sz w:val="30"/>
        </w:rPr>
        <w:t>总监理工程师任职声明</w:t>
      </w:r>
    </w:p>
    <w:p w14:paraId="17A2E014">
      <w:pPr>
        <w:wordWrap w:val="0"/>
        <w:adjustRightInd w:val="0"/>
        <w:snapToGrid w:val="0"/>
        <w:spacing w:line="440" w:lineRule="exact"/>
        <w:jc w:val="center"/>
        <w:rPr>
          <w:rFonts w:hAnsi="宋体" w:cs="宋体"/>
          <w:snapToGrid w:val="0"/>
          <w:color w:val="auto"/>
          <w:kern w:val="0"/>
          <w:szCs w:val="28"/>
        </w:rPr>
      </w:pPr>
    </w:p>
    <w:p w14:paraId="503B80C3">
      <w:pPr>
        <w:wordWrap w:val="0"/>
        <w:adjustRightInd w:val="0"/>
        <w:snapToGrid w:val="0"/>
        <w:spacing w:line="440" w:lineRule="exact"/>
        <w:rPr>
          <w:rFonts w:hAnsi="宋体" w:cs="宋体"/>
          <w:snapToGrid w:val="0"/>
          <w:color w:val="auto"/>
          <w:kern w:val="0"/>
          <w:szCs w:val="28"/>
        </w:rPr>
      </w:pPr>
      <w:r>
        <w:rPr>
          <w:rFonts w:hint="eastAsia" w:hAnsi="宋体" w:cs="宋体"/>
          <w:snapToGrid w:val="0"/>
          <w:color w:val="auto"/>
          <w:kern w:val="0"/>
          <w:szCs w:val="28"/>
        </w:rPr>
        <w:t>致：</w:t>
      </w:r>
      <w:r>
        <w:rPr>
          <w:rFonts w:hint="eastAsia" w:hAnsi="宋体" w:cs="宋体"/>
          <w:snapToGrid w:val="0"/>
          <w:color w:val="auto"/>
          <w:kern w:val="0"/>
          <w:szCs w:val="28"/>
          <w:u w:val="single"/>
        </w:rPr>
        <w:t xml:space="preserve">                   </w:t>
      </w:r>
      <w:r>
        <w:rPr>
          <w:rFonts w:hint="eastAsia" w:hAnsi="宋体" w:cs="宋体"/>
          <w:snapToGrid w:val="0"/>
          <w:color w:val="auto"/>
          <w:kern w:val="0"/>
          <w:szCs w:val="28"/>
        </w:rPr>
        <w:t>（招标人名称）：</w:t>
      </w:r>
    </w:p>
    <w:p w14:paraId="746A3475">
      <w:pPr>
        <w:wordWrap w:val="0"/>
        <w:adjustRightInd w:val="0"/>
        <w:snapToGrid w:val="0"/>
        <w:spacing w:line="440" w:lineRule="exact"/>
        <w:ind w:firstLine="480" w:firstLineChars="200"/>
        <w:rPr>
          <w:rFonts w:hAnsi="宋体" w:cs="宋体"/>
          <w:snapToGrid w:val="0"/>
          <w:color w:val="auto"/>
          <w:kern w:val="0"/>
          <w:szCs w:val="28"/>
        </w:rPr>
      </w:pPr>
      <w:r>
        <w:rPr>
          <w:rFonts w:hint="eastAsia" w:hAnsi="宋体" w:cs="宋体"/>
          <w:snapToGrid w:val="0"/>
          <w:color w:val="auto"/>
          <w:kern w:val="0"/>
          <w:szCs w:val="28"/>
        </w:rPr>
        <w:t>我方在此声明，我方拟派往</w:t>
      </w:r>
      <w:r>
        <w:rPr>
          <w:rFonts w:hint="eastAsia" w:hAnsi="宋体" w:cs="宋体"/>
          <w:snapToGrid w:val="0"/>
          <w:color w:val="auto"/>
          <w:kern w:val="0"/>
          <w:szCs w:val="28"/>
          <w:u w:val="single"/>
        </w:rPr>
        <w:t xml:space="preserve">        </w:t>
      </w:r>
      <w:r>
        <w:rPr>
          <w:rFonts w:hint="eastAsia" w:hAnsi="宋体" w:cs="宋体"/>
          <w:snapToGrid w:val="0"/>
          <w:color w:val="auto"/>
          <w:kern w:val="0"/>
          <w:szCs w:val="28"/>
        </w:rPr>
        <w:t>（项目名称）的总监理工程师</w:t>
      </w:r>
      <w:r>
        <w:rPr>
          <w:rFonts w:hint="eastAsia" w:hAnsi="宋体" w:cs="宋体"/>
          <w:snapToGrid w:val="0"/>
          <w:color w:val="auto"/>
          <w:kern w:val="0"/>
          <w:szCs w:val="28"/>
          <w:u w:val="single"/>
        </w:rPr>
        <w:t xml:space="preserve">          </w:t>
      </w:r>
      <w:r>
        <w:rPr>
          <w:rFonts w:hint="eastAsia" w:hAnsi="宋体" w:cs="宋体"/>
          <w:snapToGrid w:val="0"/>
          <w:color w:val="auto"/>
          <w:kern w:val="0"/>
          <w:szCs w:val="28"/>
        </w:rPr>
        <w:t>（总监理工程师姓名）现阶段未担任任何在施（包括已中标未开工、已开工未竣工）建设工程项目的总监理工程师。</w:t>
      </w:r>
    </w:p>
    <w:p w14:paraId="42A7A81D">
      <w:pPr>
        <w:wordWrap w:val="0"/>
        <w:adjustRightInd w:val="0"/>
        <w:snapToGrid w:val="0"/>
        <w:spacing w:line="440" w:lineRule="exact"/>
        <w:ind w:firstLine="480"/>
        <w:rPr>
          <w:rFonts w:hAnsi="宋体" w:cs="宋体"/>
          <w:snapToGrid w:val="0"/>
          <w:color w:val="auto"/>
          <w:kern w:val="0"/>
          <w:szCs w:val="28"/>
        </w:rPr>
      </w:pPr>
      <w:r>
        <w:rPr>
          <w:rFonts w:hint="eastAsia" w:hAnsi="宋体" w:cs="宋体"/>
          <w:snapToGrid w:val="0"/>
          <w:color w:val="auto"/>
          <w:kern w:val="0"/>
          <w:szCs w:val="28"/>
        </w:rPr>
        <w:t>我方保证上述信息的真实和准确，并愿意承担因我方就此弄虚作假所引起的一切法律后果。</w:t>
      </w:r>
    </w:p>
    <w:p w14:paraId="323F0213">
      <w:pPr>
        <w:wordWrap w:val="0"/>
        <w:adjustRightInd w:val="0"/>
        <w:snapToGrid w:val="0"/>
        <w:spacing w:line="440" w:lineRule="exact"/>
        <w:ind w:firstLine="480"/>
        <w:rPr>
          <w:rFonts w:hAnsi="宋体" w:cs="宋体"/>
          <w:snapToGrid w:val="0"/>
          <w:color w:val="auto"/>
          <w:kern w:val="0"/>
          <w:szCs w:val="28"/>
        </w:rPr>
      </w:pPr>
      <w:r>
        <w:rPr>
          <w:rFonts w:hint="eastAsia" w:hAnsi="宋体" w:cs="宋体"/>
          <w:snapToGrid w:val="0"/>
          <w:color w:val="auto"/>
          <w:kern w:val="0"/>
          <w:szCs w:val="28"/>
        </w:rPr>
        <w:t>　　</w:t>
      </w:r>
    </w:p>
    <w:p w14:paraId="0FAAB3F1">
      <w:pPr>
        <w:wordWrap w:val="0"/>
        <w:adjustRightInd w:val="0"/>
        <w:snapToGrid w:val="0"/>
        <w:spacing w:line="440" w:lineRule="exact"/>
        <w:rPr>
          <w:rFonts w:hAnsi="宋体" w:cs="宋体"/>
          <w:snapToGrid w:val="0"/>
          <w:color w:val="auto"/>
          <w:kern w:val="0"/>
          <w:szCs w:val="28"/>
        </w:rPr>
      </w:pPr>
      <w:r>
        <w:rPr>
          <w:rFonts w:hint="eastAsia" w:hAnsi="宋体" w:cs="宋体"/>
          <w:snapToGrid w:val="0"/>
          <w:color w:val="auto"/>
          <w:kern w:val="0"/>
          <w:szCs w:val="28"/>
        </w:rPr>
        <w:t>　　特此承诺　　</w:t>
      </w:r>
    </w:p>
    <w:p w14:paraId="7E7CF016">
      <w:pPr>
        <w:wordWrap w:val="0"/>
        <w:adjustRightInd w:val="0"/>
        <w:snapToGrid w:val="0"/>
        <w:spacing w:line="440" w:lineRule="exact"/>
        <w:rPr>
          <w:rFonts w:hAnsi="宋体" w:cs="宋体"/>
          <w:snapToGrid w:val="0"/>
          <w:color w:val="auto"/>
          <w:kern w:val="0"/>
          <w:szCs w:val="28"/>
        </w:rPr>
      </w:pPr>
      <w:r>
        <w:rPr>
          <w:rFonts w:hint="eastAsia" w:hAnsi="宋体" w:cs="宋体"/>
          <w:snapToGrid w:val="0"/>
          <w:color w:val="auto"/>
          <w:kern w:val="0"/>
          <w:szCs w:val="28"/>
        </w:rPr>
        <w:t>　　</w:t>
      </w:r>
    </w:p>
    <w:p w14:paraId="512711A8">
      <w:pPr>
        <w:wordWrap w:val="0"/>
        <w:adjustRightInd w:val="0"/>
        <w:snapToGrid w:val="0"/>
        <w:spacing w:line="440" w:lineRule="exact"/>
        <w:rPr>
          <w:rFonts w:hAnsi="宋体" w:cs="宋体"/>
          <w:snapToGrid w:val="0"/>
          <w:color w:val="auto"/>
          <w:kern w:val="0"/>
          <w:szCs w:val="28"/>
        </w:rPr>
      </w:pPr>
      <w:r>
        <w:rPr>
          <w:rFonts w:hint="eastAsia" w:hAnsi="宋体" w:cs="宋体"/>
          <w:snapToGrid w:val="0"/>
          <w:color w:val="auto"/>
          <w:kern w:val="0"/>
          <w:szCs w:val="28"/>
        </w:rPr>
        <w:t>　　</w:t>
      </w:r>
    </w:p>
    <w:p w14:paraId="2C7EB859">
      <w:pPr>
        <w:wordWrap w:val="0"/>
        <w:adjustRightInd w:val="0"/>
        <w:snapToGrid w:val="0"/>
        <w:spacing w:line="440" w:lineRule="exact"/>
        <w:jc w:val="right"/>
        <w:rPr>
          <w:rFonts w:hAnsi="宋体" w:cs="宋体"/>
          <w:snapToGrid w:val="0"/>
          <w:color w:val="auto"/>
          <w:kern w:val="0"/>
          <w:szCs w:val="28"/>
        </w:rPr>
      </w:pPr>
      <w:r>
        <w:rPr>
          <w:rFonts w:hint="eastAsia" w:hAnsi="宋体" w:cs="宋体"/>
          <w:snapToGrid w:val="0"/>
          <w:color w:val="auto"/>
          <w:kern w:val="0"/>
          <w:szCs w:val="28"/>
        </w:rPr>
        <w:t>投标人：</w:t>
      </w:r>
      <w:r>
        <w:rPr>
          <w:rFonts w:hint="eastAsia" w:hAnsi="宋体" w:cs="宋体"/>
          <w:snapToGrid w:val="0"/>
          <w:color w:val="auto"/>
          <w:kern w:val="0"/>
          <w:szCs w:val="28"/>
          <w:u w:val="single"/>
        </w:rPr>
        <w:t xml:space="preserve">                                </w:t>
      </w:r>
      <w:r>
        <w:rPr>
          <w:rFonts w:hint="eastAsia" w:hAnsi="宋体" w:cs="宋体"/>
          <w:snapToGrid w:val="0"/>
          <w:color w:val="auto"/>
          <w:kern w:val="0"/>
          <w:szCs w:val="28"/>
        </w:rPr>
        <w:t>（盖单位章）</w:t>
      </w:r>
    </w:p>
    <w:p w14:paraId="47264007">
      <w:pPr>
        <w:wordWrap w:val="0"/>
        <w:adjustRightInd w:val="0"/>
        <w:snapToGrid w:val="0"/>
        <w:spacing w:line="440" w:lineRule="exact"/>
        <w:jc w:val="right"/>
        <w:rPr>
          <w:rFonts w:hAnsi="宋体" w:cs="宋体"/>
          <w:snapToGrid w:val="0"/>
          <w:color w:val="auto"/>
          <w:kern w:val="0"/>
          <w:szCs w:val="28"/>
        </w:rPr>
      </w:pPr>
    </w:p>
    <w:p w14:paraId="238474D5">
      <w:pPr>
        <w:wordWrap w:val="0"/>
        <w:adjustRightInd w:val="0"/>
        <w:snapToGrid w:val="0"/>
        <w:spacing w:line="440" w:lineRule="exact"/>
        <w:jc w:val="right"/>
        <w:rPr>
          <w:rFonts w:hAnsi="宋体" w:cs="宋体"/>
          <w:snapToGrid w:val="0"/>
          <w:color w:val="auto"/>
          <w:kern w:val="0"/>
          <w:szCs w:val="28"/>
        </w:rPr>
      </w:pPr>
    </w:p>
    <w:p w14:paraId="769393F9">
      <w:pPr>
        <w:wordWrap w:val="0"/>
        <w:adjustRightInd w:val="0"/>
        <w:snapToGrid w:val="0"/>
        <w:spacing w:line="440" w:lineRule="exact"/>
        <w:jc w:val="right"/>
        <w:rPr>
          <w:rFonts w:hAnsi="宋体" w:cs="宋体"/>
          <w:snapToGrid w:val="0"/>
          <w:color w:val="auto"/>
          <w:kern w:val="0"/>
          <w:szCs w:val="28"/>
        </w:rPr>
      </w:pPr>
      <w:r>
        <w:rPr>
          <w:rFonts w:hint="eastAsia" w:hAnsi="宋体" w:cs="宋体"/>
          <w:snapToGrid w:val="0"/>
          <w:color w:val="auto"/>
          <w:kern w:val="0"/>
          <w:szCs w:val="28"/>
        </w:rPr>
        <w:t>法定代表人或其委托代理人：</w:t>
      </w:r>
      <w:r>
        <w:rPr>
          <w:rFonts w:hint="eastAsia" w:hAnsi="宋体" w:cs="宋体"/>
          <w:snapToGrid w:val="0"/>
          <w:color w:val="auto"/>
          <w:kern w:val="0"/>
          <w:szCs w:val="28"/>
          <w:u w:val="single"/>
        </w:rPr>
        <w:t xml:space="preserve">             </w:t>
      </w:r>
      <w:r>
        <w:rPr>
          <w:rFonts w:hint="eastAsia" w:hAnsi="宋体" w:cs="宋体"/>
          <w:snapToGrid w:val="0"/>
          <w:color w:val="auto"/>
          <w:kern w:val="0"/>
          <w:szCs w:val="28"/>
        </w:rPr>
        <w:t>（签字或盖章）</w:t>
      </w:r>
    </w:p>
    <w:p w14:paraId="6637BF5D">
      <w:pPr>
        <w:wordWrap w:val="0"/>
        <w:adjustRightInd w:val="0"/>
        <w:snapToGrid w:val="0"/>
        <w:spacing w:line="440" w:lineRule="exact"/>
        <w:jc w:val="right"/>
        <w:rPr>
          <w:rFonts w:hAnsi="宋体" w:cs="宋体"/>
          <w:snapToGrid w:val="0"/>
          <w:color w:val="auto"/>
          <w:kern w:val="0"/>
          <w:szCs w:val="28"/>
        </w:rPr>
      </w:pPr>
    </w:p>
    <w:p w14:paraId="3999CA76">
      <w:pPr>
        <w:wordWrap w:val="0"/>
        <w:adjustRightInd w:val="0"/>
        <w:snapToGrid w:val="0"/>
        <w:spacing w:line="440" w:lineRule="exact"/>
        <w:jc w:val="center"/>
        <w:rPr>
          <w:rFonts w:hAnsi="宋体" w:cs="宋体"/>
          <w:snapToGrid w:val="0"/>
          <w:color w:val="auto"/>
          <w:kern w:val="0"/>
          <w:szCs w:val="28"/>
        </w:rPr>
      </w:pPr>
      <w:r>
        <w:rPr>
          <w:rFonts w:hint="eastAsia" w:hAnsi="宋体" w:cs="宋体"/>
          <w:snapToGrid w:val="0"/>
          <w:color w:val="auto"/>
          <w:kern w:val="0"/>
          <w:szCs w:val="28"/>
        </w:rPr>
        <w:t xml:space="preserve">                            </w:t>
      </w:r>
      <w:r>
        <w:rPr>
          <w:rFonts w:hint="eastAsia" w:hAnsi="宋体" w:cs="宋体"/>
          <w:snapToGrid w:val="0"/>
          <w:color w:val="auto"/>
          <w:kern w:val="0"/>
          <w:szCs w:val="28"/>
          <w:u w:val="single"/>
        </w:rPr>
        <w:t xml:space="preserve">         </w:t>
      </w:r>
      <w:r>
        <w:rPr>
          <w:rFonts w:hint="eastAsia" w:hAnsi="宋体" w:cs="宋体"/>
          <w:snapToGrid w:val="0"/>
          <w:color w:val="auto"/>
          <w:kern w:val="0"/>
          <w:szCs w:val="28"/>
        </w:rPr>
        <w:t>年</w:t>
      </w:r>
      <w:r>
        <w:rPr>
          <w:rFonts w:hint="eastAsia" w:hAnsi="宋体" w:cs="宋体"/>
          <w:snapToGrid w:val="0"/>
          <w:color w:val="auto"/>
          <w:kern w:val="0"/>
          <w:szCs w:val="28"/>
          <w:u w:val="single"/>
        </w:rPr>
        <w:t xml:space="preserve">        </w:t>
      </w:r>
      <w:r>
        <w:rPr>
          <w:rFonts w:hint="eastAsia" w:hAnsi="宋体" w:cs="宋体"/>
          <w:snapToGrid w:val="0"/>
          <w:color w:val="auto"/>
          <w:kern w:val="0"/>
          <w:szCs w:val="28"/>
        </w:rPr>
        <w:t>月</w:t>
      </w:r>
      <w:r>
        <w:rPr>
          <w:rFonts w:hint="eastAsia" w:hAnsi="宋体" w:cs="宋体"/>
          <w:snapToGrid w:val="0"/>
          <w:color w:val="auto"/>
          <w:kern w:val="0"/>
          <w:szCs w:val="28"/>
          <w:u w:val="single"/>
        </w:rPr>
        <w:t xml:space="preserve">        </w:t>
      </w:r>
      <w:r>
        <w:rPr>
          <w:rFonts w:hint="eastAsia" w:hAnsi="宋体" w:cs="宋体"/>
          <w:snapToGrid w:val="0"/>
          <w:color w:val="auto"/>
          <w:kern w:val="0"/>
          <w:szCs w:val="28"/>
        </w:rPr>
        <w:t>日</w:t>
      </w:r>
    </w:p>
    <w:p w14:paraId="7D57057B">
      <w:pPr>
        <w:wordWrap w:val="0"/>
        <w:adjustRightInd w:val="0"/>
        <w:snapToGrid w:val="0"/>
        <w:spacing w:line="400" w:lineRule="exact"/>
        <w:ind w:firstLine="420"/>
        <w:rPr>
          <w:rFonts w:hAnsi="宋体" w:cs="宋体"/>
          <w:snapToGrid w:val="0"/>
          <w:color w:val="auto"/>
          <w:kern w:val="0"/>
          <w:sz w:val="21"/>
          <w:szCs w:val="28"/>
        </w:rPr>
        <w:sectPr>
          <w:endnotePr>
            <w:numFmt w:val="decimal"/>
          </w:endnotePr>
          <w:pgSz w:w="11906" w:h="16838"/>
          <w:pgMar w:top="1417" w:right="1417" w:bottom="1417" w:left="1417" w:header="850" w:footer="992" w:gutter="0"/>
          <w:cols w:space="0" w:num="1"/>
          <w:docGrid w:linePitch="327" w:charSpace="0"/>
        </w:sectPr>
      </w:pPr>
    </w:p>
    <w:p w14:paraId="3D9E0CC1">
      <w:pPr>
        <w:wordWrap w:val="0"/>
        <w:adjustRightInd w:val="0"/>
        <w:snapToGrid w:val="0"/>
        <w:spacing w:line="440" w:lineRule="exact"/>
        <w:jc w:val="left"/>
        <w:outlineLvl w:val="1"/>
        <w:rPr>
          <w:rFonts w:hAnsi="宋体" w:cs="宋体"/>
          <w:b/>
          <w:snapToGrid w:val="0"/>
          <w:color w:val="auto"/>
          <w:kern w:val="0"/>
        </w:rPr>
      </w:pPr>
      <w:bookmarkStart w:id="278" w:name="_Toc23794"/>
      <w:r>
        <w:rPr>
          <w:rFonts w:hint="eastAsia" w:hAnsi="宋体" w:cs="宋体"/>
          <w:b/>
          <w:snapToGrid w:val="0"/>
          <w:color w:val="auto"/>
          <w:kern w:val="0"/>
        </w:rPr>
        <w:t>格式八 总监理工程师任职声明（适用于有任职项目）</w:t>
      </w:r>
      <w:bookmarkEnd w:id="278"/>
    </w:p>
    <w:p w14:paraId="1F4AB9C3">
      <w:pPr>
        <w:wordWrap w:val="0"/>
        <w:adjustRightInd w:val="0"/>
        <w:snapToGrid w:val="0"/>
        <w:spacing w:line="440" w:lineRule="exact"/>
        <w:jc w:val="left"/>
        <w:rPr>
          <w:rFonts w:hAnsi="宋体" w:cs="宋体"/>
          <w:b/>
          <w:snapToGrid w:val="0"/>
          <w:color w:val="auto"/>
          <w:kern w:val="0"/>
        </w:rPr>
      </w:pPr>
    </w:p>
    <w:p w14:paraId="6DF0493E">
      <w:pPr>
        <w:wordWrap w:val="0"/>
        <w:adjustRightInd w:val="0"/>
        <w:snapToGrid w:val="0"/>
        <w:spacing w:before="260" w:after="260" w:line="440" w:lineRule="exact"/>
        <w:jc w:val="center"/>
        <w:rPr>
          <w:rFonts w:hAnsi="宋体" w:cs="宋体"/>
          <w:snapToGrid w:val="0"/>
          <w:color w:val="auto"/>
          <w:kern w:val="0"/>
          <w:szCs w:val="28"/>
        </w:rPr>
      </w:pPr>
      <w:r>
        <w:rPr>
          <w:rFonts w:hint="eastAsia" w:hAnsi="宋体" w:cs="宋体"/>
          <w:b/>
          <w:snapToGrid w:val="0"/>
          <w:color w:val="auto"/>
          <w:kern w:val="0"/>
          <w:sz w:val="30"/>
        </w:rPr>
        <w:t>总监理工程师任职声明</w:t>
      </w:r>
    </w:p>
    <w:p w14:paraId="24A7C1A2">
      <w:pPr>
        <w:wordWrap w:val="0"/>
        <w:adjustRightInd w:val="0"/>
        <w:snapToGrid w:val="0"/>
        <w:spacing w:line="440" w:lineRule="exact"/>
        <w:jc w:val="center"/>
        <w:rPr>
          <w:rFonts w:hAnsi="宋体" w:cs="宋体"/>
          <w:snapToGrid w:val="0"/>
          <w:color w:val="auto"/>
          <w:kern w:val="0"/>
          <w:szCs w:val="28"/>
        </w:rPr>
      </w:pPr>
    </w:p>
    <w:p w14:paraId="6EB8609F">
      <w:pPr>
        <w:wordWrap w:val="0"/>
        <w:adjustRightInd w:val="0"/>
        <w:snapToGrid w:val="0"/>
        <w:spacing w:line="440" w:lineRule="exact"/>
        <w:rPr>
          <w:rFonts w:hAnsi="宋体" w:cs="宋体"/>
          <w:snapToGrid w:val="0"/>
          <w:color w:val="auto"/>
          <w:kern w:val="0"/>
          <w:szCs w:val="28"/>
        </w:rPr>
      </w:pPr>
      <w:r>
        <w:rPr>
          <w:rFonts w:hint="eastAsia" w:hAnsi="宋体" w:cs="宋体"/>
          <w:snapToGrid w:val="0"/>
          <w:color w:val="auto"/>
          <w:kern w:val="0"/>
          <w:szCs w:val="28"/>
        </w:rPr>
        <w:t>致：</w:t>
      </w:r>
      <w:r>
        <w:rPr>
          <w:rFonts w:hint="eastAsia" w:hAnsi="宋体" w:cs="宋体"/>
          <w:snapToGrid w:val="0"/>
          <w:color w:val="auto"/>
          <w:kern w:val="0"/>
          <w:szCs w:val="28"/>
          <w:u w:val="single"/>
        </w:rPr>
        <w:t xml:space="preserve">                   </w:t>
      </w:r>
      <w:r>
        <w:rPr>
          <w:rFonts w:hint="eastAsia" w:hAnsi="宋体" w:cs="宋体"/>
          <w:snapToGrid w:val="0"/>
          <w:color w:val="auto"/>
          <w:kern w:val="0"/>
          <w:szCs w:val="28"/>
        </w:rPr>
        <w:t>（招标人名称）：</w:t>
      </w:r>
    </w:p>
    <w:p w14:paraId="06EF6673">
      <w:pPr>
        <w:wordWrap w:val="0"/>
        <w:adjustRightInd w:val="0"/>
        <w:snapToGrid w:val="0"/>
        <w:spacing w:line="440" w:lineRule="exact"/>
        <w:ind w:firstLine="480" w:firstLineChars="200"/>
        <w:rPr>
          <w:rFonts w:hAnsi="宋体" w:cs="宋体"/>
          <w:snapToGrid w:val="0"/>
          <w:color w:val="auto"/>
          <w:kern w:val="0"/>
          <w:szCs w:val="28"/>
        </w:rPr>
      </w:pPr>
      <w:r>
        <w:rPr>
          <w:rFonts w:hint="eastAsia" w:hAnsi="宋体" w:cs="宋体"/>
          <w:snapToGrid w:val="0"/>
          <w:color w:val="auto"/>
          <w:kern w:val="0"/>
          <w:szCs w:val="28"/>
        </w:rPr>
        <w:t>我方在此声明，我方拟派往</w:t>
      </w:r>
      <w:r>
        <w:rPr>
          <w:rFonts w:hint="eastAsia" w:hAnsi="宋体" w:cs="宋体"/>
          <w:snapToGrid w:val="0"/>
          <w:color w:val="auto"/>
          <w:kern w:val="0"/>
          <w:szCs w:val="28"/>
          <w:u w:val="single"/>
        </w:rPr>
        <w:t xml:space="preserve">        </w:t>
      </w:r>
      <w:r>
        <w:rPr>
          <w:rFonts w:hint="eastAsia" w:hAnsi="宋体" w:cs="宋体"/>
          <w:snapToGrid w:val="0"/>
          <w:color w:val="auto"/>
          <w:kern w:val="0"/>
          <w:szCs w:val="28"/>
        </w:rPr>
        <w:t>（项目名称）的总监理工程师</w:t>
      </w:r>
      <w:r>
        <w:rPr>
          <w:rFonts w:hint="eastAsia" w:hAnsi="宋体" w:cs="宋体"/>
          <w:snapToGrid w:val="0"/>
          <w:color w:val="auto"/>
          <w:kern w:val="0"/>
          <w:szCs w:val="28"/>
          <w:u w:val="single"/>
        </w:rPr>
        <w:t xml:space="preserve">          </w:t>
      </w:r>
      <w:r>
        <w:rPr>
          <w:rFonts w:hint="eastAsia" w:hAnsi="宋体" w:cs="宋体"/>
          <w:snapToGrid w:val="0"/>
          <w:color w:val="auto"/>
          <w:kern w:val="0"/>
          <w:szCs w:val="28"/>
        </w:rPr>
        <w:t>（总监理工程师姓名）现阶段正在担任</w:t>
      </w:r>
      <w:r>
        <w:rPr>
          <w:rFonts w:hint="eastAsia" w:hAnsi="宋体" w:cs="宋体"/>
          <w:snapToGrid w:val="0"/>
          <w:color w:val="auto"/>
          <w:kern w:val="0"/>
          <w:szCs w:val="28"/>
          <w:u w:val="single"/>
        </w:rPr>
        <w:t xml:space="preserve">    </w:t>
      </w:r>
      <w:r>
        <w:rPr>
          <w:rFonts w:hint="eastAsia" w:hAnsi="宋体" w:cs="宋体"/>
          <w:snapToGrid w:val="0"/>
          <w:color w:val="auto"/>
          <w:kern w:val="0"/>
          <w:szCs w:val="28"/>
        </w:rPr>
        <w:t>个在施（包括已中标未开工、已开工未竣工）建设工程项目的总监理工程师，具体情况详见《总监理工程师任职项目情况表》。</w:t>
      </w:r>
    </w:p>
    <w:p w14:paraId="3BF487D7">
      <w:pPr>
        <w:wordWrap w:val="0"/>
        <w:adjustRightInd w:val="0"/>
        <w:snapToGrid w:val="0"/>
        <w:spacing w:line="440" w:lineRule="exact"/>
        <w:ind w:firstLine="480"/>
        <w:rPr>
          <w:rFonts w:hAnsi="宋体" w:cs="宋体"/>
          <w:snapToGrid w:val="0"/>
          <w:color w:val="auto"/>
          <w:kern w:val="0"/>
          <w:szCs w:val="28"/>
        </w:rPr>
      </w:pPr>
      <w:r>
        <w:rPr>
          <w:rFonts w:hint="eastAsia" w:hAnsi="宋体" w:cs="宋体"/>
          <w:snapToGrid w:val="0"/>
          <w:color w:val="auto"/>
          <w:kern w:val="0"/>
          <w:szCs w:val="28"/>
        </w:rPr>
        <w:t>我方保证上述信息的真实和准确，并愿意承担因我方就此弄虚作假所引起的一切法律后果。</w:t>
      </w:r>
    </w:p>
    <w:p w14:paraId="43775051">
      <w:pPr>
        <w:wordWrap w:val="0"/>
        <w:adjustRightInd w:val="0"/>
        <w:snapToGrid w:val="0"/>
        <w:spacing w:line="440" w:lineRule="exact"/>
        <w:ind w:firstLine="480"/>
        <w:rPr>
          <w:rFonts w:hAnsi="宋体" w:cs="宋体"/>
          <w:snapToGrid w:val="0"/>
          <w:color w:val="auto"/>
          <w:kern w:val="0"/>
          <w:szCs w:val="28"/>
        </w:rPr>
      </w:pPr>
      <w:r>
        <w:rPr>
          <w:rFonts w:hint="eastAsia" w:hAnsi="宋体" w:cs="宋体"/>
          <w:snapToGrid w:val="0"/>
          <w:color w:val="auto"/>
          <w:kern w:val="0"/>
          <w:szCs w:val="28"/>
        </w:rPr>
        <w:t>　　</w:t>
      </w:r>
    </w:p>
    <w:p w14:paraId="640AFCB1">
      <w:pPr>
        <w:wordWrap w:val="0"/>
        <w:adjustRightInd w:val="0"/>
        <w:snapToGrid w:val="0"/>
        <w:spacing w:line="440" w:lineRule="exact"/>
        <w:ind w:firstLine="480"/>
        <w:rPr>
          <w:rFonts w:hAnsi="宋体" w:cs="宋体"/>
          <w:snapToGrid w:val="0"/>
          <w:color w:val="auto"/>
          <w:kern w:val="0"/>
          <w:szCs w:val="28"/>
        </w:rPr>
      </w:pPr>
      <w:r>
        <w:rPr>
          <w:rFonts w:hint="eastAsia" w:hAnsi="宋体" w:cs="宋体"/>
          <w:snapToGrid w:val="0"/>
          <w:color w:val="auto"/>
          <w:kern w:val="0"/>
          <w:szCs w:val="28"/>
        </w:rPr>
        <w:t>特此承诺</w:t>
      </w:r>
    </w:p>
    <w:p w14:paraId="5E81808E">
      <w:pPr>
        <w:wordWrap w:val="0"/>
        <w:adjustRightInd w:val="0"/>
        <w:snapToGrid w:val="0"/>
        <w:spacing w:line="440" w:lineRule="exact"/>
        <w:ind w:firstLine="480"/>
        <w:rPr>
          <w:rFonts w:hAnsi="宋体" w:cs="宋体"/>
          <w:snapToGrid w:val="0"/>
          <w:color w:val="auto"/>
          <w:kern w:val="0"/>
          <w:szCs w:val="28"/>
        </w:rPr>
      </w:pPr>
    </w:p>
    <w:p w14:paraId="48DECB69">
      <w:pPr>
        <w:wordWrap w:val="0"/>
        <w:adjustRightInd w:val="0"/>
        <w:snapToGrid w:val="0"/>
        <w:spacing w:line="440" w:lineRule="exact"/>
        <w:rPr>
          <w:rFonts w:hAnsi="宋体" w:cs="宋体"/>
          <w:snapToGrid w:val="0"/>
          <w:color w:val="auto"/>
          <w:kern w:val="0"/>
          <w:szCs w:val="28"/>
        </w:rPr>
      </w:pPr>
      <w:r>
        <w:rPr>
          <w:rFonts w:hint="eastAsia" w:hAnsi="宋体" w:cs="宋体"/>
          <w:snapToGrid w:val="0"/>
          <w:color w:val="auto"/>
          <w:kern w:val="0"/>
          <w:szCs w:val="28"/>
        </w:rPr>
        <w:t>　　</w:t>
      </w:r>
    </w:p>
    <w:p w14:paraId="1F4E3D29">
      <w:pPr>
        <w:wordWrap w:val="0"/>
        <w:adjustRightInd w:val="0"/>
        <w:snapToGrid w:val="0"/>
        <w:spacing w:line="440" w:lineRule="exact"/>
        <w:jc w:val="right"/>
        <w:rPr>
          <w:rFonts w:hAnsi="宋体" w:cs="宋体"/>
          <w:snapToGrid w:val="0"/>
          <w:color w:val="auto"/>
          <w:kern w:val="0"/>
          <w:szCs w:val="28"/>
        </w:rPr>
      </w:pPr>
      <w:r>
        <w:rPr>
          <w:rFonts w:hint="eastAsia" w:hAnsi="宋体" w:cs="宋体"/>
          <w:snapToGrid w:val="0"/>
          <w:color w:val="auto"/>
          <w:kern w:val="0"/>
          <w:szCs w:val="28"/>
        </w:rPr>
        <w:t>投标人：</w:t>
      </w:r>
      <w:r>
        <w:rPr>
          <w:rFonts w:hint="eastAsia" w:hAnsi="宋体" w:cs="宋体"/>
          <w:snapToGrid w:val="0"/>
          <w:color w:val="auto"/>
          <w:kern w:val="0"/>
          <w:szCs w:val="28"/>
          <w:u w:val="single"/>
        </w:rPr>
        <w:t xml:space="preserve">                                </w:t>
      </w:r>
      <w:r>
        <w:rPr>
          <w:rFonts w:hint="eastAsia" w:hAnsi="宋体" w:cs="宋体"/>
          <w:snapToGrid w:val="0"/>
          <w:color w:val="auto"/>
          <w:kern w:val="0"/>
          <w:szCs w:val="28"/>
        </w:rPr>
        <w:t>（盖单位章）</w:t>
      </w:r>
    </w:p>
    <w:p w14:paraId="22219690">
      <w:pPr>
        <w:wordWrap w:val="0"/>
        <w:adjustRightInd w:val="0"/>
        <w:snapToGrid w:val="0"/>
        <w:spacing w:line="440" w:lineRule="exact"/>
        <w:jc w:val="right"/>
        <w:rPr>
          <w:rFonts w:hAnsi="宋体" w:cs="宋体"/>
          <w:snapToGrid w:val="0"/>
          <w:color w:val="auto"/>
          <w:kern w:val="0"/>
          <w:szCs w:val="28"/>
        </w:rPr>
      </w:pPr>
    </w:p>
    <w:p w14:paraId="2B53D6B8">
      <w:pPr>
        <w:wordWrap w:val="0"/>
        <w:adjustRightInd w:val="0"/>
        <w:snapToGrid w:val="0"/>
        <w:spacing w:line="440" w:lineRule="exact"/>
        <w:jc w:val="right"/>
        <w:rPr>
          <w:rFonts w:hAnsi="宋体" w:cs="宋体"/>
          <w:snapToGrid w:val="0"/>
          <w:color w:val="auto"/>
          <w:kern w:val="0"/>
          <w:szCs w:val="28"/>
        </w:rPr>
      </w:pPr>
    </w:p>
    <w:p w14:paraId="7F5FEBB2">
      <w:pPr>
        <w:wordWrap w:val="0"/>
        <w:adjustRightInd w:val="0"/>
        <w:snapToGrid w:val="0"/>
        <w:spacing w:line="440" w:lineRule="exact"/>
        <w:jc w:val="right"/>
        <w:rPr>
          <w:rFonts w:hAnsi="宋体" w:cs="宋体"/>
          <w:snapToGrid w:val="0"/>
          <w:color w:val="auto"/>
          <w:kern w:val="0"/>
          <w:szCs w:val="28"/>
        </w:rPr>
      </w:pPr>
      <w:r>
        <w:rPr>
          <w:rFonts w:hint="eastAsia" w:hAnsi="宋体" w:cs="宋体"/>
          <w:snapToGrid w:val="0"/>
          <w:color w:val="auto"/>
          <w:kern w:val="0"/>
          <w:szCs w:val="28"/>
        </w:rPr>
        <w:t>法定代表人或其委托代理人：</w:t>
      </w:r>
      <w:r>
        <w:rPr>
          <w:rFonts w:hint="eastAsia" w:hAnsi="宋体" w:cs="宋体"/>
          <w:snapToGrid w:val="0"/>
          <w:color w:val="auto"/>
          <w:kern w:val="0"/>
          <w:szCs w:val="28"/>
          <w:u w:val="single"/>
        </w:rPr>
        <w:t xml:space="preserve">             </w:t>
      </w:r>
      <w:r>
        <w:rPr>
          <w:rFonts w:hint="eastAsia" w:hAnsi="宋体" w:cs="宋体"/>
          <w:snapToGrid w:val="0"/>
          <w:color w:val="auto"/>
          <w:kern w:val="0"/>
          <w:szCs w:val="28"/>
        </w:rPr>
        <w:t>（签字或盖章）</w:t>
      </w:r>
    </w:p>
    <w:p w14:paraId="5D06E6B1">
      <w:pPr>
        <w:wordWrap w:val="0"/>
        <w:adjustRightInd w:val="0"/>
        <w:snapToGrid w:val="0"/>
        <w:spacing w:line="440" w:lineRule="exact"/>
        <w:jc w:val="right"/>
        <w:rPr>
          <w:rFonts w:hAnsi="宋体" w:cs="宋体"/>
          <w:snapToGrid w:val="0"/>
          <w:color w:val="auto"/>
          <w:kern w:val="0"/>
          <w:szCs w:val="28"/>
        </w:rPr>
      </w:pPr>
    </w:p>
    <w:p w14:paraId="6C2DCAF1">
      <w:pPr>
        <w:wordWrap w:val="0"/>
        <w:adjustRightInd w:val="0"/>
        <w:snapToGrid w:val="0"/>
        <w:spacing w:line="440" w:lineRule="exact"/>
        <w:jc w:val="center"/>
        <w:rPr>
          <w:rFonts w:hAnsi="宋体" w:cs="宋体"/>
          <w:snapToGrid w:val="0"/>
          <w:color w:val="auto"/>
          <w:kern w:val="0"/>
          <w:szCs w:val="28"/>
        </w:rPr>
      </w:pPr>
      <w:r>
        <w:rPr>
          <w:rFonts w:hint="eastAsia" w:hAnsi="宋体" w:cs="宋体"/>
          <w:snapToGrid w:val="0"/>
          <w:color w:val="auto"/>
          <w:kern w:val="0"/>
          <w:szCs w:val="28"/>
        </w:rPr>
        <w:t xml:space="preserve">                            </w:t>
      </w:r>
      <w:r>
        <w:rPr>
          <w:rFonts w:hint="eastAsia" w:hAnsi="宋体" w:cs="宋体"/>
          <w:snapToGrid w:val="0"/>
          <w:color w:val="auto"/>
          <w:kern w:val="0"/>
          <w:szCs w:val="28"/>
          <w:u w:val="single"/>
        </w:rPr>
        <w:t xml:space="preserve">         </w:t>
      </w:r>
      <w:r>
        <w:rPr>
          <w:rFonts w:hint="eastAsia" w:hAnsi="宋体" w:cs="宋体"/>
          <w:snapToGrid w:val="0"/>
          <w:color w:val="auto"/>
          <w:kern w:val="0"/>
          <w:szCs w:val="28"/>
        </w:rPr>
        <w:t>年</w:t>
      </w:r>
      <w:r>
        <w:rPr>
          <w:rFonts w:hint="eastAsia" w:hAnsi="宋体" w:cs="宋体"/>
          <w:snapToGrid w:val="0"/>
          <w:color w:val="auto"/>
          <w:kern w:val="0"/>
          <w:szCs w:val="28"/>
          <w:u w:val="single"/>
        </w:rPr>
        <w:t xml:space="preserve">        </w:t>
      </w:r>
      <w:r>
        <w:rPr>
          <w:rFonts w:hint="eastAsia" w:hAnsi="宋体" w:cs="宋体"/>
          <w:snapToGrid w:val="0"/>
          <w:color w:val="auto"/>
          <w:kern w:val="0"/>
          <w:szCs w:val="28"/>
        </w:rPr>
        <w:t>月</w:t>
      </w:r>
      <w:r>
        <w:rPr>
          <w:rFonts w:hint="eastAsia" w:hAnsi="宋体" w:cs="宋体"/>
          <w:snapToGrid w:val="0"/>
          <w:color w:val="auto"/>
          <w:kern w:val="0"/>
          <w:szCs w:val="28"/>
          <w:u w:val="single"/>
        </w:rPr>
        <w:t xml:space="preserve">        </w:t>
      </w:r>
      <w:r>
        <w:rPr>
          <w:rFonts w:hint="eastAsia" w:hAnsi="宋体" w:cs="宋体"/>
          <w:snapToGrid w:val="0"/>
          <w:color w:val="auto"/>
          <w:kern w:val="0"/>
          <w:szCs w:val="28"/>
        </w:rPr>
        <w:t>日</w:t>
      </w:r>
    </w:p>
    <w:p w14:paraId="07137052">
      <w:pPr>
        <w:wordWrap w:val="0"/>
        <w:adjustRightInd w:val="0"/>
        <w:snapToGrid w:val="0"/>
        <w:spacing w:line="440" w:lineRule="exact"/>
        <w:jc w:val="center"/>
        <w:rPr>
          <w:rFonts w:hAnsi="宋体" w:cs="宋体"/>
          <w:snapToGrid w:val="0"/>
          <w:color w:val="auto"/>
          <w:kern w:val="0"/>
          <w:szCs w:val="28"/>
        </w:rPr>
      </w:pPr>
    </w:p>
    <w:p w14:paraId="5CDF3B0D">
      <w:pPr>
        <w:wordWrap w:val="0"/>
        <w:adjustRightInd w:val="0"/>
        <w:snapToGrid w:val="0"/>
        <w:spacing w:line="400" w:lineRule="exact"/>
        <w:ind w:firstLine="420"/>
        <w:rPr>
          <w:rFonts w:hAnsi="宋体" w:cs="宋体"/>
          <w:snapToGrid w:val="0"/>
          <w:color w:val="auto"/>
          <w:kern w:val="0"/>
          <w:sz w:val="21"/>
          <w:szCs w:val="28"/>
        </w:rPr>
        <w:sectPr>
          <w:endnotePr>
            <w:numFmt w:val="decimal"/>
          </w:endnotePr>
          <w:pgSz w:w="11906" w:h="16838"/>
          <w:pgMar w:top="1417" w:right="1417" w:bottom="1417" w:left="1417" w:header="850" w:footer="992" w:gutter="0"/>
          <w:cols w:space="0" w:num="1"/>
          <w:docGrid w:linePitch="327" w:charSpace="0"/>
        </w:sectPr>
      </w:pPr>
    </w:p>
    <w:p w14:paraId="68EC0D5F">
      <w:pPr>
        <w:wordWrap w:val="0"/>
        <w:adjustRightInd w:val="0"/>
        <w:snapToGrid w:val="0"/>
        <w:spacing w:line="440" w:lineRule="exact"/>
        <w:outlineLvl w:val="1"/>
        <w:rPr>
          <w:rFonts w:hAnsi="宋体" w:cs="宋体"/>
          <w:b/>
          <w:bCs/>
          <w:snapToGrid w:val="0"/>
          <w:color w:val="auto"/>
          <w:kern w:val="0"/>
          <w:szCs w:val="24"/>
        </w:rPr>
      </w:pPr>
      <w:bookmarkStart w:id="279" w:name="_Toc11113"/>
      <w:r>
        <w:rPr>
          <w:rFonts w:hint="eastAsia" w:hAnsi="宋体" w:cs="宋体"/>
          <w:b/>
          <w:bCs/>
          <w:snapToGrid w:val="0"/>
          <w:color w:val="auto"/>
          <w:kern w:val="0"/>
          <w:szCs w:val="24"/>
        </w:rPr>
        <w:t>格式九 总监理工程师任职项目情况表</w:t>
      </w:r>
      <w:bookmarkEnd w:id="279"/>
    </w:p>
    <w:p w14:paraId="0860542F">
      <w:pPr>
        <w:wordWrap w:val="0"/>
        <w:adjustRightInd w:val="0"/>
        <w:snapToGrid w:val="0"/>
        <w:spacing w:line="440" w:lineRule="exact"/>
        <w:rPr>
          <w:rFonts w:hAnsi="宋体" w:cs="宋体"/>
          <w:b/>
          <w:bCs/>
          <w:snapToGrid w:val="0"/>
          <w:color w:val="auto"/>
          <w:kern w:val="0"/>
          <w:szCs w:val="24"/>
        </w:rPr>
      </w:pPr>
    </w:p>
    <w:p w14:paraId="49EB0FEB">
      <w:pPr>
        <w:pStyle w:val="34"/>
        <w:widowControl w:val="0"/>
        <w:wordWrap w:val="0"/>
        <w:adjustRightInd w:val="0"/>
        <w:snapToGrid w:val="0"/>
        <w:spacing w:before="260" w:after="260" w:line="400" w:lineRule="exact"/>
        <w:ind w:firstLine="0"/>
        <w:jc w:val="center"/>
        <w:rPr>
          <w:rFonts w:hAnsi="宋体" w:cs="宋体"/>
          <w:snapToGrid w:val="0"/>
          <w:color w:val="auto"/>
          <w:sz w:val="24"/>
        </w:rPr>
      </w:pPr>
      <w:r>
        <w:rPr>
          <w:rFonts w:hint="eastAsia" w:hAnsi="宋体" w:cs="宋体"/>
          <w:b/>
          <w:snapToGrid w:val="0"/>
          <w:color w:val="auto"/>
          <w:sz w:val="30"/>
        </w:rPr>
        <w:t xml:space="preserve"> 总监理工程师任职项目情况表（）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2771"/>
        <w:gridCol w:w="1635"/>
        <w:gridCol w:w="2594"/>
      </w:tblGrid>
      <w:tr w14:paraId="031BD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05" w:type="dxa"/>
            <w:vAlign w:val="center"/>
          </w:tcPr>
          <w:p w14:paraId="12D0B83A">
            <w:pPr>
              <w:pStyle w:val="37"/>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项目名称</w:t>
            </w:r>
          </w:p>
        </w:tc>
        <w:tc>
          <w:tcPr>
            <w:tcW w:w="2771" w:type="dxa"/>
            <w:vAlign w:val="center"/>
          </w:tcPr>
          <w:p w14:paraId="70C8BCE4">
            <w:pPr>
              <w:pStyle w:val="37"/>
              <w:wordWrap w:val="0"/>
              <w:adjustRightInd w:val="0"/>
              <w:snapToGrid w:val="0"/>
              <w:jc w:val="center"/>
              <w:rPr>
                <w:rFonts w:ascii="宋体" w:hAnsi="宋体" w:cs="宋体"/>
                <w:snapToGrid w:val="0"/>
                <w:color w:val="auto"/>
                <w:kern w:val="0"/>
                <w:szCs w:val="21"/>
              </w:rPr>
            </w:pPr>
          </w:p>
        </w:tc>
        <w:tc>
          <w:tcPr>
            <w:tcW w:w="1635" w:type="dxa"/>
            <w:vAlign w:val="center"/>
          </w:tcPr>
          <w:p w14:paraId="760EF269">
            <w:pPr>
              <w:pStyle w:val="37"/>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项目所在地</w:t>
            </w:r>
          </w:p>
        </w:tc>
        <w:tc>
          <w:tcPr>
            <w:tcW w:w="2594" w:type="dxa"/>
            <w:vAlign w:val="center"/>
          </w:tcPr>
          <w:p w14:paraId="5BBBAB69">
            <w:pPr>
              <w:pStyle w:val="37"/>
              <w:wordWrap w:val="0"/>
              <w:adjustRightInd w:val="0"/>
              <w:snapToGrid w:val="0"/>
              <w:jc w:val="center"/>
              <w:rPr>
                <w:rFonts w:ascii="宋体" w:hAnsi="宋体" w:cs="宋体"/>
                <w:snapToGrid w:val="0"/>
                <w:color w:val="auto"/>
                <w:kern w:val="0"/>
                <w:szCs w:val="21"/>
              </w:rPr>
            </w:pPr>
          </w:p>
        </w:tc>
      </w:tr>
      <w:tr w14:paraId="58301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05" w:type="dxa"/>
            <w:vAlign w:val="center"/>
          </w:tcPr>
          <w:p w14:paraId="304C5348">
            <w:pPr>
              <w:pStyle w:val="37"/>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委托人名称</w:t>
            </w:r>
          </w:p>
        </w:tc>
        <w:tc>
          <w:tcPr>
            <w:tcW w:w="2771" w:type="dxa"/>
            <w:vAlign w:val="center"/>
          </w:tcPr>
          <w:p w14:paraId="2FAB9E9C">
            <w:pPr>
              <w:pStyle w:val="37"/>
              <w:wordWrap w:val="0"/>
              <w:adjustRightInd w:val="0"/>
              <w:snapToGrid w:val="0"/>
              <w:jc w:val="center"/>
              <w:rPr>
                <w:rFonts w:ascii="宋体" w:hAnsi="宋体" w:cs="宋体"/>
                <w:snapToGrid w:val="0"/>
                <w:color w:val="auto"/>
                <w:kern w:val="0"/>
                <w:szCs w:val="21"/>
              </w:rPr>
            </w:pPr>
          </w:p>
        </w:tc>
        <w:tc>
          <w:tcPr>
            <w:tcW w:w="1635" w:type="dxa"/>
            <w:vAlign w:val="center"/>
          </w:tcPr>
          <w:p w14:paraId="09FCB0B0">
            <w:pPr>
              <w:pStyle w:val="37"/>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委托人地址</w:t>
            </w:r>
          </w:p>
        </w:tc>
        <w:tc>
          <w:tcPr>
            <w:tcW w:w="2594" w:type="dxa"/>
            <w:vAlign w:val="center"/>
          </w:tcPr>
          <w:p w14:paraId="5A8175A5">
            <w:pPr>
              <w:pStyle w:val="37"/>
              <w:wordWrap w:val="0"/>
              <w:adjustRightInd w:val="0"/>
              <w:snapToGrid w:val="0"/>
              <w:jc w:val="center"/>
              <w:rPr>
                <w:rFonts w:ascii="宋体" w:hAnsi="宋体" w:cs="宋体"/>
                <w:snapToGrid w:val="0"/>
                <w:color w:val="auto"/>
                <w:kern w:val="0"/>
                <w:szCs w:val="21"/>
              </w:rPr>
            </w:pPr>
          </w:p>
        </w:tc>
      </w:tr>
      <w:tr w14:paraId="37F69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05" w:type="dxa"/>
            <w:vAlign w:val="center"/>
          </w:tcPr>
          <w:p w14:paraId="0B1C8A56">
            <w:pPr>
              <w:pStyle w:val="37"/>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委托人电话</w:t>
            </w:r>
          </w:p>
        </w:tc>
        <w:tc>
          <w:tcPr>
            <w:tcW w:w="2771" w:type="dxa"/>
            <w:vAlign w:val="center"/>
          </w:tcPr>
          <w:p w14:paraId="7790EE91">
            <w:pPr>
              <w:pStyle w:val="37"/>
              <w:wordWrap w:val="0"/>
              <w:adjustRightInd w:val="0"/>
              <w:snapToGrid w:val="0"/>
              <w:jc w:val="center"/>
              <w:rPr>
                <w:rFonts w:ascii="宋体" w:hAnsi="宋体" w:cs="宋体"/>
                <w:snapToGrid w:val="0"/>
                <w:color w:val="auto"/>
                <w:kern w:val="0"/>
                <w:szCs w:val="21"/>
              </w:rPr>
            </w:pPr>
          </w:p>
        </w:tc>
        <w:tc>
          <w:tcPr>
            <w:tcW w:w="1635" w:type="dxa"/>
            <w:vAlign w:val="center"/>
          </w:tcPr>
          <w:p w14:paraId="4325302C">
            <w:pPr>
              <w:pStyle w:val="37"/>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总监理工程师</w:t>
            </w:r>
          </w:p>
        </w:tc>
        <w:tc>
          <w:tcPr>
            <w:tcW w:w="2594" w:type="dxa"/>
            <w:vAlign w:val="center"/>
          </w:tcPr>
          <w:p w14:paraId="74D187B0">
            <w:pPr>
              <w:pStyle w:val="37"/>
              <w:wordWrap w:val="0"/>
              <w:adjustRightInd w:val="0"/>
              <w:snapToGrid w:val="0"/>
              <w:jc w:val="center"/>
              <w:rPr>
                <w:rFonts w:ascii="宋体" w:hAnsi="宋体" w:cs="宋体"/>
                <w:snapToGrid w:val="0"/>
                <w:color w:val="auto"/>
                <w:kern w:val="0"/>
                <w:szCs w:val="21"/>
              </w:rPr>
            </w:pPr>
          </w:p>
        </w:tc>
      </w:tr>
      <w:tr w14:paraId="2B992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05" w:type="dxa"/>
            <w:vAlign w:val="center"/>
          </w:tcPr>
          <w:p w14:paraId="2E7109B0">
            <w:pPr>
              <w:pStyle w:val="37"/>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监理服务期限</w:t>
            </w:r>
          </w:p>
        </w:tc>
        <w:tc>
          <w:tcPr>
            <w:tcW w:w="2771" w:type="dxa"/>
            <w:vAlign w:val="center"/>
          </w:tcPr>
          <w:p w14:paraId="73ADC78A">
            <w:pPr>
              <w:pStyle w:val="37"/>
              <w:wordWrap w:val="0"/>
              <w:adjustRightInd w:val="0"/>
              <w:snapToGrid w:val="0"/>
              <w:jc w:val="center"/>
              <w:rPr>
                <w:rFonts w:ascii="宋体" w:hAnsi="宋体" w:cs="宋体"/>
                <w:snapToGrid w:val="0"/>
                <w:color w:val="auto"/>
                <w:kern w:val="0"/>
                <w:szCs w:val="21"/>
              </w:rPr>
            </w:pPr>
          </w:p>
        </w:tc>
        <w:tc>
          <w:tcPr>
            <w:tcW w:w="1635" w:type="dxa"/>
            <w:vAlign w:val="center"/>
          </w:tcPr>
          <w:p w14:paraId="51055ECF">
            <w:pPr>
              <w:pStyle w:val="37"/>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监理内容</w:t>
            </w:r>
          </w:p>
        </w:tc>
        <w:tc>
          <w:tcPr>
            <w:tcW w:w="2594" w:type="dxa"/>
            <w:vAlign w:val="center"/>
          </w:tcPr>
          <w:p w14:paraId="12A58DBF">
            <w:pPr>
              <w:pStyle w:val="37"/>
              <w:wordWrap w:val="0"/>
              <w:adjustRightInd w:val="0"/>
              <w:snapToGrid w:val="0"/>
              <w:jc w:val="center"/>
              <w:rPr>
                <w:rFonts w:ascii="宋体" w:hAnsi="宋体" w:cs="宋体"/>
                <w:snapToGrid w:val="0"/>
                <w:color w:val="auto"/>
                <w:kern w:val="0"/>
                <w:szCs w:val="21"/>
              </w:rPr>
            </w:pPr>
          </w:p>
        </w:tc>
      </w:tr>
      <w:tr w14:paraId="2C338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1505" w:type="dxa"/>
            <w:vAlign w:val="center"/>
          </w:tcPr>
          <w:p w14:paraId="388B91C7">
            <w:pPr>
              <w:pStyle w:val="37"/>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项目描述</w:t>
            </w:r>
          </w:p>
        </w:tc>
        <w:tc>
          <w:tcPr>
            <w:tcW w:w="7000" w:type="dxa"/>
            <w:gridSpan w:val="3"/>
            <w:vAlign w:val="center"/>
          </w:tcPr>
          <w:p w14:paraId="69AD313B">
            <w:pPr>
              <w:pStyle w:val="37"/>
              <w:wordWrap w:val="0"/>
              <w:adjustRightInd w:val="0"/>
              <w:snapToGrid w:val="0"/>
              <w:jc w:val="left"/>
              <w:rPr>
                <w:rFonts w:ascii="宋体" w:hAnsi="宋体" w:cs="宋体"/>
                <w:snapToGrid w:val="0"/>
                <w:color w:val="auto"/>
                <w:kern w:val="0"/>
                <w:szCs w:val="21"/>
              </w:rPr>
            </w:pPr>
          </w:p>
        </w:tc>
      </w:tr>
      <w:tr w14:paraId="63C55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5" w:type="dxa"/>
            <w:vAlign w:val="center"/>
          </w:tcPr>
          <w:p w14:paraId="2F06AA3A">
            <w:pPr>
              <w:pStyle w:val="37"/>
              <w:wordWrap w:val="0"/>
              <w:adjustRightInd w:val="0"/>
              <w:snapToGrid w:val="0"/>
              <w:jc w:val="center"/>
              <w:rPr>
                <w:rFonts w:ascii="宋体" w:hAnsi="宋体" w:cs="宋体"/>
                <w:snapToGrid w:val="0"/>
                <w:color w:val="auto"/>
                <w:kern w:val="0"/>
                <w:szCs w:val="21"/>
              </w:rPr>
            </w:pPr>
            <w:r>
              <w:rPr>
                <w:rFonts w:hint="eastAsia" w:ascii="宋体" w:hAnsi="宋体" w:cs="宋体"/>
                <w:snapToGrid w:val="0"/>
                <w:color w:val="auto"/>
                <w:kern w:val="0"/>
                <w:szCs w:val="21"/>
              </w:rPr>
              <w:t>委托人声明</w:t>
            </w:r>
          </w:p>
        </w:tc>
        <w:tc>
          <w:tcPr>
            <w:tcW w:w="7000" w:type="dxa"/>
            <w:gridSpan w:val="3"/>
            <w:vAlign w:val="center"/>
          </w:tcPr>
          <w:p w14:paraId="0D471B29">
            <w:pPr>
              <w:pStyle w:val="37"/>
              <w:adjustRightInd w:val="0"/>
              <w:snapToGrid w:val="0"/>
              <w:spacing w:line="360" w:lineRule="auto"/>
              <w:rPr>
                <w:rFonts w:ascii="宋体" w:hAnsi="宋体" w:cs="宋体"/>
                <w:snapToGrid w:val="0"/>
                <w:color w:val="auto"/>
                <w:kern w:val="0"/>
                <w:szCs w:val="21"/>
              </w:rPr>
            </w:pPr>
          </w:p>
          <w:p w14:paraId="384BACEE">
            <w:pPr>
              <w:pStyle w:val="37"/>
              <w:adjustRightInd w:val="0"/>
              <w:snapToGrid w:val="0"/>
              <w:spacing w:line="360" w:lineRule="auto"/>
              <w:rPr>
                <w:rFonts w:ascii="宋体" w:hAnsi="宋体" w:cs="宋体"/>
                <w:snapToGrid w:val="0"/>
                <w:color w:val="auto"/>
                <w:kern w:val="0"/>
                <w:szCs w:val="21"/>
              </w:rPr>
            </w:pPr>
            <w:r>
              <w:rPr>
                <w:rFonts w:hint="eastAsia" w:ascii="宋体" w:hAnsi="宋体" w:cs="宋体"/>
                <w:snapToGrid w:val="0"/>
                <w:color w:val="auto"/>
                <w:kern w:val="0"/>
                <w:szCs w:val="21"/>
              </w:rPr>
              <w:t>致：</w:t>
            </w:r>
            <w:r>
              <w:rPr>
                <w:rFonts w:hint="eastAsia" w:ascii="宋体" w:hAnsi="宋体" w:cs="宋体"/>
                <w:snapToGrid w:val="0"/>
                <w:color w:val="auto"/>
                <w:kern w:val="0"/>
                <w:szCs w:val="21"/>
                <w:u w:val="single"/>
              </w:rPr>
              <w:t>（本招标项目招标人名称）</w:t>
            </w:r>
          </w:p>
          <w:p w14:paraId="5028391C">
            <w:pPr>
              <w:pStyle w:val="37"/>
              <w:adjustRightInd w:val="0"/>
              <w:snapToGrid w:val="0"/>
              <w:spacing w:line="360" w:lineRule="auto"/>
              <w:rPr>
                <w:rFonts w:ascii="宋体" w:hAnsi="宋体" w:cs="宋体"/>
                <w:snapToGrid w:val="0"/>
                <w:color w:val="auto"/>
                <w:kern w:val="0"/>
                <w:szCs w:val="21"/>
              </w:rPr>
            </w:pPr>
            <w:r>
              <w:rPr>
                <w:rFonts w:hint="eastAsia" w:ascii="宋体" w:hAnsi="宋体" w:cs="宋体"/>
                <w:snapToGrid w:val="0"/>
                <w:color w:val="auto"/>
                <w:kern w:val="0"/>
                <w:szCs w:val="21"/>
              </w:rPr>
              <w:t xml:space="preserve">    我方在此声明：</w:t>
            </w:r>
          </w:p>
          <w:p w14:paraId="4557CBB5">
            <w:pPr>
              <w:pStyle w:val="37"/>
              <w:adjustRightInd w:val="0"/>
              <w:snapToGrid w:val="0"/>
              <w:spacing w:line="360" w:lineRule="auto"/>
              <w:rPr>
                <w:rFonts w:ascii="宋体" w:hAnsi="宋体" w:cs="宋体"/>
                <w:snapToGrid w:val="0"/>
                <w:color w:val="auto"/>
                <w:kern w:val="0"/>
                <w:szCs w:val="21"/>
              </w:rPr>
            </w:pPr>
            <w:r>
              <w:rPr>
                <w:rFonts w:hint="eastAsia" w:ascii="宋体" w:hAnsi="宋体" w:cs="宋体"/>
                <w:snapToGrid w:val="0"/>
                <w:color w:val="auto"/>
                <w:kern w:val="0"/>
                <w:szCs w:val="21"/>
              </w:rPr>
              <w:t xml:space="preserve">    一、在</w:t>
            </w:r>
            <w:r>
              <w:rPr>
                <w:rFonts w:hint="eastAsia" w:ascii="宋体" w:hAnsi="宋体" w:cs="宋体"/>
                <w:snapToGrid w:val="0"/>
                <w:color w:val="auto"/>
                <w:kern w:val="0"/>
                <w:szCs w:val="21"/>
                <w:u w:val="single"/>
              </w:rPr>
              <w:t xml:space="preserve"> （拟派总监姓名） </w:t>
            </w:r>
            <w:r>
              <w:rPr>
                <w:rFonts w:hint="eastAsia" w:ascii="宋体" w:hAnsi="宋体" w:cs="宋体"/>
                <w:snapToGrid w:val="0"/>
                <w:color w:val="auto"/>
                <w:kern w:val="0"/>
                <w:szCs w:val="21"/>
              </w:rPr>
              <w:t>同志任我方在施项目总监理工程师期间，如果</w:t>
            </w:r>
            <w:r>
              <w:rPr>
                <w:rFonts w:hint="eastAsia" w:ascii="宋体" w:hAnsi="宋体" w:cs="宋体"/>
                <w:snapToGrid w:val="0"/>
                <w:color w:val="auto"/>
                <w:kern w:val="0"/>
                <w:szCs w:val="21"/>
                <w:u w:val="single"/>
              </w:rPr>
              <w:t xml:space="preserve"> （投标人名称） </w:t>
            </w:r>
            <w:r>
              <w:rPr>
                <w:rFonts w:hint="eastAsia" w:ascii="宋体" w:hAnsi="宋体" w:cs="宋体"/>
                <w:snapToGrid w:val="0"/>
                <w:color w:val="auto"/>
                <w:kern w:val="0"/>
                <w:szCs w:val="21"/>
              </w:rPr>
              <w:t>中标你方招标项目监理业务，在</w:t>
            </w:r>
            <w:r>
              <w:rPr>
                <w:rFonts w:hint="eastAsia" w:ascii="宋体" w:hAnsi="宋体" w:cs="宋体"/>
                <w:snapToGrid w:val="0"/>
                <w:color w:val="auto"/>
                <w:kern w:val="0"/>
                <w:szCs w:val="21"/>
                <w:u w:val="single"/>
              </w:rPr>
              <w:t xml:space="preserve"> （拟派总监姓名） </w:t>
            </w:r>
            <w:r>
              <w:rPr>
                <w:rFonts w:hint="eastAsia" w:ascii="宋体" w:hAnsi="宋体" w:cs="宋体"/>
                <w:snapToGrid w:val="0"/>
                <w:color w:val="auto"/>
                <w:kern w:val="0"/>
                <w:szCs w:val="21"/>
              </w:rPr>
              <w:t>同志目前担任总监理工程师职务的项目总数不超过两个（含我方在施项目）的前提下，我方同意其同时担任你方招标项目的总监理工程师；如果未中标，以上声明自动失效。</w:t>
            </w:r>
          </w:p>
          <w:p w14:paraId="6230ACD3">
            <w:pPr>
              <w:pStyle w:val="37"/>
              <w:adjustRightInd w:val="0"/>
              <w:snapToGrid w:val="0"/>
              <w:spacing w:line="360" w:lineRule="auto"/>
              <w:rPr>
                <w:rFonts w:ascii="宋体" w:hAnsi="宋体" w:cs="宋体"/>
                <w:snapToGrid w:val="0"/>
                <w:color w:val="auto"/>
                <w:kern w:val="0"/>
                <w:szCs w:val="21"/>
              </w:rPr>
            </w:pPr>
            <w:r>
              <w:rPr>
                <w:rFonts w:hint="eastAsia" w:ascii="宋体" w:hAnsi="宋体" w:cs="宋体"/>
                <w:snapToGrid w:val="0"/>
                <w:color w:val="auto"/>
                <w:kern w:val="0"/>
                <w:szCs w:val="21"/>
              </w:rPr>
              <w:t xml:space="preserve">    二、无论</w:t>
            </w:r>
            <w:r>
              <w:rPr>
                <w:rFonts w:hint="eastAsia" w:ascii="宋体" w:hAnsi="宋体" w:cs="宋体"/>
                <w:snapToGrid w:val="0"/>
                <w:color w:val="auto"/>
                <w:kern w:val="0"/>
                <w:szCs w:val="21"/>
                <w:u w:val="single"/>
              </w:rPr>
              <w:t xml:space="preserve"> （拟派总监姓名） </w:t>
            </w:r>
            <w:r>
              <w:rPr>
                <w:rFonts w:hint="eastAsia" w:ascii="宋体" w:hAnsi="宋体" w:cs="宋体"/>
                <w:snapToGrid w:val="0"/>
                <w:color w:val="auto"/>
                <w:kern w:val="0"/>
                <w:szCs w:val="21"/>
              </w:rPr>
              <w:t>同志是否担任其他建设项目的总监理工程师，</w:t>
            </w:r>
            <w:r>
              <w:rPr>
                <w:rFonts w:hint="eastAsia" w:ascii="宋体" w:hAnsi="宋体" w:cs="宋体"/>
                <w:snapToGrid w:val="0"/>
                <w:color w:val="auto"/>
                <w:kern w:val="0"/>
                <w:szCs w:val="21"/>
                <w:u w:val="single"/>
              </w:rPr>
              <w:t xml:space="preserve"> （投标人名称） </w:t>
            </w:r>
            <w:r>
              <w:rPr>
                <w:rFonts w:hint="eastAsia" w:ascii="宋体" w:hAnsi="宋体" w:cs="宋体"/>
                <w:snapToGrid w:val="0"/>
                <w:color w:val="auto"/>
                <w:kern w:val="0"/>
                <w:szCs w:val="21"/>
              </w:rPr>
              <w:t>都必须完全、严格履行我方在施项目监理合同中约定的所有义务，并确保服务内容、服务质量不得有任何减少或降低。</w:t>
            </w:r>
          </w:p>
          <w:p w14:paraId="0B91D3BF">
            <w:pPr>
              <w:pStyle w:val="37"/>
              <w:adjustRightInd w:val="0"/>
              <w:snapToGrid w:val="0"/>
              <w:spacing w:line="360" w:lineRule="auto"/>
              <w:rPr>
                <w:rFonts w:ascii="宋体" w:hAnsi="宋体" w:cs="宋体"/>
                <w:snapToGrid w:val="0"/>
                <w:color w:val="auto"/>
                <w:kern w:val="0"/>
                <w:szCs w:val="21"/>
              </w:rPr>
            </w:pPr>
          </w:p>
          <w:p w14:paraId="51760506">
            <w:pPr>
              <w:pStyle w:val="37"/>
              <w:adjustRightInd w:val="0"/>
              <w:snapToGrid w:val="0"/>
              <w:spacing w:line="360" w:lineRule="auto"/>
              <w:rPr>
                <w:rFonts w:ascii="宋体" w:hAnsi="宋体" w:cs="宋体"/>
                <w:snapToGrid w:val="0"/>
                <w:color w:val="auto"/>
                <w:kern w:val="0"/>
                <w:szCs w:val="21"/>
              </w:rPr>
            </w:pPr>
          </w:p>
          <w:p w14:paraId="64567A0C">
            <w:pPr>
              <w:pStyle w:val="37"/>
              <w:adjustRightInd w:val="0"/>
              <w:snapToGrid w:val="0"/>
              <w:spacing w:line="360" w:lineRule="auto"/>
              <w:jc w:val="right"/>
              <w:rPr>
                <w:rFonts w:ascii="宋体" w:hAnsi="宋体" w:cs="宋体"/>
                <w:snapToGrid w:val="0"/>
                <w:color w:val="auto"/>
                <w:kern w:val="0"/>
                <w:szCs w:val="21"/>
              </w:rPr>
            </w:pPr>
            <w:r>
              <w:rPr>
                <w:rFonts w:hint="eastAsia" w:ascii="宋体" w:hAnsi="宋体" w:cs="宋体"/>
                <w:snapToGrid w:val="0"/>
                <w:color w:val="auto"/>
                <w:kern w:val="0"/>
                <w:szCs w:val="21"/>
              </w:rPr>
              <w:t>建设单位名称：</w:t>
            </w:r>
            <w:r>
              <w:rPr>
                <w:rFonts w:hint="eastAsia" w:ascii="宋体" w:hAnsi="宋体" w:cs="宋体"/>
                <w:snapToGrid w:val="0"/>
                <w:color w:val="auto"/>
                <w:kern w:val="0"/>
                <w:szCs w:val="21"/>
                <w:u w:val="single"/>
              </w:rPr>
              <w:t xml:space="preserve">                </w:t>
            </w:r>
            <w:r>
              <w:rPr>
                <w:rFonts w:hint="eastAsia" w:ascii="宋体" w:hAnsi="宋体" w:cs="宋体"/>
                <w:snapToGrid w:val="0"/>
                <w:color w:val="auto"/>
                <w:kern w:val="0"/>
                <w:szCs w:val="21"/>
              </w:rPr>
              <w:t>（盖单位章）</w:t>
            </w:r>
          </w:p>
          <w:p w14:paraId="3FCD2871">
            <w:pPr>
              <w:pStyle w:val="37"/>
              <w:adjustRightInd w:val="0"/>
              <w:snapToGrid w:val="0"/>
              <w:spacing w:line="360" w:lineRule="auto"/>
              <w:jc w:val="right"/>
              <w:rPr>
                <w:rFonts w:ascii="宋体" w:hAnsi="宋体" w:cs="宋体"/>
                <w:snapToGrid w:val="0"/>
                <w:color w:val="auto"/>
                <w:kern w:val="0"/>
                <w:szCs w:val="21"/>
              </w:rPr>
            </w:pPr>
          </w:p>
          <w:p w14:paraId="4941576D">
            <w:pPr>
              <w:pStyle w:val="37"/>
              <w:adjustRightInd w:val="0"/>
              <w:snapToGrid w:val="0"/>
              <w:spacing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 xml:space="preserve">                            XXXX年XX月XX日</w:t>
            </w:r>
          </w:p>
        </w:tc>
      </w:tr>
    </w:tbl>
    <w:p w14:paraId="1CD071A9">
      <w:pPr>
        <w:pStyle w:val="37"/>
        <w:wordWrap w:val="0"/>
        <w:adjustRightInd w:val="0"/>
        <w:snapToGrid w:val="0"/>
        <w:spacing w:line="400" w:lineRule="exact"/>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说明：</w:t>
      </w:r>
    </w:p>
    <w:p w14:paraId="246E92B7">
      <w:pPr>
        <w:pStyle w:val="37"/>
        <w:wordWrap w:val="0"/>
        <w:adjustRightInd w:val="0"/>
        <w:snapToGrid w:val="0"/>
        <w:spacing w:line="400" w:lineRule="exact"/>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1</w:t>
      </w:r>
      <w:r>
        <w:rPr>
          <w:rFonts w:hint="eastAsia" w:ascii="宋体" w:hAnsi="宋体" w:cs="宋体"/>
          <w:snapToGrid w:val="0"/>
          <w:color w:val="auto"/>
          <w:kern w:val="0"/>
          <w:szCs w:val="28"/>
        </w:rPr>
        <w:t>．</w:t>
      </w:r>
      <w:r>
        <w:rPr>
          <w:rFonts w:hint="eastAsia" w:ascii="宋体" w:hAnsi="宋体" w:cs="宋体"/>
          <w:snapToGrid w:val="0"/>
          <w:color w:val="auto"/>
          <w:kern w:val="0"/>
          <w:szCs w:val="21"/>
        </w:rPr>
        <w:t>“任职项目”指拟派总监理工程师正在担任总监理工程师职务的在施（包括已中标未开工、已开工未竣工）建设工程项目。任职项目多于一宗的，一项目一表，并标明序号。</w:t>
      </w:r>
    </w:p>
    <w:p w14:paraId="5F1C6CB2">
      <w:pPr>
        <w:pStyle w:val="37"/>
        <w:wordWrap w:val="0"/>
        <w:adjustRightInd w:val="0"/>
        <w:snapToGrid w:val="0"/>
        <w:spacing w:line="400" w:lineRule="exact"/>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2</w:t>
      </w:r>
      <w:r>
        <w:rPr>
          <w:rFonts w:hint="eastAsia" w:ascii="宋体" w:hAnsi="宋体" w:cs="宋体"/>
          <w:snapToGrid w:val="0"/>
          <w:color w:val="auto"/>
          <w:kern w:val="0"/>
          <w:szCs w:val="28"/>
        </w:rPr>
        <w:t>．</w:t>
      </w:r>
      <w:r>
        <w:rPr>
          <w:rFonts w:hint="eastAsia" w:ascii="宋体" w:hAnsi="宋体" w:cs="宋体"/>
          <w:snapToGrid w:val="0"/>
          <w:color w:val="auto"/>
          <w:kern w:val="0"/>
          <w:szCs w:val="21"/>
        </w:rPr>
        <w:t>每份情况表后应附该项目的合同协议书彩色扫描件。</w:t>
      </w:r>
    </w:p>
    <w:p w14:paraId="7265F961">
      <w:pPr>
        <w:pStyle w:val="37"/>
        <w:wordWrap w:val="0"/>
        <w:adjustRightInd w:val="0"/>
        <w:snapToGrid w:val="0"/>
        <w:spacing w:line="400" w:lineRule="exact"/>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3</w:t>
      </w:r>
      <w:r>
        <w:rPr>
          <w:rFonts w:hint="eastAsia" w:ascii="宋体" w:hAnsi="宋体" w:cs="宋体"/>
          <w:snapToGrid w:val="0"/>
          <w:color w:val="auto"/>
          <w:kern w:val="0"/>
          <w:szCs w:val="28"/>
        </w:rPr>
        <w:t>．投标人填写本</w:t>
      </w:r>
      <w:r>
        <w:rPr>
          <w:rFonts w:hint="eastAsia" w:ascii="宋体" w:hAnsi="宋体" w:cs="宋体"/>
          <w:snapToGrid w:val="0"/>
          <w:color w:val="auto"/>
          <w:kern w:val="0"/>
          <w:szCs w:val="21"/>
        </w:rPr>
        <w:t>表后交任职项目建设单位审核同意后盖章。任职项目建设单位另行出具书面同意意见的，投标人应将该书面意见附在本表后，同时在“委托人声明”栏目注明“另附”即可。</w:t>
      </w:r>
    </w:p>
    <w:p w14:paraId="1B23466A">
      <w:pPr>
        <w:wordWrap w:val="0"/>
        <w:adjustRightInd w:val="0"/>
        <w:snapToGrid w:val="0"/>
        <w:spacing w:line="400" w:lineRule="exact"/>
        <w:rPr>
          <w:rFonts w:hAnsi="宋体" w:cs="宋体"/>
          <w:snapToGrid w:val="0"/>
          <w:color w:val="auto"/>
          <w:kern w:val="0"/>
          <w:sz w:val="21"/>
          <w:szCs w:val="21"/>
        </w:rPr>
        <w:sectPr>
          <w:endnotePr>
            <w:numFmt w:val="decimal"/>
          </w:endnotePr>
          <w:pgSz w:w="11906" w:h="16838"/>
          <w:pgMar w:top="1417" w:right="1417" w:bottom="1417" w:left="1417" w:header="850" w:footer="992" w:gutter="0"/>
          <w:cols w:space="0" w:num="1"/>
          <w:docGrid w:linePitch="327" w:charSpace="0"/>
        </w:sectPr>
      </w:pPr>
    </w:p>
    <w:p w14:paraId="322C9D13">
      <w:pPr>
        <w:wordWrap w:val="0"/>
        <w:adjustRightInd w:val="0"/>
        <w:snapToGrid w:val="0"/>
        <w:spacing w:line="440" w:lineRule="exact"/>
        <w:ind w:left="2609" w:leftChars="15" w:hanging="2573" w:hangingChars="1068"/>
        <w:outlineLvl w:val="1"/>
        <w:rPr>
          <w:rFonts w:hAnsi="宋体" w:cs="宋体"/>
          <w:b/>
          <w:bCs/>
          <w:snapToGrid w:val="0"/>
          <w:color w:val="auto"/>
          <w:kern w:val="0"/>
          <w:szCs w:val="24"/>
        </w:rPr>
      </w:pPr>
      <w:bookmarkStart w:id="280" w:name="_Toc23262"/>
      <w:bookmarkStart w:id="281" w:name="_Toc200338098"/>
      <w:bookmarkStart w:id="282" w:name="_Toc8264"/>
      <w:r>
        <w:rPr>
          <w:rFonts w:hint="eastAsia" w:hAnsi="宋体" w:cs="宋体"/>
          <w:b/>
          <w:snapToGrid w:val="0"/>
          <w:color w:val="auto"/>
          <w:kern w:val="0"/>
        </w:rPr>
        <w:t>格式</w:t>
      </w:r>
      <w:bookmarkStart w:id="283" w:name="_Hlt287950384"/>
      <w:bookmarkEnd w:id="283"/>
      <w:r>
        <w:rPr>
          <w:rFonts w:hint="eastAsia" w:hAnsi="宋体" w:cs="宋体"/>
          <w:b/>
          <w:bCs/>
          <w:snapToGrid w:val="0"/>
          <w:color w:val="auto"/>
          <w:kern w:val="0"/>
          <w:szCs w:val="24"/>
        </w:rPr>
        <w:t>十 项目监理机构组成人员汇总表</w:t>
      </w:r>
      <w:bookmarkEnd w:id="280"/>
    </w:p>
    <w:p w14:paraId="24E87EC6">
      <w:pPr>
        <w:wordWrap w:val="0"/>
        <w:adjustRightInd w:val="0"/>
        <w:snapToGrid w:val="0"/>
        <w:spacing w:before="260" w:after="260" w:line="440" w:lineRule="exact"/>
        <w:jc w:val="center"/>
        <w:rPr>
          <w:rFonts w:hAnsi="宋体" w:cs="宋体"/>
          <w:b/>
          <w:snapToGrid w:val="0"/>
          <w:color w:val="auto"/>
          <w:kern w:val="0"/>
        </w:rPr>
      </w:pPr>
      <w:r>
        <w:rPr>
          <w:rFonts w:hint="eastAsia" w:hAnsi="宋体" w:cs="宋体"/>
          <w:b/>
          <w:snapToGrid w:val="0"/>
          <w:color w:val="auto"/>
          <w:kern w:val="0"/>
          <w:sz w:val="30"/>
        </w:rPr>
        <w:t xml:space="preserve"> 项目监理机构组成人员汇总表</w:t>
      </w:r>
    </w:p>
    <w:tbl>
      <w:tblPr>
        <w:tblStyle w:val="1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26"/>
        <w:gridCol w:w="1425"/>
        <w:gridCol w:w="840"/>
        <w:gridCol w:w="1485"/>
        <w:gridCol w:w="615"/>
        <w:gridCol w:w="1680"/>
        <w:gridCol w:w="1425"/>
        <w:gridCol w:w="660"/>
        <w:gridCol w:w="1695"/>
        <w:gridCol w:w="1455"/>
        <w:gridCol w:w="645"/>
        <w:gridCol w:w="1680"/>
      </w:tblGrid>
      <w:tr w14:paraId="071B10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exact"/>
        </w:trPr>
        <w:tc>
          <w:tcPr>
            <w:tcW w:w="326" w:type="dxa"/>
            <w:vMerge w:val="restart"/>
            <w:tcBorders>
              <w:top w:val="single" w:color="auto" w:sz="6" w:space="0"/>
              <w:left w:val="single" w:color="auto" w:sz="6" w:space="0"/>
              <w:right w:val="single" w:color="auto" w:sz="6" w:space="0"/>
            </w:tcBorders>
            <w:vAlign w:val="center"/>
          </w:tcPr>
          <w:p w14:paraId="54141223">
            <w:pPr>
              <w:wordWrap w:val="0"/>
              <w:adjustRightInd w:val="0"/>
              <w:snapToGrid w:val="0"/>
              <w:spacing w:line="240" w:lineRule="auto"/>
              <w:jc w:val="center"/>
              <w:rPr>
                <w:rFonts w:hAnsi="宋体" w:cs="宋体"/>
                <w:snapToGrid w:val="0"/>
                <w:color w:val="auto"/>
                <w:kern w:val="0"/>
                <w:sz w:val="21"/>
                <w:szCs w:val="21"/>
              </w:rPr>
            </w:pPr>
            <w:r>
              <w:rPr>
                <w:rFonts w:hint="eastAsia" w:hAnsi="宋体" w:cs="宋体"/>
                <w:snapToGrid w:val="0"/>
                <w:color w:val="auto"/>
                <w:kern w:val="0"/>
                <w:sz w:val="21"/>
                <w:szCs w:val="21"/>
              </w:rPr>
              <w:t>序号</w:t>
            </w:r>
          </w:p>
        </w:tc>
        <w:tc>
          <w:tcPr>
            <w:tcW w:w="1425" w:type="dxa"/>
            <w:vMerge w:val="restart"/>
            <w:tcBorders>
              <w:top w:val="single" w:color="auto" w:sz="6" w:space="0"/>
              <w:left w:val="single" w:color="auto" w:sz="6" w:space="0"/>
              <w:right w:val="single" w:color="auto" w:sz="6" w:space="0"/>
            </w:tcBorders>
            <w:vAlign w:val="center"/>
          </w:tcPr>
          <w:p w14:paraId="672149F2">
            <w:pPr>
              <w:wordWrap w:val="0"/>
              <w:adjustRightInd w:val="0"/>
              <w:snapToGrid w:val="0"/>
              <w:spacing w:line="240" w:lineRule="auto"/>
              <w:jc w:val="center"/>
              <w:rPr>
                <w:rFonts w:hAnsi="宋体" w:cs="宋体"/>
                <w:snapToGrid w:val="0"/>
                <w:color w:val="auto"/>
                <w:kern w:val="0"/>
                <w:sz w:val="21"/>
                <w:szCs w:val="21"/>
              </w:rPr>
            </w:pPr>
            <w:r>
              <w:rPr>
                <w:rFonts w:hint="eastAsia" w:hAnsi="宋体" w:cs="宋体"/>
                <w:snapToGrid w:val="0"/>
                <w:color w:val="auto"/>
                <w:kern w:val="0"/>
                <w:sz w:val="21"/>
                <w:szCs w:val="21"/>
              </w:rPr>
              <w:t>拟担任职务</w:t>
            </w:r>
          </w:p>
        </w:tc>
        <w:tc>
          <w:tcPr>
            <w:tcW w:w="840" w:type="dxa"/>
            <w:vMerge w:val="restart"/>
            <w:tcBorders>
              <w:top w:val="single" w:color="auto" w:sz="6" w:space="0"/>
              <w:left w:val="single" w:color="auto" w:sz="6" w:space="0"/>
              <w:right w:val="single" w:color="auto" w:sz="4" w:space="0"/>
            </w:tcBorders>
            <w:vAlign w:val="center"/>
          </w:tcPr>
          <w:p w14:paraId="2BD6BB75">
            <w:pPr>
              <w:wordWrap w:val="0"/>
              <w:adjustRightInd w:val="0"/>
              <w:snapToGrid w:val="0"/>
              <w:spacing w:line="240" w:lineRule="auto"/>
              <w:jc w:val="center"/>
              <w:rPr>
                <w:rFonts w:hAnsi="宋体" w:cs="宋体"/>
                <w:snapToGrid w:val="0"/>
                <w:color w:val="auto"/>
                <w:kern w:val="0"/>
                <w:sz w:val="21"/>
                <w:szCs w:val="21"/>
              </w:rPr>
            </w:pPr>
            <w:r>
              <w:rPr>
                <w:rFonts w:hint="eastAsia" w:hAnsi="宋体" w:cs="宋体"/>
                <w:snapToGrid w:val="0"/>
                <w:color w:val="auto"/>
                <w:kern w:val="0"/>
                <w:sz w:val="21"/>
                <w:szCs w:val="21"/>
              </w:rPr>
              <w:t>姓  名</w:t>
            </w:r>
          </w:p>
        </w:tc>
        <w:tc>
          <w:tcPr>
            <w:tcW w:w="3780" w:type="dxa"/>
            <w:gridSpan w:val="3"/>
            <w:tcBorders>
              <w:top w:val="single" w:color="auto" w:sz="4" w:space="0"/>
              <w:left w:val="single" w:color="auto" w:sz="4" w:space="0"/>
              <w:bottom w:val="single" w:color="auto" w:sz="4" w:space="0"/>
              <w:right w:val="single" w:color="auto" w:sz="4" w:space="0"/>
            </w:tcBorders>
            <w:vAlign w:val="center"/>
          </w:tcPr>
          <w:p w14:paraId="07A9C195">
            <w:pPr>
              <w:wordWrap w:val="0"/>
              <w:adjustRightInd w:val="0"/>
              <w:snapToGrid w:val="0"/>
              <w:spacing w:line="240" w:lineRule="auto"/>
              <w:jc w:val="center"/>
              <w:rPr>
                <w:rFonts w:hAnsi="宋体" w:cs="宋体"/>
                <w:snapToGrid w:val="0"/>
                <w:color w:val="auto"/>
                <w:kern w:val="0"/>
                <w:sz w:val="21"/>
                <w:szCs w:val="21"/>
              </w:rPr>
            </w:pPr>
            <w:r>
              <w:rPr>
                <w:rFonts w:hint="eastAsia" w:hAnsi="宋体" w:cs="宋体"/>
                <w:snapToGrid w:val="0"/>
                <w:color w:val="auto"/>
                <w:kern w:val="0"/>
                <w:sz w:val="21"/>
                <w:szCs w:val="21"/>
              </w:rPr>
              <w:t>职称证书</w:t>
            </w:r>
          </w:p>
        </w:tc>
        <w:tc>
          <w:tcPr>
            <w:tcW w:w="3780" w:type="dxa"/>
            <w:gridSpan w:val="3"/>
            <w:tcBorders>
              <w:top w:val="single" w:color="auto" w:sz="6" w:space="0"/>
              <w:left w:val="single" w:color="auto" w:sz="4" w:space="0"/>
              <w:bottom w:val="single" w:color="auto" w:sz="6" w:space="0"/>
              <w:right w:val="single" w:color="auto" w:sz="6" w:space="0"/>
            </w:tcBorders>
            <w:vAlign w:val="center"/>
          </w:tcPr>
          <w:p w14:paraId="30EDEC65">
            <w:pPr>
              <w:wordWrap w:val="0"/>
              <w:adjustRightInd w:val="0"/>
              <w:snapToGrid w:val="0"/>
              <w:spacing w:line="240" w:lineRule="auto"/>
              <w:jc w:val="center"/>
              <w:rPr>
                <w:rFonts w:hAnsi="宋体" w:cs="宋体"/>
                <w:snapToGrid w:val="0"/>
                <w:color w:val="auto"/>
                <w:kern w:val="0"/>
                <w:sz w:val="21"/>
                <w:szCs w:val="21"/>
              </w:rPr>
            </w:pPr>
            <w:r>
              <w:rPr>
                <w:rFonts w:hint="eastAsia" w:hAnsi="宋体" w:cs="宋体"/>
                <w:snapToGrid w:val="0"/>
                <w:color w:val="auto"/>
                <w:kern w:val="0"/>
                <w:sz w:val="21"/>
                <w:szCs w:val="21"/>
              </w:rPr>
              <w:t>注册证书</w:t>
            </w:r>
          </w:p>
        </w:tc>
        <w:tc>
          <w:tcPr>
            <w:tcW w:w="3780" w:type="dxa"/>
            <w:gridSpan w:val="3"/>
            <w:tcBorders>
              <w:top w:val="single" w:color="auto" w:sz="6" w:space="0"/>
              <w:left w:val="single" w:color="auto" w:sz="6" w:space="0"/>
              <w:bottom w:val="single" w:color="auto" w:sz="6" w:space="0"/>
              <w:right w:val="single" w:color="auto" w:sz="6" w:space="0"/>
            </w:tcBorders>
            <w:vAlign w:val="center"/>
          </w:tcPr>
          <w:p w14:paraId="48C2BFCC">
            <w:pPr>
              <w:wordWrap w:val="0"/>
              <w:adjustRightInd w:val="0"/>
              <w:snapToGrid w:val="0"/>
              <w:spacing w:line="240" w:lineRule="auto"/>
              <w:jc w:val="center"/>
              <w:rPr>
                <w:rFonts w:hAnsi="宋体" w:cs="宋体"/>
                <w:snapToGrid w:val="0"/>
                <w:color w:val="auto"/>
                <w:kern w:val="0"/>
                <w:sz w:val="21"/>
                <w:szCs w:val="21"/>
              </w:rPr>
            </w:pPr>
            <w:r>
              <w:rPr>
                <w:rFonts w:hint="eastAsia" w:hAnsi="宋体" w:cs="宋体"/>
                <w:snapToGrid w:val="0"/>
                <w:color w:val="auto"/>
                <w:kern w:val="0"/>
                <w:sz w:val="21"/>
                <w:szCs w:val="21"/>
              </w:rPr>
              <w:t>岗位证书</w:t>
            </w:r>
          </w:p>
        </w:tc>
      </w:tr>
      <w:tr w14:paraId="38BDC8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exact"/>
        </w:trPr>
        <w:tc>
          <w:tcPr>
            <w:tcW w:w="326" w:type="dxa"/>
            <w:vMerge w:val="continue"/>
            <w:tcBorders>
              <w:left w:val="single" w:color="auto" w:sz="6" w:space="0"/>
              <w:bottom w:val="single" w:color="auto" w:sz="6" w:space="0"/>
              <w:right w:val="single" w:color="auto" w:sz="6" w:space="0"/>
            </w:tcBorders>
            <w:vAlign w:val="center"/>
          </w:tcPr>
          <w:p w14:paraId="6C3BA4EB">
            <w:pPr>
              <w:wordWrap w:val="0"/>
              <w:adjustRightInd w:val="0"/>
              <w:snapToGrid w:val="0"/>
              <w:spacing w:line="240" w:lineRule="auto"/>
              <w:jc w:val="center"/>
              <w:rPr>
                <w:rFonts w:hAnsi="宋体" w:cs="宋体"/>
                <w:snapToGrid w:val="0"/>
                <w:color w:val="auto"/>
                <w:kern w:val="0"/>
                <w:sz w:val="21"/>
                <w:szCs w:val="21"/>
              </w:rPr>
            </w:pPr>
          </w:p>
        </w:tc>
        <w:tc>
          <w:tcPr>
            <w:tcW w:w="1425" w:type="dxa"/>
            <w:vMerge w:val="continue"/>
            <w:tcBorders>
              <w:left w:val="single" w:color="auto" w:sz="6" w:space="0"/>
              <w:bottom w:val="single" w:color="auto" w:sz="6" w:space="0"/>
              <w:right w:val="single" w:color="auto" w:sz="6" w:space="0"/>
            </w:tcBorders>
            <w:vAlign w:val="center"/>
          </w:tcPr>
          <w:p w14:paraId="38C5F0BE">
            <w:pPr>
              <w:wordWrap w:val="0"/>
              <w:adjustRightInd w:val="0"/>
              <w:snapToGrid w:val="0"/>
              <w:spacing w:line="240" w:lineRule="auto"/>
              <w:jc w:val="center"/>
              <w:rPr>
                <w:rFonts w:hAnsi="宋体" w:cs="宋体"/>
                <w:snapToGrid w:val="0"/>
                <w:color w:val="auto"/>
                <w:kern w:val="0"/>
                <w:sz w:val="21"/>
                <w:szCs w:val="21"/>
              </w:rPr>
            </w:pPr>
          </w:p>
        </w:tc>
        <w:tc>
          <w:tcPr>
            <w:tcW w:w="840" w:type="dxa"/>
            <w:vMerge w:val="continue"/>
            <w:tcBorders>
              <w:left w:val="single" w:color="auto" w:sz="6" w:space="0"/>
              <w:bottom w:val="single" w:color="auto" w:sz="6" w:space="0"/>
              <w:right w:val="single" w:color="auto" w:sz="4" w:space="0"/>
            </w:tcBorders>
            <w:vAlign w:val="center"/>
          </w:tcPr>
          <w:p w14:paraId="676CB7FA">
            <w:pPr>
              <w:wordWrap w:val="0"/>
              <w:adjustRightInd w:val="0"/>
              <w:snapToGrid w:val="0"/>
              <w:spacing w:line="240" w:lineRule="auto"/>
              <w:jc w:val="center"/>
              <w:rPr>
                <w:rFonts w:hAnsi="宋体" w:cs="宋体"/>
                <w:snapToGrid w:val="0"/>
                <w:color w:val="auto"/>
                <w:kern w:val="0"/>
                <w:sz w:val="21"/>
                <w:szCs w:val="21"/>
              </w:rPr>
            </w:pPr>
          </w:p>
        </w:tc>
        <w:tc>
          <w:tcPr>
            <w:tcW w:w="1485" w:type="dxa"/>
            <w:tcBorders>
              <w:top w:val="single" w:color="auto" w:sz="4" w:space="0"/>
              <w:left w:val="single" w:color="auto" w:sz="4" w:space="0"/>
              <w:bottom w:val="single" w:color="auto" w:sz="4" w:space="0"/>
              <w:right w:val="single" w:color="auto" w:sz="4" w:space="0"/>
            </w:tcBorders>
            <w:vAlign w:val="center"/>
          </w:tcPr>
          <w:p w14:paraId="4EE5AB21">
            <w:pPr>
              <w:wordWrap w:val="0"/>
              <w:adjustRightInd w:val="0"/>
              <w:snapToGrid w:val="0"/>
              <w:spacing w:line="240" w:lineRule="auto"/>
              <w:jc w:val="center"/>
              <w:rPr>
                <w:rFonts w:hAnsi="宋体" w:cs="宋体"/>
                <w:snapToGrid w:val="0"/>
                <w:color w:val="auto"/>
                <w:kern w:val="0"/>
                <w:sz w:val="21"/>
                <w:szCs w:val="21"/>
              </w:rPr>
            </w:pPr>
            <w:r>
              <w:rPr>
                <w:rFonts w:hint="eastAsia" w:hAnsi="宋体" w:cs="宋体"/>
                <w:snapToGrid w:val="0"/>
                <w:color w:val="auto"/>
                <w:kern w:val="0"/>
                <w:sz w:val="21"/>
                <w:szCs w:val="21"/>
              </w:rPr>
              <w:t>专业名称</w:t>
            </w:r>
          </w:p>
        </w:tc>
        <w:tc>
          <w:tcPr>
            <w:tcW w:w="615" w:type="dxa"/>
            <w:tcBorders>
              <w:top w:val="single" w:color="auto" w:sz="4" w:space="0"/>
              <w:left w:val="single" w:color="auto" w:sz="4" w:space="0"/>
              <w:bottom w:val="single" w:color="auto" w:sz="4" w:space="0"/>
              <w:right w:val="single" w:color="auto" w:sz="4" w:space="0"/>
            </w:tcBorders>
            <w:vAlign w:val="center"/>
          </w:tcPr>
          <w:p w14:paraId="01EE8860">
            <w:pPr>
              <w:wordWrap w:val="0"/>
              <w:adjustRightInd w:val="0"/>
              <w:snapToGrid w:val="0"/>
              <w:spacing w:line="240" w:lineRule="auto"/>
              <w:jc w:val="center"/>
              <w:rPr>
                <w:rFonts w:hAnsi="宋体" w:cs="宋体"/>
                <w:snapToGrid w:val="0"/>
                <w:color w:val="auto"/>
                <w:kern w:val="0"/>
                <w:sz w:val="21"/>
                <w:szCs w:val="21"/>
              </w:rPr>
            </w:pPr>
            <w:r>
              <w:rPr>
                <w:rFonts w:hint="eastAsia" w:hAnsi="宋体" w:cs="宋体"/>
                <w:snapToGrid w:val="0"/>
                <w:color w:val="auto"/>
                <w:kern w:val="0"/>
                <w:sz w:val="21"/>
                <w:szCs w:val="21"/>
              </w:rPr>
              <w:t>级别</w:t>
            </w:r>
          </w:p>
        </w:tc>
        <w:tc>
          <w:tcPr>
            <w:tcW w:w="1680" w:type="dxa"/>
            <w:tcBorders>
              <w:top w:val="single" w:color="auto" w:sz="4" w:space="0"/>
              <w:left w:val="single" w:color="auto" w:sz="4" w:space="0"/>
              <w:bottom w:val="single" w:color="auto" w:sz="4" w:space="0"/>
              <w:right w:val="single" w:color="auto" w:sz="4" w:space="0"/>
            </w:tcBorders>
            <w:vAlign w:val="center"/>
          </w:tcPr>
          <w:p w14:paraId="5BEC6333">
            <w:pPr>
              <w:wordWrap w:val="0"/>
              <w:adjustRightInd w:val="0"/>
              <w:snapToGrid w:val="0"/>
              <w:spacing w:line="240" w:lineRule="auto"/>
              <w:jc w:val="center"/>
              <w:rPr>
                <w:rFonts w:hAnsi="宋体" w:cs="宋体"/>
                <w:snapToGrid w:val="0"/>
                <w:color w:val="auto"/>
                <w:kern w:val="0"/>
                <w:sz w:val="21"/>
                <w:szCs w:val="21"/>
              </w:rPr>
            </w:pPr>
            <w:r>
              <w:rPr>
                <w:rFonts w:hint="eastAsia" w:hAnsi="宋体" w:cs="宋体"/>
                <w:snapToGrid w:val="0"/>
                <w:color w:val="auto"/>
                <w:kern w:val="0"/>
                <w:sz w:val="21"/>
                <w:szCs w:val="21"/>
              </w:rPr>
              <w:t>证号</w:t>
            </w:r>
          </w:p>
        </w:tc>
        <w:tc>
          <w:tcPr>
            <w:tcW w:w="1425" w:type="dxa"/>
            <w:tcBorders>
              <w:top w:val="single" w:color="auto" w:sz="6" w:space="0"/>
              <w:left w:val="single" w:color="auto" w:sz="4" w:space="0"/>
              <w:bottom w:val="single" w:color="auto" w:sz="6" w:space="0"/>
              <w:right w:val="single" w:color="auto" w:sz="6" w:space="0"/>
            </w:tcBorders>
            <w:vAlign w:val="center"/>
          </w:tcPr>
          <w:p w14:paraId="62491D8F">
            <w:pPr>
              <w:wordWrap w:val="0"/>
              <w:adjustRightInd w:val="0"/>
              <w:snapToGrid w:val="0"/>
              <w:spacing w:line="240" w:lineRule="auto"/>
              <w:jc w:val="center"/>
              <w:rPr>
                <w:rFonts w:hAnsi="宋体" w:cs="宋体"/>
                <w:snapToGrid w:val="0"/>
                <w:color w:val="auto"/>
                <w:kern w:val="0"/>
                <w:sz w:val="21"/>
                <w:szCs w:val="21"/>
              </w:rPr>
            </w:pPr>
            <w:r>
              <w:rPr>
                <w:rFonts w:hint="eastAsia" w:hAnsi="宋体" w:cs="宋体"/>
                <w:snapToGrid w:val="0"/>
                <w:color w:val="auto"/>
                <w:kern w:val="0"/>
                <w:sz w:val="21"/>
                <w:szCs w:val="21"/>
              </w:rPr>
              <w:t>资格名称</w:t>
            </w:r>
          </w:p>
        </w:tc>
        <w:tc>
          <w:tcPr>
            <w:tcW w:w="660" w:type="dxa"/>
            <w:tcBorders>
              <w:top w:val="single" w:color="auto" w:sz="6" w:space="0"/>
              <w:left w:val="single" w:color="auto" w:sz="6" w:space="0"/>
              <w:bottom w:val="single" w:color="auto" w:sz="6" w:space="0"/>
              <w:right w:val="single" w:color="auto" w:sz="6" w:space="0"/>
            </w:tcBorders>
            <w:vAlign w:val="center"/>
          </w:tcPr>
          <w:p w14:paraId="4ADA5A79">
            <w:pPr>
              <w:wordWrap w:val="0"/>
              <w:adjustRightInd w:val="0"/>
              <w:snapToGrid w:val="0"/>
              <w:spacing w:line="240" w:lineRule="auto"/>
              <w:jc w:val="center"/>
              <w:rPr>
                <w:rFonts w:hAnsi="宋体" w:cs="宋体"/>
                <w:snapToGrid w:val="0"/>
                <w:color w:val="auto"/>
                <w:kern w:val="0"/>
                <w:sz w:val="21"/>
                <w:szCs w:val="21"/>
              </w:rPr>
            </w:pPr>
            <w:r>
              <w:rPr>
                <w:rFonts w:hint="eastAsia" w:hAnsi="宋体" w:cs="宋体"/>
                <w:snapToGrid w:val="0"/>
                <w:color w:val="auto"/>
                <w:kern w:val="0"/>
                <w:sz w:val="21"/>
                <w:szCs w:val="21"/>
              </w:rPr>
              <w:t>级别</w:t>
            </w:r>
          </w:p>
        </w:tc>
        <w:tc>
          <w:tcPr>
            <w:tcW w:w="1695" w:type="dxa"/>
            <w:tcBorders>
              <w:top w:val="single" w:color="auto" w:sz="6" w:space="0"/>
              <w:left w:val="single" w:color="auto" w:sz="6" w:space="0"/>
              <w:bottom w:val="single" w:color="auto" w:sz="6" w:space="0"/>
              <w:right w:val="single" w:color="auto" w:sz="6" w:space="0"/>
            </w:tcBorders>
            <w:vAlign w:val="center"/>
          </w:tcPr>
          <w:p w14:paraId="4E024F0F">
            <w:pPr>
              <w:wordWrap w:val="0"/>
              <w:adjustRightInd w:val="0"/>
              <w:snapToGrid w:val="0"/>
              <w:spacing w:line="240" w:lineRule="auto"/>
              <w:jc w:val="center"/>
              <w:rPr>
                <w:rFonts w:hAnsi="宋体" w:cs="宋体"/>
                <w:snapToGrid w:val="0"/>
                <w:color w:val="auto"/>
                <w:kern w:val="0"/>
                <w:sz w:val="21"/>
                <w:szCs w:val="21"/>
              </w:rPr>
            </w:pPr>
            <w:r>
              <w:rPr>
                <w:rFonts w:hint="eastAsia" w:hAnsi="宋体" w:cs="宋体"/>
                <w:snapToGrid w:val="0"/>
                <w:color w:val="auto"/>
                <w:kern w:val="0"/>
                <w:sz w:val="21"/>
                <w:szCs w:val="21"/>
              </w:rPr>
              <w:t>证号</w:t>
            </w:r>
          </w:p>
        </w:tc>
        <w:tc>
          <w:tcPr>
            <w:tcW w:w="1455" w:type="dxa"/>
            <w:tcBorders>
              <w:top w:val="single" w:color="auto" w:sz="6" w:space="0"/>
              <w:left w:val="single" w:color="auto" w:sz="6" w:space="0"/>
              <w:bottom w:val="single" w:color="auto" w:sz="6" w:space="0"/>
              <w:right w:val="single" w:color="auto" w:sz="6" w:space="0"/>
            </w:tcBorders>
            <w:vAlign w:val="center"/>
          </w:tcPr>
          <w:p w14:paraId="3618C682">
            <w:pPr>
              <w:wordWrap w:val="0"/>
              <w:adjustRightInd w:val="0"/>
              <w:snapToGrid w:val="0"/>
              <w:spacing w:line="240" w:lineRule="auto"/>
              <w:jc w:val="center"/>
              <w:rPr>
                <w:rFonts w:hAnsi="宋体" w:cs="宋体"/>
                <w:snapToGrid w:val="0"/>
                <w:color w:val="auto"/>
                <w:kern w:val="0"/>
                <w:sz w:val="21"/>
                <w:szCs w:val="21"/>
              </w:rPr>
            </w:pPr>
            <w:r>
              <w:rPr>
                <w:rFonts w:hint="eastAsia" w:hAnsi="宋体" w:cs="宋体"/>
                <w:snapToGrid w:val="0"/>
                <w:color w:val="auto"/>
                <w:kern w:val="0"/>
                <w:sz w:val="21"/>
                <w:szCs w:val="21"/>
              </w:rPr>
              <w:t>岗位名称</w:t>
            </w:r>
          </w:p>
        </w:tc>
        <w:tc>
          <w:tcPr>
            <w:tcW w:w="645" w:type="dxa"/>
            <w:tcBorders>
              <w:top w:val="single" w:color="auto" w:sz="6" w:space="0"/>
              <w:left w:val="single" w:color="auto" w:sz="6" w:space="0"/>
              <w:bottom w:val="single" w:color="auto" w:sz="6" w:space="0"/>
              <w:right w:val="single" w:color="auto" w:sz="6" w:space="0"/>
            </w:tcBorders>
            <w:vAlign w:val="center"/>
          </w:tcPr>
          <w:p w14:paraId="0FA309F1">
            <w:pPr>
              <w:wordWrap w:val="0"/>
              <w:adjustRightInd w:val="0"/>
              <w:snapToGrid w:val="0"/>
              <w:spacing w:line="240" w:lineRule="auto"/>
              <w:jc w:val="center"/>
              <w:rPr>
                <w:rFonts w:hAnsi="宋体" w:cs="宋体"/>
                <w:snapToGrid w:val="0"/>
                <w:color w:val="auto"/>
                <w:kern w:val="0"/>
                <w:sz w:val="21"/>
                <w:szCs w:val="21"/>
              </w:rPr>
            </w:pPr>
            <w:r>
              <w:rPr>
                <w:rFonts w:hint="eastAsia" w:hAnsi="宋体" w:cs="宋体"/>
                <w:snapToGrid w:val="0"/>
                <w:color w:val="auto"/>
                <w:kern w:val="0"/>
                <w:sz w:val="21"/>
                <w:szCs w:val="21"/>
              </w:rPr>
              <w:t>级别</w:t>
            </w:r>
          </w:p>
        </w:tc>
        <w:tc>
          <w:tcPr>
            <w:tcW w:w="1680" w:type="dxa"/>
            <w:tcBorders>
              <w:top w:val="single" w:color="auto" w:sz="6" w:space="0"/>
              <w:left w:val="single" w:color="auto" w:sz="6" w:space="0"/>
              <w:bottom w:val="single" w:color="auto" w:sz="6" w:space="0"/>
              <w:right w:val="single" w:color="auto" w:sz="6" w:space="0"/>
            </w:tcBorders>
            <w:vAlign w:val="center"/>
          </w:tcPr>
          <w:p w14:paraId="1EC44F88">
            <w:pPr>
              <w:wordWrap w:val="0"/>
              <w:adjustRightInd w:val="0"/>
              <w:snapToGrid w:val="0"/>
              <w:spacing w:line="240" w:lineRule="auto"/>
              <w:jc w:val="center"/>
              <w:rPr>
                <w:rFonts w:hAnsi="宋体" w:cs="宋体"/>
                <w:snapToGrid w:val="0"/>
                <w:color w:val="auto"/>
                <w:kern w:val="0"/>
                <w:sz w:val="21"/>
                <w:szCs w:val="21"/>
              </w:rPr>
            </w:pPr>
            <w:r>
              <w:rPr>
                <w:rFonts w:hint="eastAsia" w:hAnsi="宋体" w:cs="宋体"/>
                <w:snapToGrid w:val="0"/>
                <w:color w:val="auto"/>
                <w:kern w:val="0"/>
                <w:sz w:val="21"/>
                <w:szCs w:val="21"/>
              </w:rPr>
              <w:t>证号</w:t>
            </w:r>
          </w:p>
        </w:tc>
      </w:tr>
      <w:tr w14:paraId="6C827E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vAlign w:val="center"/>
          </w:tcPr>
          <w:p w14:paraId="42BF51EF">
            <w:pPr>
              <w:wordWrap w:val="0"/>
              <w:adjustRightInd w:val="0"/>
              <w:snapToGrid w:val="0"/>
              <w:spacing w:line="240" w:lineRule="auto"/>
              <w:jc w:val="center"/>
              <w:rPr>
                <w:rFonts w:hAnsi="宋体" w:cs="宋体"/>
                <w:snapToGrid w:val="0"/>
                <w:color w:val="auto"/>
                <w:kern w:val="0"/>
                <w:sz w:val="21"/>
                <w:szCs w:val="21"/>
              </w:rPr>
            </w:pPr>
            <w:r>
              <w:rPr>
                <w:rFonts w:hint="eastAsia" w:hAnsi="宋体" w:cs="宋体"/>
                <w:snapToGrid w:val="0"/>
                <w:color w:val="auto"/>
                <w:kern w:val="0"/>
                <w:sz w:val="21"/>
                <w:szCs w:val="21"/>
              </w:rPr>
              <w:t>1</w:t>
            </w:r>
          </w:p>
        </w:tc>
        <w:tc>
          <w:tcPr>
            <w:tcW w:w="1425" w:type="dxa"/>
            <w:tcBorders>
              <w:top w:val="single" w:color="auto" w:sz="6" w:space="0"/>
              <w:left w:val="single" w:color="auto" w:sz="6" w:space="0"/>
              <w:bottom w:val="single" w:color="auto" w:sz="6" w:space="0"/>
              <w:right w:val="single" w:color="auto" w:sz="6" w:space="0"/>
            </w:tcBorders>
            <w:vAlign w:val="center"/>
          </w:tcPr>
          <w:p w14:paraId="54097969">
            <w:pPr>
              <w:wordWrap w:val="0"/>
              <w:adjustRightInd w:val="0"/>
              <w:snapToGrid w:val="0"/>
              <w:spacing w:line="240" w:lineRule="auto"/>
              <w:jc w:val="center"/>
              <w:rPr>
                <w:rFonts w:hAnsi="宋体" w:cs="宋体"/>
                <w:snapToGrid w:val="0"/>
                <w:color w:val="auto"/>
                <w:kern w:val="0"/>
                <w:sz w:val="21"/>
                <w:szCs w:val="21"/>
              </w:rPr>
            </w:pPr>
          </w:p>
        </w:tc>
        <w:tc>
          <w:tcPr>
            <w:tcW w:w="840" w:type="dxa"/>
            <w:tcBorders>
              <w:top w:val="single" w:color="auto" w:sz="6" w:space="0"/>
              <w:left w:val="single" w:color="auto" w:sz="6" w:space="0"/>
              <w:bottom w:val="single" w:color="auto" w:sz="6" w:space="0"/>
              <w:right w:val="single" w:color="auto" w:sz="6" w:space="0"/>
            </w:tcBorders>
            <w:vAlign w:val="center"/>
          </w:tcPr>
          <w:p w14:paraId="2EF03865">
            <w:pPr>
              <w:wordWrap w:val="0"/>
              <w:adjustRightInd w:val="0"/>
              <w:snapToGrid w:val="0"/>
              <w:spacing w:line="240" w:lineRule="auto"/>
              <w:jc w:val="center"/>
              <w:rPr>
                <w:rFonts w:hAnsi="宋体" w:cs="宋体"/>
                <w:snapToGrid w:val="0"/>
                <w:color w:val="auto"/>
                <w:kern w:val="0"/>
                <w:sz w:val="21"/>
                <w:szCs w:val="21"/>
              </w:rPr>
            </w:pPr>
          </w:p>
        </w:tc>
        <w:tc>
          <w:tcPr>
            <w:tcW w:w="1485" w:type="dxa"/>
            <w:tcBorders>
              <w:top w:val="single" w:color="auto" w:sz="4" w:space="0"/>
              <w:left w:val="single" w:color="auto" w:sz="6" w:space="0"/>
              <w:bottom w:val="single" w:color="auto" w:sz="6" w:space="0"/>
              <w:right w:val="single" w:color="auto" w:sz="6" w:space="0"/>
            </w:tcBorders>
            <w:vAlign w:val="center"/>
          </w:tcPr>
          <w:p w14:paraId="11A92163">
            <w:pPr>
              <w:wordWrap w:val="0"/>
              <w:adjustRightInd w:val="0"/>
              <w:snapToGrid w:val="0"/>
              <w:spacing w:line="240" w:lineRule="auto"/>
              <w:jc w:val="center"/>
              <w:rPr>
                <w:rFonts w:hAnsi="宋体" w:cs="宋体"/>
                <w:snapToGrid w:val="0"/>
                <w:color w:val="auto"/>
                <w:kern w:val="0"/>
                <w:sz w:val="21"/>
                <w:szCs w:val="21"/>
              </w:rPr>
            </w:pPr>
          </w:p>
        </w:tc>
        <w:tc>
          <w:tcPr>
            <w:tcW w:w="615" w:type="dxa"/>
            <w:tcBorders>
              <w:top w:val="single" w:color="auto" w:sz="4" w:space="0"/>
              <w:left w:val="single" w:color="auto" w:sz="6" w:space="0"/>
              <w:bottom w:val="single" w:color="auto" w:sz="6" w:space="0"/>
              <w:right w:val="single" w:color="auto" w:sz="6" w:space="0"/>
            </w:tcBorders>
            <w:vAlign w:val="center"/>
          </w:tcPr>
          <w:p w14:paraId="27ECC879">
            <w:pPr>
              <w:wordWrap w:val="0"/>
              <w:adjustRightInd w:val="0"/>
              <w:snapToGrid w:val="0"/>
              <w:spacing w:line="240" w:lineRule="auto"/>
              <w:jc w:val="center"/>
              <w:rPr>
                <w:rFonts w:hAnsi="宋体" w:cs="宋体"/>
                <w:snapToGrid w:val="0"/>
                <w:color w:val="auto"/>
                <w:kern w:val="0"/>
                <w:sz w:val="21"/>
                <w:szCs w:val="21"/>
              </w:rPr>
            </w:pPr>
          </w:p>
        </w:tc>
        <w:tc>
          <w:tcPr>
            <w:tcW w:w="1680" w:type="dxa"/>
            <w:tcBorders>
              <w:top w:val="single" w:color="auto" w:sz="4" w:space="0"/>
              <w:left w:val="single" w:color="auto" w:sz="6" w:space="0"/>
              <w:bottom w:val="single" w:color="auto" w:sz="6" w:space="0"/>
              <w:right w:val="single" w:color="auto" w:sz="6" w:space="0"/>
            </w:tcBorders>
            <w:vAlign w:val="center"/>
          </w:tcPr>
          <w:p w14:paraId="77BCCD12">
            <w:pPr>
              <w:wordWrap w:val="0"/>
              <w:adjustRightInd w:val="0"/>
              <w:snapToGrid w:val="0"/>
              <w:spacing w:line="240" w:lineRule="auto"/>
              <w:jc w:val="center"/>
              <w:rPr>
                <w:rFonts w:hAnsi="宋体" w:cs="宋体"/>
                <w:snapToGrid w:val="0"/>
                <w:color w:val="auto"/>
                <w:kern w:val="0"/>
                <w:sz w:val="21"/>
                <w:szCs w:val="21"/>
              </w:rPr>
            </w:pPr>
          </w:p>
        </w:tc>
        <w:tc>
          <w:tcPr>
            <w:tcW w:w="1425" w:type="dxa"/>
            <w:tcBorders>
              <w:top w:val="single" w:color="auto" w:sz="6" w:space="0"/>
              <w:left w:val="single" w:color="auto" w:sz="6" w:space="0"/>
              <w:bottom w:val="single" w:color="auto" w:sz="6" w:space="0"/>
              <w:right w:val="single" w:color="auto" w:sz="6" w:space="0"/>
            </w:tcBorders>
            <w:vAlign w:val="center"/>
          </w:tcPr>
          <w:p w14:paraId="0FFB40BE">
            <w:pPr>
              <w:wordWrap w:val="0"/>
              <w:adjustRightInd w:val="0"/>
              <w:snapToGrid w:val="0"/>
              <w:spacing w:line="240" w:lineRule="auto"/>
              <w:jc w:val="center"/>
              <w:rPr>
                <w:rFonts w:hAnsi="宋体" w:cs="宋体"/>
                <w:snapToGrid w:val="0"/>
                <w:color w:val="auto"/>
                <w:kern w:val="0"/>
                <w:sz w:val="21"/>
                <w:szCs w:val="21"/>
              </w:rPr>
            </w:pPr>
          </w:p>
        </w:tc>
        <w:tc>
          <w:tcPr>
            <w:tcW w:w="660" w:type="dxa"/>
            <w:tcBorders>
              <w:top w:val="single" w:color="auto" w:sz="6" w:space="0"/>
              <w:left w:val="single" w:color="auto" w:sz="6" w:space="0"/>
              <w:bottom w:val="single" w:color="auto" w:sz="6" w:space="0"/>
              <w:right w:val="single" w:color="auto" w:sz="6" w:space="0"/>
            </w:tcBorders>
            <w:vAlign w:val="center"/>
          </w:tcPr>
          <w:p w14:paraId="3ACF358F">
            <w:pPr>
              <w:wordWrap w:val="0"/>
              <w:adjustRightInd w:val="0"/>
              <w:snapToGrid w:val="0"/>
              <w:spacing w:line="240" w:lineRule="auto"/>
              <w:jc w:val="center"/>
              <w:rPr>
                <w:rFonts w:hAnsi="宋体" w:cs="宋体"/>
                <w:snapToGrid w:val="0"/>
                <w:color w:val="auto"/>
                <w:kern w:val="0"/>
                <w:sz w:val="21"/>
                <w:szCs w:val="21"/>
              </w:rPr>
            </w:pPr>
          </w:p>
        </w:tc>
        <w:tc>
          <w:tcPr>
            <w:tcW w:w="1695" w:type="dxa"/>
            <w:tcBorders>
              <w:top w:val="single" w:color="auto" w:sz="6" w:space="0"/>
              <w:left w:val="single" w:color="auto" w:sz="6" w:space="0"/>
              <w:bottom w:val="single" w:color="auto" w:sz="6" w:space="0"/>
              <w:right w:val="single" w:color="auto" w:sz="6" w:space="0"/>
            </w:tcBorders>
            <w:vAlign w:val="center"/>
          </w:tcPr>
          <w:p w14:paraId="4A78E9DB">
            <w:pPr>
              <w:wordWrap w:val="0"/>
              <w:adjustRightInd w:val="0"/>
              <w:snapToGrid w:val="0"/>
              <w:spacing w:line="240" w:lineRule="auto"/>
              <w:jc w:val="center"/>
              <w:rPr>
                <w:rFonts w:hAnsi="宋体" w:cs="宋体"/>
                <w:snapToGrid w:val="0"/>
                <w:color w:val="auto"/>
                <w:kern w:val="0"/>
                <w:sz w:val="21"/>
                <w:szCs w:val="21"/>
              </w:rPr>
            </w:pPr>
          </w:p>
        </w:tc>
        <w:tc>
          <w:tcPr>
            <w:tcW w:w="1455" w:type="dxa"/>
            <w:tcBorders>
              <w:top w:val="single" w:color="auto" w:sz="6" w:space="0"/>
              <w:left w:val="single" w:color="auto" w:sz="6" w:space="0"/>
              <w:bottom w:val="single" w:color="auto" w:sz="6" w:space="0"/>
              <w:right w:val="single" w:color="auto" w:sz="6" w:space="0"/>
            </w:tcBorders>
            <w:vAlign w:val="center"/>
          </w:tcPr>
          <w:p w14:paraId="3DAAB375">
            <w:pPr>
              <w:wordWrap w:val="0"/>
              <w:adjustRightInd w:val="0"/>
              <w:snapToGrid w:val="0"/>
              <w:spacing w:line="240" w:lineRule="auto"/>
              <w:jc w:val="center"/>
              <w:rPr>
                <w:rFonts w:hAnsi="宋体" w:cs="宋体"/>
                <w:snapToGrid w:val="0"/>
                <w:color w:val="auto"/>
                <w:kern w:val="0"/>
                <w:sz w:val="21"/>
                <w:szCs w:val="21"/>
              </w:rPr>
            </w:pPr>
          </w:p>
        </w:tc>
        <w:tc>
          <w:tcPr>
            <w:tcW w:w="645" w:type="dxa"/>
            <w:tcBorders>
              <w:top w:val="single" w:color="auto" w:sz="6" w:space="0"/>
              <w:left w:val="single" w:color="auto" w:sz="6" w:space="0"/>
              <w:bottom w:val="single" w:color="auto" w:sz="6" w:space="0"/>
              <w:right w:val="single" w:color="auto" w:sz="6" w:space="0"/>
            </w:tcBorders>
            <w:vAlign w:val="center"/>
          </w:tcPr>
          <w:p w14:paraId="7D199C0A">
            <w:pPr>
              <w:wordWrap w:val="0"/>
              <w:adjustRightInd w:val="0"/>
              <w:snapToGrid w:val="0"/>
              <w:spacing w:line="240" w:lineRule="auto"/>
              <w:jc w:val="center"/>
              <w:rPr>
                <w:rFonts w:hAnsi="宋体" w:cs="宋体"/>
                <w:snapToGrid w:val="0"/>
                <w:color w:val="auto"/>
                <w:kern w:val="0"/>
                <w:sz w:val="21"/>
                <w:szCs w:val="21"/>
              </w:rPr>
            </w:pPr>
          </w:p>
        </w:tc>
        <w:tc>
          <w:tcPr>
            <w:tcW w:w="1680" w:type="dxa"/>
            <w:tcBorders>
              <w:top w:val="single" w:color="auto" w:sz="6" w:space="0"/>
              <w:left w:val="single" w:color="auto" w:sz="6" w:space="0"/>
              <w:bottom w:val="single" w:color="auto" w:sz="6" w:space="0"/>
              <w:right w:val="single" w:color="auto" w:sz="6" w:space="0"/>
            </w:tcBorders>
            <w:vAlign w:val="center"/>
          </w:tcPr>
          <w:p w14:paraId="71EC1D61">
            <w:pPr>
              <w:wordWrap w:val="0"/>
              <w:adjustRightInd w:val="0"/>
              <w:snapToGrid w:val="0"/>
              <w:spacing w:line="240" w:lineRule="auto"/>
              <w:jc w:val="center"/>
              <w:rPr>
                <w:rFonts w:hAnsi="宋体" w:cs="宋体"/>
                <w:snapToGrid w:val="0"/>
                <w:color w:val="auto"/>
                <w:kern w:val="0"/>
                <w:sz w:val="21"/>
                <w:szCs w:val="21"/>
              </w:rPr>
            </w:pPr>
          </w:p>
        </w:tc>
      </w:tr>
      <w:tr w14:paraId="4F2B5E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vAlign w:val="center"/>
          </w:tcPr>
          <w:p w14:paraId="363BB59C">
            <w:pPr>
              <w:wordWrap w:val="0"/>
              <w:adjustRightInd w:val="0"/>
              <w:snapToGrid w:val="0"/>
              <w:spacing w:line="240" w:lineRule="auto"/>
              <w:jc w:val="center"/>
              <w:rPr>
                <w:rFonts w:hAnsi="宋体" w:cs="宋体"/>
                <w:snapToGrid w:val="0"/>
                <w:color w:val="auto"/>
                <w:kern w:val="0"/>
                <w:sz w:val="21"/>
                <w:szCs w:val="21"/>
              </w:rPr>
            </w:pPr>
            <w:r>
              <w:rPr>
                <w:rFonts w:hint="eastAsia" w:hAnsi="宋体" w:cs="宋体"/>
                <w:snapToGrid w:val="0"/>
                <w:color w:val="auto"/>
                <w:kern w:val="0"/>
                <w:sz w:val="21"/>
                <w:szCs w:val="21"/>
              </w:rPr>
              <w:t>2</w:t>
            </w:r>
          </w:p>
        </w:tc>
        <w:tc>
          <w:tcPr>
            <w:tcW w:w="1425" w:type="dxa"/>
            <w:tcBorders>
              <w:top w:val="single" w:color="auto" w:sz="6" w:space="0"/>
              <w:left w:val="single" w:color="auto" w:sz="6" w:space="0"/>
              <w:bottom w:val="single" w:color="auto" w:sz="6" w:space="0"/>
              <w:right w:val="single" w:color="auto" w:sz="6" w:space="0"/>
            </w:tcBorders>
            <w:vAlign w:val="center"/>
          </w:tcPr>
          <w:p w14:paraId="0172DA5E">
            <w:pPr>
              <w:wordWrap w:val="0"/>
              <w:adjustRightInd w:val="0"/>
              <w:snapToGrid w:val="0"/>
              <w:spacing w:line="240" w:lineRule="auto"/>
              <w:jc w:val="center"/>
              <w:rPr>
                <w:rFonts w:hAnsi="宋体" w:cs="宋体"/>
                <w:snapToGrid w:val="0"/>
                <w:color w:val="auto"/>
                <w:kern w:val="0"/>
                <w:sz w:val="21"/>
                <w:szCs w:val="21"/>
              </w:rPr>
            </w:pPr>
          </w:p>
        </w:tc>
        <w:tc>
          <w:tcPr>
            <w:tcW w:w="840" w:type="dxa"/>
            <w:tcBorders>
              <w:top w:val="single" w:color="auto" w:sz="6" w:space="0"/>
              <w:left w:val="single" w:color="auto" w:sz="6" w:space="0"/>
              <w:bottom w:val="single" w:color="auto" w:sz="6" w:space="0"/>
              <w:right w:val="single" w:color="auto" w:sz="6" w:space="0"/>
            </w:tcBorders>
            <w:vAlign w:val="center"/>
          </w:tcPr>
          <w:p w14:paraId="5165508D">
            <w:pPr>
              <w:wordWrap w:val="0"/>
              <w:adjustRightInd w:val="0"/>
              <w:snapToGrid w:val="0"/>
              <w:spacing w:line="240" w:lineRule="auto"/>
              <w:jc w:val="center"/>
              <w:rPr>
                <w:rFonts w:hAnsi="宋体" w:cs="宋体"/>
                <w:snapToGrid w:val="0"/>
                <w:color w:val="auto"/>
                <w:kern w:val="0"/>
                <w:sz w:val="21"/>
                <w:szCs w:val="21"/>
              </w:rPr>
            </w:pPr>
          </w:p>
        </w:tc>
        <w:tc>
          <w:tcPr>
            <w:tcW w:w="1485" w:type="dxa"/>
            <w:tcBorders>
              <w:top w:val="single" w:color="auto" w:sz="6" w:space="0"/>
              <w:left w:val="single" w:color="auto" w:sz="6" w:space="0"/>
              <w:bottom w:val="single" w:color="auto" w:sz="6" w:space="0"/>
              <w:right w:val="single" w:color="auto" w:sz="6" w:space="0"/>
            </w:tcBorders>
            <w:vAlign w:val="center"/>
          </w:tcPr>
          <w:p w14:paraId="3CE2284D">
            <w:pPr>
              <w:wordWrap w:val="0"/>
              <w:adjustRightInd w:val="0"/>
              <w:snapToGrid w:val="0"/>
              <w:spacing w:line="240" w:lineRule="auto"/>
              <w:jc w:val="center"/>
              <w:rPr>
                <w:rFonts w:hAnsi="宋体" w:cs="宋体"/>
                <w:snapToGrid w:val="0"/>
                <w:color w:val="auto"/>
                <w:kern w:val="0"/>
                <w:sz w:val="21"/>
                <w:szCs w:val="21"/>
              </w:rPr>
            </w:pPr>
          </w:p>
        </w:tc>
        <w:tc>
          <w:tcPr>
            <w:tcW w:w="615" w:type="dxa"/>
            <w:tcBorders>
              <w:top w:val="single" w:color="auto" w:sz="6" w:space="0"/>
              <w:left w:val="single" w:color="auto" w:sz="6" w:space="0"/>
              <w:bottom w:val="single" w:color="auto" w:sz="6" w:space="0"/>
              <w:right w:val="single" w:color="auto" w:sz="6" w:space="0"/>
            </w:tcBorders>
            <w:vAlign w:val="center"/>
          </w:tcPr>
          <w:p w14:paraId="6EC23E3C">
            <w:pPr>
              <w:wordWrap w:val="0"/>
              <w:adjustRightInd w:val="0"/>
              <w:snapToGrid w:val="0"/>
              <w:spacing w:line="240" w:lineRule="auto"/>
              <w:jc w:val="center"/>
              <w:rPr>
                <w:rFonts w:hAnsi="宋体" w:cs="宋体"/>
                <w:snapToGrid w:val="0"/>
                <w:color w:val="auto"/>
                <w:kern w:val="0"/>
                <w:sz w:val="21"/>
                <w:szCs w:val="21"/>
              </w:rPr>
            </w:pPr>
          </w:p>
        </w:tc>
        <w:tc>
          <w:tcPr>
            <w:tcW w:w="1680" w:type="dxa"/>
            <w:tcBorders>
              <w:top w:val="single" w:color="auto" w:sz="6" w:space="0"/>
              <w:left w:val="single" w:color="auto" w:sz="6" w:space="0"/>
              <w:bottom w:val="single" w:color="auto" w:sz="6" w:space="0"/>
              <w:right w:val="single" w:color="auto" w:sz="6" w:space="0"/>
            </w:tcBorders>
            <w:vAlign w:val="center"/>
          </w:tcPr>
          <w:p w14:paraId="191E76CC">
            <w:pPr>
              <w:wordWrap w:val="0"/>
              <w:adjustRightInd w:val="0"/>
              <w:snapToGrid w:val="0"/>
              <w:spacing w:line="240" w:lineRule="auto"/>
              <w:jc w:val="center"/>
              <w:rPr>
                <w:rFonts w:hAnsi="宋体" w:cs="宋体"/>
                <w:snapToGrid w:val="0"/>
                <w:color w:val="auto"/>
                <w:kern w:val="0"/>
                <w:sz w:val="21"/>
                <w:szCs w:val="21"/>
              </w:rPr>
            </w:pPr>
          </w:p>
        </w:tc>
        <w:tc>
          <w:tcPr>
            <w:tcW w:w="1425" w:type="dxa"/>
            <w:tcBorders>
              <w:top w:val="single" w:color="auto" w:sz="6" w:space="0"/>
              <w:left w:val="single" w:color="auto" w:sz="6" w:space="0"/>
              <w:bottom w:val="single" w:color="auto" w:sz="6" w:space="0"/>
              <w:right w:val="single" w:color="auto" w:sz="6" w:space="0"/>
            </w:tcBorders>
            <w:vAlign w:val="center"/>
          </w:tcPr>
          <w:p w14:paraId="045B5722">
            <w:pPr>
              <w:wordWrap w:val="0"/>
              <w:adjustRightInd w:val="0"/>
              <w:snapToGrid w:val="0"/>
              <w:spacing w:line="240" w:lineRule="auto"/>
              <w:jc w:val="center"/>
              <w:rPr>
                <w:rFonts w:hAnsi="宋体" w:cs="宋体"/>
                <w:snapToGrid w:val="0"/>
                <w:color w:val="auto"/>
                <w:kern w:val="0"/>
                <w:sz w:val="21"/>
                <w:szCs w:val="21"/>
              </w:rPr>
            </w:pPr>
          </w:p>
        </w:tc>
        <w:tc>
          <w:tcPr>
            <w:tcW w:w="660" w:type="dxa"/>
            <w:tcBorders>
              <w:top w:val="single" w:color="auto" w:sz="6" w:space="0"/>
              <w:left w:val="single" w:color="auto" w:sz="6" w:space="0"/>
              <w:bottom w:val="single" w:color="auto" w:sz="6" w:space="0"/>
              <w:right w:val="single" w:color="auto" w:sz="6" w:space="0"/>
            </w:tcBorders>
            <w:vAlign w:val="center"/>
          </w:tcPr>
          <w:p w14:paraId="78275C16">
            <w:pPr>
              <w:wordWrap w:val="0"/>
              <w:adjustRightInd w:val="0"/>
              <w:snapToGrid w:val="0"/>
              <w:spacing w:line="240" w:lineRule="auto"/>
              <w:jc w:val="center"/>
              <w:rPr>
                <w:rFonts w:hAnsi="宋体" w:cs="宋体"/>
                <w:snapToGrid w:val="0"/>
                <w:color w:val="auto"/>
                <w:kern w:val="0"/>
                <w:sz w:val="21"/>
                <w:szCs w:val="21"/>
              </w:rPr>
            </w:pPr>
          </w:p>
        </w:tc>
        <w:tc>
          <w:tcPr>
            <w:tcW w:w="1695" w:type="dxa"/>
            <w:tcBorders>
              <w:top w:val="single" w:color="auto" w:sz="6" w:space="0"/>
              <w:left w:val="single" w:color="auto" w:sz="6" w:space="0"/>
              <w:bottom w:val="single" w:color="auto" w:sz="6" w:space="0"/>
              <w:right w:val="single" w:color="auto" w:sz="6" w:space="0"/>
            </w:tcBorders>
            <w:vAlign w:val="center"/>
          </w:tcPr>
          <w:p w14:paraId="4C7673A8">
            <w:pPr>
              <w:wordWrap w:val="0"/>
              <w:adjustRightInd w:val="0"/>
              <w:snapToGrid w:val="0"/>
              <w:spacing w:line="240" w:lineRule="auto"/>
              <w:jc w:val="center"/>
              <w:rPr>
                <w:rFonts w:hAnsi="宋体" w:cs="宋体"/>
                <w:snapToGrid w:val="0"/>
                <w:color w:val="auto"/>
                <w:kern w:val="0"/>
                <w:sz w:val="21"/>
                <w:szCs w:val="21"/>
              </w:rPr>
            </w:pPr>
          </w:p>
        </w:tc>
        <w:tc>
          <w:tcPr>
            <w:tcW w:w="1455" w:type="dxa"/>
            <w:tcBorders>
              <w:top w:val="single" w:color="auto" w:sz="6" w:space="0"/>
              <w:left w:val="single" w:color="auto" w:sz="6" w:space="0"/>
              <w:bottom w:val="single" w:color="auto" w:sz="6" w:space="0"/>
              <w:right w:val="single" w:color="auto" w:sz="6" w:space="0"/>
            </w:tcBorders>
            <w:vAlign w:val="center"/>
          </w:tcPr>
          <w:p w14:paraId="41412311">
            <w:pPr>
              <w:wordWrap w:val="0"/>
              <w:adjustRightInd w:val="0"/>
              <w:snapToGrid w:val="0"/>
              <w:spacing w:line="240" w:lineRule="auto"/>
              <w:jc w:val="center"/>
              <w:rPr>
                <w:rFonts w:hAnsi="宋体" w:cs="宋体"/>
                <w:snapToGrid w:val="0"/>
                <w:color w:val="auto"/>
                <w:kern w:val="0"/>
                <w:sz w:val="21"/>
                <w:szCs w:val="21"/>
              </w:rPr>
            </w:pPr>
          </w:p>
        </w:tc>
        <w:tc>
          <w:tcPr>
            <w:tcW w:w="645" w:type="dxa"/>
            <w:tcBorders>
              <w:top w:val="single" w:color="auto" w:sz="6" w:space="0"/>
              <w:left w:val="single" w:color="auto" w:sz="6" w:space="0"/>
              <w:bottom w:val="single" w:color="auto" w:sz="6" w:space="0"/>
              <w:right w:val="single" w:color="auto" w:sz="6" w:space="0"/>
            </w:tcBorders>
            <w:vAlign w:val="center"/>
          </w:tcPr>
          <w:p w14:paraId="5845D318">
            <w:pPr>
              <w:wordWrap w:val="0"/>
              <w:adjustRightInd w:val="0"/>
              <w:snapToGrid w:val="0"/>
              <w:spacing w:line="240" w:lineRule="auto"/>
              <w:jc w:val="center"/>
              <w:rPr>
                <w:rFonts w:hAnsi="宋体" w:cs="宋体"/>
                <w:snapToGrid w:val="0"/>
                <w:color w:val="auto"/>
                <w:kern w:val="0"/>
                <w:sz w:val="21"/>
                <w:szCs w:val="21"/>
              </w:rPr>
            </w:pPr>
          </w:p>
        </w:tc>
        <w:tc>
          <w:tcPr>
            <w:tcW w:w="1680" w:type="dxa"/>
            <w:tcBorders>
              <w:top w:val="single" w:color="auto" w:sz="6" w:space="0"/>
              <w:left w:val="single" w:color="auto" w:sz="6" w:space="0"/>
              <w:bottom w:val="single" w:color="auto" w:sz="6" w:space="0"/>
              <w:right w:val="single" w:color="auto" w:sz="6" w:space="0"/>
            </w:tcBorders>
            <w:vAlign w:val="center"/>
          </w:tcPr>
          <w:p w14:paraId="267C1A80">
            <w:pPr>
              <w:wordWrap w:val="0"/>
              <w:adjustRightInd w:val="0"/>
              <w:snapToGrid w:val="0"/>
              <w:spacing w:line="240" w:lineRule="auto"/>
              <w:jc w:val="center"/>
              <w:rPr>
                <w:rFonts w:hAnsi="宋体" w:cs="宋体"/>
                <w:snapToGrid w:val="0"/>
                <w:color w:val="auto"/>
                <w:kern w:val="0"/>
                <w:sz w:val="21"/>
                <w:szCs w:val="21"/>
              </w:rPr>
            </w:pPr>
          </w:p>
        </w:tc>
      </w:tr>
      <w:tr w14:paraId="702BBD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vAlign w:val="center"/>
          </w:tcPr>
          <w:p w14:paraId="04BC24FF">
            <w:pPr>
              <w:wordWrap w:val="0"/>
              <w:adjustRightInd w:val="0"/>
              <w:snapToGrid w:val="0"/>
              <w:spacing w:line="240" w:lineRule="auto"/>
              <w:jc w:val="center"/>
              <w:rPr>
                <w:rFonts w:hAnsi="宋体" w:cs="宋体"/>
                <w:snapToGrid w:val="0"/>
                <w:color w:val="auto"/>
                <w:kern w:val="0"/>
                <w:sz w:val="21"/>
                <w:szCs w:val="21"/>
              </w:rPr>
            </w:pPr>
            <w:r>
              <w:rPr>
                <w:rFonts w:hint="eastAsia" w:hAnsi="宋体" w:cs="宋体"/>
                <w:snapToGrid w:val="0"/>
                <w:color w:val="auto"/>
                <w:kern w:val="0"/>
                <w:sz w:val="21"/>
                <w:szCs w:val="21"/>
              </w:rPr>
              <w:t>3</w:t>
            </w:r>
          </w:p>
        </w:tc>
        <w:tc>
          <w:tcPr>
            <w:tcW w:w="1425" w:type="dxa"/>
            <w:tcBorders>
              <w:top w:val="single" w:color="auto" w:sz="6" w:space="0"/>
              <w:left w:val="single" w:color="auto" w:sz="6" w:space="0"/>
              <w:bottom w:val="single" w:color="auto" w:sz="6" w:space="0"/>
              <w:right w:val="single" w:color="auto" w:sz="6" w:space="0"/>
            </w:tcBorders>
            <w:vAlign w:val="center"/>
          </w:tcPr>
          <w:p w14:paraId="6C095E3C">
            <w:pPr>
              <w:wordWrap w:val="0"/>
              <w:adjustRightInd w:val="0"/>
              <w:snapToGrid w:val="0"/>
              <w:spacing w:line="240" w:lineRule="auto"/>
              <w:jc w:val="center"/>
              <w:rPr>
                <w:rFonts w:hAnsi="宋体" w:cs="宋体"/>
                <w:snapToGrid w:val="0"/>
                <w:color w:val="auto"/>
                <w:kern w:val="0"/>
                <w:sz w:val="21"/>
                <w:szCs w:val="21"/>
              </w:rPr>
            </w:pPr>
          </w:p>
        </w:tc>
        <w:tc>
          <w:tcPr>
            <w:tcW w:w="840" w:type="dxa"/>
            <w:tcBorders>
              <w:top w:val="single" w:color="auto" w:sz="6" w:space="0"/>
              <w:left w:val="single" w:color="auto" w:sz="6" w:space="0"/>
              <w:bottom w:val="single" w:color="auto" w:sz="6" w:space="0"/>
              <w:right w:val="single" w:color="auto" w:sz="6" w:space="0"/>
            </w:tcBorders>
            <w:vAlign w:val="center"/>
          </w:tcPr>
          <w:p w14:paraId="72F3EC10">
            <w:pPr>
              <w:wordWrap w:val="0"/>
              <w:adjustRightInd w:val="0"/>
              <w:snapToGrid w:val="0"/>
              <w:spacing w:line="240" w:lineRule="auto"/>
              <w:jc w:val="center"/>
              <w:rPr>
                <w:rFonts w:hAnsi="宋体" w:cs="宋体"/>
                <w:snapToGrid w:val="0"/>
                <w:color w:val="auto"/>
                <w:kern w:val="0"/>
                <w:sz w:val="21"/>
                <w:szCs w:val="21"/>
              </w:rPr>
            </w:pPr>
          </w:p>
        </w:tc>
        <w:tc>
          <w:tcPr>
            <w:tcW w:w="1485" w:type="dxa"/>
            <w:tcBorders>
              <w:top w:val="single" w:color="auto" w:sz="6" w:space="0"/>
              <w:left w:val="single" w:color="auto" w:sz="6" w:space="0"/>
              <w:bottom w:val="single" w:color="auto" w:sz="6" w:space="0"/>
              <w:right w:val="single" w:color="auto" w:sz="6" w:space="0"/>
            </w:tcBorders>
            <w:vAlign w:val="center"/>
          </w:tcPr>
          <w:p w14:paraId="7EFB414A">
            <w:pPr>
              <w:wordWrap w:val="0"/>
              <w:adjustRightInd w:val="0"/>
              <w:snapToGrid w:val="0"/>
              <w:spacing w:line="240" w:lineRule="auto"/>
              <w:jc w:val="center"/>
              <w:rPr>
                <w:rFonts w:hAnsi="宋体" w:cs="宋体"/>
                <w:snapToGrid w:val="0"/>
                <w:color w:val="auto"/>
                <w:kern w:val="0"/>
                <w:sz w:val="21"/>
                <w:szCs w:val="21"/>
              </w:rPr>
            </w:pPr>
          </w:p>
        </w:tc>
        <w:tc>
          <w:tcPr>
            <w:tcW w:w="615" w:type="dxa"/>
            <w:tcBorders>
              <w:top w:val="single" w:color="auto" w:sz="6" w:space="0"/>
              <w:left w:val="single" w:color="auto" w:sz="6" w:space="0"/>
              <w:bottom w:val="single" w:color="auto" w:sz="6" w:space="0"/>
              <w:right w:val="single" w:color="auto" w:sz="6" w:space="0"/>
            </w:tcBorders>
            <w:vAlign w:val="center"/>
          </w:tcPr>
          <w:p w14:paraId="200B21C2">
            <w:pPr>
              <w:wordWrap w:val="0"/>
              <w:adjustRightInd w:val="0"/>
              <w:snapToGrid w:val="0"/>
              <w:spacing w:line="240" w:lineRule="auto"/>
              <w:jc w:val="center"/>
              <w:rPr>
                <w:rFonts w:hAnsi="宋体" w:cs="宋体"/>
                <w:snapToGrid w:val="0"/>
                <w:color w:val="auto"/>
                <w:kern w:val="0"/>
                <w:sz w:val="21"/>
                <w:szCs w:val="21"/>
              </w:rPr>
            </w:pPr>
          </w:p>
        </w:tc>
        <w:tc>
          <w:tcPr>
            <w:tcW w:w="1680" w:type="dxa"/>
            <w:tcBorders>
              <w:top w:val="single" w:color="auto" w:sz="6" w:space="0"/>
              <w:left w:val="single" w:color="auto" w:sz="6" w:space="0"/>
              <w:bottom w:val="single" w:color="auto" w:sz="6" w:space="0"/>
              <w:right w:val="single" w:color="auto" w:sz="6" w:space="0"/>
            </w:tcBorders>
            <w:vAlign w:val="center"/>
          </w:tcPr>
          <w:p w14:paraId="0B73A4C0">
            <w:pPr>
              <w:wordWrap w:val="0"/>
              <w:adjustRightInd w:val="0"/>
              <w:snapToGrid w:val="0"/>
              <w:spacing w:line="240" w:lineRule="auto"/>
              <w:jc w:val="center"/>
              <w:rPr>
                <w:rFonts w:hAnsi="宋体" w:cs="宋体"/>
                <w:snapToGrid w:val="0"/>
                <w:color w:val="auto"/>
                <w:kern w:val="0"/>
                <w:sz w:val="21"/>
                <w:szCs w:val="21"/>
              </w:rPr>
            </w:pPr>
          </w:p>
        </w:tc>
        <w:tc>
          <w:tcPr>
            <w:tcW w:w="1425" w:type="dxa"/>
            <w:tcBorders>
              <w:top w:val="single" w:color="auto" w:sz="6" w:space="0"/>
              <w:left w:val="single" w:color="auto" w:sz="6" w:space="0"/>
              <w:bottom w:val="single" w:color="auto" w:sz="6" w:space="0"/>
              <w:right w:val="single" w:color="auto" w:sz="6" w:space="0"/>
            </w:tcBorders>
            <w:vAlign w:val="center"/>
          </w:tcPr>
          <w:p w14:paraId="49404AE5">
            <w:pPr>
              <w:wordWrap w:val="0"/>
              <w:adjustRightInd w:val="0"/>
              <w:snapToGrid w:val="0"/>
              <w:spacing w:line="240" w:lineRule="auto"/>
              <w:jc w:val="center"/>
              <w:rPr>
                <w:rFonts w:hAnsi="宋体" w:cs="宋体"/>
                <w:snapToGrid w:val="0"/>
                <w:color w:val="auto"/>
                <w:kern w:val="0"/>
                <w:sz w:val="21"/>
                <w:szCs w:val="21"/>
              </w:rPr>
            </w:pPr>
          </w:p>
        </w:tc>
        <w:tc>
          <w:tcPr>
            <w:tcW w:w="660" w:type="dxa"/>
            <w:tcBorders>
              <w:top w:val="single" w:color="auto" w:sz="6" w:space="0"/>
              <w:left w:val="single" w:color="auto" w:sz="6" w:space="0"/>
              <w:bottom w:val="single" w:color="auto" w:sz="6" w:space="0"/>
              <w:right w:val="single" w:color="auto" w:sz="6" w:space="0"/>
            </w:tcBorders>
            <w:vAlign w:val="center"/>
          </w:tcPr>
          <w:p w14:paraId="49E262F2">
            <w:pPr>
              <w:wordWrap w:val="0"/>
              <w:adjustRightInd w:val="0"/>
              <w:snapToGrid w:val="0"/>
              <w:spacing w:line="240" w:lineRule="auto"/>
              <w:jc w:val="center"/>
              <w:rPr>
                <w:rFonts w:hAnsi="宋体" w:cs="宋体"/>
                <w:snapToGrid w:val="0"/>
                <w:color w:val="auto"/>
                <w:kern w:val="0"/>
                <w:sz w:val="21"/>
                <w:szCs w:val="21"/>
              </w:rPr>
            </w:pPr>
          </w:p>
        </w:tc>
        <w:tc>
          <w:tcPr>
            <w:tcW w:w="1695" w:type="dxa"/>
            <w:tcBorders>
              <w:top w:val="single" w:color="auto" w:sz="6" w:space="0"/>
              <w:left w:val="single" w:color="auto" w:sz="6" w:space="0"/>
              <w:bottom w:val="single" w:color="auto" w:sz="6" w:space="0"/>
              <w:right w:val="single" w:color="auto" w:sz="6" w:space="0"/>
            </w:tcBorders>
            <w:vAlign w:val="center"/>
          </w:tcPr>
          <w:p w14:paraId="7371124B">
            <w:pPr>
              <w:wordWrap w:val="0"/>
              <w:adjustRightInd w:val="0"/>
              <w:snapToGrid w:val="0"/>
              <w:spacing w:line="240" w:lineRule="auto"/>
              <w:jc w:val="center"/>
              <w:rPr>
                <w:rFonts w:hAnsi="宋体" w:cs="宋体"/>
                <w:snapToGrid w:val="0"/>
                <w:color w:val="auto"/>
                <w:kern w:val="0"/>
                <w:sz w:val="21"/>
                <w:szCs w:val="21"/>
              </w:rPr>
            </w:pPr>
          </w:p>
        </w:tc>
        <w:tc>
          <w:tcPr>
            <w:tcW w:w="1455" w:type="dxa"/>
            <w:tcBorders>
              <w:top w:val="single" w:color="auto" w:sz="6" w:space="0"/>
              <w:left w:val="single" w:color="auto" w:sz="6" w:space="0"/>
              <w:bottom w:val="single" w:color="auto" w:sz="6" w:space="0"/>
              <w:right w:val="single" w:color="auto" w:sz="6" w:space="0"/>
            </w:tcBorders>
            <w:vAlign w:val="center"/>
          </w:tcPr>
          <w:p w14:paraId="6398225B">
            <w:pPr>
              <w:wordWrap w:val="0"/>
              <w:adjustRightInd w:val="0"/>
              <w:snapToGrid w:val="0"/>
              <w:spacing w:line="240" w:lineRule="auto"/>
              <w:jc w:val="center"/>
              <w:rPr>
                <w:rFonts w:hAnsi="宋体" w:cs="宋体"/>
                <w:snapToGrid w:val="0"/>
                <w:color w:val="auto"/>
                <w:kern w:val="0"/>
                <w:sz w:val="21"/>
                <w:szCs w:val="21"/>
              </w:rPr>
            </w:pPr>
          </w:p>
        </w:tc>
        <w:tc>
          <w:tcPr>
            <w:tcW w:w="645" w:type="dxa"/>
            <w:tcBorders>
              <w:top w:val="single" w:color="auto" w:sz="6" w:space="0"/>
              <w:left w:val="single" w:color="auto" w:sz="6" w:space="0"/>
              <w:bottom w:val="single" w:color="auto" w:sz="6" w:space="0"/>
              <w:right w:val="single" w:color="auto" w:sz="6" w:space="0"/>
            </w:tcBorders>
            <w:vAlign w:val="center"/>
          </w:tcPr>
          <w:p w14:paraId="25B0C7FA">
            <w:pPr>
              <w:wordWrap w:val="0"/>
              <w:adjustRightInd w:val="0"/>
              <w:snapToGrid w:val="0"/>
              <w:spacing w:line="240" w:lineRule="auto"/>
              <w:jc w:val="center"/>
              <w:rPr>
                <w:rFonts w:hAnsi="宋体" w:cs="宋体"/>
                <w:snapToGrid w:val="0"/>
                <w:color w:val="auto"/>
                <w:kern w:val="0"/>
                <w:sz w:val="21"/>
                <w:szCs w:val="21"/>
              </w:rPr>
            </w:pPr>
          </w:p>
        </w:tc>
        <w:tc>
          <w:tcPr>
            <w:tcW w:w="1680" w:type="dxa"/>
            <w:tcBorders>
              <w:top w:val="single" w:color="auto" w:sz="6" w:space="0"/>
              <w:left w:val="single" w:color="auto" w:sz="6" w:space="0"/>
              <w:bottom w:val="single" w:color="auto" w:sz="6" w:space="0"/>
              <w:right w:val="single" w:color="auto" w:sz="6" w:space="0"/>
            </w:tcBorders>
            <w:vAlign w:val="center"/>
          </w:tcPr>
          <w:p w14:paraId="17E0628F">
            <w:pPr>
              <w:wordWrap w:val="0"/>
              <w:adjustRightInd w:val="0"/>
              <w:snapToGrid w:val="0"/>
              <w:spacing w:line="240" w:lineRule="auto"/>
              <w:jc w:val="center"/>
              <w:rPr>
                <w:rFonts w:hAnsi="宋体" w:cs="宋体"/>
                <w:snapToGrid w:val="0"/>
                <w:color w:val="auto"/>
                <w:kern w:val="0"/>
                <w:sz w:val="21"/>
                <w:szCs w:val="21"/>
              </w:rPr>
            </w:pPr>
          </w:p>
        </w:tc>
      </w:tr>
      <w:tr w14:paraId="194F18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vAlign w:val="center"/>
          </w:tcPr>
          <w:p w14:paraId="3842B614">
            <w:pPr>
              <w:wordWrap w:val="0"/>
              <w:adjustRightInd w:val="0"/>
              <w:snapToGrid w:val="0"/>
              <w:spacing w:line="240" w:lineRule="auto"/>
              <w:jc w:val="center"/>
              <w:rPr>
                <w:rFonts w:hAnsi="宋体" w:cs="宋体"/>
                <w:snapToGrid w:val="0"/>
                <w:color w:val="auto"/>
                <w:kern w:val="0"/>
                <w:sz w:val="21"/>
                <w:szCs w:val="21"/>
              </w:rPr>
            </w:pPr>
            <w:r>
              <w:rPr>
                <w:rFonts w:hint="eastAsia" w:hAnsi="宋体" w:cs="宋体"/>
                <w:snapToGrid w:val="0"/>
                <w:color w:val="auto"/>
                <w:kern w:val="0"/>
                <w:sz w:val="21"/>
                <w:szCs w:val="21"/>
              </w:rPr>
              <w:t>……</w:t>
            </w:r>
          </w:p>
        </w:tc>
        <w:tc>
          <w:tcPr>
            <w:tcW w:w="1425" w:type="dxa"/>
            <w:tcBorders>
              <w:top w:val="single" w:color="auto" w:sz="6" w:space="0"/>
              <w:left w:val="single" w:color="auto" w:sz="6" w:space="0"/>
              <w:bottom w:val="single" w:color="auto" w:sz="6" w:space="0"/>
              <w:right w:val="single" w:color="auto" w:sz="6" w:space="0"/>
            </w:tcBorders>
            <w:vAlign w:val="center"/>
          </w:tcPr>
          <w:p w14:paraId="377748CB">
            <w:pPr>
              <w:wordWrap w:val="0"/>
              <w:adjustRightInd w:val="0"/>
              <w:snapToGrid w:val="0"/>
              <w:spacing w:line="240" w:lineRule="auto"/>
              <w:jc w:val="center"/>
              <w:rPr>
                <w:rFonts w:hAnsi="宋体" w:cs="宋体"/>
                <w:snapToGrid w:val="0"/>
                <w:color w:val="auto"/>
                <w:kern w:val="0"/>
                <w:sz w:val="21"/>
                <w:szCs w:val="21"/>
              </w:rPr>
            </w:pPr>
          </w:p>
        </w:tc>
        <w:tc>
          <w:tcPr>
            <w:tcW w:w="840" w:type="dxa"/>
            <w:tcBorders>
              <w:top w:val="single" w:color="auto" w:sz="6" w:space="0"/>
              <w:left w:val="single" w:color="auto" w:sz="6" w:space="0"/>
              <w:bottom w:val="single" w:color="auto" w:sz="6" w:space="0"/>
              <w:right w:val="single" w:color="auto" w:sz="6" w:space="0"/>
            </w:tcBorders>
            <w:vAlign w:val="center"/>
          </w:tcPr>
          <w:p w14:paraId="11FAB298">
            <w:pPr>
              <w:wordWrap w:val="0"/>
              <w:adjustRightInd w:val="0"/>
              <w:snapToGrid w:val="0"/>
              <w:spacing w:line="240" w:lineRule="auto"/>
              <w:jc w:val="center"/>
              <w:rPr>
                <w:rFonts w:hAnsi="宋体" w:cs="宋体"/>
                <w:snapToGrid w:val="0"/>
                <w:color w:val="auto"/>
                <w:kern w:val="0"/>
                <w:sz w:val="21"/>
                <w:szCs w:val="21"/>
              </w:rPr>
            </w:pPr>
          </w:p>
        </w:tc>
        <w:tc>
          <w:tcPr>
            <w:tcW w:w="1485" w:type="dxa"/>
            <w:tcBorders>
              <w:top w:val="single" w:color="auto" w:sz="6" w:space="0"/>
              <w:left w:val="single" w:color="auto" w:sz="6" w:space="0"/>
              <w:bottom w:val="single" w:color="auto" w:sz="6" w:space="0"/>
              <w:right w:val="single" w:color="auto" w:sz="6" w:space="0"/>
            </w:tcBorders>
            <w:vAlign w:val="center"/>
          </w:tcPr>
          <w:p w14:paraId="6CF31D66">
            <w:pPr>
              <w:wordWrap w:val="0"/>
              <w:adjustRightInd w:val="0"/>
              <w:snapToGrid w:val="0"/>
              <w:spacing w:line="240" w:lineRule="auto"/>
              <w:jc w:val="center"/>
              <w:rPr>
                <w:rFonts w:hAnsi="宋体" w:cs="宋体"/>
                <w:snapToGrid w:val="0"/>
                <w:color w:val="auto"/>
                <w:kern w:val="0"/>
                <w:sz w:val="21"/>
                <w:szCs w:val="21"/>
              </w:rPr>
            </w:pPr>
          </w:p>
        </w:tc>
        <w:tc>
          <w:tcPr>
            <w:tcW w:w="615" w:type="dxa"/>
            <w:tcBorders>
              <w:top w:val="single" w:color="auto" w:sz="6" w:space="0"/>
              <w:left w:val="single" w:color="auto" w:sz="6" w:space="0"/>
              <w:bottom w:val="single" w:color="auto" w:sz="6" w:space="0"/>
              <w:right w:val="single" w:color="auto" w:sz="6" w:space="0"/>
            </w:tcBorders>
            <w:vAlign w:val="center"/>
          </w:tcPr>
          <w:p w14:paraId="6E37B322">
            <w:pPr>
              <w:wordWrap w:val="0"/>
              <w:adjustRightInd w:val="0"/>
              <w:snapToGrid w:val="0"/>
              <w:spacing w:line="240" w:lineRule="auto"/>
              <w:jc w:val="center"/>
              <w:rPr>
                <w:rFonts w:hAnsi="宋体" w:cs="宋体"/>
                <w:snapToGrid w:val="0"/>
                <w:color w:val="auto"/>
                <w:kern w:val="0"/>
                <w:sz w:val="21"/>
                <w:szCs w:val="21"/>
              </w:rPr>
            </w:pPr>
          </w:p>
        </w:tc>
        <w:tc>
          <w:tcPr>
            <w:tcW w:w="1680" w:type="dxa"/>
            <w:tcBorders>
              <w:top w:val="single" w:color="auto" w:sz="6" w:space="0"/>
              <w:left w:val="single" w:color="auto" w:sz="6" w:space="0"/>
              <w:bottom w:val="single" w:color="auto" w:sz="6" w:space="0"/>
              <w:right w:val="single" w:color="auto" w:sz="6" w:space="0"/>
            </w:tcBorders>
            <w:vAlign w:val="center"/>
          </w:tcPr>
          <w:p w14:paraId="76DC79DE">
            <w:pPr>
              <w:wordWrap w:val="0"/>
              <w:adjustRightInd w:val="0"/>
              <w:snapToGrid w:val="0"/>
              <w:spacing w:line="240" w:lineRule="auto"/>
              <w:jc w:val="center"/>
              <w:rPr>
                <w:rFonts w:hAnsi="宋体" w:cs="宋体"/>
                <w:snapToGrid w:val="0"/>
                <w:color w:val="auto"/>
                <w:kern w:val="0"/>
                <w:sz w:val="21"/>
                <w:szCs w:val="21"/>
              </w:rPr>
            </w:pPr>
          </w:p>
        </w:tc>
        <w:tc>
          <w:tcPr>
            <w:tcW w:w="1425" w:type="dxa"/>
            <w:tcBorders>
              <w:top w:val="single" w:color="auto" w:sz="6" w:space="0"/>
              <w:left w:val="single" w:color="auto" w:sz="6" w:space="0"/>
              <w:bottom w:val="single" w:color="auto" w:sz="6" w:space="0"/>
              <w:right w:val="single" w:color="auto" w:sz="6" w:space="0"/>
            </w:tcBorders>
            <w:vAlign w:val="center"/>
          </w:tcPr>
          <w:p w14:paraId="44EA9F4B">
            <w:pPr>
              <w:wordWrap w:val="0"/>
              <w:adjustRightInd w:val="0"/>
              <w:snapToGrid w:val="0"/>
              <w:spacing w:line="240" w:lineRule="auto"/>
              <w:jc w:val="center"/>
              <w:rPr>
                <w:rFonts w:hAnsi="宋体" w:cs="宋体"/>
                <w:snapToGrid w:val="0"/>
                <w:color w:val="auto"/>
                <w:kern w:val="0"/>
                <w:sz w:val="21"/>
                <w:szCs w:val="21"/>
              </w:rPr>
            </w:pPr>
          </w:p>
        </w:tc>
        <w:tc>
          <w:tcPr>
            <w:tcW w:w="660" w:type="dxa"/>
            <w:tcBorders>
              <w:top w:val="single" w:color="auto" w:sz="6" w:space="0"/>
              <w:left w:val="single" w:color="auto" w:sz="6" w:space="0"/>
              <w:bottom w:val="single" w:color="auto" w:sz="6" w:space="0"/>
              <w:right w:val="single" w:color="auto" w:sz="6" w:space="0"/>
            </w:tcBorders>
            <w:vAlign w:val="center"/>
          </w:tcPr>
          <w:p w14:paraId="709AE157">
            <w:pPr>
              <w:wordWrap w:val="0"/>
              <w:adjustRightInd w:val="0"/>
              <w:snapToGrid w:val="0"/>
              <w:spacing w:line="240" w:lineRule="auto"/>
              <w:jc w:val="center"/>
              <w:rPr>
                <w:rFonts w:hAnsi="宋体" w:cs="宋体"/>
                <w:snapToGrid w:val="0"/>
                <w:color w:val="auto"/>
                <w:kern w:val="0"/>
                <w:sz w:val="21"/>
                <w:szCs w:val="21"/>
              </w:rPr>
            </w:pPr>
          </w:p>
        </w:tc>
        <w:tc>
          <w:tcPr>
            <w:tcW w:w="1695" w:type="dxa"/>
            <w:tcBorders>
              <w:top w:val="single" w:color="auto" w:sz="6" w:space="0"/>
              <w:left w:val="single" w:color="auto" w:sz="6" w:space="0"/>
              <w:bottom w:val="single" w:color="auto" w:sz="6" w:space="0"/>
              <w:right w:val="single" w:color="auto" w:sz="6" w:space="0"/>
            </w:tcBorders>
            <w:vAlign w:val="center"/>
          </w:tcPr>
          <w:p w14:paraId="04E43FE0">
            <w:pPr>
              <w:wordWrap w:val="0"/>
              <w:adjustRightInd w:val="0"/>
              <w:snapToGrid w:val="0"/>
              <w:spacing w:line="240" w:lineRule="auto"/>
              <w:jc w:val="center"/>
              <w:rPr>
                <w:rFonts w:hAnsi="宋体" w:cs="宋体"/>
                <w:snapToGrid w:val="0"/>
                <w:color w:val="auto"/>
                <w:kern w:val="0"/>
                <w:sz w:val="21"/>
                <w:szCs w:val="21"/>
              </w:rPr>
            </w:pPr>
          </w:p>
        </w:tc>
        <w:tc>
          <w:tcPr>
            <w:tcW w:w="1455" w:type="dxa"/>
            <w:tcBorders>
              <w:top w:val="single" w:color="auto" w:sz="6" w:space="0"/>
              <w:left w:val="single" w:color="auto" w:sz="6" w:space="0"/>
              <w:bottom w:val="single" w:color="auto" w:sz="6" w:space="0"/>
              <w:right w:val="single" w:color="auto" w:sz="6" w:space="0"/>
            </w:tcBorders>
            <w:vAlign w:val="center"/>
          </w:tcPr>
          <w:p w14:paraId="27E5D6B4">
            <w:pPr>
              <w:wordWrap w:val="0"/>
              <w:adjustRightInd w:val="0"/>
              <w:snapToGrid w:val="0"/>
              <w:spacing w:line="240" w:lineRule="auto"/>
              <w:jc w:val="center"/>
              <w:rPr>
                <w:rFonts w:hAnsi="宋体" w:cs="宋体"/>
                <w:snapToGrid w:val="0"/>
                <w:color w:val="auto"/>
                <w:kern w:val="0"/>
                <w:sz w:val="21"/>
                <w:szCs w:val="21"/>
              </w:rPr>
            </w:pPr>
          </w:p>
        </w:tc>
        <w:tc>
          <w:tcPr>
            <w:tcW w:w="645" w:type="dxa"/>
            <w:tcBorders>
              <w:top w:val="single" w:color="auto" w:sz="6" w:space="0"/>
              <w:left w:val="single" w:color="auto" w:sz="6" w:space="0"/>
              <w:bottom w:val="single" w:color="auto" w:sz="6" w:space="0"/>
              <w:right w:val="single" w:color="auto" w:sz="6" w:space="0"/>
            </w:tcBorders>
            <w:vAlign w:val="center"/>
          </w:tcPr>
          <w:p w14:paraId="10A6BE8F">
            <w:pPr>
              <w:wordWrap w:val="0"/>
              <w:adjustRightInd w:val="0"/>
              <w:snapToGrid w:val="0"/>
              <w:spacing w:line="240" w:lineRule="auto"/>
              <w:jc w:val="center"/>
              <w:rPr>
                <w:rFonts w:hAnsi="宋体" w:cs="宋体"/>
                <w:snapToGrid w:val="0"/>
                <w:color w:val="auto"/>
                <w:kern w:val="0"/>
                <w:sz w:val="21"/>
                <w:szCs w:val="21"/>
              </w:rPr>
            </w:pPr>
          </w:p>
        </w:tc>
        <w:tc>
          <w:tcPr>
            <w:tcW w:w="1680" w:type="dxa"/>
            <w:tcBorders>
              <w:top w:val="single" w:color="auto" w:sz="6" w:space="0"/>
              <w:left w:val="single" w:color="auto" w:sz="6" w:space="0"/>
              <w:bottom w:val="single" w:color="auto" w:sz="6" w:space="0"/>
              <w:right w:val="single" w:color="auto" w:sz="6" w:space="0"/>
            </w:tcBorders>
            <w:vAlign w:val="center"/>
          </w:tcPr>
          <w:p w14:paraId="6F94ACC3">
            <w:pPr>
              <w:wordWrap w:val="0"/>
              <w:adjustRightInd w:val="0"/>
              <w:snapToGrid w:val="0"/>
              <w:spacing w:line="240" w:lineRule="auto"/>
              <w:jc w:val="center"/>
              <w:rPr>
                <w:rFonts w:hAnsi="宋体" w:cs="宋体"/>
                <w:snapToGrid w:val="0"/>
                <w:color w:val="auto"/>
                <w:kern w:val="0"/>
                <w:sz w:val="21"/>
                <w:szCs w:val="21"/>
              </w:rPr>
            </w:pPr>
          </w:p>
        </w:tc>
      </w:tr>
      <w:tr w14:paraId="1D87C4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vAlign w:val="center"/>
          </w:tcPr>
          <w:p w14:paraId="4699A6FE">
            <w:pPr>
              <w:wordWrap w:val="0"/>
              <w:adjustRightInd w:val="0"/>
              <w:snapToGrid w:val="0"/>
              <w:spacing w:line="240" w:lineRule="auto"/>
              <w:jc w:val="center"/>
              <w:rPr>
                <w:rFonts w:hAnsi="宋体" w:cs="宋体"/>
                <w:snapToGrid w:val="0"/>
                <w:color w:val="auto"/>
                <w:kern w:val="0"/>
                <w:sz w:val="21"/>
                <w:szCs w:val="21"/>
              </w:rPr>
            </w:pPr>
          </w:p>
        </w:tc>
        <w:tc>
          <w:tcPr>
            <w:tcW w:w="1425" w:type="dxa"/>
            <w:tcBorders>
              <w:top w:val="single" w:color="auto" w:sz="6" w:space="0"/>
              <w:left w:val="single" w:color="auto" w:sz="6" w:space="0"/>
              <w:bottom w:val="single" w:color="auto" w:sz="6" w:space="0"/>
              <w:right w:val="single" w:color="auto" w:sz="6" w:space="0"/>
            </w:tcBorders>
            <w:vAlign w:val="center"/>
          </w:tcPr>
          <w:p w14:paraId="78F14B0E">
            <w:pPr>
              <w:wordWrap w:val="0"/>
              <w:adjustRightInd w:val="0"/>
              <w:snapToGrid w:val="0"/>
              <w:spacing w:line="240" w:lineRule="auto"/>
              <w:jc w:val="center"/>
              <w:rPr>
                <w:rFonts w:hAnsi="宋体" w:cs="宋体"/>
                <w:snapToGrid w:val="0"/>
                <w:color w:val="auto"/>
                <w:kern w:val="0"/>
                <w:sz w:val="21"/>
                <w:szCs w:val="21"/>
              </w:rPr>
            </w:pPr>
          </w:p>
        </w:tc>
        <w:tc>
          <w:tcPr>
            <w:tcW w:w="840" w:type="dxa"/>
            <w:tcBorders>
              <w:top w:val="single" w:color="auto" w:sz="6" w:space="0"/>
              <w:left w:val="single" w:color="auto" w:sz="6" w:space="0"/>
              <w:bottom w:val="single" w:color="auto" w:sz="6" w:space="0"/>
              <w:right w:val="single" w:color="auto" w:sz="6" w:space="0"/>
            </w:tcBorders>
            <w:vAlign w:val="center"/>
          </w:tcPr>
          <w:p w14:paraId="5AFFDF8B">
            <w:pPr>
              <w:wordWrap w:val="0"/>
              <w:adjustRightInd w:val="0"/>
              <w:snapToGrid w:val="0"/>
              <w:spacing w:line="240" w:lineRule="auto"/>
              <w:jc w:val="center"/>
              <w:rPr>
                <w:rFonts w:hAnsi="宋体" w:cs="宋体"/>
                <w:snapToGrid w:val="0"/>
                <w:color w:val="auto"/>
                <w:kern w:val="0"/>
                <w:sz w:val="21"/>
                <w:szCs w:val="21"/>
              </w:rPr>
            </w:pPr>
          </w:p>
        </w:tc>
        <w:tc>
          <w:tcPr>
            <w:tcW w:w="1485" w:type="dxa"/>
            <w:tcBorders>
              <w:top w:val="single" w:color="auto" w:sz="6" w:space="0"/>
              <w:left w:val="single" w:color="auto" w:sz="6" w:space="0"/>
              <w:bottom w:val="single" w:color="auto" w:sz="6" w:space="0"/>
              <w:right w:val="single" w:color="auto" w:sz="6" w:space="0"/>
            </w:tcBorders>
            <w:vAlign w:val="center"/>
          </w:tcPr>
          <w:p w14:paraId="25E97CF4">
            <w:pPr>
              <w:wordWrap w:val="0"/>
              <w:adjustRightInd w:val="0"/>
              <w:snapToGrid w:val="0"/>
              <w:spacing w:line="240" w:lineRule="auto"/>
              <w:jc w:val="center"/>
              <w:rPr>
                <w:rFonts w:hAnsi="宋体" w:cs="宋体"/>
                <w:snapToGrid w:val="0"/>
                <w:color w:val="auto"/>
                <w:kern w:val="0"/>
                <w:sz w:val="21"/>
                <w:szCs w:val="21"/>
              </w:rPr>
            </w:pPr>
          </w:p>
        </w:tc>
        <w:tc>
          <w:tcPr>
            <w:tcW w:w="615" w:type="dxa"/>
            <w:tcBorders>
              <w:top w:val="single" w:color="auto" w:sz="6" w:space="0"/>
              <w:left w:val="single" w:color="auto" w:sz="6" w:space="0"/>
              <w:bottom w:val="single" w:color="auto" w:sz="6" w:space="0"/>
              <w:right w:val="single" w:color="auto" w:sz="6" w:space="0"/>
            </w:tcBorders>
            <w:vAlign w:val="center"/>
          </w:tcPr>
          <w:p w14:paraId="6CB5505E">
            <w:pPr>
              <w:wordWrap w:val="0"/>
              <w:adjustRightInd w:val="0"/>
              <w:snapToGrid w:val="0"/>
              <w:spacing w:line="240" w:lineRule="auto"/>
              <w:jc w:val="center"/>
              <w:rPr>
                <w:rFonts w:hAnsi="宋体" w:cs="宋体"/>
                <w:snapToGrid w:val="0"/>
                <w:color w:val="auto"/>
                <w:kern w:val="0"/>
                <w:sz w:val="21"/>
                <w:szCs w:val="21"/>
              </w:rPr>
            </w:pPr>
          </w:p>
        </w:tc>
        <w:tc>
          <w:tcPr>
            <w:tcW w:w="1680" w:type="dxa"/>
            <w:tcBorders>
              <w:top w:val="single" w:color="auto" w:sz="6" w:space="0"/>
              <w:left w:val="single" w:color="auto" w:sz="6" w:space="0"/>
              <w:bottom w:val="single" w:color="auto" w:sz="6" w:space="0"/>
              <w:right w:val="single" w:color="auto" w:sz="6" w:space="0"/>
            </w:tcBorders>
            <w:vAlign w:val="center"/>
          </w:tcPr>
          <w:p w14:paraId="25A672C4">
            <w:pPr>
              <w:wordWrap w:val="0"/>
              <w:adjustRightInd w:val="0"/>
              <w:snapToGrid w:val="0"/>
              <w:spacing w:line="240" w:lineRule="auto"/>
              <w:jc w:val="center"/>
              <w:rPr>
                <w:rFonts w:hAnsi="宋体" w:cs="宋体"/>
                <w:snapToGrid w:val="0"/>
                <w:color w:val="auto"/>
                <w:kern w:val="0"/>
                <w:sz w:val="21"/>
                <w:szCs w:val="21"/>
              </w:rPr>
            </w:pPr>
          </w:p>
        </w:tc>
        <w:tc>
          <w:tcPr>
            <w:tcW w:w="1425" w:type="dxa"/>
            <w:tcBorders>
              <w:top w:val="single" w:color="auto" w:sz="6" w:space="0"/>
              <w:left w:val="single" w:color="auto" w:sz="6" w:space="0"/>
              <w:bottom w:val="single" w:color="auto" w:sz="6" w:space="0"/>
              <w:right w:val="single" w:color="auto" w:sz="6" w:space="0"/>
            </w:tcBorders>
            <w:vAlign w:val="center"/>
          </w:tcPr>
          <w:p w14:paraId="1D222473">
            <w:pPr>
              <w:wordWrap w:val="0"/>
              <w:adjustRightInd w:val="0"/>
              <w:snapToGrid w:val="0"/>
              <w:spacing w:line="240" w:lineRule="auto"/>
              <w:jc w:val="center"/>
              <w:rPr>
                <w:rFonts w:hAnsi="宋体" w:cs="宋体"/>
                <w:snapToGrid w:val="0"/>
                <w:color w:val="auto"/>
                <w:kern w:val="0"/>
                <w:sz w:val="21"/>
                <w:szCs w:val="21"/>
              </w:rPr>
            </w:pPr>
          </w:p>
        </w:tc>
        <w:tc>
          <w:tcPr>
            <w:tcW w:w="660" w:type="dxa"/>
            <w:tcBorders>
              <w:top w:val="single" w:color="auto" w:sz="6" w:space="0"/>
              <w:left w:val="single" w:color="auto" w:sz="6" w:space="0"/>
              <w:bottom w:val="single" w:color="auto" w:sz="6" w:space="0"/>
              <w:right w:val="single" w:color="auto" w:sz="6" w:space="0"/>
            </w:tcBorders>
            <w:vAlign w:val="center"/>
          </w:tcPr>
          <w:p w14:paraId="5F44C641">
            <w:pPr>
              <w:wordWrap w:val="0"/>
              <w:adjustRightInd w:val="0"/>
              <w:snapToGrid w:val="0"/>
              <w:spacing w:line="240" w:lineRule="auto"/>
              <w:jc w:val="center"/>
              <w:rPr>
                <w:rFonts w:hAnsi="宋体" w:cs="宋体"/>
                <w:snapToGrid w:val="0"/>
                <w:color w:val="auto"/>
                <w:kern w:val="0"/>
                <w:sz w:val="21"/>
                <w:szCs w:val="21"/>
              </w:rPr>
            </w:pPr>
          </w:p>
        </w:tc>
        <w:tc>
          <w:tcPr>
            <w:tcW w:w="1695" w:type="dxa"/>
            <w:tcBorders>
              <w:top w:val="single" w:color="auto" w:sz="6" w:space="0"/>
              <w:left w:val="single" w:color="auto" w:sz="6" w:space="0"/>
              <w:bottom w:val="single" w:color="auto" w:sz="6" w:space="0"/>
              <w:right w:val="single" w:color="auto" w:sz="6" w:space="0"/>
            </w:tcBorders>
            <w:vAlign w:val="center"/>
          </w:tcPr>
          <w:p w14:paraId="21348002">
            <w:pPr>
              <w:wordWrap w:val="0"/>
              <w:adjustRightInd w:val="0"/>
              <w:snapToGrid w:val="0"/>
              <w:spacing w:line="240" w:lineRule="auto"/>
              <w:jc w:val="center"/>
              <w:rPr>
                <w:rFonts w:hAnsi="宋体" w:cs="宋体"/>
                <w:snapToGrid w:val="0"/>
                <w:color w:val="auto"/>
                <w:kern w:val="0"/>
                <w:sz w:val="21"/>
                <w:szCs w:val="21"/>
              </w:rPr>
            </w:pPr>
          </w:p>
        </w:tc>
        <w:tc>
          <w:tcPr>
            <w:tcW w:w="1455" w:type="dxa"/>
            <w:tcBorders>
              <w:top w:val="single" w:color="auto" w:sz="6" w:space="0"/>
              <w:left w:val="single" w:color="auto" w:sz="6" w:space="0"/>
              <w:bottom w:val="single" w:color="auto" w:sz="6" w:space="0"/>
              <w:right w:val="single" w:color="auto" w:sz="6" w:space="0"/>
            </w:tcBorders>
            <w:vAlign w:val="center"/>
          </w:tcPr>
          <w:p w14:paraId="3B8B81F2">
            <w:pPr>
              <w:wordWrap w:val="0"/>
              <w:adjustRightInd w:val="0"/>
              <w:snapToGrid w:val="0"/>
              <w:spacing w:line="240" w:lineRule="auto"/>
              <w:jc w:val="center"/>
              <w:rPr>
                <w:rFonts w:hAnsi="宋体" w:cs="宋体"/>
                <w:snapToGrid w:val="0"/>
                <w:color w:val="auto"/>
                <w:kern w:val="0"/>
                <w:sz w:val="21"/>
                <w:szCs w:val="21"/>
              </w:rPr>
            </w:pPr>
          </w:p>
        </w:tc>
        <w:tc>
          <w:tcPr>
            <w:tcW w:w="645" w:type="dxa"/>
            <w:tcBorders>
              <w:top w:val="single" w:color="auto" w:sz="6" w:space="0"/>
              <w:left w:val="single" w:color="auto" w:sz="6" w:space="0"/>
              <w:bottom w:val="single" w:color="auto" w:sz="6" w:space="0"/>
              <w:right w:val="single" w:color="auto" w:sz="6" w:space="0"/>
            </w:tcBorders>
            <w:vAlign w:val="center"/>
          </w:tcPr>
          <w:p w14:paraId="1673BFAF">
            <w:pPr>
              <w:wordWrap w:val="0"/>
              <w:adjustRightInd w:val="0"/>
              <w:snapToGrid w:val="0"/>
              <w:spacing w:line="240" w:lineRule="auto"/>
              <w:jc w:val="center"/>
              <w:rPr>
                <w:rFonts w:hAnsi="宋体" w:cs="宋体"/>
                <w:snapToGrid w:val="0"/>
                <w:color w:val="auto"/>
                <w:kern w:val="0"/>
                <w:sz w:val="21"/>
                <w:szCs w:val="21"/>
              </w:rPr>
            </w:pPr>
          </w:p>
        </w:tc>
        <w:tc>
          <w:tcPr>
            <w:tcW w:w="1680" w:type="dxa"/>
            <w:tcBorders>
              <w:top w:val="single" w:color="auto" w:sz="6" w:space="0"/>
              <w:left w:val="single" w:color="auto" w:sz="6" w:space="0"/>
              <w:bottom w:val="single" w:color="auto" w:sz="6" w:space="0"/>
              <w:right w:val="single" w:color="auto" w:sz="6" w:space="0"/>
            </w:tcBorders>
            <w:vAlign w:val="center"/>
          </w:tcPr>
          <w:p w14:paraId="628005AE">
            <w:pPr>
              <w:wordWrap w:val="0"/>
              <w:adjustRightInd w:val="0"/>
              <w:snapToGrid w:val="0"/>
              <w:spacing w:line="240" w:lineRule="auto"/>
              <w:jc w:val="center"/>
              <w:rPr>
                <w:rFonts w:hAnsi="宋体" w:cs="宋体"/>
                <w:snapToGrid w:val="0"/>
                <w:color w:val="auto"/>
                <w:kern w:val="0"/>
                <w:sz w:val="21"/>
                <w:szCs w:val="21"/>
              </w:rPr>
            </w:pPr>
          </w:p>
        </w:tc>
      </w:tr>
      <w:tr w14:paraId="01CB6E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vAlign w:val="center"/>
          </w:tcPr>
          <w:p w14:paraId="22DFDE5C">
            <w:pPr>
              <w:wordWrap w:val="0"/>
              <w:adjustRightInd w:val="0"/>
              <w:snapToGrid w:val="0"/>
              <w:spacing w:line="240" w:lineRule="auto"/>
              <w:jc w:val="center"/>
              <w:rPr>
                <w:rFonts w:hAnsi="宋体" w:cs="宋体"/>
                <w:snapToGrid w:val="0"/>
                <w:color w:val="auto"/>
                <w:kern w:val="0"/>
                <w:sz w:val="21"/>
                <w:szCs w:val="21"/>
              </w:rPr>
            </w:pPr>
          </w:p>
        </w:tc>
        <w:tc>
          <w:tcPr>
            <w:tcW w:w="1425" w:type="dxa"/>
            <w:tcBorders>
              <w:top w:val="single" w:color="auto" w:sz="6" w:space="0"/>
              <w:left w:val="single" w:color="auto" w:sz="6" w:space="0"/>
              <w:bottom w:val="single" w:color="auto" w:sz="6" w:space="0"/>
              <w:right w:val="single" w:color="auto" w:sz="6" w:space="0"/>
            </w:tcBorders>
            <w:vAlign w:val="center"/>
          </w:tcPr>
          <w:p w14:paraId="27D5FB7C">
            <w:pPr>
              <w:wordWrap w:val="0"/>
              <w:adjustRightInd w:val="0"/>
              <w:snapToGrid w:val="0"/>
              <w:spacing w:line="240" w:lineRule="auto"/>
              <w:jc w:val="center"/>
              <w:rPr>
                <w:rFonts w:hAnsi="宋体" w:cs="宋体"/>
                <w:snapToGrid w:val="0"/>
                <w:color w:val="auto"/>
                <w:kern w:val="0"/>
                <w:sz w:val="21"/>
                <w:szCs w:val="21"/>
              </w:rPr>
            </w:pPr>
          </w:p>
        </w:tc>
        <w:tc>
          <w:tcPr>
            <w:tcW w:w="840" w:type="dxa"/>
            <w:tcBorders>
              <w:top w:val="single" w:color="auto" w:sz="6" w:space="0"/>
              <w:left w:val="single" w:color="auto" w:sz="6" w:space="0"/>
              <w:bottom w:val="single" w:color="auto" w:sz="6" w:space="0"/>
              <w:right w:val="single" w:color="auto" w:sz="6" w:space="0"/>
            </w:tcBorders>
            <w:vAlign w:val="center"/>
          </w:tcPr>
          <w:p w14:paraId="40A718C2">
            <w:pPr>
              <w:wordWrap w:val="0"/>
              <w:adjustRightInd w:val="0"/>
              <w:snapToGrid w:val="0"/>
              <w:spacing w:line="240" w:lineRule="auto"/>
              <w:jc w:val="center"/>
              <w:rPr>
                <w:rFonts w:hAnsi="宋体" w:cs="宋体"/>
                <w:snapToGrid w:val="0"/>
                <w:color w:val="auto"/>
                <w:kern w:val="0"/>
                <w:sz w:val="21"/>
                <w:szCs w:val="21"/>
              </w:rPr>
            </w:pPr>
          </w:p>
        </w:tc>
        <w:tc>
          <w:tcPr>
            <w:tcW w:w="1485" w:type="dxa"/>
            <w:tcBorders>
              <w:top w:val="single" w:color="auto" w:sz="6" w:space="0"/>
              <w:left w:val="single" w:color="auto" w:sz="6" w:space="0"/>
              <w:bottom w:val="single" w:color="auto" w:sz="6" w:space="0"/>
              <w:right w:val="single" w:color="auto" w:sz="6" w:space="0"/>
            </w:tcBorders>
            <w:vAlign w:val="center"/>
          </w:tcPr>
          <w:p w14:paraId="3E9B1C10">
            <w:pPr>
              <w:wordWrap w:val="0"/>
              <w:adjustRightInd w:val="0"/>
              <w:snapToGrid w:val="0"/>
              <w:spacing w:line="240" w:lineRule="auto"/>
              <w:jc w:val="center"/>
              <w:rPr>
                <w:rFonts w:hAnsi="宋体" w:cs="宋体"/>
                <w:snapToGrid w:val="0"/>
                <w:color w:val="auto"/>
                <w:kern w:val="0"/>
                <w:sz w:val="21"/>
                <w:szCs w:val="21"/>
              </w:rPr>
            </w:pPr>
          </w:p>
        </w:tc>
        <w:tc>
          <w:tcPr>
            <w:tcW w:w="615" w:type="dxa"/>
            <w:tcBorders>
              <w:top w:val="single" w:color="auto" w:sz="6" w:space="0"/>
              <w:left w:val="single" w:color="auto" w:sz="6" w:space="0"/>
              <w:bottom w:val="single" w:color="auto" w:sz="6" w:space="0"/>
              <w:right w:val="single" w:color="auto" w:sz="6" w:space="0"/>
            </w:tcBorders>
            <w:vAlign w:val="center"/>
          </w:tcPr>
          <w:p w14:paraId="566A59B0">
            <w:pPr>
              <w:wordWrap w:val="0"/>
              <w:adjustRightInd w:val="0"/>
              <w:snapToGrid w:val="0"/>
              <w:spacing w:line="240" w:lineRule="auto"/>
              <w:jc w:val="center"/>
              <w:rPr>
                <w:rFonts w:hAnsi="宋体" w:cs="宋体"/>
                <w:snapToGrid w:val="0"/>
                <w:color w:val="auto"/>
                <w:kern w:val="0"/>
                <w:sz w:val="21"/>
                <w:szCs w:val="21"/>
              </w:rPr>
            </w:pPr>
          </w:p>
        </w:tc>
        <w:tc>
          <w:tcPr>
            <w:tcW w:w="1680" w:type="dxa"/>
            <w:tcBorders>
              <w:top w:val="single" w:color="auto" w:sz="6" w:space="0"/>
              <w:left w:val="single" w:color="auto" w:sz="6" w:space="0"/>
              <w:bottom w:val="single" w:color="auto" w:sz="6" w:space="0"/>
              <w:right w:val="single" w:color="auto" w:sz="6" w:space="0"/>
            </w:tcBorders>
            <w:vAlign w:val="center"/>
          </w:tcPr>
          <w:p w14:paraId="49F0B38E">
            <w:pPr>
              <w:wordWrap w:val="0"/>
              <w:adjustRightInd w:val="0"/>
              <w:snapToGrid w:val="0"/>
              <w:spacing w:line="240" w:lineRule="auto"/>
              <w:jc w:val="center"/>
              <w:rPr>
                <w:rFonts w:hAnsi="宋体" w:cs="宋体"/>
                <w:snapToGrid w:val="0"/>
                <w:color w:val="auto"/>
                <w:kern w:val="0"/>
                <w:sz w:val="21"/>
                <w:szCs w:val="21"/>
              </w:rPr>
            </w:pPr>
          </w:p>
        </w:tc>
        <w:tc>
          <w:tcPr>
            <w:tcW w:w="1425" w:type="dxa"/>
            <w:tcBorders>
              <w:top w:val="single" w:color="auto" w:sz="6" w:space="0"/>
              <w:left w:val="single" w:color="auto" w:sz="6" w:space="0"/>
              <w:bottom w:val="single" w:color="auto" w:sz="6" w:space="0"/>
              <w:right w:val="single" w:color="auto" w:sz="6" w:space="0"/>
            </w:tcBorders>
            <w:vAlign w:val="center"/>
          </w:tcPr>
          <w:p w14:paraId="3A88719C">
            <w:pPr>
              <w:wordWrap w:val="0"/>
              <w:adjustRightInd w:val="0"/>
              <w:snapToGrid w:val="0"/>
              <w:spacing w:line="240" w:lineRule="auto"/>
              <w:jc w:val="center"/>
              <w:rPr>
                <w:rFonts w:hAnsi="宋体" w:cs="宋体"/>
                <w:snapToGrid w:val="0"/>
                <w:color w:val="auto"/>
                <w:kern w:val="0"/>
                <w:sz w:val="21"/>
                <w:szCs w:val="21"/>
              </w:rPr>
            </w:pPr>
          </w:p>
        </w:tc>
        <w:tc>
          <w:tcPr>
            <w:tcW w:w="660" w:type="dxa"/>
            <w:tcBorders>
              <w:top w:val="single" w:color="auto" w:sz="6" w:space="0"/>
              <w:left w:val="single" w:color="auto" w:sz="6" w:space="0"/>
              <w:bottom w:val="single" w:color="auto" w:sz="6" w:space="0"/>
              <w:right w:val="single" w:color="auto" w:sz="6" w:space="0"/>
            </w:tcBorders>
            <w:vAlign w:val="center"/>
          </w:tcPr>
          <w:p w14:paraId="7A73EAB0">
            <w:pPr>
              <w:wordWrap w:val="0"/>
              <w:adjustRightInd w:val="0"/>
              <w:snapToGrid w:val="0"/>
              <w:spacing w:line="240" w:lineRule="auto"/>
              <w:jc w:val="center"/>
              <w:rPr>
                <w:rFonts w:hAnsi="宋体" w:cs="宋体"/>
                <w:snapToGrid w:val="0"/>
                <w:color w:val="auto"/>
                <w:kern w:val="0"/>
                <w:sz w:val="21"/>
                <w:szCs w:val="21"/>
              </w:rPr>
            </w:pPr>
          </w:p>
        </w:tc>
        <w:tc>
          <w:tcPr>
            <w:tcW w:w="1695" w:type="dxa"/>
            <w:tcBorders>
              <w:top w:val="single" w:color="auto" w:sz="6" w:space="0"/>
              <w:left w:val="single" w:color="auto" w:sz="6" w:space="0"/>
              <w:bottom w:val="single" w:color="auto" w:sz="6" w:space="0"/>
              <w:right w:val="single" w:color="auto" w:sz="6" w:space="0"/>
            </w:tcBorders>
            <w:vAlign w:val="center"/>
          </w:tcPr>
          <w:p w14:paraId="4A7ED846">
            <w:pPr>
              <w:wordWrap w:val="0"/>
              <w:adjustRightInd w:val="0"/>
              <w:snapToGrid w:val="0"/>
              <w:spacing w:line="240" w:lineRule="auto"/>
              <w:jc w:val="center"/>
              <w:rPr>
                <w:rFonts w:hAnsi="宋体" w:cs="宋体"/>
                <w:snapToGrid w:val="0"/>
                <w:color w:val="auto"/>
                <w:kern w:val="0"/>
                <w:sz w:val="21"/>
                <w:szCs w:val="21"/>
              </w:rPr>
            </w:pPr>
          </w:p>
        </w:tc>
        <w:tc>
          <w:tcPr>
            <w:tcW w:w="1455" w:type="dxa"/>
            <w:tcBorders>
              <w:top w:val="single" w:color="auto" w:sz="6" w:space="0"/>
              <w:left w:val="single" w:color="auto" w:sz="6" w:space="0"/>
              <w:bottom w:val="single" w:color="auto" w:sz="6" w:space="0"/>
              <w:right w:val="single" w:color="auto" w:sz="6" w:space="0"/>
            </w:tcBorders>
            <w:vAlign w:val="center"/>
          </w:tcPr>
          <w:p w14:paraId="1DCC0251">
            <w:pPr>
              <w:wordWrap w:val="0"/>
              <w:adjustRightInd w:val="0"/>
              <w:snapToGrid w:val="0"/>
              <w:spacing w:line="240" w:lineRule="auto"/>
              <w:jc w:val="center"/>
              <w:rPr>
                <w:rFonts w:hAnsi="宋体" w:cs="宋体"/>
                <w:snapToGrid w:val="0"/>
                <w:color w:val="auto"/>
                <w:kern w:val="0"/>
                <w:sz w:val="21"/>
                <w:szCs w:val="21"/>
              </w:rPr>
            </w:pPr>
          </w:p>
        </w:tc>
        <w:tc>
          <w:tcPr>
            <w:tcW w:w="645" w:type="dxa"/>
            <w:tcBorders>
              <w:top w:val="single" w:color="auto" w:sz="6" w:space="0"/>
              <w:left w:val="single" w:color="auto" w:sz="6" w:space="0"/>
              <w:bottom w:val="single" w:color="auto" w:sz="6" w:space="0"/>
              <w:right w:val="single" w:color="auto" w:sz="6" w:space="0"/>
            </w:tcBorders>
            <w:vAlign w:val="center"/>
          </w:tcPr>
          <w:p w14:paraId="2A35C120">
            <w:pPr>
              <w:wordWrap w:val="0"/>
              <w:adjustRightInd w:val="0"/>
              <w:snapToGrid w:val="0"/>
              <w:spacing w:line="240" w:lineRule="auto"/>
              <w:jc w:val="center"/>
              <w:rPr>
                <w:rFonts w:hAnsi="宋体" w:cs="宋体"/>
                <w:snapToGrid w:val="0"/>
                <w:color w:val="auto"/>
                <w:kern w:val="0"/>
                <w:sz w:val="21"/>
                <w:szCs w:val="21"/>
              </w:rPr>
            </w:pPr>
          </w:p>
        </w:tc>
        <w:tc>
          <w:tcPr>
            <w:tcW w:w="1680" w:type="dxa"/>
            <w:tcBorders>
              <w:top w:val="single" w:color="auto" w:sz="6" w:space="0"/>
              <w:left w:val="single" w:color="auto" w:sz="6" w:space="0"/>
              <w:bottom w:val="single" w:color="auto" w:sz="6" w:space="0"/>
              <w:right w:val="single" w:color="auto" w:sz="6" w:space="0"/>
            </w:tcBorders>
            <w:vAlign w:val="center"/>
          </w:tcPr>
          <w:p w14:paraId="66500EE9">
            <w:pPr>
              <w:wordWrap w:val="0"/>
              <w:adjustRightInd w:val="0"/>
              <w:snapToGrid w:val="0"/>
              <w:spacing w:line="240" w:lineRule="auto"/>
              <w:jc w:val="center"/>
              <w:rPr>
                <w:rFonts w:hAnsi="宋体" w:cs="宋体"/>
                <w:snapToGrid w:val="0"/>
                <w:color w:val="auto"/>
                <w:kern w:val="0"/>
                <w:sz w:val="21"/>
                <w:szCs w:val="21"/>
              </w:rPr>
            </w:pPr>
          </w:p>
        </w:tc>
      </w:tr>
      <w:tr w14:paraId="67550D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vAlign w:val="center"/>
          </w:tcPr>
          <w:p w14:paraId="23099A14">
            <w:pPr>
              <w:wordWrap w:val="0"/>
              <w:adjustRightInd w:val="0"/>
              <w:snapToGrid w:val="0"/>
              <w:spacing w:line="240" w:lineRule="auto"/>
              <w:jc w:val="center"/>
              <w:rPr>
                <w:rFonts w:hAnsi="宋体" w:cs="宋体"/>
                <w:snapToGrid w:val="0"/>
                <w:color w:val="auto"/>
                <w:kern w:val="0"/>
                <w:sz w:val="21"/>
                <w:szCs w:val="21"/>
              </w:rPr>
            </w:pPr>
          </w:p>
        </w:tc>
        <w:tc>
          <w:tcPr>
            <w:tcW w:w="1425" w:type="dxa"/>
            <w:tcBorders>
              <w:top w:val="single" w:color="auto" w:sz="6" w:space="0"/>
              <w:left w:val="single" w:color="auto" w:sz="6" w:space="0"/>
              <w:bottom w:val="single" w:color="auto" w:sz="6" w:space="0"/>
              <w:right w:val="single" w:color="auto" w:sz="6" w:space="0"/>
            </w:tcBorders>
            <w:vAlign w:val="center"/>
          </w:tcPr>
          <w:p w14:paraId="29AA95D1">
            <w:pPr>
              <w:wordWrap w:val="0"/>
              <w:adjustRightInd w:val="0"/>
              <w:snapToGrid w:val="0"/>
              <w:spacing w:line="240" w:lineRule="auto"/>
              <w:jc w:val="center"/>
              <w:rPr>
                <w:rFonts w:hAnsi="宋体" w:cs="宋体"/>
                <w:snapToGrid w:val="0"/>
                <w:color w:val="auto"/>
                <w:kern w:val="0"/>
                <w:sz w:val="21"/>
                <w:szCs w:val="21"/>
              </w:rPr>
            </w:pPr>
          </w:p>
        </w:tc>
        <w:tc>
          <w:tcPr>
            <w:tcW w:w="840" w:type="dxa"/>
            <w:tcBorders>
              <w:top w:val="single" w:color="auto" w:sz="6" w:space="0"/>
              <w:left w:val="single" w:color="auto" w:sz="6" w:space="0"/>
              <w:bottom w:val="single" w:color="auto" w:sz="6" w:space="0"/>
              <w:right w:val="single" w:color="auto" w:sz="6" w:space="0"/>
            </w:tcBorders>
            <w:vAlign w:val="center"/>
          </w:tcPr>
          <w:p w14:paraId="375249B5">
            <w:pPr>
              <w:wordWrap w:val="0"/>
              <w:adjustRightInd w:val="0"/>
              <w:snapToGrid w:val="0"/>
              <w:spacing w:line="240" w:lineRule="auto"/>
              <w:jc w:val="center"/>
              <w:rPr>
                <w:rFonts w:hAnsi="宋体" w:cs="宋体"/>
                <w:snapToGrid w:val="0"/>
                <w:color w:val="auto"/>
                <w:kern w:val="0"/>
                <w:sz w:val="21"/>
                <w:szCs w:val="21"/>
              </w:rPr>
            </w:pPr>
          </w:p>
        </w:tc>
        <w:tc>
          <w:tcPr>
            <w:tcW w:w="1485" w:type="dxa"/>
            <w:tcBorders>
              <w:top w:val="single" w:color="auto" w:sz="6" w:space="0"/>
              <w:left w:val="single" w:color="auto" w:sz="6" w:space="0"/>
              <w:bottom w:val="single" w:color="auto" w:sz="6" w:space="0"/>
              <w:right w:val="single" w:color="auto" w:sz="6" w:space="0"/>
            </w:tcBorders>
            <w:vAlign w:val="center"/>
          </w:tcPr>
          <w:p w14:paraId="3B8610A9">
            <w:pPr>
              <w:wordWrap w:val="0"/>
              <w:adjustRightInd w:val="0"/>
              <w:snapToGrid w:val="0"/>
              <w:spacing w:line="240" w:lineRule="auto"/>
              <w:jc w:val="center"/>
              <w:rPr>
                <w:rFonts w:hAnsi="宋体" w:cs="宋体"/>
                <w:snapToGrid w:val="0"/>
                <w:color w:val="auto"/>
                <w:kern w:val="0"/>
                <w:sz w:val="21"/>
                <w:szCs w:val="21"/>
              </w:rPr>
            </w:pPr>
          </w:p>
        </w:tc>
        <w:tc>
          <w:tcPr>
            <w:tcW w:w="615" w:type="dxa"/>
            <w:tcBorders>
              <w:top w:val="single" w:color="auto" w:sz="6" w:space="0"/>
              <w:left w:val="single" w:color="auto" w:sz="6" w:space="0"/>
              <w:bottom w:val="single" w:color="auto" w:sz="6" w:space="0"/>
              <w:right w:val="single" w:color="auto" w:sz="6" w:space="0"/>
            </w:tcBorders>
            <w:vAlign w:val="center"/>
          </w:tcPr>
          <w:p w14:paraId="1FC57046">
            <w:pPr>
              <w:wordWrap w:val="0"/>
              <w:adjustRightInd w:val="0"/>
              <w:snapToGrid w:val="0"/>
              <w:spacing w:line="240" w:lineRule="auto"/>
              <w:jc w:val="center"/>
              <w:rPr>
                <w:rFonts w:hAnsi="宋体" w:cs="宋体"/>
                <w:snapToGrid w:val="0"/>
                <w:color w:val="auto"/>
                <w:kern w:val="0"/>
                <w:sz w:val="21"/>
                <w:szCs w:val="21"/>
              </w:rPr>
            </w:pPr>
          </w:p>
        </w:tc>
        <w:tc>
          <w:tcPr>
            <w:tcW w:w="1680" w:type="dxa"/>
            <w:tcBorders>
              <w:top w:val="single" w:color="auto" w:sz="6" w:space="0"/>
              <w:left w:val="single" w:color="auto" w:sz="6" w:space="0"/>
              <w:bottom w:val="single" w:color="auto" w:sz="6" w:space="0"/>
              <w:right w:val="single" w:color="auto" w:sz="6" w:space="0"/>
            </w:tcBorders>
            <w:vAlign w:val="center"/>
          </w:tcPr>
          <w:p w14:paraId="39A205A0">
            <w:pPr>
              <w:wordWrap w:val="0"/>
              <w:adjustRightInd w:val="0"/>
              <w:snapToGrid w:val="0"/>
              <w:spacing w:line="240" w:lineRule="auto"/>
              <w:jc w:val="center"/>
              <w:rPr>
                <w:rFonts w:hAnsi="宋体" w:cs="宋体"/>
                <w:snapToGrid w:val="0"/>
                <w:color w:val="auto"/>
                <w:kern w:val="0"/>
                <w:sz w:val="21"/>
                <w:szCs w:val="21"/>
              </w:rPr>
            </w:pPr>
          </w:p>
        </w:tc>
        <w:tc>
          <w:tcPr>
            <w:tcW w:w="1425" w:type="dxa"/>
            <w:tcBorders>
              <w:top w:val="single" w:color="auto" w:sz="6" w:space="0"/>
              <w:left w:val="single" w:color="auto" w:sz="6" w:space="0"/>
              <w:bottom w:val="single" w:color="auto" w:sz="6" w:space="0"/>
              <w:right w:val="single" w:color="auto" w:sz="6" w:space="0"/>
            </w:tcBorders>
            <w:vAlign w:val="center"/>
          </w:tcPr>
          <w:p w14:paraId="21B314C3">
            <w:pPr>
              <w:wordWrap w:val="0"/>
              <w:adjustRightInd w:val="0"/>
              <w:snapToGrid w:val="0"/>
              <w:spacing w:line="240" w:lineRule="auto"/>
              <w:jc w:val="center"/>
              <w:rPr>
                <w:rFonts w:hAnsi="宋体" w:cs="宋体"/>
                <w:snapToGrid w:val="0"/>
                <w:color w:val="auto"/>
                <w:kern w:val="0"/>
                <w:sz w:val="21"/>
                <w:szCs w:val="21"/>
              </w:rPr>
            </w:pPr>
          </w:p>
        </w:tc>
        <w:tc>
          <w:tcPr>
            <w:tcW w:w="660" w:type="dxa"/>
            <w:tcBorders>
              <w:top w:val="single" w:color="auto" w:sz="6" w:space="0"/>
              <w:left w:val="single" w:color="auto" w:sz="6" w:space="0"/>
              <w:bottom w:val="single" w:color="auto" w:sz="6" w:space="0"/>
              <w:right w:val="single" w:color="auto" w:sz="6" w:space="0"/>
            </w:tcBorders>
            <w:vAlign w:val="center"/>
          </w:tcPr>
          <w:p w14:paraId="59C11574">
            <w:pPr>
              <w:wordWrap w:val="0"/>
              <w:adjustRightInd w:val="0"/>
              <w:snapToGrid w:val="0"/>
              <w:spacing w:line="240" w:lineRule="auto"/>
              <w:jc w:val="center"/>
              <w:rPr>
                <w:rFonts w:hAnsi="宋体" w:cs="宋体"/>
                <w:snapToGrid w:val="0"/>
                <w:color w:val="auto"/>
                <w:kern w:val="0"/>
                <w:sz w:val="21"/>
                <w:szCs w:val="21"/>
              </w:rPr>
            </w:pPr>
          </w:p>
        </w:tc>
        <w:tc>
          <w:tcPr>
            <w:tcW w:w="1695" w:type="dxa"/>
            <w:tcBorders>
              <w:top w:val="single" w:color="auto" w:sz="6" w:space="0"/>
              <w:left w:val="single" w:color="auto" w:sz="6" w:space="0"/>
              <w:bottom w:val="single" w:color="auto" w:sz="6" w:space="0"/>
              <w:right w:val="single" w:color="auto" w:sz="6" w:space="0"/>
            </w:tcBorders>
            <w:vAlign w:val="center"/>
          </w:tcPr>
          <w:p w14:paraId="28C93BEC">
            <w:pPr>
              <w:wordWrap w:val="0"/>
              <w:adjustRightInd w:val="0"/>
              <w:snapToGrid w:val="0"/>
              <w:spacing w:line="240" w:lineRule="auto"/>
              <w:jc w:val="center"/>
              <w:rPr>
                <w:rFonts w:hAnsi="宋体" w:cs="宋体"/>
                <w:snapToGrid w:val="0"/>
                <w:color w:val="auto"/>
                <w:kern w:val="0"/>
                <w:sz w:val="21"/>
                <w:szCs w:val="21"/>
              </w:rPr>
            </w:pPr>
          </w:p>
        </w:tc>
        <w:tc>
          <w:tcPr>
            <w:tcW w:w="1455" w:type="dxa"/>
            <w:tcBorders>
              <w:top w:val="single" w:color="auto" w:sz="6" w:space="0"/>
              <w:left w:val="single" w:color="auto" w:sz="6" w:space="0"/>
              <w:bottom w:val="single" w:color="auto" w:sz="6" w:space="0"/>
              <w:right w:val="single" w:color="auto" w:sz="6" w:space="0"/>
            </w:tcBorders>
            <w:vAlign w:val="center"/>
          </w:tcPr>
          <w:p w14:paraId="49A838F3">
            <w:pPr>
              <w:wordWrap w:val="0"/>
              <w:adjustRightInd w:val="0"/>
              <w:snapToGrid w:val="0"/>
              <w:spacing w:line="240" w:lineRule="auto"/>
              <w:jc w:val="center"/>
              <w:rPr>
                <w:rFonts w:hAnsi="宋体" w:cs="宋体"/>
                <w:snapToGrid w:val="0"/>
                <w:color w:val="auto"/>
                <w:kern w:val="0"/>
                <w:sz w:val="21"/>
                <w:szCs w:val="21"/>
              </w:rPr>
            </w:pPr>
          </w:p>
        </w:tc>
        <w:tc>
          <w:tcPr>
            <w:tcW w:w="645" w:type="dxa"/>
            <w:tcBorders>
              <w:top w:val="single" w:color="auto" w:sz="6" w:space="0"/>
              <w:left w:val="single" w:color="auto" w:sz="6" w:space="0"/>
              <w:bottom w:val="single" w:color="auto" w:sz="6" w:space="0"/>
              <w:right w:val="single" w:color="auto" w:sz="6" w:space="0"/>
            </w:tcBorders>
            <w:vAlign w:val="center"/>
          </w:tcPr>
          <w:p w14:paraId="277A9397">
            <w:pPr>
              <w:wordWrap w:val="0"/>
              <w:adjustRightInd w:val="0"/>
              <w:snapToGrid w:val="0"/>
              <w:spacing w:line="240" w:lineRule="auto"/>
              <w:jc w:val="center"/>
              <w:rPr>
                <w:rFonts w:hAnsi="宋体" w:cs="宋体"/>
                <w:snapToGrid w:val="0"/>
                <w:color w:val="auto"/>
                <w:kern w:val="0"/>
                <w:sz w:val="21"/>
                <w:szCs w:val="21"/>
              </w:rPr>
            </w:pPr>
          </w:p>
        </w:tc>
        <w:tc>
          <w:tcPr>
            <w:tcW w:w="1680" w:type="dxa"/>
            <w:tcBorders>
              <w:top w:val="single" w:color="auto" w:sz="6" w:space="0"/>
              <w:left w:val="single" w:color="auto" w:sz="6" w:space="0"/>
              <w:bottom w:val="single" w:color="auto" w:sz="6" w:space="0"/>
              <w:right w:val="single" w:color="auto" w:sz="6" w:space="0"/>
            </w:tcBorders>
            <w:vAlign w:val="center"/>
          </w:tcPr>
          <w:p w14:paraId="62A8F10F">
            <w:pPr>
              <w:wordWrap w:val="0"/>
              <w:adjustRightInd w:val="0"/>
              <w:snapToGrid w:val="0"/>
              <w:spacing w:line="240" w:lineRule="auto"/>
              <w:jc w:val="center"/>
              <w:rPr>
                <w:rFonts w:hAnsi="宋体" w:cs="宋体"/>
                <w:snapToGrid w:val="0"/>
                <w:color w:val="auto"/>
                <w:kern w:val="0"/>
                <w:sz w:val="21"/>
                <w:szCs w:val="21"/>
              </w:rPr>
            </w:pPr>
          </w:p>
        </w:tc>
      </w:tr>
      <w:tr w14:paraId="123F73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vAlign w:val="center"/>
          </w:tcPr>
          <w:p w14:paraId="461CD1FD">
            <w:pPr>
              <w:wordWrap w:val="0"/>
              <w:adjustRightInd w:val="0"/>
              <w:snapToGrid w:val="0"/>
              <w:spacing w:line="240" w:lineRule="auto"/>
              <w:jc w:val="center"/>
              <w:rPr>
                <w:rFonts w:hAnsi="宋体" w:cs="宋体"/>
                <w:snapToGrid w:val="0"/>
                <w:color w:val="auto"/>
                <w:kern w:val="0"/>
                <w:sz w:val="21"/>
                <w:szCs w:val="21"/>
              </w:rPr>
            </w:pPr>
          </w:p>
        </w:tc>
        <w:tc>
          <w:tcPr>
            <w:tcW w:w="1425" w:type="dxa"/>
            <w:tcBorders>
              <w:top w:val="single" w:color="auto" w:sz="6" w:space="0"/>
              <w:left w:val="single" w:color="auto" w:sz="6" w:space="0"/>
              <w:bottom w:val="single" w:color="auto" w:sz="6" w:space="0"/>
              <w:right w:val="single" w:color="auto" w:sz="6" w:space="0"/>
            </w:tcBorders>
            <w:vAlign w:val="center"/>
          </w:tcPr>
          <w:p w14:paraId="1CE47B77">
            <w:pPr>
              <w:wordWrap w:val="0"/>
              <w:adjustRightInd w:val="0"/>
              <w:snapToGrid w:val="0"/>
              <w:spacing w:line="240" w:lineRule="auto"/>
              <w:jc w:val="center"/>
              <w:rPr>
                <w:rFonts w:hAnsi="宋体" w:cs="宋体"/>
                <w:snapToGrid w:val="0"/>
                <w:color w:val="auto"/>
                <w:kern w:val="0"/>
                <w:sz w:val="21"/>
                <w:szCs w:val="21"/>
              </w:rPr>
            </w:pPr>
          </w:p>
        </w:tc>
        <w:tc>
          <w:tcPr>
            <w:tcW w:w="840" w:type="dxa"/>
            <w:tcBorders>
              <w:top w:val="single" w:color="auto" w:sz="6" w:space="0"/>
              <w:left w:val="single" w:color="auto" w:sz="6" w:space="0"/>
              <w:bottom w:val="single" w:color="auto" w:sz="6" w:space="0"/>
              <w:right w:val="single" w:color="auto" w:sz="6" w:space="0"/>
            </w:tcBorders>
            <w:vAlign w:val="center"/>
          </w:tcPr>
          <w:p w14:paraId="61766C1B">
            <w:pPr>
              <w:wordWrap w:val="0"/>
              <w:adjustRightInd w:val="0"/>
              <w:snapToGrid w:val="0"/>
              <w:spacing w:line="240" w:lineRule="auto"/>
              <w:jc w:val="center"/>
              <w:rPr>
                <w:rFonts w:hAnsi="宋体" w:cs="宋体"/>
                <w:snapToGrid w:val="0"/>
                <w:color w:val="auto"/>
                <w:kern w:val="0"/>
                <w:sz w:val="21"/>
                <w:szCs w:val="21"/>
              </w:rPr>
            </w:pPr>
          </w:p>
        </w:tc>
        <w:tc>
          <w:tcPr>
            <w:tcW w:w="1485" w:type="dxa"/>
            <w:tcBorders>
              <w:top w:val="single" w:color="auto" w:sz="6" w:space="0"/>
              <w:left w:val="single" w:color="auto" w:sz="6" w:space="0"/>
              <w:bottom w:val="single" w:color="auto" w:sz="6" w:space="0"/>
              <w:right w:val="single" w:color="auto" w:sz="6" w:space="0"/>
            </w:tcBorders>
            <w:vAlign w:val="center"/>
          </w:tcPr>
          <w:p w14:paraId="4ADADF4D">
            <w:pPr>
              <w:wordWrap w:val="0"/>
              <w:adjustRightInd w:val="0"/>
              <w:snapToGrid w:val="0"/>
              <w:spacing w:line="240" w:lineRule="auto"/>
              <w:jc w:val="center"/>
              <w:rPr>
                <w:rFonts w:hAnsi="宋体" w:cs="宋体"/>
                <w:snapToGrid w:val="0"/>
                <w:color w:val="auto"/>
                <w:kern w:val="0"/>
                <w:sz w:val="21"/>
                <w:szCs w:val="21"/>
              </w:rPr>
            </w:pPr>
          </w:p>
        </w:tc>
        <w:tc>
          <w:tcPr>
            <w:tcW w:w="615" w:type="dxa"/>
            <w:tcBorders>
              <w:top w:val="single" w:color="auto" w:sz="6" w:space="0"/>
              <w:left w:val="single" w:color="auto" w:sz="6" w:space="0"/>
              <w:bottom w:val="single" w:color="auto" w:sz="6" w:space="0"/>
              <w:right w:val="single" w:color="auto" w:sz="6" w:space="0"/>
            </w:tcBorders>
            <w:vAlign w:val="center"/>
          </w:tcPr>
          <w:p w14:paraId="26AFB42E">
            <w:pPr>
              <w:wordWrap w:val="0"/>
              <w:adjustRightInd w:val="0"/>
              <w:snapToGrid w:val="0"/>
              <w:spacing w:line="240" w:lineRule="auto"/>
              <w:jc w:val="center"/>
              <w:rPr>
                <w:rFonts w:hAnsi="宋体" w:cs="宋体"/>
                <w:snapToGrid w:val="0"/>
                <w:color w:val="auto"/>
                <w:kern w:val="0"/>
                <w:sz w:val="21"/>
                <w:szCs w:val="21"/>
              </w:rPr>
            </w:pPr>
          </w:p>
        </w:tc>
        <w:tc>
          <w:tcPr>
            <w:tcW w:w="1680" w:type="dxa"/>
            <w:tcBorders>
              <w:top w:val="single" w:color="auto" w:sz="6" w:space="0"/>
              <w:left w:val="single" w:color="auto" w:sz="6" w:space="0"/>
              <w:bottom w:val="single" w:color="auto" w:sz="6" w:space="0"/>
              <w:right w:val="single" w:color="auto" w:sz="6" w:space="0"/>
            </w:tcBorders>
            <w:vAlign w:val="center"/>
          </w:tcPr>
          <w:p w14:paraId="0E8D8808">
            <w:pPr>
              <w:wordWrap w:val="0"/>
              <w:adjustRightInd w:val="0"/>
              <w:snapToGrid w:val="0"/>
              <w:spacing w:line="240" w:lineRule="auto"/>
              <w:jc w:val="center"/>
              <w:rPr>
                <w:rFonts w:hAnsi="宋体" w:cs="宋体"/>
                <w:snapToGrid w:val="0"/>
                <w:color w:val="auto"/>
                <w:kern w:val="0"/>
                <w:sz w:val="21"/>
                <w:szCs w:val="21"/>
              </w:rPr>
            </w:pPr>
          </w:p>
        </w:tc>
        <w:tc>
          <w:tcPr>
            <w:tcW w:w="1425" w:type="dxa"/>
            <w:tcBorders>
              <w:top w:val="single" w:color="auto" w:sz="6" w:space="0"/>
              <w:left w:val="single" w:color="auto" w:sz="6" w:space="0"/>
              <w:bottom w:val="single" w:color="auto" w:sz="6" w:space="0"/>
              <w:right w:val="single" w:color="auto" w:sz="6" w:space="0"/>
            </w:tcBorders>
            <w:vAlign w:val="center"/>
          </w:tcPr>
          <w:p w14:paraId="5A19552E">
            <w:pPr>
              <w:wordWrap w:val="0"/>
              <w:adjustRightInd w:val="0"/>
              <w:snapToGrid w:val="0"/>
              <w:spacing w:line="240" w:lineRule="auto"/>
              <w:jc w:val="center"/>
              <w:rPr>
                <w:rFonts w:hAnsi="宋体" w:cs="宋体"/>
                <w:snapToGrid w:val="0"/>
                <w:color w:val="auto"/>
                <w:kern w:val="0"/>
                <w:sz w:val="21"/>
                <w:szCs w:val="21"/>
              </w:rPr>
            </w:pPr>
          </w:p>
        </w:tc>
        <w:tc>
          <w:tcPr>
            <w:tcW w:w="660" w:type="dxa"/>
            <w:tcBorders>
              <w:top w:val="single" w:color="auto" w:sz="6" w:space="0"/>
              <w:left w:val="single" w:color="auto" w:sz="6" w:space="0"/>
              <w:bottom w:val="single" w:color="auto" w:sz="6" w:space="0"/>
              <w:right w:val="single" w:color="auto" w:sz="6" w:space="0"/>
            </w:tcBorders>
            <w:vAlign w:val="center"/>
          </w:tcPr>
          <w:p w14:paraId="45E1034C">
            <w:pPr>
              <w:wordWrap w:val="0"/>
              <w:adjustRightInd w:val="0"/>
              <w:snapToGrid w:val="0"/>
              <w:spacing w:line="240" w:lineRule="auto"/>
              <w:jc w:val="center"/>
              <w:rPr>
                <w:rFonts w:hAnsi="宋体" w:cs="宋体"/>
                <w:snapToGrid w:val="0"/>
                <w:color w:val="auto"/>
                <w:kern w:val="0"/>
                <w:sz w:val="21"/>
                <w:szCs w:val="21"/>
              </w:rPr>
            </w:pPr>
          </w:p>
        </w:tc>
        <w:tc>
          <w:tcPr>
            <w:tcW w:w="1695" w:type="dxa"/>
            <w:tcBorders>
              <w:top w:val="single" w:color="auto" w:sz="6" w:space="0"/>
              <w:left w:val="single" w:color="auto" w:sz="6" w:space="0"/>
              <w:bottom w:val="single" w:color="auto" w:sz="6" w:space="0"/>
              <w:right w:val="single" w:color="auto" w:sz="6" w:space="0"/>
            </w:tcBorders>
            <w:vAlign w:val="center"/>
          </w:tcPr>
          <w:p w14:paraId="39D9C784">
            <w:pPr>
              <w:wordWrap w:val="0"/>
              <w:adjustRightInd w:val="0"/>
              <w:snapToGrid w:val="0"/>
              <w:spacing w:line="240" w:lineRule="auto"/>
              <w:jc w:val="center"/>
              <w:rPr>
                <w:rFonts w:hAnsi="宋体" w:cs="宋体"/>
                <w:snapToGrid w:val="0"/>
                <w:color w:val="auto"/>
                <w:kern w:val="0"/>
                <w:sz w:val="21"/>
                <w:szCs w:val="21"/>
              </w:rPr>
            </w:pPr>
          </w:p>
        </w:tc>
        <w:tc>
          <w:tcPr>
            <w:tcW w:w="1455" w:type="dxa"/>
            <w:tcBorders>
              <w:top w:val="single" w:color="auto" w:sz="6" w:space="0"/>
              <w:left w:val="single" w:color="auto" w:sz="6" w:space="0"/>
              <w:bottom w:val="single" w:color="auto" w:sz="6" w:space="0"/>
              <w:right w:val="single" w:color="auto" w:sz="6" w:space="0"/>
            </w:tcBorders>
            <w:vAlign w:val="center"/>
          </w:tcPr>
          <w:p w14:paraId="3ED945DA">
            <w:pPr>
              <w:wordWrap w:val="0"/>
              <w:adjustRightInd w:val="0"/>
              <w:snapToGrid w:val="0"/>
              <w:spacing w:line="240" w:lineRule="auto"/>
              <w:jc w:val="center"/>
              <w:rPr>
                <w:rFonts w:hAnsi="宋体" w:cs="宋体"/>
                <w:snapToGrid w:val="0"/>
                <w:color w:val="auto"/>
                <w:kern w:val="0"/>
                <w:sz w:val="21"/>
                <w:szCs w:val="21"/>
              </w:rPr>
            </w:pPr>
          </w:p>
        </w:tc>
        <w:tc>
          <w:tcPr>
            <w:tcW w:w="645" w:type="dxa"/>
            <w:tcBorders>
              <w:top w:val="single" w:color="auto" w:sz="6" w:space="0"/>
              <w:left w:val="single" w:color="auto" w:sz="6" w:space="0"/>
              <w:bottom w:val="single" w:color="auto" w:sz="6" w:space="0"/>
              <w:right w:val="single" w:color="auto" w:sz="6" w:space="0"/>
            </w:tcBorders>
            <w:vAlign w:val="center"/>
          </w:tcPr>
          <w:p w14:paraId="53211423">
            <w:pPr>
              <w:wordWrap w:val="0"/>
              <w:adjustRightInd w:val="0"/>
              <w:snapToGrid w:val="0"/>
              <w:spacing w:line="240" w:lineRule="auto"/>
              <w:jc w:val="center"/>
              <w:rPr>
                <w:rFonts w:hAnsi="宋体" w:cs="宋体"/>
                <w:snapToGrid w:val="0"/>
                <w:color w:val="auto"/>
                <w:kern w:val="0"/>
                <w:sz w:val="21"/>
                <w:szCs w:val="21"/>
              </w:rPr>
            </w:pPr>
          </w:p>
        </w:tc>
        <w:tc>
          <w:tcPr>
            <w:tcW w:w="1680" w:type="dxa"/>
            <w:tcBorders>
              <w:top w:val="single" w:color="auto" w:sz="6" w:space="0"/>
              <w:left w:val="single" w:color="auto" w:sz="6" w:space="0"/>
              <w:bottom w:val="single" w:color="auto" w:sz="6" w:space="0"/>
              <w:right w:val="single" w:color="auto" w:sz="6" w:space="0"/>
            </w:tcBorders>
            <w:vAlign w:val="center"/>
          </w:tcPr>
          <w:p w14:paraId="41849EC7">
            <w:pPr>
              <w:wordWrap w:val="0"/>
              <w:adjustRightInd w:val="0"/>
              <w:snapToGrid w:val="0"/>
              <w:spacing w:line="240" w:lineRule="auto"/>
              <w:jc w:val="center"/>
              <w:rPr>
                <w:rFonts w:hAnsi="宋体" w:cs="宋体"/>
                <w:snapToGrid w:val="0"/>
                <w:color w:val="auto"/>
                <w:kern w:val="0"/>
                <w:sz w:val="21"/>
                <w:szCs w:val="21"/>
              </w:rPr>
            </w:pPr>
          </w:p>
        </w:tc>
      </w:tr>
      <w:tr w14:paraId="1007EA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vAlign w:val="center"/>
          </w:tcPr>
          <w:p w14:paraId="09CD4CCD">
            <w:pPr>
              <w:wordWrap w:val="0"/>
              <w:adjustRightInd w:val="0"/>
              <w:snapToGrid w:val="0"/>
              <w:spacing w:line="240" w:lineRule="auto"/>
              <w:jc w:val="center"/>
              <w:rPr>
                <w:rFonts w:hAnsi="宋体" w:cs="宋体"/>
                <w:snapToGrid w:val="0"/>
                <w:color w:val="auto"/>
                <w:kern w:val="0"/>
                <w:sz w:val="21"/>
                <w:szCs w:val="21"/>
              </w:rPr>
            </w:pPr>
          </w:p>
        </w:tc>
        <w:tc>
          <w:tcPr>
            <w:tcW w:w="1425" w:type="dxa"/>
            <w:tcBorders>
              <w:top w:val="single" w:color="auto" w:sz="6" w:space="0"/>
              <w:left w:val="single" w:color="auto" w:sz="6" w:space="0"/>
              <w:bottom w:val="single" w:color="auto" w:sz="6" w:space="0"/>
              <w:right w:val="single" w:color="auto" w:sz="6" w:space="0"/>
            </w:tcBorders>
            <w:vAlign w:val="center"/>
          </w:tcPr>
          <w:p w14:paraId="6AE8AF11">
            <w:pPr>
              <w:wordWrap w:val="0"/>
              <w:adjustRightInd w:val="0"/>
              <w:snapToGrid w:val="0"/>
              <w:spacing w:line="240" w:lineRule="auto"/>
              <w:jc w:val="center"/>
              <w:rPr>
                <w:rFonts w:hAnsi="宋体" w:cs="宋体"/>
                <w:snapToGrid w:val="0"/>
                <w:color w:val="auto"/>
                <w:kern w:val="0"/>
                <w:sz w:val="21"/>
                <w:szCs w:val="21"/>
              </w:rPr>
            </w:pPr>
          </w:p>
        </w:tc>
        <w:tc>
          <w:tcPr>
            <w:tcW w:w="840" w:type="dxa"/>
            <w:tcBorders>
              <w:top w:val="single" w:color="auto" w:sz="6" w:space="0"/>
              <w:left w:val="single" w:color="auto" w:sz="6" w:space="0"/>
              <w:bottom w:val="single" w:color="auto" w:sz="6" w:space="0"/>
              <w:right w:val="single" w:color="auto" w:sz="6" w:space="0"/>
            </w:tcBorders>
            <w:vAlign w:val="center"/>
          </w:tcPr>
          <w:p w14:paraId="0E27DB9F">
            <w:pPr>
              <w:wordWrap w:val="0"/>
              <w:adjustRightInd w:val="0"/>
              <w:snapToGrid w:val="0"/>
              <w:spacing w:line="240" w:lineRule="auto"/>
              <w:jc w:val="center"/>
              <w:rPr>
                <w:rFonts w:hAnsi="宋体" w:cs="宋体"/>
                <w:snapToGrid w:val="0"/>
                <w:color w:val="auto"/>
                <w:kern w:val="0"/>
                <w:sz w:val="21"/>
                <w:szCs w:val="21"/>
              </w:rPr>
            </w:pPr>
          </w:p>
        </w:tc>
        <w:tc>
          <w:tcPr>
            <w:tcW w:w="1485" w:type="dxa"/>
            <w:tcBorders>
              <w:top w:val="single" w:color="auto" w:sz="6" w:space="0"/>
              <w:left w:val="single" w:color="auto" w:sz="6" w:space="0"/>
              <w:bottom w:val="single" w:color="auto" w:sz="6" w:space="0"/>
              <w:right w:val="single" w:color="auto" w:sz="6" w:space="0"/>
            </w:tcBorders>
            <w:vAlign w:val="center"/>
          </w:tcPr>
          <w:p w14:paraId="77868D40">
            <w:pPr>
              <w:wordWrap w:val="0"/>
              <w:adjustRightInd w:val="0"/>
              <w:snapToGrid w:val="0"/>
              <w:spacing w:line="240" w:lineRule="auto"/>
              <w:jc w:val="center"/>
              <w:rPr>
                <w:rFonts w:hAnsi="宋体" w:cs="宋体"/>
                <w:snapToGrid w:val="0"/>
                <w:color w:val="auto"/>
                <w:kern w:val="0"/>
                <w:sz w:val="21"/>
                <w:szCs w:val="21"/>
              </w:rPr>
            </w:pPr>
          </w:p>
        </w:tc>
        <w:tc>
          <w:tcPr>
            <w:tcW w:w="615" w:type="dxa"/>
            <w:tcBorders>
              <w:top w:val="single" w:color="auto" w:sz="6" w:space="0"/>
              <w:left w:val="single" w:color="auto" w:sz="6" w:space="0"/>
              <w:bottom w:val="single" w:color="auto" w:sz="6" w:space="0"/>
              <w:right w:val="single" w:color="auto" w:sz="6" w:space="0"/>
            </w:tcBorders>
            <w:vAlign w:val="center"/>
          </w:tcPr>
          <w:p w14:paraId="0B609D77">
            <w:pPr>
              <w:wordWrap w:val="0"/>
              <w:adjustRightInd w:val="0"/>
              <w:snapToGrid w:val="0"/>
              <w:spacing w:line="240" w:lineRule="auto"/>
              <w:jc w:val="center"/>
              <w:rPr>
                <w:rFonts w:hAnsi="宋体" w:cs="宋体"/>
                <w:snapToGrid w:val="0"/>
                <w:color w:val="auto"/>
                <w:kern w:val="0"/>
                <w:sz w:val="21"/>
                <w:szCs w:val="21"/>
              </w:rPr>
            </w:pPr>
          </w:p>
        </w:tc>
        <w:tc>
          <w:tcPr>
            <w:tcW w:w="1680" w:type="dxa"/>
            <w:tcBorders>
              <w:top w:val="single" w:color="auto" w:sz="6" w:space="0"/>
              <w:left w:val="single" w:color="auto" w:sz="6" w:space="0"/>
              <w:bottom w:val="single" w:color="auto" w:sz="6" w:space="0"/>
              <w:right w:val="single" w:color="auto" w:sz="6" w:space="0"/>
            </w:tcBorders>
            <w:vAlign w:val="center"/>
          </w:tcPr>
          <w:p w14:paraId="0CCC9F78">
            <w:pPr>
              <w:wordWrap w:val="0"/>
              <w:adjustRightInd w:val="0"/>
              <w:snapToGrid w:val="0"/>
              <w:spacing w:line="240" w:lineRule="auto"/>
              <w:jc w:val="center"/>
              <w:rPr>
                <w:rFonts w:hAnsi="宋体" w:cs="宋体"/>
                <w:snapToGrid w:val="0"/>
                <w:color w:val="auto"/>
                <w:kern w:val="0"/>
                <w:sz w:val="21"/>
                <w:szCs w:val="21"/>
              </w:rPr>
            </w:pPr>
          </w:p>
        </w:tc>
        <w:tc>
          <w:tcPr>
            <w:tcW w:w="1425" w:type="dxa"/>
            <w:tcBorders>
              <w:top w:val="single" w:color="auto" w:sz="6" w:space="0"/>
              <w:left w:val="single" w:color="auto" w:sz="6" w:space="0"/>
              <w:bottom w:val="single" w:color="auto" w:sz="6" w:space="0"/>
              <w:right w:val="single" w:color="auto" w:sz="6" w:space="0"/>
            </w:tcBorders>
            <w:vAlign w:val="center"/>
          </w:tcPr>
          <w:p w14:paraId="6AC21FF6">
            <w:pPr>
              <w:wordWrap w:val="0"/>
              <w:adjustRightInd w:val="0"/>
              <w:snapToGrid w:val="0"/>
              <w:spacing w:line="240" w:lineRule="auto"/>
              <w:jc w:val="center"/>
              <w:rPr>
                <w:rFonts w:hAnsi="宋体" w:cs="宋体"/>
                <w:snapToGrid w:val="0"/>
                <w:color w:val="auto"/>
                <w:kern w:val="0"/>
                <w:sz w:val="21"/>
                <w:szCs w:val="21"/>
              </w:rPr>
            </w:pPr>
          </w:p>
        </w:tc>
        <w:tc>
          <w:tcPr>
            <w:tcW w:w="660" w:type="dxa"/>
            <w:tcBorders>
              <w:top w:val="single" w:color="auto" w:sz="6" w:space="0"/>
              <w:left w:val="single" w:color="auto" w:sz="6" w:space="0"/>
              <w:bottom w:val="single" w:color="auto" w:sz="6" w:space="0"/>
              <w:right w:val="single" w:color="auto" w:sz="6" w:space="0"/>
            </w:tcBorders>
            <w:vAlign w:val="center"/>
          </w:tcPr>
          <w:p w14:paraId="4D5F901C">
            <w:pPr>
              <w:wordWrap w:val="0"/>
              <w:adjustRightInd w:val="0"/>
              <w:snapToGrid w:val="0"/>
              <w:spacing w:line="240" w:lineRule="auto"/>
              <w:jc w:val="center"/>
              <w:rPr>
                <w:rFonts w:hAnsi="宋体" w:cs="宋体"/>
                <w:snapToGrid w:val="0"/>
                <w:color w:val="auto"/>
                <w:kern w:val="0"/>
                <w:sz w:val="21"/>
                <w:szCs w:val="21"/>
              </w:rPr>
            </w:pPr>
          </w:p>
        </w:tc>
        <w:tc>
          <w:tcPr>
            <w:tcW w:w="1695" w:type="dxa"/>
            <w:tcBorders>
              <w:top w:val="single" w:color="auto" w:sz="6" w:space="0"/>
              <w:left w:val="single" w:color="auto" w:sz="6" w:space="0"/>
              <w:bottom w:val="single" w:color="auto" w:sz="6" w:space="0"/>
              <w:right w:val="single" w:color="auto" w:sz="6" w:space="0"/>
            </w:tcBorders>
            <w:vAlign w:val="center"/>
          </w:tcPr>
          <w:p w14:paraId="321004B8">
            <w:pPr>
              <w:wordWrap w:val="0"/>
              <w:adjustRightInd w:val="0"/>
              <w:snapToGrid w:val="0"/>
              <w:spacing w:line="240" w:lineRule="auto"/>
              <w:jc w:val="center"/>
              <w:rPr>
                <w:rFonts w:hAnsi="宋体" w:cs="宋体"/>
                <w:snapToGrid w:val="0"/>
                <w:color w:val="auto"/>
                <w:kern w:val="0"/>
                <w:sz w:val="21"/>
                <w:szCs w:val="21"/>
              </w:rPr>
            </w:pPr>
          </w:p>
        </w:tc>
        <w:tc>
          <w:tcPr>
            <w:tcW w:w="1455" w:type="dxa"/>
            <w:tcBorders>
              <w:top w:val="single" w:color="auto" w:sz="6" w:space="0"/>
              <w:left w:val="single" w:color="auto" w:sz="6" w:space="0"/>
              <w:bottom w:val="single" w:color="auto" w:sz="6" w:space="0"/>
              <w:right w:val="single" w:color="auto" w:sz="6" w:space="0"/>
            </w:tcBorders>
            <w:vAlign w:val="center"/>
          </w:tcPr>
          <w:p w14:paraId="7771555D">
            <w:pPr>
              <w:wordWrap w:val="0"/>
              <w:adjustRightInd w:val="0"/>
              <w:snapToGrid w:val="0"/>
              <w:spacing w:line="240" w:lineRule="auto"/>
              <w:jc w:val="center"/>
              <w:rPr>
                <w:rFonts w:hAnsi="宋体" w:cs="宋体"/>
                <w:snapToGrid w:val="0"/>
                <w:color w:val="auto"/>
                <w:kern w:val="0"/>
                <w:sz w:val="21"/>
                <w:szCs w:val="21"/>
              </w:rPr>
            </w:pPr>
          </w:p>
        </w:tc>
        <w:tc>
          <w:tcPr>
            <w:tcW w:w="645" w:type="dxa"/>
            <w:tcBorders>
              <w:top w:val="single" w:color="auto" w:sz="6" w:space="0"/>
              <w:left w:val="single" w:color="auto" w:sz="6" w:space="0"/>
              <w:bottom w:val="single" w:color="auto" w:sz="6" w:space="0"/>
              <w:right w:val="single" w:color="auto" w:sz="6" w:space="0"/>
            </w:tcBorders>
            <w:vAlign w:val="center"/>
          </w:tcPr>
          <w:p w14:paraId="661383F9">
            <w:pPr>
              <w:wordWrap w:val="0"/>
              <w:adjustRightInd w:val="0"/>
              <w:snapToGrid w:val="0"/>
              <w:spacing w:line="240" w:lineRule="auto"/>
              <w:jc w:val="center"/>
              <w:rPr>
                <w:rFonts w:hAnsi="宋体" w:cs="宋体"/>
                <w:snapToGrid w:val="0"/>
                <w:color w:val="auto"/>
                <w:kern w:val="0"/>
                <w:sz w:val="21"/>
                <w:szCs w:val="21"/>
              </w:rPr>
            </w:pPr>
          </w:p>
        </w:tc>
        <w:tc>
          <w:tcPr>
            <w:tcW w:w="1680" w:type="dxa"/>
            <w:tcBorders>
              <w:top w:val="single" w:color="auto" w:sz="6" w:space="0"/>
              <w:left w:val="single" w:color="auto" w:sz="6" w:space="0"/>
              <w:bottom w:val="single" w:color="auto" w:sz="6" w:space="0"/>
              <w:right w:val="single" w:color="auto" w:sz="6" w:space="0"/>
            </w:tcBorders>
            <w:vAlign w:val="center"/>
          </w:tcPr>
          <w:p w14:paraId="684567E7">
            <w:pPr>
              <w:wordWrap w:val="0"/>
              <w:adjustRightInd w:val="0"/>
              <w:snapToGrid w:val="0"/>
              <w:spacing w:line="240" w:lineRule="auto"/>
              <w:jc w:val="center"/>
              <w:rPr>
                <w:rFonts w:hAnsi="宋体" w:cs="宋体"/>
                <w:snapToGrid w:val="0"/>
                <w:color w:val="auto"/>
                <w:kern w:val="0"/>
                <w:sz w:val="21"/>
                <w:szCs w:val="21"/>
              </w:rPr>
            </w:pPr>
          </w:p>
        </w:tc>
        <w:bookmarkStart w:id="284" w:name="_Hlt68774664"/>
        <w:bookmarkStart w:id="285" w:name="_附件二十五：综合评审合理低价法"/>
        <w:bookmarkStart w:id="286" w:name="_附件二十四：技术标提问单"/>
        <w:bookmarkStart w:id="287" w:name="_附件十：单项工程费汇总表"/>
        <w:bookmarkStart w:id="288" w:name="_Hlt69116778"/>
      </w:tr>
      <w:bookmarkEnd w:id="281"/>
      <w:bookmarkEnd w:id="282"/>
      <w:bookmarkEnd w:id="284"/>
      <w:bookmarkEnd w:id="285"/>
      <w:bookmarkEnd w:id="286"/>
      <w:bookmarkEnd w:id="287"/>
      <w:bookmarkEnd w:id="288"/>
      <w:tr w14:paraId="18354F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exact"/>
        </w:trPr>
        <w:tc>
          <w:tcPr>
            <w:tcW w:w="326" w:type="dxa"/>
            <w:tcBorders>
              <w:top w:val="single" w:color="auto" w:sz="6" w:space="0"/>
              <w:left w:val="single" w:color="auto" w:sz="6" w:space="0"/>
              <w:bottom w:val="single" w:color="auto" w:sz="6" w:space="0"/>
              <w:right w:val="single" w:color="auto" w:sz="6" w:space="0"/>
            </w:tcBorders>
            <w:vAlign w:val="center"/>
          </w:tcPr>
          <w:p w14:paraId="4ED0BF86">
            <w:pPr>
              <w:wordWrap w:val="0"/>
              <w:adjustRightInd w:val="0"/>
              <w:snapToGrid w:val="0"/>
              <w:spacing w:line="240" w:lineRule="auto"/>
              <w:jc w:val="center"/>
              <w:rPr>
                <w:rFonts w:hAnsi="宋体" w:cs="宋体"/>
                <w:snapToGrid w:val="0"/>
                <w:color w:val="auto"/>
                <w:kern w:val="0"/>
                <w:sz w:val="21"/>
                <w:szCs w:val="21"/>
              </w:rPr>
            </w:pPr>
          </w:p>
        </w:tc>
        <w:tc>
          <w:tcPr>
            <w:tcW w:w="1425" w:type="dxa"/>
            <w:tcBorders>
              <w:top w:val="single" w:color="auto" w:sz="6" w:space="0"/>
              <w:left w:val="single" w:color="auto" w:sz="6" w:space="0"/>
              <w:bottom w:val="single" w:color="auto" w:sz="6" w:space="0"/>
              <w:right w:val="single" w:color="auto" w:sz="6" w:space="0"/>
            </w:tcBorders>
            <w:vAlign w:val="center"/>
          </w:tcPr>
          <w:p w14:paraId="77666785">
            <w:pPr>
              <w:wordWrap w:val="0"/>
              <w:adjustRightInd w:val="0"/>
              <w:snapToGrid w:val="0"/>
              <w:spacing w:line="240" w:lineRule="auto"/>
              <w:jc w:val="center"/>
              <w:rPr>
                <w:rFonts w:hAnsi="宋体" w:cs="宋体"/>
                <w:snapToGrid w:val="0"/>
                <w:color w:val="auto"/>
                <w:kern w:val="0"/>
                <w:sz w:val="21"/>
                <w:szCs w:val="21"/>
              </w:rPr>
            </w:pPr>
          </w:p>
        </w:tc>
        <w:tc>
          <w:tcPr>
            <w:tcW w:w="840" w:type="dxa"/>
            <w:tcBorders>
              <w:top w:val="single" w:color="auto" w:sz="6" w:space="0"/>
              <w:left w:val="single" w:color="auto" w:sz="6" w:space="0"/>
              <w:bottom w:val="single" w:color="auto" w:sz="6" w:space="0"/>
              <w:right w:val="single" w:color="auto" w:sz="6" w:space="0"/>
            </w:tcBorders>
            <w:vAlign w:val="center"/>
          </w:tcPr>
          <w:p w14:paraId="5F6A21AF">
            <w:pPr>
              <w:wordWrap w:val="0"/>
              <w:adjustRightInd w:val="0"/>
              <w:snapToGrid w:val="0"/>
              <w:spacing w:line="240" w:lineRule="auto"/>
              <w:jc w:val="center"/>
              <w:rPr>
                <w:rFonts w:hAnsi="宋体" w:cs="宋体"/>
                <w:snapToGrid w:val="0"/>
                <w:color w:val="auto"/>
                <w:kern w:val="0"/>
                <w:sz w:val="21"/>
                <w:szCs w:val="21"/>
              </w:rPr>
            </w:pPr>
          </w:p>
        </w:tc>
        <w:tc>
          <w:tcPr>
            <w:tcW w:w="1485" w:type="dxa"/>
            <w:tcBorders>
              <w:top w:val="single" w:color="auto" w:sz="6" w:space="0"/>
              <w:left w:val="single" w:color="auto" w:sz="6" w:space="0"/>
              <w:bottom w:val="single" w:color="auto" w:sz="6" w:space="0"/>
              <w:right w:val="single" w:color="auto" w:sz="6" w:space="0"/>
            </w:tcBorders>
            <w:vAlign w:val="center"/>
          </w:tcPr>
          <w:p w14:paraId="54660C83">
            <w:pPr>
              <w:wordWrap w:val="0"/>
              <w:adjustRightInd w:val="0"/>
              <w:snapToGrid w:val="0"/>
              <w:spacing w:line="240" w:lineRule="auto"/>
              <w:jc w:val="center"/>
              <w:rPr>
                <w:rFonts w:hAnsi="宋体" w:cs="宋体"/>
                <w:snapToGrid w:val="0"/>
                <w:color w:val="auto"/>
                <w:kern w:val="0"/>
                <w:sz w:val="21"/>
                <w:szCs w:val="21"/>
              </w:rPr>
            </w:pPr>
          </w:p>
        </w:tc>
        <w:tc>
          <w:tcPr>
            <w:tcW w:w="615" w:type="dxa"/>
            <w:tcBorders>
              <w:top w:val="single" w:color="auto" w:sz="6" w:space="0"/>
              <w:left w:val="single" w:color="auto" w:sz="6" w:space="0"/>
              <w:bottom w:val="single" w:color="auto" w:sz="6" w:space="0"/>
              <w:right w:val="single" w:color="auto" w:sz="6" w:space="0"/>
            </w:tcBorders>
            <w:vAlign w:val="center"/>
          </w:tcPr>
          <w:p w14:paraId="0A612874">
            <w:pPr>
              <w:wordWrap w:val="0"/>
              <w:adjustRightInd w:val="0"/>
              <w:snapToGrid w:val="0"/>
              <w:spacing w:line="240" w:lineRule="auto"/>
              <w:jc w:val="center"/>
              <w:rPr>
                <w:rFonts w:hAnsi="宋体" w:cs="宋体"/>
                <w:snapToGrid w:val="0"/>
                <w:color w:val="auto"/>
                <w:kern w:val="0"/>
                <w:sz w:val="21"/>
                <w:szCs w:val="21"/>
              </w:rPr>
            </w:pPr>
          </w:p>
        </w:tc>
        <w:tc>
          <w:tcPr>
            <w:tcW w:w="1680" w:type="dxa"/>
            <w:tcBorders>
              <w:top w:val="single" w:color="auto" w:sz="6" w:space="0"/>
              <w:left w:val="single" w:color="auto" w:sz="6" w:space="0"/>
              <w:bottom w:val="single" w:color="auto" w:sz="6" w:space="0"/>
              <w:right w:val="single" w:color="auto" w:sz="6" w:space="0"/>
            </w:tcBorders>
            <w:vAlign w:val="center"/>
          </w:tcPr>
          <w:p w14:paraId="2CA443DD">
            <w:pPr>
              <w:wordWrap w:val="0"/>
              <w:adjustRightInd w:val="0"/>
              <w:snapToGrid w:val="0"/>
              <w:spacing w:line="240" w:lineRule="auto"/>
              <w:jc w:val="center"/>
              <w:rPr>
                <w:rFonts w:hAnsi="宋体" w:cs="宋体"/>
                <w:snapToGrid w:val="0"/>
                <w:color w:val="auto"/>
                <w:kern w:val="0"/>
                <w:sz w:val="21"/>
                <w:szCs w:val="21"/>
              </w:rPr>
            </w:pPr>
          </w:p>
        </w:tc>
        <w:tc>
          <w:tcPr>
            <w:tcW w:w="1425" w:type="dxa"/>
            <w:tcBorders>
              <w:top w:val="single" w:color="auto" w:sz="6" w:space="0"/>
              <w:left w:val="single" w:color="auto" w:sz="6" w:space="0"/>
              <w:bottom w:val="single" w:color="auto" w:sz="6" w:space="0"/>
              <w:right w:val="single" w:color="auto" w:sz="6" w:space="0"/>
            </w:tcBorders>
            <w:vAlign w:val="center"/>
          </w:tcPr>
          <w:p w14:paraId="2ACD3406">
            <w:pPr>
              <w:wordWrap w:val="0"/>
              <w:adjustRightInd w:val="0"/>
              <w:snapToGrid w:val="0"/>
              <w:spacing w:line="240" w:lineRule="auto"/>
              <w:jc w:val="center"/>
              <w:rPr>
                <w:rFonts w:hAnsi="宋体" w:cs="宋体"/>
                <w:snapToGrid w:val="0"/>
                <w:color w:val="auto"/>
                <w:kern w:val="0"/>
                <w:sz w:val="21"/>
                <w:szCs w:val="21"/>
              </w:rPr>
            </w:pPr>
          </w:p>
        </w:tc>
        <w:tc>
          <w:tcPr>
            <w:tcW w:w="660" w:type="dxa"/>
            <w:tcBorders>
              <w:top w:val="single" w:color="auto" w:sz="6" w:space="0"/>
              <w:left w:val="single" w:color="auto" w:sz="6" w:space="0"/>
              <w:bottom w:val="single" w:color="auto" w:sz="6" w:space="0"/>
              <w:right w:val="single" w:color="auto" w:sz="6" w:space="0"/>
            </w:tcBorders>
            <w:vAlign w:val="center"/>
          </w:tcPr>
          <w:p w14:paraId="6691DDD1">
            <w:pPr>
              <w:wordWrap w:val="0"/>
              <w:adjustRightInd w:val="0"/>
              <w:snapToGrid w:val="0"/>
              <w:spacing w:line="240" w:lineRule="auto"/>
              <w:jc w:val="center"/>
              <w:rPr>
                <w:rFonts w:hAnsi="宋体" w:cs="宋体"/>
                <w:snapToGrid w:val="0"/>
                <w:color w:val="auto"/>
                <w:kern w:val="0"/>
                <w:sz w:val="21"/>
                <w:szCs w:val="21"/>
              </w:rPr>
            </w:pPr>
          </w:p>
        </w:tc>
        <w:tc>
          <w:tcPr>
            <w:tcW w:w="1695" w:type="dxa"/>
            <w:tcBorders>
              <w:top w:val="single" w:color="auto" w:sz="6" w:space="0"/>
              <w:left w:val="single" w:color="auto" w:sz="6" w:space="0"/>
              <w:bottom w:val="single" w:color="auto" w:sz="6" w:space="0"/>
              <w:right w:val="single" w:color="auto" w:sz="6" w:space="0"/>
            </w:tcBorders>
            <w:vAlign w:val="center"/>
          </w:tcPr>
          <w:p w14:paraId="68D2FF06">
            <w:pPr>
              <w:wordWrap w:val="0"/>
              <w:adjustRightInd w:val="0"/>
              <w:snapToGrid w:val="0"/>
              <w:spacing w:line="240" w:lineRule="auto"/>
              <w:jc w:val="center"/>
              <w:rPr>
                <w:rFonts w:hAnsi="宋体" w:cs="宋体"/>
                <w:snapToGrid w:val="0"/>
                <w:color w:val="auto"/>
                <w:kern w:val="0"/>
                <w:sz w:val="21"/>
                <w:szCs w:val="21"/>
              </w:rPr>
            </w:pPr>
          </w:p>
        </w:tc>
        <w:tc>
          <w:tcPr>
            <w:tcW w:w="1455" w:type="dxa"/>
            <w:tcBorders>
              <w:top w:val="single" w:color="auto" w:sz="6" w:space="0"/>
              <w:left w:val="single" w:color="auto" w:sz="6" w:space="0"/>
              <w:bottom w:val="single" w:color="auto" w:sz="6" w:space="0"/>
              <w:right w:val="single" w:color="auto" w:sz="6" w:space="0"/>
            </w:tcBorders>
            <w:vAlign w:val="center"/>
          </w:tcPr>
          <w:p w14:paraId="5E63EE48">
            <w:pPr>
              <w:wordWrap w:val="0"/>
              <w:adjustRightInd w:val="0"/>
              <w:snapToGrid w:val="0"/>
              <w:spacing w:line="240" w:lineRule="auto"/>
              <w:jc w:val="center"/>
              <w:rPr>
                <w:rFonts w:hAnsi="宋体" w:cs="宋体"/>
                <w:snapToGrid w:val="0"/>
                <w:color w:val="auto"/>
                <w:kern w:val="0"/>
                <w:sz w:val="21"/>
                <w:szCs w:val="21"/>
              </w:rPr>
            </w:pPr>
          </w:p>
        </w:tc>
        <w:tc>
          <w:tcPr>
            <w:tcW w:w="645" w:type="dxa"/>
            <w:tcBorders>
              <w:top w:val="single" w:color="auto" w:sz="6" w:space="0"/>
              <w:left w:val="single" w:color="auto" w:sz="6" w:space="0"/>
              <w:bottom w:val="single" w:color="auto" w:sz="6" w:space="0"/>
              <w:right w:val="single" w:color="auto" w:sz="6" w:space="0"/>
            </w:tcBorders>
            <w:vAlign w:val="center"/>
          </w:tcPr>
          <w:p w14:paraId="54BF5E59">
            <w:pPr>
              <w:wordWrap w:val="0"/>
              <w:adjustRightInd w:val="0"/>
              <w:snapToGrid w:val="0"/>
              <w:spacing w:line="240" w:lineRule="auto"/>
              <w:jc w:val="center"/>
              <w:rPr>
                <w:rFonts w:hAnsi="宋体" w:cs="宋体"/>
                <w:snapToGrid w:val="0"/>
                <w:color w:val="auto"/>
                <w:kern w:val="0"/>
                <w:sz w:val="21"/>
                <w:szCs w:val="21"/>
              </w:rPr>
            </w:pPr>
          </w:p>
        </w:tc>
        <w:tc>
          <w:tcPr>
            <w:tcW w:w="1680" w:type="dxa"/>
            <w:tcBorders>
              <w:top w:val="single" w:color="auto" w:sz="6" w:space="0"/>
              <w:left w:val="single" w:color="auto" w:sz="6" w:space="0"/>
              <w:bottom w:val="single" w:color="auto" w:sz="6" w:space="0"/>
              <w:right w:val="single" w:color="auto" w:sz="6" w:space="0"/>
            </w:tcBorders>
            <w:vAlign w:val="center"/>
          </w:tcPr>
          <w:p w14:paraId="2C5A3C3A">
            <w:pPr>
              <w:wordWrap w:val="0"/>
              <w:adjustRightInd w:val="0"/>
              <w:snapToGrid w:val="0"/>
              <w:spacing w:line="240" w:lineRule="auto"/>
              <w:jc w:val="center"/>
              <w:rPr>
                <w:rFonts w:hAnsi="宋体" w:cs="宋体"/>
                <w:snapToGrid w:val="0"/>
                <w:color w:val="auto"/>
                <w:kern w:val="0"/>
                <w:sz w:val="21"/>
                <w:szCs w:val="21"/>
              </w:rPr>
            </w:pPr>
          </w:p>
        </w:tc>
      </w:tr>
    </w:tbl>
    <w:p w14:paraId="15E9AC48">
      <w:pPr>
        <w:pStyle w:val="34"/>
        <w:widowControl w:val="0"/>
        <w:wordWrap w:val="0"/>
        <w:adjustRightInd w:val="0"/>
        <w:snapToGrid w:val="0"/>
        <w:spacing w:line="400" w:lineRule="exact"/>
        <w:rPr>
          <w:rFonts w:hAnsi="宋体" w:cs="宋体"/>
          <w:snapToGrid w:val="0"/>
          <w:color w:val="auto"/>
          <w:sz w:val="21"/>
        </w:rPr>
      </w:pPr>
      <w:r>
        <w:rPr>
          <w:rFonts w:hint="eastAsia" w:hAnsi="宋体" w:cs="宋体"/>
          <w:snapToGrid w:val="0"/>
          <w:color w:val="auto"/>
          <w:sz w:val="21"/>
        </w:rPr>
        <w:t>说明：</w:t>
      </w:r>
    </w:p>
    <w:p w14:paraId="7925B1AD">
      <w:pPr>
        <w:pStyle w:val="34"/>
        <w:widowControl w:val="0"/>
        <w:wordWrap w:val="0"/>
        <w:adjustRightInd w:val="0"/>
        <w:snapToGrid w:val="0"/>
        <w:spacing w:line="400" w:lineRule="exact"/>
        <w:rPr>
          <w:rFonts w:hAnsi="宋体" w:cs="宋体"/>
          <w:snapToGrid w:val="0"/>
          <w:color w:val="auto"/>
          <w:sz w:val="21"/>
        </w:rPr>
        <w:sectPr>
          <w:endnotePr>
            <w:numFmt w:val="decimal"/>
          </w:endnotePr>
          <w:pgSz w:w="16838" w:h="11906" w:orient="landscape"/>
          <w:pgMar w:top="1417" w:right="1417" w:bottom="1417" w:left="1417" w:header="850" w:footer="992" w:gutter="0"/>
          <w:cols w:space="0" w:num="1"/>
          <w:docGrid w:linePitch="327" w:charSpace="0"/>
        </w:sectPr>
      </w:pPr>
      <w:r>
        <w:rPr>
          <w:rFonts w:hint="eastAsia" w:hAnsi="宋体" w:cs="宋体"/>
          <w:snapToGrid w:val="0"/>
          <w:color w:val="auto"/>
          <w:sz w:val="21"/>
        </w:rPr>
        <w:t>1</w:t>
      </w:r>
      <w:r>
        <w:rPr>
          <w:rFonts w:hint="eastAsia" w:hAnsi="宋体" w:cs="宋体"/>
          <w:snapToGrid w:val="0"/>
          <w:color w:val="auto"/>
          <w:sz w:val="21"/>
          <w:szCs w:val="28"/>
        </w:rPr>
        <w:t>．表中没有或无法填写的栏目，用</w:t>
      </w:r>
      <w:r>
        <w:rPr>
          <w:rFonts w:hint="eastAsia" w:hAnsi="宋体" w:cs="宋体"/>
          <w:snapToGrid w:val="0"/>
          <w:color w:val="auto"/>
          <w:sz w:val="21"/>
        </w:rPr>
        <w:t>“/”示意。</w:t>
      </w:r>
      <w:bookmarkEnd w:id="256"/>
      <w:bookmarkEnd w:id="257"/>
      <w:bookmarkEnd w:id="258"/>
      <w:bookmarkEnd w:id="259"/>
    </w:p>
    <w:p w14:paraId="6AD122E7">
      <w:pPr>
        <w:pStyle w:val="38"/>
        <w:keepNext/>
        <w:keepLines/>
        <w:snapToGrid w:val="0"/>
        <w:spacing w:line="400" w:lineRule="exact"/>
        <w:jc w:val="both"/>
        <w:rPr>
          <w:rFonts w:ascii="宋体" w:hAnsi="宋体" w:cs="宋体"/>
          <w:b/>
          <w:bCs/>
          <w:snapToGrid w:val="0"/>
          <w:color w:val="auto"/>
        </w:rPr>
      </w:pPr>
      <w:bookmarkStart w:id="289" w:name="_Toc24916"/>
      <w:bookmarkStart w:id="290" w:name="_Toc4835"/>
      <w:r>
        <w:rPr>
          <w:rFonts w:hint="eastAsia" w:ascii="宋体" w:hAnsi="宋体" w:cs="宋体"/>
          <w:b/>
          <w:bCs/>
          <w:snapToGrid w:val="0"/>
          <w:color w:val="auto"/>
        </w:rPr>
        <w:t>格式十一  总监理工程师简历表</w:t>
      </w:r>
      <w:bookmarkEnd w:id="289"/>
      <w:bookmarkEnd w:id="290"/>
    </w:p>
    <w:p w14:paraId="23BA9978">
      <w:pPr>
        <w:adjustRightInd w:val="0"/>
        <w:snapToGrid w:val="0"/>
        <w:spacing w:line="400" w:lineRule="exact"/>
        <w:jc w:val="center"/>
        <w:rPr>
          <w:rFonts w:hAnsi="宋体" w:cs="宋体"/>
          <w:b/>
          <w:bCs/>
          <w:color w:val="auto"/>
          <w:sz w:val="32"/>
          <w:szCs w:val="22"/>
        </w:rPr>
      </w:pPr>
    </w:p>
    <w:p w14:paraId="35C5702D">
      <w:pPr>
        <w:adjustRightInd w:val="0"/>
        <w:snapToGrid w:val="0"/>
        <w:spacing w:line="400" w:lineRule="exact"/>
        <w:jc w:val="center"/>
        <w:rPr>
          <w:rFonts w:hAnsi="宋体" w:cs="宋体"/>
          <w:b/>
          <w:bCs/>
          <w:color w:val="auto"/>
          <w:sz w:val="32"/>
          <w:szCs w:val="22"/>
        </w:rPr>
      </w:pPr>
      <w:r>
        <w:rPr>
          <w:rFonts w:hint="eastAsia" w:hAnsi="宋体" w:cs="宋体"/>
          <w:b/>
          <w:bCs/>
          <w:color w:val="auto"/>
          <w:sz w:val="32"/>
          <w:szCs w:val="22"/>
        </w:rPr>
        <w:t>总监理工程师简历表</w:t>
      </w:r>
    </w:p>
    <w:tbl>
      <w:tblPr>
        <w:tblStyle w:val="16"/>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3"/>
        <w:gridCol w:w="970"/>
        <w:gridCol w:w="1130"/>
        <w:gridCol w:w="227"/>
        <w:gridCol w:w="1467"/>
        <w:gridCol w:w="688"/>
        <w:gridCol w:w="512"/>
        <w:gridCol w:w="1288"/>
        <w:gridCol w:w="547"/>
        <w:gridCol w:w="1798"/>
      </w:tblGrid>
      <w:tr w14:paraId="40AB9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13" w:type="dxa"/>
            <w:gridSpan w:val="2"/>
            <w:tcBorders>
              <w:top w:val="single" w:color="auto" w:sz="6" w:space="0"/>
              <w:left w:val="single" w:color="auto" w:sz="6" w:space="0"/>
              <w:bottom w:val="single" w:color="auto" w:sz="6" w:space="0"/>
              <w:right w:val="single" w:color="auto" w:sz="6" w:space="0"/>
            </w:tcBorders>
            <w:vAlign w:val="center"/>
          </w:tcPr>
          <w:p w14:paraId="123E6CD7">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姓  名</w:t>
            </w:r>
          </w:p>
        </w:tc>
        <w:tc>
          <w:tcPr>
            <w:tcW w:w="1357" w:type="dxa"/>
            <w:gridSpan w:val="2"/>
            <w:tcBorders>
              <w:top w:val="single" w:color="auto" w:sz="6" w:space="0"/>
              <w:left w:val="single" w:color="auto" w:sz="6" w:space="0"/>
              <w:bottom w:val="single" w:color="auto" w:sz="6" w:space="0"/>
              <w:right w:val="single" w:color="auto" w:sz="6" w:space="0"/>
            </w:tcBorders>
            <w:vAlign w:val="center"/>
          </w:tcPr>
          <w:p w14:paraId="65BEB934">
            <w:pPr>
              <w:wordWrap w:val="0"/>
              <w:adjustRightInd w:val="0"/>
              <w:snapToGrid w:val="0"/>
              <w:spacing w:line="400" w:lineRule="exact"/>
              <w:jc w:val="center"/>
              <w:rPr>
                <w:rFonts w:hAnsi="宋体" w:cs="宋体"/>
                <w:snapToGrid w:val="0"/>
                <w:color w:val="auto"/>
                <w:kern w:val="0"/>
                <w:sz w:val="21"/>
                <w:szCs w:val="21"/>
              </w:rPr>
            </w:pPr>
          </w:p>
        </w:tc>
        <w:tc>
          <w:tcPr>
            <w:tcW w:w="1467" w:type="dxa"/>
            <w:tcBorders>
              <w:top w:val="single" w:color="auto" w:sz="6" w:space="0"/>
              <w:left w:val="single" w:color="auto" w:sz="6" w:space="0"/>
              <w:bottom w:val="single" w:color="auto" w:sz="6" w:space="0"/>
              <w:right w:val="single" w:color="auto" w:sz="6" w:space="0"/>
            </w:tcBorders>
            <w:vAlign w:val="center"/>
          </w:tcPr>
          <w:p w14:paraId="5F00B071">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性  别</w:t>
            </w:r>
          </w:p>
        </w:tc>
        <w:tc>
          <w:tcPr>
            <w:tcW w:w="1200" w:type="dxa"/>
            <w:gridSpan w:val="2"/>
            <w:tcBorders>
              <w:top w:val="single" w:color="auto" w:sz="6" w:space="0"/>
              <w:left w:val="single" w:color="auto" w:sz="6" w:space="0"/>
              <w:bottom w:val="single" w:color="auto" w:sz="6" w:space="0"/>
              <w:right w:val="single" w:color="auto" w:sz="6" w:space="0"/>
            </w:tcBorders>
            <w:vAlign w:val="center"/>
          </w:tcPr>
          <w:p w14:paraId="2406D2EE">
            <w:pPr>
              <w:wordWrap w:val="0"/>
              <w:adjustRightInd w:val="0"/>
              <w:snapToGrid w:val="0"/>
              <w:spacing w:line="400" w:lineRule="exact"/>
              <w:jc w:val="center"/>
              <w:rPr>
                <w:rFonts w:hAnsi="宋体" w:cs="宋体"/>
                <w:snapToGrid w:val="0"/>
                <w:color w:val="auto"/>
                <w:kern w:val="0"/>
                <w:sz w:val="21"/>
                <w:szCs w:val="21"/>
              </w:rPr>
            </w:pPr>
          </w:p>
        </w:tc>
        <w:tc>
          <w:tcPr>
            <w:tcW w:w="1835" w:type="dxa"/>
            <w:gridSpan w:val="2"/>
            <w:tcBorders>
              <w:top w:val="single" w:color="auto" w:sz="6" w:space="0"/>
              <w:left w:val="single" w:color="auto" w:sz="6" w:space="0"/>
              <w:bottom w:val="single" w:color="auto" w:sz="6" w:space="0"/>
              <w:right w:val="single" w:color="auto" w:sz="6" w:space="0"/>
            </w:tcBorders>
            <w:vAlign w:val="center"/>
          </w:tcPr>
          <w:p w14:paraId="39F178B6">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年  龄</w:t>
            </w:r>
          </w:p>
        </w:tc>
        <w:tc>
          <w:tcPr>
            <w:tcW w:w="1798" w:type="dxa"/>
            <w:tcBorders>
              <w:top w:val="single" w:color="auto" w:sz="6" w:space="0"/>
              <w:left w:val="single" w:color="auto" w:sz="6" w:space="0"/>
              <w:bottom w:val="single" w:color="auto" w:sz="6" w:space="0"/>
              <w:right w:val="single" w:color="auto" w:sz="6" w:space="0"/>
            </w:tcBorders>
            <w:vAlign w:val="center"/>
          </w:tcPr>
          <w:p w14:paraId="5E271808">
            <w:pPr>
              <w:wordWrap w:val="0"/>
              <w:adjustRightInd w:val="0"/>
              <w:snapToGrid w:val="0"/>
              <w:spacing w:line="400" w:lineRule="exact"/>
              <w:jc w:val="center"/>
              <w:rPr>
                <w:rFonts w:hAnsi="宋体" w:cs="宋体"/>
                <w:snapToGrid w:val="0"/>
                <w:color w:val="auto"/>
                <w:kern w:val="0"/>
                <w:sz w:val="21"/>
                <w:szCs w:val="21"/>
              </w:rPr>
            </w:pPr>
          </w:p>
        </w:tc>
      </w:tr>
      <w:tr w14:paraId="04F0BE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13" w:type="dxa"/>
            <w:gridSpan w:val="2"/>
            <w:tcBorders>
              <w:top w:val="single" w:color="auto" w:sz="6" w:space="0"/>
              <w:left w:val="single" w:color="auto" w:sz="6" w:space="0"/>
              <w:bottom w:val="single" w:color="auto" w:sz="6" w:space="0"/>
              <w:right w:val="single" w:color="auto" w:sz="6" w:space="0"/>
            </w:tcBorders>
            <w:vAlign w:val="center"/>
          </w:tcPr>
          <w:p w14:paraId="2B426161">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职  称</w:t>
            </w:r>
          </w:p>
        </w:tc>
        <w:tc>
          <w:tcPr>
            <w:tcW w:w="1357" w:type="dxa"/>
            <w:gridSpan w:val="2"/>
            <w:tcBorders>
              <w:top w:val="single" w:color="auto" w:sz="6" w:space="0"/>
              <w:left w:val="single" w:color="auto" w:sz="6" w:space="0"/>
              <w:bottom w:val="single" w:color="auto" w:sz="6" w:space="0"/>
              <w:right w:val="single" w:color="auto" w:sz="6" w:space="0"/>
            </w:tcBorders>
            <w:vAlign w:val="center"/>
          </w:tcPr>
          <w:p w14:paraId="24B25376">
            <w:pPr>
              <w:wordWrap w:val="0"/>
              <w:adjustRightInd w:val="0"/>
              <w:snapToGrid w:val="0"/>
              <w:spacing w:line="400" w:lineRule="exact"/>
              <w:jc w:val="center"/>
              <w:rPr>
                <w:rFonts w:hAnsi="宋体" w:cs="宋体"/>
                <w:snapToGrid w:val="0"/>
                <w:color w:val="auto"/>
                <w:kern w:val="0"/>
                <w:sz w:val="21"/>
                <w:szCs w:val="21"/>
              </w:rPr>
            </w:pPr>
          </w:p>
        </w:tc>
        <w:tc>
          <w:tcPr>
            <w:tcW w:w="1467" w:type="dxa"/>
            <w:tcBorders>
              <w:top w:val="single" w:color="auto" w:sz="6" w:space="0"/>
              <w:left w:val="single" w:color="auto" w:sz="6" w:space="0"/>
              <w:bottom w:val="single" w:color="auto" w:sz="6" w:space="0"/>
              <w:right w:val="single" w:color="auto" w:sz="6" w:space="0"/>
            </w:tcBorders>
            <w:vAlign w:val="center"/>
          </w:tcPr>
          <w:p w14:paraId="4DFA67A6">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学  历</w:t>
            </w:r>
          </w:p>
        </w:tc>
        <w:tc>
          <w:tcPr>
            <w:tcW w:w="1200" w:type="dxa"/>
            <w:gridSpan w:val="2"/>
            <w:tcBorders>
              <w:top w:val="single" w:color="auto" w:sz="6" w:space="0"/>
              <w:left w:val="single" w:color="auto" w:sz="6" w:space="0"/>
              <w:bottom w:val="single" w:color="auto" w:sz="6" w:space="0"/>
              <w:right w:val="single" w:color="auto" w:sz="6" w:space="0"/>
            </w:tcBorders>
            <w:vAlign w:val="center"/>
          </w:tcPr>
          <w:p w14:paraId="11554391">
            <w:pPr>
              <w:wordWrap w:val="0"/>
              <w:adjustRightInd w:val="0"/>
              <w:snapToGrid w:val="0"/>
              <w:spacing w:line="400" w:lineRule="exact"/>
              <w:jc w:val="center"/>
              <w:rPr>
                <w:rFonts w:hAnsi="宋体" w:cs="宋体"/>
                <w:snapToGrid w:val="0"/>
                <w:color w:val="auto"/>
                <w:kern w:val="0"/>
                <w:sz w:val="21"/>
                <w:szCs w:val="21"/>
              </w:rPr>
            </w:pPr>
          </w:p>
        </w:tc>
        <w:tc>
          <w:tcPr>
            <w:tcW w:w="1835" w:type="dxa"/>
            <w:gridSpan w:val="2"/>
            <w:tcBorders>
              <w:top w:val="single" w:color="auto" w:sz="6" w:space="0"/>
              <w:left w:val="single" w:color="auto" w:sz="6" w:space="0"/>
              <w:bottom w:val="single" w:color="auto" w:sz="6" w:space="0"/>
              <w:right w:val="single" w:color="auto" w:sz="6" w:space="0"/>
            </w:tcBorders>
            <w:vAlign w:val="center"/>
          </w:tcPr>
          <w:p w14:paraId="0B88D04C">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拟在本项目任职</w:t>
            </w:r>
          </w:p>
        </w:tc>
        <w:tc>
          <w:tcPr>
            <w:tcW w:w="1798" w:type="dxa"/>
            <w:tcBorders>
              <w:top w:val="single" w:color="auto" w:sz="6" w:space="0"/>
              <w:left w:val="single" w:color="auto" w:sz="6" w:space="0"/>
              <w:bottom w:val="single" w:color="auto" w:sz="6" w:space="0"/>
              <w:right w:val="single" w:color="auto" w:sz="6" w:space="0"/>
            </w:tcBorders>
            <w:vAlign w:val="center"/>
          </w:tcPr>
          <w:p w14:paraId="4708F8B2">
            <w:pPr>
              <w:wordWrap w:val="0"/>
              <w:adjustRightInd w:val="0"/>
              <w:snapToGrid w:val="0"/>
              <w:spacing w:line="400" w:lineRule="exact"/>
              <w:jc w:val="center"/>
              <w:rPr>
                <w:rFonts w:hAnsi="宋体" w:cs="宋体"/>
                <w:snapToGrid w:val="0"/>
                <w:color w:val="auto"/>
                <w:kern w:val="0"/>
                <w:sz w:val="21"/>
                <w:szCs w:val="21"/>
              </w:rPr>
            </w:pPr>
          </w:p>
        </w:tc>
      </w:tr>
      <w:tr w14:paraId="217861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13" w:type="dxa"/>
            <w:gridSpan w:val="2"/>
            <w:tcBorders>
              <w:top w:val="single" w:color="auto" w:sz="6" w:space="0"/>
              <w:left w:val="single" w:color="auto" w:sz="6" w:space="0"/>
              <w:bottom w:val="single" w:color="auto" w:sz="6" w:space="0"/>
              <w:right w:val="single" w:color="auto" w:sz="6" w:space="0"/>
            </w:tcBorders>
            <w:vAlign w:val="center"/>
          </w:tcPr>
          <w:p w14:paraId="452E7ECB">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参加工作时间</w:t>
            </w:r>
          </w:p>
        </w:tc>
        <w:tc>
          <w:tcPr>
            <w:tcW w:w="2824" w:type="dxa"/>
            <w:gridSpan w:val="3"/>
            <w:tcBorders>
              <w:top w:val="single" w:color="auto" w:sz="6" w:space="0"/>
              <w:left w:val="single" w:color="auto" w:sz="6" w:space="0"/>
              <w:bottom w:val="single" w:color="auto" w:sz="6" w:space="0"/>
              <w:right w:val="single" w:color="auto" w:sz="6" w:space="0"/>
            </w:tcBorders>
            <w:vAlign w:val="center"/>
          </w:tcPr>
          <w:p w14:paraId="5D23FED7">
            <w:pPr>
              <w:wordWrap w:val="0"/>
              <w:adjustRightInd w:val="0"/>
              <w:snapToGrid w:val="0"/>
              <w:spacing w:line="400" w:lineRule="exact"/>
              <w:jc w:val="center"/>
              <w:rPr>
                <w:rFonts w:hAnsi="宋体" w:cs="宋体"/>
                <w:snapToGrid w:val="0"/>
                <w:color w:val="auto"/>
                <w:kern w:val="0"/>
                <w:sz w:val="21"/>
                <w:szCs w:val="21"/>
              </w:rPr>
            </w:pPr>
          </w:p>
        </w:tc>
        <w:tc>
          <w:tcPr>
            <w:tcW w:w="3035" w:type="dxa"/>
            <w:gridSpan w:val="4"/>
            <w:tcBorders>
              <w:top w:val="single" w:color="auto" w:sz="6" w:space="0"/>
              <w:left w:val="single" w:color="auto" w:sz="6" w:space="0"/>
              <w:bottom w:val="single" w:color="auto" w:sz="6" w:space="0"/>
              <w:right w:val="single" w:color="auto" w:sz="6" w:space="0"/>
            </w:tcBorders>
            <w:vAlign w:val="center"/>
          </w:tcPr>
          <w:p w14:paraId="49280C24">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从事监理工作年限</w:t>
            </w:r>
          </w:p>
        </w:tc>
        <w:tc>
          <w:tcPr>
            <w:tcW w:w="1798" w:type="dxa"/>
            <w:tcBorders>
              <w:top w:val="single" w:color="auto" w:sz="6" w:space="0"/>
              <w:left w:val="single" w:color="auto" w:sz="6" w:space="0"/>
              <w:bottom w:val="single" w:color="auto" w:sz="6" w:space="0"/>
              <w:right w:val="single" w:color="auto" w:sz="6" w:space="0"/>
            </w:tcBorders>
            <w:vAlign w:val="center"/>
          </w:tcPr>
          <w:p w14:paraId="1911B017">
            <w:pPr>
              <w:wordWrap w:val="0"/>
              <w:adjustRightInd w:val="0"/>
              <w:snapToGrid w:val="0"/>
              <w:spacing w:line="400" w:lineRule="exact"/>
              <w:jc w:val="center"/>
              <w:rPr>
                <w:rFonts w:hAnsi="宋体" w:cs="宋体"/>
                <w:snapToGrid w:val="0"/>
                <w:color w:val="auto"/>
                <w:kern w:val="0"/>
                <w:sz w:val="21"/>
                <w:szCs w:val="21"/>
              </w:rPr>
            </w:pPr>
          </w:p>
        </w:tc>
      </w:tr>
      <w:tr w14:paraId="67B60C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13" w:type="dxa"/>
            <w:gridSpan w:val="2"/>
            <w:tcBorders>
              <w:top w:val="single" w:color="auto" w:sz="6" w:space="0"/>
              <w:left w:val="single" w:color="auto" w:sz="6" w:space="0"/>
              <w:bottom w:val="single" w:color="auto" w:sz="6" w:space="0"/>
              <w:right w:val="single" w:color="auto" w:sz="6" w:space="0"/>
            </w:tcBorders>
            <w:vAlign w:val="center"/>
          </w:tcPr>
          <w:p w14:paraId="677E9025">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注册证书</w:t>
            </w:r>
          </w:p>
        </w:tc>
        <w:tc>
          <w:tcPr>
            <w:tcW w:w="7657" w:type="dxa"/>
            <w:gridSpan w:val="8"/>
            <w:tcBorders>
              <w:top w:val="single" w:color="auto" w:sz="6" w:space="0"/>
              <w:left w:val="single" w:color="auto" w:sz="6" w:space="0"/>
              <w:bottom w:val="single" w:color="auto" w:sz="6" w:space="0"/>
              <w:right w:val="single" w:color="auto" w:sz="6" w:space="0"/>
            </w:tcBorders>
            <w:vAlign w:val="center"/>
          </w:tcPr>
          <w:p w14:paraId="6EEF2FC4">
            <w:pPr>
              <w:wordWrap w:val="0"/>
              <w:adjustRightInd w:val="0"/>
              <w:snapToGrid w:val="0"/>
              <w:spacing w:line="400" w:lineRule="exact"/>
              <w:jc w:val="left"/>
              <w:rPr>
                <w:rFonts w:hAnsi="宋体" w:cs="宋体"/>
                <w:snapToGrid w:val="0"/>
                <w:color w:val="auto"/>
                <w:kern w:val="0"/>
                <w:sz w:val="21"/>
                <w:szCs w:val="21"/>
              </w:rPr>
            </w:pPr>
            <w:r>
              <w:rPr>
                <w:rFonts w:hint="eastAsia" w:hAnsi="宋体" w:cs="宋体"/>
                <w:snapToGrid w:val="0"/>
                <w:color w:val="auto"/>
                <w:kern w:val="0"/>
                <w:sz w:val="21"/>
                <w:szCs w:val="21"/>
              </w:rPr>
              <w:t>名称：                               证书号：</w:t>
            </w:r>
          </w:p>
        </w:tc>
      </w:tr>
      <w:tr w14:paraId="2B077A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10"/>
            <w:tcBorders>
              <w:top w:val="single" w:color="auto" w:sz="6" w:space="0"/>
              <w:left w:val="single" w:color="auto" w:sz="6" w:space="0"/>
              <w:bottom w:val="single" w:color="auto" w:sz="6" w:space="0"/>
              <w:right w:val="single" w:color="auto" w:sz="6" w:space="0"/>
            </w:tcBorders>
            <w:vAlign w:val="center"/>
          </w:tcPr>
          <w:p w14:paraId="03A7BA1E">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主要工作经历</w:t>
            </w:r>
          </w:p>
        </w:tc>
      </w:tr>
      <w:tr w14:paraId="36A09B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vAlign w:val="center"/>
          </w:tcPr>
          <w:p w14:paraId="6807E91B">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序号</w:t>
            </w:r>
          </w:p>
        </w:tc>
        <w:tc>
          <w:tcPr>
            <w:tcW w:w="2100" w:type="dxa"/>
            <w:gridSpan w:val="2"/>
            <w:tcBorders>
              <w:top w:val="single" w:color="auto" w:sz="6" w:space="0"/>
              <w:left w:val="single" w:color="auto" w:sz="4" w:space="0"/>
              <w:bottom w:val="single" w:color="auto" w:sz="6" w:space="0"/>
              <w:right w:val="single" w:color="auto" w:sz="6" w:space="0"/>
            </w:tcBorders>
            <w:vAlign w:val="center"/>
          </w:tcPr>
          <w:p w14:paraId="5DA31B82">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项目名称</w:t>
            </w:r>
          </w:p>
        </w:tc>
        <w:tc>
          <w:tcPr>
            <w:tcW w:w="2382" w:type="dxa"/>
            <w:gridSpan w:val="3"/>
            <w:tcBorders>
              <w:top w:val="single" w:color="auto" w:sz="6" w:space="0"/>
              <w:left w:val="single" w:color="auto" w:sz="6" w:space="0"/>
              <w:bottom w:val="single" w:color="auto" w:sz="6" w:space="0"/>
              <w:right w:val="single" w:color="auto" w:sz="6" w:space="0"/>
            </w:tcBorders>
            <w:vAlign w:val="center"/>
          </w:tcPr>
          <w:p w14:paraId="1A7B4F9E">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委托人</w:t>
            </w:r>
          </w:p>
        </w:tc>
        <w:tc>
          <w:tcPr>
            <w:tcW w:w="1800" w:type="dxa"/>
            <w:gridSpan w:val="2"/>
            <w:tcBorders>
              <w:top w:val="single" w:color="auto" w:sz="6" w:space="0"/>
              <w:left w:val="single" w:color="auto" w:sz="6" w:space="0"/>
              <w:bottom w:val="single" w:color="auto" w:sz="6" w:space="0"/>
              <w:right w:val="single" w:color="auto" w:sz="6" w:space="0"/>
            </w:tcBorders>
            <w:vAlign w:val="center"/>
          </w:tcPr>
          <w:p w14:paraId="698B2DF2">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担任职务</w:t>
            </w:r>
          </w:p>
        </w:tc>
        <w:tc>
          <w:tcPr>
            <w:tcW w:w="2345" w:type="dxa"/>
            <w:gridSpan w:val="2"/>
            <w:tcBorders>
              <w:top w:val="single" w:color="auto" w:sz="6" w:space="0"/>
              <w:left w:val="single" w:color="auto" w:sz="6" w:space="0"/>
              <w:bottom w:val="single" w:color="auto" w:sz="6" w:space="0"/>
              <w:right w:val="single" w:color="auto" w:sz="6" w:space="0"/>
            </w:tcBorders>
            <w:vAlign w:val="center"/>
          </w:tcPr>
          <w:p w14:paraId="6CD87476">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起止时间</w:t>
            </w:r>
          </w:p>
        </w:tc>
      </w:tr>
      <w:tr w14:paraId="731EC0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exact"/>
        </w:trPr>
        <w:tc>
          <w:tcPr>
            <w:tcW w:w="643" w:type="dxa"/>
            <w:tcBorders>
              <w:top w:val="single" w:color="auto" w:sz="6" w:space="0"/>
              <w:left w:val="single" w:color="auto" w:sz="6" w:space="0"/>
              <w:bottom w:val="single" w:color="auto" w:sz="6" w:space="0"/>
              <w:right w:val="single" w:color="auto" w:sz="4" w:space="0"/>
            </w:tcBorders>
            <w:vAlign w:val="center"/>
          </w:tcPr>
          <w:p w14:paraId="6F0EEF05">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1</w:t>
            </w:r>
          </w:p>
        </w:tc>
        <w:tc>
          <w:tcPr>
            <w:tcW w:w="2100" w:type="dxa"/>
            <w:gridSpan w:val="2"/>
            <w:tcBorders>
              <w:top w:val="single" w:color="auto" w:sz="6" w:space="0"/>
              <w:left w:val="single" w:color="auto" w:sz="4" w:space="0"/>
              <w:bottom w:val="single" w:color="auto" w:sz="6" w:space="0"/>
              <w:right w:val="single" w:color="auto" w:sz="6" w:space="0"/>
            </w:tcBorders>
            <w:vAlign w:val="center"/>
          </w:tcPr>
          <w:p w14:paraId="2B34B10D">
            <w:pPr>
              <w:wordWrap w:val="0"/>
              <w:adjustRightInd w:val="0"/>
              <w:snapToGrid w:val="0"/>
              <w:spacing w:line="400" w:lineRule="exact"/>
              <w:jc w:val="center"/>
              <w:rPr>
                <w:rFonts w:hAnsi="宋体" w:cs="宋体"/>
                <w:snapToGrid w:val="0"/>
                <w:color w:val="auto"/>
                <w:kern w:val="0"/>
                <w:sz w:val="21"/>
                <w:szCs w:val="21"/>
              </w:rPr>
            </w:pPr>
          </w:p>
        </w:tc>
        <w:tc>
          <w:tcPr>
            <w:tcW w:w="2382" w:type="dxa"/>
            <w:gridSpan w:val="3"/>
            <w:tcBorders>
              <w:top w:val="single" w:color="auto" w:sz="6" w:space="0"/>
              <w:left w:val="single" w:color="auto" w:sz="6" w:space="0"/>
              <w:bottom w:val="single" w:color="auto" w:sz="6" w:space="0"/>
              <w:right w:val="single" w:color="auto" w:sz="6" w:space="0"/>
            </w:tcBorders>
            <w:vAlign w:val="center"/>
          </w:tcPr>
          <w:p w14:paraId="0EB9A8B1">
            <w:pPr>
              <w:wordWrap w:val="0"/>
              <w:adjustRightInd w:val="0"/>
              <w:snapToGrid w:val="0"/>
              <w:spacing w:line="400" w:lineRule="exact"/>
              <w:jc w:val="center"/>
              <w:rPr>
                <w:rFonts w:hAnsi="宋体" w:cs="宋体"/>
                <w:snapToGrid w:val="0"/>
                <w:color w:val="auto"/>
                <w:kern w:val="0"/>
                <w:sz w:val="21"/>
                <w:szCs w:val="21"/>
              </w:rPr>
            </w:pPr>
          </w:p>
        </w:tc>
        <w:tc>
          <w:tcPr>
            <w:tcW w:w="1800" w:type="dxa"/>
            <w:gridSpan w:val="2"/>
            <w:tcBorders>
              <w:top w:val="single" w:color="auto" w:sz="6" w:space="0"/>
              <w:left w:val="single" w:color="auto" w:sz="6" w:space="0"/>
              <w:bottom w:val="single" w:color="auto" w:sz="6" w:space="0"/>
              <w:right w:val="single" w:color="auto" w:sz="6" w:space="0"/>
            </w:tcBorders>
            <w:vAlign w:val="center"/>
          </w:tcPr>
          <w:p w14:paraId="2D909097">
            <w:pPr>
              <w:wordWrap w:val="0"/>
              <w:adjustRightInd w:val="0"/>
              <w:snapToGrid w:val="0"/>
              <w:spacing w:line="400" w:lineRule="exact"/>
              <w:jc w:val="center"/>
              <w:rPr>
                <w:rFonts w:hAnsi="宋体" w:cs="宋体"/>
                <w:snapToGrid w:val="0"/>
                <w:color w:val="auto"/>
                <w:kern w:val="0"/>
                <w:sz w:val="21"/>
                <w:szCs w:val="21"/>
              </w:rPr>
            </w:pPr>
          </w:p>
        </w:tc>
        <w:tc>
          <w:tcPr>
            <w:tcW w:w="2345" w:type="dxa"/>
            <w:gridSpan w:val="2"/>
            <w:tcBorders>
              <w:top w:val="single" w:color="auto" w:sz="6" w:space="0"/>
              <w:left w:val="single" w:color="auto" w:sz="6" w:space="0"/>
              <w:bottom w:val="single" w:color="auto" w:sz="6" w:space="0"/>
              <w:right w:val="single" w:color="auto" w:sz="6" w:space="0"/>
            </w:tcBorders>
            <w:vAlign w:val="center"/>
          </w:tcPr>
          <w:p w14:paraId="45723567">
            <w:pPr>
              <w:wordWrap w:val="0"/>
              <w:adjustRightInd w:val="0"/>
              <w:snapToGrid w:val="0"/>
              <w:spacing w:line="400" w:lineRule="exact"/>
              <w:jc w:val="center"/>
              <w:rPr>
                <w:rFonts w:hAnsi="宋体" w:cs="宋体"/>
                <w:snapToGrid w:val="0"/>
                <w:color w:val="auto"/>
                <w:kern w:val="0"/>
                <w:sz w:val="21"/>
                <w:szCs w:val="21"/>
              </w:rPr>
            </w:pPr>
          </w:p>
        </w:tc>
      </w:tr>
      <w:tr w14:paraId="79AB33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vAlign w:val="center"/>
          </w:tcPr>
          <w:p w14:paraId="532D4964">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2</w:t>
            </w:r>
          </w:p>
        </w:tc>
        <w:tc>
          <w:tcPr>
            <w:tcW w:w="2100" w:type="dxa"/>
            <w:gridSpan w:val="2"/>
            <w:tcBorders>
              <w:top w:val="single" w:color="auto" w:sz="6" w:space="0"/>
              <w:left w:val="single" w:color="auto" w:sz="4" w:space="0"/>
              <w:bottom w:val="single" w:color="auto" w:sz="6" w:space="0"/>
              <w:right w:val="single" w:color="auto" w:sz="6" w:space="0"/>
            </w:tcBorders>
            <w:vAlign w:val="center"/>
          </w:tcPr>
          <w:p w14:paraId="25E435B2">
            <w:pPr>
              <w:wordWrap w:val="0"/>
              <w:adjustRightInd w:val="0"/>
              <w:snapToGrid w:val="0"/>
              <w:spacing w:line="400" w:lineRule="exact"/>
              <w:jc w:val="center"/>
              <w:rPr>
                <w:rFonts w:hAnsi="宋体" w:cs="宋体"/>
                <w:snapToGrid w:val="0"/>
                <w:color w:val="auto"/>
                <w:kern w:val="0"/>
                <w:sz w:val="21"/>
                <w:szCs w:val="21"/>
              </w:rPr>
            </w:pPr>
          </w:p>
        </w:tc>
        <w:tc>
          <w:tcPr>
            <w:tcW w:w="2382" w:type="dxa"/>
            <w:gridSpan w:val="3"/>
            <w:tcBorders>
              <w:top w:val="single" w:color="auto" w:sz="6" w:space="0"/>
              <w:left w:val="single" w:color="auto" w:sz="6" w:space="0"/>
              <w:bottom w:val="single" w:color="auto" w:sz="6" w:space="0"/>
              <w:right w:val="single" w:color="auto" w:sz="6" w:space="0"/>
            </w:tcBorders>
            <w:vAlign w:val="center"/>
          </w:tcPr>
          <w:p w14:paraId="5E72748A">
            <w:pPr>
              <w:wordWrap w:val="0"/>
              <w:adjustRightInd w:val="0"/>
              <w:snapToGrid w:val="0"/>
              <w:spacing w:line="400" w:lineRule="exact"/>
              <w:jc w:val="center"/>
              <w:rPr>
                <w:rFonts w:hAnsi="宋体" w:cs="宋体"/>
                <w:snapToGrid w:val="0"/>
                <w:color w:val="auto"/>
                <w:kern w:val="0"/>
                <w:sz w:val="21"/>
                <w:szCs w:val="21"/>
              </w:rPr>
            </w:pPr>
          </w:p>
        </w:tc>
        <w:tc>
          <w:tcPr>
            <w:tcW w:w="1800" w:type="dxa"/>
            <w:gridSpan w:val="2"/>
            <w:tcBorders>
              <w:top w:val="single" w:color="auto" w:sz="6" w:space="0"/>
              <w:left w:val="single" w:color="auto" w:sz="6" w:space="0"/>
              <w:bottom w:val="single" w:color="auto" w:sz="6" w:space="0"/>
              <w:right w:val="single" w:color="auto" w:sz="6" w:space="0"/>
            </w:tcBorders>
            <w:vAlign w:val="center"/>
          </w:tcPr>
          <w:p w14:paraId="3528312C">
            <w:pPr>
              <w:wordWrap w:val="0"/>
              <w:adjustRightInd w:val="0"/>
              <w:snapToGrid w:val="0"/>
              <w:spacing w:line="400" w:lineRule="exact"/>
              <w:jc w:val="center"/>
              <w:rPr>
                <w:rFonts w:hAnsi="宋体" w:cs="宋体"/>
                <w:snapToGrid w:val="0"/>
                <w:color w:val="auto"/>
                <w:kern w:val="0"/>
                <w:sz w:val="21"/>
                <w:szCs w:val="21"/>
              </w:rPr>
            </w:pPr>
          </w:p>
        </w:tc>
        <w:tc>
          <w:tcPr>
            <w:tcW w:w="2345" w:type="dxa"/>
            <w:gridSpan w:val="2"/>
            <w:tcBorders>
              <w:top w:val="single" w:color="auto" w:sz="6" w:space="0"/>
              <w:left w:val="single" w:color="auto" w:sz="6" w:space="0"/>
              <w:bottom w:val="single" w:color="auto" w:sz="6" w:space="0"/>
              <w:right w:val="single" w:color="auto" w:sz="6" w:space="0"/>
            </w:tcBorders>
            <w:vAlign w:val="center"/>
          </w:tcPr>
          <w:p w14:paraId="3F096ABF">
            <w:pPr>
              <w:wordWrap w:val="0"/>
              <w:adjustRightInd w:val="0"/>
              <w:snapToGrid w:val="0"/>
              <w:spacing w:line="400" w:lineRule="exact"/>
              <w:jc w:val="center"/>
              <w:rPr>
                <w:rFonts w:hAnsi="宋体" w:cs="宋体"/>
                <w:snapToGrid w:val="0"/>
                <w:color w:val="auto"/>
                <w:kern w:val="0"/>
                <w:sz w:val="21"/>
                <w:szCs w:val="21"/>
              </w:rPr>
            </w:pPr>
          </w:p>
        </w:tc>
      </w:tr>
      <w:tr w14:paraId="55D98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vAlign w:val="center"/>
          </w:tcPr>
          <w:p w14:paraId="1CA51FC6">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3</w:t>
            </w:r>
          </w:p>
        </w:tc>
        <w:tc>
          <w:tcPr>
            <w:tcW w:w="2100" w:type="dxa"/>
            <w:gridSpan w:val="2"/>
            <w:tcBorders>
              <w:top w:val="single" w:color="auto" w:sz="6" w:space="0"/>
              <w:left w:val="single" w:color="auto" w:sz="4" w:space="0"/>
              <w:bottom w:val="single" w:color="auto" w:sz="6" w:space="0"/>
              <w:right w:val="single" w:color="auto" w:sz="6" w:space="0"/>
            </w:tcBorders>
            <w:vAlign w:val="center"/>
          </w:tcPr>
          <w:p w14:paraId="3498E1B4">
            <w:pPr>
              <w:wordWrap w:val="0"/>
              <w:adjustRightInd w:val="0"/>
              <w:snapToGrid w:val="0"/>
              <w:spacing w:line="400" w:lineRule="exact"/>
              <w:jc w:val="center"/>
              <w:rPr>
                <w:rFonts w:hAnsi="宋体" w:cs="宋体"/>
                <w:snapToGrid w:val="0"/>
                <w:color w:val="auto"/>
                <w:kern w:val="0"/>
                <w:sz w:val="21"/>
                <w:szCs w:val="21"/>
              </w:rPr>
            </w:pPr>
          </w:p>
        </w:tc>
        <w:tc>
          <w:tcPr>
            <w:tcW w:w="2382" w:type="dxa"/>
            <w:gridSpan w:val="3"/>
            <w:tcBorders>
              <w:top w:val="single" w:color="auto" w:sz="6" w:space="0"/>
              <w:left w:val="single" w:color="auto" w:sz="6" w:space="0"/>
              <w:bottom w:val="single" w:color="auto" w:sz="6" w:space="0"/>
              <w:right w:val="single" w:color="auto" w:sz="6" w:space="0"/>
            </w:tcBorders>
            <w:vAlign w:val="center"/>
          </w:tcPr>
          <w:p w14:paraId="33804326">
            <w:pPr>
              <w:wordWrap w:val="0"/>
              <w:adjustRightInd w:val="0"/>
              <w:snapToGrid w:val="0"/>
              <w:spacing w:line="400" w:lineRule="exact"/>
              <w:jc w:val="center"/>
              <w:rPr>
                <w:rFonts w:hAnsi="宋体" w:cs="宋体"/>
                <w:snapToGrid w:val="0"/>
                <w:color w:val="auto"/>
                <w:kern w:val="0"/>
                <w:sz w:val="21"/>
                <w:szCs w:val="21"/>
              </w:rPr>
            </w:pPr>
          </w:p>
        </w:tc>
        <w:tc>
          <w:tcPr>
            <w:tcW w:w="1800" w:type="dxa"/>
            <w:gridSpan w:val="2"/>
            <w:tcBorders>
              <w:top w:val="single" w:color="auto" w:sz="6" w:space="0"/>
              <w:left w:val="single" w:color="auto" w:sz="6" w:space="0"/>
              <w:bottom w:val="single" w:color="auto" w:sz="6" w:space="0"/>
              <w:right w:val="single" w:color="auto" w:sz="6" w:space="0"/>
            </w:tcBorders>
            <w:vAlign w:val="center"/>
          </w:tcPr>
          <w:p w14:paraId="78DC3B3F">
            <w:pPr>
              <w:wordWrap w:val="0"/>
              <w:adjustRightInd w:val="0"/>
              <w:snapToGrid w:val="0"/>
              <w:spacing w:line="400" w:lineRule="exact"/>
              <w:jc w:val="center"/>
              <w:rPr>
                <w:rFonts w:hAnsi="宋体" w:cs="宋体"/>
                <w:snapToGrid w:val="0"/>
                <w:color w:val="auto"/>
                <w:kern w:val="0"/>
                <w:sz w:val="21"/>
                <w:szCs w:val="21"/>
              </w:rPr>
            </w:pPr>
          </w:p>
        </w:tc>
        <w:tc>
          <w:tcPr>
            <w:tcW w:w="2345" w:type="dxa"/>
            <w:gridSpan w:val="2"/>
            <w:tcBorders>
              <w:top w:val="single" w:color="auto" w:sz="6" w:space="0"/>
              <w:left w:val="single" w:color="auto" w:sz="6" w:space="0"/>
              <w:bottom w:val="single" w:color="auto" w:sz="6" w:space="0"/>
              <w:right w:val="single" w:color="auto" w:sz="6" w:space="0"/>
            </w:tcBorders>
            <w:vAlign w:val="center"/>
          </w:tcPr>
          <w:p w14:paraId="741A391F">
            <w:pPr>
              <w:wordWrap w:val="0"/>
              <w:adjustRightInd w:val="0"/>
              <w:snapToGrid w:val="0"/>
              <w:spacing w:line="400" w:lineRule="exact"/>
              <w:jc w:val="center"/>
              <w:rPr>
                <w:rFonts w:hAnsi="宋体" w:cs="宋体"/>
                <w:snapToGrid w:val="0"/>
                <w:color w:val="auto"/>
                <w:kern w:val="0"/>
                <w:sz w:val="21"/>
                <w:szCs w:val="21"/>
              </w:rPr>
            </w:pPr>
          </w:p>
        </w:tc>
      </w:tr>
      <w:tr w14:paraId="1DEB6E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vAlign w:val="center"/>
          </w:tcPr>
          <w:p w14:paraId="105DE96C">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w:t>
            </w:r>
          </w:p>
        </w:tc>
        <w:tc>
          <w:tcPr>
            <w:tcW w:w="2100" w:type="dxa"/>
            <w:gridSpan w:val="2"/>
            <w:tcBorders>
              <w:top w:val="single" w:color="auto" w:sz="6" w:space="0"/>
              <w:left w:val="single" w:color="auto" w:sz="4" w:space="0"/>
              <w:bottom w:val="single" w:color="auto" w:sz="6" w:space="0"/>
              <w:right w:val="single" w:color="auto" w:sz="6" w:space="0"/>
            </w:tcBorders>
            <w:vAlign w:val="center"/>
          </w:tcPr>
          <w:p w14:paraId="16AD9A08">
            <w:pPr>
              <w:wordWrap w:val="0"/>
              <w:adjustRightInd w:val="0"/>
              <w:snapToGrid w:val="0"/>
              <w:spacing w:line="400" w:lineRule="exact"/>
              <w:jc w:val="center"/>
              <w:rPr>
                <w:rFonts w:hAnsi="宋体" w:cs="宋体"/>
                <w:snapToGrid w:val="0"/>
                <w:color w:val="auto"/>
                <w:kern w:val="0"/>
                <w:sz w:val="21"/>
                <w:szCs w:val="21"/>
              </w:rPr>
            </w:pPr>
          </w:p>
        </w:tc>
        <w:tc>
          <w:tcPr>
            <w:tcW w:w="2382" w:type="dxa"/>
            <w:gridSpan w:val="3"/>
            <w:tcBorders>
              <w:top w:val="single" w:color="auto" w:sz="6" w:space="0"/>
              <w:left w:val="single" w:color="auto" w:sz="6" w:space="0"/>
              <w:bottom w:val="single" w:color="auto" w:sz="6" w:space="0"/>
              <w:right w:val="single" w:color="auto" w:sz="6" w:space="0"/>
            </w:tcBorders>
            <w:vAlign w:val="center"/>
          </w:tcPr>
          <w:p w14:paraId="7D50BA65">
            <w:pPr>
              <w:wordWrap w:val="0"/>
              <w:adjustRightInd w:val="0"/>
              <w:snapToGrid w:val="0"/>
              <w:spacing w:line="400" w:lineRule="exact"/>
              <w:jc w:val="center"/>
              <w:rPr>
                <w:rFonts w:hAnsi="宋体" w:cs="宋体"/>
                <w:snapToGrid w:val="0"/>
                <w:color w:val="auto"/>
                <w:kern w:val="0"/>
                <w:sz w:val="21"/>
                <w:szCs w:val="21"/>
              </w:rPr>
            </w:pPr>
          </w:p>
        </w:tc>
        <w:tc>
          <w:tcPr>
            <w:tcW w:w="1800" w:type="dxa"/>
            <w:gridSpan w:val="2"/>
            <w:tcBorders>
              <w:top w:val="single" w:color="auto" w:sz="6" w:space="0"/>
              <w:left w:val="single" w:color="auto" w:sz="6" w:space="0"/>
              <w:bottom w:val="single" w:color="auto" w:sz="6" w:space="0"/>
              <w:right w:val="single" w:color="auto" w:sz="6" w:space="0"/>
            </w:tcBorders>
            <w:vAlign w:val="center"/>
          </w:tcPr>
          <w:p w14:paraId="0690080D">
            <w:pPr>
              <w:wordWrap w:val="0"/>
              <w:adjustRightInd w:val="0"/>
              <w:snapToGrid w:val="0"/>
              <w:spacing w:line="400" w:lineRule="exact"/>
              <w:jc w:val="center"/>
              <w:rPr>
                <w:rFonts w:hAnsi="宋体" w:cs="宋体"/>
                <w:snapToGrid w:val="0"/>
                <w:color w:val="auto"/>
                <w:kern w:val="0"/>
                <w:sz w:val="21"/>
                <w:szCs w:val="21"/>
              </w:rPr>
            </w:pPr>
          </w:p>
        </w:tc>
        <w:tc>
          <w:tcPr>
            <w:tcW w:w="2345" w:type="dxa"/>
            <w:gridSpan w:val="2"/>
            <w:tcBorders>
              <w:top w:val="single" w:color="auto" w:sz="6" w:space="0"/>
              <w:left w:val="single" w:color="auto" w:sz="6" w:space="0"/>
              <w:bottom w:val="single" w:color="auto" w:sz="6" w:space="0"/>
              <w:right w:val="single" w:color="auto" w:sz="6" w:space="0"/>
            </w:tcBorders>
            <w:vAlign w:val="center"/>
          </w:tcPr>
          <w:p w14:paraId="077615A6">
            <w:pPr>
              <w:wordWrap w:val="0"/>
              <w:adjustRightInd w:val="0"/>
              <w:snapToGrid w:val="0"/>
              <w:spacing w:line="400" w:lineRule="exact"/>
              <w:jc w:val="center"/>
              <w:rPr>
                <w:rFonts w:hAnsi="宋体" w:cs="宋体"/>
                <w:snapToGrid w:val="0"/>
                <w:color w:val="auto"/>
                <w:kern w:val="0"/>
                <w:sz w:val="21"/>
                <w:szCs w:val="21"/>
              </w:rPr>
            </w:pPr>
          </w:p>
        </w:tc>
      </w:tr>
    </w:tbl>
    <w:p w14:paraId="66D6EEEA">
      <w:pPr>
        <w:adjustRightInd w:val="0"/>
        <w:snapToGrid w:val="0"/>
        <w:spacing w:line="400" w:lineRule="exact"/>
        <w:rPr>
          <w:rFonts w:hAnsi="宋体" w:cs="宋体"/>
          <w:color w:val="auto"/>
        </w:rPr>
      </w:pPr>
    </w:p>
    <w:p w14:paraId="51914081">
      <w:pPr>
        <w:pStyle w:val="35"/>
        <w:wordWrap w:val="0"/>
        <w:adjustRightInd w:val="0"/>
        <w:snapToGrid w:val="0"/>
        <w:spacing w:line="400" w:lineRule="exact"/>
        <w:jc w:val="right"/>
        <w:rPr>
          <w:rFonts w:hAnsi="宋体" w:cs="宋体"/>
          <w:snapToGrid w:val="0"/>
          <w:color w:val="auto"/>
          <w:kern w:val="0"/>
        </w:rPr>
      </w:pPr>
    </w:p>
    <w:p w14:paraId="4EBB89E7">
      <w:pPr>
        <w:pStyle w:val="35"/>
        <w:wordWrap w:val="0"/>
        <w:adjustRightInd w:val="0"/>
        <w:snapToGrid w:val="0"/>
        <w:spacing w:line="400" w:lineRule="exact"/>
        <w:jc w:val="right"/>
        <w:rPr>
          <w:rFonts w:hAnsi="宋体" w:cs="宋体"/>
          <w:snapToGrid w:val="0"/>
          <w:color w:val="auto"/>
          <w:kern w:val="0"/>
        </w:rPr>
      </w:pPr>
      <w:r>
        <w:rPr>
          <w:rFonts w:hint="eastAsia" w:hAnsi="宋体" w:cs="宋体"/>
          <w:snapToGrid w:val="0"/>
          <w:color w:val="auto"/>
          <w:kern w:val="0"/>
        </w:rPr>
        <w:t>总监理工程师：</w:t>
      </w:r>
      <w:r>
        <w:rPr>
          <w:rFonts w:hint="eastAsia" w:hAnsi="宋体" w:cs="宋体"/>
          <w:snapToGrid w:val="0"/>
          <w:color w:val="auto"/>
          <w:kern w:val="0"/>
          <w:u w:val="single"/>
        </w:rPr>
        <w:t xml:space="preserve">                   </w:t>
      </w:r>
      <w:r>
        <w:rPr>
          <w:rFonts w:hint="eastAsia" w:hAnsi="宋体" w:cs="宋体"/>
          <w:snapToGrid w:val="0"/>
          <w:color w:val="auto"/>
          <w:kern w:val="0"/>
        </w:rPr>
        <w:t>（签字）</w:t>
      </w:r>
    </w:p>
    <w:p w14:paraId="73DDAB97">
      <w:pPr>
        <w:pStyle w:val="35"/>
        <w:wordWrap w:val="0"/>
        <w:adjustRightInd w:val="0"/>
        <w:snapToGrid w:val="0"/>
        <w:spacing w:line="400" w:lineRule="exact"/>
        <w:jc w:val="center"/>
        <w:rPr>
          <w:rFonts w:hAnsi="宋体" w:cs="宋体"/>
          <w:snapToGrid w:val="0"/>
          <w:color w:val="auto"/>
          <w:kern w:val="0"/>
        </w:rPr>
      </w:pPr>
      <w:r>
        <w:rPr>
          <w:rFonts w:hint="eastAsia" w:hAnsi="宋体" w:cs="宋体"/>
          <w:snapToGrid w:val="0"/>
          <w:color w:val="auto"/>
          <w:kern w:val="0"/>
        </w:rPr>
        <w:t xml:space="preserve">                                     </w:t>
      </w:r>
      <w:r>
        <w:rPr>
          <w:rFonts w:hint="eastAsia" w:hAnsi="宋体" w:cs="宋体"/>
          <w:snapToGrid w:val="0"/>
          <w:color w:val="auto"/>
          <w:kern w:val="0"/>
          <w:u w:val="single"/>
        </w:rPr>
        <w:t xml:space="preserve">       </w:t>
      </w:r>
      <w:r>
        <w:rPr>
          <w:rFonts w:hint="eastAsia" w:hAnsi="宋体" w:cs="宋体"/>
          <w:snapToGrid w:val="0"/>
          <w:color w:val="auto"/>
          <w:kern w:val="0"/>
        </w:rPr>
        <w:t>年</w:t>
      </w:r>
      <w:r>
        <w:rPr>
          <w:rFonts w:hint="eastAsia" w:hAnsi="宋体" w:cs="宋体"/>
          <w:snapToGrid w:val="0"/>
          <w:color w:val="auto"/>
          <w:kern w:val="0"/>
          <w:u w:val="single"/>
        </w:rPr>
        <w:t xml:space="preserve">     </w:t>
      </w:r>
      <w:r>
        <w:rPr>
          <w:rFonts w:hint="eastAsia" w:hAnsi="宋体" w:cs="宋体"/>
          <w:snapToGrid w:val="0"/>
          <w:color w:val="auto"/>
          <w:kern w:val="0"/>
        </w:rPr>
        <w:t>月</w:t>
      </w:r>
      <w:r>
        <w:rPr>
          <w:rFonts w:hint="eastAsia" w:hAnsi="宋体" w:cs="宋体"/>
          <w:snapToGrid w:val="0"/>
          <w:color w:val="auto"/>
          <w:kern w:val="0"/>
          <w:u w:val="single"/>
        </w:rPr>
        <w:t xml:space="preserve">     </w:t>
      </w:r>
      <w:r>
        <w:rPr>
          <w:rFonts w:hint="eastAsia" w:hAnsi="宋体" w:cs="宋体"/>
          <w:snapToGrid w:val="0"/>
          <w:color w:val="auto"/>
          <w:kern w:val="0"/>
        </w:rPr>
        <w:t>日</w:t>
      </w:r>
    </w:p>
    <w:p w14:paraId="5019C543">
      <w:pPr>
        <w:wordWrap w:val="0"/>
        <w:adjustRightInd w:val="0"/>
        <w:snapToGrid w:val="0"/>
        <w:spacing w:line="400" w:lineRule="exact"/>
        <w:ind w:firstLine="570"/>
        <w:rPr>
          <w:rFonts w:hAnsi="宋体" w:cs="宋体"/>
          <w:snapToGrid w:val="0"/>
          <w:color w:val="auto"/>
          <w:kern w:val="0"/>
          <w:szCs w:val="28"/>
        </w:rPr>
      </w:pPr>
    </w:p>
    <w:p w14:paraId="6C02B4EC">
      <w:pPr>
        <w:wordWrap w:val="0"/>
        <w:adjustRightInd w:val="0"/>
        <w:snapToGrid w:val="0"/>
        <w:spacing w:line="400" w:lineRule="exact"/>
        <w:ind w:firstLine="420"/>
        <w:rPr>
          <w:rFonts w:hAnsi="宋体" w:cs="宋体"/>
          <w:snapToGrid w:val="0"/>
          <w:color w:val="auto"/>
          <w:kern w:val="0"/>
          <w:sz w:val="21"/>
          <w:szCs w:val="28"/>
        </w:rPr>
      </w:pPr>
      <w:r>
        <w:rPr>
          <w:rFonts w:hint="eastAsia" w:hAnsi="宋体" w:cs="宋体"/>
          <w:snapToGrid w:val="0"/>
          <w:color w:val="auto"/>
          <w:kern w:val="0"/>
          <w:sz w:val="21"/>
          <w:szCs w:val="28"/>
        </w:rPr>
        <w:t>说明：《总监理工程师简历表》后应附拟派总监理工程师以下资料：</w:t>
      </w:r>
    </w:p>
    <w:p w14:paraId="44C6113D">
      <w:pPr>
        <w:wordWrap w:val="0"/>
        <w:adjustRightInd w:val="0"/>
        <w:snapToGrid w:val="0"/>
        <w:spacing w:line="400" w:lineRule="exact"/>
        <w:ind w:firstLine="420"/>
        <w:rPr>
          <w:rFonts w:hAnsi="宋体" w:cs="宋体"/>
          <w:snapToGrid w:val="0"/>
          <w:color w:val="auto"/>
          <w:kern w:val="0"/>
          <w:sz w:val="21"/>
          <w:szCs w:val="28"/>
        </w:rPr>
      </w:pPr>
      <w:r>
        <w:rPr>
          <w:rFonts w:hint="eastAsia" w:hAnsi="宋体" w:cs="宋体"/>
          <w:snapToGrid w:val="0"/>
          <w:color w:val="auto"/>
          <w:kern w:val="0"/>
          <w:sz w:val="21"/>
          <w:szCs w:val="28"/>
        </w:rPr>
        <w:t>1．身份证彩色扫描件；</w:t>
      </w:r>
    </w:p>
    <w:p w14:paraId="5E593AA1">
      <w:pPr>
        <w:wordWrap w:val="0"/>
        <w:adjustRightInd w:val="0"/>
        <w:snapToGrid w:val="0"/>
        <w:spacing w:line="400" w:lineRule="exact"/>
        <w:ind w:firstLine="420"/>
        <w:rPr>
          <w:rFonts w:hAnsi="宋体" w:cs="宋体"/>
          <w:snapToGrid w:val="0"/>
          <w:color w:val="auto"/>
          <w:kern w:val="0"/>
          <w:sz w:val="21"/>
          <w:szCs w:val="28"/>
        </w:rPr>
      </w:pPr>
      <w:r>
        <w:rPr>
          <w:rFonts w:hint="eastAsia" w:hAnsi="宋体" w:cs="宋体"/>
          <w:snapToGrid w:val="0"/>
          <w:color w:val="auto"/>
          <w:kern w:val="0"/>
          <w:sz w:val="21"/>
          <w:szCs w:val="28"/>
        </w:rPr>
        <w:t>2．监理工程师注册证书彩色扫描件（须彩色扫描至变更注册栏）；</w:t>
      </w:r>
    </w:p>
    <w:p w14:paraId="6EDC235C">
      <w:pPr>
        <w:wordWrap w:val="0"/>
        <w:adjustRightInd w:val="0"/>
        <w:snapToGrid w:val="0"/>
        <w:spacing w:line="400" w:lineRule="exact"/>
        <w:ind w:firstLine="420"/>
        <w:rPr>
          <w:rFonts w:hAnsi="宋体" w:cs="宋体"/>
          <w:snapToGrid w:val="0"/>
          <w:color w:val="auto"/>
          <w:kern w:val="0"/>
          <w:sz w:val="21"/>
          <w:szCs w:val="28"/>
        </w:rPr>
      </w:pPr>
      <w:r>
        <w:rPr>
          <w:rFonts w:hint="eastAsia" w:hAnsi="宋体" w:cs="宋体"/>
          <w:snapToGrid w:val="0"/>
          <w:color w:val="auto"/>
          <w:kern w:val="0"/>
          <w:sz w:val="21"/>
          <w:szCs w:val="28"/>
        </w:rPr>
        <w:t>3．在本单位缴纳社保的证明（</w:t>
      </w:r>
      <w:r>
        <w:rPr>
          <w:rFonts w:hint="eastAsia" w:hAnsi="宋体" w:cs="宋体"/>
          <w:snapToGrid w:val="0"/>
          <w:color w:val="auto"/>
          <w:kern w:val="0"/>
          <w:sz w:val="21"/>
          <w:szCs w:val="28"/>
          <w:lang w:eastAsia="zh-CN"/>
        </w:rPr>
        <w:t>至少一个月</w:t>
      </w:r>
      <w:r>
        <w:rPr>
          <w:rFonts w:hint="eastAsia" w:hAnsi="宋体" w:cs="宋体"/>
          <w:snapToGrid w:val="0"/>
          <w:color w:val="auto"/>
          <w:kern w:val="0"/>
          <w:sz w:val="21"/>
          <w:szCs w:val="28"/>
        </w:rPr>
        <w:t>，其中必须有</w:t>
      </w:r>
      <w:r>
        <w:rPr>
          <w:rFonts w:hint="eastAsia" w:hAnsi="宋体" w:cs="宋体"/>
          <w:snapToGrid w:val="0"/>
          <w:color w:val="auto"/>
          <w:kern w:val="0"/>
          <w:sz w:val="21"/>
          <w:szCs w:val="28"/>
          <w:lang w:eastAsia="zh-CN"/>
        </w:rPr>
        <w:t>2025</w:t>
      </w:r>
      <w:r>
        <w:rPr>
          <w:rFonts w:hint="eastAsia" w:hAnsi="宋体" w:cs="宋体"/>
          <w:snapToGrid w:val="0"/>
          <w:color w:val="auto"/>
          <w:kern w:val="0"/>
          <w:sz w:val="21"/>
          <w:szCs w:val="28"/>
        </w:rPr>
        <w:t>年</w:t>
      </w:r>
      <w:r>
        <w:rPr>
          <w:rFonts w:hint="eastAsia" w:hAnsi="宋体" w:cs="宋体"/>
          <w:snapToGrid w:val="0"/>
          <w:color w:val="auto"/>
          <w:kern w:val="0"/>
          <w:sz w:val="21"/>
          <w:szCs w:val="28"/>
          <w:lang w:val="en-US" w:eastAsia="zh-CN"/>
        </w:rPr>
        <w:t>4</w:t>
      </w:r>
      <w:r>
        <w:rPr>
          <w:rFonts w:hint="eastAsia" w:hAnsi="宋体" w:cs="宋体"/>
          <w:snapToGrid w:val="0"/>
          <w:color w:val="auto"/>
          <w:kern w:val="0"/>
          <w:sz w:val="21"/>
          <w:szCs w:val="28"/>
        </w:rPr>
        <w:t>月）彩色扫描件。拟派总监理工程师为退休返聘人员无法提供社保证明的，提供退休证和劳动合同彩色扫描件；</w:t>
      </w:r>
    </w:p>
    <w:p w14:paraId="2B12B14B">
      <w:pPr>
        <w:pStyle w:val="6"/>
        <w:snapToGrid w:val="0"/>
        <w:spacing w:line="400" w:lineRule="exact"/>
        <w:ind w:firstLine="420" w:firstLineChars="200"/>
        <w:rPr>
          <w:rFonts w:hAnsi="宋体" w:cs="宋体"/>
          <w:snapToGrid w:val="0"/>
          <w:color w:val="auto"/>
          <w:sz w:val="21"/>
        </w:rPr>
      </w:pPr>
      <w:r>
        <w:rPr>
          <w:rFonts w:hint="eastAsia" w:hAnsi="宋体" w:cs="宋体"/>
          <w:snapToGrid w:val="0"/>
          <w:color w:val="auto"/>
          <w:sz w:val="21"/>
        </w:rPr>
        <w:t>4.“进粤企业和人员诚信信息登记平台”个人（总监理工程师等）信息情况截图。（适用于省外建筑企业）</w:t>
      </w:r>
    </w:p>
    <w:p w14:paraId="638C5751">
      <w:pPr>
        <w:pStyle w:val="6"/>
        <w:snapToGrid w:val="0"/>
        <w:spacing w:line="400" w:lineRule="exact"/>
        <w:rPr>
          <w:rFonts w:hAnsi="宋体" w:cs="宋体"/>
          <w:snapToGrid w:val="0"/>
          <w:color w:val="auto"/>
          <w:sz w:val="21"/>
        </w:rPr>
      </w:pPr>
    </w:p>
    <w:p w14:paraId="6C9708FE">
      <w:pPr>
        <w:adjustRightInd w:val="0"/>
        <w:snapToGrid w:val="0"/>
        <w:spacing w:line="400" w:lineRule="exact"/>
        <w:rPr>
          <w:rFonts w:hAnsi="宋体" w:cs="宋体"/>
          <w:b/>
          <w:bCs/>
          <w:snapToGrid w:val="0"/>
          <w:color w:val="auto"/>
          <w:kern w:val="0"/>
          <w:szCs w:val="24"/>
        </w:rPr>
      </w:pPr>
      <w:bookmarkStart w:id="291" w:name="_Toc19546"/>
      <w:r>
        <w:rPr>
          <w:rFonts w:hint="eastAsia" w:hAnsi="宋体" w:cs="宋体"/>
          <w:b/>
          <w:bCs/>
          <w:snapToGrid w:val="0"/>
          <w:color w:val="auto"/>
          <w:kern w:val="0"/>
          <w:szCs w:val="24"/>
        </w:rPr>
        <w:br w:type="page"/>
      </w:r>
    </w:p>
    <w:p w14:paraId="2574DBF3">
      <w:pPr>
        <w:pStyle w:val="38"/>
        <w:keepNext/>
        <w:keepLines/>
        <w:snapToGrid w:val="0"/>
        <w:spacing w:line="400" w:lineRule="exact"/>
        <w:jc w:val="both"/>
        <w:rPr>
          <w:rFonts w:ascii="宋体" w:hAnsi="宋体" w:cs="宋体"/>
          <w:b/>
          <w:bCs/>
          <w:snapToGrid w:val="0"/>
          <w:color w:val="auto"/>
        </w:rPr>
      </w:pPr>
      <w:bookmarkStart w:id="292" w:name="_Toc4821"/>
      <w:r>
        <w:rPr>
          <w:rFonts w:hint="eastAsia" w:ascii="宋体" w:hAnsi="宋体" w:cs="宋体"/>
          <w:b/>
          <w:bCs/>
          <w:snapToGrid w:val="0"/>
          <w:color w:val="auto"/>
        </w:rPr>
        <w:t>格式十二  其他拟派人员简历表</w:t>
      </w:r>
      <w:bookmarkEnd w:id="291"/>
      <w:bookmarkEnd w:id="292"/>
    </w:p>
    <w:p w14:paraId="1DB70F0A">
      <w:pPr>
        <w:adjustRightInd w:val="0"/>
        <w:snapToGrid w:val="0"/>
        <w:spacing w:line="400" w:lineRule="exact"/>
        <w:jc w:val="center"/>
        <w:rPr>
          <w:rFonts w:hAnsi="宋体" w:cs="宋体"/>
          <w:b/>
          <w:bCs/>
          <w:color w:val="auto"/>
          <w:sz w:val="32"/>
          <w:szCs w:val="22"/>
        </w:rPr>
      </w:pPr>
    </w:p>
    <w:p w14:paraId="32B62B37">
      <w:pPr>
        <w:adjustRightInd w:val="0"/>
        <w:snapToGrid w:val="0"/>
        <w:spacing w:line="400" w:lineRule="exact"/>
        <w:jc w:val="center"/>
        <w:rPr>
          <w:rFonts w:hAnsi="宋体" w:cs="宋体"/>
          <w:b/>
          <w:bCs/>
          <w:color w:val="auto"/>
          <w:sz w:val="32"/>
          <w:szCs w:val="22"/>
        </w:rPr>
      </w:pPr>
      <w:r>
        <w:rPr>
          <w:rFonts w:hint="eastAsia" w:hAnsi="宋体" w:cs="宋体"/>
          <w:b/>
          <w:bCs/>
          <w:color w:val="auto"/>
          <w:sz w:val="32"/>
          <w:szCs w:val="22"/>
        </w:rPr>
        <w:t>其他拟派人员简历表（）</w:t>
      </w:r>
    </w:p>
    <w:tbl>
      <w:tblPr>
        <w:tblStyle w:val="16"/>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3"/>
        <w:gridCol w:w="970"/>
        <w:gridCol w:w="1130"/>
        <w:gridCol w:w="227"/>
        <w:gridCol w:w="1467"/>
        <w:gridCol w:w="688"/>
        <w:gridCol w:w="640"/>
        <w:gridCol w:w="1160"/>
        <w:gridCol w:w="547"/>
        <w:gridCol w:w="1798"/>
      </w:tblGrid>
      <w:tr w14:paraId="588CE4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exact"/>
        </w:trPr>
        <w:tc>
          <w:tcPr>
            <w:tcW w:w="1613" w:type="dxa"/>
            <w:gridSpan w:val="2"/>
            <w:tcBorders>
              <w:top w:val="single" w:color="auto" w:sz="6" w:space="0"/>
              <w:left w:val="single" w:color="auto" w:sz="6" w:space="0"/>
              <w:bottom w:val="single" w:color="auto" w:sz="6" w:space="0"/>
              <w:right w:val="single" w:color="auto" w:sz="6" w:space="0"/>
            </w:tcBorders>
            <w:vAlign w:val="center"/>
          </w:tcPr>
          <w:p w14:paraId="579AF869">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姓  名</w:t>
            </w:r>
          </w:p>
        </w:tc>
        <w:tc>
          <w:tcPr>
            <w:tcW w:w="1357" w:type="dxa"/>
            <w:gridSpan w:val="2"/>
            <w:tcBorders>
              <w:top w:val="single" w:color="auto" w:sz="6" w:space="0"/>
              <w:left w:val="single" w:color="auto" w:sz="6" w:space="0"/>
              <w:bottom w:val="single" w:color="auto" w:sz="6" w:space="0"/>
              <w:right w:val="single" w:color="auto" w:sz="6" w:space="0"/>
            </w:tcBorders>
            <w:vAlign w:val="center"/>
          </w:tcPr>
          <w:p w14:paraId="13BC24B8">
            <w:pPr>
              <w:wordWrap w:val="0"/>
              <w:adjustRightInd w:val="0"/>
              <w:snapToGrid w:val="0"/>
              <w:spacing w:line="400" w:lineRule="exact"/>
              <w:jc w:val="center"/>
              <w:rPr>
                <w:rFonts w:hAnsi="宋体" w:cs="宋体"/>
                <w:snapToGrid w:val="0"/>
                <w:color w:val="auto"/>
                <w:kern w:val="0"/>
                <w:sz w:val="21"/>
                <w:szCs w:val="21"/>
              </w:rPr>
            </w:pPr>
          </w:p>
        </w:tc>
        <w:tc>
          <w:tcPr>
            <w:tcW w:w="1467" w:type="dxa"/>
            <w:tcBorders>
              <w:top w:val="single" w:color="auto" w:sz="6" w:space="0"/>
              <w:left w:val="single" w:color="auto" w:sz="6" w:space="0"/>
              <w:bottom w:val="single" w:color="auto" w:sz="6" w:space="0"/>
              <w:right w:val="single" w:color="auto" w:sz="6" w:space="0"/>
            </w:tcBorders>
            <w:vAlign w:val="center"/>
          </w:tcPr>
          <w:p w14:paraId="14F61F42">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性  别</w:t>
            </w:r>
          </w:p>
        </w:tc>
        <w:tc>
          <w:tcPr>
            <w:tcW w:w="1328" w:type="dxa"/>
            <w:gridSpan w:val="2"/>
            <w:tcBorders>
              <w:top w:val="single" w:color="auto" w:sz="6" w:space="0"/>
              <w:left w:val="single" w:color="auto" w:sz="6" w:space="0"/>
              <w:bottom w:val="single" w:color="auto" w:sz="6" w:space="0"/>
              <w:right w:val="single" w:color="auto" w:sz="6" w:space="0"/>
            </w:tcBorders>
            <w:vAlign w:val="center"/>
          </w:tcPr>
          <w:p w14:paraId="7328228A">
            <w:pPr>
              <w:wordWrap w:val="0"/>
              <w:adjustRightInd w:val="0"/>
              <w:snapToGrid w:val="0"/>
              <w:spacing w:line="400" w:lineRule="exact"/>
              <w:jc w:val="center"/>
              <w:rPr>
                <w:rFonts w:hAnsi="宋体" w:cs="宋体"/>
                <w:snapToGrid w:val="0"/>
                <w:color w:val="auto"/>
                <w:kern w:val="0"/>
                <w:sz w:val="21"/>
                <w:szCs w:val="21"/>
              </w:rPr>
            </w:pPr>
          </w:p>
        </w:tc>
        <w:tc>
          <w:tcPr>
            <w:tcW w:w="1707" w:type="dxa"/>
            <w:gridSpan w:val="2"/>
            <w:tcBorders>
              <w:top w:val="single" w:color="auto" w:sz="6" w:space="0"/>
              <w:left w:val="single" w:color="auto" w:sz="6" w:space="0"/>
              <w:bottom w:val="single" w:color="auto" w:sz="6" w:space="0"/>
              <w:right w:val="single" w:color="auto" w:sz="6" w:space="0"/>
            </w:tcBorders>
            <w:vAlign w:val="center"/>
          </w:tcPr>
          <w:p w14:paraId="6E42DF41">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年  龄</w:t>
            </w:r>
          </w:p>
        </w:tc>
        <w:tc>
          <w:tcPr>
            <w:tcW w:w="1798" w:type="dxa"/>
            <w:tcBorders>
              <w:top w:val="single" w:color="auto" w:sz="6" w:space="0"/>
              <w:left w:val="single" w:color="auto" w:sz="6" w:space="0"/>
              <w:bottom w:val="single" w:color="auto" w:sz="6" w:space="0"/>
              <w:right w:val="single" w:color="auto" w:sz="6" w:space="0"/>
            </w:tcBorders>
            <w:vAlign w:val="center"/>
          </w:tcPr>
          <w:p w14:paraId="2765939A">
            <w:pPr>
              <w:wordWrap w:val="0"/>
              <w:adjustRightInd w:val="0"/>
              <w:snapToGrid w:val="0"/>
              <w:spacing w:line="400" w:lineRule="exact"/>
              <w:jc w:val="center"/>
              <w:rPr>
                <w:rFonts w:hAnsi="宋体" w:cs="宋体"/>
                <w:snapToGrid w:val="0"/>
                <w:color w:val="auto"/>
                <w:kern w:val="0"/>
                <w:sz w:val="21"/>
                <w:szCs w:val="21"/>
              </w:rPr>
            </w:pPr>
          </w:p>
        </w:tc>
      </w:tr>
      <w:tr w14:paraId="4419B6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13" w:type="dxa"/>
            <w:gridSpan w:val="2"/>
            <w:tcBorders>
              <w:top w:val="single" w:color="auto" w:sz="6" w:space="0"/>
              <w:left w:val="single" w:color="auto" w:sz="6" w:space="0"/>
              <w:bottom w:val="single" w:color="auto" w:sz="6" w:space="0"/>
              <w:right w:val="single" w:color="auto" w:sz="6" w:space="0"/>
            </w:tcBorders>
            <w:vAlign w:val="center"/>
          </w:tcPr>
          <w:p w14:paraId="4F5556FD">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职  称</w:t>
            </w:r>
          </w:p>
        </w:tc>
        <w:tc>
          <w:tcPr>
            <w:tcW w:w="1357" w:type="dxa"/>
            <w:gridSpan w:val="2"/>
            <w:tcBorders>
              <w:top w:val="single" w:color="auto" w:sz="6" w:space="0"/>
              <w:left w:val="single" w:color="auto" w:sz="6" w:space="0"/>
              <w:bottom w:val="single" w:color="auto" w:sz="6" w:space="0"/>
              <w:right w:val="single" w:color="auto" w:sz="6" w:space="0"/>
            </w:tcBorders>
            <w:vAlign w:val="center"/>
          </w:tcPr>
          <w:p w14:paraId="0DDE9152">
            <w:pPr>
              <w:wordWrap w:val="0"/>
              <w:adjustRightInd w:val="0"/>
              <w:snapToGrid w:val="0"/>
              <w:spacing w:line="400" w:lineRule="exact"/>
              <w:jc w:val="center"/>
              <w:rPr>
                <w:rFonts w:hAnsi="宋体" w:cs="宋体"/>
                <w:snapToGrid w:val="0"/>
                <w:color w:val="auto"/>
                <w:kern w:val="0"/>
                <w:sz w:val="21"/>
                <w:szCs w:val="21"/>
              </w:rPr>
            </w:pPr>
          </w:p>
        </w:tc>
        <w:tc>
          <w:tcPr>
            <w:tcW w:w="1467" w:type="dxa"/>
            <w:tcBorders>
              <w:top w:val="single" w:color="auto" w:sz="6" w:space="0"/>
              <w:left w:val="single" w:color="auto" w:sz="6" w:space="0"/>
              <w:bottom w:val="single" w:color="auto" w:sz="6" w:space="0"/>
              <w:right w:val="single" w:color="auto" w:sz="6" w:space="0"/>
            </w:tcBorders>
            <w:vAlign w:val="center"/>
          </w:tcPr>
          <w:p w14:paraId="150C78CB">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学  历</w:t>
            </w:r>
          </w:p>
        </w:tc>
        <w:tc>
          <w:tcPr>
            <w:tcW w:w="1328" w:type="dxa"/>
            <w:gridSpan w:val="2"/>
            <w:tcBorders>
              <w:top w:val="single" w:color="auto" w:sz="6" w:space="0"/>
              <w:left w:val="single" w:color="auto" w:sz="6" w:space="0"/>
              <w:bottom w:val="single" w:color="auto" w:sz="6" w:space="0"/>
              <w:right w:val="single" w:color="auto" w:sz="6" w:space="0"/>
            </w:tcBorders>
            <w:vAlign w:val="center"/>
          </w:tcPr>
          <w:p w14:paraId="787BBB75">
            <w:pPr>
              <w:wordWrap w:val="0"/>
              <w:adjustRightInd w:val="0"/>
              <w:snapToGrid w:val="0"/>
              <w:spacing w:line="400" w:lineRule="exact"/>
              <w:jc w:val="center"/>
              <w:rPr>
                <w:rFonts w:hAnsi="宋体" w:cs="宋体"/>
                <w:snapToGrid w:val="0"/>
                <w:color w:val="auto"/>
                <w:kern w:val="0"/>
                <w:sz w:val="21"/>
                <w:szCs w:val="21"/>
              </w:rPr>
            </w:pPr>
          </w:p>
        </w:tc>
        <w:tc>
          <w:tcPr>
            <w:tcW w:w="1707" w:type="dxa"/>
            <w:gridSpan w:val="2"/>
            <w:tcBorders>
              <w:top w:val="single" w:color="auto" w:sz="6" w:space="0"/>
              <w:left w:val="single" w:color="auto" w:sz="6" w:space="0"/>
              <w:bottom w:val="single" w:color="auto" w:sz="6" w:space="0"/>
              <w:right w:val="single" w:color="auto" w:sz="6" w:space="0"/>
            </w:tcBorders>
            <w:vAlign w:val="center"/>
          </w:tcPr>
          <w:p w14:paraId="0C61F3ED">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拟在本项目任职</w:t>
            </w:r>
          </w:p>
        </w:tc>
        <w:tc>
          <w:tcPr>
            <w:tcW w:w="1798" w:type="dxa"/>
            <w:tcBorders>
              <w:top w:val="single" w:color="auto" w:sz="6" w:space="0"/>
              <w:left w:val="single" w:color="auto" w:sz="6" w:space="0"/>
              <w:bottom w:val="single" w:color="auto" w:sz="6" w:space="0"/>
              <w:right w:val="single" w:color="auto" w:sz="6" w:space="0"/>
            </w:tcBorders>
            <w:vAlign w:val="center"/>
          </w:tcPr>
          <w:p w14:paraId="289C0AD3">
            <w:pPr>
              <w:wordWrap w:val="0"/>
              <w:adjustRightInd w:val="0"/>
              <w:snapToGrid w:val="0"/>
              <w:spacing w:line="400" w:lineRule="exact"/>
              <w:jc w:val="center"/>
              <w:rPr>
                <w:rFonts w:hAnsi="宋体" w:cs="宋体"/>
                <w:snapToGrid w:val="0"/>
                <w:color w:val="auto"/>
                <w:kern w:val="0"/>
                <w:sz w:val="21"/>
                <w:szCs w:val="21"/>
              </w:rPr>
            </w:pPr>
          </w:p>
        </w:tc>
      </w:tr>
      <w:tr w14:paraId="0B066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13" w:type="dxa"/>
            <w:gridSpan w:val="2"/>
            <w:tcBorders>
              <w:top w:val="single" w:color="auto" w:sz="6" w:space="0"/>
              <w:left w:val="single" w:color="auto" w:sz="6" w:space="0"/>
              <w:bottom w:val="single" w:color="auto" w:sz="6" w:space="0"/>
              <w:right w:val="single" w:color="auto" w:sz="6" w:space="0"/>
            </w:tcBorders>
            <w:vAlign w:val="center"/>
          </w:tcPr>
          <w:p w14:paraId="1B351CB6">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参加工作时间</w:t>
            </w:r>
          </w:p>
        </w:tc>
        <w:tc>
          <w:tcPr>
            <w:tcW w:w="2824" w:type="dxa"/>
            <w:gridSpan w:val="3"/>
            <w:tcBorders>
              <w:top w:val="single" w:color="auto" w:sz="6" w:space="0"/>
              <w:left w:val="single" w:color="auto" w:sz="6" w:space="0"/>
              <w:bottom w:val="single" w:color="auto" w:sz="6" w:space="0"/>
              <w:right w:val="single" w:color="auto" w:sz="6" w:space="0"/>
            </w:tcBorders>
            <w:vAlign w:val="center"/>
          </w:tcPr>
          <w:p w14:paraId="6B99D73B">
            <w:pPr>
              <w:wordWrap w:val="0"/>
              <w:adjustRightInd w:val="0"/>
              <w:snapToGrid w:val="0"/>
              <w:spacing w:line="400" w:lineRule="exact"/>
              <w:jc w:val="center"/>
              <w:rPr>
                <w:rFonts w:hAnsi="宋体" w:cs="宋体"/>
                <w:snapToGrid w:val="0"/>
                <w:color w:val="auto"/>
                <w:kern w:val="0"/>
                <w:sz w:val="21"/>
                <w:szCs w:val="21"/>
              </w:rPr>
            </w:pPr>
          </w:p>
        </w:tc>
        <w:tc>
          <w:tcPr>
            <w:tcW w:w="3035" w:type="dxa"/>
            <w:gridSpan w:val="4"/>
            <w:tcBorders>
              <w:top w:val="single" w:color="auto" w:sz="6" w:space="0"/>
              <w:left w:val="single" w:color="auto" w:sz="6" w:space="0"/>
              <w:bottom w:val="single" w:color="auto" w:sz="6" w:space="0"/>
              <w:right w:val="single" w:color="auto" w:sz="6" w:space="0"/>
            </w:tcBorders>
            <w:vAlign w:val="center"/>
          </w:tcPr>
          <w:p w14:paraId="1AA67069">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从事监理工作年限</w:t>
            </w:r>
          </w:p>
        </w:tc>
        <w:tc>
          <w:tcPr>
            <w:tcW w:w="1798" w:type="dxa"/>
            <w:tcBorders>
              <w:top w:val="single" w:color="auto" w:sz="6" w:space="0"/>
              <w:left w:val="single" w:color="auto" w:sz="6" w:space="0"/>
              <w:bottom w:val="single" w:color="auto" w:sz="6" w:space="0"/>
              <w:right w:val="single" w:color="auto" w:sz="6" w:space="0"/>
            </w:tcBorders>
            <w:vAlign w:val="center"/>
          </w:tcPr>
          <w:p w14:paraId="5165EBD5">
            <w:pPr>
              <w:wordWrap w:val="0"/>
              <w:adjustRightInd w:val="0"/>
              <w:snapToGrid w:val="0"/>
              <w:spacing w:line="400" w:lineRule="exact"/>
              <w:jc w:val="center"/>
              <w:rPr>
                <w:rFonts w:hAnsi="宋体" w:cs="宋体"/>
                <w:snapToGrid w:val="0"/>
                <w:color w:val="auto"/>
                <w:kern w:val="0"/>
                <w:sz w:val="21"/>
                <w:szCs w:val="21"/>
              </w:rPr>
            </w:pPr>
          </w:p>
        </w:tc>
      </w:tr>
      <w:tr w14:paraId="565654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2" w:hRule="exact"/>
        </w:trPr>
        <w:tc>
          <w:tcPr>
            <w:tcW w:w="1613" w:type="dxa"/>
            <w:gridSpan w:val="2"/>
            <w:tcBorders>
              <w:top w:val="single" w:color="auto" w:sz="6" w:space="0"/>
              <w:left w:val="single" w:color="auto" w:sz="6" w:space="0"/>
              <w:bottom w:val="single" w:color="auto" w:sz="6" w:space="0"/>
              <w:right w:val="single" w:color="auto" w:sz="6" w:space="0"/>
            </w:tcBorders>
            <w:vAlign w:val="center"/>
          </w:tcPr>
          <w:p w14:paraId="5571FD0C">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持证情况</w:t>
            </w:r>
          </w:p>
        </w:tc>
        <w:tc>
          <w:tcPr>
            <w:tcW w:w="7657" w:type="dxa"/>
            <w:gridSpan w:val="8"/>
            <w:tcBorders>
              <w:top w:val="single" w:color="auto" w:sz="6" w:space="0"/>
              <w:left w:val="single" w:color="auto" w:sz="6" w:space="0"/>
              <w:bottom w:val="single" w:color="auto" w:sz="6" w:space="0"/>
              <w:right w:val="single" w:color="auto" w:sz="6" w:space="0"/>
            </w:tcBorders>
            <w:vAlign w:val="center"/>
          </w:tcPr>
          <w:p w14:paraId="30C109AC">
            <w:pPr>
              <w:wordWrap w:val="0"/>
              <w:adjustRightInd w:val="0"/>
              <w:snapToGrid w:val="0"/>
              <w:spacing w:line="400" w:lineRule="exact"/>
              <w:jc w:val="left"/>
              <w:rPr>
                <w:rFonts w:hAnsi="宋体" w:cs="宋体"/>
                <w:snapToGrid w:val="0"/>
                <w:color w:val="auto"/>
                <w:kern w:val="0"/>
                <w:sz w:val="21"/>
                <w:szCs w:val="21"/>
              </w:rPr>
            </w:pPr>
            <w:r>
              <w:rPr>
                <w:rFonts w:hint="eastAsia" w:hAnsi="宋体" w:cs="宋体"/>
                <w:snapToGrid w:val="0"/>
                <w:color w:val="auto"/>
                <w:kern w:val="0"/>
                <w:sz w:val="21"/>
                <w:szCs w:val="21"/>
              </w:rPr>
              <w:t>1</w:t>
            </w:r>
            <w:r>
              <w:rPr>
                <w:rFonts w:hint="eastAsia" w:hAnsi="宋体" w:cs="宋体"/>
                <w:snapToGrid w:val="0"/>
                <w:color w:val="auto"/>
                <w:kern w:val="0"/>
                <w:sz w:val="21"/>
                <w:szCs w:val="28"/>
              </w:rPr>
              <w:t>．</w:t>
            </w:r>
            <w:r>
              <w:rPr>
                <w:rFonts w:hint="eastAsia" w:hAnsi="宋体" w:cs="宋体"/>
                <w:snapToGrid w:val="0"/>
                <w:color w:val="auto"/>
                <w:kern w:val="0"/>
                <w:sz w:val="21"/>
                <w:szCs w:val="21"/>
              </w:rPr>
              <w:t>名称：                               证书号：</w:t>
            </w:r>
          </w:p>
          <w:p w14:paraId="35E8D2EC">
            <w:pPr>
              <w:wordWrap w:val="0"/>
              <w:adjustRightInd w:val="0"/>
              <w:snapToGrid w:val="0"/>
              <w:spacing w:line="400" w:lineRule="exact"/>
              <w:jc w:val="left"/>
              <w:rPr>
                <w:rFonts w:hAnsi="宋体" w:cs="宋体"/>
                <w:snapToGrid w:val="0"/>
                <w:color w:val="auto"/>
                <w:kern w:val="0"/>
                <w:sz w:val="21"/>
                <w:szCs w:val="21"/>
              </w:rPr>
            </w:pPr>
            <w:r>
              <w:rPr>
                <w:rFonts w:hint="eastAsia" w:hAnsi="宋体" w:cs="宋体"/>
                <w:snapToGrid w:val="0"/>
                <w:color w:val="auto"/>
                <w:kern w:val="0"/>
                <w:sz w:val="21"/>
                <w:szCs w:val="21"/>
              </w:rPr>
              <w:t>2</w:t>
            </w:r>
            <w:r>
              <w:rPr>
                <w:rFonts w:hint="eastAsia" w:hAnsi="宋体" w:cs="宋体"/>
                <w:snapToGrid w:val="0"/>
                <w:color w:val="auto"/>
                <w:kern w:val="0"/>
                <w:sz w:val="21"/>
                <w:szCs w:val="28"/>
              </w:rPr>
              <w:t>．</w:t>
            </w:r>
            <w:r>
              <w:rPr>
                <w:rFonts w:hint="eastAsia" w:hAnsi="宋体" w:cs="宋体"/>
                <w:snapToGrid w:val="0"/>
                <w:color w:val="auto"/>
                <w:kern w:val="0"/>
                <w:sz w:val="21"/>
                <w:szCs w:val="21"/>
              </w:rPr>
              <w:t>名称：                               证书号：</w:t>
            </w:r>
          </w:p>
          <w:p w14:paraId="15E7CD4C">
            <w:pPr>
              <w:wordWrap w:val="0"/>
              <w:adjustRightInd w:val="0"/>
              <w:snapToGrid w:val="0"/>
              <w:spacing w:line="400" w:lineRule="exact"/>
              <w:jc w:val="left"/>
              <w:rPr>
                <w:rFonts w:hAnsi="宋体" w:cs="宋体"/>
                <w:snapToGrid w:val="0"/>
                <w:color w:val="auto"/>
                <w:kern w:val="0"/>
                <w:sz w:val="21"/>
                <w:szCs w:val="21"/>
              </w:rPr>
            </w:pPr>
            <w:r>
              <w:rPr>
                <w:rFonts w:hint="eastAsia" w:hAnsi="宋体" w:cs="宋体"/>
                <w:snapToGrid w:val="0"/>
                <w:color w:val="auto"/>
                <w:kern w:val="0"/>
                <w:sz w:val="21"/>
                <w:szCs w:val="21"/>
              </w:rPr>
              <w:t>3</w:t>
            </w:r>
            <w:r>
              <w:rPr>
                <w:rFonts w:hint="eastAsia" w:hAnsi="宋体" w:cs="宋体"/>
                <w:snapToGrid w:val="0"/>
                <w:color w:val="auto"/>
                <w:kern w:val="0"/>
                <w:sz w:val="21"/>
                <w:szCs w:val="28"/>
              </w:rPr>
              <w:t>．……</w:t>
            </w:r>
          </w:p>
        </w:tc>
      </w:tr>
      <w:tr w14:paraId="15D16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10"/>
            <w:tcBorders>
              <w:top w:val="single" w:color="auto" w:sz="6" w:space="0"/>
              <w:left w:val="single" w:color="auto" w:sz="6" w:space="0"/>
              <w:bottom w:val="single" w:color="auto" w:sz="6" w:space="0"/>
              <w:right w:val="single" w:color="auto" w:sz="6" w:space="0"/>
            </w:tcBorders>
            <w:vAlign w:val="center"/>
          </w:tcPr>
          <w:p w14:paraId="787EA878">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主要工作经历</w:t>
            </w:r>
          </w:p>
        </w:tc>
      </w:tr>
      <w:tr w14:paraId="16633A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vAlign w:val="center"/>
          </w:tcPr>
          <w:p w14:paraId="539CFF4A">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序号</w:t>
            </w:r>
          </w:p>
        </w:tc>
        <w:tc>
          <w:tcPr>
            <w:tcW w:w="2100" w:type="dxa"/>
            <w:gridSpan w:val="2"/>
            <w:tcBorders>
              <w:top w:val="single" w:color="auto" w:sz="6" w:space="0"/>
              <w:left w:val="single" w:color="auto" w:sz="4" w:space="0"/>
              <w:bottom w:val="single" w:color="auto" w:sz="6" w:space="0"/>
              <w:right w:val="single" w:color="auto" w:sz="6" w:space="0"/>
            </w:tcBorders>
            <w:vAlign w:val="center"/>
          </w:tcPr>
          <w:p w14:paraId="71FB814B">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项目名称</w:t>
            </w:r>
          </w:p>
        </w:tc>
        <w:tc>
          <w:tcPr>
            <w:tcW w:w="2382" w:type="dxa"/>
            <w:gridSpan w:val="3"/>
            <w:tcBorders>
              <w:top w:val="single" w:color="auto" w:sz="6" w:space="0"/>
              <w:left w:val="single" w:color="auto" w:sz="6" w:space="0"/>
              <w:bottom w:val="single" w:color="auto" w:sz="6" w:space="0"/>
              <w:right w:val="single" w:color="auto" w:sz="6" w:space="0"/>
            </w:tcBorders>
            <w:vAlign w:val="center"/>
          </w:tcPr>
          <w:p w14:paraId="547DDB05">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委托人</w:t>
            </w:r>
          </w:p>
        </w:tc>
        <w:tc>
          <w:tcPr>
            <w:tcW w:w="1800" w:type="dxa"/>
            <w:gridSpan w:val="2"/>
            <w:tcBorders>
              <w:top w:val="single" w:color="auto" w:sz="6" w:space="0"/>
              <w:left w:val="single" w:color="auto" w:sz="6" w:space="0"/>
              <w:bottom w:val="single" w:color="auto" w:sz="6" w:space="0"/>
              <w:right w:val="single" w:color="auto" w:sz="6" w:space="0"/>
            </w:tcBorders>
            <w:vAlign w:val="center"/>
          </w:tcPr>
          <w:p w14:paraId="6D28B164">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担任职务</w:t>
            </w:r>
          </w:p>
        </w:tc>
        <w:tc>
          <w:tcPr>
            <w:tcW w:w="2345" w:type="dxa"/>
            <w:gridSpan w:val="2"/>
            <w:tcBorders>
              <w:top w:val="single" w:color="auto" w:sz="6" w:space="0"/>
              <w:left w:val="single" w:color="auto" w:sz="6" w:space="0"/>
              <w:bottom w:val="single" w:color="auto" w:sz="6" w:space="0"/>
              <w:right w:val="single" w:color="auto" w:sz="6" w:space="0"/>
            </w:tcBorders>
            <w:vAlign w:val="center"/>
          </w:tcPr>
          <w:p w14:paraId="3D791FCC">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起止时间</w:t>
            </w:r>
          </w:p>
        </w:tc>
      </w:tr>
      <w:tr w14:paraId="303825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exact"/>
        </w:trPr>
        <w:tc>
          <w:tcPr>
            <w:tcW w:w="643" w:type="dxa"/>
            <w:tcBorders>
              <w:top w:val="single" w:color="auto" w:sz="6" w:space="0"/>
              <w:left w:val="single" w:color="auto" w:sz="6" w:space="0"/>
              <w:bottom w:val="single" w:color="auto" w:sz="6" w:space="0"/>
              <w:right w:val="single" w:color="auto" w:sz="4" w:space="0"/>
            </w:tcBorders>
            <w:vAlign w:val="center"/>
          </w:tcPr>
          <w:p w14:paraId="5EF8A8D3">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1</w:t>
            </w:r>
          </w:p>
        </w:tc>
        <w:tc>
          <w:tcPr>
            <w:tcW w:w="2100" w:type="dxa"/>
            <w:gridSpan w:val="2"/>
            <w:tcBorders>
              <w:top w:val="single" w:color="auto" w:sz="6" w:space="0"/>
              <w:left w:val="single" w:color="auto" w:sz="4" w:space="0"/>
              <w:bottom w:val="single" w:color="auto" w:sz="6" w:space="0"/>
              <w:right w:val="single" w:color="auto" w:sz="6" w:space="0"/>
            </w:tcBorders>
            <w:vAlign w:val="center"/>
          </w:tcPr>
          <w:p w14:paraId="1376F507">
            <w:pPr>
              <w:wordWrap w:val="0"/>
              <w:adjustRightInd w:val="0"/>
              <w:snapToGrid w:val="0"/>
              <w:spacing w:line="400" w:lineRule="exact"/>
              <w:jc w:val="center"/>
              <w:rPr>
                <w:rFonts w:hAnsi="宋体" w:cs="宋体"/>
                <w:snapToGrid w:val="0"/>
                <w:color w:val="auto"/>
                <w:kern w:val="0"/>
                <w:sz w:val="21"/>
                <w:szCs w:val="21"/>
              </w:rPr>
            </w:pPr>
          </w:p>
        </w:tc>
        <w:tc>
          <w:tcPr>
            <w:tcW w:w="2382" w:type="dxa"/>
            <w:gridSpan w:val="3"/>
            <w:tcBorders>
              <w:top w:val="single" w:color="auto" w:sz="6" w:space="0"/>
              <w:left w:val="single" w:color="auto" w:sz="6" w:space="0"/>
              <w:bottom w:val="single" w:color="auto" w:sz="6" w:space="0"/>
              <w:right w:val="single" w:color="auto" w:sz="6" w:space="0"/>
            </w:tcBorders>
            <w:vAlign w:val="center"/>
          </w:tcPr>
          <w:p w14:paraId="338FC2C7">
            <w:pPr>
              <w:wordWrap w:val="0"/>
              <w:adjustRightInd w:val="0"/>
              <w:snapToGrid w:val="0"/>
              <w:spacing w:line="400" w:lineRule="exact"/>
              <w:jc w:val="center"/>
              <w:rPr>
                <w:rFonts w:hAnsi="宋体" w:cs="宋体"/>
                <w:snapToGrid w:val="0"/>
                <w:color w:val="auto"/>
                <w:kern w:val="0"/>
                <w:sz w:val="21"/>
                <w:szCs w:val="21"/>
              </w:rPr>
            </w:pPr>
          </w:p>
        </w:tc>
        <w:tc>
          <w:tcPr>
            <w:tcW w:w="1800" w:type="dxa"/>
            <w:gridSpan w:val="2"/>
            <w:tcBorders>
              <w:top w:val="single" w:color="auto" w:sz="6" w:space="0"/>
              <w:left w:val="single" w:color="auto" w:sz="6" w:space="0"/>
              <w:bottom w:val="single" w:color="auto" w:sz="6" w:space="0"/>
              <w:right w:val="single" w:color="auto" w:sz="6" w:space="0"/>
            </w:tcBorders>
            <w:vAlign w:val="center"/>
          </w:tcPr>
          <w:p w14:paraId="0371E4C3">
            <w:pPr>
              <w:wordWrap w:val="0"/>
              <w:adjustRightInd w:val="0"/>
              <w:snapToGrid w:val="0"/>
              <w:spacing w:line="400" w:lineRule="exact"/>
              <w:jc w:val="center"/>
              <w:rPr>
                <w:rFonts w:hAnsi="宋体" w:cs="宋体"/>
                <w:snapToGrid w:val="0"/>
                <w:color w:val="auto"/>
                <w:kern w:val="0"/>
                <w:sz w:val="21"/>
                <w:szCs w:val="21"/>
              </w:rPr>
            </w:pPr>
          </w:p>
        </w:tc>
        <w:tc>
          <w:tcPr>
            <w:tcW w:w="2345" w:type="dxa"/>
            <w:gridSpan w:val="2"/>
            <w:tcBorders>
              <w:top w:val="single" w:color="auto" w:sz="6" w:space="0"/>
              <w:left w:val="single" w:color="auto" w:sz="6" w:space="0"/>
              <w:bottom w:val="single" w:color="auto" w:sz="6" w:space="0"/>
              <w:right w:val="single" w:color="auto" w:sz="6" w:space="0"/>
            </w:tcBorders>
            <w:vAlign w:val="center"/>
          </w:tcPr>
          <w:p w14:paraId="10C592EE">
            <w:pPr>
              <w:wordWrap w:val="0"/>
              <w:adjustRightInd w:val="0"/>
              <w:snapToGrid w:val="0"/>
              <w:spacing w:line="400" w:lineRule="exact"/>
              <w:jc w:val="center"/>
              <w:rPr>
                <w:rFonts w:hAnsi="宋体" w:cs="宋体"/>
                <w:snapToGrid w:val="0"/>
                <w:color w:val="auto"/>
                <w:kern w:val="0"/>
                <w:sz w:val="21"/>
                <w:szCs w:val="21"/>
              </w:rPr>
            </w:pPr>
          </w:p>
        </w:tc>
      </w:tr>
      <w:tr w14:paraId="1CAC8B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vAlign w:val="center"/>
          </w:tcPr>
          <w:p w14:paraId="4BE5805F">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2</w:t>
            </w:r>
          </w:p>
        </w:tc>
        <w:tc>
          <w:tcPr>
            <w:tcW w:w="2100" w:type="dxa"/>
            <w:gridSpan w:val="2"/>
            <w:tcBorders>
              <w:top w:val="single" w:color="auto" w:sz="6" w:space="0"/>
              <w:left w:val="single" w:color="auto" w:sz="4" w:space="0"/>
              <w:bottom w:val="single" w:color="auto" w:sz="6" w:space="0"/>
              <w:right w:val="single" w:color="auto" w:sz="6" w:space="0"/>
            </w:tcBorders>
            <w:vAlign w:val="center"/>
          </w:tcPr>
          <w:p w14:paraId="4CE8CA85">
            <w:pPr>
              <w:wordWrap w:val="0"/>
              <w:adjustRightInd w:val="0"/>
              <w:snapToGrid w:val="0"/>
              <w:spacing w:line="400" w:lineRule="exact"/>
              <w:jc w:val="center"/>
              <w:rPr>
                <w:rFonts w:hAnsi="宋体" w:cs="宋体"/>
                <w:snapToGrid w:val="0"/>
                <w:color w:val="auto"/>
                <w:kern w:val="0"/>
                <w:sz w:val="21"/>
                <w:szCs w:val="21"/>
              </w:rPr>
            </w:pPr>
          </w:p>
        </w:tc>
        <w:tc>
          <w:tcPr>
            <w:tcW w:w="2382" w:type="dxa"/>
            <w:gridSpan w:val="3"/>
            <w:tcBorders>
              <w:top w:val="single" w:color="auto" w:sz="6" w:space="0"/>
              <w:left w:val="single" w:color="auto" w:sz="6" w:space="0"/>
              <w:bottom w:val="single" w:color="auto" w:sz="6" w:space="0"/>
              <w:right w:val="single" w:color="auto" w:sz="6" w:space="0"/>
            </w:tcBorders>
            <w:vAlign w:val="center"/>
          </w:tcPr>
          <w:p w14:paraId="62049949">
            <w:pPr>
              <w:wordWrap w:val="0"/>
              <w:adjustRightInd w:val="0"/>
              <w:snapToGrid w:val="0"/>
              <w:spacing w:line="400" w:lineRule="exact"/>
              <w:jc w:val="center"/>
              <w:rPr>
                <w:rFonts w:hAnsi="宋体" w:cs="宋体"/>
                <w:snapToGrid w:val="0"/>
                <w:color w:val="auto"/>
                <w:kern w:val="0"/>
                <w:sz w:val="21"/>
                <w:szCs w:val="21"/>
              </w:rPr>
            </w:pPr>
          </w:p>
        </w:tc>
        <w:tc>
          <w:tcPr>
            <w:tcW w:w="1800" w:type="dxa"/>
            <w:gridSpan w:val="2"/>
            <w:tcBorders>
              <w:top w:val="single" w:color="auto" w:sz="6" w:space="0"/>
              <w:left w:val="single" w:color="auto" w:sz="6" w:space="0"/>
              <w:bottom w:val="single" w:color="auto" w:sz="6" w:space="0"/>
              <w:right w:val="single" w:color="auto" w:sz="6" w:space="0"/>
            </w:tcBorders>
            <w:vAlign w:val="center"/>
          </w:tcPr>
          <w:p w14:paraId="35D3447A">
            <w:pPr>
              <w:wordWrap w:val="0"/>
              <w:adjustRightInd w:val="0"/>
              <w:snapToGrid w:val="0"/>
              <w:spacing w:line="400" w:lineRule="exact"/>
              <w:jc w:val="center"/>
              <w:rPr>
                <w:rFonts w:hAnsi="宋体" w:cs="宋体"/>
                <w:snapToGrid w:val="0"/>
                <w:color w:val="auto"/>
                <w:kern w:val="0"/>
                <w:sz w:val="21"/>
                <w:szCs w:val="21"/>
              </w:rPr>
            </w:pPr>
          </w:p>
        </w:tc>
        <w:tc>
          <w:tcPr>
            <w:tcW w:w="2345" w:type="dxa"/>
            <w:gridSpan w:val="2"/>
            <w:tcBorders>
              <w:top w:val="single" w:color="auto" w:sz="6" w:space="0"/>
              <w:left w:val="single" w:color="auto" w:sz="6" w:space="0"/>
              <w:bottom w:val="single" w:color="auto" w:sz="6" w:space="0"/>
              <w:right w:val="single" w:color="auto" w:sz="6" w:space="0"/>
            </w:tcBorders>
            <w:vAlign w:val="center"/>
          </w:tcPr>
          <w:p w14:paraId="5A8E1FED">
            <w:pPr>
              <w:wordWrap w:val="0"/>
              <w:adjustRightInd w:val="0"/>
              <w:snapToGrid w:val="0"/>
              <w:spacing w:line="400" w:lineRule="exact"/>
              <w:jc w:val="center"/>
              <w:rPr>
                <w:rFonts w:hAnsi="宋体" w:cs="宋体"/>
                <w:snapToGrid w:val="0"/>
                <w:color w:val="auto"/>
                <w:kern w:val="0"/>
                <w:sz w:val="21"/>
                <w:szCs w:val="21"/>
              </w:rPr>
            </w:pPr>
          </w:p>
        </w:tc>
      </w:tr>
      <w:tr w14:paraId="7EDF5E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vAlign w:val="center"/>
          </w:tcPr>
          <w:p w14:paraId="4A1C0B9C">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3</w:t>
            </w:r>
          </w:p>
        </w:tc>
        <w:tc>
          <w:tcPr>
            <w:tcW w:w="2100" w:type="dxa"/>
            <w:gridSpan w:val="2"/>
            <w:tcBorders>
              <w:top w:val="single" w:color="auto" w:sz="6" w:space="0"/>
              <w:left w:val="single" w:color="auto" w:sz="4" w:space="0"/>
              <w:bottom w:val="single" w:color="auto" w:sz="6" w:space="0"/>
              <w:right w:val="single" w:color="auto" w:sz="6" w:space="0"/>
            </w:tcBorders>
            <w:vAlign w:val="center"/>
          </w:tcPr>
          <w:p w14:paraId="5919CD2A">
            <w:pPr>
              <w:wordWrap w:val="0"/>
              <w:adjustRightInd w:val="0"/>
              <w:snapToGrid w:val="0"/>
              <w:spacing w:line="400" w:lineRule="exact"/>
              <w:jc w:val="center"/>
              <w:rPr>
                <w:rFonts w:hAnsi="宋体" w:cs="宋体"/>
                <w:snapToGrid w:val="0"/>
                <w:color w:val="auto"/>
                <w:kern w:val="0"/>
                <w:sz w:val="21"/>
                <w:szCs w:val="21"/>
              </w:rPr>
            </w:pPr>
          </w:p>
        </w:tc>
        <w:tc>
          <w:tcPr>
            <w:tcW w:w="2382" w:type="dxa"/>
            <w:gridSpan w:val="3"/>
            <w:tcBorders>
              <w:top w:val="single" w:color="auto" w:sz="6" w:space="0"/>
              <w:left w:val="single" w:color="auto" w:sz="6" w:space="0"/>
              <w:bottom w:val="single" w:color="auto" w:sz="6" w:space="0"/>
              <w:right w:val="single" w:color="auto" w:sz="6" w:space="0"/>
            </w:tcBorders>
            <w:vAlign w:val="center"/>
          </w:tcPr>
          <w:p w14:paraId="12D81949">
            <w:pPr>
              <w:wordWrap w:val="0"/>
              <w:adjustRightInd w:val="0"/>
              <w:snapToGrid w:val="0"/>
              <w:spacing w:line="400" w:lineRule="exact"/>
              <w:jc w:val="center"/>
              <w:rPr>
                <w:rFonts w:hAnsi="宋体" w:cs="宋体"/>
                <w:snapToGrid w:val="0"/>
                <w:color w:val="auto"/>
                <w:kern w:val="0"/>
                <w:sz w:val="21"/>
                <w:szCs w:val="21"/>
              </w:rPr>
            </w:pPr>
          </w:p>
        </w:tc>
        <w:tc>
          <w:tcPr>
            <w:tcW w:w="1800" w:type="dxa"/>
            <w:gridSpan w:val="2"/>
            <w:tcBorders>
              <w:top w:val="single" w:color="auto" w:sz="6" w:space="0"/>
              <w:left w:val="single" w:color="auto" w:sz="6" w:space="0"/>
              <w:bottom w:val="single" w:color="auto" w:sz="6" w:space="0"/>
              <w:right w:val="single" w:color="auto" w:sz="6" w:space="0"/>
            </w:tcBorders>
            <w:vAlign w:val="center"/>
          </w:tcPr>
          <w:p w14:paraId="7C0E4284">
            <w:pPr>
              <w:wordWrap w:val="0"/>
              <w:adjustRightInd w:val="0"/>
              <w:snapToGrid w:val="0"/>
              <w:spacing w:line="400" w:lineRule="exact"/>
              <w:jc w:val="center"/>
              <w:rPr>
                <w:rFonts w:hAnsi="宋体" w:cs="宋体"/>
                <w:snapToGrid w:val="0"/>
                <w:color w:val="auto"/>
                <w:kern w:val="0"/>
                <w:sz w:val="21"/>
                <w:szCs w:val="21"/>
              </w:rPr>
            </w:pPr>
          </w:p>
        </w:tc>
        <w:tc>
          <w:tcPr>
            <w:tcW w:w="2345" w:type="dxa"/>
            <w:gridSpan w:val="2"/>
            <w:tcBorders>
              <w:top w:val="single" w:color="auto" w:sz="6" w:space="0"/>
              <w:left w:val="single" w:color="auto" w:sz="6" w:space="0"/>
              <w:bottom w:val="single" w:color="auto" w:sz="6" w:space="0"/>
              <w:right w:val="single" w:color="auto" w:sz="6" w:space="0"/>
            </w:tcBorders>
            <w:vAlign w:val="center"/>
          </w:tcPr>
          <w:p w14:paraId="442C1F8E">
            <w:pPr>
              <w:wordWrap w:val="0"/>
              <w:adjustRightInd w:val="0"/>
              <w:snapToGrid w:val="0"/>
              <w:spacing w:line="400" w:lineRule="exact"/>
              <w:jc w:val="center"/>
              <w:rPr>
                <w:rFonts w:hAnsi="宋体" w:cs="宋体"/>
                <w:snapToGrid w:val="0"/>
                <w:color w:val="auto"/>
                <w:kern w:val="0"/>
                <w:sz w:val="21"/>
                <w:szCs w:val="21"/>
              </w:rPr>
            </w:pPr>
          </w:p>
        </w:tc>
      </w:tr>
      <w:tr w14:paraId="795501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43" w:type="dxa"/>
            <w:tcBorders>
              <w:top w:val="single" w:color="auto" w:sz="6" w:space="0"/>
              <w:left w:val="single" w:color="auto" w:sz="6" w:space="0"/>
              <w:bottom w:val="single" w:color="auto" w:sz="6" w:space="0"/>
              <w:right w:val="single" w:color="auto" w:sz="4" w:space="0"/>
            </w:tcBorders>
            <w:vAlign w:val="center"/>
          </w:tcPr>
          <w:p w14:paraId="17E7DDE8">
            <w:pPr>
              <w:wordWrap w:val="0"/>
              <w:adjustRightInd w:val="0"/>
              <w:snapToGrid w:val="0"/>
              <w:spacing w:line="400" w:lineRule="exact"/>
              <w:jc w:val="center"/>
              <w:rPr>
                <w:rFonts w:hAnsi="宋体" w:cs="宋体"/>
                <w:snapToGrid w:val="0"/>
                <w:color w:val="auto"/>
                <w:kern w:val="0"/>
                <w:sz w:val="21"/>
                <w:szCs w:val="21"/>
              </w:rPr>
            </w:pPr>
            <w:r>
              <w:rPr>
                <w:rFonts w:hint="eastAsia" w:hAnsi="宋体" w:cs="宋体"/>
                <w:snapToGrid w:val="0"/>
                <w:color w:val="auto"/>
                <w:kern w:val="0"/>
                <w:sz w:val="21"/>
                <w:szCs w:val="21"/>
              </w:rPr>
              <w:t>……</w:t>
            </w:r>
          </w:p>
        </w:tc>
        <w:tc>
          <w:tcPr>
            <w:tcW w:w="2100" w:type="dxa"/>
            <w:gridSpan w:val="2"/>
            <w:tcBorders>
              <w:top w:val="single" w:color="auto" w:sz="6" w:space="0"/>
              <w:left w:val="single" w:color="auto" w:sz="4" w:space="0"/>
              <w:bottom w:val="single" w:color="auto" w:sz="6" w:space="0"/>
              <w:right w:val="single" w:color="auto" w:sz="6" w:space="0"/>
            </w:tcBorders>
            <w:vAlign w:val="center"/>
          </w:tcPr>
          <w:p w14:paraId="69713B1A">
            <w:pPr>
              <w:wordWrap w:val="0"/>
              <w:adjustRightInd w:val="0"/>
              <w:snapToGrid w:val="0"/>
              <w:spacing w:line="400" w:lineRule="exact"/>
              <w:jc w:val="center"/>
              <w:rPr>
                <w:rFonts w:hAnsi="宋体" w:cs="宋体"/>
                <w:snapToGrid w:val="0"/>
                <w:color w:val="auto"/>
                <w:kern w:val="0"/>
                <w:sz w:val="21"/>
                <w:szCs w:val="21"/>
              </w:rPr>
            </w:pPr>
          </w:p>
        </w:tc>
        <w:tc>
          <w:tcPr>
            <w:tcW w:w="2382" w:type="dxa"/>
            <w:gridSpan w:val="3"/>
            <w:tcBorders>
              <w:top w:val="single" w:color="auto" w:sz="6" w:space="0"/>
              <w:left w:val="single" w:color="auto" w:sz="6" w:space="0"/>
              <w:bottom w:val="single" w:color="auto" w:sz="6" w:space="0"/>
              <w:right w:val="single" w:color="auto" w:sz="6" w:space="0"/>
            </w:tcBorders>
            <w:vAlign w:val="center"/>
          </w:tcPr>
          <w:p w14:paraId="63D32E49">
            <w:pPr>
              <w:wordWrap w:val="0"/>
              <w:adjustRightInd w:val="0"/>
              <w:snapToGrid w:val="0"/>
              <w:spacing w:line="400" w:lineRule="exact"/>
              <w:jc w:val="center"/>
              <w:rPr>
                <w:rFonts w:hAnsi="宋体" w:cs="宋体"/>
                <w:snapToGrid w:val="0"/>
                <w:color w:val="auto"/>
                <w:kern w:val="0"/>
                <w:sz w:val="21"/>
                <w:szCs w:val="21"/>
              </w:rPr>
            </w:pPr>
          </w:p>
        </w:tc>
        <w:tc>
          <w:tcPr>
            <w:tcW w:w="1800" w:type="dxa"/>
            <w:gridSpan w:val="2"/>
            <w:tcBorders>
              <w:top w:val="single" w:color="auto" w:sz="6" w:space="0"/>
              <w:left w:val="single" w:color="auto" w:sz="6" w:space="0"/>
              <w:bottom w:val="single" w:color="auto" w:sz="6" w:space="0"/>
              <w:right w:val="single" w:color="auto" w:sz="6" w:space="0"/>
            </w:tcBorders>
            <w:vAlign w:val="center"/>
          </w:tcPr>
          <w:p w14:paraId="1FD8CBFF">
            <w:pPr>
              <w:wordWrap w:val="0"/>
              <w:adjustRightInd w:val="0"/>
              <w:snapToGrid w:val="0"/>
              <w:spacing w:line="400" w:lineRule="exact"/>
              <w:jc w:val="center"/>
              <w:rPr>
                <w:rFonts w:hAnsi="宋体" w:cs="宋体"/>
                <w:snapToGrid w:val="0"/>
                <w:color w:val="auto"/>
                <w:kern w:val="0"/>
                <w:sz w:val="21"/>
                <w:szCs w:val="21"/>
              </w:rPr>
            </w:pPr>
          </w:p>
        </w:tc>
        <w:tc>
          <w:tcPr>
            <w:tcW w:w="2345" w:type="dxa"/>
            <w:gridSpan w:val="2"/>
            <w:tcBorders>
              <w:top w:val="single" w:color="auto" w:sz="6" w:space="0"/>
              <w:left w:val="single" w:color="auto" w:sz="6" w:space="0"/>
              <w:bottom w:val="single" w:color="auto" w:sz="6" w:space="0"/>
              <w:right w:val="single" w:color="auto" w:sz="6" w:space="0"/>
            </w:tcBorders>
            <w:vAlign w:val="center"/>
          </w:tcPr>
          <w:p w14:paraId="0467ECFA">
            <w:pPr>
              <w:wordWrap w:val="0"/>
              <w:adjustRightInd w:val="0"/>
              <w:snapToGrid w:val="0"/>
              <w:spacing w:line="400" w:lineRule="exact"/>
              <w:jc w:val="center"/>
              <w:rPr>
                <w:rFonts w:hAnsi="宋体" w:cs="宋体"/>
                <w:snapToGrid w:val="0"/>
                <w:color w:val="auto"/>
                <w:kern w:val="0"/>
                <w:sz w:val="21"/>
                <w:szCs w:val="21"/>
              </w:rPr>
            </w:pPr>
          </w:p>
        </w:tc>
      </w:tr>
    </w:tbl>
    <w:p w14:paraId="1EB747C5">
      <w:pPr>
        <w:pStyle w:val="35"/>
        <w:wordWrap w:val="0"/>
        <w:adjustRightInd w:val="0"/>
        <w:snapToGrid w:val="0"/>
        <w:spacing w:line="400" w:lineRule="exact"/>
        <w:rPr>
          <w:rFonts w:hAnsi="宋体" w:cs="宋体"/>
          <w:snapToGrid w:val="0"/>
          <w:color w:val="auto"/>
          <w:kern w:val="0"/>
        </w:rPr>
      </w:pPr>
    </w:p>
    <w:p w14:paraId="6D7B4AC8">
      <w:pPr>
        <w:wordWrap w:val="0"/>
        <w:adjustRightInd w:val="0"/>
        <w:snapToGrid w:val="0"/>
        <w:spacing w:line="400" w:lineRule="exact"/>
        <w:ind w:firstLine="420"/>
        <w:rPr>
          <w:rFonts w:hAnsi="宋体" w:cs="宋体"/>
          <w:snapToGrid w:val="0"/>
          <w:color w:val="auto"/>
          <w:kern w:val="0"/>
          <w:sz w:val="21"/>
          <w:szCs w:val="28"/>
        </w:rPr>
      </w:pPr>
      <w:r>
        <w:rPr>
          <w:rFonts w:hint="eastAsia" w:hAnsi="宋体" w:cs="宋体"/>
          <w:snapToGrid w:val="0"/>
          <w:color w:val="auto"/>
          <w:kern w:val="0"/>
          <w:sz w:val="21"/>
          <w:szCs w:val="28"/>
        </w:rPr>
        <w:t>说明：</w:t>
      </w:r>
    </w:p>
    <w:p w14:paraId="675E6D7B">
      <w:pPr>
        <w:wordWrap w:val="0"/>
        <w:adjustRightInd w:val="0"/>
        <w:snapToGrid w:val="0"/>
        <w:spacing w:line="400" w:lineRule="exact"/>
        <w:ind w:firstLine="420"/>
        <w:rPr>
          <w:rFonts w:hAnsi="宋体" w:cs="宋体"/>
          <w:snapToGrid w:val="0"/>
          <w:color w:val="auto"/>
          <w:kern w:val="0"/>
          <w:sz w:val="21"/>
          <w:szCs w:val="21"/>
        </w:rPr>
      </w:pPr>
      <w:r>
        <w:rPr>
          <w:rFonts w:hint="eastAsia" w:hAnsi="宋体" w:cs="宋体"/>
          <w:snapToGrid w:val="0"/>
          <w:color w:val="auto"/>
          <w:kern w:val="0"/>
          <w:sz w:val="21"/>
          <w:szCs w:val="28"/>
        </w:rPr>
        <w:t>1．“其他拟派人员”指项目监理机构中除总监理工程师以外的拟派人员，包括专业监理工程师、监理员、相关服务人员等。以上拟派人员一人一表，</w:t>
      </w:r>
      <w:r>
        <w:rPr>
          <w:rFonts w:hint="eastAsia" w:hAnsi="宋体" w:cs="宋体"/>
          <w:snapToGrid w:val="0"/>
          <w:color w:val="auto"/>
          <w:kern w:val="0"/>
          <w:sz w:val="21"/>
          <w:szCs w:val="21"/>
        </w:rPr>
        <w:t>并标明序号。</w:t>
      </w:r>
    </w:p>
    <w:p w14:paraId="58078AC5">
      <w:pPr>
        <w:wordWrap w:val="0"/>
        <w:adjustRightInd w:val="0"/>
        <w:snapToGrid w:val="0"/>
        <w:spacing w:line="400" w:lineRule="exact"/>
        <w:ind w:firstLine="420"/>
        <w:rPr>
          <w:rFonts w:hAnsi="宋体" w:cs="宋体"/>
          <w:snapToGrid w:val="0"/>
          <w:color w:val="auto"/>
          <w:kern w:val="0"/>
          <w:sz w:val="21"/>
          <w:szCs w:val="28"/>
        </w:rPr>
      </w:pPr>
      <w:r>
        <w:rPr>
          <w:rFonts w:hint="eastAsia" w:hAnsi="宋体" w:cs="宋体"/>
          <w:snapToGrid w:val="0"/>
          <w:color w:val="auto"/>
          <w:kern w:val="0"/>
          <w:sz w:val="21"/>
          <w:szCs w:val="28"/>
        </w:rPr>
        <w:t>2．每份简历表后应附该拟派人员以下资料：</w:t>
      </w:r>
    </w:p>
    <w:p w14:paraId="5ADA1A1D">
      <w:pPr>
        <w:wordWrap w:val="0"/>
        <w:adjustRightInd w:val="0"/>
        <w:snapToGrid w:val="0"/>
        <w:spacing w:line="400" w:lineRule="exact"/>
        <w:ind w:firstLine="420"/>
        <w:rPr>
          <w:rFonts w:hAnsi="宋体" w:cs="宋体"/>
          <w:snapToGrid w:val="0"/>
          <w:color w:val="auto"/>
          <w:kern w:val="0"/>
          <w:sz w:val="21"/>
          <w:szCs w:val="28"/>
        </w:rPr>
      </w:pPr>
      <w:r>
        <w:rPr>
          <w:rFonts w:hint="eastAsia" w:hAnsi="宋体" w:cs="宋体"/>
          <w:snapToGrid w:val="0"/>
          <w:color w:val="auto"/>
          <w:kern w:val="0"/>
          <w:sz w:val="21"/>
          <w:szCs w:val="28"/>
        </w:rPr>
        <w:t>（1）身份证彩色扫描件；</w:t>
      </w:r>
    </w:p>
    <w:p w14:paraId="04FB8D51">
      <w:pPr>
        <w:wordWrap w:val="0"/>
        <w:adjustRightInd w:val="0"/>
        <w:snapToGrid w:val="0"/>
        <w:spacing w:line="400" w:lineRule="exact"/>
        <w:ind w:firstLine="420"/>
        <w:rPr>
          <w:rFonts w:hAnsi="宋体" w:cs="宋体"/>
          <w:snapToGrid w:val="0"/>
          <w:color w:val="auto"/>
          <w:kern w:val="0"/>
          <w:sz w:val="21"/>
          <w:szCs w:val="21"/>
        </w:rPr>
      </w:pPr>
      <w:r>
        <w:rPr>
          <w:rFonts w:hint="eastAsia" w:hAnsi="宋体" w:cs="宋体"/>
          <w:snapToGrid w:val="0"/>
          <w:color w:val="auto"/>
          <w:kern w:val="0"/>
          <w:sz w:val="21"/>
          <w:szCs w:val="28"/>
        </w:rPr>
        <w:t>（2）相关证书（具体要求详见招标文件第一章第三节第</w:t>
      </w:r>
      <w:r>
        <w:rPr>
          <w:rFonts w:hint="eastAsia" w:hAnsi="宋体" w:cs="宋体"/>
          <w:b/>
          <w:bCs/>
          <w:snapToGrid w:val="0"/>
          <w:color w:val="auto"/>
          <w:kern w:val="0"/>
          <w:sz w:val="21"/>
          <w:szCs w:val="28"/>
        </w:rPr>
        <w:t>15.5</w:t>
      </w:r>
      <w:r>
        <w:rPr>
          <w:rFonts w:hint="eastAsia" w:hAnsi="宋体" w:cs="宋体"/>
          <w:snapToGrid w:val="0"/>
          <w:color w:val="auto"/>
          <w:kern w:val="0"/>
          <w:sz w:val="21"/>
          <w:szCs w:val="28"/>
        </w:rPr>
        <w:t>条表</w:t>
      </w:r>
      <w:r>
        <w:rPr>
          <w:rFonts w:hint="eastAsia" w:hAnsi="宋体" w:cs="宋体"/>
          <w:b/>
          <w:bCs/>
          <w:snapToGrid w:val="0"/>
          <w:color w:val="auto"/>
          <w:kern w:val="0"/>
          <w:sz w:val="21"/>
          <w:szCs w:val="28"/>
        </w:rPr>
        <w:t>2</w:t>
      </w:r>
      <w:r>
        <w:rPr>
          <w:rFonts w:hint="eastAsia" w:hAnsi="宋体" w:cs="宋体"/>
          <w:snapToGrid w:val="0"/>
          <w:color w:val="auto"/>
          <w:kern w:val="0"/>
          <w:sz w:val="21"/>
          <w:szCs w:val="28"/>
        </w:rPr>
        <w:t>《项目监理机构其他人员需求表》“持证要求”栏目）彩色扫描件，其中注册证书须彩色扫描至变更注册栏</w:t>
      </w:r>
      <w:r>
        <w:rPr>
          <w:rFonts w:hint="eastAsia" w:hAnsi="宋体" w:cs="宋体"/>
          <w:snapToGrid w:val="0"/>
          <w:color w:val="auto"/>
          <w:kern w:val="0"/>
          <w:sz w:val="21"/>
          <w:szCs w:val="21"/>
        </w:rPr>
        <w:t>；</w:t>
      </w:r>
    </w:p>
    <w:p w14:paraId="17DF7184">
      <w:pPr>
        <w:wordWrap w:val="0"/>
        <w:adjustRightInd w:val="0"/>
        <w:snapToGrid w:val="0"/>
        <w:spacing w:line="400" w:lineRule="exact"/>
        <w:ind w:firstLine="420"/>
        <w:rPr>
          <w:rFonts w:hAnsi="宋体" w:cs="宋体"/>
          <w:snapToGrid w:val="0"/>
          <w:color w:val="auto"/>
          <w:kern w:val="0"/>
          <w:sz w:val="21"/>
          <w:szCs w:val="28"/>
        </w:rPr>
      </w:pPr>
      <w:r>
        <w:rPr>
          <w:rFonts w:hint="eastAsia" w:hAnsi="宋体" w:cs="宋体"/>
          <w:snapToGrid w:val="0"/>
          <w:color w:val="auto"/>
          <w:kern w:val="0"/>
          <w:sz w:val="21"/>
          <w:szCs w:val="28"/>
        </w:rPr>
        <w:t>（3）</w:t>
      </w:r>
      <w:r>
        <w:rPr>
          <w:rFonts w:hint="eastAsia" w:ascii="Times New Roman"/>
          <w:snapToGrid w:val="0"/>
          <w:color w:val="auto"/>
          <w:kern w:val="0"/>
          <w:sz w:val="21"/>
          <w:szCs w:val="28"/>
        </w:rPr>
        <w:t>在本单位缴纳社保的证明</w:t>
      </w:r>
      <w:r>
        <w:rPr>
          <w:rFonts w:hint="eastAsia" w:hAnsi="宋体" w:cs="宋体"/>
          <w:snapToGrid w:val="0"/>
          <w:color w:val="auto"/>
          <w:kern w:val="0"/>
          <w:sz w:val="21"/>
          <w:szCs w:val="28"/>
        </w:rPr>
        <w:t>（</w:t>
      </w:r>
      <w:r>
        <w:rPr>
          <w:rFonts w:hint="eastAsia" w:hAnsi="宋体" w:cs="宋体"/>
          <w:snapToGrid w:val="0"/>
          <w:color w:val="auto"/>
          <w:kern w:val="0"/>
          <w:sz w:val="21"/>
          <w:szCs w:val="28"/>
          <w:lang w:eastAsia="zh-CN"/>
        </w:rPr>
        <w:t>至少一个月</w:t>
      </w:r>
      <w:r>
        <w:rPr>
          <w:rFonts w:hint="eastAsia" w:hAnsi="宋体" w:cs="宋体"/>
          <w:snapToGrid w:val="0"/>
          <w:color w:val="auto"/>
          <w:kern w:val="0"/>
          <w:sz w:val="21"/>
          <w:szCs w:val="28"/>
        </w:rPr>
        <w:t>，其中必须有</w:t>
      </w:r>
      <w:r>
        <w:rPr>
          <w:rFonts w:hint="eastAsia" w:hAnsi="宋体" w:cs="宋体"/>
          <w:snapToGrid w:val="0"/>
          <w:color w:val="auto"/>
          <w:kern w:val="0"/>
          <w:sz w:val="21"/>
          <w:szCs w:val="28"/>
          <w:lang w:eastAsia="zh-CN"/>
        </w:rPr>
        <w:t>2025</w:t>
      </w:r>
      <w:r>
        <w:rPr>
          <w:rFonts w:hint="eastAsia" w:hAnsi="宋体" w:cs="宋体"/>
          <w:snapToGrid w:val="0"/>
          <w:color w:val="auto"/>
          <w:kern w:val="0"/>
          <w:sz w:val="21"/>
          <w:szCs w:val="28"/>
        </w:rPr>
        <w:t>年</w:t>
      </w:r>
      <w:r>
        <w:rPr>
          <w:rFonts w:hint="eastAsia" w:hAnsi="宋体" w:cs="宋体"/>
          <w:snapToGrid w:val="0"/>
          <w:color w:val="auto"/>
          <w:kern w:val="0"/>
          <w:sz w:val="21"/>
          <w:szCs w:val="28"/>
          <w:lang w:val="en-US" w:eastAsia="zh-CN"/>
        </w:rPr>
        <w:t>4</w:t>
      </w:r>
      <w:r>
        <w:rPr>
          <w:rFonts w:hint="eastAsia" w:hAnsi="宋体" w:cs="宋体"/>
          <w:snapToGrid w:val="0"/>
          <w:color w:val="auto"/>
          <w:kern w:val="0"/>
          <w:sz w:val="21"/>
          <w:szCs w:val="28"/>
        </w:rPr>
        <w:t>月）</w:t>
      </w:r>
      <w:r>
        <w:rPr>
          <w:rFonts w:hint="eastAsia" w:ascii="Times New Roman"/>
          <w:snapToGrid w:val="0"/>
          <w:color w:val="auto"/>
          <w:kern w:val="0"/>
          <w:sz w:val="21"/>
          <w:szCs w:val="28"/>
        </w:rPr>
        <w:t>彩色扫描件。拟派人员为退休返聘人员无法提供社保证明的，提供退休证和劳动合同彩色扫描件；</w:t>
      </w:r>
    </w:p>
    <w:p w14:paraId="017A960B">
      <w:pPr>
        <w:pStyle w:val="6"/>
        <w:snapToGrid w:val="0"/>
        <w:spacing w:line="400" w:lineRule="exact"/>
        <w:ind w:firstLine="420" w:firstLineChars="200"/>
        <w:rPr>
          <w:rFonts w:hAnsi="宋体" w:cs="宋体"/>
          <w:snapToGrid w:val="0"/>
          <w:color w:val="auto"/>
          <w:sz w:val="21"/>
        </w:rPr>
      </w:pPr>
      <w:r>
        <w:rPr>
          <w:rFonts w:hint="eastAsia" w:hAnsi="宋体" w:cs="宋体"/>
          <w:snapToGrid w:val="0"/>
          <w:color w:val="auto"/>
          <w:sz w:val="21"/>
        </w:rPr>
        <w:t>3.“进粤企业和人员诚信信息登记平台”个人信息情况截图。（适用于省外建筑企业）</w:t>
      </w:r>
    </w:p>
    <w:p w14:paraId="54549FAB">
      <w:pPr>
        <w:rPr>
          <w:color w:val="auto"/>
        </w:rPr>
      </w:pPr>
      <w:bookmarkStart w:id="293" w:name="_Toc25312"/>
      <w:bookmarkStart w:id="294" w:name="_Toc593"/>
    </w:p>
    <w:p w14:paraId="10A44A2B">
      <w:pPr>
        <w:rPr>
          <w:color w:val="auto"/>
        </w:rPr>
      </w:pPr>
    </w:p>
    <w:p w14:paraId="672DEFE3">
      <w:pPr>
        <w:rPr>
          <w:color w:val="auto"/>
        </w:rPr>
      </w:pPr>
    </w:p>
    <w:p w14:paraId="1A6061AF">
      <w:pPr>
        <w:rPr>
          <w:color w:val="auto"/>
        </w:rPr>
      </w:pPr>
    </w:p>
    <w:p w14:paraId="66035E91">
      <w:pPr>
        <w:rPr>
          <w:color w:val="auto"/>
        </w:rPr>
      </w:pPr>
    </w:p>
    <w:bookmarkEnd w:id="293"/>
    <w:bookmarkEnd w:id="294"/>
    <w:p w14:paraId="4F48E054">
      <w:pPr>
        <w:pStyle w:val="39"/>
        <w:keepNext/>
        <w:keepLines/>
        <w:snapToGrid w:val="0"/>
        <w:spacing w:line="400" w:lineRule="exact"/>
        <w:jc w:val="center"/>
        <w:rPr>
          <w:rFonts w:ascii="宋体" w:hAnsi="宋体" w:cs="宋体"/>
          <w:b/>
          <w:color w:val="auto"/>
          <w:kern w:val="44"/>
          <w:sz w:val="32"/>
          <w:szCs w:val="22"/>
        </w:rPr>
      </w:pPr>
      <w:bookmarkStart w:id="295" w:name="_Toc132687128"/>
      <w:bookmarkStart w:id="296" w:name="_Toc13722"/>
      <w:bookmarkStart w:id="297" w:name="_Toc142468134"/>
      <w:bookmarkStart w:id="298" w:name="_Toc137444778"/>
      <w:bookmarkStart w:id="299" w:name="_Toc26988"/>
      <w:bookmarkStart w:id="300" w:name="_Toc133160683"/>
      <w:bookmarkStart w:id="301" w:name="_Toc3174"/>
      <w:bookmarkStart w:id="302" w:name="_Toc133815902"/>
      <w:bookmarkStart w:id="303" w:name="_Toc78794873"/>
      <w:r>
        <w:rPr>
          <w:rFonts w:hint="eastAsia" w:ascii="宋体" w:hAnsi="宋体" w:cs="宋体"/>
          <w:b/>
          <w:color w:val="auto"/>
          <w:kern w:val="44"/>
          <w:sz w:val="32"/>
          <w:szCs w:val="22"/>
        </w:rPr>
        <w:t>第六章 建设工程监理合同</w:t>
      </w:r>
      <w:bookmarkEnd w:id="295"/>
      <w:bookmarkEnd w:id="296"/>
      <w:bookmarkEnd w:id="297"/>
      <w:bookmarkEnd w:id="298"/>
      <w:bookmarkEnd w:id="299"/>
      <w:bookmarkEnd w:id="300"/>
      <w:bookmarkEnd w:id="301"/>
    </w:p>
    <w:p w14:paraId="56F613CF">
      <w:pPr>
        <w:wordWrap w:val="0"/>
        <w:adjustRightInd w:val="0"/>
        <w:snapToGrid w:val="0"/>
        <w:spacing w:before="360" w:beforeLines="150" w:line="400" w:lineRule="exact"/>
        <w:rPr>
          <w:rFonts w:hAnsi="宋体" w:cs="宋体"/>
          <w:color w:val="auto"/>
        </w:rPr>
      </w:pPr>
      <w:r>
        <w:rPr>
          <w:rFonts w:hint="eastAsia" w:hAnsi="宋体" w:cs="宋体"/>
          <w:snapToGrid w:val="0"/>
          <w:color w:val="auto"/>
          <w:kern w:val="0"/>
        </w:rPr>
        <w:t xml:space="preserve">    （略），</w:t>
      </w:r>
      <w:bookmarkEnd w:id="302"/>
      <w:bookmarkEnd w:id="303"/>
      <w:r>
        <w:rPr>
          <w:rFonts w:hint="eastAsia" w:hAnsi="宋体" w:cs="宋体"/>
          <w:snapToGrid w:val="0"/>
          <w:color w:val="auto"/>
          <w:kern w:val="0"/>
        </w:rPr>
        <w:t>按照《建设工程监理合同（示范文本）》（GF—2012—0202）执行。</w:t>
      </w:r>
    </w:p>
    <w:p w14:paraId="182F88C9">
      <w:pPr>
        <w:pStyle w:val="6"/>
        <w:snapToGrid w:val="0"/>
        <w:spacing w:line="400" w:lineRule="exact"/>
        <w:rPr>
          <w:rFonts w:hAnsi="宋体" w:cs="宋体"/>
          <w:snapToGrid w:val="0"/>
          <w:color w:val="auto"/>
        </w:rPr>
      </w:pPr>
    </w:p>
    <w:p w14:paraId="499C463A">
      <w:pPr>
        <w:pStyle w:val="34"/>
        <w:widowControl w:val="0"/>
        <w:wordWrap w:val="0"/>
        <w:adjustRightInd w:val="0"/>
        <w:snapToGrid w:val="0"/>
        <w:spacing w:line="400" w:lineRule="exact"/>
        <w:ind w:firstLine="0"/>
        <w:rPr>
          <w:rFonts w:hAnsi="宋体" w:cs="宋体"/>
          <w:snapToGrid w:val="0"/>
          <w:color w:val="auto"/>
          <w:sz w:val="21"/>
        </w:rPr>
      </w:pPr>
    </w:p>
    <w:p w14:paraId="239F0EB0">
      <w:pPr>
        <w:rPr>
          <w:color w:val="auto"/>
        </w:rPr>
      </w:pPr>
    </w:p>
    <w:sectPr>
      <w:footerReference r:id="rId7" w:type="default"/>
      <w:endnotePr>
        <w:numFmt w:val="decimal"/>
      </w:endnotePr>
      <w:pgSz w:w="11906" w:h="16838"/>
      <w:pgMar w:top="1134" w:right="1134" w:bottom="1134" w:left="1134" w:header="850" w:footer="850" w:gutter="0"/>
      <w:cols w:space="0" w:num="1"/>
      <w:docGrid w:linePitch="32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DE3C3">
    <w:pPr>
      <w:pStyle w:val="12"/>
    </w:pPr>
  </w:p>
  <w:p w14:paraId="354190E6">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FCB78">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FFA8F5">
                          <w:pPr>
                            <w:pStyle w:val="12"/>
                          </w:pPr>
                          <w:r>
                            <w:rPr>
                              <w:rFonts w:hint="eastAsia" w:ascii="Times New Roman"/>
                              <w:sz w:val="21"/>
                            </w:rPr>
                            <w:t>—</w:t>
                          </w:r>
                          <w:r>
                            <w:rPr>
                              <w:rFonts w:hint="eastAsia" w:hAnsi="宋体" w:cs="宋体"/>
                              <w:sz w:val="21"/>
                            </w:rPr>
                            <w:fldChar w:fldCharType="begin"/>
                          </w:r>
                          <w:r>
                            <w:rPr>
                              <w:rFonts w:hint="eastAsia" w:hAnsi="宋体" w:cs="宋体"/>
                              <w:sz w:val="21"/>
                            </w:rPr>
                            <w:instrText xml:space="preserve"> PAGE  \* MERGEFORMAT </w:instrText>
                          </w:r>
                          <w:r>
                            <w:rPr>
                              <w:rFonts w:hint="eastAsia" w:hAnsi="宋体" w:cs="宋体"/>
                              <w:sz w:val="21"/>
                            </w:rPr>
                            <w:fldChar w:fldCharType="separate"/>
                          </w:r>
                          <w:r>
                            <w:rPr>
                              <w:rFonts w:hAnsi="宋体" w:cs="宋体"/>
                            </w:rPr>
                            <w:t>45</w:t>
                          </w:r>
                          <w:r>
                            <w:rPr>
                              <w:rFonts w:hint="eastAsia" w:hAnsi="宋体" w:cs="宋体"/>
                              <w:sz w:val="21"/>
                            </w:rPr>
                            <w:fldChar w:fldCharType="end"/>
                          </w:r>
                          <w:r>
                            <w:rPr>
                              <w:rFonts w:hint="eastAsia" w:ascii="Times New Roman"/>
                              <w:sz w:val="21"/>
                            </w:rPr>
                            <w:t>—</w:t>
                          </w:r>
                        </w:p>
                      </w:txbxContent>
                    </wps:txbx>
                    <wps:bodyPr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ONgGEXXAQAAsgMAAA4AAAAAAAAAAQAgAAAA&#10;HgEAAGRycy9lMm9Eb2MueG1sUEsFBgAAAAAGAAYAWQEAAGcFAAAAAA==&#10;">
              <v:fill on="f" focussize="0,0"/>
              <v:stroke on="f"/>
              <v:imagedata o:title=""/>
              <o:lock v:ext="edit" aspectratio="f"/>
              <v:textbox inset="0mm,0mm,0mm,0mm" style="mso-fit-shape-to-text:t;">
                <w:txbxContent>
                  <w:p w14:paraId="53FFA8F5">
                    <w:pPr>
                      <w:pStyle w:val="12"/>
                    </w:pPr>
                    <w:r>
                      <w:rPr>
                        <w:rFonts w:hint="eastAsia" w:ascii="Times New Roman"/>
                        <w:sz w:val="21"/>
                      </w:rPr>
                      <w:t>—</w:t>
                    </w:r>
                    <w:r>
                      <w:rPr>
                        <w:rFonts w:hint="eastAsia" w:hAnsi="宋体" w:cs="宋体"/>
                        <w:sz w:val="21"/>
                      </w:rPr>
                      <w:fldChar w:fldCharType="begin"/>
                    </w:r>
                    <w:r>
                      <w:rPr>
                        <w:rFonts w:hint="eastAsia" w:hAnsi="宋体" w:cs="宋体"/>
                        <w:sz w:val="21"/>
                      </w:rPr>
                      <w:instrText xml:space="preserve"> PAGE  \* MERGEFORMAT </w:instrText>
                    </w:r>
                    <w:r>
                      <w:rPr>
                        <w:rFonts w:hint="eastAsia" w:hAnsi="宋体" w:cs="宋体"/>
                        <w:sz w:val="21"/>
                      </w:rPr>
                      <w:fldChar w:fldCharType="separate"/>
                    </w:r>
                    <w:r>
                      <w:rPr>
                        <w:rFonts w:hAnsi="宋体" w:cs="宋体"/>
                      </w:rPr>
                      <w:t>45</w:t>
                    </w:r>
                    <w:r>
                      <w:rPr>
                        <w:rFonts w:hint="eastAsia" w:hAnsi="宋体" w:cs="宋体"/>
                        <w:sz w:val="21"/>
                      </w:rPr>
                      <w:fldChar w:fldCharType="end"/>
                    </w:r>
                    <w:r>
                      <w:rPr>
                        <w:rFonts w:hint="eastAsia" w:ascii="Times New Roman"/>
                        <w:sz w:val="21"/>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8C330">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DDE0CA">
                          <w:pPr>
                            <w:pStyle w:val="12"/>
                          </w:pPr>
                          <w:r>
                            <w:rPr>
                              <w:rFonts w:ascii="Times New Roman"/>
                              <w:sz w:val="21"/>
                            </w:rPr>
                            <w:fldChar w:fldCharType="begin"/>
                          </w:r>
                          <w:r>
                            <w:rPr>
                              <w:rFonts w:ascii="Times New Roman"/>
                              <w:sz w:val="21"/>
                            </w:rPr>
                            <w:instrText xml:space="preserve"> PAGE  \* MERGEFORMAT </w:instrText>
                          </w:r>
                          <w:r>
                            <w:rPr>
                              <w:rFonts w:ascii="Times New Roman"/>
                              <w:sz w:val="21"/>
                            </w:rPr>
                            <w:fldChar w:fldCharType="separate"/>
                          </w:r>
                          <w:r>
                            <w:t>57</w:t>
                          </w:r>
                          <w:r>
                            <w:rPr>
                              <w:rFonts w:ascii="Times New Roman"/>
                              <w:sz w:val="21"/>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xTN8ABAACN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2cg0Ib44JC5d+MuoENRfDKRVG80blNXh8L1kPf9H2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dDFM3wAEAAI0DAAAOAAAAAAAAAAEAIAAAAB4BAABkcnMvZTJvRG9jLnhtbFBLBQYA&#10;AAAABgAGAFkBAABQBQAAAAA=&#10;">
              <v:fill on="f" focussize="0,0"/>
              <v:stroke on="f"/>
              <v:imagedata o:title=""/>
              <o:lock v:ext="edit" aspectratio="f"/>
              <v:textbox inset="0mm,0mm,0mm,0mm" style="mso-fit-shape-to-text:t;">
                <w:txbxContent>
                  <w:p w14:paraId="4ADDE0CA">
                    <w:pPr>
                      <w:pStyle w:val="12"/>
                    </w:pPr>
                    <w:r>
                      <w:rPr>
                        <w:rFonts w:ascii="Times New Roman"/>
                        <w:sz w:val="21"/>
                      </w:rPr>
                      <w:fldChar w:fldCharType="begin"/>
                    </w:r>
                    <w:r>
                      <w:rPr>
                        <w:rFonts w:ascii="Times New Roman"/>
                        <w:sz w:val="21"/>
                      </w:rPr>
                      <w:instrText xml:space="preserve"> PAGE  \* MERGEFORMAT </w:instrText>
                    </w:r>
                    <w:r>
                      <w:rPr>
                        <w:rFonts w:ascii="Times New Roman"/>
                        <w:sz w:val="21"/>
                      </w:rPr>
                      <w:fldChar w:fldCharType="separate"/>
                    </w:r>
                    <w:r>
                      <w:t>57</w:t>
                    </w:r>
                    <w:r>
                      <w:rPr>
                        <w:rFonts w:ascii="Times New Roman"/>
                        <w:sz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6ADD2B"/>
    <w:multiLevelType w:val="singleLevel"/>
    <w:tmpl w:val="716ADD2B"/>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numFmt w:val="decimal"/>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yYThlMzZiYWJmYzc5MjQ4YmU4NGNmODU5ZDE0YWIifQ=="/>
  </w:docVars>
  <w:rsids>
    <w:rsidRoot w:val="66FA7097"/>
    <w:rsid w:val="034F0B7A"/>
    <w:rsid w:val="0371289F"/>
    <w:rsid w:val="047F0FEB"/>
    <w:rsid w:val="05F8588B"/>
    <w:rsid w:val="0C5E251C"/>
    <w:rsid w:val="0FC30C31"/>
    <w:rsid w:val="1ABD41C4"/>
    <w:rsid w:val="1D163264"/>
    <w:rsid w:val="1E041CD3"/>
    <w:rsid w:val="209561F4"/>
    <w:rsid w:val="24D740D4"/>
    <w:rsid w:val="24ED38F7"/>
    <w:rsid w:val="2BD82C0B"/>
    <w:rsid w:val="2BFE428C"/>
    <w:rsid w:val="2D32459D"/>
    <w:rsid w:val="302145E0"/>
    <w:rsid w:val="3219172E"/>
    <w:rsid w:val="32860A3A"/>
    <w:rsid w:val="35FA5E74"/>
    <w:rsid w:val="36B3674F"/>
    <w:rsid w:val="37A12A4B"/>
    <w:rsid w:val="3D006466"/>
    <w:rsid w:val="3EB8082D"/>
    <w:rsid w:val="3F5C420E"/>
    <w:rsid w:val="3FFD4EDF"/>
    <w:rsid w:val="427F38A6"/>
    <w:rsid w:val="452D567B"/>
    <w:rsid w:val="46C6205E"/>
    <w:rsid w:val="47C14A44"/>
    <w:rsid w:val="49C01DE7"/>
    <w:rsid w:val="4F425986"/>
    <w:rsid w:val="4F7725B8"/>
    <w:rsid w:val="5002582E"/>
    <w:rsid w:val="52C6351E"/>
    <w:rsid w:val="52CC0F47"/>
    <w:rsid w:val="56EC3E28"/>
    <w:rsid w:val="56EF15DD"/>
    <w:rsid w:val="57407733"/>
    <w:rsid w:val="5CF5164B"/>
    <w:rsid w:val="5E2860C2"/>
    <w:rsid w:val="635D166D"/>
    <w:rsid w:val="66FA7097"/>
    <w:rsid w:val="6CBF5167"/>
    <w:rsid w:val="6E407F1C"/>
    <w:rsid w:val="710C1B97"/>
    <w:rsid w:val="74BA1B1D"/>
    <w:rsid w:val="7AE52B90"/>
    <w:rsid w:val="7D742F87"/>
    <w:rsid w:val="7E824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styleId="2">
    <w:name w:val="heading 1"/>
    <w:basedOn w:val="1"/>
    <w:next w:val="1"/>
    <w:qFormat/>
    <w:uiPriority w:val="0"/>
    <w:pPr>
      <w:autoSpaceDE w:val="0"/>
      <w:autoSpaceDN w:val="0"/>
      <w:adjustRightInd w:val="0"/>
      <w:jc w:val="left"/>
      <w:outlineLvl w:val="0"/>
    </w:pPr>
    <w:rPr>
      <w:kern w:val="0"/>
      <w:sz w:val="30"/>
    </w:rPr>
  </w:style>
  <w:style w:type="paragraph" w:styleId="3">
    <w:name w:val="heading 2"/>
    <w:basedOn w:val="1"/>
    <w:next w:val="1"/>
    <w:qFormat/>
    <w:uiPriority w:val="0"/>
    <w:pPr>
      <w:autoSpaceDE w:val="0"/>
      <w:autoSpaceDN w:val="0"/>
      <w:adjustRightInd w:val="0"/>
      <w:jc w:val="left"/>
      <w:outlineLvl w:val="1"/>
    </w:pPr>
    <w:rPr>
      <w:kern w:val="0"/>
    </w:rPr>
  </w:style>
  <w:style w:type="paragraph" w:styleId="4">
    <w:name w:val="heading 3"/>
    <w:next w:val="1"/>
    <w:qFormat/>
    <w:uiPriority w:val="0"/>
    <w:pPr>
      <w:keepNext/>
      <w:keepLines/>
      <w:spacing w:before="120" w:after="120"/>
      <w:jc w:val="center"/>
      <w:outlineLvl w:val="2"/>
    </w:pPr>
    <w:rPr>
      <w:rFonts w:ascii="Times New Roman" w:hAnsi="Times New Roman" w:eastAsia="宋体" w:cs="Times New Roman"/>
      <w:sz w:val="24"/>
      <w:lang w:val="en-US" w:eastAsia="zh-CN" w:bidi="ar-SA"/>
    </w:rPr>
  </w:style>
  <w:style w:type="paragraph" w:styleId="5">
    <w:name w:val="heading 4"/>
    <w:basedOn w:val="1"/>
    <w:next w:val="1"/>
    <w:qFormat/>
    <w:uiPriority w:val="0"/>
    <w:pPr>
      <w:keepNext/>
      <w:keepLines/>
      <w:spacing w:before="280" w:after="290" w:line="374" w:lineRule="auto"/>
      <w:outlineLvl w:val="3"/>
    </w:pPr>
    <w:rPr>
      <w:rFonts w:ascii="Arial" w:hAnsi="Arial"/>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adjustRightInd w:val="0"/>
      <w:spacing w:line="360" w:lineRule="atLeast"/>
      <w:jc w:val="left"/>
      <w:textAlignment w:val="baseline"/>
    </w:pPr>
    <w:rPr>
      <w:kern w:val="0"/>
    </w:rPr>
  </w:style>
  <w:style w:type="paragraph" w:styleId="7">
    <w:name w:val="Body Text"/>
    <w:basedOn w:val="1"/>
    <w:qFormat/>
    <w:uiPriority w:val="0"/>
    <w:pPr>
      <w:spacing w:after="120"/>
    </w:pPr>
  </w:style>
  <w:style w:type="paragraph" w:styleId="8">
    <w:name w:val="Body Text Indent"/>
    <w:basedOn w:val="1"/>
    <w:autoRedefine/>
    <w:qFormat/>
    <w:uiPriority w:val="0"/>
    <w:pPr>
      <w:ind w:firstLine="560" w:firstLineChars="200"/>
    </w:pPr>
  </w:style>
  <w:style w:type="paragraph" w:styleId="9">
    <w:name w:val="toc 3"/>
    <w:basedOn w:val="1"/>
    <w:next w:val="1"/>
    <w:qFormat/>
    <w:uiPriority w:val="0"/>
    <w:pPr>
      <w:ind w:left="561"/>
      <w:jc w:val="left"/>
    </w:pPr>
  </w:style>
  <w:style w:type="paragraph" w:styleId="10">
    <w:name w:val="Plain Text"/>
    <w:basedOn w:val="1"/>
    <w:next w:val="1"/>
    <w:qFormat/>
    <w:uiPriority w:val="0"/>
    <w:rPr>
      <w:rFonts w:ascii="宋体" w:hAnsi="Courier New" w:eastAsia="宋体"/>
      <w:kern w:val="2"/>
      <w:sz w:val="24"/>
      <w:szCs w:val="24"/>
      <w:lang w:val="en-US" w:eastAsia="zh-CN" w:bidi="ar-SA"/>
    </w:rPr>
  </w:style>
  <w:style w:type="paragraph" w:styleId="11">
    <w:name w:val="Body Text Indent 2"/>
    <w:basedOn w:val="1"/>
    <w:qFormat/>
    <w:uiPriority w:val="0"/>
    <w:pPr>
      <w:spacing w:line="480" w:lineRule="auto"/>
      <w:ind w:firstLine="561"/>
    </w:pPr>
  </w:style>
  <w:style w:type="paragraph" w:styleId="12">
    <w:name w:val="footer"/>
    <w:basedOn w:val="1"/>
    <w:qFormat/>
    <w:uiPriority w:val="0"/>
    <w:pPr>
      <w:widowControl/>
      <w:tabs>
        <w:tab w:val="center" w:pos="4153"/>
        <w:tab w:val="right" w:pos="8306"/>
      </w:tabs>
      <w:snapToGrid w:val="0"/>
      <w:jc w:val="left"/>
    </w:pPr>
    <w:rPr>
      <w:kern w:val="0"/>
      <w:sz w:val="18"/>
    </w:rPr>
  </w:style>
  <w:style w:type="paragraph" w:styleId="13">
    <w:name w:val="toc 1"/>
    <w:basedOn w:val="1"/>
    <w:next w:val="1"/>
    <w:qFormat/>
    <w:uiPriority w:val="0"/>
    <w:pPr>
      <w:spacing w:before="120" w:after="120"/>
      <w:jc w:val="left"/>
    </w:pPr>
    <w:rPr>
      <w:caps/>
    </w:rPr>
  </w:style>
  <w:style w:type="paragraph" w:styleId="14">
    <w:name w:val="toc 2"/>
    <w:basedOn w:val="1"/>
    <w:next w:val="1"/>
    <w:qFormat/>
    <w:uiPriority w:val="0"/>
    <w:pPr>
      <w:ind w:left="278"/>
      <w:jc w:val="left"/>
    </w:pPr>
    <w:rPr>
      <w:smallCaps/>
    </w:rPr>
  </w:style>
  <w:style w:type="paragraph" w:styleId="15">
    <w:name w:val="Normal (Web)"/>
    <w:basedOn w:val="1"/>
    <w:qFormat/>
    <w:uiPriority w:val="0"/>
    <w:pPr>
      <w:widowControl/>
      <w:spacing w:before="100" w:beforeAutospacing="1" w:after="100" w:afterAutospacing="1" w:line="240" w:lineRule="auto"/>
      <w:jc w:val="left"/>
    </w:pPr>
    <w:rPr>
      <w:rFonts w:hAnsi="宋体" w:cs="宋体"/>
      <w:color w:val="000000"/>
      <w:kern w:val="0"/>
      <w:szCs w:val="24"/>
    </w:rPr>
  </w:style>
  <w:style w:type="paragraph" w:customStyle="1" w:styleId="18">
    <w:name w:val="正文缩进1"/>
    <w:basedOn w:val="1"/>
    <w:qFormat/>
    <w:uiPriority w:val="0"/>
    <w:pPr>
      <w:widowControl/>
      <w:ind w:firstLine="420"/>
      <w:jc w:val="left"/>
    </w:pPr>
    <w:rPr>
      <w:rFonts w:ascii="Times New Roman" w:hAnsi="Times New Roman" w:eastAsia="宋体" w:cs="Times New Roman"/>
      <w:kern w:val="0"/>
      <w:sz w:val="20"/>
    </w:rPr>
  </w:style>
  <w:style w:type="paragraph" w:customStyle="1" w:styleId="19">
    <w:name w:val="正文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0">
    <w:name w:val="正文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21">
    <w:name w:val="样式 宋体 行距: 1.5 倍行距"/>
    <w:basedOn w:val="22"/>
    <w:autoRedefine/>
    <w:qFormat/>
    <w:uiPriority w:val="0"/>
    <w:pPr>
      <w:jc w:val="center"/>
    </w:pPr>
    <w:rPr>
      <w:rFonts w:ascii="Times New Roman"/>
      <w:b/>
    </w:rPr>
  </w:style>
  <w:style w:type="paragraph" w:customStyle="1" w:styleId="22">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1"/>
    <w:autoRedefine/>
    <w:qFormat/>
    <w:uiPriority w:val="0"/>
    <w:pPr>
      <w:widowControl w:val="0"/>
      <w:jc w:val="both"/>
    </w:pPr>
    <w:rPr>
      <w:rFonts w:ascii="Calibri" w:hAnsi="Calibri" w:eastAsia="宋体" w:cs="黑体"/>
      <w:kern w:val="2"/>
      <w:sz w:val="21"/>
      <w:szCs w:val="24"/>
      <w:lang w:val="en-US" w:eastAsia="zh-CN" w:bidi="ar-SA"/>
    </w:rPr>
  </w:style>
  <w:style w:type="paragraph" w:customStyle="1" w:styleId="23">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正文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6">
    <w:name w:val="正文 New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7">
    <w:name w:val="正文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8">
    <w:name w:val="正文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9">
    <w:name w:val="普通(网站) New"/>
    <w:basedOn w:val="30"/>
    <w:autoRedefine/>
    <w:qFormat/>
    <w:uiPriority w:val="0"/>
    <w:rPr>
      <w:sz w:val="24"/>
    </w:rPr>
  </w:style>
  <w:style w:type="paragraph" w:customStyle="1" w:styleId="30">
    <w:name w:val="正文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1">
    <w:name w:val="正文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32">
    <w:name w:val="Normal Indent1"/>
    <w:basedOn w:val="1"/>
    <w:autoRedefine/>
    <w:qFormat/>
    <w:uiPriority w:val="0"/>
    <w:pPr>
      <w:widowControl/>
      <w:ind w:firstLine="420"/>
      <w:jc w:val="left"/>
    </w:pPr>
    <w:rPr>
      <w:rFonts w:ascii="Times New Roman"/>
      <w:kern w:val="0"/>
    </w:rPr>
  </w:style>
  <w:style w:type="paragraph" w:customStyle="1" w:styleId="33">
    <w:name w:val="标题 3 New New"/>
    <w:basedOn w:val="34"/>
    <w:next w:val="34"/>
    <w:autoRedefine/>
    <w:qFormat/>
    <w:uiPriority w:val="0"/>
    <w:pPr>
      <w:keepNext/>
      <w:keepLines/>
      <w:spacing w:before="120" w:after="120"/>
      <w:jc w:val="center"/>
      <w:outlineLvl w:val="2"/>
    </w:pPr>
    <w:rPr>
      <w:sz w:val="24"/>
    </w:rPr>
  </w:style>
  <w:style w:type="paragraph" w:customStyle="1" w:styleId="34">
    <w:name w:val="正文缩进 New"/>
    <w:basedOn w:val="35"/>
    <w:autoRedefine/>
    <w:qFormat/>
    <w:uiPriority w:val="0"/>
    <w:pPr>
      <w:widowControl/>
      <w:ind w:firstLine="420"/>
      <w:jc w:val="left"/>
    </w:pPr>
    <w:rPr>
      <w:kern w:val="0"/>
      <w:sz w:val="20"/>
    </w:rPr>
  </w:style>
  <w:style w:type="paragraph" w:customStyle="1" w:styleId="35">
    <w:name w:val="正文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36">
    <w:name w:val="正文文本缩进 New"/>
    <w:basedOn w:val="35"/>
    <w:autoRedefine/>
    <w:qFormat/>
    <w:uiPriority w:val="0"/>
    <w:pPr>
      <w:ind w:firstLine="560" w:firstLineChars="200"/>
    </w:pPr>
  </w:style>
  <w:style w:type="paragraph" w:customStyle="1" w:styleId="37">
    <w:name w:val="正文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标题 2 New New"/>
    <w:basedOn w:val="23"/>
    <w:next w:val="23"/>
    <w:autoRedefine/>
    <w:qFormat/>
    <w:uiPriority w:val="0"/>
    <w:pPr>
      <w:autoSpaceDE w:val="0"/>
      <w:autoSpaceDN w:val="0"/>
      <w:adjustRightInd w:val="0"/>
      <w:jc w:val="left"/>
      <w:outlineLvl w:val="1"/>
    </w:pPr>
    <w:rPr>
      <w:kern w:val="0"/>
      <w:sz w:val="24"/>
    </w:rPr>
  </w:style>
  <w:style w:type="paragraph" w:customStyle="1" w:styleId="39">
    <w:name w:val="标题 1 New"/>
    <w:basedOn w:val="23"/>
    <w:next w:val="23"/>
    <w:autoRedefine/>
    <w:qFormat/>
    <w:uiPriority w:val="0"/>
    <w:pPr>
      <w:autoSpaceDE w:val="0"/>
      <w:autoSpaceDN w:val="0"/>
      <w:adjustRightInd w:val="0"/>
      <w:jc w:val="left"/>
      <w:outlineLvl w:val="0"/>
    </w:pPr>
    <w:rPr>
      <w:kern w:val="0"/>
      <w:sz w:val="30"/>
    </w:rPr>
  </w:style>
  <w:style w:type="paragraph" w:customStyle="1" w:styleId="40">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1">
    <w:name w:val="Table Text"/>
    <w:basedOn w:val="1"/>
    <w:semiHidden/>
    <w:qFormat/>
    <w:uiPriority w:val="0"/>
    <w:rPr>
      <w:rFonts w:ascii="宋体" w:hAnsi="宋体" w:eastAsia="宋体" w:cs="宋体"/>
      <w:sz w:val="15"/>
      <w:szCs w:val="15"/>
      <w:lang w:val="en-US" w:eastAsia="en-US" w:bidi="ar-SA"/>
    </w:rPr>
  </w:style>
  <w:style w:type="table" w:customStyle="1" w:styleId="4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18177</Words>
  <Characters>19911</Characters>
  <Lines>0</Lines>
  <Paragraphs>0</Paragraphs>
  <TotalTime>242</TotalTime>
  <ScaleCrop>false</ScaleCrop>
  <LinksUpToDate>false</LinksUpToDate>
  <CharactersWithSpaces>20305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2025-05-14T07:28:00Z</dcterms:created>
  <dc:creator>Chen~小璇</dc:creator>
  <cp:lastModifiedBy>Chen~小璇</cp:lastModifiedBy>
  <dcterms:modified xsi:type="dcterms:W3CDTF">2025-05-21T08:15:31Z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46C3B3B98EA645ECBFD634075971E2F8_13</vt:lpwstr>
  </property>
  <property fmtid="{D5CDD505-2E9C-101B-9397-08002B2CF9AE}" pid="4" name="KSOTemplateDocerSaveRecord">
    <vt:lpwstr>eyJoZGlkIjoiMzA3MGVmMmQ4YTI4MjJkODZmYjBjMTYxMTYyNGJlNjgiLCJ1c2VySWQiOiI0MDAzMzAyOTkifQ==</vt:lpwstr>
  </property>
</Properties>
</file>